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38" w:rsidRDefault="00A77F38">
      <w:r w:rsidRPr="00A77F38">
        <w:rPr>
          <w:b/>
          <w:bCs/>
        </w:rPr>
        <w:t>Frysting fjármuna og skráning aðila á lista yfir þvingunaraðgerðir í tengslum við fjármögnun hryðjuverka og útbreiðslu gereyðingarvopna</w:t>
      </w:r>
    </w:p>
    <w:p w:rsidR="00A77F38" w:rsidRDefault="00A77F38">
      <w:r>
        <w:t>Niðurstöðuskjal</w:t>
      </w:r>
      <w:bookmarkStart w:id="0" w:name="_GoBack"/>
      <w:bookmarkEnd w:id="0"/>
    </w:p>
    <w:p w:rsidR="00D978BE" w:rsidRDefault="00A77F38">
      <w:r w:rsidRPr="00A77F38">
        <w:t>Frumvarpið var unnið í samstarfi utanríkisráðuneytis, dómstólaráðuneytis, Fjármálaeftirlits, ríkislögreglustjóra og ríkisskattstjóra. Að auki var stýrihópur dómsmálaráðherra um aðgerðir gegn peningaþvætti upplýstur um framgang málsins en að honum standa, auk framangreindra aðila, fulltrúar fjármála- og efnahagsráðuneytis, atvinnuvega- og nýsköpunarráðuneytis, Seðlabanka Íslands, embættis lögreglustjórans á höfuðborgarsvæðinu, skrifstofu fjármálagreininga lögreglu hjá héraðssaksóknara, Skattrannsóknarstjóra, Tollstjóra o.fl. Frumvarpið var sett í samráðsgátt Stjórnarráðsins til almennrar kynningar og umsagnar áður en það var lagt fram á Alþingi. Engar umsagnir bárust í samráðsgátt Stjórnarráðsins. Frumvarpið var lagt fram á Alþingi 1.4.2019 og var samþykkt sem lög frá Alþingi 13.6.2019.</w:t>
      </w:r>
    </w:p>
    <w:sectPr w:rsidR="00D9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38"/>
    <w:rsid w:val="00A77F38"/>
    <w:rsid w:val="00D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A1AE"/>
  <w15:chartTrackingRefBased/>
  <w15:docId w15:val="{CCDE7951-BD06-4ACF-AD3A-43D11C0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Torfadóttir</dc:creator>
  <cp:keywords/>
  <dc:description/>
  <cp:lastModifiedBy>Björg Torfadóttir</cp:lastModifiedBy>
  <cp:revision>1</cp:revision>
  <dcterms:created xsi:type="dcterms:W3CDTF">2020-01-09T10:59:00Z</dcterms:created>
  <dcterms:modified xsi:type="dcterms:W3CDTF">2020-01-09T11:02:00Z</dcterms:modified>
</cp:coreProperties>
</file>