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D3" w:rsidRPr="00040AD3" w:rsidRDefault="00040AD3">
      <w:pPr>
        <w:rPr>
          <w:b/>
          <w:bCs/>
          <w:color w:val="242424"/>
          <w:shd w:val="clear" w:color="auto" w:fill="FFFFFF"/>
          <w:lang w:val="is-IS"/>
        </w:rPr>
      </w:pPr>
      <w:r w:rsidRPr="00040AD3">
        <w:rPr>
          <w:b/>
          <w:bCs/>
          <w:color w:val="242424"/>
          <w:shd w:val="clear" w:color="auto" w:fill="FFFFFF"/>
          <w:lang w:val="is-IS"/>
        </w:rPr>
        <w:t xml:space="preserve">Niðurstöður samráðs varðandi drög að frumvarpi til laga um verðbréfamiðstöðvar, uppgjör og rafræna eignarskráningu </w:t>
      </w:r>
      <w:proofErr w:type="spellStart"/>
      <w:r w:rsidRPr="00040AD3">
        <w:rPr>
          <w:b/>
          <w:bCs/>
          <w:color w:val="242424"/>
          <w:shd w:val="clear" w:color="auto" w:fill="FFFFFF"/>
          <w:lang w:val="is-IS"/>
        </w:rPr>
        <w:t>fjármálagerninga</w:t>
      </w:r>
      <w:proofErr w:type="spellEnd"/>
      <w:r w:rsidRPr="00040AD3">
        <w:rPr>
          <w:b/>
          <w:bCs/>
          <w:color w:val="242424"/>
          <w:shd w:val="clear" w:color="auto" w:fill="FFFFFF"/>
          <w:lang w:val="is-IS"/>
        </w:rPr>
        <w:t xml:space="preserve"> (CSDR).</w:t>
      </w:r>
      <w:bookmarkStart w:id="0" w:name="_GoBack"/>
      <w:bookmarkEnd w:id="0"/>
    </w:p>
    <w:p w:rsidR="00040AD3" w:rsidRDefault="00040AD3">
      <w:r>
        <w:rPr>
          <w:color w:val="242424"/>
          <w:shd w:val="clear" w:color="auto" w:fill="FFFFFF"/>
        </w:rPr>
        <w:t>Drög að frumvarpinu voru birt almenningi í samráðsgátt stjórnvalda 11. júlí 2019 og var umsagnarfrestur veittur til 26. ágúst 2019, sbr. mál nr. 181/2019. Fresturinn var framlengdur til 29. ágúst 2019 að beiðni hagsmunaaðila. Þrjár umsagnir bárust, frá Nasdaq verðbréfamiðstöð, Verðbréfamiðstöð Íslands og Samtökum fjármálafyrirtækja.</w:t>
      </w:r>
      <w:r>
        <w:rPr>
          <w:color w:val="242424"/>
        </w:rPr>
        <w:br/>
      </w:r>
      <w:r>
        <w:rPr>
          <w:color w:val="242424"/>
          <w:shd w:val="clear" w:color="auto" w:fill="FFFFFF"/>
        </w:rPr>
        <w:t>    Almennt lýstu umsagnaraðilar ánægju með framlagningu frumvarpsins. Nasdaq og Samtök fjármálafyrirtækja leggjast gegn ákvæðum um skaðabótaábyrgð verðbréfamiðstöðva og reikningsstofnana. Vegna þeirrar ábendingar er rétt að benda á að þessi ákvæði byggja á lögum um rafræna eignarskráningu verðbréfa og eru að mestu í samræmi við norrænan rétt með þeirri undantekningu að sambærilegt ákvæði hefur verið fellt úr dönskum rétti.</w:t>
      </w:r>
      <w:r>
        <w:rPr>
          <w:color w:val="242424"/>
        </w:rPr>
        <w:br/>
      </w:r>
      <w:r>
        <w:rPr>
          <w:color w:val="242424"/>
          <w:shd w:val="clear" w:color="auto" w:fill="FFFFFF"/>
        </w:rPr>
        <w:t>    Nasdaq verðbréfamiðstöð lagði til orðalagsbreytingar á gildissviðsákvæði frumvarpsins, m.a. um að ekki þyrfti að taka fram að verðbréfamiðstöð væri óheimilt að stunda aðra starfsemi en þá sem hún hefði starfsleyfi fyrir. Fallist var á þau sjónarmið að slíkt kæmi nægilega skýrt fram í CSDR og var ákvæðið fellt brott.</w:t>
      </w:r>
      <w:r>
        <w:rPr>
          <w:color w:val="242424"/>
        </w:rPr>
        <w:br/>
      </w:r>
      <w:r>
        <w:rPr>
          <w:color w:val="242424"/>
          <w:shd w:val="clear" w:color="auto" w:fill="FFFFFF"/>
        </w:rPr>
        <w:t>    Samtök fjármálafyrirtækja telja viðurlagaákvæði of íþyngjandi og benda á að refsirammi vegna brota á CSDR í Noregi sé eitt ár. Varðandi þá ábendingu skal áréttað að viðurlagaákvæðin í frumvarpinu eru samhljóða viðurlagaákvæðum í lögum um rafræna eignarskráningu verðbréfa og viðurlagaákvæðum í annarri löggjöf á fjármálamarkaði sem eru samræmd eftir heildarendurskoðun þeirra árið 2015.</w:t>
      </w:r>
      <w:r>
        <w:rPr>
          <w:color w:val="242424"/>
        </w:rPr>
        <w:br/>
      </w:r>
      <w:r>
        <w:rPr>
          <w:color w:val="242424"/>
          <w:shd w:val="clear" w:color="auto" w:fill="FFFFFF"/>
        </w:rPr>
        <w:t>    Samtök fjármálafyrirtækja gerðu athugasemd við 7. gr. frumvarpsins og telja ekki rök fyrir því að hér á landi gildi sérreglur um veðtryggingu og innlausnarrétt Seðlabanka Íslands vegna greiðsluuppgjörs. Því er til að svara að til þess að unnt sé að komast hjá uppgjörsáhættu og tryggja skilvirkt og öruggt uppgjör fjármálagerninga er nauðsynlegt að reikningsstofnanir hafi tiltekna lánsheimild til að mæta sveiflum innan dags á reikningum sínum hjá Seðlabanka Íslands og fram til þess tíma þegar reikningurinn er gerður upp og skuldastöðu eytt í lok hvers viðskiptadags. Lánsheimildin tekur bæði til venjubundins daglegs greiðsluflæðis viðkomandi þátttakanda og peningalegs hluta verðbréfauppgjörs hans. Þannig er ávallt ákvörðuð tiltekin lágmarksheimild uppgjörsstofnunar, sem nemur þeirri fjárhæð sem Seðlabanki Íslands metur að sé nauðsynleg til að hægt sé að tryggja öruggt og skilvirkt greiðsluuppgjör. Lánsheimildin getur svo verið hærri en lágmarksheimildin samkvæmt samkomulagi við Seðlabanka Íslands.</w:t>
      </w:r>
      <w:r>
        <w:rPr>
          <w:color w:val="242424"/>
        </w:rPr>
        <w:br/>
      </w:r>
      <w:r>
        <w:rPr>
          <w:color w:val="242424"/>
          <w:shd w:val="clear" w:color="auto" w:fill="FFFFFF"/>
        </w:rPr>
        <w:t xml:space="preserve">    Til að unnt sé að veita reikningsstofnunum lánsheimild er gerð sú krafa að þær leggi fram tryggingar í samræmi við gildandi reglur Seðlabanka Íslands á hverjum tíma. Lánsheimildir þátttakenda í greiðslukerfum Seðlabanka Íslands og þær tryggingar, sem standa þeim að baki, eru grundvallaratriði til að unnt sé að tryggja nauðsynlegt fyrirvaralaust aðgengi þátttakenda að lausu fé hvort heldur það er í þágu almennrar greiðslumiðlunar innan dags eða til að tryggja hindrunarlaust verðbréfauppgjör. Yfirdráttarheimild uppgjörsstofnana í stórgreiðslukerfi Seðlabanka Íslands er þannig liður í því að lágmarka uppgjörsáhættu í verðbréfaviðskiptum. Seðlabankanum ber lögum samkvæmt að taka fullnægjandi tryggingar fyrir veittum yfirdráttarheimildum og gerir það með veðtöku í verðbréfum í eigu þátttakenda í stórgreiðslukerfinu. Seðlabanki Íslands þarf því að hafa úrræði til að ganga að þeim tryggingum sem lagðar eru fram í því fyrirkomulagi sem hér er lýst. Fyrirkomulag lánsheimilda og trygginga hjá Seðlabanka Íslands á sér samsvörun hjá seðlabönkum víða erlendis og telst ekki séríslenskt. Til að mynda má líta til verðbréfauppgjörs sem fer fram í gegnum T2S-kerfi Evrópska seðlabankans, þar sem hann hefur tryggingu fyrir heimildum sem veittar eru á reikningum þátttakenda í gegnum kerfið. </w:t>
      </w:r>
      <w:r>
        <w:rPr>
          <w:color w:val="242424"/>
          <w:shd w:val="clear" w:color="auto" w:fill="FFFFFF"/>
        </w:rPr>
        <w:lastRenderedPageBreak/>
        <w:t>Þær tryggingar, sem lagðar eru fram hér á landi til tryggingar öruggu og skilvirku verðbréfauppgjöri, í samræmi við núgildandi lagaákvæði og 7. gr. frumvarpsins, verða því að teljast eðlilegar.</w:t>
      </w:r>
      <w:r>
        <w:rPr>
          <w:color w:val="242424"/>
        </w:rPr>
        <w:br/>
      </w:r>
      <w:r>
        <w:rPr>
          <w:color w:val="242424"/>
          <w:shd w:val="clear" w:color="auto" w:fill="FFFFFF"/>
        </w:rPr>
        <w:t>    Verðbréfamiðstöð Íslands tók fram að umsögnin væri eingöngu bundin við samkeppnisréttarleg sjónarmið og áskildi sér rétt til að skila inn annarri umsögn síðar varðandi önnur atriði. Þá lagði Verðbréfamiðstöð Íslands áherslu á að í frumvarpinu verði markaður almennur og hlutlaus lagarammi um hvernig á að segja upp útgáfusamningi við verðbréfamiðstöð og flytja í aðra verðbréfamiðstöð. Varðandi þessa ábendingu þá gerir CSDR ráð fyrir að það sé útgefandi fjármálagerninganna sem velji verðbréfamiðstöð. Þá gera ákvæði CSDR um samtengingar ráð fyrir að verðbréfamiðstöðvar styðji við viðskipti með fjármálagerninga á fleiri en einum markaði með samtengingum sín á milli og þannig sé hægt að flytja þá frá einni verðbréfamiðstöð til annarrar. Hvað varðar samkeppnisréttarleg sjónarmið þá er nefnt í aðfararorðum CSDR að markmið reglugerðarinnar sé m.a. að auðvelda samkeppni svo ekki var talin þörf á að endurtaka þau ákvæði sérstaklega í frumvarpinu. Rétt var þó talið til að koma til móts við þessa ábendingu að bæta við umfjöllun um hvernig samtengingum á milli verðbréfamiðstöðva er ætlað að tryggja samkeppni í kaflanum um meginefni frumvarpsins.</w:t>
      </w:r>
      <w:r>
        <w:rPr>
          <w:color w:val="242424"/>
        </w:rPr>
        <w:br/>
      </w:r>
      <w:r>
        <w:rPr>
          <w:color w:val="242424"/>
          <w:shd w:val="clear" w:color="auto" w:fill="FFFFFF"/>
        </w:rPr>
        <w:t>    Samtök fjármálafyrirtækja og Nasdaq gera í umsögnum sínum athugasemd við að frumvarpið geymi í 21.–23. gr. ákvæði um skaðabótaábyrgð reikningsstofnana og verðbréfamiðstöðva. Telja þau nægilegt að almennar skaðabótareglur gildi um starfsemina. Af þessu tilefni skal bent á að ákvæðin eru samhljóða núgildandi ákvæðum um ábyrgð verðbréfamiðstöðva og reikningsstofnana í lögum um rafræna eignarskráningu verðbréfa. Voru þau upphaflega að danskri fyrirmynd og rökstudd með vísan til þess að á þeim tíma var verið að færa eignarskráningu fjármálagerninga úr pappírsformi yfir í rafrænt form. Danir hurfu þó frá þessu við setningu nýrra laga um fjármagnsmarkaði. Hin Norðurlöndin, Noregur, Svíþjóð og Finnland, hafa hins vegar kosið að halda sambærilegum ákvæðum í sinni löggjöf. Með vísan til mikilvægis þess að almennt traust ríki um eignarskráningu fjármálagerninga og í garð mikilvægra innviða á fjármálamarkaði sem hafa þýðingu fyrir fjármálastöðuleika er lagt til að umræddum ákvæðum verði haldið í lögunum.</w:t>
      </w:r>
    </w:p>
    <w:sectPr w:rsidR="0004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D3"/>
    <w:rsid w:val="00040A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D20C"/>
  <w15:chartTrackingRefBased/>
  <w15:docId w15:val="{8DE8032F-4B15-400E-9F21-2B60A4F4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Hjaltested</dc:creator>
  <cp:keywords/>
  <dc:description/>
  <cp:lastModifiedBy>Erna Hjaltested</cp:lastModifiedBy>
  <cp:revision>1</cp:revision>
  <dcterms:created xsi:type="dcterms:W3CDTF">2020-11-20T11:48:00Z</dcterms:created>
  <dcterms:modified xsi:type="dcterms:W3CDTF">2020-11-20T11:50:00Z</dcterms:modified>
</cp:coreProperties>
</file>