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79D5" w14:textId="4CE5F8F6" w:rsidR="00914070" w:rsidRPr="00324A2D" w:rsidRDefault="00EE194F" w:rsidP="00324A2D">
      <w:pPr>
        <w:spacing w:line="360" w:lineRule="auto"/>
        <w:contextualSpacing/>
        <w:rPr>
          <w:lang w:val="is-IS"/>
        </w:rPr>
      </w:pPr>
      <w:r w:rsidRPr="00324A2D">
        <w:rPr>
          <w:lang w:val="is-IS"/>
        </w:rPr>
        <w:t>Atvinnuvega- og nýsköpunarráðuneytið</w:t>
      </w:r>
    </w:p>
    <w:p w14:paraId="31E9AECF" w14:textId="77777777" w:rsidR="00EE194F" w:rsidRPr="00324A2D" w:rsidRDefault="00EE194F" w:rsidP="00324A2D">
      <w:pPr>
        <w:spacing w:line="360" w:lineRule="auto"/>
        <w:contextualSpacing/>
        <w:rPr>
          <w:lang w:val="is-IS"/>
        </w:rPr>
      </w:pPr>
      <w:r w:rsidRPr="00324A2D">
        <w:rPr>
          <w:lang w:val="is-IS"/>
        </w:rPr>
        <w:t>Skúlagötu 4</w:t>
      </w:r>
    </w:p>
    <w:p w14:paraId="537FC24F" w14:textId="34BF81F7" w:rsidR="00F222C0" w:rsidRPr="00324A2D" w:rsidRDefault="00EE194F" w:rsidP="00324A2D">
      <w:pPr>
        <w:spacing w:line="360" w:lineRule="auto"/>
        <w:contextualSpacing/>
        <w:rPr>
          <w:lang w:val="is-IS"/>
        </w:rPr>
      </w:pPr>
      <w:r w:rsidRPr="00324A2D">
        <w:rPr>
          <w:lang w:val="is-IS"/>
        </w:rPr>
        <w:t>101 Reykjavík</w:t>
      </w:r>
    </w:p>
    <w:p w14:paraId="674E3A0C" w14:textId="296C343D" w:rsidR="00914070" w:rsidRPr="00324A2D" w:rsidRDefault="00EE194F" w:rsidP="00324A2D">
      <w:pPr>
        <w:spacing w:line="360" w:lineRule="auto"/>
        <w:contextualSpacing/>
        <w:jc w:val="right"/>
        <w:rPr>
          <w:lang w:val="is-IS"/>
        </w:rPr>
      </w:pPr>
      <w:r w:rsidRPr="00324A2D">
        <w:rPr>
          <w:lang w:val="is-IS"/>
        </w:rPr>
        <w:t>Reykjavík</w:t>
      </w:r>
      <w:r w:rsidR="005E0A05" w:rsidRPr="00324A2D">
        <w:rPr>
          <w:lang w:val="is-IS"/>
        </w:rPr>
        <w:t xml:space="preserve">, </w:t>
      </w:r>
      <w:r w:rsidRPr="00324A2D">
        <w:rPr>
          <w:lang w:val="is-IS"/>
        </w:rPr>
        <w:t>5. desember</w:t>
      </w:r>
      <w:r w:rsidR="00254507" w:rsidRPr="00324A2D">
        <w:rPr>
          <w:lang w:val="is-IS"/>
        </w:rPr>
        <w:t xml:space="preserve"> 2019</w:t>
      </w:r>
    </w:p>
    <w:p w14:paraId="3F15C709" w14:textId="77777777" w:rsidR="00914070" w:rsidRPr="00324A2D" w:rsidRDefault="00914070" w:rsidP="00324A2D">
      <w:pPr>
        <w:spacing w:line="360" w:lineRule="auto"/>
        <w:contextualSpacing/>
        <w:jc w:val="both"/>
        <w:rPr>
          <w:lang w:val="is-IS"/>
        </w:rPr>
      </w:pPr>
    </w:p>
    <w:p w14:paraId="41A04F76" w14:textId="77777777" w:rsidR="00EE194F" w:rsidRPr="00324A2D" w:rsidRDefault="00501ABE" w:rsidP="00324A2D">
      <w:pPr>
        <w:spacing w:line="360" w:lineRule="auto"/>
        <w:contextualSpacing/>
        <w:jc w:val="both"/>
        <w:rPr>
          <w:b/>
          <w:lang w:val="is-IS"/>
        </w:rPr>
      </w:pPr>
      <w:r w:rsidRPr="00324A2D">
        <w:rPr>
          <w:b/>
          <w:lang w:val="is-IS"/>
        </w:rPr>
        <w:t xml:space="preserve">Efni: Umsögn um drög að </w:t>
      </w:r>
      <w:r w:rsidR="00EE194F" w:rsidRPr="00324A2D">
        <w:rPr>
          <w:b/>
          <w:lang w:val="is-IS"/>
        </w:rPr>
        <w:t>re</w:t>
      </w:r>
      <w:r w:rsidR="00EE194F" w:rsidRPr="00324A2D">
        <w:rPr>
          <w:b/>
          <w:lang w:val="is-IS"/>
        </w:rPr>
        <w:t>glugerð um markaðsfyrirkomulag við aðilaskipti að greiðslumarki mjólkur.</w:t>
      </w:r>
    </w:p>
    <w:p w14:paraId="4F1666A2" w14:textId="77777777" w:rsidR="00EE194F" w:rsidRPr="00324A2D" w:rsidRDefault="00EE194F" w:rsidP="00324A2D">
      <w:pPr>
        <w:spacing w:line="360" w:lineRule="auto"/>
        <w:contextualSpacing/>
        <w:jc w:val="both"/>
        <w:rPr>
          <w:b/>
          <w:lang w:val="is-IS"/>
        </w:rPr>
      </w:pPr>
    </w:p>
    <w:p w14:paraId="69A89FC0" w14:textId="3E15381C" w:rsidR="00B4680A" w:rsidRPr="00324A2D" w:rsidRDefault="00B4680A" w:rsidP="00324A2D">
      <w:pPr>
        <w:spacing w:line="360" w:lineRule="auto"/>
        <w:contextualSpacing/>
        <w:jc w:val="both"/>
        <w:rPr>
          <w:b/>
          <w:lang w:val="is-IS"/>
        </w:rPr>
      </w:pPr>
      <w:r w:rsidRPr="00324A2D">
        <w:rPr>
          <w:lang w:val="is-IS"/>
        </w:rPr>
        <w:t xml:space="preserve">Drög að </w:t>
      </w:r>
      <w:r w:rsidR="00EE194F" w:rsidRPr="00324A2D">
        <w:rPr>
          <w:lang w:val="is-IS"/>
        </w:rPr>
        <w:t>r</w:t>
      </w:r>
      <w:r w:rsidR="00EE194F" w:rsidRPr="00324A2D">
        <w:rPr>
          <w:lang w:val="is-IS"/>
        </w:rPr>
        <w:t>eglugerð um markaðsfyrirkomulag við aðilaskipti að greiðslumarki mjólkur</w:t>
      </w:r>
      <w:r w:rsidR="00EE194F" w:rsidRPr="00324A2D">
        <w:rPr>
          <w:lang w:val="is-IS"/>
        </w:rPr>
        <w:t xml:space="preserve"> </w:t>
      </w:r>
      <w:r w:rsidRPr="00324A2D">
        <w:rPr>
          <w:lang w:val="is-IS"/>
        </w:rPr>
        <w:t>voru birt til umsagnar á samráðsgátt stjórnarráðsins þann 2</w:t>
      </w:r>
      <w:r w:rsidR="00EE194F" w:rsidRPr="00324A2D">
        <w:rPr>
          <w:lang w:val="is-IS"/>
        </w:rPr>
        <w:t>7</w:t>
      </w:r>
      <w:r w:rsidRPr="00324A2D">
        <w:rPr>
          <w:lang w:val="is-IS"/>
        </w:rPr>
        <w:t>.</w:t>
      </w:r>
      <w:r w:rsidR="00EE194F" w:rsidRPr="00324A2D">
        <w:rPr>
          <w:lang w:val="is-IS"/>
        </w:rPr>
        <w:t xml:space="preserve"> nóvember</w:t>
      </w:r>
      <w:r w:rsidRPr="00324A2D">
        <w:rPr>
          <w:lang w:val="is-IS"/>
        </w:rPr>
        <w:t xml:space="preserve"> sl. og var frestur veittur til</w:t>
      </w:r>
      <w:r w:rsidR="00CA2682" w:rsidRPr="00324A2D">
        <w:rPr>
          <w:lang w:val="is-IS"/>
        </w:rPr>
        <w:t xml:space="preserve"> og með</w:t>
      </w:r>
      <w:r w:rsidRPr="00324A2D">
        <w:rPr>
          <w:lang w:val="is-IS"/>
        </w:rPr>
        <w:t xml:space="preserve"> </w:t>
      </w:r>
      <w:r w:rsidR="00EE194F" w:rsidRPr="00324A2D">
        <w:rPr>
          <w:lang w:val="is-IS"/>
        </w:rPr>
        <w:t>5.desember</w:t>
      </w:r>
      <w:r w:rsidRPr="00324A2D">
        <w:rPr>
          <w:lang w:val="is-IS"/>
        </w:rPr>
        <w:t>.</w:t>
      </w:r>
    </w:p>
    <w:p w14:paraId="2D089D8D" w14:textId="51BAC0A0" w:rsidR="00B4680A" w:rsidRPr="00324A2D" w:rsidRDefault="00B4680A" w:rsidP="00324A2D">
      <w:pPr>
        <w:spacing w:line="360" w:lineRule="auto"/>
        <w:contextualSpacing/>
        <w:jc w:val="both"/>
        <w:rPr>
          <w:lang w:val="is-IS"/>
        </w:rPr>
      </w:pPr>
    </w:p>
    <w:p w14:paraId="6586F250" w14:textId="2C800C68" w:rsidR="0056424E" w:rsidRDefault="00B4680A" w:rsidP="000638A4">
      <w:pPr>
        <w:spacing w:after="240" w:line="360" w:lineRule="auto"/>
        <w:contextualSpacing/>
        <w:jc w:val="both"/>
        <w:rPr>
          <w:lang w:val="is-IS"/>
        </w:rPr>
      </w:pPr>
      <w:r w:rsidRPr="00324A2D">
        <w:rPr>
          <w:lang w:val="is-IS"/>
        </w:rPr>
        <w:t xml:space="preserve">Landssamband kúabænda (LK) hefur farið yfir </w:t>
      </w:r>
      <w:r w:rsidR="000638A4">
        <w:rPr>
          <w:lang w:val="is-IS"/>
        </w:rPr>
        <w:t>reglugerðina</w:t>
      </w:r>
      <w:r w:rsidRPr="00324A2D">
        <w:rPr>
          <w:lang w:val="is-IS"/>
        </w:rPr>
        <w:t xml:space="preserve"> og hefur eftirfarandi athugasemdir:</w:t>
      </w:r>
    </w:p>
    <w:p w14:paraId="4768C2B4" w14:textId="77777777" w:rsidR="000638A4" w:rsidRPr="00324A2D" w:rsidRDefault="000638A4" w:rsidP="000638A4">
      <w:pPr>
        <w:spacing w:after="240" w:line="360" w:lineRule="auto"/>
        <w:contextualSpacing/>
        <w:jc w:val="both"/>
        <w:rPr>
          <w:lang w:val="is-IS"/>
        </w:rPr>
      </w:pPr>
    </w:p>
    <w:p w14:paraId="1222F47A" w14:textId="6A0EA249" w:rsidR="0056424E" w:rsidRPr="00324A2D" w:rsidRDefault="0056424E" w:rsidP="00324A2D">
      <w:pPr>
        <w:spacing w:line="360" w:lineRule="auto"/>
        <w:contextualSpacing/>
        <w:jc w:val="both"/>
        <w:rPr>
          <w:lang w:val="is-IS"/>
        </w:rPr>
      </w:pPr>
      <w:r w:rsidRPr="00324A2D">
        <w:rPr>
          <w:lang w:val="is-IS"/>
        </w:rPr>
        <w:t xml:space="preserve">Í fjórðu grein er talað um tilfærslu greiðslumarks milli </w:t>
      </w:r>
      <w:proofErr w:type="spellStart"/>
      <w:r w:rsidRPr="00324A2D">
        <w:rPr>
          <w:lang w:val="is-IS"/>
        </w:rPr>
        <w:t>lögbýla</w:t>
      </w:r>
      <w:proofErr w:type="spellEnd"/>
      <w:r w:rsidRPr="00324A2D">
        <w:rPr>
          <w:lang w:val="is-IS"/>
        </w:rPr>
        <w:t xml:space="preserve"> ef framleiðandi flytur búferlum. Telur LK ekki ljóst með þessari grein hversu lengi viðkomandi framleiðandi þarf að sýna fram á búsetu og/eða búrekstur svo tilfærsla greiðslumarks milli </w:t>
      </w:r>
      <w:proofErr w:type="spellStart"/>
      <w:r w:rsidRPr="00324A2D">
        <w:rPr>
          <w:lang w:val="is-IS"/>
        </w:rPr>
        <w:t>lögbýla</w:t>
      </w:r>
      <w:proofErr w:type="spellEnd"/>
      <w:r w:rsidRPr="00324A2D">
        <w:rPr>
          <w:lang w:val="is-IS"/>
        </w:rPr>
        <w:t xml:space="preserve"> verði samþykkt</w:t>
      </w:r>
      <w:r w:rsidR="000638A4">
        <w:rPr>
          <w:lang w:val="is-IS"/>
        </w:rPr>
        <w:t xml:space="preserve"> </w:t>
      </w:r>
      <w:r w:rsidRPr="00324A2D">
        <w:rPr>
          <w:lang w:val="is-IS"/>
        </w:rPr>
        <w:t xml:space="preserve">og fái að halda. Einnig er spurning hvort hægt sé að nýta ákvæðið til að sameina bú eða rekstrareiningar undir eitt. LK </w:t>
      </w:r>
      <w:r w:rsidR="000638A4">
        <w:rPr>
          <w:lang w:val="is-IS"/>
        </w:rPr>
        <w:t>leggur til</w:t>
      </w:r>
      <w:r w:rsidRPr="00324A2D">
        <w:rPr>
          <w:lang w:val="is-IS"/>
        </w:rPr>
        <w:t xml:space="preserve"> að þessi ákvæði verði skýrð frekar.</w:t>
      </w:r>
    </w:p>
    <w:p w14:paraId="250DB4C0" w14:textId="77777777" w:rsidR="0056424E" w:rsidRPr="00324A2D" w:rsidRDefault="0056424E" w:rsidP="00324A2D">
      <w:pPr>
        <w:spacing w:line="360" w:lineRule="auto"/>
        <w:contextualSpacing/>
        <w:jc w:val="both"/>
        <w:rPr>
          <w:lang w:val="is-IS"/>
        </w:rPr>
      </w:pPr>
    </w:p>
    <w:p w14:paraId="5CE344BF" w14:textId="4E74AEEC" w:rsidR="0056424E" w:rsidRPr="00324A2D" w:rsidRDefault="0056424E" w:rsidP="00324A2D">
      <w:pPr>
        <w:spacing w:line="360" w:lineRule="auto"/>
        <w:contextualSpacing/>
        <w:jc w:val="both"/>
        <w:rPr>
          <w:lang w:val="is-IS"/>
        </w:rPr>
      </w:pPr>
      <w:r w:rsidRPr="00324A2D">
        <w:rPr>
          <w:lang w:val="is-IS"/>
        </w:rPr>
        <w:t xml:space="preserve">Í fimmtu grein er talað um tengda aðila </w:t>
      </w:r>
      <w:r w:rsidR="00324A2D" w:rsidRPr="00324A2D">
        <w:rPr>
          <w:lang w:val="is-IS"/>
        </w:rPr>
        <w:t>og þarf að vera skýrt hverjir falla undir þá skilgreiningu þar sem búskapur er oft atvinna tengdra aðila þó rekstur sé aðskilinn.</w:t>
      </w:r>
    </w:p>
    <w:p w14:paraId="43E8128C" w14:textId="050D67E0" w:rsidR="00324A2D" w:rsidRDefault="00324A2D" w:rsidP="00324A2D">
      <w:pPr>
        <w:spacing w:line="360" w:lineRule="auto"/>
        <w:jc w:val="both"/>
        <w:rPr>
          <w:lang w:val="is-IS"/>
        </w:rPr>
      </w:pPr>
      <w:r w:rsidRPr="00324A2D">
        <w:rPr>
          <w:lang w:val="is-IS"/>
        </w:rPr>
        <w:t>Í greininni segir einnig: „</w:t>
      </w:r>
      <w:r w:rsidRPr="00324A2D">
        <w:rPr>
          <w:lang w:val="is-IS"/>
        </w:rPr>
        <w:t xml:space="preserve">Kauptilboðum skal fylgja ábyrgðaryfirlýsing banka, sparisjóðs eða </w:t>
      </w:r>
      <w:proofErr w:type="spellStart"/>
      <w:r w:rsidRPr="00324A2D">
        <w:rPr>
          <w:lang w:val="is-IS"/>
        </w:rPr>
        <w:t>vátryggingafélags</w:t>
      </w:r>
      <w:proofErr w:type="spellEnd"/>
      <w:r w:rsidRPr="00324A2D">
        <w:rPr>
          <w:lang w:val="is-IS"/>
        </w:rPr>
        <w:t xml:space="preserve"> þar sem fram kemur að viðkomandi ábyrgðarveitandi tryggi að tilboðsgjafi geti staðið við tilboð sitt.</w:t>
      </w:r>
      <w:r w:rsidRPr="00324A2D">
        <w:rPr>
          <w:lang w:val="is-IS"/>
        </w:rPr>
        <w:t>“</w:t>
      </w:r>
      <w:r w:rsidRPr="00324A2D">
        <w:rPr>
          <w:lang w:val="is-IS"/>
        </w:rPr>
        <w:br/>
        <w:t xml:space="preserve">Hefur þetta fyrirkomulag verið gagnrýnt af bændum og verður LK að taka undir þá gagnrýni, að afla ábyrgðaryfirlýsingar getur verið dýrt og er dágóður kostnaður á þá aðila sem að lokum fá </w:t>
      </w:r>
      <w:r w:rsidR="000638A4">
        <w:rPr>
          <w:lang w:val="is-IS"/>
        </w:rPr>
        <w:t xml:space="preserve">jafnvel </w:t>
      </w:r>
      <w:r w:rsidRPr="00324A2D">
        <w:rPr>
          <w:lang w:val="is-IS"/>
        </w:rPr>
        <w:t xml:space="preserve">ekki úthlutað greiðslumarki á markaði sem annars hefði aukið tekjur. Þá stendur framar í greininni að óheimilt sé að </w:t>
      </w:r>
      <w:r w:rsidRPr="00324A2D">
        <w:rPr>
          <w:lang w:val="is-IS"/>
        </w:rPr>
        <w:t>gefa upp magn og verð sem tiltekið er í tilboðu</w:t>
      </w:r>
      <w:r w:rsidRPr="00324A2D">
        <w:rPr>
          <w:lang w:val="is-IS"/>
        </w:rPr>
        <w:t>m á markaðinn og s</w:t>
      </w:r>
      <w:r w:rsidRPr="00324A2D">
        <w:rPr>
          <w:lang w:val="is-IS"/>
        </w:rPr>
        <w:t>é það gert skal þeim tilboðum vikið til hliðar.</w:t>
      </w:r>
      <w:r>
        <w:rPr>
          <w:lang w:val="is-IS"/>
        </w:rPr>
        <w:t xml:space="preserve"> Þegar verið er að sækja um ábyrgðaryfirlýsingu hafa stofnanir gert kröfur um að fá fram magn og verð sem viðkomandi framleiðandi ætlar að bjóða</w:t>
      </w:r>
      <w:r w:rsidR="000638A4">
        <w:rPr>
          <w:lang w:val="is-IS"/>
        </w:rPr>
        <w:t>,</w:t>
      </w:r>
      <w:r>
        <w:rPr>
          <w:lang w:val="is-IS"/>
        </w:rPr>
        <w:t xml:space="preserve"> í stað þess að tryggingin sé bara bundin við samtölu fyrir boð </w:t>
      </w:r>
      <w:r>
        <w:rPr>
          <w:lang w:val="is-IS"/>
        </w:rPr>
        <w:lastRenderedPageBreak/>
        <w:t xml:space="preserve">viðkomandi. Við athugun hjá nokkrum </w:t>
      </w:r>
      <w:proofErr w:type="spellStart"/>
      <w:r>
        <w:rPr>
          <w:lang w:val="is-IS"/>
        </w:rPr>
        <w:t>vátryggingafélögum</w:t>
      </w:r>
      <w:proofErr w:type="spellEnd"/>
      <w:r>
        <w:rPr>
          <w:lang w:val="is-IS"/>
        </w:rPr>
        <w:t xml:space="preserve"> kom </w:t>
      </w:r>
      <w:r w:rsidR="000638A4">
        <w:rPr>
          <w:lang w:val="is-IS"/>
        </w:rPr>
        <w:t xml:space="preserve">einnig </w:t>
      </w:r>
      <w:bookmarkStart w:id="0" w:name="_GoBack"/>
      <w:bookmarkEnd w:id="0"/>
      <w:r>
        <w:rPr>
          <w:lang w:val="is-IS"/>
        </w:rPr>
        <w:t>fram að þau geta veitt slíka yfirlýsingu, þ.e. hafa heimild til þess en eru ekki að gera það</w:t>
      </w:r>
      <w:r w:rsidR="000638A4">
        <w:rPr>
          <w:lang w:val="is-IS"/>
        </w:rPr>
        <w:t xml:space="preserve"> eða bjóða ekki upp á slíkt</w:t>
      </w:r>
      <w:r>
        <w:rPr>
          <w:lang w:val="is-IS"/>
        </w:rPr>
        <w:t>. Telur LK að rétt væri að skoða þetta ákvæði frekar</w:t>
      </w:r>
      <w:r w:rsidR="000638A4">
        <w:rPr>
          <w:lang w:val="is-IS"/>
        </w:rPr>
        <w:t xml:space="preserve"> með það að markmiði að lækka kostnað framleiðenda við tilboðsgerð og gæta frekar að trúnaði um tilboð á markað.</w:t>
      </w:r>
    </w:p>
    <w:p w14:paraId="6B38B5BB" w14:textId="79A0AD0F" w:rsidR="000638A4" w:rsidRDefault="000638A4" w:rsidP="00324A2D">
      <w:pPr>
        <w:spacing w:line="360" w:lineRule="auto"/>
        <w:jc w:val="both"/>
        <w:rPr>
          <w:lang w:val="is-IS"/>
        </w:rPr>
      </w:pPr>
    </w:p>
    <w:p w14:paraId="0B5A7979" w14:textId="1F3A91AF" w:rsidR="000638A4" w:rsidRDefault="000638A4" w:rsidP="00324A2D">
      <w:pPr>
        <w:spacing w:line="360" w:lineRule="auto"/>
        <w:jc w:val="both"/>
        <w:rPr>
          <w:lang w:val="is-IS"/>
        </w:rPr>
      </w:pPr>
      <w:r>
        <w:rPr>
          <w:lang w:val="is-IS"/>
        </w:rPr>
        <w:t xml:space="preserve">Í seinni hluta sjöundu greinar er talað um greiðslumarkssölu leiguliða. LK vill að það verði endurskoðað. Í reglugerðinni eru þegar leyfilegt að </w:t>
      </w:r>
      <w:r w:rsidRPr="000638A4">
        <w:rPr>
          <w:lang w:val="is-IS"/>
        </w:rPr>
        <w:t>aðilaskipti</w:t>
      </w:r>
      <w:r>
        <w:rPr>
          <w:lang w:val="is-IS"/>
        </w:rPr>
        <w:t xml:space="preserve"> </w:t>
      </w:r>
      <w:r w:rsidRPr="000638A4">
        <w:rPr>
          <w:lang w:val="is-IS"/>
        </w:rPr>
        <w:t>að greiðslumarki far</w:t>
      </w:r>
      <w:r>
        <w:rPr>
          <w:lang w:val="is-IS"/>
        </w:rPr>
        <w:t xml:space="preserve">i </w:t>
      </w:r>
      <w:r w:rsidRPr="000638A4">
        <w:rPr>
          <w:lang w:val="is-IS"/>
        </w:rPr>
        <w:t xml:space="preserve">fram milli aðila innan sama </w:t>
      </w:r>
      <w:proofErr w:type="spellStart"/>
      <w:r w:rsidRPr="000638A4">
        <w:rPr>
          <w:lang w:val="is-IS"/>
        </w:rPr>
        <w:t>lögbýlis</w:t>
      </w:r>
      <w:proofErr w:type="spellEnd"/>
      <w:r>
        <w:rPr>
          <w:lang w:val="is-IS"/>
        </w:rPr>
        <w:t xml:space="preserve"> og verðugt markmið að forðast það eftir fremsta megni að opna glufur sem hægt væri að misnota.</w:t>
      </w:r>
    </w:p>
    <w:p w14:paraId="14DEC7C0" w14:textId="77777777" w:rsidR="000B548A" w:rsidRPr="00324A2D" w:rsidRDefault="000B548A" w:rsidP="00324A2D">
      <w:pPr>
        <w:spacing w:line="360" w:lineRule="auto"/>
        <w:contextualSpacing/>
        <w:jc w:val="both"/>
        <w:rPr>
          <w:lang w:val="is-IS"/>
        </w:rPr>
      </w:pPr>
    </w:p>
    <w:p w14:paraId="377FD085" w14:textId="5F86D96F" w:rsidR="00276473" w:rsidRPr="00324A2D" w:rsidRDefault="00254507" w:rsidP="00324A2D">
      <w:pPr>
        <w:spacing w:line="360" w:lineRule="auto"/>
        <w:contextualSpacing/>
        <w:jc w:val="both"/>
        <w:rPr>
          <w:lang w:val="is-IS"/>
        </w:rPr>
      </w:pPr>
      <w:r w:rsidRPr="00324A2D">
        <w:rPr>
          <w:lang w:val="is-IS"/>
        </w:rPr>
        <w:t>Virðingarfyllst</w:t>
      </w:r>
      <w:r w:rsidR="00CA2682" w:rsidRPr="00324A2D">
        <w:rPr>
          <w:lang w:val="is-IS"/>
        </w:rPr>
        <w:t>,</w:t>
      </w:r>
    </w:p>
    <w:p w14:paraId="3D6F5D41" w14:textId="77777777" w:rsidR="00276473" w:rsidRPr="00324A2D" w:rsidRDefault="00276473" w:rsidP="00324A2D">
      <w:pPr>
        <w:spacing w:line="360" w:lineRule="auto"/>
        <w:contextualSpacing/>
        <w:jc w:val="center"/>
        <w:rPr>
          <w:lang w:val="is-IS"/>
        </w:rPr>
      </w:pPr>
      <w:r w:rsidRPr="00324A2D">
        <w:rPr>
          <w:noProof/>
          <w:lang w:val="is-IS"/>
        </w:rPr>
        <w:drawing>
          <wp:inline distT="0" distB="0" distL="0" distR="0" wp14:anchorId="2351FDFD" wp14:editId="6544BDBE">
            <wp:extent cx="4107976" cy="1516719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irskriftM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050" cy="154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95669" w14:textId="77777777" w:rsidR="00497512" w:rsidRPr="00324A2D" w:rsidRDefault="00497512" w:rsidP="00324A2D">
      <w:pPr>
        <w:spacing w:line="360" w:lineRule="auto"/>
        <w:contextualSpacing/>
        <w:jc w:val="both"/>
        <w:rPr>
          <w:lang w:val="is-IS"/>
        </w:rPr>
      </w:pPr>
    </w:p>
    <w:p w14:paraId="2DE77E9B" w14:textId="3D8C0666" w:rsidR="00406616" w:rsidRPr="00324A2D" w:rsidRDefault="00406616" w:rsidP="00324A2D">
      <w:pPr>
        <w:spacing w:line="360" w:lineRule="auto"/>
        <w:contextualSpacing/>
        <w:rPr>
          <w:lang w:val="is-IS"/>
        </w:rPr>
      </w:pPr>
    </w:p>
    <w:sectPr w:rsidR="00406616" w:rsidRPr="00324A2D" w:rsidSect="00C03A5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4B8B" w14:textId="77777777" w:rsidR="00942D41" w:rsidRDefault="00942D41" w:rsidP="00914070">
      <w:r>
        <w:separator/>
      </w:r>
    </w:p>
  </w:endnote>
  <w:endnote w:type="continuationSeparator" w:id="0">
    <w:p w14:paraId="03A8178B" w14:textId="77777777" w:rsidR="00942D41" w:rsidRDefault="00942D41" w:rsidP="0091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9F9C" w14:textId="77777777" w:rsidR="00942D41" w:rsidRDefault="00942D41" w:rsidP="00914070">
      <w:r>
        <w:separator/>
      </w:r>
    </w:p>
  </w:footnote>
  <w:footnote w:type="continuationSeparator" w:id="0">
    <w:p w14:paraId="309513BA" w14:textId="77777777" w:rsidR="00942D41" w:rsidRDefault="00942D41" w:rsidP="0091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F85E" w14:textId="77777777" w:rsidR="00914070" w:rsidRDefault="00914070" w:rsidP="00914070">
    <w:pPr>
      <w:pStyle w:val="Suhaus"/>
      <w:jc w:val="right"/>
    </w:pPr>
    <w:r>
      <w:rPr>
        <w:noProof/>
        <w:lang w:val="en-US"/>
      </w:rPr>
      <w:drawing>
        <wp:inline distT="0" distB="0" distL="0" distR="0" wp14:anchorId="46B11A57" wp14:editId="134C6435">
          <wp:extent cx="776930" cy="626400"/>
          <wp:effectExtent l="19050" t="0" r="4120" b="0"/>
          <wp:docPr id="1" name="Picture 0" descr="LK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079" cy="62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0409"/>
    <w:multiLevelType w:val="hybridMultilevel"/>
    <w:tmpl w:val="1D6063C0"/>
    <w:lvl w:ilvl="0" w:tplc="A8AED056">
      <w:start w:val="1"/>
      <w:numFmt w:val="lowerLetter"/>
      <w:lvlText w:val="%1."/>
      <w:lvlJc w:val="left"/>
      <w:pPr>
        <w:ind w:left="876" w:hanging="60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56" w:hanging="360"/>
      </w:pPr>
    </w:lvl>
    <w:lvl w:ilvl="2" w:tplc="040F001B" w:tentative="1">
      <w:start w:val="1"/>
      <w:numFmt w:val="lowerRoman"/>
      <w:lvlText w:val="%3."/>
      <w:lvlJc w:val="right"/>
      <w:pPr>
        <w:ind w:left="2076" w:hanging="180"/>
      </w:pPr>
    </w:lvl>
    <w:lvl w:ilvl="3" w:tplc="040F000F" w:tentative="1">
      <w:start w:val="1"/>
      <w:numFmt w:val="decimal"/>
      <w:lvlText w:val="%4."/>
      <w:lvlJc w:val="left"/>
      <w:pPr>
        <w:ind w:left="2796" w:hanging="360"/>
      </w:pPr>
    </w:lvl>
    <w:lvl w:ilvl="4" w:tplc="040F0019" w:tentative="1">
      <w:start w:val="1"/>
      <w:numFmt w:val="lowerLetter"/>
      <w:lvlText w:val="%5."/>
      <w:lvlJc w:val="left"/>
      <w:pPr>
        <w:ind w:left="3516" w:hanging="360"/>
      </w:pPr>
    </w:lvl>
    <w:lvl w:ilvl="5" w:tplc="040F001B" w:tentative="1">
      <w:start w:val="1"/>
      <w:numFmt w:val="lowerRoman"/>
      <w:lvlText w:val="%6."/>
      <w:lvlJc w:val="right"/>
      <w:pPr>
        <w:ind w:left="4236" w:hanging="180"/>
      </w:pPr>
    </w:lvl>
    <w:lvl w:ilvl="6" w:tplc="040F000F" w:tentative="1">
      <w:start w:val="1"/>
      <w:numFmt w:val="decimal"/>
      <w:lvlText w:val="%7."/>
      <w:lvlJc w:val="left"/>
      <w:pPr>
        <w:ind w:left="4956" w:hanging="360"/>
      </w:pPr>
    </w:lvl>
    <w:lvl w:ilvl="7" w:tplc="040F0019" w:tentative="1">
      <w:start w:val="1"/>
      <w:numFmt w:val="lowerLetter"/>
      <w:lvlText w:val="%8."/>
      <w:lvlJc w:val="left"/>
      <w:pPr>
        <w:ind w:left="5676" w:hanging="360"/>
      </w:pPr>
    </w:lvl>
    <w:lvl w:ilvl="8" w:tplc="040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229278B0"/>
    <w:multiLevelType w:val="hybridMultilevel"/>
    <w:tmpl w:val="BEE84D2E"/>
    <w:lvl w:ilvl="0" w:tplc="B3BA8AA8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024"/>
    <w:multiLevelType w:val="hybridMultilevel"/>
    <w:tmpl w:val="CAF2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6BB4"/>
    <w:multiLevelType w:val="multilevel"/>
    <w:tmpl w:val="3AA2E4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F4B50"/>
    <w:multiLevelType w:val="hybridMultilevel"/>
    <w:tmpl w:val="7E60CF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67BE"/>
    <w:multiLevelType w:val="multilevel"/>
    <w:tmpl w:val="774E7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C5F27"/>
    <w:multiLevelType w:val="hybridMultilevel"/>
    <w:tmpl w:val="482AC586"/>
    <w:lvl w:ilvl="0" w:tplc="828250CE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6D80"/>
    <w:multiLevelType w:val="hybridMultilevel"/>
    <w:tmpl w:val="3934E868"/>
    <w:lvl w:ilvl="0" w:tplc="0409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3B8C"/>
    <w:multiLevelType w:val="hybridMultilevel"/>
    <w:tmpl w:val="B3684DBA"/>
    <w:lvl w:ilvl="0" w:tplc="01F8EDC8">
      <w:start w:val="1"/>
      <w:numFmt w:val="lowerLetter"/>
      <w:lvlText w:val="%1."/>
      <w:lvlJc w:val="left"/>
      <w:pPr>
        <w:ind w:left="7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E7"/>
    <w:rsid w:val="00000898"/>
    <w:rsid w:val="000324AA"/>
    <w:rsid w:val="00050156"/>
    <w:rsid w:val="000638A4"/>
    <w:rsid w:val="000B548A"/>
    <w:rsid w:val="000E0ABC"/>
    <w:rsid w:val="000F630B"/>
    <w:rsid w:val="0014174A"/>
    <w:rsid w:val="00141CC7"/>
    <w:rsid w:val="00155CA0"/>
    <w:rsid w:val="001639E7"/>
    <w:rsid w:val="00254507"/>
    <w:rsid w:val="00276473"/>
    <w:rsid w:val="002B7FE0"/>
    <w:rsid w:val="00304697"/>
    <w:rsid w:val="00324A2D"/>
    <w:rsid w:val="0033111C"/>
    <w:rsid w:val="003678FE"/>
    <w:rsid w:val="003C38B8"/>
    <w:rsid w:val="00406616"/>
    <w:rsid w:val="004368F5"/>
    <w:rsid w:val="00497512"/>
    <w:rsid w:val="00501ABE"/>
    <w:rsid w:val="00532474"/>
    <w:rsid w:val="0056424E"/>
    <w:rsid w:val="005A2A31"/>
    <w:rsid w:val="005C258F"/>
    <w:rsid w:val="005E0A05"/>
    <w:rsid w:val="005F5ED1"/>
    <w:rsid w:val="006548AC"/>
    <w:rsid w:val="00664A2D"/>
    <w:rsid w:val="006B3666"/>
    <w:rsid w:val="006F4885"/>
    <w:rsid w:val="007806DF"/>
    <w:rsid w:val="007F0A40"/>
    <w:rsid w:val="008466E9"/>
    <w:rsid w:val="00891773"/>
    <w:rsid w:val="008F18F7"/>
    <w:rsid w:val="008F2F6C"/>
    <w:rsid w:val="00914070"/>
    <w:rsid w:val="0093628D"/>
    <w:rsid w:val="00942D41"/>
    <w:rsid w:val="009D1053"/>
    <w:rsid w:val="009F57F4"/>
    <w:rsid w:val="009F6917"/>
    <w:rsid w:val="00A6059B"/>
    <w:rsid w:val="00A73AD9"/>
    <w:rsid w:val="00A8159F"/>
    <w:rsid w:val="00A90E9E"/>
    <w:rsid w:val="00AB01AC"/>
    <w:rsid w:val="00AB7D2D"/>
    <w:rsid w:val="00AF0BFA"/>
    <w:rsid w:val="00B4680A"/>
    <w:rsid w:val="00B5750B"/>
    <w:rsid w:val="00B77A74"/>
    <w:rsid w:val="00B90050"/>
    <w:rsid w:val="00BB759E"/>
    <w:rsid w:val="00BC445E"/>
    <w:rsid w:val="00C03A53"/>
    <w:rsid w:val="00C41D5B"/>
    <w:rsid w:val="00C54313"/>
    <w:rsid w:val="00C661CD"/>
    <w:rsid w:val="00CA2682"/>
    <w:rsid w:val="00CE7C66"/>
    <w:rsid w:val="00D10053"/>
    <w:rsid w:val="00D32BC5"/>
    <w:rsid w:val="00D3365F"/>
    <w:rsid w:val="00D34CBC"/>
    <w:rsid w:val="00D727B4"/>
    <w:rsid w:val="00D80460"/>
    <w:rsid w:val="00D90D36"/>
    <w:rsid w:val="00DB3DFF"/>
    <w:rsid w:val="00DC2A8F"/>
    <w:rsid w:val="00DD1C91"/>
    <w:rsid w:val="00DE3457"/>
    <w:rsid w:val="00E46010"/>
    <w:rsid w:val="00E501D5"/>
    <w:rsid w:val="00E61B16"/>
    <w:rsid w:val="00E800B4"/>
    <w:rsid w:val="00E95B56"/>
    <w:rsid w:val="00EB73B2"/>
    <w:rsid w:val="00EB79F6"/>
    <w:rsid w:val="00EE194F"/>
    <w:rsid w:val="00F020F8"/>
    <w:rsid w:val="00F14910"/>
    <w:rsid w:val="00F222C0"/>
    <w:rsid w:val="00F24384"/>
    <w:rsid w:val="00F36C94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6A34"/>
  <w14:defaultImageDpi w14:val="32767"/>
  <w15:chartTrackingRefBased/>
  <w15:docId w15:val="{51A3C3B1-B9F9-E041-8AEC-CA2EF0A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Venjulegur">
    <w:name w:val="Normal"/>
    <w:qFormat/>
    <w:rsid w:val="00C41D5B"/>
    <w:rPr>
      <w:rFonts w:ascii="Times New Roman" w:eastAsia="Times New Roman" w:hAnsi="Times New Roman" w:cs="Times New Roman"/>
      <w:lang w:val="en-US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EE1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yrirsgn4">
    <w:name w:val="heading 4"/>
    <w:basedOn w:val="Venjulegur"/>
    <w:link w:val="Fyrirsgn4Staf"/>
    <w:uiPriority w:val="9"/>
    <w:qFormat/>
    <w:rsid w:val="001639E7"/>
    <w:pPr>
      <w:spacing w:before="100" w:beforeAutospacing="1" w:after="100" w:afterAutospacing="1"/>
      <w:outlineLvl w:val="3"/>
    </w:pPr>
    <w:rPr>
      <w:b/>
      <w:bCs/>
    </w:rPr>
  </w:style>
  <w:style w:type="paragraph" w:styleId="Fyrirsgn5">
    <w:name w:val="heading 5"/>
    <w:basedOn w:val="Venjulegur"/>
    <w:link w:val="Fyrirsgn5Staf"/>
    <w:uiPriority w:val="9"/>
    <w:qFormat/>
    <w:rsid w:val="001639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1639E7"/>
    <w:rPr>
      <w:color w:val="0000FF"/>
      <w:u w:val="single"/>
    </w:rPr>
  </w:style>
  <w:style w:type="character" w:customStyle="1" w:styleId="apple-converted-space">
    <w:name w:val="apple-converted-space"/>
    <w:basedOn w:val="Sjlfgefinleturgermlsgreinar"/>
    <w:rsid w:val="001639E7"/>
  </w:style>
  <w:style w:type="character" w:customStyle="1" w:styleId="Fyrirsgn4Staf">
    <w:name w:val="Fyrirsögn 4 Staf"/>
    <w:basedOn w:val="Sjlfgefinleturgermlsgreinar"/>
    <w:link w:val="Fyrirsgn4"/>
    <w:uiPriority w:val="9"/>
    <w:rsid w:val="001639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1639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enjulegtvefur">
    <w:name w:val="Normal (Web)"/>
    <w:basedOn w:val="Venjulegur"/>
    <w:uiPriority w:val="99"/>
    <w:unhideWhenUsed/>
    <w:rsid w:val="001639E7"/>
    <w:pPr>
      <w:spacing w:before="100" w:beforeAutospacing="1" w:after="100" w:afterAutospacing="1"/>
    </w:pPr>
  </w:style>
  <w:style w:type="character" w:styleId="Sterkt">
    <w:name w:val="Strong"/>
    <w:basedOn w:val="Sjlfgefinleturgermlsgreinar"/>
    <w:uiPriority w:val="22"/>
    <w:qFormat/>
    <w:rsid w:val="001639E7"/>
    <w:rPr>
      <w:b/>
      <w:bCs/>
    </w:rPr>
  </w:style>
  <w:style w:type="character" w:styleId="Ekkileystrtilgreiningu">
    <w:name w:val="Unresolved Mention"/>
    <w:basedOn w:val="Sjlfgefinleturgermlsgreinar"/>
    <w:uiPriority w:val="99"/>
    <w:rsid w:val="00BC445E"/>
    <w:rPr>
      <w:color w:val="808080"/>
      <w:shd w:val="clear" w:color="auto" w:fill="E6E6E6"/>
    </w:rPr>
  </w:style>
  <w:style w:type="paragraph" w:styleId="Suhaus">
    <w:name w:val="header"/>
    <w:basedOn w:val="Venjulegur"/>
    <w:link w:val="SuhausStaf"/>
    <w:uiPriority w:val="99"/>
    <w:unhideWhenUsed/>
    <w:rsid w:val="009140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914070"/>
  </w:style>
  <w:style w:type="paragraph" w:styleId="Suftur">
    <w:name w:val="footer"/>
    <w:basedOn w:val="Venjulegur"/>
    <w:link w:val="SufturStaf"/>
    <w:uiPriority w:val="99"/>
    <w:unhideWhenUsed/>
    <w:rsid w:val="009140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SufturStaf">
    <w:name w:val="Síðufótur Staf"/>
    <w:basedOn w:val="Sjlfgefinleturgermlsgreinar"/>
    <w:link w:val="Suftur"/>
    <w:uiPriority w:val="99"/>
    <w:rsid w:val="00914070"/>
  </w:style>
  <w:style w:type="character" w:styleId="Tilvsunathugasemd">
    <w:name w:val="annotation reference"/>
    <w:basedOn w:val="Sjlfgefinleturgermlsgreinar"/>
    <w:uiPriority w:val="99"/>
    <w:semiHidden/>
    <w:unhideWhenUsed/>
    <w:rsid w:val="004368F5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4368F5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4368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4368F5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4368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368F5"/>
    <w:rPr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368F5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hersla">
    <w:name w:val="Emphasis"/>
    <w:basedOn w:val="Sjlfgefinleturgermlsgreinar"/>
    <w:uiPriority w:val="20"/>
    <w:qFormat/>
    <w:rsid w:val="0014174A"/>
    <w:rPr>
      <w:i/>
      <w:iCs/>
    </w:rPr>
  </w:style>
  <w:style w:type="table" w:styleId="Hnitanettflu">
    <w:name w:val="Table Grid"/>
    <w:basedOn w:val="Tafla-venjuleg"/>
    <w:uiPriority w:val="39"/>
    <w:rsid w:val="0014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14174A"/>
    <w:pPr>
      <w:ind w:left="720"/>
      <w:contextualSpacing/>
    </w:p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EB73B2"/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EB73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EB73B2"/>
    <w:rPr>
      <w:vertAlign w:val="superscript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EE19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371">
          <w:marLeft w:val="75"/>
          <w:marRight w:val="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Gísladóttir</dc:creator>
  <cp:keywords/>
  <dc:description/>
  <cp:lastModifiedBy>Jóhanna María Sigmundsdóttir</cp:lastModifiedBy>
  <cp:revision>2</cp:revision>
  <dcterms:created xsi:type="dcterms:W3CDTF">2019-12-05T20:00:00Z</dcterms:created>
  <dcterms:modified xsi:type="dcterms:W3CDTF">2019-12-05T20:00:00Z</dcterms:modified>
</cp:coreProperties>
</file>