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0767" w14:textId="77777777" w:rsidR="007667F3" w:rsidRPr="001960EA" w:rsidRDefault="007667F3" w:rsidP="007667F3">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0E93DCA7" w14:textId="77777777" w:rsidR="007667F3" w:rsidRPr="001960EA" w:rsidRDefault="007667F3" w:rsidP="007667F3">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5984AB2A" w14:textId="77777777" w:rsidR="007667F3" w:rsidRPr="001960EA" w:rsidRDefault="007667F3" w:rsidP="007667F3">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51A74273" w14:textId="77777777" w:rsidR="007667F3" w:rsidRPr="001960EA" w:rsidRDefault="007667F3" w:rsidP="007667F3">
      <w:pPr>
        <w:ind w:left="-360"/>
        <w:jc w:val="right"/>
        <w:rPr>
          <w:rFonts w:asciiTheme="minorHAnsi" w:hAnsiTheme="minorHAnsi" w:cstheme="minorHAnsi"/>
          <w:b/>
          <w:sz w:val="22"/>
          <w:szCs w:val="22"/>
        </w:rPr>
      </w:pPr>
      <w:r w:rsidRPr="001960EA">
        <w:rPr>
          <w:rFonts w:asciiTheme="minorHAnsi" w:hAnsiTheme="minorHAnsi" w:cstheme="minorHAnsi"/>
          <w:sz w:val="22"/>
          <w:szCs w:val="22"/>
        </w:rPr>
        <w:t xml:space="preserve">                                </w:t>
      </w:r>
    </w:p>
    <w:p w14:paraId="18AD079A" w14:textId="77777777" w:rsidR="007667F3" w:rsidRDefault="007667F3" w:rsidP="007667F3">
      <w:pPr>
        <w:ind w:left="-360" w:firstLine="360"/>
        <w:jc w:val="both"/>
        <w:rPr>
          <w:rFonts w:asciiTheme="minorHAnsi" w:hAnsiTheme="minorHAnsi" w:cstheme="minorHAnsi"/>
          <w:sz w:val="22"/>
          <w:szCs w:val="22"/>
        </w:rPr>
      </w:pPr>
      <w:proofErr w:type="spellStart"/>
      <w:r>
        <w:rPr>
          <w:rFonts w:asciiTheme="minorHAnsi" w:hAnsiTheme="minorHAnsi" w:cstheme="minorHAnsi"/>
          <w:sz w:val="22"/>
          <w:szCs w:val="22"/>
        </w:rPr>
        <w:t>Heilbrigsráðuneytið</w:t>
      </w:r>
      <w:proofErr w:type="spellEnd"/>
    </w:p>
    <w:p w14:paraId="41095FE9" w14:textId="63E850FE" w:rsidR="007667F3" w:rsidRPr="001960EA" w:rsidRDefault="007667F3" w:rsidP="007667F3">
      <w:pPr>
        <w:ind w:left="-360" w:firstLine="360"/>
        <w:jc w:val="both"/>
        <w:rPr>
          <w:rFonts w:asciiTheme="minorHAnsi" w:hAnsiTheme="minorHAnsi" w:cstheme="minorHAnsi"/>
          <w:sz w:val="22"/>
          <w:szCs w:val="22"/>
        </w:rPr>
      </w:pPr>
      <w:r>
        <w:rPr>
          <w:rFonts w:asciiTheme="minorHAnsi" w:hAnsiTheme="minorHAnsi" w:cstheme="minorHAnsi"/>
          <w:sz w:val="22"/>
          <w:szCs w:val="22"/>
        </w:rPr>
        <w:t xml:space="preserve">Samráðsgátt mál nr. </w:t>
      </w:r>
      <w:r w:rsidR="007820CE">
        <w:rPr>
          <w:rFonts w:asciiTheme="minorHAnsi" w:hAnsiTheme="minorHAnsi" w:cstheme="minorHAnsi"/>
          <w:sz w:val="22"/>
          <w:szCs w:val="22"/>
        </w:rPr>
        <w:t>52</w:t>
      </w:r>
      <w:r>
        <w:rPr>
          <w:rFonts w:asciiTheme="minorHAnsi" w:hAnsiTheme="minorHAnsi" w:cstheme="minorHAnsi"/>
          <w:sz w:val="22"/>
          <w:szCs w:val="22"/>
        </w:rPr>
        <w:t>/202</w:t>
      </w:r>
      <w:r w:rsidR="00E536EC">
        <w:rPr>
          <w:rFonts w:asciiTheme="minorHAnsi" w:hAnsiTheme="minorHAnsi" w:cstheme="minorHAnsi"/>
          <w:sz w:val="22"/>
          <w:szCs w:val="22"/>
        </w:rPr>
        <w:t>1</w:t>
      </w:r>
    </w:p>
    <w:p w14:paraId="1FB133A1" w14:textId="77777777" w:rsidR="007667F3" w:rsidRPr="001960EA" w:rsidRDefault="007667F3" w:rsidP="007667F3">
      <w:pPr>
        <w:ind w:left="-360"/>
        <w:jc w:val="both"/>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                                          </w:t>
      </w:r>
    </w:p>
    <w:p w14:paraId="6C1673FD" w14:textId="4976E1C8" w:rsidR="007667F3" w:rsidRPr="001960EA" w:rsidRDefault="007667F3" w:rsidP="007667F3">
      <w:pPr>
        <w:tabs>
          <w:tab w:val="left" w:pos="3285"/>
          <w:tab w:val="right" w:pos="8820"/>
        </w:tabs>
        <w:ind w:left="-360"/>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Reykjavík </w:t>
      </w:r>
      <w:r w:rsidR="007820CE">
        <w:rPr>
          <w:rFonts w:asciiTheme="minorHAnsi" w:hAnsiTheme="minorHAnsi" w:cstheme="minorHAnsi"/>
          <w:sz w:val="22"/>
          <w:szCs w:val="22"/>
        </w:rPr>
        <w:t>26</w:t>
      </w:r>
      <w:r>
        <w:rPr>
          <w:rFonts w:asciiTheme="minorHAnsi" w:hAnsiTheme="minorHAnsi" w:cstheme="minorHAnsi"/>
          <w:sz w:val="22"/>
          <w:szCs w:val="22"/>
        </w:rPr>
        <w:t>.</w:t>
      </w:r>
      <w:r w:rsidRPr="001960EA">
        <w:rPr>
          <w:rFonts w:asciiTheme="minorHAnsi" w:hAnsiTheme="minorHAnsi" w:cstheme="minorHAnsi"/>
          <w:sz w:val="22"/>
          <w:szCs w:val="22"/>
        </w:rPr>
        <w:t xml:space="preserve"> </w:t>
      </w:r>
      <w:r w:rsidR="00E536EC">
        <w:rPr>
          <w:rFonts w:asciiTheme="minorHAnsi" w:hAnsiTheme="minorHAnsi" w:cstheme="minorHAnsi"/>
          <w:sz w:val="22"/>
          <w:szCs w:val="22"/>
        </w:rPr>
        <w:t>febr</w:t>
      </w:r>
      <w:r>
        <w:rPr>
          <w:rFonts w:asciiTheme="minorHAnsi" w:hAnsiTheme="minorHAnsi" w:cstheme="minorHAnsi"/>
          <w:sz w:val="22"/>
          <w:szCs w:val="22"/>
        </w:rPr>
        <w:t>úar</w:t>
      </w:r>
      <w:r w:rsidRPr="001960EA">
        <w:rPr>
          <w:rFonts w:asciiTheme="minorHAnsi" w:hAnsiTheme="minorHAnsi" w:cstheme="minorHAnsi"/>
          <w:sz w:val="22"/>
          <w:szCs w:val="22"/>
        </w:rPr>
        <w:t xml:space="preserve"> 202</w:t>
      </w:r>
      <w:r>
        <w:rPr>
          <w:rFonts w:asciiTheme="minorHAnsi" w:hAnsiTheme="minorHAnsi" w:cstheme="minorHAnsi"/>
          <w:sz w:val="22"/>
          <w:szCs w:val="22"/>
        </w:rPr>
        <w:t>1</w:t>
      </w:r>
    </w:p>
    <w:p w14:paraId="346C9C35" w14:textId="77777777" w:rsidR="007667F3" w:rsidRPr="001960EA" w:rsidRDefault="007667F3" w:rsidP="007667F3">
      <w:pPr>
        <w:shd w:val="clear" w:color="auto" w:fill="FFFFFF"/>
        <w:jc w:val="right"/>
        <w:rPr>
          <w:rFonts w:asciiTheme="minorHAnsi" w:hAnsiTheme="minorHAnsi" w:cstheme="minorHAnsi"/>
          <w:b/>
          <w:sz w:val="22"/>
          <w:szCs w:val="22"/>
        </w:rPr>
      </w:pPr>
    </w:p>
    <w:p w14:paraId="45B17B4A" w14:textId="77777777" w:rsidR="007667F3" w:rsidRPr="001960EA" w:rsidRDefault="007667F3" w:rsidP="007667F3">
      <w:pPr>
        <w:shd w:val="clear" w:color="auto" w:fill="FFFFFF"/>
        <w:rPr>
          <w:rFonts w:asciiTheme="minorHAnsi" w:hAnsiTheme="minorHAnsi" w:cstheme="minorHAnsi"/>
          <w:b/>
          <w:sz w:val="22"/>
          <w:szCs w:val="22"/>
        </w:rPr>
      </w:pPr>
    </w:p>
    <w:p w14:paraId="44D39E26" w14:textId="77777777" w:rsidR="007667F3" w:rsidRPr="001960EA" w:rsidRDefault="007667F3" w:rsidP="007667F3">
      <w:pPr>
        <w:shd w:val="clear" w:color="auto" w:fill="FFFFFF"/>
        <w:rPr>
          <w:rFonts w:asciiTheme="minorHAnsi" w:hAnsiTheme="minorHAnsi" w:cstheme="minorHAnsi"/>
          <w:b/>
          <w:sz w:val="22"/>
          <w:szCs w:val="22"/>
        </w:rPr>
      </w:pPr>
    </w:p>
    <w:p w14:paraId="0566F099" w14:textId="77777777" w:rsidR="007667F3" w:rsidRPr="001960EA" w:rsidRDefault="007667F3" w:rsidP="007667F3">
      <w:pPr>
        <w:shd w:val="clear" w:color="auto" w:fill="FFFFFF"/>
        <w:rPr>
          <w:rFonts w:asciiTheme="minorHAnsi" w:hAnsiTheme="minorHAnsi" w:cstheme="minorHAnsi"/>
          <w:b/>
          <w:sz w:val="22"/>
          <w:szCs w:val="22"/>
        </w:rPr>
      </w:pPr>
    </w:p>
    <w:p w14:paraId="5928DA6C" w14:textId="77777777" w:rsidR="007667F3" w:rsidRPr="001960EA" w:rsidRDefault="007667F3" w:rsidP="007667F3">
      <w:pPr>
        <w:shd w:val="clear" w:color="auto" w:fill="FFFFFF"/>
        <w:rPr>
          <w:rFonts w:asciiTheme="minorHAnsi" w:hAnsiTheme="minorHAnsi" w:cstheme="minorHAnsi"/>
          <w:b/>
          <w:sz w:val="22"/>
          <w:szCs w:val="22"/>
        </w:rPr>
      </w:pPr>
    </w:p>
    <w:p w14:paraId="0F504DF5" w14:textId="77777777" w:rsidR="007667F3" w:rsidRPr="001960EA" w:rsidRDefault="007667F3" w:rsidP="007667F3">
      <w:pPr>
        <w:shd w:val="clear" w:color="auto" w:fill="FFFFFF"/>
        <w:rPr>
          <w:rFonts w:asciiTheme="minorHAnsi" w:hAnsiTheme="minorHAnsi" w:cstheme="minorHAnsi"/>
          <w:b/>
          <w:sz w:val="22"/>
          <w:szCs w:val="22"/>
        </w:rPr>
      </w:pPr>
    </w:p>
    <w:p w14:paraId="16CB78FD" w14:textId="77777777" w:rsidR="007667F3" w:rsidRPr="001960EA" w:rsidRDefault="007667F3" w:rsidP="007667F3">
      <w:pPr>
        <w:shd w:val="clear" w:color="auto" w:fill="FFFFFF"/>
        <w:rPr>
          <w:rFonts w:asciiTheme="minorHAnsi" w:hAnsiTheme="minorHAnsi" w:cstheme="minorHAnsi"/>
          <w:b/>
          <w:sz w:val="22"/>
          <w:szCs w:val="22"/>
        </w:rPr>
      </w:pPr>
    </w:p>
    <w:p w14:paraId="16ED323E" w14:textId="77777777" w:rsidR="007667F3" w:rsidRPr="001960EA" w:rsidRDefault="007667F3" w:rsidP="007667F3">
      <w:pPr>
        <w:shd w:val="clear" w:color="auto" w:fill="FFFFFF"/>
        <w:rPr>
          <w:rFonts w:asciiTheme="minorHAnsi" w:hAnsiTheme="minorHAnsi" w:cstheme="minorHAnsi"/>
          <w:b/>
          <w:sz w:val="22"/>
          <w:szCs w:val="22"/>
        </w:rPr>
      </w:pPr>
    </w:p>
    <w:p w14:paraId="24AD2E12" w14:textId="77777777" w:rsidR="007667F3" w:rsidRPr="001960EA" w:rsidRDefault="007667F3" w:rsidP="007667F3">
      <w:pPr>
        <w:shd w:val="clear" w:color="auto" w:fill="FFFFFF"/>
        <w:rPr>
          <w:rFonts w:asciiTheme="minorHAnsi" w:hAnsiTheme="minorHAnsi" w:cstheme="minorHAnsi"/>
          <w:sz w:val="22"/>
          <w:szCs w:val="22"/>
        </w:rPr>
      </w:pPr>
    </w:p>
    <w:p w14:paraId="22CD2F33" w14:textId="4256ABF6" w:rsidR="007667F3" w:rsidRPr="001960EA" w:rsidRDefault="007667F3" w:rsidP="007667F3">
      <w:pPr>
        <w:shd w:val="clear" w:color="auto" w:fill="FFFFFF"/>
        <w:rPr>
          <w:rFonts w:asciiTheme="minorHAnsi" w:hAnsiTheme="minorHAnsi" w:cstheme="minorHAnsi"/>
          <w:color w:val="242424"/>
          <w:sz w:val="22"/>
          <w:szCs w:val="22"/>
          <w:lang w:eastAsia="is-IS"/>
        </w:rPr>
      </w:pPr>
      <w:r w:rsidRPr="001960EA">
        <w:rPr>
          <w:rFonts w:asciiTheme="minorHAnsi" w:hAnsiTheme="minorHAnsi" w:cstheme="minorHAnsi"/>
          <w:sz w:val="22"/>
          <w:szCs w:val="22"/>
        </w:rPr>
        <w:t>Meðfylgjandi er</w:t>
      </w:r>
      <w:r>
        <w:rPr>
          <w:rFonts w:asciiTheme="minorHAnsi" w:hAnsiTheme="minorHAnsi" w:cstheme="minorHAnsi"/>
          <w:sz w:val="22"/>
          <w:szCs w:val="22"/>
        </w:rPr>
        <w:t xml:space="preserve"> umsögn</w:t>
      </w:r>
      <w:r w:rsidRPr="001960EA">
        <w:rPr>
          <w:rFonts w:asciiTheme="minorHAnsi" w:hAnsiTheme="minorHAnsi" w:cstheme="minorHAnsi"/>
          <w:sz w:val="22"/>
          <w:szCs w:val="22"/>
        </w:rPr>
        <w:t xml:space="preserve"> Barnaheilla - Save the Children á Íslandi um </w:t>
      </w:r>
      <w:r w:rsidR="007820CE">
        <w:rPr>
          <w:rFonts w:asciiTheme="minorHAnsi" w:hAnsiTheme="minorHAnsi" w:cstheme="minorHAnsi"/>
          <w:sz w:val="22"/>
          <w:szCs w:val="22"/>
        </w:rPr>
        <w:t>drög að</w:t>
      </w:r>
      <w:r w:rsidR="00E536EC">
        <w:rPr>
          <w:rFonts w:asciiTheme="minorHAnsi" w:hAnsiTheme="minorHAnsi" w:cstheme="minorHAnsi"/>
          <w:sz w:val="22"/>
          <w:szCs w:val="22"/>
        </w:rPr>
        <w:t xml:space="preserve"> frumvarp</w:t>
      </w:r>
      <w:r w:rsidR="007820CE">
        <w:rPr>
          <w:rFonts w:asciiTheme="minorHAnsi" w:hAnsiTheme="minorHAnsi" w:cstheme="minorHAnsi"/>
          <w:sz w:val="22"/>
          <w:szCs w:val="22"/>
        </w:rPr>
        <w:t>i</w:t>
      </w:r>
      <w:r w:rsidR="00E536EC">
        <w:rPr>
          <w:rFonts w:asciiTheme="minorHAnsi" w:hAnsiTheme="minorHAnsi" w:cstheme="minorHAnsi"/>
          <w:sz w:val="22"/>
          <w:szCs w:val="22"/>
        </w:rPr>
        <w:t xml:space="preserve"> til laga um breytingu á lögum um ávana- og fíkniefni nr. 65/1974 (</w:t>
      </w:r>
      <w:proofErr w:type="spellStart"/>
      <w:r w:rsidR="00E536EC">
        <w:rPr>
          <w:rFonts w:asciiTheme="minorHAnsi" w:hAnsiTheme="minorHAnsi" w:cstheme="minorHAnsi"/>
          <w:sz w:val="22"/>
          <w:szCs w:val="22"/>
        </w:rPr>
        <w:t>afglæpavæðing</w:t>
      </w:r>
      <w:proofErr w:type="spellEnd"/>
      <w:r w:rsidR="00E536EC">
        <w:rPr>
          <w:rFonts w:asciiTheme="minorHAnsi" w:hAnsiTheme="minorHAnsi" w:cstheme="minorHAnsi"/>
          <w:sz w:val="22"/>
          <w:szCs w:val="22"/>
        </w:rPr>
        <w:t xml:space="preserve"> neysluskammta)</w:t>
      </w:r>
      <w:r>
        <w:rPr>
          <w:rFonts w:asciiTheme="minorHAnsi" w:hAnsiTheme="minorHAnsi" w:cstheme="minorHAnsi"/>
          <w:sz w:val="22"/>
          <w:szCs w:val="22"/>
        </w:rPr>
        <w:t>.</w:t>
      </w:r>
      <w:r w:rsidRPr="001960EA">
        <w:rPr>
          <w:rFonts w:asciiTheme="minorHAnsi" w:hAnsiTheme="minorHAnsi" w:cstheme="minorHAnsi"/>
          <w:sz w:val="22"/>
          <w:szCs w:val="22"/>
        </w:rPr>
        <w:t xml:space="preserve"> </w:t>
      </w:r>
    </w:p>
    <w:p w14:paraId="34987605" w14:textId="77777777" w:rsidR="007667F3" w:rsidRDefault="007667F3" w:rsidP="007667F3">
      <w:pPr>
        <w:rPr>
          <w:rFonts w:asciiTheme="minorHAnsi" w:eastAsiaTheme="minorHAnsi" w:hAnsiTheme="minorHAnsi" w:cstheme="minorHAnsi"/>
          <w:sz w:val="22"/>
          <w:szCs w:val="22"/>
        </w:rPr>
      </w:pPr>
    </w:p>
    <w:p w14:paraId="57F46406" w14:textId="77777777" w:rsidR="007667F3" w:rsidRDefault="007667F3" w:rsidP="007667F3">
      <w:pPr>
        <w:rPr>
          <w:rFonts w:asciiTheme="minorHAnsi" w:eastAsiaTheme="minorHAnsi" w:hAnsiTheme="minorHAnsi" w:cstheme="minorHAnsi"/>
          <w:sz w:val="22"/>
          <w:szCs w:val="22"/>
        </w:rPr>
      </w:pPr>
    </w:p>
    <w:p w14:paraId="55AE1B96" w14:textId="77777777" w:rsidR="007667F3" w:rsidRPr="001960EA" w:rsidRDefault="007667F3" w:rsidP="007667F3">
      <w:pPr>
        <w:rPr>
          <w:rFonts w:asciiTheme="minorHAnsi" w:eastAsiaTheme="minorHAnsi" w:hAnsiTheme="minorHAnsi" w:cstheme="minorHAnsi"/>
          <w:sz w:val="22"/>
          <w:szCs w:val="22"/>
        </w:rPr>
      </w:pPr>
    </w:p>
    <w:p w14:paraId="1365286E" w14:textId="77777777" w:rsidR="007667F3" w:rsidRPr="001960EA" w:rsidRDefault="007667F3" w:rsidP="007667F3">
      <w:pPr>
        <w:spacing w:after="240"/>
        <w:rPr>
          <w:rFonts w:asciiTheme="minorHAnsi" w:hAnsiTheme="minorHAnsi" w:cstheme="minorHAnsi"/>
          <w:sz w:val="22"/>
          <w:szCs w:val="22"/>
          <w:lang w:eastAsia="is-IS"/>
        </w:rPr>
      </w:pPr>
    </w:p>
    <w:p w14:paraId="2ACCBCC2" w14:textId="77777777" w:rsidR="007667F3" w:rsidRPr="001960EA" w:rsidRDefault="007667F3" w:rsidP="007667F3">
      <w:pPr>
        <w:ind w:left="-360" w:firstLine="360"/>
        <w:jc w:val="both"/>
        <w:rPr>
          <w:rFonts w:asciiTheme="minorHAnsi" w:hAnsiTheme="minorHAnsi" w:cstheme="minorHAnsi"/>
          <w:sz w:val="22"/>
          <w:szCs w:val="22"/>
        </w:rPr>
      </w:pPr>
    </w:p>
    <w:p w14:paraId="0B722C2E" w14:textId="77777777" w:rsidR="007667F3" w:rsidRPr="001960EA" w:rsidRDefault="007667F3" w:rsidP="007667F3">
      <w:pPr>
        <w:ind w:left="-360" w:firstLine="360"/>
        <w:jc w:val="both"/>
        <w:rPr>
          <w:rFonts w:asciiTheme="minorHAnsi" w:hAnsiTheme="minorHAnsi" w:cstheme="minorHAnsi"/>
          <w:sz w:val="22"/>
          <w:szCs w:val="22"/>
        </w:rPr>
      </w:pPr>
    </w:p>
    <w:p w14:paraId="3615A20D" w14:textId="77777777" w:rsidR="007667F3" w:rsidRPr="001960EA" w:rsidRDefault="007667F3" w:rsidP="007667F3">
      <w:pPr>
        <w:ind w:left="-360" w:firstLine="360"/>
        <w:jc w:val="both"/>
        <w:rPr>
          <w:rFonts w:asciiTheme="minorHAnsi" w:hAnsiTheme="minorHAnsi" w:cstheme="minorHAnsi"/>
          <w:sz w:val="22"/>
          <w:szCs w:val="22"/>
        </w:rPr>
      </w:pPr>
    </w:p>
    <w:p w14:paraId="76F68F2E" w14:textId="77777777" w:rsidR="007667F3" w:rsidRPr="001960EA" w:rsidRDefault="007667F3" w:rsidP="007667F3">
      <w:pPr>
        <w:ind w:left="-360" w:firstLine="360"/>
        <w:jc w:val="both"/>
        <w:rPr>
          <w:rFonts w:asciiTheme="minorHAnsi" w:hAnsiTheme="minorHAnsi" w:cstheme="minorHAnsi"/>
          <w:sz w:val="22"/>
          <w:szCs w:val="22"/>
        </w:rPr>
      </w:pPr>
    </w:p>
    <w:p w14:paraId="6BDFDC55" w14:textId="77777777" w:rsidR="007667F3" w:rsidRPr="001960EA" w:rsidRDefault="007667F3" w:rsidP="007667F3">
      <w:pPr>
        <w:jc w:val="both"/>
        <w:rPr>
          <w:rFonts w:asciiTheme="minorHAnsi" w:hAnsiTheme="minorHAnsi" w:cstheme="minorHAnsi"/>
          <w:sz w:val="22"/>
          <w:szCs w:val="22"/>
        </w:rPr>
      </w:pPr>
    </w:p>
    <w:p w14:paraId="06149634" w14:textId="77777777" w:rsidR="007667F3" w:rsidRPr="001960EA" w:rsidRDefault="007667F3" w:rsidP="007667F3">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Virðingarfyllst,</w:t>
      </w:r>
    </w:p>
    <w:p w14:paraId="5ED2FCF7" w14:textId="77777777" w:rsidR="007667F3" w:rsidRPr="001960EA" w:rsidRDefault="007667F3" w:rsidP="007667F3">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f.h. Barnaheilla - Save the Children á Íslandi</w:t>
      </w:r>
    </w:p>
    <w:p w14:paraId="5F3F72C9" w14:textId="77777777" w:rsidR="007667F3" w:rsidRPr="001960EA" w:rsidRDefault="007667F3" w:rsidP="007667F3">
      <w:pPr>
        <w:ind w:left="-360"/>
        <w:jc w:val="center"/>
        <w:rPr>
          <w:rFonts w:asciiTheme="minorHAnsi" w:hAnsiTheme="minorHAnsi" w:cstheme="minorHAnsi"/>
          <w:sz w:val="22"/>
          <w:szCs w:val="22"/>
        </w:rPr>
      </w:pPr>
    </w:p>
    <w:p w14:paraId="202367CE" w14:textId="77777777" w:rsidR="007667F3" w:rsidRPr="001960EA" w:rsidRDefault="007667F3" w:rsidP="007667F3">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Erna Reynisdóttir,</w:t>
      </w:r>
    </w:p>
    <w:p w14:paraId="09521B10" w14:textId="77777777" w:rsidR="007667F3" w:rsidRPr="001960EA" w:rsidRDefault="007667F3" w:rsidP="007667F3">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framkvæmdastjóri</w:t>
      </w:r>
    </w:p>
    <w:p w14:paraId="2DE4E465" w14:textId="77777777" w:rsidR="007667F3" w:rsidRPr="001960EA" w:rsidRDefault="007667F3" w:rsidP="007667F3">
      <w:pPr>
        <w:spacing w:after="160" w:line="259" w:lineRule="auto"/>
        <w:rPr>
          <w:rFonts w:asciiTheme="minorHAnsi" w:hAnsiTheme="minorHAnsi" w:cstheme="minorHAnsi"/>
          <w:sz w:val="22"/>
          <w:szCs w:val="22"/>
        </w:rPr>
      </w:pPr>
      <w:r w:rsidRPr="001960EA">
        <w:rPr>
          <w:rFonts w:asciiTheme="minorHAnsi" w:hAnsiTheme="minorHAnsi" w:cstheme="minorHAnsi"/>
          <w:sz w:val="22"/>
          <w:szCs w:val="22"/>
        </w:rPr>
        <w:br w:type="page"/>
      </w:r>
    </w:p>
    <w:p w14:paraId="411AB748" w14:textId="3535FED0" w:rsidR="007667F3" w:rsidRPr="0080206A" w:rsidRDefault="007667F3" w:rsidP="007667F3">
      <w:pPr>
        <w:jc w:val="center"/>
        <w:rPr>
          <w:rFonts w:asciiTheme="minorHAnsi" w:hAnsiTheme="minorHAnsi" w:cstheme="minorHAnsi"/>
          <w:b/>
          <w:bCs/>
          <w:color w:val="000000"/>
          <w:sz w:val="22"/>
          <w:szCs w:val="22"/>
          <w:lang w:eastAsia="is-IS"/>
        </w:rPr>
      </w:pPr>
      <w:r w:rsidRPr="00FE1936">
        <w:rPr>
          <w:rFonts w:asciiTheme="minorHAnsi" w:hAnsiTheme="minorHAnsi" w:cstheme="minorHAnsi"/>
          <w:b/>
          <w:bCs/>
          <w:sz w:val="22"/>
          <w:szCs w:val="22"/>
        </w:rPr>
        <w:lastRenderedPageBreak/>
        <w:t xml:space="preserve">Umsögn Barnaheilla - Save the Children á Íslandi </w:t>
      </w:r>
      <w:bookmarkStart w:id="0" w:name="_Hlk64374996"/>
      <w:r w:rsidRPr="00FE1936">
        <w:rPr>
          <w:rFonts w:asciiTheme="minorHAnsi" w:hAnsiTheme="minorHAnsi" w:cstheme="minorHAnsi"/>
          <w:b/>
          <w:bCs/>
          <w:sz w:val="22"/>
          <w:szCs w:val="22"/>
        </w:rPr>
        <w:t xml:space="preserve">um </w:t>
      </w:r>
      <w:r w:rsidR="007820CE">
        <w:rPr>
          <w:rFonts w:asciiTheme="minorHAnsi" w:hAnsiTheme="minorHAnsi" w:cstheme="minorHAnsi"/>
          <w:b/>
          <w:bCs/>
          <w:sz w:val="22"/>
          <w:szCs w:val="22"/>
        </w:rPr>
        <w:t>drög að</w:t>
      </w:r>
      <w:r w:rsidR="00FE1936" w:rsidRPr="00FE1936">
        <w:rPr>
          <w:rFonts w:asciiTheme="minorHAnsi" w:hAnsiTheme="minorHAnsi" w:cstheme="minorHAnsi"/>
          <w:b/>
          <w:bCs/>
          <w:sz w:val="22"/>
          <w:szCs w:val="22"/>
        </w:rPr>
        <w:t xml:space="preserve"> frumvarp</w:t>
      </w:r>
      <w:r w:rsidR="007820CE">
        <w:rPr>
          <w:rFonts w:asciiTheme="minorHAnsi" w:hAnsiTheme="minorHAnsi" w:cstheme="minorHAnsi"/>
          <w:b/>
          <w:bCs/>
          <w:sz w:val="22"/>
          <w:szCs w:val="22"/>
        </w:rPr>
        <w:t>i</w:t>
      </w:r>
      <w:r w:rsidR="00FE1936" w:rsidRPr="00FE1936">
        <w:rPr>
          <w:rFonts w:asciiTheme="minorHAnsi" w:hAnsiTheme="minorHAnsi" w:cstheme="minorHAnsi"/>
          <w:b/>
          <w:bCs/>
          <w:sz w:val="22"/>
          <w:szCs w:val="22"/>
        </w:rPr>
        <w:t xml:space="preserve"> til laga um breytingu á lögum um ávana- og fíkniefni nr. 65/1974 (</w:t>
      </w:r>
      <w:proofErr w:type="spellStart"/>
      <w:r w:rsidR="00FE1936" w:rsidRPr="00FE1936">
        <w:rPr>
          <w:rFonts w:asciiTheme="minorHAnsi" w:hAnsiTheme="minorHAnsi" w:cstheme="minorHAnsi"/>
          <w:b/>
          <w:bCs/>
          <w:sz w:val="22"/>
          <w:szCs w:val="22"/>
        </w:rPr>
        <w:t>afglæpavæðing</w:t>
      </w:r>
      <w:proofErr w:type="spellEnd"/>
      <w:r w:rsidR="00FE1936" w:rsidRPr="00FE1936">
        <w:rPr>
          <w:rFonts w:asciiTheme="minorHAnsi" w:hAnsiTheme="minorHAnsi" w:cstheme="minorHAnsi"/>
          <w:b/>
          <w:bCs/>
          <w:sz w:val="22"/>
          <w:szCs w:val="22"/>
        </w:rPr>
        <w:t xml:space="preserve"> neysluskammta)</w:t>
      </w:r>
      <w:bookmarkEnd w:id="0"/>
      <w:r>
        <w:rPr>
          <w:rFonts w:asciiTheme="minorHAnsi" w:hAnsiTheme="minorHAnsi" w:cstheme="minorHAnsi"/>
          <w:b/>
          <w:bCs/>
          <w:sz w:val="22"/>
          <w:szCs w:val="22"/>
        </w:rPr>
        <w:t>.</w:t>
      </w:r>
    </w:p>
    <w:p w14:paraId="529D4A80" w14:textId="77777777" w:rsidR="007667F3" w:rsidRPr="001960EA" w:rsidRDefault="007667F3" w:rsidP="00C776FE">
      <w:pPr>
        <w:rPr>
          <w:rFonts w:asciiTheme="minorHAnsi" w:hAnsiTheme="minorHAnsi" w:cstheme="minorHAnsi"/>
          <w:b/>
          <w:sz w:val="22"/>
          <w:szCs w:val="22"/>
        </w:rPr>
      </w:pPr>
    </w:p>
    <w:p w14:paraId="773FF9EC" w14:textId="77777777" w:rsidR="007667F3" w:rsidRDefault="007667F3" w:rsidP="007667F3">
      <w:pPr>
        <w:ind w:left="-360"/>
        <w:rPr>
          <w:rFonts w:asciiTheme="minorHAnsi" w:hAnsiTheme="minorHAnsi" w:cstheme="minorHAnsi"/>
          <w:sz w:val="22"/>
          <w:szCs w:val="22"/>
        </w:rPr>
      </w:pPr>
      <w:r w:rsidRPr="001960EA">
        <w:rPr>
          <w:rFonts w:asciiTheme="minorHAnsi" w:hAnsiTheme="minorHAnsi" w:cstheme="minorHAnsi"/>
          <w:sz w:val="22"/>
          <w:szCs w:val="22"/>
        </w:rPr>
        <w:t xml:space="preserve">Barnaheill – Save the Children á Íslandi þakka fyrir boð um að senda inn athugasemdir við </w:t>
      </w:r>
      <w:r>
        <w:rPr>
          <w:rFonts w:asciiTheme="minorHAnsi" w:hAnsiTheme="minorHAnsi" w:cstheme="minorHAnsi"/>
          <w:sz w:val="22"/>
          <w:szCs w:val="22"/>
        </w:rPr>
        <w:t>ofangreint mál.</w:t>
      </w:r>
    </w:p>
    <w:p w14:paraId="66779756" w14:textId="70F3BE1C" w:rsidR="007667F3" w:rsidRDefault="007667F3" w:rsidP="007667F3">
      <w:pPr>
        <w:ind w:left="-360"/>
        <w:rPr>
          <w:rFonts w:asciiTheme="minorHAnsi" w:hAnsiTheme="minorHAnsi" w:cstheme="minorHAnsi"/>
          <w:sz w:val="22"/>
          <w:szCs w:val="22"/>
        </w:rPr>
      </w:pPr>
    </w:p>
    <w:p w14:paraId="51D11F33" w14:textId="43565597" w:rsidR="00FE1936" w:rsidRPr="00C776FE" w:rsidRDefault="00FE1936" w:rsidP="00C776FE">
      <w:pPr>
        <w:ind w:left="-360"/>
        <w:rPr>
          <w:rFonts w:asciiTheme="minorHAnsi" w:hAnsiTheme="minorHAnsi" w:cstheme="minorHAnsi"/>
          <w:sz w:val="22"/>
          <w:szCs w:val="22"/>
        </w:rPr>
      </w:pPr>
      <w:r>
        <w:rPr>
          <w:rFonts w:asciiTheme="minorHAnsi" w:hAnsiTheme="minorHAnsi" w:cstheme="minorHAnsi"/>
          <w:sz w:val="22"/>
          <w:szCs w:val="22"/>
        </w:rPr>
        <w:t xml:space="preserve">Að mati Barnaheilla er það heillaskref ef lögum verður breytt á þann veg að einstaklingum verði ekki gerð refsing fyrir það að hafa í fórum sínum vímuefni í neysluskömmtum. Samtökin taka undir þau sjónarmið sem fram koma í umfjöllun ráðuneytisins um fyrirhugaðar lagabreytingar að mikilvægara er að styðja þá sem ánetjast hafa vímuefnum til bata fremur en að beita hörku og refsingum gagnvart því ástandi. </w:t>
      </w:r>
      <w:r w:rsidR="00C776FE">
        <w:rPr>
          <w:rFonts w:asciiTheme="minorHAnsi" w:hAnsiTheme="minorHAnsi" w:cstheme="minorHAnsi"/>
          <w:sz w:val="22"/>
          <w:szCs w:val="22"/>
        </w:rPr>
        <w:t xml:space="preserve">Barnaheill benda þó á nýjar hugmyndir um sjónarmið gagnvart vímuefnaneytendum sem hverfa frá notkun sjúklingahugtaksins. </w:t>
      </w:r>
      <w:bookmarkStart w:id="1" w:name="_Hlk64374486"/>
      <w:r>
        <w:rPr>
          <w:rFonts w:asciiTheme="minorHAnsi" w:hAnsiTheme="minorHAnsi" w:cstheme="minorHAnsi"/>
          <w:sz w:val="22"/>
          <w:szCs w:val="22"/>
        </w:rPr>
        <w:t xml:space="preserve">Líta þarf á þá sem </w:t>
      </w:r>
      <w:r w:rsidR="00402B80">
        <w:rPr>
          <w:rFonts w:asciiTheme="minorHAnsi" w:hAnsiTheme="minorHAnsi" w:cstheme="minorHAnsi"/>
          <w:sz w:val="22"/>
          <w:szCs w:val="22"/>
        </w:rPr>
        <w:t xml:space="preserve">nota og </w:t>
      </w:r>
      <w:r>
        <w:rPr>
          <w:rFonts w:asciiTheme="minorHAnsi" w:hAnsiTheme="minorHAnsi" w:cstheme="minorHAnsi"/>
          <w:sz w:val="22"/>
          <w:szCs w:val="22"/>
        </w:rPr>
        <w:t>hafa ánetjast vímuefnum</w:t>
      </w:r>
      <w:r w:rsidR="00402B80">
        <w:rPr>
          <w:rFonts w:asciiTheme="minorHAnsi" w:hAnsiTheme="minorHAnsi" w:cstheme="minorHAnsi"/>
          <w:sz w:val="22"/>
          <w:szCs w:val="22"/>
        </w:rPr>
        <w:t>,</w:t>
      </w:r>
      <w:r>
        <w:rPr>
          <w:rFonts w:asciiTheme="minorHAnsi" w:hAnsiTheme="minorHAnsi" w:cstheme="minorHAnsi"/>
          <w:sz w:val="22"/>
          <w:szCs w:val="22"/>
        </w:rPr>
        <w:t xml:space="preserve"> sem </w:t>
      </w:r>
      <w:r w:rsidR="00402B80">
        <w:rPr>
          <w:rFonts w:asciiTheme="minorHAnsi" w:hAnsiTheme="minorHAnsi" w:cstheme="minorHAnsi"/>
          <w:sz w:val="22"/>
          <w:szCs w:val="22"/>
        </w:rPr>
        <w:t xml:space="preserve">fólk með </w:t>
      </w:r>
      <w:r w:rsidR="005E5CE3">
        <w:rPr>
          <w:rFonts w:asciiTheme="minorHAnsi" w:hAnsiTheme="minorHAnsi" w:cstheme="minorHAnsi"/>
          <w:sz w:val="22"/>
          <w:szCs w:val="22"/>
        </w:rPr>
        <w:t>ákveðinn vanda vegna veikleika sem þróast hafa sem afleiðingar annarra þátta.</w:t>
      </w:r>
      <w:bookmarkEnd w:id="1"/>
      <w:r w:rsidR="00402B80">
        <w:rPr>
          <w:rFonts w:asciiTheme="minorHAnsi" w:hAnsiTheme="minorHAnsi" w:cstheme="minorHAnsi"/>
          <w:sz w:val="22"/>
          <w:szCs w:val="22"/>
        </w:rPr>
        <w:t xml:space="preserve"> Mikilvægt er að skoða vandann í samhengi; vímuefnavandann</w:t>
      </w:r>
      <w:r w:rsidR="00C776FE">
        <w:rPr>
          <w:rFonts w:asciiTheme="minorHAnsi" w:hAnsiTheme="minorHAnsi" w:cstheme="minorHAnsi"/>
          <w:sz w:val="22"/>
          <w:szCs w:val="22"/>
        </w:rPr>
        <w:t xml:space="preserve"> og </w:t>
      </w:r>
      <w:r w:rsidR="00402B80">
        <w:rPr>
          <w:rFonts w:asciiTheme="minorHAnsi" w:hAnsiTheme="minorHAnsi" w:cstheme="minorHAnsi"/>
          <w:sz w:val="22"/>
          <w:szCs w:val="22"/>
        </w:rPr>
        <w:t>ofbeldi og áföll í æsku, fremur en að líta á fólk sem</w:t>
      </w:r>
      <w:r>
        <w:rPr>
          <w:rFonts w:asciiTheme="minorHAnsi" w:hAnsiTheme="minorHAnsi" w:cstheme="minorHAnsi"/>
          <w:sz w:val="22"/>
          <w:szCs w:val="22"/>
        </w:rPr>
        <w:t xml:space="preserve"> </w:t>
      </w:r>
      <w:r w:rsidR="00C776FE">
        <w:rPr>
          <w:rFonts w:asciiTheme="minorHAnsi" w:hAnsiTheme="minorHAnsi" w:cstheme="minorHAnsi"/>
          <w:sz w:val="22"/>
          <w:szCs w:val="22"/>
        </w:rPr>
        <w:t xml:space="preserve">sjúklinga og hvað þá </w:t>
      </w:r>
      <w:r>
        <w:rPr>
          <w:rFonts w:asciiTheme="minorHAnsi" w:hAnsiTheme="minorHAnsi" w:cstheme="minorHAnsi"/>
          <w:sz w:val="22"/>
          <w:szCs w:val="22"/>
        </w:rPr>
        <w:t xml:space="preserve">glæpafólk. </w:t>
      </w:r>
      <w:proofErr w:type="spellStart"/>
      <w:r w:rsidR="00402B80">
        <w:rPr>
          <w:rFonts w:asciiTheme="minorHAnsi" w:hAnsiTheme="minorHAnsi" w:cstheme="minorHAnsi"/>
          <w:sz w:val="22"/>
          <w:szCs w:val="22"/>
        </w:rPr>
        <w:t>Fíknihvöt</w:t>
      </w:r>
      <w:proofErr w:type="spellEnd"/>
      <w:r w:rsidR="00402B80">
        <w:rPr>
          <w:rFonts w:asciiTheme="minorHAnsi" w:hAnsiTheme="minorHAnsi" w:cstheme="minorHAnsi"/>
          <w:sz w:val="22"/>
          <w:szCs w:val="22"/>
        </w:rPr>
        <w:t xml:space="preserve"> er næstum alltaf vi</w:t>
      </w:r>
      <w:r w:rsidR="00402B80" w:rsidRPr="00402B80">
        <w:rPr>
          <w:rFonts w:asciiTheme="minorHAnsi" w:hAnsiTheme="minorHAnsi" w:cstheme="minorHAnsi"/>
          <w:sz w:val="22"/>
          <w:szCs w:val="22"/>
        </w:rPr>
        <w:t>ðbragð við tilfinningaálagi (</w:t>
      </w:r>
      <w:proofErr w:type="spellStart"/>
      <w:r w:rsidR="00402B80" w:rsidRPr="00402B80">
        <w:rPr>
          <w:rFonts w:asciiTheme="minorHAnsi" w:hAnsiTheme="minorHAnsi" w:cstheme="minorHAnsi"/>
          <w:sz w:val="22"/>
          <w:szCs w:val="22"/>
        </w:rPr>
        <w:t>Felitti</w:t>
      </w:r>
      <w:proofErr w:type="spellEnd"/>
      <w:r w:rsidR="00402B80" w:rsidRPr="00402B80">
        <w:rPr>
          <w:rFonts w:asciiTheme="minorHAnsi" w:hAnsiTheme="minorHAnsi" w:cstheme="minorHAnsi"/>
          <w:sz w:val="22"/>
          <w:szCs w:val="22"/>
        </w:rPr>
        <w:t xml:space="preserve">, 1998. Sjá grein Rótarinnar um viðfangsefnið: </w:t>
      </w:r>
      <w:hyperlink r:id="rId6" w:history="1">
        <w:r w:rsidR="00402B80" w:rsidRPr="00C776FE">
          <w:rPr>
            <w:rStyle w:val="Hyperlink"/>
            <w:rFonts w:asciiTheme="minorHAnsi" w:hAnsiTheme="minorHAnsi" w:cstheme="minorHAnsi"/>
            <w:color w:val="auto"/>
            <w:sz w:val="22"/>
            <w:szCs w:val="22"/>
          </w:rPr>
          <w:t>https://www.rotin.is/haettuleg-taugaliffraedithrahyggja/</w:t>
        </w:r>
      </w:hyperlink>
      <w:r w:rsidR="00402B80" w:rsidRPr="00C776FE">
        <w:rPr>
          <w:rFonts w:asciiTheme="minorHAnsi" w:hAnsiTheme="minorHAnsi" w:cstheme="minorHAnsi"/>
          <w:sz w:val="22"/>
          <w:szCs w:val="22"/>
        </w:rPr>
        <w:t xml:space="preserve">). </w:t>
      </w:r>
      <w:r w:rsidR="00C776FE">
        <w:rPr>
          <w:rFonts w:asciiTheme="minorHAnsi" w:hAnsiTheme="minorHAnsi" w:cstheme="minorHAnsi"/>
          <w:sz w:val="22"/>
          <w:szCs w:val="22"/>
        </w:rPr>
        <w:t xml:space="preserve">Barnaheill líta engu að síður svo á að </w:t>
      </w:r>
      <w:r w:rsidRPr="00C776FE">
        <w:rPr>
          <w:rFonts w:asciiTheme="minorHAnsi" w:hAnsiTheme="minorHAnsi" w:cstheme="minorHAnsi"/>
          <w:sz w:val="22"/>
          <w:szCs w:val="22"/>
        </w:rPr>
        <w:t xml:space="preserve">um mikilvægar </w:t>
      </w:r>
      <w:r w:rsidR="00402B80" w:rsidRPr="00C776FE">
        <w:rPr>
          <w:rFonts w:asciiTheme="minorHAnsi" w:hAnsiTheme="minorHAnsi" w:cstheme="minorHAnsi"/>
          <w:sz w:val="22"/>
          <w:szCs w:val="22"/>
        </w:rPr>
        <w:t xml:space="preserve">fyrirhugaðar </w:t>
      </w:r>
      <w:r w:rsidRPr="00C776FE">
        <w:rPr>
          <w:rFonts w:asciiTheme="minorHAnsi" w:hAnsiTheme="minorHAnsi" w:cstheme="minorHAnsi"/>
          <w:sz w:val="22"/>
          <w:szCs w:val="22"/>
        </w:rPr>
        <w:t xml:space="preserve">breytingar </w:t>
      </w:r>
      <w:r w:rsidR="00C776FE">
        <w:rPr>
          <w:rFonts w:asciiTheme="minorHAnsi" w:hAnsiTheme="minorHAnsi" w:cstheme="minorHAnsi"/>
          <w:sz w:val="22"/>
          <w:szCs w:val="22"/>
        </w:rPr>
        <w:t xml:space="preserve">sé </w:t>
      </w:r>
      <w:r w:rsidRPr="00C776FE">
        <w:rPr>
          <w:rFonts w:asciiTheme="minorHAnsi" w:hAnsiTheme="minorHAnsi" w:cstheme="minorHAnsi"/>
          <w:sz w:val="22"/>
          <w:szCs w:val="22"/>
        </w:rPr>
        <w:t>að ræða sem leiða til aukinnar mannúðar og virðingar gagnvart einstaklingum sem njóta mannréttinda</w:t>
      </w:r>
      <w:r w:rsidR="00C776FE">
        <w:rPr>
          <w:rFonts w:asciiTheme="minorHAnsi" w:hAnsiTheme="minorHAnsi" w:cstheme="minorHAnsi"/>
          <w:sz w:val="22"/>
          <w:szCs w:val="22"/>
        </w:rPr>
        <w:t xml:space="preserve"> en hvetja til þess að </w:t>
      </w:r>
      <w:r w:rsidR="007820CE">
        <w:rPr>
          <w:rFonts w:asciiTheme="minorHAnsi" w:hAnsiTheme="minorHAnsi" w:cstheme="minorHAnsi"/>
          <w:sz w:val="22"/>
          <w:szCs w:val="22"/>
        </w:rPr>
        <w:t xml:space="preserve">umfjöllun um </w:t>
      </w:r>
      <w:r w:rsidR="00A508EF">
        <w:rPr>
          <w:rFonts w:asciiTheme="minorHAnsi" w:hAnsiTheme="minorHAnsi" w:cstheme="minorHAnsi"/>
          <w:sz w:val="22"/>
          <w:szCs w:val="22"/>
        </w:rPr>
        <w:t xml:space="preserve">umrædda </w:t>
      </w:r>
      <w:r w:rsidR="00C776FE">
        <w:rPr>
          <w:rFonts w:asciiTheme="minorHAnsi" w:hAnsiTheme="minorHAnsi" w:cstheme="minorHAnsi"/>
          <w:sz w:val="22"/>
          <w:szCs w:val="22"/>
        </w:rPr>
        <w:t>orð</w:t>
      </w:r>
      <w:r w:rsidR="007820CE">
        <w:rPr>
          <w:rFonts w:asciiTheme="minorHAnsi" w:hAnsiTheme="minorHAnsi" w:cstheme="minorHAnsi"/>
          <w:sz w:val="22"/>
          <w:szCs w:val="22"/>
        </w:rPr>
        <w:t>a</w:t>
      </w:r>
      <w:r w:rsidR="00C776FE">
        <w:rPr>
          <w:rFonts w:asciiTheme="minorHAnsi" w:hAnsiTheme="minorHAnsi" w:cstheme="minorHAnsi"/>
          <w:sz w:val="22"/>
          <w:szCs w:val="22"/>
        </w:rPr>
        <w:t>notkun</w:t>
      </w:r>
      <w:r w:rsidR="007820CE">
        <w:rPr>
          <w:rFonts w:asciiTheme="minorHAnsi" w:hAnsiTheme="minorHAnsi" w:cstheme="minorHAnsi"/>
          <w:sz w:val="22"/>
          <w:szCs w:val="22"/>
        </w:rPr>
        <w:t xml:space="preserve"> verði bætt við greinargerðina með frumvarpinu</w:t>
      </w:r>
      <w:r w:rsidR="00C776FE">
        <w:rPr>
          <w:rFonts w:asciiTheme="minorHAnsi" w:hAnsiTheme="minorHAnsi" w:cstheme="minorHAnsi"/>
          <w:sz w:val="22"/>
          <w:szCs w:val="22"/>
        </w:rPr>
        <w:t xml:space="preserve">. </w:t>
      </w:r>
    </w:p>
    <w:p w14:paraId="29378A29" w14:textId="6FE78D2F" w:rsidR="007820CE" w:rsidRDefault="007820CE" w:rsidP="007820CE">
      <w:pPr>
        <w:ind w:left="-360"/>
        <w:rPr>
          <w:rFonts w:asciiTheme="minorHAnsi" w:hAnsiTheme="minorHAnsi" w:cstheme="minorHAnsi"/>
          <w:sz w:val="22"/>
          <w:szCs w:val="22"/>
        </w:rPr>
      </w:pPr>
      <w:r>
        <w:rPr>
          <w:rFonts w:asciiTheme="minorHAnsi" w:hAnsiTheme="minorHAnsi" w:cstheme="minorHAnsi"/>
          <w:sz w:val="22"/>
          <w:szCs w:val="22"/>
        </w:rPr>
        <w:t xml:space="preserve"> </w:t>
      </w:r>
    </w:p>
    <w:p w14:paraId="01688C6D" w14:textId="1623EDCC" w:rsidR="00FE1936" w:rsidRDefault="00B66D11" w:rsidP="007667F3">
      <w:pPr>
        <w:ind w:left="-360"/>
        <w:rPr>
          <w:rFonts w:asciiTheme="minorHAnsi" w:hAnsiTheme="minorHAnsi" w:cstheme="minorHAnsi"/>
          <w:sz w:val="22"/>
          <w:szCs w:val="22"/>
        </w:rPr>
      </w:pPr>
      <w:r>
        <w:rPr>
          <w:rFonts w:asciiTheme="minorHAnsi" w:hAnsiTheme="minorHAnsi" w:cstheme="minorHAnsi"/>
          <w:sz w:val="22"/>
          <w:szCs w:val="22"/>
        </w:rPr>
        <w:t>Barnaheil</w:t>
      </w:r>
      <w:r w:rsidR="006E32E8">
        <w:rPr>
          <w:rFonts w:asciiTheme="minorHAnsi" w:hAnsiTheme="minorHAnsi" w:cstheme="minorHAnsi"/>
          <w:sz w:val="22"/>
          <w:szCs w:val="22"/>
        </w:rPr>
        <w:t xml:space="preserve">l telja </w:t>
      </w:r>
      <w:r>
        <w:rPr>
          <w:rFonts w:asciiTheme="minorHAnsi" w:hAnsiTheme="minorHAnsi" w:cstheme="minorHAnsi"/>
          <w:sz w:val="22"/>
          <w:szCs w:val="22"/>
        </w:rPr>
        <w:t xml:space="preserve">mikilvægt að koma fram við börn sem ánetjast hafa </w:t>
      </w:r>
      <w:r w:rsidR="00C776FE">
        <w:rPr>
          <w:rFonts w:asciiTheme="minorHAnsi" w:hAnsiTheme="minorHAnsi" w:cstheme="minorHAnsi"/>
          <w:sz w:val="22"/>
          <w:szCs w:val="22"/>
        </w:rPr>
        <w:t>vímu</w:t>
      </w:r>
      <w:r>
        <w:rPr>
          <w:rFonts w:asciiTheme="minorHAnsi" w:hAnsiTheme="minorHAnsi" w:cstheme="minorHAnsi"/>
          <w:sz w:val="22"/>
          <w:szCs w:val="22"/>
        </w:rPr>
        <w:t xml:space="preserve">efnum sem börn sem þurfa stuðning og virðingu, sem börn sem </w:t>
      </w:r>
      <w:r w:rsidR="00402B80">
        <w:rPr>
          <w:rFonts w:asciiTheme="minorHAnsi" w:hAnsiTheme="minorHAnsi" w:cstheme="minorHAnsi"/>
          <w:sz w:val="22"/>
          <w:szCs w:val="22"/>
        </w:rPr>
        <w:t>að öllum líkindum þurfa að vinna úr áföllum sínum til að sigrast á vandanum</w:t>
      </w:r>
      <w:r>
        <w:rPr>
          <w:rFonts w:asciiTheme="minorHAnsi" w:hAnsiTheme="minorHAnsi" w:cstheme="minorHAnsi"/>
          <w:sz w:val="22"/>
          <w:szCs w:val="22"/>
        </w:rPr>
        <w:t xml:space="preserve">, rétt eins og hinir fullorðnu. </w:t>
      </w:r>
      <w:r w:rsidR="00990330">
        <w:rPr>
          <w:rFonts w:asciiTheme="minorHAnsi" w:hAnsiTheme="minorHAnsi" w:cstheme="minorHAnsi"/>
          <w:sz w:val="22"/>
          <w:szCs w:val="22"/>
        </w:rPr>
        <w:t>Þeim ber ekki að gera refsingu við því að hafa í fórum sínum neysluskammta vímuefna fremur en fullorðnum.</w:t>
      </w:r>
      <w:r w:rsidR="006E32E8">
        <w:rPr>
          <w:rFonts w:asciiTheme="minorHAnsi" w:hAnsiTheme="minorHAnsi" w:cstheme="minorHAnsi"/>
          <w:sz w:val="22"/>
          <w:szCs w:val="22"/>
        </w:rPr>
        <w:t xml:space="preserve"> Fjalla mætti um það í greinargerð hvort börn hér á landi séu almennt sótt til saka fyrir að hafa með höndum neysluskammta</w:t>
      </w:r>
      <w:r w:rsidR="003860E0">
        <w:rPr>
          <w:rFonts w:asciiTheme="minorHAnsi" w:hAnsiTheme="minorHAnsi" w:cstheme="minorHAnsi"/>
          <w:sz w:val="22"/>
          <w:szCs w:val="22"/>
        </w:rPr>
        <w:t xml:space="preserve"> og hvort um sé að ræða stefnubreytingu hvað varðar börn og vörslu þeirra á neysluskömmtum. Barnaheill skilja það sem svo að börnum verði skv. frumvarpinu ekki gerð refsing fyrir vörslu á neysluskömmtum vímuefna. En skýrt er skv. frumvarpinu að áfram verði heimilt að gera vímuefni sem þau hafa með höndum upptæk. Barnaheill efast um að sú framkvæmd sé til heilla en taka undir sjónarmið </w:t>
      </w:r>
      <w:r w:rsidR="00A508EF">
        <w:rPr>
          <w:rFonts w:asciiTheme="minorHAnsi" w:hAnsiTheme="minorHAnsi" w:cstheme="minorHAnsi"/>
          <w:sz w:val="22"/>
          <w:szCs w:val="22"/>
        </w:rPr>
        <w:t xml:space="preserve">sem fram koma í greinargerðinni </w:t>
      </w:r>
      <w:r w:rsidR="003860E0">
        <w:rPr>
          <w:rFonts w:asciiTheme="minorHAnsi" w:hAnsiTheme="minorHAnsi" w:cstheme="minorHAnsi"/>
          <w:sz w:val="22"/>
          <w:szCs w:val="22"/>
        </w:rPr>
        <w:t xml:space="preserve">um skyldur ríkja gagnvart börnum sem fram koma í 33. gr. Barnasáttmálans. Hins vegar þarf að líta til annarra sjónarmiða Barnasáttmálans, um rétt barns til að tjá um mál sem þau varða og að taka skuli tillit til skoðana þeirra eftir því sem aldur og þroski gefur tilefni til, um rétt barns til friðhelgi einkalífs, rétt til heilsuverndar og svo framvegis. </w:t>
      </w:r>
    </w:p>
    <w:p w14:paraId="3DB391A5" w14:textId="2CE746A0" w:rsidR="00B66D11" w:rsidRDefault="00B66D11" w:rsidP="007667F3">
      <w:pPr>
        <w:ind w:left="-360"/>
        <w:rPr>
          <w:rFonts w:asciiTheme="minorHAnsi" w:hAnsiTheme="minorHAnsi" w:cstheme="minorHAnsi"/>
          <w:sz w:val="22"/>
          <w:szCs w:val="22"/>
        </w:rPr>
      </w:pPr>
    </w:p>
    <w:p w14:paraId="3F8D403E" w14:textId="1CF66A16" w:rsidR="00B66D11" w:rsidRDefault="00B66D11" w:rsidP="007667F3">
      <w:pPr>
        <w:ind w:left="-360"/>
        <w:rPr>
          <w:rFonts w:asciiTheme="minorHAnsi" w:hAnsiTheme="minorHAnsi" w:cstheme="minorHAnsi"/>
          <w:sz w:val="22"/>
          <w:szCs w:val="22"/>
        </w:rPr>
      </w:pPr>
      <w:r>
        <w:rPr>
          <w:rFonts w:asciiTheme="minorHAnsi" w:hAnsiTheme="minorHAnsi" w:cstheme="minorHAnsi"/>
          <w:sz w:val="22"/>
          <w:szCs w:val="22"/>
        </w:rPr>
        <w:t xml:space="preserve">Börn sem hafa ánetjast vímuefnum eiga </w:t>
      </w:r>
      <w:r w:rsidR="00402B80">
        <w:rPr>
          <w:rFonts w:asciiTheme="minorHAnsi" w:hAnsiTheme="minorHAnsi" w:cstheme="minorHAnsi"/>
          <w:sz w:val="22"/>
          <w:szCs w:val="22"/>
        </w:rPr>
        <w:t xml:space="preserve">í </w:t>
      </w:r>
      <w:r>
        <w:rPr>
          <w:rFonts w:asciiTheme="minorHAnsi" w:hAnsiTheme="minorHAnsi" w:cstheme="minorHAnsi"/>
          <w:sz w:val="22"/>
          <w:szCs w:val="22"/>
        </w:rPr>
        <w:t>vanda sem þarf að veita þeim stuðning við að rata út úr svo þeim gefist kostur á að ná heilsu. Við þann stuðning þarf að huga að mannréttindum þeirra á heildstæðan hátt, m.a. að meta áhrif ákvarðana á líf þeirra og líðan og hlusta vel á sjónarmið þeirra og vilja. Þau eiga rétt á að láta skoðun sína í ljós og það er mikilvægt að vinna málin í góðu samráði við einstaklingana sjálfa, þ.e. börnin.</w:t>
      </w:r>
      <w:r w:rsidR="00990330">
        <w:rPr>
          <w:rFonts w:asciiTheme="minorHAnsi" w:hAnsiTheme="minorHAnsi" w:cstheme="minorHAnsi"/>
          <w:sz w:val="22"/>
          <w:szCs w:val="22"/>
        </w:rPr>
        <w:t xml:space="preserve"> Að hlusta vel á hverjar þarfir þeirra séu.</w:t>
      </w:r>
    </w:p>
    <w:p w14:paraId="6D5D4DD6" w14:textId="51DCEB86" w:rsidR="00FE1936" w:rsidRDefault="00FE1936" w:rsidP="007667F3">
      <w:pPr>
        <w:ind w:left="-360"/>
        <w:rPr>
          <w:rFonts w:asciiTheme="minorHAnsi" w:hAnsiTheme="minorHAnsi" w:cstheme="minorHAnsi"/>
          <w:sz w:val="22"/>
          <w:szCs w:val="22"/>
        </w:rPr>
      </w:pPr>
    </w:p>
    <w:p w14:paraId="57D252DE" w14:textId="2D8D604D" w:rsidR="00B66D11" w:rsidRDefault="00B66D11" w:rsidP="00C776FE">
      <w:pPr>
        <w:ind w:left="-360"/>
        <w:rPr>
          <w:rFonts w:asciiTheme="minorHAnsi" w:hAnsiTheme="minorHAnsi" w:cstheme="minorHAnsi"/>
          <w:sz w:val="22"/>
          <w:szCs w:val="22"/>
        </w:rPr>
      </w:pPr>
      <w:r>
        <w:rPr>
          <w:rFonts w:asciiTheme="minorHAnsi" w:hAnsiTheme="minorHAnsi" w:cstheme="minorHAnsi"/>
          <w:sz w:val="22"/>
          <w:szCs w:val="22"/>
        </w:rPr>
        <w:t xml:space="preserve">Öll börn eiga rétt á bestu mögulegu heilsuvernd og vernd gegn ofbeldi og vanrækslu. Mikilvægt er að muna alltaf að barn er einstaklingur með sín eigin sjálfstæðu mannréttindi, jafnvel þó það hafi ánetjast vímuefnum. Oft er um að ræða börn sem fyrir eiga við erfið andleg veikindi að stríða eða búa við og </w:t>
      </w:r>
      <w:r>
        <w:rPr>
          <w:rFonts w:asciiTheme="minorHAnsi" w:hAnsiTheme="minorHAnsi" w:cstheme="minorHAnsi"/>
          <w:sz w:val="22"/>
          <w:szCs w:val="22"/>
        </w:rPr>
        <w:lastRenderedPageBreak/>
        <w:t xml:space="preserve">með einhvers konar andlega erfiðleika. Það er afskaplega mikilvægt að hlúa áfram að börnum af virðingu þó þau velji að prófa vímuefni. Slík sjónarmið þurfa að mati Barnaheilla alltaf að liggja til grundvallar í þjónustu við börn í vanda. </w:t>
      </w:r>
    </w:p>
    <w:p w14:paraId="4B6826D6" w14:textId="103AF053" w:rsidR="00B66D11" w:rsidRDefault="00B66D11" w:rsidP="007667F3">
      <w:pPr>
        <w:ind w:left="-360"/>
        <w:rPr>
          <w:rFonts w:asciiTheme="minorHAnsi" w:hAnsiTheme="minorHAnsi" w:cstheme="minorHAnsi"/>
          <w:sz w:val="22"/>
          <w:szCs w:val="22"/>
        </w:rPr>
      </w:pPr>
    </w:p>
    <w:p w14:paraId="40225EA5" w14:textId="1FCA8626" w:rsidR="003860E0" w:rsidRDefault="003860E0" w:rsidP="007667F3">
      <w:pPr>
        <w:ind w:left="-360"/>
        <w:rPr>
          <w:rFonts w:asciiTheme="minorHAnsi" w:hAnsiTheme="minorHAnsi" w:cstheme="minorHAnsi"/>
          <w:sz w:val="22"/>
          <w:szCs w:val="22"/>
        </w:rPr>
      </w:pPr>
      <w:r>
        <w:rPr>
          <w:rFonts w:asciiTheme="minorHAnsi" w:hAnsiTheme="minorHAnsi" w:cstheme="minorHAnsi"/>
          <w:sz w:val="22"/>
          <w:szCs w:val="22"/>
        </w:rPr>
        <w:t xml:space="preserve">Barnaheill telja hér um mannúðlegt skref að ræða sem taka skal en árétta að mikilvægt er að koma fram af virðingu við börn og mismuna þeim ekki á ómálefnalegan hátt. </w:t>
      </w:r>
    </w:p>
    <w:p w14:paraId="37892783" w14:textId="23BD9FEA" w:rsidR="003860E0" w:rsidRDefault="003860E0" w:rsidP="007667F3">
      <w:pPr>
        <w:ind w:left="-360"/>
        <w:rPr>
          <w:rFonts w:asciiTheme="minorHAnsi" w:hAnsiTheme="minorHAnsi" w:cstheme="minorHAnsi"/>
          <w:sz w:val="22"/>
          <w:szCs w:val="22"/>
        </w:rPr>
      </w:pPr>
    </w:p>
    <w:p w14:paraId="3CAC86E2" w14:textId="2E43EA79" w:rsidR="003860E0" w:rsidRDefault="003860E0" w:rsidP="007667F3">
      <w:pPr>
        <w:ind w:left="-360"/>
        <w:rPr>
          <w:rFonts w:asciiTheme="minorHAnsi" w:hAnsiTheme="minorHAnsi" w:cstheme="minorHAnsi"/>
          <w:sz w:val="22"/>
          <w:szCs w:val="22"/>
        </w:rPr>
      </w:pPr>
      <w:r>
        <w:rPr>
          <w:rFonts w:asciiTheme="minorHAnsi" w:hAnsiTheme="minorHAnsi" w:cstheme="minorHAnsi"/>
          <w:sz w:val="22"/>
          <w:szCs w:val="22"/>
        </w:rPr>
        <w:t xml:space="preserve">Samtökin þakka fyrir skýringu þá sem fram kemur í frumvarpinu að hér sé ekki stigið skref í átt að lögleiðingu vímuefna heldur er einungis verið að afnema refsingar vegna vörslu vímuefna í neysluskömmtum. Það telja Barnaheill gott að liggi fyrir. </w:t>
      </w:r>
    </w:p>
    <w:p w14:paraId="6DC0FD83" w14:textId="7E86F553" w:rsidR="003860E0" w:rsidRDefault="003860E0" w:rsidP="007667F3">
      <w:pPr>
        <w:ind w:left="-360"/>
        <w:rPr>
          <w:rFonts w:asciiTheme="minorHAnsi" w:hAnsiTheme="minorHAnsi" w:cstheme="minorHAnsi"/>
          <w:sz w:val="22"/>
          <w:szCs w:val="22"/>
        </w:rPr>
      </w:pPr>
    </w:p>
    <w:p w14:paraId="1A7E7B66" w14:textId="4CA8B71C" w:rsidR="003860E0" w:rsidRDefault="003860E0" w:rsidP="007667F3">
      <w:pPr>
        <w:ind w:left="-360"/>
        <w:rPr>
          <w:rFonts w:asciiTheme="minorHAnsi" w:hAnsiTheme="minorHAnsi" w:cstheme="minorHAnsi"/>
          <w:sz w:val="22"/>
          <w:szCs w:val="22"/>
        </w:rPr>
      </w:pPr>
      <w:r>
        <w:rPr>
          <w:rFonts w:asciiTheme="minorHAnsi" w:hAnsiTheme="minorHAnsi" w:cstheme="minorHAnsi"/>
          <w:sz w:val="22"/>
          <w:szCs w:val="22"/>
        </w:rPr>
        <w:t xml:space="preserve">Áfram sem fyrr þarf að leggja mikla áherslu á forvarnafræðslu og að </w:t>
      </w:r>
      <w:r w:rsidR="00A508EF">
        <w:rPr>
          <w:rFonts w:asciiTheme="minorHAnsi" w:hAnsiTheme="minorHAnsi" w:cstheme="minorHAnsi"/>
          <w:sz w:val="22"/>
          <w:szCs w:val="22"/>
        </w:rPr>
        <w:t xml:space="preserve">nýtast áfram við áherslur á að styrkja jákvæða þætti í lífi barna og að aðstoða börn og fjölskyldur þeirra við að vinna bug á neikvæðum </w:t>
      </w:r>
      <w:r w:rsidR="004F641D">
        <w:rPr>
          <w:rFonts w:asciiTheme="minorHAnsi" w:hAnsiTheme="minorHAnsi" w:cstheme="minorHAnsi"/>
          <w:sz w:val="22"/>
          <w:szCs w:val="22"/>
        </w:rPr>
        <w:t>þáttum</w:t>
      </w:r>
      <w:r w:rsidR="00A508EF">
        <w:rPr>
          <w:rFonts w:asciiTheme="minorHAnsi" w:hAnsiTheme="minorHAnsi" w:cstheme="minorHAnsi"/>
          <w:sz w:val="22"/>
          <w:szCs w:val="22"/>
        </w:rPr>
        <w:t>.</w:t>
      </w:r>
      <w:r w:rsidR="009C4FDB">
        <w:rPr>
          <w:rFonts w:asciiTheme="minorHAnsi" w:hAnsiTheme="minorHAnsi" w:cstheme="minorHAnsi"/>
          <w:sz w:val="22"/>
          <w:szCs w:val="22"/>
        </w:rPr>
        <w:t xml:space="preserve"> Í greinargerðina vantar umfjöllun um almenn áhrif á börn og ungmenni ef frumvarpið verður að lögum, sbr. 3. </w:t>
      </w:r>
      <w:r w:rsidR="004F641D">
        <w:rPr>
          <w:rFonts w:asciiTheme="minorHAnsi" w:hAnsiTheme="minorHAnsi" w:cstheme="minorHAnsi"/>
          <w:sz w:val="22"/>
          <w:szCs w:val="22"/>
        </w:rPr>
        <w:t>g</w:t>
      </w:r>
      <w:r w:rsidR="009C4FDB">
        <w:rPr>
          <w:rFonts w:asciiTheme="minorHAnsi" w:hAnsiTheme="minorHAnsi" w:cstheme="minorHAnsi"/>
          <w:sz w:val="22"/>
          <w:szCs w:val="22"/>
        </w:rPr>
        <w:t xml:space="preserve">r. Barnasáttmálans. Allar ákvarðanir sem varða börn skal taka með það sem þeim er fyrir bestu að leiðarljósi og því er mikilvægt að fram komi umfjöllun um hvernig mat á því hafi farið fram og um val á ákvörðun. Hætt er við því að umræða um vímuefni muni breytast og viðhorf til þeirra almennt verða jákvæðari ef ekki verður lengur ólöglegt að hafa neysluskammta vímuefna með höndum. Slík viðhorf geta svo </w:t>
      </w:r>
      <w:r w:rsidR="004F641D">
        <w:rPr>
          <w:rFonts w:asciiTheme="minorHAnsi" w:hAnsiTheme="minorHAnsi" w:cstheme="minorHAnsi"/>
          <w:sz w:val="22"/>
          <w:szCs w:val="22"/>
        </w:rPr>
        <w:t xml:space="preserve">að mati Barnaheilla </w:t>
      </w:r>
      <w:r w:rsidR="009C4FDB">
        <w:rPr>
          <w:rFonts w:asciiTheme="minorHAnsi" w:hAnsiTheme="minorHAnsi" w:cstheme="minorHAnsi"/>
          <w:sz w:val="22"/>
          <w:szCs w:val="22"/>
        </w:rPr>
        <w:t xml:space="preserve">leitt til þess að fleiri börn og ungmenni prófi frekar vímuefni en ella. </w:t>
      </w:r>
    </w:p>
    <w:p w14:paraId="687C87A8" w14:textId="77777777" w:rsidR="00A508EF" w:rsidRDefault="00A508EF" w:rsidP="007667F3">
      <w:pPr>
        <w:ind w:left="-360"/>
        <w:rPr>
          <w:rFonts w:asciiTheme="minorHAnsi" w:hAnsiTheme="minorHAnsi" w:cstheme="minorHAnsi"/>
          <w:sz w:val="22"/>
          <w:szCs w:val="22"/>
        </w:rPr>
      </w:pPr>
    </w:p>
    <w:p w14:paraId="2FF74B59" w14:textId="4F110975" w:rsidR="00F35560" w:rsidRPr="00402B80" w:rsidRDefault="007667F3" w:rsidP="00402B80">
      <w:pPr>
        <w:ind w:left="-360"/>
        <w:rPr>
          <w:rFonts w:asciiTheme="minorHAnsi" w:hAnsiTheme="minorHAnsi" w:cstheme="minorHAnsi"/>
          <w:sz w:val="22"/>
          <w:szCs w:val="22"/>
        </w:rPr>
      </w:pPr>
      <w:r>
        <w:rPr>
          <w:rFonts w:asciiTheme="minorHAnsi" w:hAnsiTheme="minorHAnsi" w:cstheme="minorHAnsi"/>
          <w:sz w:val="22"/>
          <w:szCs w:val="22"/>
        </w:rPr>
        <w:t xml:space="preserve">Barnaheill leggja mikla áherslu á </w:t>
      </w:r>
      <w:r w:rsidR="00B66D11">
        <w:rPr>
          <w:rFonts w:asciiTheme="minorHAnsi" w:hAnsiTheme="minorHAnsi" w:cstheme="minorHAnsi"/>
          <w:sz w:val="22"/>
          <w:szCs w:val="22"/>
        </w:rPr>
        <w:t xml:space="preserve">vernd barna gegn ofbeldi og vanrækslu og á rétt barna til að hafa áhrif á ákvarðanir sem þau varða. Samtökin hafa </w:t>
      </w:r>
      <w:r>
        <w:rPr>
          <w:rFonts w:asciiTheme="minorHAnsi" w:hAnsiTheme="minorHAnsi" w:cstheme="minorHAnsi"/>
          <w:sz w:val="22"/>
          <w:szCs w:val="22"/>
        </w:rPr>
        <w:t xml:space="preserve">Barnasáttmálann að leiðarljósi í öllu sínu starfi. </w:t>
      </w:r>
    </w:p>
    <w:sectPr w:rsidR="00F35560" w:rsidRPr="00402B80" w:rsidSect="00BF691C">
      <w:headerReference w:type="default" r:id="rId7"/>
      <w:footerReference w:type="even" r:id="rId8"/>
      <w:footerReference w:type="default" r:id="rId9"/>
      <w:headerReference w:type="first" r:id="rId10"/>
      <w:footerReference w:type="first" r:id="rId11"/>
      <w:pgSz w:w="12240" w:h="15840"/>
      <w:pgMar w:top="1440" w:right="162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A7A57" w14:textId="77777777" w:rsidR="00CC25A1" w:rsidRDefault="00CC25A1">
      <w:r>
        <w:separator/>
      </w:r>
    </w:p>
  </w:endnote>
  <w:endnote w:type="continuationSeparator" w:id="0">
    <w:p w14:paraId="538F0F24" w14:textId="77777777" w:rsidR="00CC25A1" w:rsidRDefault="00CC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2E26" w14:textId="77777777" w:rsidR="00141172" w:rsidRDefault="00990330" w:rsidP="00E3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857AD" w14:textId="77777777" w:rsidR="00141172" w:rsidRDefault="00CC25A1" w:rsidP="005B4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8448" w14:textId="77777777" w:rsidR="00141172" w:rsidRPr="00BB65A3" w:rsidRDefault="00990330" w:rsidP="001F1A0F">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w:t>
    </w:r>
    <w:r>
      <w:rPr>
        <w:rFonts w:ascii="Trebuchet MS" w:hAnsi="Trebuchet MS"/>
        <w:sz w:val="20"/>
        <w:szCs w:val="20"/>
      </w:rPr>
      <w:t xml:space="preserve"> Fákafeni 9</w:t>
    </w:r>
    <w:r w:rsidRPr="00BB65A3">
      <w:rPr>
        <w:rFonts w:ascii="Trebuchet MS" w:hAnsi="Trebuchet MS"/>
        <w:sz w:val="20"/>
        <w:szCs w:val="20"/>
      </w:rPr>
      <w:t xml:space="preserve">, 108 Reykjavík </w:t>
    </w:r>
  </w:p>
  <w:p w14:paraId="02528784" w14:textId="77777777" w:rsidR="00141172" w:rsidRPr="00BB65A3" w:rsidRDefault="00990330" w:rsidP="001F1A0F">
    <w:pPr>
      <w:pStyle w:val="Footer"/>
      <w:jc w:val="center"/>
      <w:rPr>
        <w:rFonts w:ascii="Trebuchet MS" w:hAnsi="Trebuchet MS"/>
        <w:sz w:val="20"/>
        <w:szCs w:val="20"/>
      </w:rPr>
    </w:pPr>
    <w:r>
      <w:rPr>
        <w:rFonts w:ascii="Trebuchet MS" w:hAnsi="Trebuchet MS"/>
        <w:sz w:val="20"/>
        <w:szCs w:val="20"/>
      </w:rPr>
      <w:t>s. 553 5900</w:t>
    </w:r>
    <w:r w:rsidRPr="00BB65A3">
      <w:rPr>
        <w:rFonts w:ascii="Trebuchet MS" w:hAnsi="Trebuchet MS"/>
        <w:sz w:val="20"/>
        <w:szCs w:val="20"/>
      </w:rPr>
      <w:t xml:space="preserve"> – </w:t>
    </w:r>
    <w:r w:rsidRPr="00B73B6E">
      <w:rPr>
        <w:rFonts w:ascii="Trebuchet MS" w:hAnsi="Trebuchet MS"/>
        <w:sz w:val="20"/>
        <w:szCs w:val="20"/>
      </w:rPr>
      <w:t>barnaheill@barnaheill.is</w:t>
    </w:r>
    <w:r>
      <w:rPr>
        <w:rFonts w:ascii="Trebuchet MS" w:hAnsi="Trebuchet MS"/>
        <w:sz w:val="20"/>
        <w:szCs w:val="20"/>
      </w:rPr>
      <w:t xml:space="preserve"> - </w:t>
    </w:r>
    <w:r w:rsidRPr="00BB65A3">
      <w:rPr>
        <w:rFonts w:ascii="Trebuchet MS" w:hAnsi="Trebuchet MS"/>
        <w:sz w:val="20"/>
        <w:szCs w:val="20"/>
      </w:rPr>
      <w:t>www.barnaheill.is</w:t>
    </w:r>
  </w:p>
  <w:p w14:paraId="33257FC3" w14:textId="77777777" w:rsidR="00141172" w:rsidRDefault="00990330">
    <w:pPr>
      <w:pStyle w:val="Footer"/>
      <w:jc w:val="center"/>
    </w:pPr>
    <w:r>
      <w:fldChar w:fldCharType="begin"/>
    </w:r>
    <w:r>
      <w:instrText xml:space="preserve"> PAGE   \* MERGEFORMAT </w:instrText>
    </w:r>
    <w:r>
      <w:fldChar w:fldCharType="separate"/>
    </w:r>
    <w:r>
      <w:rPr>
        <w:noProof/>
      </w:rPr>
      <w:t>2</w:t>
    </w:r>
    <w:r>
      <w:fldChar w:fldCharType="end"/>
    </w:r>
  </w:p>
  <w:p w14:paraId="40A32725" w14:textId="77777777" w:rsidR="00141172" w:rsidRPr="00FC4733" w:rsidRDefault="00CC25A1" w:rsidP="005B4CBC">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1C7D" w14:textId="77777777" w:rsidR="00141172" w:rsidRPr="00BB65A3" w:rsidRDefault="00990330" w:rsidP="00DB765A">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4F8AE165" w14:textId="77777777" w:rsidR="00141172" w:rsidRPr="00DB765A" w:rsidRDefault="00990330" w:rsidP="00DB765A">
    <w:pPr>
      <w:pStyle w:val="Footer"/>
      <w:jc w:val="center"/>
      <w:rPr>
        <w:rFonts w:ascii="Trebuchet MS" w:hAnsi="Trebuchet MS"/>
        <w:sz w:val="20"/>
        <w:szCs w:val="20"/>
        <w:lang w:val="fr-FR"/>
      </w:rPr>
    </w:pPr>
    <w:r>
      <w:rPr>
        <w:rFonts w:ascii="Trebuchet MS" w:hAnsi="Trebuchet MS"/>
        <w:sz w:val="20"/>
        <w:szCs w:val="20"/>
        <w:lang w:val="fr-FR"/>
      </w:rPr>
      <w:t>s. 553 5900</w:t>
    </w:r>
    <w:r w:rsidRPr="00DB765A">
      <w:rPr>
        <w:rFonts w:ascii="Trebuchet MS" w:hAnsi="Trebuchet MS"/>
        <w:sz w:val="20"/>
        <w:szCs w:val="20"/>
        <w:lang w:val="fr-FR"/>
      </w:rPr>
      <w:t xml:space="preserve"> – barnaheill@barnaheill.is - www.barnaheill.is</w:t>
    </w:r>
  </w:p>
  <w:p w14:paraId="1DF5AE72" w14:textId="77777777" w:rsidR="00141172" w:rsidRPr="00DB765A" w:rsidRDefault="00CC25A1">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DFC56" w14:textId="77777777" w:rsidR="00CC25A1" w:rsidRDefault="00CC25A1">
      <w:r>
        <w:separator/>
      </w:r>
    </w:p>
  </w:footnote>
  <w:footnote w:type="continuationSeparator" w:id="0">
    <w:p w14:paraId="3EC2B65A" w14:textId="77777777" w:rsidR="00CC25A1" w:rsidRDefault="00CC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5461" w14:textId="77777777" w:rsidR="00ED68C8" w:rsidRDefault="00990330" w:rsidP="00613D5B">
    <w:pPr>
      <w:pStyle w:val="Header"/>
      <w:jc w:val="right"/>
    </w:pPr>
    <w:r>
      <w:rPr>
        <w:noProof/>
        <w:lang w:eastAsia="is-IS"/>
      </w:rPr>
      <w:drawing>
        <wp:inline distT="0" distB="0" distL="0" distR="0" wp14:anchorId="47E5BD52" wp14:editId="539CDBFD">
          <wp:extent cx="2336400" cy="900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p>
  <w:p w14:paraId="2B2FDE76" w14:textId="77777777" w:rsidR="00141172" w:rsidRDefault="00CC25A1" w:rsidP="005B4C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361FF" w14:textId="77777777" w:rsidR="00141172" w:rsidRDefault="00990330" w:rsidP="002002EC">
    <w:pPr>
      <w:pStyle w:val="Header"/>
    </w:pPr>
    <w:r>
      <w:rPr>
        <w:noProof/>
        <w:lang w:eastAsia="is-IS"/>
      </w:rPr>
      <w:drawing>
        <wp:inline distT="0" distB="0" distL="0" distR="0" wp14:anchorId="43B053A6" wp14:editId="5E85DFDE">
          <wp:extent cx="2336400" cy="90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r>
      <w:t xml:space="preserve">                                                        </w:t>
    </w:r>
    <w:r w:rsidRPr="002002EC">
      <w:rPr>
        <w:noProof/>
      </w:rPr>
      <w:drawing>
        <wp:inline distT="0" distB="0" distL="0" distR="0" wp14:anchorId="50EA3C50" wp14:editId="45189BC9">
          <wp:extent cx="1057275" cy="616819"/>
          <wp:effectExtent l="0" t="0" r="0" b="0"/>
          <wp:docPr id="8" name="Picture 7">
            <a:extLst xmlns:a="http://schemas.openxmlformats.org/drawingml/2006/main">
              <a:ext uri="{FF2B5EF4-FFF2-40B4-BE49-F238E27FC236}">
                <a16:creationId xmlns:a16="http://schemas.microsoft.com/office/drawing/2014/main" id="{98258923-ACB3-4761-87B4-7AB044CD4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8258923-ACB3-4761-87B4-7AB044CD43B7}"/>
                      </a:ext>
                    </a:extLst>
                  </pic:cNvPr>
                  <pic:cNvPicPr>
                    <a:picLocks noChangeAspect="1"/>
                  </pic:cNvPicPr>
                </pic:nvPicPr>
                <pic:blipFill>
                  <a:blip r:embed="rId2"/>
                  <a:stretch>
                    <a:fillRect/>
                  </a:stretch>
                </pic:blipFill>
                <pic:spPr>
                  <a:xfrm>
                    <a:off x="0" y="0"/>
                    <a:ext cx="1065235" cy="6214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F3"/>
    <w:rsid w:val="001C3E0D"/>
    <w:rsid w:val="003860E0"/>
    <w:rsid w:val="003B7435"/>
    <w:rsid w:val="00402B80"/>
    <w:rsid w:val="00415F40"/>
    <w:rsid w:val="004F641D"/>
    <w:rsid w:val="005E5CE3"/>
    <w:rsid w:val="006E32E8"/>
    <w:rsid w:val="007007B3"/>
    <w:rsid w:val="007667F3"/>
    <w:rsid w:val="007820CE"/>
    <w:rsid w:val="00990330"/>
    <w:rsid w:val="009C4FDB"/>
    <w:rsid w:val="00A508EF"/>
    <w:rsid w:val="00A77666"/>
    <w:rsid w:val="00B66D11"/>
    <w:rsid w:val="00C776FE"/>
    <w:rsid w:val="00CC25A1"/>
    <w:rsid w:val="00CC6015"/>
    <w:rsid w:val="00E536EC"/>
    <w:rsid w:val="00F05DAE"/>
    <w:rsid w:val="00F35560"/>
    <w:rsid w:val="00F37079"/>
    <w:rsid w:val="00FE193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B3A1"/>
  <w15:chartTrackingRefBased/>
  <w15:docId w15:val="{989B17B9-97F8-4B97-B725-807BCCF3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7F3"/>
    <w:pPr>
      <w:tabs>
        <w:tab w:val="center" w:pos="4320"/>
        <w:tab w:val="right" w:pos="8640"/>
      </w:tabs>
    </w:pPr>
  </w:style>
  <w:style w:type="character" w:customStyle="1" w:styleId="HeaderChar">
    <w:name w:val="Header Char"/>
    <w:basedOn w:val="DefaultParagraphFont"/>
    <w:link w:val="Header"/>
    <w:rsid w:val="007667F3"/>
    <w:rPr>
      <w:rFonts w:ascii="Times New Roman" w:eastAsia="Times New Roman" w:hAnsi="Times New Roman" w:cs="Times New Roman"/>
      <w:sz w:val="24"/>
      <w:szCs w:val="24"/>
    </w:rPr>
  </w:style>
  <w:style w:type="paragraph" w:styleId="Footer">
    <w:name w:val="footer"/>
    <w:basedOn w:val="Normal"/>
    <w:link w:val="FooterChar"/>
    <w:uiPriority w:val="99"/>
    <w:rsid w:val="007667F3"/>
    <w:pPr>
      <w:tabs>
        <w:tab w:val="center" w:pos="4320"/>
        <w:tab w:val="right" w:pos="8640"/>
      </w:tabs>
    </w:pPr>
  </w:style>
  <w:style w:type="character" w:customStyle="1" w:styleId="FooterChar">
    <w:name w:val="Footer Char"/>
    <w:basedOn w:val="DefaultParagraphFont"/>
    <w:link w:val="Footer"/>
    <w:uiPriority w:val="99"/>
    <w:rsid w:val="007667F3"/>
    <w:rPr>
      <w:rFonts w:ascii="Times New Roman" w:eastAsia="Times New Roman" w:hAnsi="Times New Roman" w:cs="Times New Roman"/>
      <w:sz w:val="24"/>
      <w:szCs w:val="24"/>
    </w:rPr>
  </w:style>
  <w:style w:type="character" w:styleId="PageNumber">
    <w:name w:val="page number"/>
    <w:basedOn w:val="DefaultParagraphFont"/>
    <w:rsid w:val="007667F3"/>
  </w:style>
  <w:style w:type="character" w:styleId="Hyperlink">
    <w:name w:val="Hyperlink"/>
    <w:basedOn w:val="DefaultParagraphFont"/>
    <w:uiPriority w:val="99"/>
    <w:semiHidden/>
    <w:unhideWhenUsed/>
    <w:rsid w:val="00402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in.is/haettuleg-taugaliffraedithrahyggja/"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 Jónsdóttir</dc:creator>
  <cp:keywords/>
  <dc:description/>
  <cp:lastModifiedBy>Þóra Jónsdóttir</cp:lastModifiedBy>
  <cp:revision>4</cp:revision>
  <dcterms:created xsi:type="dcterms:W3CDTF">2021-02-26T17:43:00Z</dcterms:created>
  <dcterms:modified xsi:type="dcterms:W3CDTF">2021-03-01T15:50:00Z</dcterms:modified>
</cp:coreProperties>
</file>