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A9E" w14:textId="3B7BC3B5" w:rsidR="00DB13BE" w:rsidRDefault="00DB13BE" w:rsidP="00F10F79">
      <w:pPr>
        <w:rPr>
          <w:rFonts w:ascii="Arial" w:hAnsi="Arial" w:cs="Arial"/>
        </w:rPr>
      </w:pPr>
    </w:p>
    <w:p w14:paraId="764999D4" w14:textId="77777777" w:rsidR="006114E8" w:rsidRDefault="006114E8" w:rsidP="006114E8"/>
    <w:p w14:paraId="40339C4B" w14:textId="77777777" w:rsidR="00D325E3" w:rsidRDefault="00D325E3" w:rsidP="006114E8">
      <w:pPr>
        <w:jc w:val="right"/>
      </w:pPr>
    </w:p>
    <w:p w14:paraId="39257F19" w14:textId="58012D4C" w:rsidR="006114E8" w:rsidRDefault="006114E8" w:rsidP="006114E8">
      <w:pPr>
        <w:jc w:val="right"/>
      </w:pPr>
      <w:r>
        <w:t xml:space="preserve">Akureyri, 7. </w:t>
      </w:r>
      <w:proofErr w:type="spellStart"/>
      <w:r>
        <w:t>febrúar</w:t>
      </w:r>
      <w:proofErr w:type="spellEnd"/>
      <w:r>
        <w:t xml:space="preserve"> 2020</w:t>
      </w:r>
    </w:p>
    <w:p w14:paraId="69821D67" w14:textId="16FFC15D" w:rsidR="00A47B41" w:rsidRDefault="00A47B41" w:rsidP="006114E8">
      <w:pPr>
        <w:jc w:val="right"/>
      </w:pPr>
    </w:p>
    <w:p w14:paraId="6CA9D7A3" w14:textId="77777777" w:rsidR="00D325E3" w:rsidRDefault="00D325E3" w:rsidP="006114E8">
      <w:pPr>
        <w:jc w:val="right"/>
      </w:pPr>
    </w:p>
    <w:p w14:paraId="6D09A888" w14:textId="77777777" w:rsidR="006114E8" w:rsidRDefault="006114E8" w:rsidP="006114E8">
      <w:pPr>
        <w:jc w:val="right"/>
      </w:pPr>
    </w:p>
    <w:p w14:paraId="0FB49C2B" w14:textId="77777777" w:rsidR="00D325E3" w:rsidRDefault="00D325E3" w:rsidP="00A47B41">
      <w:pPr>
        <w:rPr>
          <w:b/>
          <w:bCs/>
          <w:sz w:val="22"/>
          <w:szCs w:val="22"/>
        </w:rPr>
      </w:pPr>
    </w:p>
    <w:p w14:paraId="5AD082FB" w14:textId="77777777" w:rsidR="00D325E3" w:rsidRDefault="00D325E3" w:rsidP="00A47B41">
      <w:pPr>
        <w:rPr>
          <w:b/>
          <w:bCs/>
          <w:sz w:val="22"/>
          <w:szCs w:val="22"/>
        </w:rPr>
      </w:pPr>
    </w:p>
    <w:p w14:paraId="538F999A" w14:textId="1ED7E09C" w:rsidR="006114E8" w:rsidRPr="00A47B41" w:rsidRDefault="006114E8" w:rsidP="00A47B41">
      <w:pPr>
        <w:rPr>
          <w:b/>
          <w:bCs/>
          <w:sz w:val="22"/>
          <w:szCs w:val="22"/>
        </w:rPr>
      </w:pPr>
      <w:proofErr w:type="spellStart"/>
      <w:r w:rsidRPr="00A47B41">
        <w:rPr>
          <w:b/>
          <w:bCs/>
          <w:sz w:val="22"/>
          <w:szCs w:val="22"/>
        </w:rPr>
        <w:t>Umsögn</w:t>
      </w:r>
      <w:proofErr w:type="spellEnd"/>
      <w:r w:rsidRPr="00A47B41">
        <w:rPr>
          <w:b/>
          <w:bCs/>
          <w:sz w:val="22"/>
          <w:szCs w:val="22"/>
        </w:rPr>
        <w:t xml:space="preserve"> </w:t>
      </w:r>
      <w:proofErr w:type="spellStart"/>
      <w:r w:rsidRPr="00A47B41">
        <w:rPr>
          <w:b/>
          <w:bCs/>
          <w:sz w:val="22"/>
          <w:szCs w:val="22"/>
        </w:rPr>
        <w:t>frá</w:t>
      </w:r>
      <w:proofErr w:type="spellEnd"/>
      <w:r w:rsidRPr="00A47B41">
        <w:rPr>
          <w:b/>
          <w:bCs/>
          <w:sz w:val="22"/>
          <w:szCs w:val="22"/>
        </w:rPr>
        <w:t xml:space="preserve"> </w:t>
      </w:r>
      <w:proofErr w:type="spellStart"/>
      <w:r w:rsidRPr="00A47B41">
        <w:rPr>
          <w:b/>
          <w:bCs/>
          <w:sz w:val="22"/>
          <w:szCs w:val="22"/>
        </w:rPr>
        <w:t>Akureyrarbæ</w:t>
      </w:r>
      <w:proofErr w:type="spellEnd"/>
      <w:r w:rsidRPr="00A47B41">
        <w:rPr>
          <w:b/>
          <w:bCs/>
          <w:sz w:val="22"/>
          <w:szCs w:val="22"/>
        </w:rPr>
        <w:t xml:space="preserve"> í </w:t>
      </w:r>
      <w:proofErr w:type="spellStart"/>
      <w:r w:rsidRPr="00A47B41">
        <w:rPr>
          <w:b/>
          <w:bCs/>
          <w:sz w:val="22"/>
          <w:szCs w:val="22"/>
        </w:rPr>
        <w:t>máli</w:t>
      </w:r>
      <w:proofErr w:type="spellEnd"/>
      <w:r w:rsidRPr="00A47B41">
        <w:rPr>
          <w:b/>
          <w:bCs/>
          <w:sz w:val="22"/>
          <w:szCs w:val="22"/>
        </w:rPr>
        <w:t xml:space="preserve"> nr. 5/2020, „</w:t>
      </w:r>
      <w:proofErr w:type="spellStart"/>
      <w:r w:rsidRPr="00A47B41">
        <w:rPr>
          <w:b/>
          <w:bCs/>
          <w:sz w:val="22"/>
          <w:szCs w:val="22"/>
        </w:rPr>
        <w:t>Grænbók</w:t>
      </w:r>
      <w:proofErr w:type="spellEnd"/>
      <w:r w:rsidRPr="00A47B41">
        <w:rPr>
          <w:b/>
          <w:bCs/>
          <w:sz w:val="22"/>
          <w:szCs w:val="22"/>
        </w:rPr>
        <w:t xml:space="preserve"> um </w:t>
      </w:r>
      <w:proofErr w:type="spellStart"/>
      <w:r w:rsidRPr="00A47B41">
        <w:rPr>
          <w:b/>
          <w:bCs/>
          <w:sz w:val="22"/>
          <w:szCs w:val="22"/>
        </w:rPr>
        <w:t>fjárveitingar</w:t>
      </w:r>
      <w:proofErr w:type="spellEnd"/>
      <w:r w:rsidRPr="00A47B41">
        <w:rPr>
          <w:b/>
          <w:bCs/>
          <w:sz w:val="22"/>
          <w:szCs w:val="22"/>
        </w:rPr>
        <w:t xml:space="preserve"> </w:t>
      </w:r>
      <w:proofErr w:type="spellStart"/>
      <w:r w:rsidRPr="00A47B41">
        <w:rPr>
          <w:b/>
          <w:bCs/>
          <w:sz w:val="22"/>
          <w:szCs w:val="22"/>
        </w:rPr>
        <w:t>til</w:t>
      </w:r>
      <w:proofErr w:type="spellEnd"/>
      <w:r w:rsidRPr="00A47B41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A47B41">
        <w:rPr>
          <w:b/>
          <w:bCs/>
          <w:sz w:val="22"/>
          <w:szCs w:val="22"/>
        </w:rPr>
        <w:t>háskóla</w:t>
      </w:r>
      <w:proofErr w:type="spellEnd"/>
      <w:r w:rsidRPr="00A47B41">
        <w:rPr>
          <w:b/>
          <w:bCs/>
          <w:sz w:val="22"/>
          <w:szCs w:val="22"/>
        </w:rPr>
        <w:t>“</w:t>
      </w:r>
      <w:proofErr w:type="gramEnd"/>
      <w:r w:rsidR="00A47B41">
        <w:rPr>
          <w:b/>
          <w:bCs/>
          <w:sz w:val="22"/>
          <w:szCs w:val="22"/>
        </w:rPr>
        <w:t>.</w:t>
      </w:r>
    </w:p>
    <w:p w14:paraId="40B5168E" w14:textId="3FAEF15A" w:rsidR="007432ED" w:rsidRDefault="007432ED" w:rsidP="00A47B41">
      <w:pPr>
        <w:rPr>
          <w:sz w:val="22"/>
          <w:szCs w:val="22"/>
        </w:rPr>
      </w:pPr>
    </w:p>
    <w:p w14:paraId="20DC0685" w14:textId="77777777" w:rsidR="00D325E3" w:rsidRDefault="00D325E3" w:rsidP="00A47B41">
      <w:pPr>
        <w:rPr>
          <w:sz w:val="22"/>
          <w:szCs w:val="22"/>
        </w:rPr>
      </w:pPr>
    </w:p>
    <w:p w14:paraId="79497B2B" w14:textId="77777777" w:rsidR="00D325E3" w:rsidRPr="00A47B41" w:rsidRDefault="00D325E3" w:rsidP="00A47B41">
      <w:pPr>
        <w:rPr>
          <w:sz w:val="22"/>
          <w:szCs w:val="22"/>
        </w:rPr>
      </w:pPr>
    </w:p>
    <w:p w14:paraId="614CC2B2" w14:textId="7B7E6731" w:rsidR="00D2062A" w:rsidRPr="00A47B41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gleðilegt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Grænbók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fjárveitingar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Íslandi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komi</w:t>
      </w:r>
      <w:r w:rsidR="00850199">
        <w:rPr>
          <w:sz w:val="22"/>
          <w:szCs w:val="22"/>
        </w:rPr>
        <w:t>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Grænbók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þessi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geyma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nokkrar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grundvallarspurningar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íslenskt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háskólakerfi</w:t>
      </w:r>
      <w:proofErr w:type="spellEnd"/>
      <w:r w:rsidRPr="00A47B41">
        <w:rPr>
          <w:sz w:val="22"/>
          <w:szCs w:val="22"/>
        </w:rPr>
        <w:t xml:space="preserve">, þ.m.t.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hvaða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hætti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stýra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háskólum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Aðgangsstýring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algjör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stefnubreyting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íslensku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þó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raunin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inntökuskilyrði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staðar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Háskólann</w:t>
      </w:r>
      <w:proofErr w:type="spellEnd"/>
      <w:r w:rsidRPr="00A47B41">
        <w:rPr>
          <w:sz w:val="22"/>
          <w:szCs w:val="22"/>
        </w:rPr>
        <w:t xml:space="preserve"> á Akureyri í </w:t>
      </w:r>
      <w:proofErr w:type="spellStart"/>
      <w:r w:rsidRPr="00A47B41">
        <w:rPr>
          <w:sz w:val="22"/>
          <w:szCs w:val="22"/>
        </w:rPr>
        <w:t>dag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Verði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veruleikinn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takmarki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frekar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Háskólanum</w:t>
      </w:r>
      <w:proofErr w:type="spellEnd"/>
      <w:r w:rsidRPr="00A47B41">
        <w:rPr>
          <w:sz w:val="22"/>
          <w:szCs w:val="22"/>
        </w:rPr>
        <w:t xml:space="preserve"> á Akureyri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verulega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stefnubreytingu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ræða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grundvallarstefn</w:t>
      </w:r>
      <w:r w:rsidR="004651C3">
        <w:rPr>
          <w:sz w:val="22"/>
          <w:szCs w:val="22"/>
        </w:rPr>
        <w:t>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síðustu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þrjá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áratugi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bæta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háskólanámi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sérstaklega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fólk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býr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utan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höfuðborgarsvæðisins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Grænbók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þessi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mjög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mikilvægt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innlegg</w:t>
      </w:r>
      <w:proofErr w:type="spellEnd"/>
      <w:r w:rsidRPr="00A47B41">
        <w:rPr>
          <w:sz w:val="22"/>
          <w:szCs w:val="22"/>
        </w:rPr>
        <w:t xml:space="preserve"> inn í </w:t>
      </w:r>
      <w:proofErr w:type="spellStart"/>
      <w:r w:rsidRPr="00A47B41">
        <w:rPr>
          <w:sz w:val="22"/>
          <w:szCs w:val="22"/>
        </w:rPr>
        <w:t>umræðuna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háskólum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næstu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eitthvað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allir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þyrftu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mynda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skoðun</w:t>
      </w:r>
      <w:proofErr w:type="spellEnd"/>
      <w:r w:rsidRPr="00A47B41">
        <w:rPr>
          <w:sz w:val="22"/>
          <w:szCs w:val="22"/>
        </w:rPr>
        <w:t xml:space="preserve"> á.  </w:t>
      </w:r>
    </w:p>
    <w:p w14:paraId="4FC20528" w14:textId="77777777" w:rsidR="00D2062A" w:rsidRPr="00A47B41" w:rsidRDefault="00D2062A" w:rsidP="00A47B41">
      <w:pPr>
        <w:rPr>
          <w:sz w:val="22"/>
          <w:szCs w:val="22"/>
        </w:rPr>
      </w:pPr>
    </w:p>
    <w:p w14:paraId="09DBB2B2" w14:textId="3B2727C3" w:rsidR="00F515F5" w:rsidRPr="00A47B41" w:rsidRDefault="006114E8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Háskólinn</w:t>
      </w:r>
      <w:proofErr w:type="spellEnd"/>
      <w:r w:rsidR="007432ED" w:rsidRPr="00A47B41">
        <w:rPr>
          <w:sz w:val="22"/>
          <w:szCs w:val="22"/>
        </w:rPr>
        <w:t xml:space="preserve"> á Akureyri</w:t>
      </w:r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stækkað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dafnað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hann</w:t>
      </w:r>
      <w:proofErr w:type="spellEnd"/>
      <w:r w:rsidRPr="00A47B41">
        <w:rPr>
          <w:sz w:val="22"/>
          <w:szCs w:val="22"/>
        </w:rPr>
        <w:t xml:space="preserve"> var </w:t>
      </w:r>
      <w:proofErr w:type="spellStart"/>
      <w:r w:rsidRPr="00A47B41">
        <w:rPr>
          <w:sz w:val="22"/>
          <w:szCs w:val="22"/>
        </w:rPr>
        <w:t>stofnaður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árið</w:t>
      </w:r>
      <w:proofErr w:type="spellEnd"/>
      <w:r w:rsidRPr="00A47B41">
        <w:rPr>
          <w:sz w:val="22"/>
          <w:szCs w:val="22"/>
        </w:rPr>
        <w:t xml:space="preserve"> 198</w:t>
      </w:r>
      <w:r w:rsidR="00F515F5" w:rsidRPr="00A47B41">
        <w:rPr>
          <w:sz w:val="22"/>
          <w:szCs w:val="22"/>
        </w:rPr>
        <w:t>7</w:t>
      </w:r>
      <w:r w:rsidRPr="00A47B41">
        <w:rPr>
          <w:sz w:val="22"/>
          <w:szCs w:val="22"/>
        </w:rPr>
        <w:t xml:space="preserve">. Í </w:t>
      </w:r>
      <w:proofErr w:type="spellStart"/>
      <w:r w:rsidRPr="00A47B41">
        <w:rPr>
          <w:sz w:val="22"/>
          <w:szCs w:val="22"/>
        </w:rPr>
        <w:t>framtíðarsýn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skólans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gildir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ársins</w:t>
      </w:r>
      <w:proofErr w:type="spellEnd"/>
      <w:r w:rsidRPr="00A47B41">
        <w:rPr>
          <w:sz w:val="22"/>
          <w:szCs w:val="22"/>
        </w:rPr>
        <w:t xml:space="preserve"> </w:t>
      </w:r>
      <w:r w:rsidR="00F515F5" w:rsidRPr="00A47B41">
        <w:rPr>
          <w:sz w:val="22"/>
          <w:szCs w:val="22"/>
        </w:rPr>
        <w:t xml:space="preserve">2023 </w:t>
      </w:r>
      <w:proofErr w:type="spellStart"/>
      <w:r w:rsidRPr="00A47B41">
        <w:rPr>
          <w:sz w:val="22"/>
          <w:szCs w:val="22"/>
        </w:rPr>
        <w:t>kemur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m.a.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leggi</w:t>
      </w:r>
      <w:proofErr w:type="spellEnd"/>
      <w:r w:rsidRPr="00A47B41">
        <w:rPr>
          <w:sz w:val="22"/>
          <w:szCs w:val="22"/>
        </w:rPr>
        <w:t xml:space="preserve"> sig </w:t>
      </w:r>
      <w:proofErr w:type="spellStart"/>
      <w:r w:rsidRPr="00A47B41">
        <w:rPr>
          <w:sz w:val="22"/>
          <w:szCs w:val="22"/>
        </w:rPr>
        <w:t>sérstaklega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nýta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möguleika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felast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sveigjanlegu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námi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leggur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áherslu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tengsl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-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þekkingarsetur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starfa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landsbyggðinni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skólinn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uppspretta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nýsköpunar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frumkvöðlastarfs</w:t>
      </w:r>
      <w:proofErr w:type="spellEnd"/>
      <w:r w:rsidRPr="00A47B41">
        <w:rPr>
          <w:sz w:val="22"/>
          <w:szCs w:val="22"/>
        </w:rPr>
        <w:t xml:space="preserve">. </w:t>
      </w:r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Það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má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ennfremur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fullyrða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að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Háskólinn</w:t>
      </w:r>
      <w:proofErr w:type="spellEnd"/>
      <w:r w:rsidR="007432ED" w:rsidRPr="00A47B41">
        <w:rPr>
          <w:sz w:val="22"/>
          <w:szCs w:val="22"/>
        </w:rPr>
        <w:t xml:space="preserve"> á Akureyri </w:t>
      </w:r>
      <w:proofErr w:type="spellStart"/>
      <w:r w:rsidR="007432ED" w:rsidRPr="00A47B41">
        <w:rPr>
          <w:sz w:val="22"/>
          <w:szCs w:val="22"/>
        </w:rPr>
        <w:t>er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ein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besta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byggðaaðgerð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sem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tekin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hefur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verið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ákvörðun</w:t>
      </w:r>
      <w:proofErr w:type="spellEnd"/>
      <w:r w:rsidR="007432ED" w:rsidRPr="00A47B41">
        <w:rPr>
          <w:sz w:val="22"/>
          <w:szCs w:val="22"/>
        </w:rPr>
        <w:t xml:space="preserve"> um </w:t>
      </w:r>
      <w:proofErr w:type="spellStart"/>
      <w:r w:rsidR="007432ED" w:rsidRPr="00A47B41">
        <w:rPr>
          <w:sz w:val="22"/>
          <w:szCs w:val="22"/>
        </w:rPr>
        <w:t>fyrir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landsbyggðina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alla</w:t>
      </w:r>
      <w:proofErr w:type="spellEnd"/>
      <w:r w:rsidR="007432ED" w:rsidRPr="00A47B41">
        <w:rPr>
          <w:sz w:val="22"/>
          <w:szCs w:val="22"/>
        </w:rPr>
        <w:t>.</w:t>
      </w:r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Öflugt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fjarnám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og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fjarnámssetur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víða</w:t>
      </w:r>
      <w:proofErr w:type="spellEnd"/>
      <w:r w:rsidR="007432ED" w:rsidRPr="00A47B41">
        <w:rPr>
          <w:sz w:val="22"/>
          <w:szCs w:val="22"/>
        </w:rPr>
        <w:t xml:space="preserve"> um land </w:t>
      </w:r>
      <w:proofErr w:type="spellStart"/>
      <w:r w:rsidR="007432ED" w:rsidRPr="00A47B41">
        <w:rPr>
          <w:sz w:val="22"/>
          <w:szCs w:val="22"/>
        </w:rPr>
        <w:t>hefur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stórlega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bætt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aðgengi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íbúa</w:t>
      </w:r>
      <w:proofErr w:type="spellEnd"/>
      <w:r w:rsidR="007432ED" w:rsidRPr="00A47B41">
        <w:rPr>
          <w:sz w:val="22"/>
          <w:szCs w:val="22"/>
        </w:rPr>
        <w:t xml:space="preserve"> í </w:t>
      </w:r>
      <w:proofErr w:type="spellStart"/>
      <w:r w:rsidR="007432ED" w:rsidRPr="00A47B41">
        <w:rPr>
          <w:sz w:val="22"/>
          <w:szCs w:val="22"/>
        </w:rPr>
        <w:t>dreifðum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byggðum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en</w:t>
      </w:r>
      <w:proofErr w:type="spellEnd"/>
      <w:r w:rsidR="007432ED" w:rsidRPr="00A47B41">
        <w:rPr>
          <w:sz w:val="22"/>
          <w:szCs w:val="22"/>
        </w:rPr>
        <w:t xml:space="preserve"> ekki </w:t>
      </w:r>
      <w:proofErr w:type="spellStart"/>
      <w:r w:rsidR="007432ED" w:rsidRPr="00A47B41">
        <w:rPr>
          <w:sz w:val="22"/>
          <w:szCs w:val="22"/>
        </w:rPr>
        <w:t>síður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erlendis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að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háskólanámi</w:t>
      </w:r>
      <w:proofErr w:type="spellEnd"/>
      <w:r w:rsidR="007432ED" w:rsidRPr="00A47B41">
        <w:rPr>
          <w:sz w:val="22"/>
          <w:szCs w:val="22"/>
        </w:rPr>
        <w:t xml:space="preserve">. </w:t>
      </w:r>
      <w:proofErr w:type="spellStart"/>
      <w:r w:rsidR="007432ED" w:rsidRPr="00A47B41">
        <w:rPr>
          <w:sz w:val="22"/>
          <w:szCs w:val="22"/>
        </w:rPr>
        <w:t>Það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mikilvægt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að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Háskólinn</w:t>
      </w:r>
      <w:proofErr w:type="spellEnd"/>
      <w:r w:rsidR="007432ED" w:rsidRPr="00A47B41">
        <w:rPr>
          <w:sz w:val="22"/>
          <w:szCs w:val="22"/>
        </w:rPr>
        <w:t xml:space="preserve"> á Akureyri </w:t>
      </w:r>
      <w:proofErr w:type="spellStart"/>
      <w:r w:rsidR="007432ED" w:rsidRPr="00A47B41">
        <w:rPr>
          <w:sz w:val="22"/>
          <w:szCs w:val="22"/>
        </w:rPr>
        <w:t>tapi</w:t>
      </w:r>
      <w:proofErr w:type="spellEnd"/>
      <w:r w:rsidR="007432ED" w:rsidRPr="00A47B41">
        <w:rPr>
          <w:sz w:val="22"/>
          <w:szCs w:val="22"/>
        </w:rPr>
        <w:t xml:space="preserve"> ekki </w:t>
      </w:r>
      <w:proofErr w:type="spellStart"/>
      <w:r w:rsidR="007432ED" w:rsidRPr="00A47B41">
        <w:rPr>
          <w:sz w:val="22"/>
          <w:szCs w:val="22"/>
        </w:rPr>
        <w:t>sérstöðu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sinni</w:t>
      </w:r>
      <w:proofErr w:type="spellEnd"/>
      <w:r w:rsidR="007432ED" w:rsidRPr="00A47B41">
        <w:rPr>
          <w:sz w:val="22"/>
          <w:szCs w:val="22"/>
        </w:rPr>
        <w:t xml:space="preserve"> í </w:t>
      </w:r>
      <w:proofErr w:type="spellStart"/>
      <w:r w:rsidR="007432ED" w:rsidRPr="00A47B41">
        <w:rPr>
          <w:sz w:val="22"/>
          <w:szCs w:val="22"/>
        </w:rPr>
        <w:t>framtíðinni</w:t>
      </w:r>
      <w:proofErr w:type="spellEnd"/>
      <w:r w:rsidR="007432ED" w:rsidRPr="00A47B41">
        <w:rPr>
          <w:sz w:val="22"/>
          <w:szCs w:val="22"/>
        </w:rPr>
        <w:t xml:space="preserve">, </w:t>
      </w:r>
      <w:proofErr w:type="spellStart"/>
      <w:r w:rsidR="007432ED" w:rsidRPr="00A47B41">
        <w:rPr>
          <w:sz w:val="22"/>
          <w:szCs w:val="22"/>
        </w:rPr>
        <w:t>heldur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eflist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frekar</w:t>
      </w:r>
      <w:proofErr w:type="spellEnd"/>
      <w:r w:rsidR="007432ED" w:rsidRPr="00A47B41">
        <w:rPr>
          <w:sz w:val="22"/>
          <w:szCs w:val="22"/>
        </w:rPr>
        <w:t xml:space="preserve">, </w:t>
      </w:r>
      <w:proofErr w:type="spellStart"/>
      <w:r w:rsidR="007432ED" w:rsidRPr="00A47B41">
        <w:rPr>
          <w:sz w:val="22"/>
          <w:szCs w:val="22"/>
        </w:rPr>
        <w:t>enda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hefur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skólinn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alla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burði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til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þess</w:t>
      </w:r>
      <w:proofErr w:type="spellEnd"/>
      <w:r w:rsidR="007432ED" w:rsidRPr="00A47B41">
        <w:rPr>
          <w:sz w:val="22"/>
          <w:szCs w:val="22"/>
        </w:rPr>
        <w:t xml:space="preserve">. </w:t>
      </w:r>
    </w:p>
    <w:p w14:paraId="0FA84BD2" w14:textId="77777777" w:rsidR="00F515F5" w:rsidRPr="00A47B41" w:rsidRDefault="00F515F5" w:rsidP="00A47B41">
      <w:pPr>
        <w:rPr>
          <w:sz w:val="22"/>
          <w:szCs w:val="22"/>
        </w:rPr>
      </w:pPr>
    </w:p>
    <w:p w14:paraId="6B0F8525" w14:textId="3B49AC00" w:rsidR="00BA543A" w:rsidRPr="00A47B41" w:rsidRDefault="006114E8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Námsframboð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Háskólans</w:t>
      </w:r>
      <w:proofErr w:type="spellEnd"/>
      <w:r w:rsidRPr="00A47B41">
        <w:rPr>
          <w:sz w:val="22"/>
          <w:szCs w:val="22"/>
        </w:rPr>
        <w:t xml:space="preserve"> á Akureyri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fræðasviðum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félagsvísinda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hugvísinda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auðlindafræða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heilbrigðisvísinda</w:t>
      </w:r>
      <w:proofErr w:type="spellEnd"/>
      <w:r w:rsidR="00BA0EA1" w:rsidRPr="00A47B41">
        <w:rPr>
          <w:sz w:val="22"/>
          <w:szCs w:val="22"/>
        </w:rPr>
        <w:t xml:space="preserve"> á BA/BS/Bed/MA/MS/PhD </w:t>
      </w:r>
      <w:proofErr w:type="spellStart"/>
      <w:r w:rsidR="00BA0EA1" w:rsidRPr="00A47B41">
        <w:rPr>
          <w:sz w:val="22"/>
          <w:szCs w:val="22"/>
        </w:rPr>
        <w:t>stigi</w:t>
      </w:r>
      <w:proofErr w:type="spellEnd"/>
      <w:r w:rsidR="007432ED" w:rsidRPr="00A47B41">
        <w:rPr>
          <w:sz w:val="22"/>
          <w:szCs w:val="22"/>
        </w:rPr>
        <w:t xml:space="preserve">. </w:t>
      </w:r>
      <w:r w:rsidR="00F515F5" w:rsidRPr="00A47B41">
        <w:rPr>
          <w:sz w:val="22"/>
          <w:szCs w:val="22"/>
        </w:rPr>
        <w:t xml:space="preserve"> </w:t>
      </w:r>
      <w:r w:rsidR="007432ED" w:rsidRPr="00A47B41">
        <w:rPr>
          <w:sz w:val="22"/>
          <w:szCs w:val="22"/>
        </w:rPr>
        <w:t>Í</w:t>
      </w:r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framtíðarsýn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skólans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kemur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fram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að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á</w:t>
      </w:r>
      <w:r w:rsidRPr="00A47B41">
        <w:rPr>
          <w:sz w:val="22"/>
          <w:szCs w:val="22"/>
        </w:rPr>
        <w:t>rið</w:t>
      </w:r>
      <w:proofErr w:type="spellEnd"/>
      <w:r w:rsidRPr="00A47B41">
        <w:rPr>
          <w:sz w:val="22"/>
          <w:szCs w:val="22"/>
        </w:rPr>
        <w:t xml:space="preserve"> 2023 </w:t>
      </w:r>
      <w:proofErr w:type="spellStart"/>
      <w:r w:rsidR="00F515F5" w:rsidRPr="00A47B41">
        <w:rPr>
          <w:sz w:val="22"/>
          <w:szCs w:val="22"/>
        </w:rPr>
        <w:t>verði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jafnframt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boðið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upp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tæknifræði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áhersla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lögð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umhverfis</w:t>
      </w:r>
      <w:proofErr w:type="spellEnd"/>
      <w:r w:rsidRPr="00A47B41">
        <w:rPr>
          <w:sz w:val="22"/>
          <w:szCs w:val="22"/>
        </w:rPr>
        <w:t xml:space="preserve">-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náttúruvísindi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sjálfbærni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gagnkvæma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yfirfærslu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þekkingar</w:t>
      </w:r>
      <w:proofErr w:type="spellEnd"/>
      <w:r w:rsidRPr="00A47B41">
        <w:rPr>
          <w:sz w:val="22"/>
          <w:szCs w:val="22"/>
        </w:rPr>
        <w:t xml:space="preserve"> milli </w:t>
      </w:r>
      <w:proofErr w:type="spellStart"/>
      <w:r w:rsidRPr="00A47B41">
        <w:rPr>
          <w:sz w:val="22"/>
          <w:szCs w:val="22"/>
        </w:rPr>
        <w:t>háskólans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samfélagsins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leiðarljósi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="00F515F5" w:rsidRPr="00A47B41">
        <w:rPr>
          <w:sz w:val="22"/>
          <w:szCs w:val="22"/>
        </w:rPr>
        <w:t>Akureyrarbær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leggur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mikla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áherslu</w:t>
      </w:r>
      <w:proofErr w:type="spellEnd"/>
      <w:r w:rsidR="00F515F5" w:rsidRPr="00A47B41">
        <w:rPr>
          <w:sz w:val="22"/>
          <w:szCs w:val="22"/>
        </w:rPr>
        <w:t xml:space="preserve"> á </w:t>
      </w:r>
      <w:proofErr w:type="spellStart"/>
      <w:r w:rsidR="00F515F5" w:rsidRPr="00A47B41">
        <w:rPr>
          <w:sz w:val="22"/>
          <w:szCs w:val="22"/>
        </w:rPr>
        <w:t>að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þe</w:t>
      </w:r>
      <w:r w:rsidR="00304343" w:rsidRPr="00A47B41">
        <w:rPr>
          <w:sz w:val="22"/>
          <w:szCs w:val="22"/>
        </w:rPr>
        <w:t>ssi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framtíðarsýn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raungerist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og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að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skólinn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fái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þann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stuðning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sem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til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þarf</w:t>
      </w:r>
      <w:proofErr w:type="spellEnd"/>
      <w:r w:rsidR="00F515F5" w:rsidRPr="00A47B41">
        <w:rPr>
          <w:sz w:val="22"/>
          <w:szCs w:val="22"/>
        </w:rPr>
        <w:t xml:space="preserve">, </w:t>
      </w:r>
      <w:proofErr w:type="spellStart"/>
      <w:r w:rsidR="00F515F5" w:rsidRPr="00A47B41">
        <w:rPr>
          <w:sz w:val="22"/>
          <w:szCs w:val="22"/>
        </w:rPr>
        <w:t>bæði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fjárhagslega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og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faglega</w:t>
      </w:r>
      <w:proofErr w:type="spellEnd"/>
      <w:r w:rsidR="00F515F5" w:rsidRPr="00A47B41">
        <w:rPr>
          <w:sz w:val="22"/>
          <w:szCs w:val="22"/>
        </w:rPr>
        <w:t xml:space="preserve">. </w:t>
      </w:r>
      <w:proofErr w:type="spellStart"/>
      <w:r w:rsidR="00F515F5" w:rsidRPr="00A47B41">
        <w:rPr>
          <w:sz w:val="22"/>
          <w:szCs w:val="22"/>
        </w:rPr>
        <w:t>Það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skiptir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miklu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máli</w:t>
      </w:r>
      <w:proofErr w:type="spellEnd"/>
      <w:r w:rsidR="00F515F5" w:rsidRPr="00A47B41">
        <w:rPr>
          <w:sz w:val="22"/>
          <w:szCs w:val="22"/>
        </w:rPr>
        <w:t xml:space="preserve"> </w:t>
      </w:r>
      <w:r w:rsidR="00A47A8D" w:rsidRPr="00A47B41">
        <w:rPr>
          <w:sz w:val="22"/>
          <w:szCs w:val="22"/>
        </w:rPr>
        <w:t xml:space="preserve">í </w:t>
      </w:r>
      <w:proofErr w:type="spellStart"/>
      <w:r w:rsidR="007432ED" w:rsidRPr="00A47B41">
        <w:rPr>
          <w:sz w:val="22"/>
          <w:szCs w:val="22"/>
        </w:rPr>
        <w:t>öllu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A47A8D" w:rsidRPr="00A47B41">
        <w:rPr>
          <w:sz w:val="22"/>
          <w:szCs w:val="22"/>
        </w:rPr>
        <w:t>tillit</w:t>
      </w:r>
      <w:r w:rsidR="00442DD7" w:rsidRPr="00A47B41">
        <w:rPr>
          <w:sz w:val="22"/>
          <w:szCs w:val="22"/>
        </w:rPr>
        <w:t>i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að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nám</w:t>
      </w:r>
      <w:proofErr w:type="spellEnd"/>
      <w:r w:rsidR="00F515F5" w:rsidRPr="00A47B41">
        <w:rPr>
          <w:sz w:val="22"/>
          <w:szCs w:val="22"/>
        </w:rPr>
        <w:t xml:space="preserve"> í </w:t>
      </w:r>
      <w:proofErr w:type="spellStart"/>
      <w:r w:rsidR="00F515F5" w:rsidRPr="00A47B41">
        <w:rPr>
          <w:sz w:val="22"/>
          <w:szCs w:val="22"/>
        </w:rPr>
        <w:t>tæknifræði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sé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einnig</w:t>
      </w:r>
      <w:proofErr w:type="spellEnd"/>
      <w:r w:rsidR="00F515F5" w:rsidRPr="00A47B41">
        <w:rPr>
          <w:sz w:val="22"/>
          <w:szCs w:val="22"/>
        </w:rPr>
        <w:t xml:space="preserve"> í </w:t>
      </w:r>
      <w:proofErr w:type="spellStart"/>
      <w:r w:rsidR="00F515F5" w:rsidRPr="00A47B41">
        <w:rPr>
          <w:sz w:val="22"/>
          <w:szCs w:val="22"/>
        </w:rPr>
        <w:t>boði</w:t>
      </w:r>
      <w:proofErr w:type="spellEnd"/>
      <w:r w:rsidR="00F515F5" w:rsidRPr="00A47B41">
        <w:rPr>
          <w:sz w:val="22"/>
          <w:szCs w:val="22"/>
        </w:rPr>
        <w:t xml:space="preserve"> á </w:t>
      </w:r>
      <w:proofErr w:type="spellStart"/>
      <w:r w:rsidR="00F515F5" w:rsidRPr="00A47B41">
        <w:rPr>
          <w:sz w:val="22"/>
          <w:szCs w:val="22"/>
        </w:rPr>
        <w:t>landsbyggðinni</w:t>
      </w:r>
      <w:proofErr w:type="spellEnd"/>
      <w:r w:rsidR="007432ED" w:rsidRPr="00A47B41">
        <w:rPr>
          <w:sz w:val="22"/>
          <w:szCs w:val="22"/>
        </w:rPr>
        <w:t>,</w:t>
      </w:r>
      <w:r w:rsidR="00F515F5" w:rsidRPr="00A47B41">
        <w:rPr>
          <w:sz w:val="22"/>
          <w:szCs w:val="22"/>
        </w:rPr>
        <w:t xml:space="preserve"> í </w:t>
      </w:r>
      <w:proofErr w:type="spellStart"/>
      <w:r w:rsidR="00F515F5" w:rsidRPr="00A47B41">
        <w:rPr>
          <w:sz w:val="22"/>
          <w:szCs w:val="22"/>
        </w:rPr>
        <w:t>góðri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samvinnu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við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atvinnulífið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og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aðrar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proofErr w:type="gramStart"/>
      <w:r w:rsidR="00F515F5" w:rsidRPr="00A47B41">
        <w:rPr>
          <w:sz w:val="22"/>
          <w:szCs w:val="22"/>
        </w:rPr>
        <w:t>kennslustofnanir</w:t>
      </w:r>
      <w:proofErr w:type="spellEnd"/>
      <w:r w:rsidR="004651C3">
        <w:rPr>
          <w:sz w:val="22"/>
          <w:szCs w:val="22"/>
        </w:rPr>
        <w:t>,</w:t>
      </w:r>
      <w:r w:rsidR="007432ED" w:rsidRPr="00A47B41">
        <w:rPr>
          <w:sz w:val="22"/>
          <w:szCs w:val="22"/>
        </w:rPr>
        <w:t>-</w:t>
      </w:r>
      <w:proofErr w:type="spellStart"/>
      <w:proofErr w:type="gramEnd"/>
      <w:r w:rsidR="00F515F5" w:rsidRPr="00A47B41">
        <w:rPr>
          <w:sz w:val="22"/>
          <w:szCs w:val="22"/>
        </w:rPr>
        <w:t>jafnt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íslenskar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sem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erlendar</w:t>
      </w:r>
      <w:proofErr w:type="spellEnd"/>
      <w:r w:rsidR="00F515F5" w:rsidRPr="00A47B41">
        <w:rPr>
          <w:sz w:val="22"/>
          <w:szCs w:val="22"/>
        </w:rPr>
        <w:t xml:space="preserve">. Á </w:t>
      </w:r>
      <w:proofErr w:type="spellStart"/>
      <w:r w:rsidR="00F515F5" w:rsidRPr="00A47B41">
        <w:rPr>
          <w:sz w:val="22"/>
          <w:szCs w:val="22"/>
        </w:rPr>
        <w:t>svæðinu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eru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fyrirtæki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sem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hafa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tekið</w:t>
      </w:r>
      <w:proofErr w:type="spellEnd"/>
      <w:r w:rsidR="00F515F5" w:rsidRPr="00A47B41">
        <w:rPr>
          <w:sz w:val="22"/>
          <w:szCs w:val="22"/>
        </w:rPr>
        <w:t xml:space="preserve"> </w:t>
      </w:r>
      <w:proofErr w:type="spellStart"/>
      <w:r w:rsidR="00F515F5" w:rsidRPr="00A47B41">
        <w:rPr>
          <w:sz w:val="22"/>
          <w:szCs w:val="22"/>
        </w:rPr>
        <w:t>forystu</w:t>
      </w:r>
      <w:proofErr w:type="spellEnd"/>
      <w:r w:rsidR="00F515F5" w:rsidRPr="00A47B41">
        <w:rPr>
          <w:sz w:val="22"/>
          <w:szCs w:val="22"/>
        </w:rPr>
        <w:t xml:space="preserve"> í </w:t>
      </w:r>
      <w:proofErr w:type="spellStart"/>
      <w:r w:rsidR="00F515F5" w:rsidRPr="00A47B41">
        <w:rPr>
          <w:sz w:val="22"/>
          <w:szCs w:val="22"/>
        </w:rPr>
        <w:t>nýsköpun</w:t>
      </w:r>
      <w:proofErr w:type="spellEnd"/>
      <w:r w:rsidR="00F515F5" w:rsidRPr="00A47B41">
        <w:rPr>
          <w:sz w:val="22"/>
          <w:szCs w:val="22"/>
        </w:rPr>
        <w:t xml:space="preserve"> í </w:t>
      </w:r>
      <w:proofErr w:type="spellStart"/>
      <w:r w:rsidR="004D23DD" w:rsidRPr="00A47B41">
        <w:rPr>
          <w:sz w:val="22"/>
          <w:szCs w:val="22"/>
        </w:rPr>
        <w:t>þekkingariðnaði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s.s.</w:t>
      </w:r>
      <w:proofErr w:type="spellEnd"/>
      <w:r w:rsidR="004D23DD" w:rsidRPr="00A47B41">
        <w:rPr>
          <w:sz w:val="22"/>
          <w:szCs w:val="22"/>
        </w:rPr>
        <w:t xml:space="preserve"> í </w:t>
      </w:r>
      <w:proofErr w:type="spellStart"/>
      <w:proofErr w:type="gramStart"/>
      <w:r w:rsidR="004D23DD" w:rsidRPr="00A47B41">
        <w:rPr>
          <w:sz w:val="22"/>
          <w:szCs w:val="22"/>
        </w:rPr>
        <w:t>sjávarútvegi,heilbrigðismálum</w:t>
      </w:r>
      <w:proofErr w:type="spellEnd"/>
      <w:proofErr w:type="gram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og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verkfræði</w:t>
      </w:r>
      <w:proofErr w:type="spellEnd"/>
      <w:r w:rsidR="004D23DD" w:rsidRPr="00A47B41">
        <w:rPr>
          <w:sz w:val="22"/>
          <w:szCs w:val="22"/>
        </w:rPr>
        <w:t xml:space="preserve">. </w:t>
      </w:r>
      <w:proofErr w:type="spellStart"/>
      <w:r w:rsidR="004D23DD" w:rsidRPr="00A47B41">
        <w:rPr>
          <w:sz w:val="22"/>
          <w:szCs w:val="22"/>
        </w:rPr>
        <w:t>Með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því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að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tengja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það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saman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við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háskólann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og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námi</w:t>
      </w:r>
      <w:proofErr w:type="spellEnd"/>
      <w:r w:rsidR="004D23DD" w:rsidRPr="00A47B41">
        <w:rPr>
          <w:sz w:val="22"/>
          <w:szCs w:val="22"/>
        </w:rPr>
        <w:t xml:space="preserve"> í </w:t>
      </w:r>
      <w:proofErr w:type="spellStart"/>
      <w:r w:rsidR="004D23DD" w:rsidRPr="00A47B41">
        <w:rPr>
          <w:sz w:val="22"/>
          <w:szCs w:val="22"/>
        </w:rPr>
        <w:t>tækni</w:t>
      </w:r>
      <w:r w:rsidR="007432ED" w:rsidRPr="00A47B41">
        <w:rPr>
          <w:sz w:val="22"/>
          <w:szCs w:val="22"/>
        </w:rPr>
        <w:t>fræði</w:t>
      </w:r>
      <w:proofErr w:type="spellEnd"/>
      <w:r w:rsidR="007432ED" w:rsidRPr="00A47B41">
        <w:rPr>
          <w:sz w:val="22"/>
          <w:szCs w:val="22"/>
        </w:rPr>
        <w:t xml:space="preserve">, </w:t>
      </w:r>
      <w:proofErr w:type="spellStart"/>
      <w:r w:rsidR="007432ED" w:rsidRPr="00A47B41">
        <w:rPr>
          <w:sz w:val="22"/>
          <w:szCs w:val="22"/>
        </w:rPr>
        <w:t>sjávarútvegsfræði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og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viðskiptafræði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skapast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virði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proofErr w:type="gramStart"/>
      <w:r w:rsidR="004D23DD" w:rsidRPr="00A47B41">
        <w:rPr>
          <w:sz w:val="22"/>
          <w:szCs w:val="22"/>
        </w:rPr>
        <w:t>sem</w:t>
      </w:r>
      <w:proofErr w:type="spellEnd"/>
      <w:r w:rsidR="004D23DD" w:rsidRPr="00A47B41">
        <w:rPr>
          <w:sz w:val="22"/>
          <w:szCs w:val="22"/>
        </w:rPr>
        <w:t xml:space="preserve">  </w:t>
      </w:r>
      <w:proofErr w:type="spellStart"/>
      <w:r w:rsidR="004D23DD" w:rsidRPr="00A47B41">
        <w:rPr>
          <w:sz w:val="22"/>
          <w:szCs w:val="22"/>
        </w:rPr>
        <w:t>gerir</w:t>
      </w:r>
      <w:proofErr w:type="spellEnd"/>
      <w:proofErr w:type="gram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það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að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verkum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að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Háskólinn</w:t>
      </w:r>
      <w:proofErr w:type="spellEnd"/>
      <w:r w:rsidR="004D23DD" w:rsidRPr="00A47B41">
        <w:rPr>
          <w:sz w:val="22"/>
          <w:szCs w:val="22"/>
        </w:rPr>
        <w:t xml:space="preserve"> á Akureyri </w:t>
      </w:r>
      <w:proofErr w:type="spellStart"/>
      <w:r w:rsidR="004D23DD" w:rsidRPr="00A47B41">
        <w:rPr>
          <w:sz w:val="22"/>
          <w:szCs w:val="22"/>
        </w:rPr>
        <w:t>styrkist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enn</w:t>
      </w:r>
      <w:proofErr w:type="spellEnd"/>
      <w:r w:rsidR="004D23DD" w:rsidRPr="00A47B41">
        <w:rPr>
          <w:sz w:val="22"/>
          <w:szCs w:val="22"/>
        </w:rPr>
        <w:t xml:space="preserve"> </w:t>
      </w:r>
      <w:proofErr w:type="spellStart"/>
      <w:r w:rsidR="004D23DD" w:rsidRPr="00A47B41">
        <w:rPr>
          <w:sz w:val="22"/>
          <w:szCs w:val="22"/>
        </w:rPr>
        <w:t>frekar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A47A8D" w:rsidRPr="00A47B41">
        <w:rPr>
          <w:sz w:val="22"/>
          <w:szCs w:val="22"/>
        </w:rPr>
        <w:t>sem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A47A8D" w:rsidRPr="00A47B41">
        <w:rPr>
          <w:sz w:val="22"/>
          <w:szCs w:val="22"/>
        </w:rPr>
        <w:t>akademísk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A47A8D" w:rsidRPr="00A47B41">
        <w:rPr>
          <w:sz w:val="22"/>
          <w:szCs w:val="22"/>
        </w:rPr>
        <w:t>stofnun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en</w:t>
      </w:r>
      <w:proofErr w:type="spellEnd"/>
      <w:r w:rsidR="007432ED" w:rsidRPr="00A47B41">
        <w:rPr>
          <w:sz w:val="22"/>
          <w:szCs w:val="22"/>
        </w:rPr>
        <w:t xml:space="preserve"> ekki </w:t>
      </w:r>
      <w:proofErr w:type="spellStart"/>
      <w:r w:rsidR="007432ED" w:rsidRPr="00A47B41">
        <w:rPr>
          <w:sz w:val="22"/>
          <w:szCs w:val="22"/>
        </w:rPr>
        <w:t>síður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A47A8D" w:rsidRPr="00A47B41">
        <w:rPr>
          <w:sz w:val="22"/>
          <w:szCs w:val="22"/>
        </w:rPr>
        <w:t>stofnun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A47A8D" w:rsidRPr="00A47B41">
        <w:rPr>
          <w:sz w:val="22"/>
          <w:szCs w:val="22"/>
        </w:rPr>
        <w:t>sem</w:t>
      </w:r>
      <w:proofErr w:type="spellEnd"/>
      <w:r w:rsidR="00A47A8D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þarf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að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fylgja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eftir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tækniþróun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og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þörfun</w:t>
      </w:r>
      <w:proofErr w:type="spellEnd"/>
      <w:r w:rsidR="0055503E" w:rsidRPr="00A47B41">
        <w:rPr>
          <w:sz w:val="22"/>
          <w:szCs w:val="22"/>
        </w:rPr>
        <w:t xml:space="preserve"> </w:t>
      </w:r>
      <w:proofErr w:type="spellStart"/>
      <w:r w:rsidR="0055503E" w:rsidRPr="00A47B41">
        <w:rPr>
          <w:sz w:val="22"/>
          <w:szCs w:val="22"/>
        </w:rPr>
        <w:t>atvinnulífsins</w:t>
      </w:r>
      <w:proofErr w:type="spellEnd"/>
      <w:r w:rsidR="0055503E" w:rsidRPr="00A47B41">
        <w:rPr>
          <w:sz w:val="22"/>
          <w:szCs w:val="22"/>
        </w:rPr>
        <w:t xml:space="preserve">. </w:t>
      </w:r>
      <w:proofErr w:type="spellStart"/>
      <w:r w:rsidR="007432ED" w:rsidRPr="00A47B41">
        <w:rPr>
          <w:sz w:val="22"/>
          <w:szCs w:val="22"/>
        </w:rPr>
        <w:t>Þá</w:t>
      </w:r>
      <w:proofErr w:type="spellEnd"/>
      <w:r w:rsidR="007432ED" w:rsidRPr="00A47B41">
        <w:rPr>
          <w:sz w:val="22"/>
          <w:szCs w:val="22"/>
        </w:rPr>
        <w:t xml:space="preserve"> </w:t>
      </w:r>
      <w:proofErr w:type="spellStart"/>
      <w:r w:rsidR="007432ED" w:rsidRPr="00A47B41">
        <w:rPr>
          <w:sz w:val="22"/>
          <w:szCs w:val="22"/>
        </w:rPr>
        <w:t>er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mikilvægt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að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bjóða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upp</w:t>
      </w:r>
      <w:proofErr w:type="spellEnd"/>
      <w:r w:rsidR="00304343" w:rsidRPr="00A47B41">
        <w:rPr>
          <w:sz w:val="22"/>
          <w:szCs w:val="22"/>
        </w:rPr>
        <w:t xml:space="preserve"> á </w:t>
      </w:r>
      <w:proofErr w:type="spellStart"/>
      <w:r w:rsidR="00304343" w:rsidRPr="00A47B41">
        <w:rPr>
          <w:sz w:val="22"/>
          <w:szCs w:val="22"/>
        </w:rPr>
        <w:t>greinar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sem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mögulega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karlmenn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myndu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frekar</w:t>
      </w:r>
      <w:proofErr w:type="spellEnd"/>
      <w:r w:rsidR="00304343" w:rsidRPr="00A47B41">
        <w:rPr>
          <w:sz w:val="22"/>
          <w:szCs w:val="22"/>
        </w:rPr>
        <w:t xml:space="preserve"> </w:t>
      </w:r>
      <w:proofErr w:type="spellStart"/>
      <w:r w:rsidR="00304343" w:rsidRPr="00A47B41">
        <w:rPr>
          <w:sz w:val="22"/>
          <w:szCs w:val="22"/>
        </w:rPr>
        <w:t>sækja</w:t>
      </w:r>
      <w:proofErr w:type="spellEnd"/>
      <w:r w:rsidR="00304343" w:rsidRPr="00A47B41">
        <w:rPr>
          <w:sz w:val="22"/>
          <w:szCs w:val="22"/>
        </w:rPr>
        <w:t xml:space="preserve"> í </w:t>
      </w:r>
      <w:proofErr w:type="spellStart"/>
      <w:r w:rsidR="001432E2" w:rsidRPr="00A47B41">
        <w:rPr>
          <w:sz w:val="22"/>
          <w:szCs w:val="22"/>
        </w:rPr>
        <w:t>enda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eru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mun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fleiri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konur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en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karlar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sem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útskrifast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úr</w:t>
      </w:r>
      <w:proofErr w:type="spellEnd"/>
      <w:r w:rsidR="001432E2" w:rsidRPr="00A47B41">
        <w:rPr>
          <w:sz w:val="22"/>
          <w:szCs w:val="22"/>
        </w:rPr>
        <w:t xml:space="preserve"> </w:t>
      </w:r>
      <w:proofErr w:type="spellStart"/>
      <w:r w:rsidR="001432E2" w:rsidRPr="00A47B41">
        <w:rPr>
          <w:sz w:val="22"/>
          <w:szCs w:val="22"/>
        </w:rPr>
        <w:t>háskóla</w:t>
      </w:r>
      <w:proofErr w:type="spellEnd"/>
      <w:r w:rsidR="00304343" w:rsidRPr="00A47B41">
        <w:rPr>
          <w:sz w:val="22"/>
          <w:szCs w:val="22"/>
        </w:rPr>
        <w:t xml:space="preserve">, </w:t>
      </w:r>
      <w:proofErr w:type="spellStart"/>
      <w:r w:rsidR="00304343" w:rsidRPr="00A47B41">
        <w:rPr>
          <w:sz w:val="22"/>
          <w:szCs w:val="22"/>
        </w:rPr>
        <w:t>sérstaklega</w:t>
      </w:r>
      <w:proofErr w:type="spellEnd"/>
      <w:r w:rsidR="00304343" w:rsidRPr="00A47B41">
        <w:rPr>
          <w:sz w:val="22"/>
          <w:szCs w:val="22"/>
        </w:rPr>
        <w:t xml:space="preserve"> á </w:t>
      </w:r>
      <w:proofErr w:type="spellStart"/>
      <w:r w:rsidR="00304343" w:rsidRPr="00A47B41">
        <w:rPr>
          <w:sz w:val="22"/>
          <w:szCs w:val="22"/>
        </w:rPr>
        <w:t>landsbyggðinni</w:t>
      </w:r>
      <w:proofErr w:type="spellEnd"/>
      <w:r w:rsidR="00BA543A" w:rsidRPr="00A47B41">
        <w:rPr>
          <w:sz w:val="22"/>
          <w:szCs w:val="22"/>
        </w:rPr>
        <w:t xml:space="preserve">.  </w:t>
      </w:r>
      <w:proofErr w:type="spellStart"/>
      <w:r w:rsidR="00BA543A" w:rsidRPr="00A47B41">
        <w:rPr>
          <w:sz w:val="22"/>
          <w:szCs w:val="22"/>
        </w:rPr>
        <w:t>Árið</w:t>
      </w:r>
      <w:proofErr w:type="spellEnd"/>
      <w:r w:rsidR="00BA543A" w:rsidRPr="00A47B41">
        <w:rPr>
          <w:sz w:val="22"/>
          <w:szCs w:val="22"/>
        </w:rPr>
        <w:t xml:space="preserve"> 2017 </w:t>
      </w:r>
      <w:proofErr w:type="spellStart"/>
      <w:r w:rsidR="00BA543A" w:rsidRPr="00A47B41">
        <w:rPr>
          <w:sz w:val="22"/>
          <w:szCs w:val="22"/>
        </w:rPr>
        <w:t>hafði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ríflega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helmingur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kvenna</w:t>
      </w:r>
      <w:proofErr w:type="spellEnd"/>
      <w:r w:rsidR="00BA543A" w:rsidRPr="00A47B41">
        <w:rPr>
          <w:sz w:val="22"/>
          <w:szCs w:val="22"/>
        </w:rPr>
        <w:t xml:space="preserve"> á </w:t>
      </w:r>
      <w:proofErr w:type="spellStart"/>
      <w:r w:rsidR="00BA543A" w:rsidRPr="00A47B41">
        <w:rPr>
          <w:sz w:val="22"/>
          <w:szCs w:val="22"/>
        </w:rPr>
        <w:lastRenderedPageBreak/>
        <w:t>aldrinum</w:t>
      </w:r>
      <w:proofErr w:type="spellEnd"/>
      <w:r w:rsidR="00BA543A" w:rsidRPr="00A47B41">
        <w:rPr>
          <w:sz w:val="22"/>
          <w:szCs w:val="22"/>
        </w:rPr>
        <w:t xml:space="preserve"> 25-64 </w:t>
      </w:r>
      <w:proofErr w:type="spellStart"/>
      <w:r w:rsidR="00BA543A" w:rsidRPr="00A47B41">
        <w:rPr>
          <w:sz w:val="22"/>
          <w:szCs w:val="22"/>
        </w:rPr>
        <w:t>ára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lokið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háskólagráðu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samanborið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við</w:t>
      </w:r>
      <w:proofErr w:type="spellEnd"/>
      <w:r w:rsidR="00BA543A" w:rsidRPr="00A47B41">
        <w:rPr>
          <w:sz w:val="22"/>
          <w:szCs w:val="22"/>
        </w:rPr>
        <w:t xml:space="preserve"> 35% </w:t>
      </w:r>
      <w:proofErr w:type="spellStart"/>
      <w:r w:rsidR="00BA543A" w:rsidRPr="00A47B41">
        <w:rPr>
          <w:sz w:val="22"/>
          <w:szCs w:val="22"/>
        </w:rPr>
        <w:t>karla</w:t>
      </w:r>
      <w:proofErr w:type="spellEnd"/>
      <w:r w:rsidR="00BA543A" w:rsidRPr="00A47B41">
        <w:rPr>
          <w:sz w:val="22"/>
          <w:szCs w:val="22"/>
        </w:rPr>
        <w:t xml:space="preserve">. </w:t>
      </w:r>
      <w:proofErr w:type="spellStart"/>
      <w:r w:rsidR="00BA543A" w:rsidRPr="00A47B41">
        <w:rPr>
          <w:sz w:val="22"/>
          <w:szCs w:val="22"/>
        </w:rPr>
        <w:t>Bilið</w:t>
      </w:r>
      <w:proofErr w:type="spellEnd"/>
      <w:r w:rsidR="00BA543A" w:rsidRPr="00A47B41">
        <w:rPr>
          <w:sz w:val="22"/>
          <w:szCs w:val="22"/>
        </w:rPr>
        <w:t xml:space="preserve"> milli </w:t>
      </w:r>
      <w:proofErr w:type="spellStart"/>
      <w:r w:rsidR="00BA543A" w:rsidRPr="00A47B41">
        <w:rPr>
          <w:sz w:val="22"/>
          <w:szCs w:val="22"/>
        </w:rPr>
        <w:t>kynja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hefur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farið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breikkandi</w:t>
      </w:r>
      <w:proofErr w:type="spellEnd"/>
      <w:r w:rsidR="00BA543A" w:rsidRPr="00A47B41">
        <w:rPr>
          <w:sz w:val="22"/>
          <w:szCs w:val="22"/>
        </w:rPr>
        <w:t xml:space="preserve">. Á milli </w:t>
      </w:r>
      <w:proofErr w:type="spellStart"/>
      <w:r w:rsidR="00BA543A" w:rsidRPr="00A47B41">
        <w:rPr>
          <w:sz w:val="22"/>
          <w:szCs w:val="22"/>
        </w:rPr>
        <w:t>áranna</w:t>
      </w:r>
      <w:proofErr w:type="spellEnd"/>
      <w:r w:rsidR="00BA543A" w:rsidRPr="00A47B41">
        <w:rPr>
          <w:sz w:val="22"/>
          <w:szCs w:val="22"/>
        </w:rPr>
        <w:t xml:space="preserve"> 1997 </w:t>
      </w:r>
      <w:proofErr w:type="spellStart"/>
      <w:r w:rsidR="00BA543A" w:rsidRPr="00A47B41">
        <w:rPr>
          <w:sz w:val="22"/>
          <w:szCs w:val="22"/>
        </w:rPr>
        <w:t>og</w:t>
      </w:r>
      <w:proofErr w:type="spellEnd"/>
      <w:r w:rsidR="00BA543A" w:rsidRPr="00A47B41">
        <w:rPr>
          <w:sz w:val="22"/>
          <w:szCs w:val="22"/>
        </w:rPr>
        <w:t xml:space="preserve"> 2017 </w:t>
      </w:r>
      <w:proofErr w:type="spellStart"/>
      <w:r w:rsidR="00BA543A" w:rsidRPr="00A47B41">
        <w:rPr>
          <w:sz w:val="22"/>
          <w:szCs w:val="22"/>
        </w:rPr>
        <w:t>fjölgaði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körlum</w:t>
      </w:r>
      <w:proofErr w:type="spellEnd"/>
      <w:r w:rsidR="00BA543A" w:rsidRPr="00A47B41">
        <w:rPr>
          <w:sz w:val="22"/>
          <w:szCs w:val="22"/>
        </w:rPr>
        <w:t xml:space="preserve"> í </w:t>
      </w:r>
      <w:proofErr w:type="spellStart"/>
      <w:r w:rsidR="00BA543A" w:rsidRPr="00A47B41">
        <w:rPr>
          <w:sz w:val="22"/>
          <w:szCs w:val="22"/>
        </w:rPr>
        <w:t>háskólanámi</w:t>
      </w:r>
      <w:proofErr w:type="spellEnd"/>
      <w:r w:rsidR="00BA543A" w:rsidRPr="00A47B41">
        <w:rPr>
          <w:sz w:val="22"/>
          <w:szCs w:val="22"/>
        </w:rPr>
        <w:t xml:space="preserve"> um 101% </w:t>
      </w:r>
      <w:proofErr w:type="spellStart"/>
      <w:r w:rsidR="00BA543A" w:rsidRPr="00A47B41">
        <w:rPr>
          <w:sz w:val="22"/>
          <w:szCs w:val="22"/>
        </w:rPr>
        <w:t>en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konum</w:t>
      </w:r>
      <w:proofErr w:type="spellEnd"/>
      <w:r w:rsidR="00BA543A" w:rsidRPr="00A47B41">
        <w:rPr>
          <w:sz w:val="22"/>
          <w:szCs w:val="22"/>
        </w:rPr>
        <w:t xml:space="preserve"> um 132%</w:t>
      </w:r>
      <w:r w:rsidR="00BA543A" w:rsidRPr="00A47B41">
        <w:rPr>
          <w:sz w:val="22"/>
          <w:szCs w:val="22"/>
        </w:rPr>
        <w:t>.</w:t>
      </w:r>
      <w:r w:rsidR="00BA543A" w:rsidRPr="00A47B41">
        <w:rPr>
          <w:rStyle w:val="FootnoteReference"/>
          <w:sz w:val="22"/>
          <w:szCs w:val="22"/>
        </w:rPr>
        <w:footnoteReference w:id="1"/>
      </w:r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Og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karlar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sækja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mun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meira</w:t>
      </w:r>
      <w:proofErr w:type="spellEnd"/>
      <w:r w:rsidR="00BA543A" w:rsidRPr="00A47B41">
        <w:rPr>
          <w:sz w:val="22"/>
          <w:szCs w:val="22"/>
        </w:rPr>
        <w:t xml:space="preserve"> í </w:t>
      </w:r>
      <w:proofErr w:type="spellStart"/>
      <w:r w:rsidR="00BA543A" w:rsidRPr="00A47B41">
        <w:rPr>
          <w:sz w:val="22"/>
          <w:szCs w:val="22"/>
        </w:rPr>
        <w:t>raunvísindi</w:t>
      </w:r>
      <w:proofErr w:type="spellEnd"/>
      <w:r w:rsidR="00BA543A" w:rsidRPr="00A47B41">
        <w:rPr>
          <w:sz w:val="22"/>
          <w:szCs w:val="22"/>
        </w:rPr>
        <w:t xml:space="preserve">, </w:t>
      </w:r>
      <w:proofErr w:type="spellStart"/>
      <w:r w:rsidR="00BA543A" w:rsidRPr="00A47B41">
        <w:rPr>
          <w:sz w:val="22"/>
          <w:szCs w:val="22"/>
        </w:rPr>
        <w:t>stærðfræði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og</w:t>
      </w:r>
      <w:proofErr w:type="spellEnd"/>
      <w:r w:rsidR="00BA543A" w:rsidRPr="00A47B41">
        <w:rPr>
          <w:sz w:val="22"/>
          <w:szCs w:val="22"/>
        </w:rPr>
        <w:t xml:space="preserve"> </w:t>
      </w:r>
      <w:proofErr w:type="spellStart"/>
      <w:r w:rsidR="00BA543A" w:rsidRPr="00A47B41">
        <w:rPr>
          <w:sz w:val="22"/>
          <w:szCs w:val="22"/>
        </w:rPr>
        <w:t>tölvunarfræði</w:t>
      </w:r>
      <w:proofErr w:type="spellEnd"/>
      <w:r w:rsidR="00BA543A" w:rsidRPr="00A47B41">
        <w:rPr>
          <w:sz w:val="22"/>
          <w:szCs w:val="22"/>
        </w:rPr>
        <w:t>.</w:t>
      </w:r>
      <w:r w:rsidR="00BA543A" w:rsidRPr="00A47B41">
        <w:rPr>
          <w:rStyle w:val="FootnoteReference"/>
          <w:sz w:val="22"/>
          <w:szCs w:val="22"/>
        </w:rPr>
        <w:footnoteReference w:id="2"/>
      </w:r>
    </w:p>
    <w:p w14:paraId="6DE21A58" w14:textId="66FDE0FB" w:rsidR="00BA543A" w:rsidRPr="00A47B41" w:rsidRDefault="00BA543A" w:rsidP="00A47B41">
      <w:pPr>
        <w:rPr>
          <w:sz w:val="22"/>
          <w:szCs w:val="22"/>
        </w:rPr>
      </w:pPr>
    </w:p>
    <w:p w14:paraId="024AB34F" w14:textId="5B986456" w:rsidR="007432ED" w:rsidRPr="00A47B41" w:rsidRDefault="007432ED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Áhersla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rannsóknir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miður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lítil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Háskólanum</w:t>
      </w:r>
      <w:proofErr w:type="spellEnd"/>
      <w:r w:rsidRPr="00A47B41">
        <w:rPr>
          <w:sz w:val="22"/>
          <w:szCs w:val="22"/>
        </w:rPr>
        <w:t xml:space="preserve"> á Akureyri. </w:t>
      </w:r>
      <w:proofErr w:type="spellStart"/>
      <w:r w:rsidRPr="00A47B41">
        <w:rPr>
          <w:sz w:val="22"/>
          <w:szCs w:val="22"/>
        </w:rPr>
        <w:t>Ástæðan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fjárskortur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M</w:t>
      </w:r>
      <w:r w:rsidR="00BA0EA1" w:rsidRPr="00A47B41">
        <w:rPr>
          <w:sz w:val="22"/>
          <w:szCs w:val="22"/>
        </w:rPr>
        <w:t>i</w:t>
      </w:r>
      <w:r w:rsidRPr="00A47B41">
        <w:rPr>
          <w:sz w:val="22"/>
          <w:szCs w:val="22"/>
        </w:rPr>
        <w:t>kill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vilji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hjá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háskólayfirvöldum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byggja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þær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upp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vill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sveitarfélagið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styðja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beinum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óbeinum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hætti</w:t>
      </w:r>
      <w:proofErr w:type="spellEnd"/>
      <w:r w:rsidRPr="00A47B41">
        <w:rPr>
          <w:sz w:val="22"/>
          <w:szCs w:val="22"/>
        </w:rPr>
        <w:t xml:space="preserve">. </w:t>
      </w:r>
    </w:p>
    <w:p w14:paraId="004E1C79" w14:textId="4FA710A5" w:rsidR="00A47B41" w:rsidRPr="00A47B41" w:rsidRDefault="00A47B41" w:rsidP="00A47B41">
      <w:pPr>
        <w:rPr>
          <w:sz w:val="22"/>
          <w:szCs w:val="22"/>
        </w:rPr>
      </w:pPr>
    </w:p>
    <w:p w14:paraId="5AAAA637" w14:textId="4ACF37F4" w:rsidR="00A47B41" w:rsidRPr="00A47B41" w:rsidRDefault="00A47B41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Akureyrarbær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leggur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áherslu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Grænbók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fjárveitingar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tryggt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haldi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sérstöðu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frekar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horft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aðgerða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efla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starfsemina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heldur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veikja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rekstrargrundvöll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þeirra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fjölmörg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tækifæri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sóknar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þessum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skólum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s.s.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Háskólanum</w:t>
      </w:r>
      <w:proofErr w:type="spellEnd"/>
      <w:r w:rsidRPr="00A47B41">
        <w:rPr>
          <w:sz w:val="22"/>
          <w:szCs w:val="22"/>
        </w:rPr>
        <w:t xml:space="preserve"> á Akureyri.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ákaflega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mikilvægt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samkeppnishæfni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nýsköpunarstarf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landsbyggðinni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sérstaklega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4. </w:t>
      </w:r>
      <w:proofErr w:type="spellStart"/>
      <w:r w:rsidR="00645CA9">
        <w:rPr>
          <w:sz w:val="22"/>
          <w:szCs w:val="22"/>
        </w:rPr>
        <w:t>o</w:t>
      </w:r>
      <w:r w:rsidRPr="00A47B41">
        <w:rPr>
          <w:sz w:val="22"/>
          <w:szCs w:val="22"/>
        </w:rPr>
        <w:t>g</w:t>
      </w:r>
      <w:proofErr w:type="spellEnd"/>
      <w:r w:rsidRPr="00A47B41">
        <w:rPr>
          <w:sz w:val="22"/>
          <w:szCs w:val="22"/>
        </w:rPr>
        <w:t xml:space="preserve"> 5. </w:t>
      </w:r>
      <w:proofErr w:type="spellStart"/>
      <w:r w:rsidRPr="00A47B41">
        <w:rPr>
          <w:sz w:val="22"/>
          <w:szCs w:val="22"/>
        </w:rPr>
        <w:t>iðnbyltingunni</w:t>
      </w:r>
      <w:proofErr w:type="spellEnd"/>
      <w:r w:rsidRPr="00A47B41">
        <w:rPr>
          <w:sz w:val="22"/>
          <w:szCs w:val="22"/>
        </w:rPr>
        <w:t xml:space="preserve">.  </w:t>
      </w:r>
    </w:p>
    <w:p w14:paraId="6374BF09" w14:textId="77777777" w:rsidR="00BA0EA1" w:rsidRPr="00A47B41" w:rsidRDefault="00BA0EA1" w:rsidP="00A47B41">
      <w:pPr>
        <w:rPr>
          <w:sz w:val="22"/>
          <w:szCs w:val="22"/>
        </w:rPr>
      </w:pPr>
    </w:p>
    <w:p w14:paraId="10D1A04D" w14:textId="1C04693A" w:rsidR="00BA0EA1" w:rsidRPr="00A47B41" w:rsidRDefault="00BA0EA1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Háskólann</w:t>
      </w:r>
      <w:proofErr w:type="spellEnd"/>
      <w:r w:rsidRPr="00A47B41">
        <w:rPr>
          <w:sz w:val="22"/>
          <w:szCs w:val="22"/>
        </w:rPr>
        <w:t xml:space="preserve"> á Akureyri,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háskólinn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utan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höfuðborgarsvæðisins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viðurkenningu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námsframboðs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öllum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námsstigum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(</w:t>
      </w:r>
      <w:proofErr w:type="spellStart"/>
      <w:r w:rsidRPr="00A47B41">
        <w:rPr>
          <w:sz w:val="22"/>
          <w:szCs w:val="22"/>
        </w:rPr>
        <w:t>bakkalár</w:t>
      </w:r>
      <w:proofErr w:type="spellEnd"/>
      <w:r w:rsidRPr="00A47B41">
        <w:rPr>
          <w:sz w:val="22"/>
          <w:szCs w:val="22"/>
        </w:rPr>
        <w:t xml:space="preserve">-, </w:t>
      </w:r>
      <w:proofErr w:type="spellStart"/>
      <w:r w:rsidRPr="00A47B41">
        <w:rPr>
          <w:sz w:val="22"/>
          <w:szCs w:val="22"/>
        </w:rPr>
        <w:t>meistara</w:t>
      </w:r>
      <w:proofErr w:type="spellEnd"/>
      <w:r w:rsidRPr="00A47B41">
        <w:rPr>
          <w:sz w:val="22"/>
          <w:szCs w:val="22"/>
        </w:rPr>
        <w:t xml:space="preserve">-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doktorsgráðu</w:t>
      </w:r>
      <w:proofErr w:type="spellEnd"/>
      <w:r w:rsidRPr="00A47B41">
        <w:rPr>
          <w:sz w:val="22"/>
          <w:szCs w:val="22"/>
        </w:rPr>
        <w:t xml:space="preserve">) </w:t>
      </w:r>
      <w:proofErr w:type="spellStart"/>
      <w:r w:rsidR="00AE2FB5">
        <w:rPr>
          <w:sz w:val="22"/>
          <w:szCs w:val="22"/>
        </w:rPr>
        <w:t>og</w:t>
      </w:r>
      <w:proofErr w:type="spellEnd"/>
      <w:r w:rsidR="00AE2FB5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örum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vexti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bæði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rannsóknarlega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útfrá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nemendafjölda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algerlega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nauðsynlegt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nýju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líkani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tekið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tilllit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sérstöðu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samfélagslegrar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þjónustu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árangri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rannsóknum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gæðum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náms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="004651C3">
        <w:rPr>
          <w:rFonts w:cstheme="minorHAnsi"/>
          <w:color w:val="000000"/>
          <w:sz w:val="22"/>
          <w:szCs w:val="22"/>
        </w:rPr>
        <w:t>Grænbók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til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fjárveitinga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til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háskóla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er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verið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að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leggja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til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aðgreiningu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á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háskólum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þannig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að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sumir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verði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rannsóknarháskólar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en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aðrir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fagháskólar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. Í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fagháskólum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er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gert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ráð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fyrir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hærra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hlutfalli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kennslu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í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starfi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kennara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sem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mun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þýða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minni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rannsóknarstarfsemi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.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Ef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H</w:t>
      </w:r>
      <w:r w:rsidR="004651C3">
        <w:rPr>
          <w:rFonts w:cstheme="minorHAnsi"/>
          <w:color w:val="000000"/>
          <w:sz w:val="22"/>
          <w:szCs w:val="22"/>
        </w:rPr>
        <w:t>áskólinn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á Akureyri</w:t>
      </w:r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yrði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skilgreindur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sem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fagháskóli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myndir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það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gerbreyta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skipulagi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skólans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og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hafa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víðtæk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áhrif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á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búsetu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starfsmanna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vegna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sívaxandi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fjölda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háskólanema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í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sveigjanlegu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 w:rsidRPr="00941974">
        <w:rPr>
          <w:rFonts w:cstheme="minorHAnsi"/>
          <w:color w:val="000000"/>
          <w:sz w:val="22"/>
          <w:szCs w:val="22"/>
        </w:rPr>
        <w:t>fjarnámi</w:t>
      </w:r>
      <w:proofErr w:type="spellEnd"/>
      <w:r w:rsidR="004651C3" w:rsidRPr="00941974">
        <w:rPr>
          <w:rFonts w:cstheme="minorHAnsi"/>
          <w:color w:val="000000"/>
          <w:sz w:val="22"/>
          <w:szCs w:val="22"/>
        </w:rPr>
        <w:t>.</w:t>
      </w:r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Slík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breyting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myndi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hafa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miklar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afleiðingar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fyrir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Akureyrarbæ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og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því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er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lögð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rík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áhersla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á </w:t>
      </w:r>
      <w:proofErr w:type="spellStart"/>
      <w:r w:rsidR="004651C3">
        <w:rPr>
          <w:rFonts w:cstheme="minorHAnsi"/>
          <w:color w:val="000000"/>
          <w:sz w:val="22"/>
          <w:szCs w:val="22"/>
        </w:rPr>
        <w:t>að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Háskólinn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á Akureyri </w:t>
      </w:r>
      <w:proofErr w:type="spellStart"/>
      <w:r w:rsidR="004651C3">
        <w:rPr>
          <w:rFonts w:cstheme="minorHAnsi"/>
          <w:color w:val="000000"/>
          <w:sz w:val="22"/>
          <w:szCs w:val="22"/>
        </w:rPr>
        <w:t>verði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skilgreindur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sem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rannsóknarháskóli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komi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til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þess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að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slík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skipting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verði</w:t>
      </w:r>
      <w:proofErr w:type="spellEnd"/>
      <w:r w:rsidR="004651C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51C3">
        <w:rPr>
          <w:rFonts w:cstheme="minorHAnsi"/>
          <w:color w:val="000000"/>
          <w:sz w:val="22"/>
          <w:szCs w:val="22"/>
        </w:rPr>
        <w:t>lögleidd</w:t>
      </w:r>
      <w:proofErr w:type="spellEnd"/>
      <w:r w:rsidR="004651C3">
        <w:rPr>
          <w:rFonts w:cstheme="minorHAnsi"/>
          <w:color w:val="000000"/>
          <w:sz w:val="22"/>
          <w:szCs w:val="22"/>
        </w:rPr>
        <w:t>.</w:t>
      </w:r>
    </w:p>
    <w:p w14:paraId="4A601790" w14:textId="77777777" w:rsidR="00BA0EA1" w:rsidRPr="00A47B41" w:rsidRDefault="00BA0EA1" w:rsidP="00A47B41">
      <w:pPr>
        <w:rPr>
          <w:sz w:val="22"/>
          <w:szCs w:val="22"/>
        </w:rPr>
      </w:pPr>
    </w:p>
    <w:p w14:paraId="3521C861" w14:textId="15320E55" w:rsidR="00D2062A" w:rsidRPr="00A47B41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Mynd</w:t>
      </w:r>
      <w:proofErr w:type="spellEnd"/>
      <w:r w:rsidRPr="00A47B41">
        <w:rPr>
          <w:sz w:val="22"/>
          <w:szCs w:val="22"/>
        </w:rPr>
        <w:t xml:space="preserve"> 10 í </w:t>
      </w:r>
      <w:proofErr w:type="spellStart"/>
      <w:r w:rsidRPr="00A47B41">
        <w:rPr>
          <w:sz w:val="22"/>
          <w:szCs w:val="22"/>
        </w:rPr>
        <w:t>Grænbókinni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sýnir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árinu</w:t>
      </w:r>
      <w:proofErr w:type="spellEnd"/>
      <w:r w:rsidRPr="00A47B41">
        <w:rPr>
          <w:sz w:val="22"/>
          <w:szCs w:val="22"/>
        </w:rPr>
        <w:t xml:space="preserve"> 2013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2017 </w:t>
      </w:r>
      <w:proofErr w:type="spellStart"/>
      <w:r w:rsidRPr="00A47B41">
        <w:rPr>
          <w:sz w:val="22"/>
          <w:szCs w:val="22"/>
        </w:rPr>
        <w:t>fækkar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nemendum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háskólakerfinu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heild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sinni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Staðreyndin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hinsvegar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sú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veruleg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fjölgun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orðið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Háskólann</w:t>
      </w:r>
      <w:proofErr w:type="spellEnd"/>
      <w:r w:rsidRPr="00A47B41">
        <w:rPr>
          <w:sz w:val="22"/>
          <w:szCs w:val="22"/>
        </w:rPr>
        <w:t xml:space="preserve"> á Akureyri á </w:t>
      </w:r>
      <w:proofErr w:type="spellStart"/>
      <w:r w:rsidRPr="00A47B41">
        <w:rPr>
          <w:sz w:val="22"/>
          <w:szCs w:val="22"/>
        </w:rPr>
        <w:t>þessum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tíma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Þetta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gerist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þrátt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skólinn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hafi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gripið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verulegra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hertra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aðgangstakmarkana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r w:rsidR="003679EB" w:rsidRPr="00A47B41">
        <w:rPr>
          <w:sz w:val="22"/>
          <w:szCs w:val="22"/>
        </w:rPr>
        <w:t xml:space="preserve">taka </w:t>
      </w:r>
      <w:proofErr w:type="spellStart"/>
      <w:r w:rsidR="003679EB" w:rsidRPr="00A47B41">
        <w:rPr>
          <w:sz w:val="22"/>
          <w:szCs w:val="22"/>
        </w:rPr>
        <w:t>upp</w:t>
      </w:r>
      <w:proofErr w:type="spellEnd"/>
      <w:r w:rsidR="003679EB"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samkeppnispróf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ásamt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setja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beinar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fjöldatakmarkanir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námsbrautir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velja</w:t>
      </w:r>
      <w:proofErr w:type="spellEnd"/>
      <w:r w:rsidRPr="00A47B41">
        <w:rPr>
          <w:sz w:val="22"/>
          <w:szCs w:val="22"/>
        </w:rPr>
        <w:t xml:space="preserve"> inn </w:t>
      </w:r>
      <w:proofErr w:type="spellStart"/>
      <w:r w:rsidRPr="00A47B41">
        <w:rPr>
          <w:sz w:val="22"/>
          <w:szCs w:val="22"/>
        </w:rPr>
        <w:t>nemendur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nemendafjölda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HA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allt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öðrum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hætti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nemendafjölda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háskólakerfinu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heild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sinni</w:t>
      </w:r>
      <w:proofErr w:type="spellEnd"/>
      <w:r w:rsidRPr="00A47B41">
        <w:rPr>
          <w:sz w:val="22"/>
          <w:szCs w:val="22"/>
        </w:rPr>
        <w:t>.</w:t>
      </w:r>
      <w:r w:rsidR="00645CA9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Þessi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aukning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orðið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meiri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ef</w:t>
      </w:r>
      <w:proofErr w:type="spellEnd"/>
      <w:r w:rsidRPr="00A47B41">
        <w:rPr>
          <w:sz w:val="22"/>
          <w:szCs w:val="22"/>
        </w:rPr>
        <w:t xml:space="preserve"> ekki </w:t>
      </w:r>
      <w:proofErr w:type="spellStart"/>
      <w:r w:rsidRPr="00A47B41">
        <w:rPr>
          <w:sz w:val="22"/>
          <w:szCs w:val="22"/>
        </w:rPr>
        <w:t>hefði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gripið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þeirra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aðgerða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HA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notað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síðastliðin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þrjú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munu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harðari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haustið</w:t>
      </w:r>
      <w:proofErr w:type="spellEnd"/>
      <w:r w:rsidRPr="00A47B41">
        <w:rPr>
          <w:sz w:val="22"/>
          <w:szCs w:val="22"/>
        </w:rPr>
        <w:t xml:space="preserve"> 2020</w:t>
      </w:r>
      <w:r w:rsidR="004651C3">
        <w:rPr>
          <w:sz w:val="22"/>
          <w:szCs w:val="22"/>
        </w:rPr>
        <w:t>,</w:t>
      </w:r>
      <w:r w:rsidRPr="00A47B41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þ</w:t>
      </w:r>
      <w:r w:rsidR="004651C3">
        <w:rPr>
          <w:sz w:val="22"/>
          <w:szCs w:val="22"/>
        </w:rPr>
        <w:t>ar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sem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fjárveitingar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til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skólans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hafa</w:t>
      </w:r>
      <w:proofErr w:type="spellEnd"/>
      <w:r w:rsidR="004651C3">
        <w:rPr>
          <w:sz w:val="22"/>
          <w:szCs w:val="22"/>
        </w:rPr>
        <w:t xml:space="preserve"> ekki </w:t>
      </w:r>
      <w:proofErr w:type="spellStart"/>
      <w:r w:rsidR="004651C3">
        <w:rPr>
          <w:sz w:val="22"/>
          <w:szCs w:val="22"/>
        </w:rPr>
        <w:t>verið</w:t>
      </w:r>
      <w:proofErr w:type="spellEnd"/>
      <w:r w:rsidR="004651C3">
        <w:rPr>
          <w:sz w:val="22"/>
          <w:szCs w:val="22"/>
        </w:rPr>
        <w:t xml:space="preserve"> í </w:t>
      </w:r>
      <w:proofErr w:type="spellStart"/>
      <w:r w:rsidR="004651C3">
        <w:rPr>
          <w:sz w:val="22"/>
          <w:szCs w:val="22"/>
        </w:rPr>
        <w:t>samræmi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við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þá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miklu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fjölgun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nemenda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sem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sækja</w:t>
      </w:r>
      <w:proofErr w:type="spellEnd"/>
      <w:r w:rsidR="004651C3">
        <w:rPr>
          <w:sz w:val="22"/>
          <w:szCs w:val="22"/>
        </w:rPr>
        <w:t xml:space="preserve"> </w:t>
      </w:r>
      <w:proofErr w:type="spellStart"/>
      <w:r w:rsidR="004651C3">
        <w:rPr>
          <w:sz w:val="22"/>
          <w:szCs w:val="22"/>
        </w:rPr>
        <w:t>þar</w:t>
      </w:r>
      <w:proofErr w:type="spellEnd"/>
      <w:r w:rsidR="004651C3">
        <w:rPr>
          <w:sz w:val="22"/>
          <w:szCs w:val="22"/>
        </w:rPr>
        <w:t xml:space="preserve"> um </w:t>
      </w:r>
      <w:proofErr w:type="spellStart"/>
      <w:r w:rsidR="004651C3">
        <w:rPr>
          <w:sz w:val="22"/>
          <w:szCs w:val="22"/>
        </w:rPr>
        <w:t>nám</w:t>
      </w:r>
      <w:proofErr w:type="spellEnd"/>
      <w:r w:rsidR="004651C3">
        <w:rPr>
          <w:sz w:val="22"/>
          <w:szCs w:val="22"/>
        </w:rPr>
        <w:t>.</w:t>
      </w:r>
    </w:p>
    <w:p w14:paraId="6C10F1D3" w14:textId="25C789BE" w:rsidR="00D2062A" w:rsidRPr="00A47B41" w:rsidRDefault="00D2062A" w:rsidP="00A47B41">
      <w:pPr>
        <w:rPr>
          <w:sz w:val="22"/>
          <w:szCs w:val="22"/>
        </w:rPr>
      </w:pPr>
    </w:p>
    <w:p w14:paraId="3A0FB310" w14:textId="77777777" w:rsidR="00D325E3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Samþykktarhlutfallið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farið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úr</w:t>
      </w:r>
      <w:proofErr w:type="spellEnd"/>
      <w:r w:rsidRPr="00A47B41">
        <w:rPr>
          <w:sz w:val="22"/>
          <w:szCs w:val="22"/>
        </w:rPr>
        <w:t xml:space="preserve"> 92% </w:t>
      </w:r>
      <w:proofErr w:type="spellStart"/>
      <w:r w:rsidRPr="00A47B41">
        <w:rPr>
          <w:sz w:val="22"/>
          <w:szCs w:val="22"/>
        </w:rPr>
        <w:t>niður</w:t>
      </w:r>
      <w:proofErr w:type="spellEnd"/>
      <w:r w:rsidRPr="00A47B41">
        <w:rPr>
          <w:sz w:val="22"/>
          <w:szCs w:val="22"/>
        </w:rPr>
        <w:t xml:space="preserve"> í 73%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HA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næst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lægsta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samþykktar</w:t>
      </w:r>
      <w:r w:rsidR="00645CA9">
        <w:rPr>
          <w:sz w:val="22"/>
          <w:szCs w:val="22"/>
        </w:rPr>
        <w:t>-</w:t>
      </w:r>
      <w:r w:rsidRPr="00A47B41">
        <w:rPr>
          <w:sz w:val="22"/>
          <w:szCs w:val="22"/>
        </w:rPr>
        <w:t>hlutfallið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af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íslenskum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háskólu</w:t>
      </w:r>
      <w:r w:rsidR="00BA0EA1" w:rsidRPr="00A47B41">
        <w:rPr>
          <w:sz w:val="22"/>
          <w:szCs w:val="22"/>
        </w:rPr>
        <w:t>m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einhverju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leyti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mætti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benda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þessi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jákvæð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einfaldlega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samkeppni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meðal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nemenda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námsplássin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aukist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háskólanámsins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Þessi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gengur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hinsvegar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algerlega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gegn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upprunalegu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hugmyndum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stofnun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Háskólans</w:t>
      </w:r>
      <w:proofErr w:type="spellEnd"/>
      <w:r w:rsidRPr="00A47B41">
        <w:rPr>
          <w:sz w:val="22"/>
          <w:szCs w:val="22"/>
        </w:rPr>
        <w:t xml:space="preserve"> á Akureyri </w:t>
      </w:r>
      <w:proofErr w:type="spellStart"/>
      <w:r w:rsidRPr="00A47B41">
        <w:rPr>
          <w:sz w:val="22"/>
          <w:szCs w:val="22"/>
        </w:rPr>
        <w:t>þar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markmiðið</w:t>
      </w:r>
      <w:proofErr w:type="spellEnd"/>
      <w:r w:rsidRPr="00A47B41">
        <w:rPr>
          <w:sz w:val="22"/>
          <w:szCs w:val="22"/>
        </w:rPr>
        <w:t xml:space="preserve"> var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háskólanámi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sérstaklega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fólk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utan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höfuðborgarsvæðisins</w:t>
      </w:r>
      <w:proofErr w:type="spellEnd"/>
      <w:r w:rsidRPr="00A47B41">
        <w:rPr>
          <w:sz w:val="22"/>
          <w:szCs w:val="22"/>
        </w:rPr>
        <w:t xml:space="preserve">. Um 65% </w:t>
      </w:r>
      <w:proofErr w:type="spellStart"/>
      <w:r w:rsidRPr="00A47B41">
        <w:rPr>
          <w:sz w:val="22"/>
          <w:szCs w:val="22"/>
        </w:rPr>
        <w:t>nemenda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HA </w:t>
      </w:r>
      <w:proofErr w:type="spellStart"/>
      <w:r w:rsidRPr="00A47B41">
        <w:rPr>
          <w:sz w:val="22"/>
          <w:szCs w:val="22"/>
        </w:rPr>
        <w:t>koma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svæðum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utan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höfuðborgarinnar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stunda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heimabyggð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Ritrýndar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rannsókna</w:t>
      </w:r>
      <w:r w:rsidR="009626CC">
        <w:rPr>
          <w:sz w:val="22"/>
          <w:szCs w:val="22"/>
        </w:rPr>
        <w:t>r</w:t>
      </w:r>
      <w:r w:rsidRPr="00A47B41">
        <w:rPr>
          <w:sz w:val="22"/>
          <w:szCs w:val="22"/>
        </w:rPr>
        <w:t>niðurstöður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lastRenderedPageBreak/>
        <w:t>rannsakenda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HA </w:t>
      </w:r>
      <w:proofErr w:type="spellStart"/>
      <w:r w:rsidRPr="00A47B41">
        <w:rPr>
          <w:sz w:val="22"/>
          <w:szCs w:val="22"/>
        </w:rPr>
        <w:t>hafa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sýnt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="00BA0EA1" w:rsidRPr="00A47B41">
        <w:rPr>
          <w:sz w:val="22"/>
          <w:szCs w:val="22"/>
        </w:rPr>
        <w:t xml:space="preserve"> </w:t>
      </w:r>
      <w:r w:rsidRPr="00A47B41">
        <w:rPr>
          <w:sz w:val="22"/>
          <w:szCs w:val="22"/>
        </w:rPr>
        <w:t xml:space="preserve">á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nemendur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geta </w:t>
      </w:r>
      <w:proofErr w:type="spellStart"/>
      <w:r w:rsidRPr="00A47B41">
        <w:rPr>
          <w:sz w:val="22"/>
          <w:szCs w:val="22"/>
        </w:rPr>
        <w:t>stundað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úr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heimabyggð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líklegri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starfa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fimm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eftir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útskrift</w:t>
      </w:r>
      <w:proofErr w:type="spellEnd"/>
      <w:r w:rsidRPr="00A47B41">
        <w:rPr>
          <w:sz w:val="22"/>
          <w:szCs w:val="22"/>
        </w:rPr>
        <w:t>.</w:t>
      </w:r>
      <w:r w:rsidR="003679EB" w:rsidRPr="00A47B41">
        <w:rPr>
          <w:sz w:val="22"/>
          <w:szCs w:val="22"/>
        </w:rPr>
        <w:t xml:space="preserve"> </w:t>
      </w:r>
    </w:p>
    <w:p w14:paraId="6B64FEC8" w14:textId="77777777" w:rsidR="00D325E3" w:rsidRDefault="00D325E3" w:rsidP="00A47B41">
      <w:pPr>
        <w:rPr>
          <w:sz w:val="22"/>
          <w:szCs w:val="22"/>
        </w:rPr>
      </w:pPr>
    </w:p>
    <w:p w14:paraId="67F63909" w14:textId="0755387E" w:rsidR="00A47B41" w:rsidRPr="00A47B41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segja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framkvæmd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aukinna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aðgangstakmarkana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HA </w:t>
      </w:r>
      <w:proofErr w:type="spellStart"/>
      <w:r w:rsidRPr="00A47B41">
        <w:rPr>
          <w:sz w:val="22"/>
          <w:szCs w:val="22"/>
        </w:rPr>
        <w:t>gangi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þvert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gegn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markmiðum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aukið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háskólanámi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aftur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hefur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beinar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afleiðingar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íbúðabyggðar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landinu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öllu</w:t>
      </w:r>
      <w:proofErr w:type="spellEnd"/>
      <w:r w:rsidRPr="00A47B41">
        <w:rPr>
          <w:sz w:val="22"/>
          <w:szCs w:val="22"/>
        </w:rPr>
        <w:t xml:space="preserve">.  </w:t>
      </w:r>
    </w:p>
    <w:p w14:paraId="3A57DE8A" w14:textId="77777777" w:rsidR="00D325E3" w:rsidRDefault="00D325E3" w:rsidP="00A47B41">
      <w:pPr>
        <w:rPr>
          <w:sz w:val="22"/>
          <w:szCs w:val="22"/>
        </w:rPr>
      </w:pPr>
    </w:p>
    <w:p w14:paraId="419E9E80" w14:textId="1C8F23A9" w:rsidR="00D2062A" w:rsidRPr="00A47B41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vera </w:t>
      </w:r>
      <w:proofErr w:type="spellStart"/>
      <w:r w:rsidRPr="00A47B41">
        <w:rPr>
          <w:sz w:val="22"/>
          <w:szCs w:val="22"/>
        </w:rPr>
        <w:t>ljóst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koma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skýr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stefna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stjórnvöldum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hvort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vera </w:t>
      </w:r>
      <w:proofErr w:type="spellStart"/>
      <w:r w:rsidRPr="00A47B41">
        <w:rPr>
          <w:sz w:val="22"/>
          <w:szCs w:val="22"/>
        </w:rPr>
        <w:t>erfiðara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búa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utan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höfuðborgarsvæðisins</w:t>
      </w:r>
      <w:proofErr w:type="spellEnd"/>
      <w:r w:rsidRPr="00A47B41">
        <w:rPr>
          <w:sz w:val="22"/>
          <w:szCs w:val="22"/>
        </w:rPr>
        <w:t>.</w:t>
      </w:r>
      <w:r w:rsidR="00645CA9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Akureyrarbæ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þykir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sú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þróun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hættuleg</w:t>
      </w:r>
      <w:proofErr w:type="spellEnd"/>
      <w:r w:rsidR="00645CA9">
        <w:rPr>
          <w:sz w:val="22"/>
          <w:szCs w:val="22"/>
        </w:rPr>
        <w:t xml:space="preserve">. </w:t>
      </w:r>
    </w:p>
    <w:p w14:paraId="7D335E87" w14:textId="77777777" w:rsidR="00D2062A" w:rsidRPr="00A47B41" w:rsidRDefault="00D2062A" w:rsidP="00A47B41">
      <w:pPr>
        <w:rPr>
          <w:sz w:val="22"/>
          <w:szCs w:val="22"/>
        </w:rPr>
      </w:pPr>
    </w:p>
    <w:p w14:paraId="44342063" w14:textId="6C395DE6" w:rsidR="003679EB" w:rsidRPr="00A47B41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Hlutverk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skýrt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verður</w:t>
      </w:r>
      <w:proofErr w:type="spellEnd"/>
      <w:r w:rsidRPr="00A47B41">
        <w:rPr>
          <w:sz w:val="22"/>
          <w:szCs w:val="22"/>
        </w:rPr>
        <w:t xml:space="preserve"> ekki </w:t>
      </w:r>
      <w:proofErr w:type="spellStart"/>
      <w:r w:rsidRPr="00A47B41">
        <w:rPr>
          <w:sz w:val="22"/>
          <w:szCs w:val="22"/>
        </w:rPr>
        <w:t>mismunandi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eftir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staðsetningu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þeirra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sérhæfingu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Hinsvegar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nauðsynlegt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ákveðna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grunnfjármögnun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lykilstarfseminnar</w:t>
      </w:r>
      <w:proofErr w:type="spellEnd"/>
      <w:r w:rsidRPr="00A47B41">
        <w:rPr>
          <w:sz w:val="22"/>
          <w:szCs w:val="22"/>
        </w:rPr>
        <w:t xml:space="preserve"> (</w:t>
      </w:r>
      <w:proofErr w:type="spellStart"/>
      <w:r w:rsidRPr="00A47B41">
        <w:rPr>
          <w:sz w:val="22"/>
          <w:szCs w:val="22"/>
        </w:rPr>
        <w:t>rannsóknir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kennslu</w:t>
      </w:r>
      <w:proofErr w:type="spellEnd"/>
      <w:r w:rsidRPr="00A47B41">
        <w:rPr>
          <w:sz w:val="22"/>
          <w:szCs w:val="22"/>
        </w:rPr>
        <w:t xml:space="preserve">) í </w:t>
      </w:r>
      <w:proofErr w:type="spellStart"/>
      <w:r w:rsidRPr="00A47B41">
        <w:rPr>
          <w:sz w:val="22"/>
          <w:szCs w:val="22"/>
        </w:rPr>
        <w:t>samræmi</w:t>
      </w:r>
      <w:proofErr w:type="spellEnd"/>
      <w:r w:rsidRPr="00A47B41">
        <w:rPr>
          <w:sz w:val="22"/>
          <w:szCs w:val="22"/>
        </w:rPr>
        <w:t xml:space="preserve"> milli </w:t>
      </w:r>
      <w:proofErr w:type="spellStart"/>
      <w:r w:rsidRPr="00A47B41">
        <w:rPr>
          <w:sz w:val="22"/>
          <w:szCs w:val="22"/>
        </w:rPr>
        <w:t>allra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háskólastofnanna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tryggja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jafnræði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jafnan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samkeppnis</w:t>
      </w:r>
      <w:r w:rsidR="009626CC">
        <w:rPr>
          <w:sz w:val="22"/>
          <w:szCs w:val="22"/>
        </w:rPr>
        <w:t>-</w:t>
      </w:r>
      <w:r w:rsidRPr="00A47B41">
        <w:rPr>
          <w:sz w:val="22"/>
          <w:szCs w:val="22"/>
        </w:rPr>
        <w:t>grundvöll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þeirra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viðbótar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væri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vera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samninga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greiðslur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þjónustu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tengist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sérstökum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áherslum</w:t>
      </w:r>
      <w:proofErr w:type="spellEnd"/>
      <w:r w:rsidRPr="00A47B41">
        <w:rPr>
          <w:sz w:val="22"/>
          <w:szCs w:val="22"/>
        </w:rPr>
        <w:t xml:space="preserve">, </w:t>
      </w:r>
      <w:proofErr w:type="spellStart"/>
      <w:r w:rsidRPr="00A47B41">
        <w:rPr>
          <w:sz w:val="22"/>
          <w:szCs w:val="22"/>
        </w:rPr>
        <w:t>sérhæfingu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samfélagslegum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tengingum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hvers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.  </w:t>
      </w:r>
    </w:p>
    <w:p w14:paraId="1B3BA022" w14:textId="77777777" w:rsidR="009B58EC" w:rsidRPr="00A47B41" w:rsidRDefault="009B58EC" w:rsidP="00A47B41">
      <w:pPr>
        <w:rPr>
          <w:sz w:val="22"/>
          <w:szCs w:val="22"/>
        </w:rPr>
      </w:pPr>
    </w:p>
    <w:p w14:paraId="6B38F585" w14:textId="29F52779" w:rsidR="00D2062A" w:rsidRPr="00A47B41" w:rsidRDefault="003679EB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ekki </w:t>
      </w:r>
      <w:proofErr w:type="spellStart"/>
      <w:r w:rsidR="00D2062A" w:rsidRPr="00A47B41">
        <w:rPr>
          <w:sz w:val="22"/>
          <w:szCs w:val="22"/>
        </w:rPr>
        <w:t>unnt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að</w:t>
      </w:r>
      <w:proofErr w:type="spellEnd"/>
      <w:r w:rsidR="00D2062A" w:rsidRPr="00A47B41">
        <w:rPr>
          <w:sz w:val="22"/>
          <w:szCs w:val="22"/>
        </w:rPr>
        <w:t xml:space="preserve"> vera </w:t>
      </w:r>
      <w:proofErr w:type="spellStart"/>
      <w:r w:rsidR="00D2062A" w:rsidRPr="00A47B41">
        <w:rPr>
          <w:sz w:val="22"/>
          <w:szCs w:val="22"/>
        </w:rPr>
        <w:t>með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fjölbreyt</w:t>
      </w:r>
      <w:r w:rsidR="004651C3">
        <w:rPr>
          <w:sz w:val="22"/>
          <w:szCs w:val="22"/>
        </w:rPr>
        <w:t>t</w:t>
      </w:r>
      <w:bookmarkStart w:id="0" w:name="_GoBack"/>
      <w:bookmarkEnd w:id="0"/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háskólakerfi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með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innri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sérstöðu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og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sérhæfingu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nema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að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til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komi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fjölbreyttari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fjármögnunaraðferðir</w:t>
      </w:r>
      <w:proofErr w:type="spellEnd"/>
      <w:r w:rsidR="00D2062A" w:rsidRPr="00A47B41">
        <w:rPr>
          <w:sz w:val="22"/>
          <w:szCs w:val="22"/>
        </w:rPr>
        <w:t xml:space="preserve">. </w:t>
      </w:r>
      <w:proofErr w:type="spellStart"/>
      <w:r w:rsidR="00D2062A" w:rsidRPr="00A47B41">
        <w:rPr>
          <w:sz w:val="22"/>
          <w:szCs w:val="22"/>
        </w:rPr>
        <w:t>Eitt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allsherjar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reiknilíkan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9B58EC" w:rsidRPr="00A47B41">
        <w:rPr>
          <w:sz w:val="22"/>
          <w:szCs w:val="22"/>
        </w:rPr>
        <w:t>nær</w:t>
      </w:r>
      <w:proofErr w:type="spellEnd"/>
      <w:r w:rsidR="009B58EC" w:rsidRPr="00A47B41">
        <w:rPr>
          <w:sz w:val="22"/>
          <w:szCs w:val="22"/>
        </w:rPr>
        <w:t xml:space="preserve"> </w:t>
      </w:r>
      <w:proofErr w:type="spellStart"/>
      <w:proofErr w:type="gramStart"/>
      <w:r w:rsidR="009B58EC" w:rsidRPr="00A47B41">
        <w:rPr>
          <w:sz w:val="22"/>
          <w:szCs w:val="22"/>
        </w:rPr>
        <w:t>aldrei</w:t>
      </w:r>
      <w:proofErr w:type="spellEnd"/>
      <w:r w:rsidR="009B58EC" w:rsidRPr="00A47B41">
        <w:rPr>
          <w:sz w:val="22"/>
          <w:szCs w:val="22"/>
        </w:rPr>
        <w:t xml:space="preserve"> </w:t>
      </w:r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utan</w:t>
      </w:r>
      <w:proofErr w:type="spellEnd"/>
      <w:proofErr w:type="gramEnd"/>
      <w:r w:rsidR="009B58EC" w:rsidRPr="00A47B41">
        <w:rPr>
          <w:sz w:val="22"/>
          <w:szCs w:val="22"/>
        </w:rPr>
        <w:t xml:space="preserve"> </w:t>
      </w:r>
      <w:r w:rsidR="00D2062A" w:rsidRPr="00A47B41">
        <w:rPr>
          <w:sz w:val="22"/>
          <w:szCs w:val="22"/>
        </w:rPr>
        <w:t xml:space="preserve">um </w:t>
      </w:r>
      <w:proofErr w:type="spellStart"/>
      <w:r w:rsidR="00D2062A" w:rsidRPr="00A47B41">
        <w:rPr>
          <w:sz w:val="22"/>
          <w:szCs w:val="22"/>
        </w:rPr>
        <w:t>slíkt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verkefni</w:t>
      </w:r>
      <w:proofErr w:type="spellEnd"/>
      <w:r w:rsidR="00D2062A" w:rsidRPr="00A47B41">
        <w:rPr>
          <w:sz w:val="22"/>
          <w:szCs w:val="22"/>
        </w:rPr>
        <w:t xml:space="preserve">. </w:t>
      </w:r>
      <w:proofErr w:type="spellStart"/>
      <w:r w:rsidR="00D2062A" w:rsidRPr="00A47B41">
        <w:rPr>
          <w:sz w:val="22"/>
          <w:szCs w:val="22"/>
        </w:rPr>
        <w:t>Því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er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eðlilegt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að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reiknilíkanið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nái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til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grunnþátta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háskólastarfsemi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fyrir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alla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háskóla</w:t>
      </w:r>
      <w:proofErr w:type="spellEnd"/>
      <w:r w:rsidR="00D2062A" w:rsidRPr="00A47B41">
        <w:rPr>
          <w:sz w:val="22"/>
          <w:szCs w:val="22"/>
        </w:rPr>
        <w:t xml:space="preserve"> (</w:t>
      </w:r>
      <w:proofErr w:type="spellStart"/>
      <w:r w:rsidR="00D2062A" w:rsidRPr="00A47B41">
        <w:rPr>
          <w:sz w:val="22"/>
          <w:szCs w:val="22"/>
        </w:rPr>
        <w:t>rannsóknir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og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kennsla</w:t>
      </w:r>
      <w:proofErr w:type="spellEnd"/>
      <w:r w:rsidR="00D2062A" w:rsidRPr="00A47B41">
        <w:rPr>
          <w:sz w:val="22"/>
          <w:szCs w:val="22"/>
        </w:rPr>
        <w:t xml:space="preserve">) </w:t>
      </w:r>
      <w:proofErr w:type="spellStart"/>
      <w:r w:rsidR="00D2062A" w:rsidRPr="00A47B41">
        <w:rPr>
          <w:sz w:val="22"/>
          <w:szCs w:val="22"/>
        </w:rPr>
        <w:t>en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önnur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fjármögnun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byggi</w:t>
      </w:r>
      <w:proofErr w:type="spellEnd"/>
      <w:r w:rsidR="00D2062A" w:rsidRPr="00A47B41">
        <w:rPr>
          <w:sz w:val="22"/>
          <w:szCs w:val="22"/>
        </w:rPr>
        <w:t xml:space="preserve"> á </w:t>
      </w:r>
      <w:proofErr w:type="spellStart"/>
      <w:r w:rsidR="00D2062A" w:rsidRPr="00A47B41">
        <w:rPr>
          <w:sz w:val="22"/>
          <w:szCs w:val="22"/>
        </w:rPr>
        <w:t>stefnu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og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markmiðum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stjórnvalda</w:t>
      </w:r>
      <w:proofErr w:type="spellEnd"/>
      <w:r w:rsidR="00D2062A" w:rsidRPr="00A47B41">
        <w:rPr>
          <w:sz w:val="22"/>
          <w:szCs w:val="22"/>
        </w:rPr>
        <w:t xml:space="preserve"> á </w:t>
      </w:r>
      <w:proofErr w:type="spellStart"/>
      <w:r w:rsidR="00D2062A" w:rsidRPr="00A47B41">
        <w:rPr>
          <w:sz w:val="22"/>
          <w:szCs w:val="22"/>
        </w:rPr>
        <w:t>hverjum</w:t>
      </w:r>
      <w:proofErr w:type="spellEnd"/>
      <w:r w:rsidR="00D2062A" w:rsidRPr="00A47B41">
        <w:rPr>
          <w:sz w:val="22"/>
          <w:szCs w:val="22"/>
        </w:rPr>
        <w:t xml:space="preserve"> </w:t>
      </w:r>
      <w:proofErr w:type="spellStart"/>
      <w:r w:rsidR="00D2062A" w:rsidRPr="00A47B41">
        <w:rPr>
          <w:sz w:val="22"/>
          <w:szCs w:val="22"/>
        </w:rPr>
        <w:t>tíma</w:t>
      </w:r>
      <w:proofErr w:type="spellEnd"/>
      <w:r w:rsidR="00D2062A" w:rsidRPr="00A47B41">
        <w:rPr>
          <w:sz w:val="22"/>
          <w:szCs w:val="22"/>
        </w:rPr>
        <w:t>.</w:t>
      </w:r>
    </w:p>
    <w:p w14:paraId="5765524B" w14:textId="77777777" w:rsidR="003679EB" w:rsidRPr="00A47B41" w:rsidRDefault="003679EB" w:rsidP="00A47B41">
      <w:pPr>
        <w:rPr>
          <w:rFonts w:ascii="FiraGO Book" w:hAnsi="FiraGO Book" w:cs="FiraGO Book"/>
          <w:color w:val="000000"/>
          <w:sz w:val="22"/>
          <w:szCs w:val="22"/>
        </w:rPr>
      </w:pPr>
    </w:p>
    <w:p w14:paraId="77BD7C1E" w14:textId="17C5C69E" w:rsidR="00D2062A" w:rsidRPr="00A47B41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Bestu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heims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sammerkt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vera </w:t>
      </w:r>
      <w:proofErr w:type="spellStart"/>
      <w:r w:rsidRPr="00A47B41">
        <w:rPr>
          <w:sz w:val="22"/>
          <w:szCs w:val="22"/>
        </w:rPr>
        <w:t>faglega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fjárhagslega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sjálfstæðar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stofnanir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frelsi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afla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nýrrar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þekkingar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miðla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þekkingu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Góðir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þurfa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slíkt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grunn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starfsemi</w:t>
      </w:r>
      <w:proofErr w:type="spellEnd"/>
      <w:r w:rsidRPr="00A47B41">
        <w:rPr>
          <w:sz w:val="22"/>
          <w:szCs w:val="22"/>
        </w:rPr>
        <w:t>.</w:t>
      </w:r>
      <w:r w:rsidR="009B58EC" w:rsidRPr="00A47B41">
        <w:rPr>
          <w:sz w:val="22"/>
          <w:szCs w:val="22"/>
        </w:rPr>
        <w:t xml:space="preserve"> </w:t>
      </w:r>
      <w:r w:rsidRPr="00A47B41">
        <w:rPr>
          <w:sz w:val="22"/>
          <w:szCs w:val="22"/>
        </w:rPr>
        <w:t xml:space="preserve">Í </w:t>
      </w:r>
      <w:proofErr w:type="spellStart"/>
      <w:r w:rsidRPr="00A47B41">
        <w:rPr>
          <w:sz w:val="22"/>
          <w:szCs w:val="22"/>
        </w:rPr>
        <w:t>stefnu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íslenska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skilgreina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fremst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útfrá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alþjóðlegum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viðmiðum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forgangsraða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mæla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gæði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samhengi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Slíkt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hlýtur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svo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bein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áhrif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grunn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nýtt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reiknilíkan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líkt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kom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áðan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vel </w:t>
      </w:r>
      <w:proofErr w:type="spellStart"/>
      <w:r w:rsidRPr="00A47B41">
        <w:rPr>
          <w:sz w:val="22"/>
          <w:szCs w:val="22"/>
        </w:rPr>
        <w:t>hægt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hugsa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fjármagni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öðrum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hætti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tiltekinna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verkefna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markmiða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fyrir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falla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utan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beins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reiknilíkans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Hér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verið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sérhæfðar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aðgerðir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ræða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meira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tengingu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nærsamfélag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taka </w:t>
      </w:r>
      <w:proofErr w:type="spellStart"/>
      <w:r w:rsidRPr="00A47B41">
        <w:rPr>
          <w:sz w:val="22"/>
          <w:szCs w:val="22"/>
        </w:rPr>
        <w:t>mið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af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stefnu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stjórnvalda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hverjum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tíma</w:t>
      </w:r>
      <w:proofErr w:type="spellEnd"/>
      <w:r w:rsidRPr="00A47B41">
        <w:rPr>
          <w:sz w:val="22"/>
          <w:szCs w:val="22"/>
        </w:rPr>
        <w:t xml:space="preserve">. </w:t>
      </w:r>
      <w:r w:rsidRPr="00A47B41">
        <w:rPr>
          <w:rFonts w:ascii="FiraGO Book" w:hAnsi="FiraGO Book" w:cs="FiraGO Book"/>
          <w:i/>
          <w:iCs/>
          <w:color w:val="000000"/>
          <w:sz w:val="22"/>
          <w:szCs w:val="22"/>
        </w:rPr>
        <w:br/>
        <w:t xml:space="preserve"> </w:t>
      </w:r>
      <w:r w:rsidRPr="00A47B41">
        <w:rPr>
          <w:rFonts w:ascii="FiraGO Book" w:hAnsi="FiraGO Book" w:cs="FiraGO Book"/>
          <w:i/>
          <w:iCs/>
          <w:color w:val="000000"/>
          <w:sz w:val="22"/>
          <w:szCs w:val="22"/>
        </w:rPr>
        <w:br/>
      </w:r>
      <w:proofErr w:type="spellStart"/>
      <w:r w:rsidRPr="00A47B41">
        <w:rPr>
          <w:sz w:val="22"/>
          <w:szCs w:val="22"/>
        </w:rPr>
        <w:t>Líkan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getur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</w:t>
      </w:r>
      <w:proofErr w:type="spellEnd"/>
      <w:r w:rsidRPr="00A47B41">
        <w:rPr>
          <w:sz w:val="22"/>
          <w:szCs w:val="22"/>
        </w:rPr>
        <w:t xml:space="preserve"> ekki </w:t>
      </w:r>
      <w:proofErr w:type="spellStart"/>
      <w:r w:rsidRPr="00A47B41">
        <w:rPr>
          <w:sz w:val="22"/>
          <w:szCs w:val="22"/>
        </w:rPr>
        <w:t>náð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yfir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alla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þætti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nútíma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þurfa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sinna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verður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vera </w:t>
      </w:r>
      <w:proofErr w:type="spellStart"/>
      <w:r w:rsidRPr="00A47B41">
        <w:rPr>
          <w:sz w:val="22"/>
          <w:szCs w:val="22"/>
        </w:rPr>
        <w:t>annarsvegar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grunnlíkan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fjármögnunnar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hinsvegar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samninga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stjórnvalda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hverjum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tíma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væri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jafnvel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hugsa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samninga</w:t>
      </w:r>
      <w:proofErr w:type="spellEnd"/>
      <w:r w:rsidRPr="00A47B41">
        <w:rPr>
          <w:sz w:val="22"/>
          <w:szCs w:val="22"/>
        </w:rPr>
        <w:t xml:space="preserve"> á milli </w:t>
      </w:r>
      <w:proofErr w:type="spellStart"/>
      <w:r w:rsidRPr="00A47B41">
        <w:rPr>
          <w:sz w:val="22"/>
          <w:szCs w:val="22"/>
        </w:rPr>
        <w:t>fleiri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eins</w:t>
      </w:r>
      <w:proofErr w:type="spellEnd"/>
      <w:r w:rsidR="009626CC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ráðuneytis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tilteknar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rannsóknir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samfélagslega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þjónustu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ætlað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aðstoða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leysa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af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þeim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mörgu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viðfangsefnum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íslenskt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glímir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hver</w:t>
      </w:r>
      <w:r w:rsidR="00EE03FC" w:rsidRPr="00A47B41">
        <w:rPr>
          <w:sz w:val="22"/>
          <w:szCs w:val="22"/>
        </w:rPr>
        <w:t>j</w:t>
      </w:r>
      <w:r w:rsidRPr="00A47B41">
        <w:rPr>
          <w:sz w:val="22"/>
          <w:szCs w:val="22"/>
        </w:rPr>
        <w:t>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tíma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Slíkt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gæfi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líka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stjórnvöldum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tækifæri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vinna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háskólunum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þróun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fjölbreytts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íslensks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samfélags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Beint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svar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væri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því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grunnstarfsemi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tryggð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gæðatengdu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líkani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rannsókna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kennslu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jafnframt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gerðir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samningar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samfélagslegt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hlutverk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þjónustu</w:t>
      </w:r>
      <w:proofErr w:type="spellEnd"/>
      <w:r w:rsidRPr="00A47B41">
        <w:rPr>
          <w:sz w:val="22"/>
          <w:szCs w:val="22"/>
        </w:rPr>
        <w:t xml:space="preserve">. </w:t>
      </w:r>
      <w:r w:rsidRPr="00A47B41">
        <w:rPr>
          <w:sz w:val="22"/>
          <w:szCs w:val="22"/>
        </w:rPr>
        <w:br/>
      </w:r>
    </w:p>
    <w:p w14:paraId="1FDA1512" w14:textId="03F91A1F" w:rsidR="00977338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Háskólar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Íslandi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ólíkir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erfitt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finna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góða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samræmda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árangursmælikvarða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sem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henta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öllum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skólum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="00977338" w:rsidRPr="00A47B41">
        <w:rPr>
          <w:sz w:val="22"/>
          <w:szCs w:val="22"/>
        </w:rPr>
        <w:t>Líkan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sem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útdeilir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fjármagni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og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byggir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þungt</w:t>
      </w:r>
      <w:proofErr w:type="spellEnd"/>
      <w:r w:rsidR="00977338" w:rsidRPr="00A47B41">
        <w:rPr>
          <w:sz w:val="22"/>
          <w:szCs w:val="22"/>
        </w:rPr>
        <w:t xml:space="preserve"> á </w:t>
      </w:r>
      <w:proofErr w:type="spellStart"/>
      <w:r w:rsidR="00977338" w:rsidRPr="00A47B41">
        <w:rPr>
          <w:sz w:val="22"/>
          <w:szCs w:val="22"/>
        </w:rPr>
        <w:t>árangursmælikvörðum</w:t>
      </w:r>
      <w:proofErr w:type="spellEnd"/>
      <w:r w:rsidR="00977338" w:rsidRPr="00A47B41">
        <w:rPr>
          <w:sz w:val="22"/>
          <w:szCs w:val="22"/>
        </w:rPr>
        <w:t xml:space="preserve"> geta </w:t>
      </w:r>
      <w:proofErr w:type="spellStart"/>
      <w:r w:rsidR="00977338" w:rsidRPr="00A47B41">
        <w:rPr>
          <w:sz w:val="22"/>
          <w:szCs w:val="22"/>
        </w:rPr>
        <w:t>stýrt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mjög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starfi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háskóla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og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háskólaumhverfinu</w:t>
      </w:r>
      <w:proofErr w:type="spellEnd"/>
      <w:r w:rsidR="00977338" w:rsidRPr="00A47B41">
        <w:rPr>
          <w:sz w:val="22"/>
          <w:szCs w:val="22"/>
        </w:rPr>
        <w:t xml:space="preserve">. </w:t>
      </w:r>
      <w:proofErr w:type="spellStart"/>
      <w:r w:rsidR="00977338" w:rsidRPr="00A47B41">
        <w:rPr>
          <w:sz w:val="22"/>
          <w:szCs w:val="22"/>
        </w:rPr>
        <w:t>Gæta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verður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að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gæðum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gagna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og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tryggja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að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mælingar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séu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fyllilega</w:t>
      </w:r>
      <w:proofErr w:type="spellEnd"/>
      <w:r w:rsidR="00977338" w:rsidRPr="00A47B41">
        <w:rPr>
          <w:sz w:val="22"/>
          <w:szCs w:val="22"/>
        </w:rPr>
        <w:t xml:space="preserve"> </w:t>
      </w:r>
      <w:proofErr w:type="spellStart"/>
      <w:r w:rsidR="00977338" w:rsidRPr="00A47B41">
        <w:rPr>
          <w:sz w:val="22"/>
          <w:szCs w:val="22"/>
        </w:rPr>
        <w:t>samanburðarhæfar</w:t>
      </w:r>
      <w:proofErr w:type="spellEnd"/>
      <w:r w:rsidR="00977338" w:rsidRPr="00A47B41">
        <w:rPr>
          <w:sz w:val="22"/>
          <w:szCs w:val="22"/>
        </w:rPr>
        <w:t xml:space="preserve"> á milli </w:t>
      </w:r>
      <w:proofErr w:type="spellStart"/>
      <w:r w:rsidR="00977338" w:rsidRPr="00A47B41">
        <w:rPr>
          <w:sz w:val="22"/>
          <w:szCs w:val="22"/>
        </w:rPr>
        <w:t>skóla</w:t>
      </w:r>
      <w:proofErr w:type="spellEnd"/>
      <w:r w:rsidR="00977338">
        <w:rPr>
          <w:sz w:val="22"/>
          <w:szCs w:val="22"/>
        </w:rPr>
        <w:t>.</w:t>
      </w:r>
      <w:r w:rsidR="00977338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Hætta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="00645CA9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hlutlægir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samræmdir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árangursmælikvarðar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verði</w:t>
      </w:r>
      <w:proofErr w:type="spellEnd"/>
      <w:r w:rsidR="00645CA9">
        <w:rPr>
          <w:sz w:val="22"/>
          <w:szCs w:val="22"/>
        </w:rPr>
        <w:t xml:space="preserve"> of </w:t>
      </w:r>
      <w:proofErr w:type="spellStart"/>
      <w:r w:rsidRPr="00A47B41">
        <w:rPr>
          <w:sz w:val="22"/>
          <w:szCs w:val="22"/>
        </w:rPr>
        <w:t>sterkir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úthlutun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fjármagns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háskólaumhverfið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einsleitara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sérstaða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fjölbreytni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tapist</w:t>
      </w:r>
      <w:proofErr w:type="spellEnd"/>
      <w:r w:rsidRPr="00A47B41">
        <w:rPr>
          <w:sz w:val="22"/>
          <w:szCs w:val="22"/>
        </w:rPr>
        <w:t xml:space="preserve">. </w:t>
      </w:r>
      <w:proofErr w:type="spellStart"/>
      <w:r w:rsidRPr="00A47B41">
        <w:rPr>
          <w:sz w:val="22"/>
          <w:szCs w:val="22"/>
        </w:rPr>
        <w:t>Með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samningum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hvern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skóla</w:t>
      </w:r>
      <w:proofErr w:type="spellEnd"/>
      <w:r w:rsidRPr="00A47B41">
        <w:rPr>
          <w:sz w:val="22"/>
          <w:szCs w:val="22"/>
        </w:rPr>
        <w:t xml:space="preserve"> geta </w:t>
      </w:r>
      <w:proofErr w:type="spellStart"/>
      <w:r w:rsidRPr="00A47B41">
        <w:rPr>
          <w:sz w:val="22"/>
          <w:szCs w:val="22"/>
        </w:rPr>
        <w:t>stjórnvöld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hins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vegar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sínum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lastRenderedPageBreak/>
        <w:t>stefnumálum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="00645CA9">
        <w:rPr>
          <w:sz w:val="22"/>
          <w:szCs w:val="22"/>
        </w:rPr>
        <w:t>og</w:t>
      </w:r>
      <w:proofErr w:type="spellEnd"/>
      <w:r w:rsidR="00645CA9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sérstaða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hvers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sérkenni</w:t>
      </w:r>
      <w:proofErr w:type="spellEnd"/>
      <w:r w:rsidRPr="00A47B41">
        <w:rPr>
          <w:sz w:val="22"/>
          <w:szCs w:val="22"/>
        </w:rPr>
        <w:t xml:space="preserve"> geta </w:t>
      </w:r>
      <w:proofErr w:type="spellStart"/>
      <w:r w:rsidRPr="00A47B41">
        <w:rPr>
          <w:sz w:val="22"/>
          <w:szCs w:val="22"/>
        </w:rPr>
        <w:t>fengið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halda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sér</w:t>
      </w:r>
      <w:proofErr w:type="spellEnd"/>
      <w:r w:rsidRPr="00A47B41">
        <w:rPr>
          <w:sz w:val="22"/>
          <w:szCs w:val="22"/>
        </w:rPr>
        <w:t xml:space="preserve">. Í </w:t>
      </w:r>
      <w:proofErr w:type="spellStart"/>
      <w:r w:rsidRPr="00A47B41">
        <w:rPr>
          <w:sz w:val="22"/>
          <w:szCs w:val="22"/>
        </w:rPr>
        <w:t>þessu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samhengi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einnig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hugsa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markmiða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stefnu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ráðuneytis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málaflokknum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fylgir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fjármálafrumvarpi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þar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máta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skólarnir</w:t>
      </w:r>
      <w:proofErr w:type="spellEnd"/>
      <w:r w:rsidRPr="00A47B41">
        <w:rPr>
          <w:sz w:val="22"/>
          <w:szCs w:val="22"/>
        </w:rPr>
        <w:t xml:space="preserve"> inn </w:t>
      </w:r>
      <w:proofErr w:type="spellStart"/>
      <w:r w:rsidRPr="00A47B41">
        <w:rPr>
          <w:sz w:val="22"/>
          <w:szCs w:val="22"/>
        </w:rPr>
        <w:t>eigin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markmið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þó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samræmi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yfirmarkmið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ráðuneytis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hverju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ári</w:t>
      </w:r>
      <w:proofErr w:type="spellEnd"/>
      <w:r w:rsidR="00975FA7">
        <w:rPr>
          <w:sz w:val="22"/>
          <w:szCs w:val="22"/>
        </w:rPr>
        <w:t>.</w:t>
      </w:r>
      <w:r w:rsidR="00977338">
        <w:rPr>
          <w:sz w:val="22"/>
          <w:szCs w:val="22"/>
        </w:rPr>
        <w:t xml:space="preserve"> </w:t>
      </w:r>
    </w:p>
    <w:p w14:paraId="066BD994" w14:textId="7286ACB9" w:rsidR="009E79B2" w:rsidRDefault="009E79B2" w:rsidP="00A47B41">
      <w:pPr>
        <w:rPr>
          <w:sz w:val="22"/>
          <w:szCs w:val="22"/>
        </w:rPr>
      </w:pPr>
    </w:p>
    <w:p w14:paraId="339D2A9F" w14:textId="2F78E184" w:rsidR="009E79B2" w:rsidRDefault="009E79B2" w:rsidP="00A47B41">
      <w:pPr>
        <w:rPr>
          <w:sz w:val="22"/>
          <w:szCs w:val="22"/>
        </w:rPr>
      </w:pPr>
    </w:p>
    <w:p w14:paraId="4B7050EE" w14:textId="2EDD9B58" w:rsidR="009E79B2" w:rsidRDefault="009E79B2" w:rsidP="00A47B41">
      <w:pPr>
        <w:rPr>
          <w:sz w:val="22"/>
          <w:szCs w:val="22"/>
        </w:rPr>
      </w:pPr>
    </w:p>
    <w:p w14:paraId="069D537E" w14:textId="77777777" w:rsidR="009E79B2" w:rsidRDefault="009E79B2" w:rsidP="00A47B41">
      <w:pPr>
        <w:rPr>
          <w:sz w:val="22"/>
          <w:szCs w:val="22"/>
        </w:rPr>
      </w:pPr>
    </w:p>
    <w:p w14:paraId="69D9BC29" w14:textId="77777777" w:rsidR="009E79B2" w:rsidRDefault="009E79B2" w:rsidP="00A47B41">
      <w:pPr>
        <w:rPr>
          <w:sz w:val="22"/>
          <w:szCs w:val="22"/>
        </w:rPr>
      </w:pPr>
    </w:p>
    <w:p w14:paraId="46BE7EE1" w14:textId="5C98B80D" w:rsidR="00D2062A" w:rsidRDefault="00D2062A" w:rsidP="00A47B41">
      <w:pPr>
        <w:rPr>
          <w:sz w:val="22"/>
          <w:szCs w:val="22"/>
        </w:rPr>
      </w:pPr>
      <w:proofErr w:type="spellStart"/>
      <w:r w:rsidRPr="00A47B41">
        <w:rPr>
          <w:sz w:val="22"/>
          <w:szCs w:val="22"/>
        </w:rPr>
        <w:t>Grænbók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menntamálaráðuneytisins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mikilvægt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gagn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frekari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umræðu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stefnu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stjórnvalda</w:t>
      </w:r>
      <w:proofErr w:type="spellEnd"/>
      <w:r w:rsidRPr="00A47B41">
        <w:rPr>
          <w:sz w:val="22"/>
          <w:szCs w:val="22"/>
        </w:rPr>
        <w:t xml:space="preserve"> í </w:t>
      </w:r>
      <w:proofErr w:type="spellStart"/>
      <w:r w:rsidRPr="00A47B41">
        <w:rPr>
          <w:sz w:val="22"/>
          <w:szCs w:val="22"/>
        </w:rPr>
        <w:t>íslenskum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háskólamálum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Hér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hvíllir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þung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ábyrgð</w:t>
      </w:r>
      <w:proofErr w:type="spellEnd"/>
      <w:r w:rsidRPr="00A47B41">
        <w:rPr>
          <w:sz w:val="22"/>
          <w:szCs w:val="22"/>
        </w:rPr>
        <w:t xml:space="preserve"> á </w:t>
      </w:r>
      <w:proofErr w:type="spellStart"/>
      <w:r w:rsidRPr="00A47B41">
        <w:rPr>
          <w:sz w:val="22"/>
          <w:szCs w:val="22"/>
        </w:rPr>
        <w:t>ráðuneytinu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ráðherra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tryggja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áframhaldandi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umræða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fái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nægan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tíma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til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draga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helstu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þætti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og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álitamál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við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framtíðar</w:t>
      </w:r>
      <w:proofErr w:type="spellEnd"/>
      <w:r w:rsidR="009E79B2">
        <w:rPr>
          <w:sz w:val="22"/>
          <w:szCs w:val="22"/>
        </w:rPr>
        <w:t xml:space="preserve">- </w:t>
      </w:r>
      <w:proofErr w:type="spellStart"/>
      <w:r w:rsidRPr="00A47B41">
        <w:rPr>
          <w:sz w:val="22"/>
          <w:szCs w:val="22"/>
        </w:rPr>
        <w:t>skipan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íslensks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háskólakerfis</w:t>
      </w:r>
      <w:proofErr w:type="spellEnd"/>
      <w:r w:rsidRPr="00A47B41">
        <w:rPr>
          <w:sz w:val="22"/>
          <w:szCs w:val="22"/>
        </w:rPr>
        <w:t xml:space="preserve">.  </w:t>
      </w:r>
      <w:proofErr w:type="spellStart"/>
      <w:r w:rsidRPr="00A47B41">
        <w:rPr>
          <w:sz w:val="22"/>
          <w:szCs w:val="22"/>
        </w:rPr>
        <w:t>Þetta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er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nauðsynlegt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svo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unnt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verði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að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ná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samfélagslegri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Pr="00A47B41">
        <w:rPr>
          <w:sz w:val="22"/>
          <w:szCs w:val="22"/>
        </w:rPr>
        <w:t>sátt</w:t>
      </w:r>
      <w:proofErr w:type="spellEnd"/>
      <w:r w:rsidRPr="00A47B41">
        <w:rPr>
          <w:sz w:val="22"/>
          <w:szCs w:val="22"/>
        </w:rPr>
        <w:t xml:space="preserve"> um </w:t>
      </w:r>
      <w:proofErr w:type="spellStart"/>
      <w:r w:rsidRPr="00A47B41">
        <w:rPr>
          <w:sz w:val="22"/>
          <w:szCs w:val="22"/>
        </w:rPr>
        <w:t>heildarþróun</w:t>
      </w:r>
      <w:proofErr w:type="spellEnd"/>
      <w:r w:rsidRPr="00A47B41">
        <w:rPr>
          <w:sz w:val="22"/>
          <w:szCs w:val="22"/>
        </w:rPr>
        <w:t xml:space="preserve"> íslenskra </w:t>
      </w:r>
      <w:proofErr w:type="spellStart"/>
      <w:r w:rsidRPr="00A47B41">
        <w:rPr>
          <w:sz w:val="22"/>
          <w:szCs w:val="22"/>
        </w:rPr>
        <w:t>háskóla</w:t>
      </w:r>
      <w:proofErr w:type="spellEnd"/>
      <w:r w:rsidRPr="00A47B41">
        <w:rPr>
          <w:sz w:val="22"/>
          <w:szCs w:val="22"/>
        </w:rPr>
        <w:t xml:space="preserve"> </w:t>
      </w:r>
      <w:proofErr w:type="spellStart"/>
      <w:r w:rsidR="00977338">
        <w:rPr>
          <w:sz w:val="22"/>
          <w:szCs w:val="22"/>
        </w:rPr>
        <w:t>og</w:t>
      </w:r>
      <w:proofErr w:type="spellEnd"/>
      <w:r w:rsidR="00977338">
        <w:rPr>
          <w:sz w:val="22"/>
          <w:szCs w:val="22"/>
        </w:rPr>
        <w:t xml:space="preserve"> </w:t>
      </w:r>
      <w:proofErr w:type="spellStart"/>
      <w:r w:rsidR="00977338">
        <w:rPr>
          <w:sz w:val="22"/>
          <w:szCs w:val="22"/>
        </w:rPr>
        <w:t>auka</w:t>
      </w:r>
      <w:proofErr w:type="spellEnd"/>
      <w:r w:rsidR="00977338">
        <w:rPr>
          <w:sz w:val="22"/>
          <w:szCs w:val="22"/>
        </w:rPr>
        <w:t xml:space="preserve"> </w:t>
      </w:r>
      <w:proofErr w:type="spellStart"/>
      <w:r w:rsidR="00977338">
        <w:rPr>
          <w:sz w:val="22"/>
          <w:szCs w:val="22"/>
        </w:rPr>
        <w:t>fjármagn</w:t>
      </w:r>
      <w:proofErr w:type="spellEnd"/>
      <w:r w:rsidR="00977338">
        <w:rPr>
          <w:sz w:val="22"/>
          <w:szCs w:val="22"/>
        </w:rPr>
        <w:t xml:space="preserve"> </w:t>
      </w:r>
      <w:proofErr w:type="spellStart"/>
      <w:r w:rsidR="00977338">
        <w:rPr>
          <w:sz w:val="22"/>
          <w:szCs w:val="22"/>
        </w:rPr>
        <w:t>til</w:t>
      </w:r>
      <w:proofErr w:type="spellEnd"/>
      <w:r w:rsidR="00977338">
        <w:rPr>
          <w:sz w:val="22"/>
          <w:szCs w:val="22"/>
        </w:rPr>
        <w:t xml:space="preserve"> </w:t>
      </w:r>
      <w:proofErr w:type="spellStart"/>
      <w:r w:rsidR="00977338">
        <w:rPr>
          <w:sz w:val="22"/>
          <w:szCs w:val="22"/>
        </w:rPr>
        <w:t>háskólastigsins</w:t>
      </w:r>
      <w:proofErr w:type="spellEnd"/>
      <w:r w:rsidR="00977338">
        <w:rPr>
          <w:sz w:val="22"/>
          <w:szCs w:val="22"/>
        </w:rPr>
        <w:t xml:space="preserve"> í </w:t>
      </w:r>
      <w:proofErr w:type="spellStart"/>
      <w:r w:rsidR="00977338">
        <w:rPr>
          <w:sz w:val="22"/>
          <w:szCs w:val="22"/>
        </w:rPr>
        <w:t>heild</w:t>
      </w:r>
      <w:proofErr w:type="spellEnd"/>
      <w:r w:rsidR="00977338">
        <w:rPr>
          <w:sz w:val="22"/>
          <w:szCs w:val="22"/>
        </w:rPr>
        <w:t xml:space="preserve"> </w:t>
      </w:r>
      <w:proofErr w:type="spellStart"/>
      <w:r w:rsidR="00977338">
        <w:rPr>
          <w:sz w:val="22"/>
          <w:szCs w:val="22"/>
        </w:rPr>
        <w:t>sinni</w:t>
      </w:r>
      <w:proofErr w:type="spellEnd"/>
      <w:r w:rsidR="00977338">
        <w:rPr>
          <w:sz w:val="22"/>
          <w:szCs w:val="22"/>
        </w:rPr>
        <w:t xml:space="preserve">. </w:t>
      </w:r>
    </w:p>
    <w:p w14:paraId="0A543CA0" w14:textId="5CA66991" w:rsidR="001839D2" w:rsidRDefault="001839D2" w:rsidP="00A47B41">
      <w:pPr>
        <w:rPr>
          <w:sz w:val="22"/>
          <w:szCs w:val="22"/>
        </w:rPr>
      </w:pPr>
    </w:p>
    <w:p w14:paraId="4E1D04F0" w14:textId="77777777" w:rsidR="00D325E3" w:rsidRDefault="00D325E3" w:rsidP="00A47B41">
      <w:pPr>
        <w:rPr>
          <w:sz w:val="22"/>
          <w:szCs w:val="22"/>
        </w:rPr>
      </w:pPr>
    </w:p>
    <w:p w14:paraId="772CB64A" w14:textId="12E74A60" w:rsidR="001839D2" w:rsidRDefault="001839D2" w:rsidP="00A47B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öðru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leyti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ekki </w:t>
      </w:r>
      <w:proofErr w:type="spellStart"/>
      <w:r>
        <w:rPr>
          <w:sz w:val="22"/>
          <w:szCs w:val="22"/>
        </w:rPr>
        <w:t>gerð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athugasemd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Grænbókina</w:t>
      </w:r>
      <w:proofErr w:type="spellEnd"/>
      <w:r>
        <w:rPr>
          <w:sz w:val="22"/>
          <w:szCs w:val="22"/>
        </w:rPr>
        <w:t>.</w:t>
      </w:r>
    </w:p>
    <w:p w14:paraId="584D1B08" w14:textId="2112DC92" w:rsidR="001839D2" w:rsidRDefault="001839D2" w:rsidP="00A47B41">
      <w:pPr>
        <w:rPr>
          <w:sz w:val="22"/>
          <w:szCs w:val="22"/>
        </w:rPr>
      </w:pPr>
    </w:p>
    <w:p w14:paraId="6BA49EA2" w14:textId="2566A5A3" w:rsidR="001839D2" w:rsidRDefault="001839D2" w:rsidP="00A47B41">
      <w:pPr>
        <w:rPr>
          <w:sz w:val="22"/>
          <w:szCs w:val="22"/>
        </w:rPr>
      </w:pPr>
    </w:p>
    <w:p w14:paraId="25F2553F" w14:textId="77777777" w:rsidR="00D325E3" w:rsidRDefault="00D325E3" w:rsidP="00D325E3">
      <w:pPr>
        <w:spacing w:line="276" w:lineRule="auto"/>
        <w:jc w:val="center"/>
      </w:pPr>
      <w:r>
        <w:t xml:space="preserve">                                                               </w:t>
      </w:r>
      <w:proofErr w:type="spellStart"/>
      <w:r>
        <w:t>Virðingarfyllst</w:t>
      </w:r>
      <w:proofErr w:type="spellEnd"/>
      <w:r>
        <w:t>,</w:t>
      </w:r>
    </w:p>
    <w:p w14:paraId="5CBD25CE" w14:textId="77777777" w:rsidR="00D325E3" w:rsidRDefault="00D325E3" w:rsidP="00D325E3">
      <w:pPr>
        <w:spacing w:line="276" w:lineRule="auto"/>
        <w:jc w:val="right"/>
      </w:pPr>
      <w:r>
        <w:rPr>
          <w:noProof/>
        </w:rPr>
        <w:drawing>
          <wp:inline distT="0" distB="0" distL="0" distR="0" wp14:anchorId="2BFA6166" wp14:editId="3F776297">
            <wp:extent cx="2335172" cy="7461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dirrit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34" cy="7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3A75" w14:textId="77777777" w:rsidR="00D325E3" w:rsidRDefault="00D325E3" w:rsidP="00D325E3">
      <w:pPr>
        <w:spacing w:line="276" w:lineRule="auto"/>
        <w:jc w:val="center"/>
      </w:pPr>
      <w:r>
        <w:t xml:space="preserve">                                                                                                     ___________________________</w:t>
      </w:r>
    </w:p>
    <w:p w14:paraId="09AF868E" w14:textId="77777777" w:rsidR="00D325E3" w:rsidRDefault="00D325E3" w:rsidP="00D325E3">
      <w:pPr>
        <w:spacing w:line="276" w:lineRule="auto"/>
        <w:jc w:val="center"/>
      </w:pPr>
      <w:r>
        <w:t xml:space="preserve">                                                                                           </w:t>
      </w:r>
      <w:proofErr w:type="spellStart"/>
      <w:r>
        <w:t>bæjarstjóri</w:t>
      </w:r>
      <w:proofErr w:type="spellEnd"/>
      <w:r>
        <w:t xml:space="preserve"> Akureyrarbæjar</w:t>
      </w:r>
    </w:p>
    <w:p w14:paraId="2DC9A637" w14:textId="77777777" w:rsidR="00D325E3" w:rsidRDefault="00D325E3" w:rsidP="00D325E3">
      <w:pPr>
        <w:spacing w:line="276" w:lineRule="auto"/>
      </w:pPr>
    </w:p>
    <w:p w14:paraId="6DED308F" w14:textId="77777777" w:rsidR="001839D2" w:rsidRPr="00A47B41" w:rsidRDefault="001839D2" w:rsidP="00A47B41">
      <w:pPr>
        <w:rPr>
          <w:sz w:val="22"/>
          <w:szCs w:val="22"/>
        </w:rPr>
      </w:pPr>
    </w:p>
    <w:p w14:paraId="7CBFA9C1" w14:textId="77777777" w:rsidR="00D2062A" w:rsidRPr="00A47B41" w:rsidRDefault="00D2062A" w:rsidP="00A47B41">
      <w:pPr>
        <w:rPr>
          <w:sz w:val="22"/>
          <w:szCs w:val="22"/>
        </w:rPr>
      </w:pPr>
    </w:p>
    <w:p w14:paraId="2EECDADB" w14:textId="77777777" w:rsidR="007432ED" w:rsidRPr="00A47B41" w:rsidRDefault="007432ED" w:rsidP="00A47B41">
      <w:pPr>
        <w:rPr>
          <w:sz w:val="22"/>
          <w:szCs w:val="22"/>
        </w:rPr>
      </w:pPr>
    </w:p>
    <w:p w14:paraId="28AB0327" w14:textId="77777777" w:rsidR="007432ED" w:rsidRPr="00A47B41" w:rsidRDefault="007432ED" w:rsidP="00A47B41">
      <w:pPr>
        <w:rPr>
          <w:sz w:val="22"/>
          <w:szCs w:val="22"/>
          <w:highlight w:val="yellow"/>
        </w:rPr>
      </w:pPr>
    </w:p>
    <w:p w14:paraId="7FFD736D" w14:textId="77777777" w:rsidR="006114E8" w:rsidRPr="00A47B41" w:rsidRDefault="006114E8" w:rsidP="00A47B41">
      <w:pPr>
        <w:rPr>
          <w:sz w:val="22"/>
          <w:szCs w:val="22"/>
        </w:rPr>
      </w:pPr>
    </w:p>
    <w:p w14:paraId="39421708" w14:textId="77777777" w:rsidR="006114E8" w:rsidRPr="00A47B41" w:rsidRDefault="006114E8" w:rsidP="00A47B41">
      <w:pPr>
        <w:rPr>
          <w:sz w:val="22"/>
          <w:szCs w:val="22"/>
        </w:rPr>
      </w:pPr>
    </w:p>
    <w:p w14:paraId="377A6041" w14:textId="77777777" w:rsidR="006114E8" w:rsidRPr="00A47B41" w:rsidRDefault="006114E8" w:rsidP="00A47B41">
      <w:pPr>
        <w:rPr>
          <w:sz w:val="22"/>
          <w:szCs w:val="22"/>
        </w:rPr>
      </w:pPr>
    </w:p>
    <w:p w14:paraId="160FC6C8" w14:textId="77777777" w:rsidR="006114E8" w:rsidRPr="00AC69E5" w:rsidRDefault="006114E8" w:rsidP="00F10F79">
      <w:pPr>
        <w:rPr>
          <w:rFonts w:ascii="Arial" w:hAnsi="Arial" w:cs="Arial"/>
        </w:rPr>
      </w:pPr>
    </w:p>
    <w:sectPr w:rsidR="006114E8" w:rsidRPr="00AC69E5" w:rsidSect="00536A8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30" w:right="1531" w:bottom="1758" w:left="1440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0035" w14:textId="77777777" w:rsidR="00235475" w:rsidRDefault="00235475" w:rsidP="0031032F">
      <w:r>
        <w:separator/>
      </w:r>
    </w:p>
  </w:endnote>
  <w:endnote w:type="continuationSeparator" w:id="0">
    <w:p w14:paraId="6ED08FED" w14:textId="77777777" w:rsidR="00235475" w:rsidRDefault="00235475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G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B287" w14:textId="0275631F" w:rsidR="00B9099E" w:rsidRDefault="00536A8C" w:rsidP="00AC69E5">
    <w:pPr>
      <w:pStyle w:val="Footer"/>
      <w:tabs>
        <w:tab w:val="left" w:pos="851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73135CBA" wp14:editId="7ABCA068">
          <wp:simplePos x="0" y="0"/>
          <wp:positionH relativeFrom="column">
            <wp:posOffset>-675640</wp:posOffset>
          </wp:positionH>
          <wp:positionV relativeFrom="paragraph">
            <wp:posOffset>-515620</wp:posOffset>
          </wp:positionV>
          <wp:extent cx="7095600" cy="475200"/>
          <wp:effectExtent l="0" t="0" r="0" b="0"/>
          <wp:wrapTight wrapText="bothSides">
            <wp:wrapPolygon edited="0">
              <wp:start x="0" y="0"/>
              <wp:lineTo x="0" y="20791"/>
              <wp:lineTo x="21534" y="20791"/>
              <wp:lineTo x="215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-i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31C3" w14:textId="50AC43A8" w:rsidR="00F10F79" w:rsidRDefault="00536A8C" w:rsidP="00F10F79">
    <w:pPr>
      <w:pStyle w:val="Footer"/>
      <w:tabs>
        <w:tab w:val="left" w:pos="85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BAC6C1A" wp14:editId="782F7D45">
          <wp:simplePos x="0" y="0"/>
          <wp:positionH relativeFrom="column">
            <wp:posOffset>-676910</wp:posOffset>
          </wp:positionH>
          <wp:positionV relativeFrom="paragraph">
            <wp:posOffset>-523240</wp:posOffset>
          </wp:positionV>
          <wp:extent cx="7095600" cy="475200"/>
          <wp:effectExtent l="0" t="0" r="0" b="0"/>
          <wp:wrapTight wrapText="bothSides">
            <wp:wrapPolygon edited="0">
              <wp:start x="0" y="0"/>
              <wp:lineTo x="0" y="20791"/>
              <wp:lineTo x="21534" y="20791"/>
              <wp:lineTo x="215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-i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E076" w14:textId="77777777" w:rsidR="00235475" w:rsidRDefault="00235475" w:rsidP="0031032F">
      <w:r>
        <w:separator/>
      </w:r>
    </w:p>
  </w:footnote>
  <w:footnote w:type="continuationSeparator" w:id="0">
    <w:p w14:paraId="3DFADA21" w14:textId="77777777" w:rsidR="00235475" w:rsidRDefault="00235475" w:rsidP="0031032F">
      <w:r>
        <w:continuationSeparator/>
      </w:r>
    </w:p>
  </w:footnote>
  <w:footnote w:id="1">
    <w:p w14:paraId="5B8FAA9B" w14:textId="6FC4ABC0" w:rsidR="00BA543A" w:rsidRPr="00BA543A" w:rsidRDefault="00BA543A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 xml:space="preserve">Grænbók um fjárveitingar til háskólastigsins, bls. 48. </w:t>
      </w:r>
    </w:p>
  </w:footnote>
  <w:footnote w:id="2">
    <w:p w14:paraId="1875E192" w14:textId="51F99B39" w:rsidR="00BA543A" w:rsidRPr="00BA543A" w:rsidRDefault="00BA543A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Grænbók um fjárveitingar til háskólastigsins, bls. 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F61D" w14:textId="1174A7AE" w:rsidR="0031032F" w:rsidRDefault="0031032F" w:rsidP="000720CF">
    <w:pPr>
      <w:pStyle w:val="Header"/>
      <w:tabs>
        <w:tab w:val="clear" w:pos="9360"/>
      </w:tabs>
      <w:ind w:right="-99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7155" w14:textId="7389C878" w:rsidR="00F10F79" w:rsidRDefault="00F10F79" w:rsidP="00F10F79">
    <w:pPr>
      <w:pStyle w:val="Header"/>
      <w:tabs>
        <w:tab w:val="clear" w:pos="9360"/>
      </w:tabs>
      <w:ind w:right="-992"/>
      <w:jc w:val="right"/>
    </w:pPr>
    <w:r w:rsidRPr="002D2417">
      <w:rPr>
        <w:noProof/>
      </w:rPr>
      <w:drawing>
        <wp:inline distT="0" distB="0" distL="0" distR="0" wp14:anchorId="07DCA154" wp14:editId="3625BF33">
          <wp:extent cx="1333500" cy="965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52BF2"/>
    <w:multiLevelType w:val="hybridMultilevel"/>
    <w:tmpl w:val="9E7476F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17F0"/>
    <w:multiLevelType w:val="hybridMultilevel"/>
    <w:tmpl w:val="A0CA69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2F"/>
    <w:rsid w:val="000720CF"/>
    <w:rsid w:val="000E0F00"/>
    <w:rsid w:val="00114DF6"/>
    <w:rsid w:val="001432E2"/>
    <w:rsid w:val="001839D2"/>
    <w:rsid w:val="00222948"/>
    <w:rsid w:val="0022546B"/>
    <w:rsid w:val="00235475"/>
    <w:rsid w:val="0024578D"/>
    <w:rsid w:val="002D2417"/>
    <w:rsid w:val="002F579B"/>
    <w:rsid w:val="00304343"/>
    <w:rsid w:val="0031032F"/>
    <w:rsid w:val="003679EB"/>
    <w:rsid w:val="00442DD7"/>
    <w:rsid w:val="00454DFD"/>
    <w:rsid w:val="004651C3"/>
    <w:rsid w:val="004C4A0F"/>
    <w:rsid w:val="004D23DD"/>
    <w:rsid w:val="00536A8C"/>
    <w:rsid w:val="0055503E"/>
    <w:rsid w:val="005851B6"/>
    <w:rsid w:val="006114E8"/>
    <w:rsid w:val="00645CA9"/>
    <w:rsid w:val="007432ED"/>
    <w:rsid w:val="008051BE"/>
    <w:rsid w:val="00850199"/>
    <w:rsid w:val="009626CC"/>
    <w:rsid w:val="00975FA7"/>
    <w:rsid w:val="00977338"/>
    <w:rsid w:val="009B58EC"/>
    <w:rsid w:val="009E79B2"/>
    <w:rsid w:val="00A47A8D"/>
    <w:rsid w:val="00A47B41"/>
    <w:rsid w:val="00AC69E5"/>
    <w:rsid w:val="00AE2FB5"/>
    <w:rsid w:val="00AE3F4F"/>
    <w:rsid w:val="00B259CF"/>
    <w:rsid w:val="00B9099E"/>
    <w:rsid w:val="00BA0EA1"/>
    <w:rsid w:val="00BA543A"/>
    <w:rsid w:val="00BE3740"/>
    <w:rsid w:val="00CC4791"/>
    <w:rsid w:val="00CF1C7C"/>
    <w:rsid w:val="00D2062A"/>
    <w:rsid w:val="00D253EC"/>
    <w:rsid w:val="00D325E3"/>
    <w:rsid w:val="00D55FA6"/>
    <w:rsid w:val="00DB13BE"/>
    <w:rsid w:val="00DD524A"/>
    <w:rsid w:val="00DF3134"/>
    <w:rsid w:val="00E23E95"/>
    <w:rsid w:val="00ED4BE8"/>
    <w:rsid w:val="00EE03FC"/>
    <w:rsid w:val="00F10F79"/>
    <w:rsid w:val="00F34DF2"/>
    <w:rsid w:val="00F515F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D419"/>
  <w15:chartTrackingRefBased/>
  <w15:docId w15:val="{772FE90B-2D8C-A541-B36C-805EAEC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2F"/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2F"/>
  </w:style>
  <w:style w:type="paragraph" w:styleId="NormalWeb">
    <w:name w:val="Normal (Web)"/>
    <w:basedOn w:val="Normal"/>
    <w:uiPriority w:val="99"/>
    <w:semiHidden/>
    <w:unhideWhenUsed/>
    <w:rsid w:val="00ED4B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14E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4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4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4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6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3DF5-F528-484F-BF1A-6235E82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Ásthildur Sturludóttir</cp:lastModifiedBy>
  <cp:revision>3</cp:revision>
  <dcterms:created xsi:type="dcterms:W3CDTF">2020-02-07T16:53:00Z</dcterms:created>
  <dcterms:modified xsi:type="dcterms:W3CDTF">2020-02-07T17:02:00Z</dcterms:modified>
</cp:coreProperties>
</file>