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CD6" w14:textId="523677E0" w:rsidR="00F121BD" w:rsidRPr="005C7F22" w:rsidRDefault="005640F9" w:rsidP="00F121BD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Heilbrigðisráðuneytið</w:t>
      </w:r>
    </w:p>
    <w:p w14:paraId="342F8A95" w14:textId="0B0D96FB" w:rsidR="00F121BD" w:rsidRPr="005C7F22" w:rsidRDefault="00F121BD" w:rsidP="00F121BD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                                                                                                                               </w:t>
      </w:r>
      <w:r w:rsidR="00B31649">
        <w:rPr>
          <w:rFonts w:ascii="Times New Roman" w:hAnsi="Times New Roman" w:cs="Times New Roman"/>
          <w:sz w:val="24"/>
          <w:szCs w:val="24"/>
          <w:lang w:val="is-IS"/>
        </w:rPr>
        <w:t>2</w:t>
      </w:r>
      <w:r w:rsidR="005640F9">
        <w:rPr>
          <w:rFonts w:ascii="Times New Roman" w:hAnsi="Times New Roman" w:cs="Times New Roman"/>
          <w:sz w:val="24"/>
          <w:szCs w:val="24"/>
          <w:lang w:val="is-IS"/>
        </w:rPr>
        <w:t>5. júlí 2022</w:t>
      </w:r>
    </w:p>
    <w:p w14:paraId="1EE442A2" w14:textId="77777777" w:rsidR="00F121BD" w:rsidRPr="005C7F22" w:rsidRDefault="00F121BD" w:rsidP="00F121BD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35DD05C9" w14:textId="3E785C84" w:rsidR="00F121BD" w:rsidRPr="005C7F22" w:rsidRDefault="00F121BD" w:rsidP="00F121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 xml:space="preserve">Umsögn </w:t>
      </w:r>
    </w:p>
    <w:p w14:paraId="7D2D9705" w14:textId="1F5428CB" w:rsidR="00FD54D2" w:rsidRPr="005C7F22" w:rsidRDefault="00F121BD" w:rsidP="00F121BD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British American Tobacco Denmark A/S leggur hér fram umsögn sína við fyrirhugað</w:t>
      </w:r>
      <w:r w:rsidR="0031157A" w:rsidRPr="005C7F22"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endurskoðun heilbrigðisráðuneytisins</w:t>
      </w:r>
      <w:r w:rsidR="0031157A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á tóbaksvarnarlögum með innleiðingu tóbaksvarnartilskipunarinnar (2014/40/ESB).</w:t>
      </w:r>
    </w:p>
    <w:p w14:paraId="0D7085B9" w14:textId="6812636A" w:rsidR="0031157A" w:rsidRPr="005C7F22" w:rsidRDefault="0031157A" w:rsidP="0031157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br/>
        <w:t>Inngangur</w:t>
      </w:r>
    </w:p>
    <w:p w14:paraId="247CB885" w14:textId="2A637D1F" w:rsidR="0031157A" w:rsidRPr="005C7F22" w:rsidRDefault="0031157A" w:rsidP="0031157A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British American Tobacco Denmark A/S (hér eftir BAT) styður í grundvallaratriðum markmið stjórnvalda með innleiðingu tilskipunarinnar (2014/40/ESB) um að draga úr neikvæðum heilsufarsafleiðingum og fækka dauðsföllum vegna tóbaksneyslu. </w:t>
      </w:r>
    </w:p>
    <w:p w14:paraId="45C3EA6C" w14:textId="08D31C6E" w:rsidR="00C30E17" w:rsidRPr="005C7F22" w:rsidRDefault="00C30E17" w:rsidP="0031157A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Þá fagnar BAT því að Alþingi hafi</w:t>
      </w:r>
      <w:r w:rsidR="00722459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í júní síðastliðnum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samþykkt að fella nikótínvörur undir lög um </w:t>
      </w:r>
      <w:r w:rsidR="00B607A3" w:rsidRPr="005C7F22">
        <w:rPr>
          <w:rFonts w:ascii="Times New Roman" w:hAnsi="Times New Roman" w:cs="Times New Roman"/>
          <w:sz w:val="24"/>
          <w:szCs w:val="24"/>
          <w:lang w:val="is-IS"/>
        </w:rPr>
        <w:t>rafrettur og áfyllingar fyrir rafrettur</w:t>
      </w:r>
      <w:r w:rsidR="003F4E0E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 w:rsidR="00B607A3" w:rsidRPr="005C7F22">
        <w:rPr>
          <w:rFonts w:ascii="Times New Roman" w:hAnsi="Times New Roman" w:cs="Times New Roman"/>
          <w:sz w:val="24"/>
          <w:szCs w:val="24"/>
          <w:lang w:val="is-IS"/>
        </w:rPr>
        <w:t>nr. 87/2018</w:t>
      </w:r>
      <w:r w:rsidR="003F4E0E" w:rsidRPr="005C7F22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CC2AF1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Mikill munur er á tóbaksvörum og nikótínvörum sem ekki innihalda tóbak þegar kemur að heilsufarslegri áhættu neytenda. Síðarnefndu vörurnar veita nikótíngjöf án </w:t>
      </w:r>
      <w:r w:rsidR="007A52CC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fjölmörgu eiturefnanna í tóbaksreykingum og </w:t>
      </w:r>
      <w:r w:rsidR="009E6A1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gefa </w:t>
      </w:r>
      <w:r w:rsidR="007A52CC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reykingafólki því möguleikann á að neyta nikótíns </w:t>
      </w:r>
      <w:r w:rsidR="00A8236D" w:rsidRPr="005C7F22">
        <w:rPr>
          <w:rFonts w:ascii="Times New Roman" w:hAnsi="Times New Roman" w:cs="Times New Roman"/>
          <w:sz w:val="24"/>
          <w:szCs w:val="24"/>
          <w:lang w:val="is-IS"/>
        </w:rPr>
        <w:t>en</w:t>
      </w:r>
      <w:r w:rsidR="009E6A1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um leið</w:t>
      </w:r>
      <w:r w:rsidR="007A52CC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forðast þann verulega skaða sem reykingar </w:t>
      </w:r>
      <w:r w:rsidR="009E6A1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valda neytandanum og öðrum. BAT telur það því hafa verið rétta ákvörðun hjá stjórnvöldum að fella </w:t>
      </w:r>
      <w:r w:rsidR="00FF47FD" w:rsidRPr="005C7F22">
        <w:rPr>
          <w:rFonts w:ascii="Times New Roman" w:hAnsi="Times New Roman" w:cs="Times New Roman"/>
          <w:sz w:val="24"/>
          <w:szCs w:val="24"/>
          <w:lang w:val="is-IS"/>
        </w:rPr>
        <w:t>nikótínvörur undir fyrrnefnd lög, fremur en lög um tóbaksvarnir, nr. 6/2002.</w:t>
      </w:r>
    </w:p>
    <w:p w14:paraId="75E63E8E" w14:textId="16D60CAB" w:rsidR="0031157A" w:rsidRPr="005C7F22" w:rsidRDefault="0031157A" w:rsidP="0031157A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Með þ</w:t>
      </w:r>
      <w:r w:rsidR="001F1B70" w:rsidRPr="005C7F22">
        <w:rPr>
          <w:rFonts w:ascii="Times New Roman" w:hAnsi="Times New Roman" w:cs="Times New Roman"/>
          <w:sz w:val="24"/>
          <w:szCs w:val="24"/>
          <w:lang w:val="is-IS"/>
        </w:rPr>
        <w:t>etta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fyrir augum </w:t>
      </w:r>
      <w:r w:rsidR="00640146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vill BAT benda á þrjá þætti sem stjórnvöld ættu að hafa í huga við innleiðingu </w:t>
      </w:r>
      <w:r w:rsidR="00847F72" w:rsidRPr="005C7F22">
        <w:rPr>
          <w:rFonts w:ascii="Times New Roman" w:hAnsi="Times New Roman" w:cs="Times New Roman"/>
          <w:sz w:val="24"/>
          <w:szCs w:val="24"/>
          <w:lang w:val="is-IS"/>
        </w:rPr>
        <w:t>tóbaksvarnartilskipunarinnar (2014/40/ESB)</w:t>
      </w:r>
      <w:r w:rsidR="00640146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í íslensk lög:</w:t>
      </w:r>
    </w:p>
    <w:p w14:paraId="66D8B9F0" w14:textId="58636A7F" w:rsidR="00640146" w:rsidRPr="005C7F22" w:rsidRDefault="00640146" w:rsidP="006401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Leggja áherslu á að </w:t>
      </w: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innleiðingin gangi ekki lengra en ákvæði tilskipunarinnar kveða á um</w:t>
      </w:r>
    </w:p>
    <w:p w14:paraId="1B90E185" w14:textId="0493F8F3" w:rsidR="00640146" w:rsidRPr="005C7F22" w:rsidRDefault="00640146" w:rsidP="006401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Leggja áherslu á</w:t>
      </w:r>
      <w:r w:rsidRPr="005C7F22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 </w:t>
      </w: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nægan aðlögunartíma</w:t>
      </w:r>
    </w:p>
    <w:p w14:paraId="3BC22498" w14:textId="58DDFF5A" w:rsidR="00640146" w:rsidRPr="005C7F22" w:rsidRDefault="00640146" w:rsidP="006401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Þýðing tilskipunarinnar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á íslensku</w:t>
      </w:r>
      <w:r w:rsidR="00821147" w:rsidRPr="005C7F22">
        <w:rPr>
          <w:rFonts w:ascii="Times New Roman" w:hAnsi="Times New Roman" w:cs="Times New Roman"/>
          <w:sz w:val="24"/>
          <w:szCs w:val="24"/>
          <w:lang w:val="is-IS"/>
        </w:rPr>
        <w:br/>
      </w:r>
    </w:p>
    <w:p w14:paraId="160C4561" w14:textId="38CBE673" w:rsidR="00821147" w:rsidRPr="005C7F22" w:rsidRDefault="00821147" w:rsidP="0082114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1.Innleiðing</w:t>
      </w:r>
    </w:p>
    <w:p w14:paraId="01548DD1" w14:textId="367DBEF3" w:rsidR="00821147" w:rsidRPr="005C7F22" w:rsidRDefault="003D4CC8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BAT vill leggja áherslu á </w:t>
      </w:r>
      <w:r w:rsidR="00E422D7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að við 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innleiðing</w:t>
      </w:r>
      <w:r w:rsidR="00E422D7" w:rsidRPr="005C7F22">
        <w:rPr>
          <w:rFonts w:ascii="Times New Roman" w:hAnsi="Times New Roman" w:cs="Times New Roman"/>
          <w:sz w:val="24"/>
          <w:szCs w:val="24"/>
          <w:lang w:val="is-IS"/>
        </w:rPr>
        <w:t>u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á 2014/40/ESB </w:t>
      </w:r>
      <w:r w:rsidR="00F22DF1">
        <w:rPr>
          <w:rFonts w:ascii="Times New Roman" w:hAnsi="Times New Roman" w:cs="Times New Roman"/>
          <w:sz w:val="24"/>
          <w:szCs w:val="24"/>
          <w:lang w:val="is-IS"/>
        </w:rPr>
        <w:t>á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Íslandi ætti</w:t>
      </w:r>
      <w:r w:rsidR="00F22DF1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að fylgja tilskipuninni í stað </w:t>
      </w:r>
      <w:r w:rsidR="005369BA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þess að ganga lengra en þar segir. 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Þar sem Ísland er tiltölulega lítill markaður fyrir tóbaksvörur </w:t>
      </w:r>
      <w:r w:rsidR="005369BA" w:rsidRPr="005C7F22">
        <w:rPr>
          <w:rFonts w:ascii="Times New Roman" w:hAnsi="Times New Roman" w:cs="Times New Roman"/>
          <w:sz w:val="24"/>
          <w:szCs w:val="24"/>
          <w:lang w:val="is-IS"/>
        </w:rPr>
        <w:t>gætu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sérstakar reglur og reglugerðir</w:t>
      </w:r>
      <w:r w:rsidR="005369BA" w:rsidRPr="005C7F22">
        <w:rPr>
          <w:rFonts w:ascii="Times New Roman" w:hAnsi="Times New Roman" w:cs="Times New Roman"/>
          <w:sz w:val="24"/>
          <w:szCs w:val="24"/>
          <w:lang w:val="is-IS"/>
        </w:rPr>
        <w:t>, sem ganga lengra en efni tilskipunarinnar, orðið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veruleg hindrun </w:t>
      </w:r>
      <w:r w:rsidR="001468A6" w:rsidRPr="005C7F22">
        <w:rPr>
          <w:rFonts w:ascii="Times New Roman" w:hAnsi="Times New Roman" w:cs="Times New Roman"/>
          <w:sz w:val="24"/>
          <w:szCs w:val="24"/>
          <w:lang w:val="is-IS"/>
        </w:rPr>
        <w:t>í vegi nýrra og núverandi vara sem hafa skaðaminnkandi áhrif fyrir lýðheilsu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1468A6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Það yrði verulegur ávinningur fyrir fyrirtæki sem framleiða fyrir Íslandsmarkað að stjórnvöld fylgi sömu reglum og ESB. BAT vill árétta í því samhengi að sumar reglur kunna að vera mikilvægar fyrir lýðheilsu, á sama tíma og við minnum á að Ísland hefur þegar innleitt ýmis úrræði, eins og framsetningarbann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(e. retail display ban)</w:t>
      </w:r>
      <w:r w:rsidR="001468A6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>sem er ekki</w:t>
      </w:r>
      <w:r w:rsidR="003E1FF2">
        <w:rPr>
          <w:rFonts w:ascii="Times New Roman" w:hAnsi="Times New Roman" w:cs="Times New Roman"/>
          <w:sz w:val="24"/>
          <w:szCs w:val="24"/>
          <w:lang w:val="is-IS"/>
        </w:rPr>
        <w:t xml:space="preserve"> að finna 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>í mörgum Evrópusambandsríkjum. Sem slík</w:t>
      </w:r>
      <w:r w:rsidR="008101FE" w:rsidRPr="005C7F22">
        <w:rPr>
          <w:rFonts w:ascii="Times New Roman" w:hAnsi="Times New Roman" w:cs="Times New Roman"/>
          <w:sz w:val="24"/>
          <w:szCs w:val="24"/>
          <w:lang w:val="is-IS"/>
        </w:rPr>
        <w:t>t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getur það valdið verulegum framleiðslukostnaði og dreifingarerfiðleikum að innleiða,</w:t>
      </w:r>
      <w:r w:rsidR="00FD48F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til dæmis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lastRenderedPageBreak/>
        <w:t xml:space="preserve">strangari vöruforskriftir á Íslandi en samið er um í tilskipuninni. </w:t>
      </w:r>
      <w:r w:rsidR="008B1EEA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Í þessum efnum er jafnframt mikilvægt að Ísland gangi ekki lengra en tilskipunin kveður </w:t>
      </w:r>
      <w:r w:rsidR="00F008DF">
        <w:rPr>
          <w:rFonts w:ascii="Times New Roman" w:hAnsi="Times New Roman" w:cs="Times New Roman"/>
          <w:sz w:val="24"/>
          <w:szCs w:val="24"/>
          <w:lang w:val="is-IS"/>
        </w:rPr>
        <w:t xml:space="preserve">á um, </w:t>
      </w:r>
      <w:r w:rsidR="008B1EEA" w:rsidRPr="005C7F22">
        <w:rPr>
          <w:rFonts w:ascii="Times New Roman" w:hAnsi="Times New Roman" w:cs="Times New Roman"/>
          <w:sz w:val="24"/>
          <w:szCs w:val="24"/>
          <w:lang w:val="is-IS"/>
        </w:rPr>
        <w:t>svo að ganga megi úr skugga um að nýjar, tóbakslausar vörur sæti ekki tilhæfulausri reglusetningu áður en þær koma</w:t>
      </w:r>
      <w:r w:rsidR="005E608F">
        <w:rPr>
          <w:rFonts w:ascii="Times New Roman" w:hAnsi="Times New Roman" w:cs="Times New Roman"/>
          <w:sz w:val="24"/>
          <w:szCs w:val="24"/>
          <w:lang w:val="is-IS"/>
        </w:rPr>
        <w:t>st</w:t>
      </w:r>
      <w:r w:rsidR="008B1EEA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almennilega á markaðinn. Vörur eins og rafsígarettur og níkótínpúðar eru tóbakslausar og rétt regluverk er nauðsynlegt til að auðvelda reykingafólki að skipta úr sígarettum yfir í skaðminni vörur</w:t>
      </w:r>
      <w:r w:rsidR="001230DB" w:rsidRPr="005C7F22">
        <w:rPr>
          <w:rStyle w:val="FootnoteReference"/>
          <w:rFonts w:ascii="Times New Roman" w:hAnsi="Times New Roman" w:cs="Times New Roman"/>
          <w:sz w:val="24"/>
          <w:szCs w:val="24"/>
          <w:lang w:val="is-IS"/>
        </w:rPr>
        <w:footnoteReference w:id="1"/>
      </w:r>
      <w:r w:rsidR="008B1EEA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sem þessar.</w:t>
      </w:r>
      <w:r w:rsidR="006D568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E422D7" w:rsidRPr="005C7F22">
        <w:rPr>
          <w:rFonts w:ascii="Times New Roman" w:hAnsi="Times New Roman" w:cs="Times New Roman"/>
          <w:sz w:val="24"/>
          <w:szCs w:val="24"/>
          <w:lang w:val="is-IS"/>
        </w:rPr>
        <w:br/>
      </w:r>
    </w:p>
    <w:p w14:paraId="4DD8B80A" w14:textId="36C85940" w:rsidR="00E422D7" w:rsidRPr="005C7F22" w:rsidRDefault="00E422D7" w:rsidP="00E422D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2. Aðlögunartími</w:t>
      </w:r>
    </w:p>
    <w:p w14:paraId="3F14BB99" w14:textId="2D6D9A56" w:rsidR="00E422D7" w:rsidRPr="005C7F22" w:rsidRDefault="007F1690" w:rsidP="00E422D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BAT vill undirstrika að innleiðing tilskipunarinnar mun hafa í för með sér verulegar breytingar á gildandi reglum fyrir bæði sígarettur og rafsígarettur á Íslandi. Því er mikilvægt að stjórnvöld</w:t>
      </w:r>
      <w:r w:rsidR="005F0309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hafi í huga að nægilegur aðlögunartími </w:t>
      </w:r>
      <w:r w:rsidR="001B7CAD" w:rsidRPr="005C7F22">
        <w:rPr>
          <w:rFonts w:ascii="Times New Roman" w:hAnsi="Times New Roman" w:cs="Times New Roman"/>
          <w:sz w:val="24"/>
          <w:szCs w:val="24"/>
          <w:lang w:val="is-IS"/>
        </w:rPr>
        <w:t>er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nauðsynlegur fyrir framleiðendur svo þeir geti brugðist við breytingunum. Þetta lýtur sérstaklega að nýjum kvöðum um umbúðir og merkingar, en jafnframt</w:t>
      </w:r>
      <w:r w:rsidR="001B7CAD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munu breytingarnar verða til þess að smám saman þurfi að hætta með ýmsar vörur sem ekki samræmast tilskipuninni.</w:t>
      </w:r>
    </w:p>
    <w:p w14:paraId="71EAA925" w14:textId="79B2683E" w:rsidR="00773C9E" w:rsidRPr="005C7F22" w:rsidRDefault="00773C9E" w:rsidP="00E422D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BAT leggur því til að íslensk stjórnvöld veiti að minnsta kosti 9-12 mánaða aðlögunartíma</w:t>
      </w:r>
      <w:r w:rsidR="00697D1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svo að hægt sé að gera viðeigandi ráðstafanir </w:t>
      </w:r>
      <w:r w:rsidR="00CD4234" w:rsidRPr="005C7F22">
        <w:rPr>
          <w:rFonts w:ascii="Times New Roman" w:hAnsi="Times New Roman" w:cs="Times New Roman"/>
          <w:sz w:val="24"/>
          <w:szCs w:val="24"/>
          <w:lang w:val="is-IS"/>
        </w:rPr>
        <w:t>fyrir</w:t>
      </w:r>
      <w:r w:rsidR="00697D14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sölu og framleiðslu níkótínvaranna.</w:t>
      </w:r>
    </w:p>
    <w:p w14:paraId="4C561619" w14:textId="58E50D63" w:rsidR="00840903" w:rsidRPr="005C7F22" w:rsidRDefault="00840903" w:rsidP="00E422D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Jafnframt styður BAT þau aðlögunartímabil sem </w:t>
      </w:r>
      <w:r w:rsidR="0016501C" w:rsidRPr="005C7F22">
        <w:rPr>
          <w:rFonts w:ascii="Times New Roman" w:hAnsi="Times New Roman" w:cs="Times New Roman"/>
          <w:sz w:val="24"/>
          <w:szCs w:val="24"/>
          <w:lang w:val="is-IS"/>
        </w:rPr>
        <w:t>tilgreind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eru í viðaukanum við tillögu </w:t>
      </w:r>
      <w:r w:rsidR="00B240D3">
        <w:rPr>
          <w:rFonts w:ascii="Times New Roman" w:hAnsi="Times New Roman" w:cs="Times New Roman"/>
          <w:sz w:val="24"/>
          <w:szCs w:val="24"/>
          <w:lang w:val="is-IS"/>
        </w:rPr>
        <w:t xml:space="preserve">leiðtogaráðs </w:t>
      </w:r>
      <w:r w:rsidR="001230DB" w:rsidRPr="005C7F22">
        <w:rPr>
          <w:rFonts w:ascii="Times New Roman" w:hAnsi="Times New Roman" w:cs="Times New Roman"/>
          <w:sz w:val="24"/>
          <w:szCs w:val="24"/>
          <w:lang w:val="is-IS"/>
        </w:rPr>
        <w:t>Evrópusambandsins frá 22. nóvember 2021:</w:t>
      </w:r>
    </w:p>
    <w:p w14:paraId="13708102" w14:textId="7F9E3AD5" w:rsidR="001230DB" w:rsidRPr="005C7F22" w:rsidRDefault="001230DB" w:rsidP="00E422D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noProof/>
          <w:lang w:val="is-IS"/>
        </w:rPr>
        <w:drawing>
          <wp:inline distT="0" distB="0" distL="0" distR="0" wp14:anchorId="060471CF" wp14:editId="59BB404A">
            <wp:extent cx="5731510" cy="276733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096B" w14:textId="77777777" w:rsidR="001230DB" w:rsidRPr="005C7F22" w:rsidRDefault="001230DB" w:rsidP="00E422D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6BBC5674" w14:textId="334D7F00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3F0DFB57" w14:textId="1670185E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284398E2" w14:textId="266AE054" w:rsidR="00E1264D" w:rsidRPr="005C7F22" w:rsidRDefault="00E1264D" w:rsidP="00E1264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lastRenderedPageBreak/>
        <w:t>3. Þýðing</w:t>
      </w:r>
    </w:p>
    <w:p w14:paraId="656386DE" w14:textId="438BB7B7" w:rsidR="005369BA" w:rsidRPr="005C7F22" w:rsidRDefault="00E1264D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BAT gerir eftirfarandi athugasemdir við fyrirhugaða þýðingu á tilskipuninni eins og hún birtist í Samráðsgátt stjórnvalda:</w:t>
      </w:r>
    </w:p>
    <w:p w14:paraId="6213C31E" w14:textId="00BC1E51" w:rsidR="00E1264D" w:rsidRPr="005C7F22" w:rsidRDefault="0001520E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- Grein 2(5): Hugtakið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smokeless tobacco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 þýtt sem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nef- og munntóbak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sem ætla má að sé þýðing á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nose and oral tobacco.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Fyrirhuguð þýðing er því þrengri en upprunalega hugtakið ber með sér. Hins vegar gerir BAT ekki athugasemdir við þýðinguna á skilgreiningunni sjálfri. </w:t>
      </w:r>
    </w:p>
    <w:p w14:paraId="577E0032" w14:textId="283FE5C4" w:rsidR="0001520E" w:rsidRPr="005C7F22" w:rsidRDefault="0001520E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- Grein 2(16): 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Íslenska þýðingin á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electronic cigarette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 að sama skapi óvenjuleg. Íslensku hugtökin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rafretta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rafsígaretta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eru almenningi, fjölmiðlum og stjórnvöldum (svo sem Landlæknisembættinu) töm.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Rafvindlingur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 það hins vegar ekki eins og leit á Google ber með sér.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Rafvindlingar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skila sjö leitarniðurstöðum, á meðan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rafrettur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skila 35.400 niðurstöðum og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„r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>afsígarettur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5B3340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14.100. </w:t>
      </w:r>
    </w:p>
    <w:p w14:paraId="38824A7A" w14:textId="7E907FA2" w:rsidR="00D3014D" w:rsidRPr="005C7F22" w:rsidRDefault="00D3014D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- Grein 7(9): Þessi þýðing er ekki ákjósanleg. Hana má t</w:t>
      </w:r>
      <w:r w:rsidR="00B30B89" w:rsidRPr="005C7F22">
        <w:rPr>
          <w:rFonts w:ascii="Times New Roman" w:hAnsi="Times New Roman" w:cs="Times New Roman"/>
          <w:sz w:val="24"/>
          <w:szCs w:val="24"/>
          <w:lang w:val="is-IS"/>
        </w:rPr>
        <w:t>ú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lka sem svo að skilyrðin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til þess að auka 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2677DB" w:rsidRPr="005C7F22">
        <w:rPr>
          <w:rFonts w:ascii="Times New Roman" w:hAnsi="Times New Roman" w:cs="Times New Roman"/>
          <w:sz w:val="24"/>
          <w:szCs w:val="24"/>
          <w:lang w:val="is-IS"/>
        </w:rPr>
        <w:t>umtalsvert eða mælanlega</w:t>
      </w:r>
      <w:r w:rsidR="005C7F22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eigi aðeins við um CMR-eiginleika tóbaksvöru, og að sambandsríkin skuli banna markaðssetningu tóbaksvara sem innihalda aukefni í magni sem auk</w:t>
      </w:r>
      <w:r w:rsidR="001321FD">
        <w:rPr>
          <w:rFonts w:ascii="Times New Roman" w:hAnsi="Times New Roman" w:cs="Times New Roman"/>
          <w:sz w:val="24"/>
          <w:szCs w:val="24"/>
          <w:lang w:val="is-IS"/>
        </w:rPr>
        <w:t>i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eitur- eða </w:t>
      </w:r>
      <w:r w:rsidR="002677DB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ávanabindandi 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áhrif. Að okkar mati þurfa skilyrðin um 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="002677DB" w:rsidRPr="005C7F22">
        <w:rPr>
          <w:rFonts w:ascii="Times New Roman" w:hAnsi="Times New Roman" w:cs="Times New Roman"/>
          <w:sz w:val="24"/>
          <w:szCs w:val="24"/>
          <w:lang w:val="is-IS"/>
        </w:rPr>
        <w:t>umtalsvert eða mælanlega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einnig að eiga við um vörur sem auka eitur- eða </w:t>
      </w:r>
      <w:r w:rsidR="002677DB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ávanabindandi </w:t>
      </w:r>
      <w:r w:rsidR="00FE573F"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áhrif. </w:t>
      </w:r>
    </w:p>
    <w:p w14:paraId="6E5BFE6B" w14:textId="01A79969" w:rsidR="00FE573F" w:rsidRPr="005C7F22" w:rsidRDefault="00D87F10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- Grein 7(13): Orðin 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>to a significant and measurable degree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eru þýdd sem 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umtalsvert </w:t>
      </w: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eða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mælanlega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“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en réttar væri að þýða þau sem 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„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umtalsvert </w:t>
      </w:r>
      <w:r w:rsidRPr="005C7F22">
        <w:rPr>
          <w:rFonts w:ascii="Times New Roman" w:hAnsi="Times New Roman" w:cs="Times New Roman"/>
          <w:sz w:val="24"/>
          <w:szCs w:val="24"/>
          <w:u w:val="single"/>
          <w:lang w:val="is-IS"/>
        </w:rPr>
        <w:t>og</w:t>
      </w:r>
      <w:r w:rsidRPr="005C7F22">
        <w:rPr>
          <w:rFonts w:ascii="Times New Roman" w:hAnsi="Times New Roman" w:cs="Times New Roman"/>
          <w:sz w:val="24"/>
          <w:szCs w:val="24"/>
          <w:lang w:val="is-IS"/>
        </w:rPr>
        <w:t xml:space="preserve"> mælanlega.</w:t>
      </w:r>
      <w:r w:rsidR="00D261DE">
        <w:rPr>
          <w:rFonts w:ascii="Times New Roman" w:hAnsi="Times New Roman" w:cs="Times New Roman"/>
          <w:sz w:val="24"/>
          <w:szCs w:val="24"/>
          <w:lang w:val="is-IS"/>
        </w:rPr>
        <w:t>“</w:t>
      </w:r>
    </w:p>
    <w:p w14:paraId="5283551B" w14:textId="1364DBA1" w:rsidR="008E335A" w:rsidRPr="005C7F22" w:rsidRDefault="008E335A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36E82940" w14:textId="77777777" w:rsidR="008E335A" w:rsidRPr="005C7F22" w:rsidRDefault="008E335A" w:rsidP="008E33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***</w:t>
      </w:r>
    </w:p>
    <w:p w14:paraId="03835F62" w14:textId="77777777" w:rsidR="008E335A" w:rsidRPr="005C7F22" w:rsidRDefault="008E335A" w:rsidP="008E335A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1F4A7BC5" w14:textId="0D3FF18E" w:rsidR="008E335A" w:rsidRPr="005C7F22" w:rsidRDefault="008E335A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5C7F22">
        <w:rPr>
          <w:rFonts w:ascii="Times New Roman" w:hAnsi="Times New Roman" w:cs="Times New Roman"/>
          <w:sz w:val="24"/>
          <w:szCs w:val="24"/>
          <w:lang w:val="is-IS"/>
        </w:rPr>
        <w:t>Ef ráðuneytið óskar eftir frekari skýringum á ofangreindu eða hefur einhverjar aðrar spurningar er BAT að sjálfsögðu til reiðu.</w:t>
      </w:r>
    </w:p>
    <w:p w14:paraId="76EC5729" w14:textId="77777777" w:rsidR="008E335A" w:rsidRPr="005C7F22" w:rsidRDefault="008E335A" w:rsidP="0001520E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654967D8" w14:textId="4C21B1EB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43B36627" w14:textId="5462C194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6BA93BAE" w14:textId="56637826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4105200C" w14:textId="7CAB48D1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52157FAC" w14:textId="1DCFCC2B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47D84990" w14:textId="4F8AFF24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226ADC26" w14:textId="77777777" w:rsidR="005369BA" w:rsidRPr="005C7F22" w:rsidRDefault="005369BA" w:rsidP="00821147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2CABB9A3" w14:textId="77777777" w:rsidR="00821147" w:rsidRPr="005C7F22" w:rsidRDefault="00821147" w:rsidP="00F121BD">
      <w:pPr>
        <w:spacing w:line="276" w:lineRule="auto"/>
        <w:rPr>
          <w:b/>
          <w:bCs/>
          <w:lang w:val="is-IS"/>
        </w:rPr>
      </w:pPr>
    </w:p>
    <w:sectPr w:rsidR="00821147" w:rsidRPr="005C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4605" w14:textId="77777777" w:rsidR="00B4618D" w:rsidRDefault="00B4618D" w:rsidP="001230DB">
      <w:pPr>
        <w:spacing w:after="0" w:line="240" w:lineRule="auto"/>
      </w:pPr>
      <w:r>
        <w:separator/>
      </w:r>
    </w:p>
  </w:endnote>
  <w:endnote w:type="continuationSeparator" w:id="0">
    <w:p w14:paraId="1B843D08" w14:textId="77777777" w:rsidR="00B4618D" w:rsidRDefault="00B4618D" w:rsidP="001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9E13" w14:textId="77777777" w:rsidR="00B4618D" w:rsidRDefault="00B4618D" w:rsidP="001230DB">
      <w:pPr>
        <w:spacing w:after="0" w:line="240" w:lineRule="auto"/>
      </w:pPr>
      <w:r>
        <w:separator/>
      </w:r>
    </w:p>
  </w:footnote>
  <w:footnote w:type="continuationSeparator" w:id="0">
    <w:p w14:paraId="4CE66C56" w14:textId="77777777" w:rsidR="00B4618D" w:rsidRDefault="00B4618D" w:rsidP="001230DB">
      <w:pPr>
        <w:spacing w:after="0" w:line="240" w:lineRule="auto"/>
      </w:pPr>
      <w:r>
        <w:continuationSeparator/>
      </w:r>
    </w:p>
  </w:footnote>
  <w:footnote w:id="1">
    <w:p w14:paraId="0261108D" w14:textId="43AAED20" w:rsidR="001230DB" w:rsidRPr="005C7F22" w:rsidRDefault="001230DB">
      <w:pPr>
        <w:pStyle w:val="FootnoteText"/>
        <w:rPr>
          <w:lang w:val="is-IS"/>
        </w:rPr>
      </w:pPr>
      <w:r w:rsidRPr="005C7F22">
        <w:rPr>
          <w:rStyle w:val="FootnoteReference"/>
          <w:lang w:val="is-IS"/>
        </w:rPr>
        <w:footnoteRef/>
      </w:r>
      <w:r w:rsidRPr="005C7F22">
        <w:rPr>
          <w:lang w:val="is-IS"/>
        </w:rPr>
        <w:t xml:space="preserve"> Byggt á fjölda rannsóknarniðurstaðna og algjöru brotthvarfi frá sígarettureykingum. Þessar vörur eru þó ekki lausar við alla áhættu og eru ávanabindandi. Þetta á við um allar tilvísanir í þessu skjali til „skaðminni v</w:t>
      </w:r>
      <w:r w:rsidR="00C02698" w:rsidRPr="005C7F22">
        <w:rPr>
          <w:lang w:val="is-IS"/>
        </w:rPr>
        <w:t>ara</w:t>
      </w:r>
      <w:r w:rsidRPr="005C7F22">
        <w:rPr>
          <w:lang w:val="is-IS"/>
        </w:rPr>
        <w:t xml:space="preserve">“ eða </w:t>
      </w:r>
      <w:r w:rsidR="005C7F22">
        <w:rPr>
          <w:lang w:val="is-IS"/>
        </w:rPr>
        <w:t>„</w:t>
      </w:r>
      <w:r w:rsidRPr="005C7F22">
        <w:rPr>
          <w:lang w:val="is-IS"/>
        </w:rPr>
        <w:t>skaðaminnkandi áhrifa“</w:t>
      </w:r>
      <w:r w:rsidR="00C02698" w:rsidRPr="005C7F22">
        <w:rPr>
          <w:lang w:val="is-IS"/>
        </w:rPr>
        <w:t xml:space="preserve"> eða annars sambærilegs orðalags.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DBF"/>
    <w:multiLevelType w:val="hybridMultilevel"/>
    <w:tmpl w:val="EFD435D2"/>
    <w:lvl w:ilvl="0" w:tplc="605AC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7C6E"/>
    <w:multiLevelType w:val="hybridMultilevel"/>
    <w:tmpl w:val="6F523ED0"/>
    <w:lvl w:ilvl="0" w:tplc="7CEE28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5A31"/>
    <w:multiLevelType w:val="hybridMultilevel"/>
    <w:tmpl w:val="6FC68A30"/>
    <w:lvl w:ilvl="0" w:tplc="A566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8817">
    <w:abstractNumId w:val="0"/>
  </w:num>
  <w:num w:numId="2" w16cid:durableId="840202589">
    <w:abstractNumId w:val="1"/>
  </w:num>
  <w:num w:numId="3" w16cid:durableId="124888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BD"/>
    <w:rsid w:val="0001520E"/>
    <w:rsid w:val="001230DB"/>
    <w:rsid w:val="001321FD"/>
    <w:rsid w:val="001468A6"/>
    <w:rsid w:val="0016501C"/>
    <w:rsid w:val="001B7CAD"/>
    <w:rsid w:val="001F1B70"/>
    <w:rsid w:val="00215905"/>
    <w:rsid w:val="002677DB"/>
    <w:rsid w:val="0031157A"/>
    <w:rsid w:val="003D4CC8"/>
    <w:rsid w:val="003E1FF2"/>
    <w:rsid w:val="003F4E0E"/>
    <w:rsid w:val="004B4B8C"/>
    <w:rsid w:val="005369BA"/>
    <w:rsid w:val="005640F9"/>
    <w:rsid w:val="005B3340"/>
    <w:rsid w:val="005C7F22"/>
    <w:rsid w:val="005E608F"/>
    <w:rsid w:val="005F0309"/>
    <w:rsid w:val="00640146"/>
    <w:rsid w:val="00697D14"/>
    <w:rsid w:val="006C142B"/>
    <w:rsid w:val="006C3C8B"/>
    <w:rsid w:val="006D5680"/>
    <w:rsid w:val="00711C0F"/>
    <w:rsid w:val="00722459"/>
    <w:rsid w:val="00773C9E"/>
    <w:rsid w:val="007A52CC"/>
    <w:rsid w:val="007F1690"/>
    <w:rsid w:val="008101FE"/>
    <w:rsid w:val="00821147"/>
    <w:rsid w:val="00840903"/>
    <w:rsid w:val="00847F72"/>
    <w:rsid w:val="008B1EEA"/>
    <w:rsid w:val="008E335A"/>
    <w:rsid w:val="009E6A14"/>
    <w:rsid w:val="00A8236D"/>
    <w:rsid w:val="00A86137"/>
    <w:rsid w:val="00B240D3"/>
    <w:rsid w:val="00B30B89"/>
    <w:rsid w:val="00B31649"/>
    <w:rsid w:val="00B4618D"/>
    <w:rsid w:val="00B607A3"/>
    <w:rsid w:val="00BF156C"/>
    <w:rsid w:val="00C02698"/>
    <w:rsid w:val="00C30E17"/>
    <w:rsid w:val="00CC2AF1"/>
    <w:rsid w:val="00CD4234"/>
    <w:rsid w:val="00D261DE"/>
    <w:rsid w:val="00D3014D"/>
    <w:rsid w:val="00D71EA3"/>
    <w:rsid w:val="00D87F10"/>
    <w:rsid w:val="00E1264D"/>
    <w:rsid w:val="00E422D7"/>
    <w:rsid w:val="00F008DF"/>
    <w:rsid w:val="00F121BD"/>
    <w:rsid w:val="00F22DF1"/>
    <w:rsid w:val="00FC2DDC"/>
    <w:rsid w:val="00FD48F4"/>
    <w:rsid w:val="00FD54D2"/>
    <w:rsid w:val="00FE573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898C"/>
  <w15:chartTrackingRefBased/>
  <w15:docId w15:val="{CEE6CF41-F26A-4958-B81A-B134F05F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B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D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9E16-6C00-4E94-AC88-8462411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Óli Jónsson</dc:creator>
  <cp:keywords/>
  <dc:description/>
  <cp:lastModifiedBy>Stefán Óli Jónsson</cp:lastModifiedBy>
  <cp:revision>43</cp:revision>
  <dcterms:created xsi:type="dcterms:W3CDTF">2022-07-14T11:22:00Z</dcterms:created>
  <dcterms:modified xsi:type="dcterms:W3CDTF">2022-07-25T10:22:00Z</dcterms:modified>
</cp:coreProperties>
</file>