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4D71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 xml:space="preserve">            </w:t>
      </w:r>
    </w:p>
    <w:p w14:paraId="4CB4A57E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493DAA84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5DC35854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2A206835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384A7CFD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1CA9D78B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3ABEBCF9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 xml:space="preserve">                               </w:t>
      </w:r>
    </w:p>
    <w:p w14:paraId="42646F41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 xml:space="preserve">                                        </w:t>
      </w:r>
    </w:p>
    <w:p w14:paraId="220CDF71" w14:textId="77777777" w:rsidR="00B43A57" w:rsidRPr="0042045D" w:rsidRDefault="00B43A57" w:rsidP="00B43A57">
      <w:pPr>
        <w:ind w:left="-360"/>
        <w:jc w:val="right"/>
        <w:rPr>
          <w:rFonts w:ascii="Lato" w:hAnsi="Lato" w:cstheme="minorHAnsi"/>
          <w:b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 xml:space="preserve">                                </w:t>
      </w:r>
    </w:p>
    <w:p w14:paraId="62E4A8D2" w14:textId="04599522" w:rsidR="00B43A57" w:rsidRPr="0042045D" w:rsidRDefault="007E3630" w:rsidP="00B43A5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Heilbrigðisráðuneytið</w:t>
      </w:r>
    </w:p>
    <w:p w14:paraId="792D7805" w14:textId="38EEB760" w:rsidR="00B43A57" w:rsidRPr="0042045D" w:rsidRDefault="00B43A57" w:rsidP="00B43A5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Samráðsgátt mál nr. 2</w:t>
      </w:r>
      <w:r w:rsidR="003947ED">
        <w:rPr>
          <w:rFonts w:ascii="Lato" w:hAnsi="Lato" w:cstheme="minorHAnsi"/>
          <w:sz w:val="22"/>
          <w:szCs w:val="22"/>
        </w:rPr>
        <w:t>47</w:t>
      </w:r>
      <w:r w:rsidRPr="0042045D">
        <w:rPr>
          <w:rFonts w:ascii="Lato" w:hAnsi="Lato" w:cstheme="minorHAnsi"/>
          <w:sz w:val="22"/>
          <w:szCs w:val="22"/>
        </w:rPr>
        <w:t>/2022</w:t>
      </w:r>
    </w:p>
    <w:p w14:paraId="6062620F" w14:textId="77777777" w:rsidR="00B43A57" w:rsidRPr="0042045D" w:rsidRDefault="00B43A57" w:rsidP="00B43A57">
      <w:pPr>
        <w:ind w:left="-360"/>
        <w:jc w:val="both"/>
        <w:rPr>
          <w:rFonts w:ascii="Lato" w:hAnsi="Lato" w:cstheme="minorHAnsi"/>
          <w:b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  <w:t xml:space="preserve">                                          </w:t>
      </w:r>
    </w:p>
    <w:p w14:paraId="3958B83C" w14:textId="38A5B439" w:rsidR="00B43A57" w:rsidRPr="0042045D" w:rsidRDefault="00B43A57" w:rsidP="00B43A57">
      <w:pPr>
        <w:tabs>
          <w:tab w:val="left" w:pos="3285"/>
          <w:tab w:val="right" w:pos="8820"/>
        </w:tabs>
        <w:ind w:left="-360"/>
        <w:rPr>
          <w:rFonts w:ascii="Lato" w:hAnsi="Lato" w:cstheme="minorHAnsi"/>
          <w:b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  <w:t xml:space="preserve">Reykjavík </w:t>
      </w:r>
      <w:r w:rsidR="003947ED">
        <w:rPr>
          <w:rFonts w:ascii="Lato" w:hAnsi="Lato" w:cstheme="minorHAnsi"/>
          <w:sz w:val="22"/>
          <w:szCs w:val="22"/>
        </w:rPr>
        <w:t>18</w:t>
      </w:r>
      <w:r w:rsidRPr="0042045D">
        <w:rPr>
          <w:rFonts w:ascii="Lato" w:hAnsi="Lato" w:cstheme="minorHAnsi"/>
          <w:sz w:val="22"/>
          <w:szCs w:val="22"/>
        </w:rPr>
        <w:t>. janúar 2023</w:t>
      </w:r>
      <w:r w:rsidRPr="0042045D">
        <w:rPr>
          <w:rFonts w:ascii="Lato" w:hAnsi="Lato" w:cstheme="minorHAnsi"/>
          <w:sz w:val="22"/>
          <w:szCs w:val="22"/>
        </w:rPr>
        <w:tab/>
      </w:r>
    </w:p>
    <w:p w14:paraId="1BA0A706" w14:textId="77777777" w:rsidR="00B43A57" w:rsidRPr="0042045D" w:rsidRDefault="00B43A57" w:rsidP="00B43A57">
      <w:pPr>
        <w:shd w:val="clear" w:color="auto" w:fill="FFFFFF"/>
        <w:jc w:val="right"/>
        <w:rPr>
          <w:rFonts w:ascii="Lato" w:hAnsi="Lato" w:cstheme="minorHAnsi"/>
          <w:b/>
          <w:sz w:val="22"/>
          <w:szCs w:val="22"/>
        </w:rPr>
      </w:pPr>
    </w:p>
    <w:p w14:paraId="7D3440C1" w14:textId="77777777" w:rsidR="00B43A57" w:rsidRPr="0042045D" w:rsidRDefault="00B43A57" w:rsidP="00B43A5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58A5396D" w14:textId="77777777" w:rsidR="00B43A57" w:rsidRPr="0042045D" w:rsidRDefault="00B43A57" w:rsidP="00B43A5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5598FA9D" w14:textId="77777777" w:rsidR="00B43A57" w:rsidRPr="0042045D" w:rsidRDefault="00B43A57" w:rsidP="00B43A5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68D34814" w14:textId="77777777" w:rsidR="00B43A57" w:rsidRPr="0042045D" w:rsidRDefault="00B43A57" w:rsidP="00B43A5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0C810873" w14:textId="77777777" w:rsidR="00B43A57" w:rsidRPr="0042045D" w:rsidRDefault="00B43A57" w:rsidP="00B43A5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4D2DEDCE" w14:textId="77777777" w:rsidR="00B43A57" w:rsidRPr="0042045D" w:rsidRDefault="00B43A57" w:rsidP="00B43A5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7608E35B" w14:textId="77777777" w:rsidR="00B43A57" w:rsidRPr="0042045D" w:rsidRDefault="00B43A57" w:rsidP="00B43A5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4E070D00" w14:textId="77777777" w:rsidR="00B43A57" w:rsidRPr="0042045D" w:rsidRDefault="00B43A57" w:rsidP="00B43A57">
      <w:pPr>
        <w:shd w:val="clear" w:color="auto" w:fill="FFFFFF"/>
        <w:rPr>
          <w:rFonts w:ascii="Lato" w:hAnsi="Lato" w:cstheme="minorHAnsi"/>
          <w:sz w:val="22"/>
          <w:szCs w:val="22"/>
        </w:rPr>
      </w:pPr>
    </w:p>
    <w:p w14:paraId="7F8A850C" w14:textId="462C775F" w:rsidR="00B43A57" w:rsidRPr="0042045D" w:rsidRDefault="00B43A57" w:rsidP="00B43A57">
      <w:pPr>
        <w:shd w:val="clear" w:color="auto" w:fill="FFFFFF"/>
        <w:rPr>
          <w:rFonts w:ascii="Lato" w:hAnsi="Lato" w:cstheme="minorHAnsi"/>
          <w:color w:val="242424"/>
          <w:sz w:val="22"/>
          <w:szCs w:val="22"/>
          <w:lang w:eastAsia="is-IS"/>
        </w:rPr>
      </w:pPr>
      <w:r w:rsidRPr="0042045D">
        <w:rPr>
          <w:rFonts w:ascii="Lato" w:hAnsi="Lato" w:cstheme="minorHAnsi"/>
          <w:sz w:val="22"/>
          <w:szCs w:val="22"/>
        </w:rPr>
        <w:t xml:space="preserve">Meðfylgjandi er umsögn Barnaheilla - Save the Children á Íslandi um </w:t>
      </w:r>
      <w:r w:rsidR="003947ED">
        <w:rPr>
          <w:rFonts w:ascii="Lato" w:hAnsi="Lato"/>
          <w:sz w:val="22"/>
          <w:szCs w:val="22"/>
        </w:rPr>
        <w:t xml:space="preserve">drög að þingsályktunartillögu um aðgerðaáætlun í geðheilbrigðismálum </w:t>
      </w:r>
      <w:r w:rsidR="00260495">
        <w:rPr>
          <w:rFonts w:ascii="Lato" w:hAnsi="Lato"/>
          <w:sz w:val="22"/>
          <w:szCs w:val="22"/>
        </w:rPr>
        <w:t>2023-2027</w:t>
      </w:r>
      <w:r w:rsidRPr="0042045D">
        <w:rPr>
          <w:rFonts w:ascii="Lato" w:hAnsi="Lato" w:cstheme="minorHAnsi"/>
          <w:sz w:val="22"/>
          <w:szCs w:val="22"/>
        </w:rPr>
        <w:t xml:space="preserve">. </w:t>
      </w:r>
    </w:p>
    <w:p w14:paraId="001F2B94" w14:textId="77777777" w:rsidR="00B43A57" w:rsidRPr="0042045D" w:rsidRDefault="00B43A57" w:rsidP="00B43A57">
      <w:pPr>
        <w:rPr>
          <w:rFonts w:ascii="Lato" w:eastAsiaTheme="minorHAnsi" w:hAnsi="Lato" w:cstheme="minorHAnsi"/>
          <w:sz w:val="22"/>
          <w:szCs w:val="22"/>
        </w:rPr>
      </w:pPr>
    </w:p>
    <w:p w14:paraId="46D776F3" w14:textId="77777777" w:rsidR="00B43A57" w:rsidRPr="0042045D" w:rsidRDefault="00B43A57" w:rsidP="00B43A57">
      <w:pPr>
        <w:rPr>
          <w:rFonts w:ascii="Lato" w:eastAsiaTheme="minorHAnsi" w:hAnsi="Lato" w:cstheme="minorHAnsi"/>
          <w:sz w:val="22"/>
          <w:szCs w:val="22"/>
        </w:rPr>
      </w:pPr>
    </w:p>
    <w:p w14:paraId="52FB2C3B" w14:textId="77777777" w:rsidR="00B43A57" w:rsidRPr="0042045D" w:rsidRDefault="00B43A57" w:rsidP="00B43A57">
      <w:pPr>
        <w:rPr>
          <w:rFonts w:ascii="Lato" w:eastAsiaTheme="minorHAnsi" w:hAnsi="Lato" w:cstheme="minorHAnsi"/>
          <w:sz w:val="22"/>
          <w:szCs w:val="22"/>
        </w:rPr>
      </w:pPr>
    </w:p>
    <w:p w14:paraId="08DCC780" w14:textId="77777777" w:rsidR="00B43A57" w:rsidRPr="0042045D" w:rsidRDefault="00B43A57" w:rsidP="00B43A57">
      <w:pPr>
        <w:spacing w:after="240"/>
        <w:rPr>
          <w:rFonts w:ascii="Lato" w:hAnsi="Lato" w:cstheme="minorHAnsi"/>
          <w:sz w:val="22"/>
          <w:szCs w:val="22"/>
          <w:lang w:eastAsia="is-IS"/>
        </w:rPr>
      </w:pPr>
    </w:p>
    <w:p w14:paraId="18DE3AD7" w14:textId="77777777" w:rsidR="00B43A57" w:rsidRPr="0042045D" w:rsidRDefault="00B43A57" w:rsidP="00B43A5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20840C92" w14:textId="77777777" w:rsidR="00B43A57" w:rsidRPr="0042045D" w:rsidRDefault="00B43A57" w:rsidP="00B43A5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04E2F4F1" w14:textId="77777777" w:rsidR="00B43A57" w:rsidRPr="0042045D" w:rsidRDefault="00B43A57" w:rsidP="00B43A5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11DB61FF" w14:textId="77777777" w:rsidR="00B43A57" w:rsidRPr="0042045D" w:rsidRDefault="00B43A57" w:rsidP="00B43A5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284B4011" w14:textId="77777777" w:rsidR="00B43A57" w:rsidRPr="0042045D" w:rsidRDefault="00B43A57" w:rsidP="00B43A57">
      <w:pPr>
        <w:jc w:val="both"/>
        <w:rPr>
          <w:rFonts w:ascii="Lato" w:hAnsi="Lato" w:cstheme="minorHAnsi"/>
          <w:sz w:val="22"/>
          <w:szCs w:val="22"/>
        </w:rPr>
      </w:pPr>
    </w:p>
    <w:p w14:paraId="69E58A24" w14:textId="77777777" w:rsidR="00B43A57" w:rsidRPr="0042045D" w:rsidRDefault="00B43A57" w:rsidP="00B43A57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Virðingarfyllst,</w:t>
      </w:r>
    </w:p>
    <w:p w14:paraId="25F1693C" w14:textId="77777777" w:rsidR="00B43A57" w:rsidRPr="0042045D" w:rsidRDefault="00B43A57" w:rsidP="00B43A57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f.h. Barnaheilla - Save the Children á Íslandi</w:t>
      </w:r>
    </w:p>
    <w:p w14:paraId="395EFAB0" w14:textId="77777777" w:rsidR="00B43A57" w:rsidRPr="0042045D" w:rsidRDefault="00B43A57" w:rsidP="00B43A57">
      <w:pPr>
        <w:ind w:left="-360"/>
        <w:jc w:val="center"/>
        <w:rPr>
          <w:rFonts w:ascii="Lato" w:hAnsi="Lato" w:cstheme="minorHAnsi"/>
          <w:sz w:val="22"/>
          <w:szCs w:val="22"/>
        </w:rPr>
      </w:pPr>
    </w:p>
    <w:p w14:paraId="0BC40E41" w14:textId="77777777" w:rsidR="00B43A57" w:rsidRPr="0042045D" w:rsidRDefault="00B43A57" w:rsidP="00B43A57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Ellen Calmon</w:t>
      </w:r>
    </w:p>
    <w:p w14:paraId="7B637EB2" w14:textId="77777777" w:rsidR="00B43A57" w:rsidRPr="0042045D" w:rsidRDefault="00B43A57" w:rsidP="00B43A57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Framkvæmdastýra</w:t>
      </w:r>
    </w:p>
    <w:p w14:paraId="33005D83" w14:textId="77777777" w:rsidR="00B43A57" w:rsidRPr="0042045D" w:rsidRDefault="00B43A57" w:rsidP="00B43A57">
      <w:pPr>
        <w:spacing w:after="160" w:line="259" w:lineRule="auto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br w:type="page"/>
      </w:r>
    </w:p>
    <w:p w14:paraId="30104554" w14:textId="28DCD88C" w:rsidR="00B43A57" w:rsidRPr="0042045D" w:rsidRDefault="00B43A57" w:rsidP="00B43A57">
      <w:pPr>
        <w:jc w:val="center"/>
        <w:rPr>
          <w:rStyle w:val="eop"/>
          <w:rFonts w:ascii="Lato" w:hAnsi="Lato" w:cs="Calibri"/>
          <w:b/>
          <w:bCs/>
          <w:color w:val="000000"/>
          <w:sz w:val="22"/>
          <w:szCs w:val="22"/>
        </w:rPr>
      </w:pPr>
      <w:r w:rsidRPr="0042045D">
        <w:rPr>
          <w:rFonts w:ascii="Lato" w:hAnsi="Lato" w:cstheme="minorHAnsi"/>
          <w:b/>
          <w:bCs/>
          <w:sz w:val="22"/>
          <w:szCs w:val="22"/>
        </w:rPr>
        <w:lastRenderedPageBreak/>
        <w:t xml:space="preserve">Umsögn Barnaheilla - Save the Children á Íslandi um </w:t>
      </w:r>
      <w:r w:rsidR="00260495">
        <w:rPr>
          <w:rFonts w:ascii="Lato" w:hAnsi="Lato"/>
          <w:b/>
          <w:bCs/>
          <w:sz w:val="22"/>
          <w:szCs w:val="22"/>
        </w:rPr>
        <w:t>drög að þingsályktunartillögu um aðgerðaáætlun í geðheilbrigðismálum 2023-2027</w:t>
      </w:r>
    </w:p>
    <w:p w14:paraId="7B408014" w14:textId="77777777" w:rsidR="00B43A57" w:rsidRPr="0042045D" w:rsidRDefault="00B43A57" w:rsidP="00B43A57">
      <w:pPr>
        <w:jc w:val="center"/>
        <w:rPr>
          <w:rFonts w:ascii="Lato" w:hAnsi="Lato" w:cs="Segoe UI"/>
          <w:b/>
          <w:bCs/>
          <w:sz w:val="22"/>
          <w:szCs w:val="22"/>
        </w:rPr>
      </w:pPr>
    </w:p>
    <w:p w14:paraId="747E73ED" w14:textId="77777777" w:rsidR="00B43A57" w:rsidRDefault="00B43A57" w:rsidP="00B43A57">
      <w:pPr>
        <w:rPr>
          <w:rFonts w:ascii="Lato" w:hAnsi="Lato"/>
          <w:sz w:val="22"/>
          <w:szCs w:val="22"/>
        </w:rPr>
      </w:pPr>
    </w:p>
    <w:p w14:paraId="71A27D74" w14:textId="0F519CA7" w:rsidR="00B43A57" w:rsidRDefault="00B43A57" w:rsidP="00260495">
      <w:pPr>
        <w:rPr>
          <w:rFonts w:ascii="Lato" w:hAnsi="Lato"/>
          <w:sz w:val="22"/>
          <w:szCs w:val="22"/>
        </w:rPr>
      </w:pPr>
      <w:r w:rsidRPr="0042045D">
        <w:rPr>
          <w:rFonts w:ascii="Lato" w:hAnsi="Lato"/>
          <w:sz w:val="22"/>
          <w:szCs w:val="22"/>
        </w:rPr>
        <w:t xml:space="preserve">Barnaheill – Save the Children á Íslandi </w:t>
      </w:r>
      <w:r w:rsidR="00260495">
        <w:rPr>
          <w:rFonts w:ascii="Lato" w:hAnsi="Lato"/>
          <w:sz w:val="22"/>
          <w:szCs w:val="22"/>
        </w:rPr>
        <w:t xml:space="preserve">þakka fyrir tækifærið </w:t>
      </w:r>
      <w:r w:rsidR="00100918">
        <w:rPr>
          <w:rFonts w:ascii="Lato" w:hAnsi="Lato"/>
          <w:sz w:val="22"/>
          <w:szCs w:val="22"/>
        </w:rPr>
        <w:t xml:space="preserve">til að gera umsögn um ofangreint mál. </w:t>
      </w:r>
    </w:p>
    <w:p w14:paraId="3EC1B2AC" w14:textId="77777777" w:rsidR="00100918" w:rsidRDefault="00100918" w:rsidP="00260495">
      <w:pPr>
        <w:rPr>
          <w:rFonts w:ascii="Lato" w:hAnsi="Lato"/>
          <w:sz w:val="22"/>
          <w:szCs w:val="22"/>
        </w:rPr>
      </w:pPr>
    </w:p>
    <w:p w14:paraId="469158A5" w14:textId="73A39B90" w:rsidR="00100918" w:rsidRDefault="00CB5295" w:rsidP="0026049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Samtökin fagna </w:t>
      </w:r>
      <w:r w:rsidR="00AE0E6B">
        <w:rPr>
          <w:rFonts w:ascii="Lato" w:hAnsi="Lato"/>
          <w:sz w:val="22"/>
          <w:szCs w:val="22"/>
        </w:rPr>
        <w:t xml:space="preserve">aðgerðaáætluninni og þeirri framsýnu hugsun sem þar má sjá. </w:t>
      </w:r>
      <w:r w:rsidR="00806AFA">
        <w:rPr>
          <w:rFonts w:ascii="Lato" w:hAnsi="Lato"/>
          <w:sz w:val="22"/>
          <w:szCs w:val="22"/>
        </w:rPr>
        <w:t>Barnaheill hvetja stjórnvöld og öll sem starfa innan geðheilbrigðiskerfisins til að taka höndum saman um innleiðingu hennar</w:t>
      </w:r>
      <w:r w:rsidR="0099099A">
        <w:rPr>
          <w:rFonts w:ascii="Lato" w:hAnsi="Lato"/>
          <w:sz w:val="22"/>
          <w:szCs w:val="22"/>
        </w:rPr>
        <w:t xml:space="preserve"> svo hún megi komast í framkvæmd sem allra fyrst. </w:t>
      </w:r>
    </w:p>
    <w:p w14:paraId="52A47F90" w14:textId="77777777" w:rsidR="0099099A" w:rsidRDefault="0099099A" w:rsidP="00260495">
      <w:pPr>
        <w:rPr>
          <w:rFonts w:ascii="Lato" w:hAnsi="Lato"/>
          <w:sz w:val="22"/>
          <w:szCs w:val="22"/>
        </w:rPr>
      </w:pPr>
    </w:p>
    <w:p w14:paraId="269EA40E" w14:textId="77777777" w:rsidR="007448AB" w:rsidRDefault="007448AB" w:rsidP="00260495">
      <w:pPr>
        <w:rPr>
          <w:rFonts w:ascii="Lato" w:hAnsi="Lato"/>
          <w:sz w:val="22"/>
          <w:szCs w:val="22"/>
        </w:rPr>
      </w:pPr>
    </w:p>
    <w:p w14:paraId="29C7ABD9" w14:textId="19D1F487" w:rsidR="0099099A" w:rsidRDefault="00D970CB" w:rsidP="0026049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Barnaheill vilja þó koma eftirfarandi á framfæri:</w:t>
      </w:r>
    </w:p>
    <w:p w14:paraId="7A66B772" w14:textId="77777777" w:rsidR="00D970CB" w:rsidRDefault="00D970CB" w:rsidP="00260495">
      <w:pPr>
        <w:rPr>
          <w:rFonts w:ascii="Lato" w:hAnsi="Lato"/>
          <w:sz w:val="22"/>
          <w:szCs w:val="22"/>
        </w:rPr>
      </w:pPr>
    </w:p>
    <w:p w14:paraId="02AA9D8E" w14:textId="66392A35" w:rsidR="001C2457" w:rsidRDefault="00762C7B" w:rsidP="00260495">
      <w:pPr>
        <w:rPr>
          <w:rFonts w:ascii="Lato" w:hAnsi="Lato"/>
          <w:sz w:val="22"/>
          <w:szCs w:val="22"/>
        </w:rPr>
      </w:pPr>
      <w:r w:rsidRPr="0008321C">
        <w:rPr>
          <w:rFonts w:ascii="Lato" w:hAnsi="Lato"/>
          <w:b/>
          <w:bCs/>
          <w:sz w:val="22"/>
          <w:szCs w:val="22"/>
        </w:rPr>
        <w:t>Óútfærðar aðgerðir</w:t>
      </w:r>
      <w:r>
        <w:rPr>
          <w:rFonts w:ascii="Lato" w:hAnsi="Lato"/>
          <w:sz w:val="22"/>
          <w:szCs w:val="22"/>
        </w:rPr>
        <w:t>:</w:t>
      </w:r>
    </w:p>
    <w:p w14:paraId="6E7B6496" w14:textId="48CECAE4" w:rsidR="00547540" w:rsidRDefault="00F73B4A" w:rsidP="0026049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Eins og aðgerðir líta út eru þær óútfærðar og </w:t>
      </w:r>
      <w:r w:rsidR="00FC530A">
        <w:rPr>
          <w:rFonts w:ascii="Lato" w:hAnsi="Lato"/>
          <w:sz w:val="22"/>
          <w:szCs w:val="22"/>
        </w:rPr>
        <w:t xml:space="preserve">óskilgreindar. Mikilvægt er að </w:t>
      </w:r>
      <w:r w:rsidR="00C05678">
        <w:rPr>
          <w:rFonts w:ascii="Lato" w:hAnsi="Lato"/>
          <w:sz w:val="22"/>
          <w:szCs w:val="22"/>
        </w:rPr>
        <w:t xml:space="preserve">vinnu við innleiðingu þeirra verði hrundið af stað sem allra fyrst og að </w:t>
      </w:r>
      <w:r w:rsidR="00E826FD">
        <w:rPr>
          <w:rFonts w:ascii="Lato" w:hAnsi="Lato"/>
          <w:sz w:val="22"/>
          <w:szCs w:val="22"/>
        </w:rPr>
        <w:t>ábyrgðaraðil</w:t>
      </w:r>
      <w:r w:rsidR="002A6214">
        <w:rPr>
          <w:rFonts w:ascii="Lato" w:hAnsi="Lato"/>
          <w:sz w:val="22"/>
          <w:szCs w:val="22"/>
        </w:rPr>
        <w:t xml:space="preserve">ar fái nægilega </w:t>
      </w:r>
      <w:r w:rsidR="00252655">
        <w:rPr>
          <w:rFonts w:ascii="Lato" w:hAnsi="Lato"/>
          <w:sz w:val="22"/>
          <w:szCs w:val="22"/>
        </w:rPr>
        <w:t xml:space="preserve">skýr og </w:t>
      </w:r>
      <w:r w:rsidR="002A6214">
        <w:rPr>
          <w:rFonts w:ascii="Lato" w:hAnsi="Lato"/>
          <w:sz w:val="22"/>
          <w:szCs w:val="22"/>
        </w:rPr>
        <w:t xml:space="preserve">skilgreind </w:t>
      </w:r>
      <w:r w:rsidR="00252655">
        <w:rPr>
          <w:rFonts w:ascii="Lato" w:hAnsi="Lato"/>
          <w:sz w:val="22"/>
          <w:szCs w:val="22"/>
        </w:rPr>
        <w:t xml:space="preserve">verkefni svo af þeim geti orðið en eins og fram kemur í athugasemdum með </w:t>
      </w:r>
      <w:r w:rsidR="00FF1559">
        <w:rPr>
          <w:rFonts w:ascii="Lato" w:hAnsi="Lato"/>
          <w:sz w:val="22"/>
          <w:szCs w:val="22"/>
        </w:rPr>
        <w:t xml:space="preserve">drögunum að þingsályktuninni </w:t>
      </w:r>
      <w:r w:rsidR="007A4D72">
        <w:rPr>
          <w:rFonts w:ascii="Lato" w:hAnsi="Lato"/>
          <w:sz w:val="22"/>
          <w:szCs w:val="22"/>
        </w:rPr>
        <w:t>komust aðeins þrjár aðgerða</w:t>
      </w:r>
      <w:r w:rsidR="005E3E72">
        <w:rPr>
          <w:rFonts w:ascii="Lato" w:hAnsi="Lato"/>
          <w:sz w:val="22"/>
          <w:szCs w:val="22"/>
        </w:rPr>
        <w:t xml:space="preserve"> af átján aðgerðum í aðgerðaáætlun fyrir árin 2016-2020</w:t>
      </w:r>
      <w:r w:rsidR="00623E57">
        <w:rPr>
          <w:rFonts w:ascii="Lato" w:hAnsi="Lato"/>
          <w:sz w:val="22"/>
          <w:szCs w:val="22"/>
        </w:rPr>
        <w:t xml:space="preserve"> til framkvæmda á réttum tíma. </w:t>
      </w:r>
      <w:r w:rsidR="007571BA">
        <w:rPr>
          <w:rFonts w:ascii="Lato" w:hAnsi="Lato"/>
          <w:sz w:val="22"/>
          <w:szCs w:val="22"/>
        </w:rPr>
        <w:t xml:space="preserve">Það </w:t>
      </w:r>
      <w:r w:rsidR="00DD69F8">
        <w:rPr>
          <w:rFonts w:ascii="Lato" w:hAnsi="Lato"/>
          <w:sz w:val="22"/>
          <w:szCs w:val="22"/>
        </w:rPr>
        <w:t>þyk</w:t>
      </w:r>
      <w:r w:rsidR="00AF46F5">
        <w:rPr>
          <w:rFonts w:ascii="Lato" w:hAnsi="Lato"/>
          <w:sz w:val="22"/>
          <w:szCs w:val="22"/>
        </w:rPr>
        <w:t>ir</w:t>
      </w:r>
      <w:r w:rsidR="00DD69F8">
        <w:rPr>
          <w:rFonts w:ascii="Lato" w:hAnsi="Lato"/>
          <w:sz w:val="22"/>
          <w:szCs w:val="22"/>
        </w:rPr>
        <w:t xml:space="preserve"> Barnaheillum mjög miður og hvetja ráðuneytið til þess að tryggja að sú aðgerðaáætlun sem hér er verið að </w:t>
      </w:r>
      <w:r w:rsidR="00170B63">
        <w:rPr>
          <w:rFonts w:ascii="Lato" w:hAnsi="Lato"/>
          <w:sz w:val="22"/>
          <w:szCs w:val="22"/>
        </w:rPr>
        <w:t xml:space="preserve">stefna </w:t>
      </w:r>
      <w:r w:rsidR="00EC1778">
        <w:rPr>
          <w:rFonts w:ascii="Lato" w:hAnsi="Lato"/>
          <w:sz w:val="22"/>
          <w:szCs w:val="22"/>
        </w:rPr>
        <w:t>að</w:t>
      </w:r>
      <w:r w:rsidR="00615C25">
        <w:rPr>
          <w:rFonts w:ascii="Lato" w:hAnsi="Lato"/>
          <w:sz w:val="22"/>
          <w:szCs w:val="22"/>
        </w:rPr>
        <w:t xml:space="preserve">, </w:t>
      </w:r>
      <w:r w:rsidR="00824D01">
        <w:rPr>
          <w:rFonts w:ascii="Lato" w:hAnsi="Lato"/>
          <w:sz w:val="22"/>
          <w:szCs w:val="22"/>
        </w:rPr>
        <w:t xml:space="preserve">verði framkvæmd að fullu. </w:t>
      </w:r>
    </w:p>
    <w:p w14:paraId="534E5724" w14:textId="77777777" w:rsidR="00E826FD" w:rsidRDefault="00E826FD" w:rsidP="00260495">
      <w:pPr>
        <w:rPr>
          <w:rFonts w:ascii="Lato" w:hAnsi="Lato"/>
          <w:sz w:val="22"/>
          <w:szCs w:val="22"/>
        </w:rPr>
      </w:pPr>
    </w:p>
    <w:p w14:paraId="6507CE1C" w14:textId="4A9EE4B6" w:rsidR="00D970CB" w:rsidRDefault="00D970CB" w:rsidP="00260495">
      <w:pPr>
        <w:rPr>
          <w:rFonts w:ascii="Lato" w:hAnsi="Lato"/>
          <w:sz w:val="22"/>
          <w:szCs w:val="22"/>
        </w:rPr>
      </w:pPr>
      <w:r w:rsidRPr="00AF46F5">
        <w:rPr>
          <w:rFonts w:ascii="Lato" w:hAnsi="Lato"/>
          <w:b/>
          <w:bCs/>
          <w:sz w:val="22"/>
          <w:szCs w:val="22"/>
        </w:rPr>
        <w:t>Fjármögnun</w:t>
      </w:r>
      <w:r>
        <w:rPr>
          <w:rFonts w:ascii="Lato" w:hAnsi="Lato"/>
          <w:sz w:val="22"/>
          <w:szCs w:val="22"/>
        </w:rPr>
        <w:t>:</w:t>
      </w:r>
    </w:p>
    <w:p w14:paraId="7011BD0D" w14:textId="7CD6F495" w:rsidR="00D970CB" w:rsidRDefault="00D970CB" w:rsidP="0026049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Barnaheill taka undir umsögn Geðhjálpar og lýsa yfir áhyggjum af því að </w:t>
      </w:r>
      <w:r w:rsidR="009E091B">
        <w:rPr>
          <w:rFonts w:ascii="Lato" w:hAnsi="Lato"/>
          <w:sz w:val="22"/>
          <w:szCs w:val="22"/>
        </w:rPr>
        <w:t xml:space="preserve">kostnaður af innleiðingu og rekstri aðgerðanna til framtíðar sé vanmetinn og </w:t>
      </w:r>
      <w:r w:rsidR="00040D09">
        <w:rPr>
          <w:rFonts w:ascii="Lato" w:hAnsi="Lato"/>
          <w:sz w:val="22"/>
          <w:szCs w:val="22"/>
        </w:rPr>
        <w:t xml:space="preserve">skora á ráðuneytið að </w:t>
      </w:r>
      <w:r w:rsidR="00430D91">
        <w:rPr>
          <w:rFonts w:ascii="Lato" w:hAnsi="Lato"/>
          <w:sz w:val="22"/>
          <w:szCs w:val="22"/>
        </w:rPr>
        <w:t>tryggja</w:t>
      </w:r>
      <w:r w:rsidR="002F72B6">
        <w:rPr>
          <w:rFonts w:ascii="Lato" w:hAnsi="Lato"/>
          <w:sz w:val="22"/>
          <w:szCs w:val="22"/>
        </w:rPr>
        <w:t xml:space="preserve"> </w:t>
      </w:r>
      <w:r w:rsidR="00430D91">
        <w:rPr>
          <w:rFonts w:ascii="Lato" w:hAnsi="Lato"/>
          <w:sz w:val="22"/>
          <w:szCs w:val="22"/>
        </w:rPr>
        <w:t xml:space="preserve">fjármögnun allra aðgerða áætlunarinnar til fulls. </w:t>
      </w:r>
      <w:r w:rsidR="00D12B0E">
        <w:rPr>
          <w:rFonts w:ascii="Lato" w:hAnsi="Lato"/>
          <w:sz w:val="22"/>
          <w:szCs w:val="22"/>
        </w:rPr>
        <w:t xml:space="preserve">Það er brýnt að </w:t>
      </w:r>
      <w:r w:rsidR="00EA32DC">
        <w:rPr>
          <w:rFonts w:ascii="Lato" w:hAnsi="Lato"/>
          <w:sz w:val="22"/>
          <w:szCs w:val="22"/>
        </w:rPr>
        <w:t xml:space="preserve">fjárfesta ríkulega í þjónustu við börn í dag, því það er sannarlega fjárfesting til framtíðar. </w:t>
      </w:r>
    </w:p>
    <w:p w14:paraId="0DE84B7F" w14:textId="77777777" w:rsidR="00195984" w:rsidRDefault="00195984" w:rsidP="00260495">
      <w:pPr>
        <w:rPr>
          <w:rFonts w:ascii="Lato" w:hAnsi="Lato"/>
          <w:sz w:val="22"/>
          <w:szCs w:val="22"/>
        </w:rPr>
      </w:pPr>
    </w:p>
    <w:p w14:paraId="5A2783E4" w14:textId="695346D7" w:rsidR="00762C7B" w:rsidRPr="00AF46F5" w:rsidRDefault="00762C7B" w:rsidP="00260495">
      <w:pPr>
        <w:rPr>
          <w:rFonts w:ascii="Lato" w:hAnsi="Lato"/>
          <w:b/>
          <w:bCs/>
          <w:sz w:val="22"/>
          <w:szCs w:val="22"/>
        </w:rPr>
      </w:pPr>
      <w:r w:rsidRPr="00AF46F5">
        <w:rPr>
          <w:rFonts w:ascii="Lato" w:hAnsi="Lato"/>
          <w:b/>
          <w:bCs/>
          <w:sz w:val="22"/>
          <w:szCs w:val="22"/>
        </w:rPr>
        <w:t>Gjaldfrjáls sálfræðiþjónusta fyrir börn</w:t>
      </w:r>
    </w:p>
    <w:p w14:paraId="0C545D85" w14:textId="0D65601F" w:rsidR="00195984" w:rsidRDefault="00970C64" w:rsidP="0026049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Tryggja þarf börnum gjaldfrjálsa geðheilbrigðisþjónustu </w:t>
      </w:r>
      <w:r w:rsidR="00EC1778">
        <w:rPr>
          <w:rFonts w:ascii="Lato" w:hAnsi="Lato"/>
          <w:sz w:val="22"/>
          <w:szCs w:val="22"/>
        </w:rPr>
        <w:t xml:space="preserve">og þar með gjaldfrjálsa sálfræðiþjónustu eða aðra þá meðferð sem börn kunna að þurfa til að </w:t>
      </w:r>
      <w:r w:rsidR="001C2457">
        <w:rPr>
          <w:rFonts w:ascii="Lato" w:hAnsi="Lato"/>
          <w:sz w:val="22"/>
          <w:szCs w:val="22"/>
        </w:rPr>
        <w:t xml:space="preserve">takast á við geðrænar áskoranir sínar eða sinna nánustu. </w:t>
      </w:r>
    </w:p>
    <w:p w14:paraId="2B90F00F" w14:textId="77777777" w:rsidR="002F72B6" w:rsidRDefault="002F72B6" w:rsidP="00260495">
      <w:pPr>
        <w:rPr>
          <w:rFonts w:ascii="Lato" w:hAnsi="Lato"/>
          <w:sz w:val="22"/>
          <w:szCs w:val="22"/>
        </w:rPr>
      </w:pPr>
    </w:p>
    <w:p w14:paraId="17BAD850" w14:textId="1105C0C5" w:rsidR="00762C7B" w:rsidRPr="00AF46F5" w:rsidRDefault="00762C7B" w:rsidP="00260495">
      <w:pPr>
        <w:rPr>
          <w:rFonts w:ascii="Lato" w:hAnsi="Lato"/>
          <w:b/>
          <w:bCs/>
          <w:sz w:val="22"/>
          <w:szCs w:val="22"/>
        </w:rPr>
      </w:pPr>
      <w:r w:rsidRPr="00AF46F5">
        <w:rPr>
          <w:rFonts w:ascii="Lato" w:hAnsi="Lato"/>
          <w:b/>
          <w:bCs/>
          <w:sz w:val="22"/>
          <w:szCs w:val="22"/>
        </w:rPr>
        <w:t>Barnaheill veita forvarnafræðslu</w:t>
      </w:r>
    </w:p>
    <w:p w14:paraId="7D361BDF" w14:textId="654C3DAA" w:rsidR="009444AB" w:rsidRDefault="00BC7942" w:rsidP="0026049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Barnaheill fagna þeirri áherslu sem sett er á geðrækt og forvarnir. </w:t>
      </w:r>
      <w:r w:rsidR="009444AB">
        <w:rPr>
          <w:rFonts w:ascii="Lato" w:hAnsi="Lato"/>
          <w:sz w:val="22"/>
          <w:szCs w:val="22"/>
        </w:rPr>
        <w:t>Nefna má að f</w:t>
      </w:r>
      <w:r w:rsidR="00C019C5">
        <w:rPr>
          <w:rFonts w:ascii="Lato" w:hAnsi="Lato"/>
          <w:sz w:val="22"/>
          <w:szCs w:val="22"/>
        </w:rPr>
        <w:t xml:space="preserve">rá árinu </w:t>
      </w:r>
      <w:r w:rsidR="00C025D1">
        <w:rPr>
          <w:rFonts w:ascii="Lato" w:hAnsi="Lato"/>
          <w:sz w:val="22"/>
          <w:szCs w:val="22"/>
        </w:rPr>
        <w:t xml:space="preserve">2014 hafa samtökin </w:t>
      </w:r>
      <w:r w:rsidR="009444AB">
        <w:rPr>
          <w:rFonts w:ascii="Lato" w:hAnsi="Lato"/>
          <w:sz w:val="22"/>
          <w:szCs w:val="22"/>
        </w:rPr>
        <w:t xml:space="preserve">meðal annars </w:t>
      </w:r>
      <w:r w:rsidR="00DC1EDE">
        <w:rPr>
          <w:rFonts w:ascii="Lato" w:hAnsi="Lato"/>
          <w:sz w:val="22"/>
          <w:szCs w:val="22"/>
        </w:rPr>
        <w:t>boðið upp á forvarnafræðslu gegn einelti, Vináttu</w:t>
      </w:r>
      <w:r w:rsidR="004F347B">
        <w:rPr>
          <w:rFonts w:ascii="Lato" w:hAnsi="Lato"/>
          <w:sz w:val="22"/>
          <w:szCs w:val="22"/>
        </w:rPr>
        <w:t xml:space="preserve">, fyrir leikskóla, 1.-4. bekk grunnskóla, frístundaheimili og dagforeldra. </w:t>
      </w:r>
      <w:r w:rsidR="0062165E">
        <w:rPr>
          <w:rFonts w:ascii="Lato" w:hAnsi="Lato"/>
          <w:sz w:val="22"/>
          <w:szCs w:val="22"/>
        </w:rPr>
        <w:t xml:space="preserve">Vinátta nýtur sívaxandi vinsælda og hefur ánægja </w:t>
      </w:r>
      <w:r w:rsidR="00D53E6A">
        <w:rPr>
          <w:rFonts w:ascii="Lato" w:hAnsi="Lato"/>
          <w:sz w:val="22"/>
          <w:szCs w:val="22"/>
        </w:rPr>
        <w:t xml:space="preserve">með notkun þess verið mikil. Verkefnið </w:t>
      </w:r>
      <w:r w:rsidR="0025752B">
        <w:rPr>
          <w:rFonts w:ascii="Lato" w:hAnsi="Lato"/>
          <w:sz w:val="22"/>
          <w:szCs w:val="22"/>
        </w:rPr>
        <w:t xml:space="preserve">er nú notað í um 65% allra leikskóla á landinu, </w:t>
      </w:r>
      <w:r w:rsidR="00D05D57">
        <w:rPr>
          <w:rFonts w:ascii="Lato" w:hAnsi="Lato"/>
          <w:sz w:val="22"/>
          <w:szCs w:val="22"/>
        </w:rPr>
        <w:t xml:space="preserve">í </w:t>
      </w:r>
      <w:r w:rsidR="007D2BB1">
        <w:rPr>
          <w:rFonts w:ascii="Lato" w:hAnsi="Lato"/>
          <w:sz w:val="22"/>
          <w:szCs w:val="22"/>
        </w:rPr>
        <w:t xml:space="preserve">62 grunnskólum og 18 frístundaheimilum, og breiðist hratt út. </w:t>
      </w:r>
      <w:r w:rsidR="007F3A0A">
        <w:rPr>
          <w:rFonts w:ascii="Lato" w:hAnsi="Lato"/>
          <w:sz w:val="22"/>
          <w:szCs w:val="22"/>
        </w:rPr>
        <w:t xml:space="preserve">Samtökin </w:t>
      </w:r>
      <w:r w:rsidR="00AE024E">
        <w:rPr>
          <w:rFonts w:ascii="Lato" w:hAnsi="Lato"/>
          <w:sz w:val="22"/>
          <w:szCs w:val="22"/>
        </w:rPr>
        <w:t xml:space="preserve">hafa lagt mikla áherslu á forvarnir gegn ofbeldi og einelti og taka sannarlega undir að </w:t>
      </w:r>
      <w:r w:rsidR="00633668">
        <w:rPr>
          <w:rFonts w:ascii="Lato" w:hAnsi="Lato"/>
          <w:sz w:val="22"/>
          <w:szCs w:val="22"/>
        </w:rPr>
        <w:t xml:space="preserve">geðrækt ævina alla er mikilvæg til að </w:t>
      </w:r>
      <w:r w:rsidR="008179B0">
        <w:rPr>
          <w:rFonts w:ascii="Lato" w:hAnsi="Lato"/>
          <w:sz w:val="22"/>
          <w:szCs w:val="22"/>
        </w:rPr>
        <w:t xml:space="preserve">viðhalda góðri líðan og draga úr líkum á geðrænum áskorunum. </w:t>
      </w:r>
      <w:r w:rsidR="000400D1">
        <w:rPr>
          <w:rFonts w:ascii="Lato" w:hAnsi="Lato"/>
          <w:sz w:val="22"/>
          <w:szCs w:val="22"/>
        </w:rPr>
        <w:t xml:space="preserve">Samtökin taka gjarnan þátt í </w:t>
      </w:r>
      <w:r w:rsidR="00F325D5">
        <w:rPr>
          <w:rFonts w:ascii="Lato" w:hAnsi="Lato"/>
          <w:sz w:val="22"/>
          <w:szCs w:val="22"/>
        </w:rPr>
        <w:t xml:space="preserve">samráði um </w:t>
      </w:r>
      <w:r w:rsidR="009444AB">
        <w:rPr>
          <w:rFonts w:ascii="Lato" w:hAnsi="Lato"/>
          <w:sz w:val="22"/>
          <w:szCs w:val="22"/>
        </w:rPr>
        <w:t>innleiðingu aðgerða</w:t>
      </w:r>
      <w:r w:rsidR="00190E72">
        <w:rPr>
          <w:rFonts w:ascii="Lato" w:hAnsi="Lato"/>
          <w:sz w:val="22"/>
          <w:szCs w:val="22"/>
        </w:rPr>
        <w:t xml:space="preserve"> er lúta að forvörnum og geðrækt</w:t>
      </w:r>
      <w:r w:rsidR="009444AB">
        <w:rPr>
          <w:rFonts w:ascii="Lato" w:hAnsi="Lato"/>
          <w:sz w:val="22"/>
          <w:szCs w:val="22"/>
        </w:rPr>
        <w:t xml:space="preserve">. </w:t>
      </w:r>
    </w:p>
    <w:p w14:paraId="1A6B97DA" w14:textId="77777777" w:rsidR="009444AB" w:rsidRDefault="009444AB" w:rsidP="00260495">
      <w:pPr>
        <w:rPr>
          <w:rFonts w:ascii="Lato" w:hAnsi="Lato"/>
          <w:sz w:val="22"/>
          <w:szCs w:val="22"/>
        </w:rPr>
      </w:pPr>
    </w:p>
    <w:p w14:paraId="6AB242DB" w14:textId="77777777" w:rsidR="007448AB" w:rsidRDefault="007448AB" w:rsidP="00260495">
      <w:pPr>
        <w:rPr>
          <w:rFonts w:ascii="Lato" w:hAnsi="Lato"/>
          <w:b/>
          <w:bCs/>
          <w:sz w:val="22"/>
          <w:szCs w:val="22"/>
        </w:rPr>
      </w:pPr>
    </w:p>
    <w:p w14:paraId="1CF62BF3" w14:textId="06B1B67B" w:rsidR="00762C7B" w:rsidRPr="00AF46F5" w:rsidRDefault="0070573C" w:rsidP="00260495">
      <w:pPr>
        <w:rPr>
          <w:rFonts w:ascii="Lato" w:hAnsi="Lato"/>
          <w:b/>
          <w:bCs/>
          <w:sz w:val="22"/>
          <w:szCs w:val="22"/>
        </w:rPr>
      </w:pPr>
      <w:r w:rsidRPr="00AF46F5">
        <w:rPr>
          <w:rFonts w:ascii="Lato" w:hAnsi="Lato"/>
          <w:b/>
          <w:bCs/>
          <w:sz w:val="22"/>
          <w:szCs w:val="22"/>
        </w:rPr>
        <w:lastRenderedPageBreak/>
        <w:t>Foreldrafærni mikilvæg</w:t>
      </w:r>
    </w:p>
    <w:p w14:paraId="70FC07EF" w14:textId="159D9C9A" w:rsidR="002F72B6" w:rsidRDefault="00BF0AC2" w:rsidP="0026049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Samtökin fagna þeirri áherslu sem lögð er á mikilvægi foreldrafræðslu strax frá meðgöngu</w:t>
      </w:r>
      <w:r w:rsidR="008425CA">
        <w:rPr>
          <w:rFonts w:ascii="Lato" w:hAnsi="Lato"/>
          <w:sz w:val="22"/>
          <w:szCs w:val="22"/>
        </w:rPr>
        <w:t>. Barnaheill hvetja til þess að öflugri foreldrafræðslu um virðingarrík</w:t>
      </w:r>
      <w:r w:rsidR="00C67948">
        <w:rPr>
          <w:rFonts w:ascii="Lato" w:hAnsi="Lato"/>
          <w:sz w:val="22"/>
          <w:szCs w:val="22"/>
        </w:rPr>
        <w:t>t</w:t>
      </w:r>
      <w:r w:rsidR="008425CA">
        <w:rPr>
          <w:rFonts w:ascii="Lato" w:hAnsi="Lato"/>
          <w:sz w:val="22"/>
          <w:szCs w:val="22"/>
        </w:rPr>
        <w:t xml:space="preserve"> og </w:t>
      </w:r>
      <w:r w:rsidR="00C67948">
        <w:rPr>
          <w:rFonts w:ascii="Lato" w:hAnsi="Lato"/>
          <w:sz w:val="22"/>
          <w:szCs w:val="22"/>
        </w:rPr>
        <w:t>mann</w:t>
      </w:r>
      <w:r w:rsidR="008425CA">
        <w:rPr>
          <w:rFonts w:ascii="Lato" w:hAnsi="Lato"/>
          <w:sz w:val="22"/>
          <w:szCs w:val="22"/>
        </w:rPr>
        <w:t>réttindamiða</w:t>
      </w:r>
      <w:r w:rsidR="00C67948">
        <w:rPr>
          <w:rFonts w:ascii="Lato" w:hAnsi="Lato"/>
          <w:sz w:val="22"/>
          <w:szCs w:val="22"/>
        </w:rPr>
        <w:t xml:space="preserve">ð </w:t>
      </w:r>
      <w:r w:rsidR="008425CA">
        <w:rPr>
          <w:rFonts w:ascii="Lato" w:hAnsi="Lato"/>
          <w:sz w:val="22"/>
          <w:szCs w:val="22"/>
        </w:rPr>
        <w:t xml:space="preserve">uppeldi barna verði </w:t>
      </w:r>
      <w:r w:rsidR="00C67948">
        <w:rPr>
          <w:rFonts w:ascii="Lato" w:hAnsi="Lato"/>
          <w:sz w:val="22"/>
          <w:szCs w:val="22"/>
        </w:rPr>
        <w:t>komið á fót í öllum sveitafélögum sem allra fyrst og</w:t>
      </w:r>
      <w:r w:rsidR="003B3B5B">
        <w:rPr>
          <w:rFonts w:ascii="Lato" w:hAnsi="Lato"/>
          <w:sz w:val="22"/>
          <w:szCs w:val="22"/>
        </w:rPr>
        <w:t xml:space="preserve"> stuðl</w:t>
      </w:r>
      <w:r w:rsidR="00551DD5">
        <w:rPr>
          <w:rFonts w:ascii="Lato" w:hAnsi="Lato"/>
          <w:sz w:val="22"/>
          <w:szCs w:val="22"/>
        </w:rPr>
        <w:t>að verði</w:t>
      </w:r>
      <w:r w:rsidR="003B3B5B">
        <w:rPr>
          <w:rFonts w:ascii="Lato" w:hAnsi="Lato"/>
          <w:sz w:val="22"/>
          <w:szCs w:val="22"/>
        </w:rPr>
        <w:t xml:space="preserve"> að því að foreldrar og tilvonandi foreldrar </w:t>
      </w:r>
      <w:r w:rsidR="00F00896">
        <w:rPr>
          <w:rFonts w:ascii="Lato" w:hAnsi="Lato"/>
          <w:sz w:val="22"/>
          <w:szCs w:val="22"/>
        </w:rPr>
        <w:t>líti það jákvæðum augum að sækja sér fræðslu um foreldrafærni</w:t>
      </w:r>
      <w:r w:rsidR="00551DD5">
        <w:rPr>
          <w:rFonts w:ascii="Lato" w:hAnsi="Lato"/>
          <w:sz w:val="22"/>
          <w:szCs w:val="22"/>
        </w:rPr>
        <w:t>. Mikil</w:t>
      </w:r>
      <w:r w:rsidR="00366EB3">
        <w:rPr>
          <w:rFonts w:ascii="Lato" w:hAnsi="Lato"/>
          <w:sz w:val="22"/>
          <w:szCs w:val="22"/>
        </w:rPr>
        <w:t xml:space="preserve"> og jákvæð</w:t>
      </w:r>
      <w:r w:rsidR="00551DD5">
        <w:rPr>
          <w:rFonts w:ascii="Lato" w:hAnsi="Lato"/>
          <w:sz w:val="22"/>
          <w:szCs w:val="22"/>
        </w:rPr>
        <w:t xml:space="preserve"> undiralda er </w:t>
      </w:r>
      <w:r w:rsidR="00366EB3">
        <w:rPr>
          <w:rFonts w:ascii="Lato" w:hAnsi="Lato"/>
          <w:sz w:val="22"/>
          <w:szCs w:val="22"/>
        </w:rPr>
        <w:t xml:space="preserve">víða </w:t>
      </w:r>
      <w:r w:rsidR="00551DD5">
        <w:rPr>
          <w:rFonts w:ascii="Lato" w:hAnsi="Lato"/>
          <w:sz w:val="22"/>
          <w:szCs w:val="22"/>
        </w:rPr>
        <w:t>í samfélaginu sem vert er að nýt</w:t>
      </w:r>
      <w:r w:rsidR="00477082">
        <w:rPr>
          <w:rFonts w:ascii="Lato" w:hAnsi="Lato"/>
          <w:sz w:val="22"/>
          <w:szCs w:val="22"/>
        </w:rPr>
        <w:t>a til hraðrar og jákvæðrar uppbyggingar</w:t>
      </w:r>
      <w:r w:rsidR="00366EB3">
        <w:rPr>
          <w:rFonts w:ascii="Lato" w:hAnsi="Lato"/>
          <w:sz w:val="22"/>
          <w:szCs w:val="22"/>
        </w:rPr>
        <w:t xml:space="preserve"> á foreldrafærnifræðslu. </w:t>
      </w:r>
    </w:p>
    <w:p w14:paraId="6B5A1693" w14:textId="77777777" w:rsidR="00100918" w:rsidRDefault="00100918" w:rsidP="00260495">
      <w:pP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</w:pPr>
    </w:p>
    <w:p w14:paraId="582ADE8D" w14:textId="5877EB45" w:rsidR="0070573C" w:rsidRPr="00AF46F5" w:rsidRDefault="0070573C" w:rsidP="00260495">
      <w:pP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</w:pPr>
      <w:proofErr w:type="spellStart"/>
      <w:r w:rsidRPr="00AF46F5"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Börn</w:t>
      </w:r>
      <w:proofErr w:type="spellEnd"/>
      <w:r w:rsidRPr="00AF46F5"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46F5"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sem</w:t>
      </w:r>
      <w:proofErr w:type="spellEnd"/>
      <w:r w:rsidRPr="00AF46F5"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46F5"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aðstandendur</w:t>
      </w:r>
      <w:proofErr w:type="spellEnd"/>
    </w:p>
    <w:p w14:paraId="35508A99" w14:textId="2A16B72A" w:rsidR="00E15712" w:rsidRDefault="00E15712" w:rsidP="00260495">
      <w:pP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Barnaheill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fagna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aðgerð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1.A.5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. um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styðja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skuli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við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börn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sem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aðstandendur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fólks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með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langvinnan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alvarlegan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geðheilbrigðisvanda</w:t>
      </w:r>
      <w:proofErr w:type="spellEnd"/>
      <w:r w:rsidR="00304B8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Aðgerð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þessi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er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með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öllu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óútfærð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verður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því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hvetja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ábyrgðaraðila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til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="00793B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31C9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ástunda</w:t>
      </w:r>
      <w:proofErr w:type="spellEnd"/>
      <w:r w:rsidR="00931C9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samráð</w:t>
      </w:r>
      <w:proofErr w:type="spellEnd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við</w:t>
      </w:r>
      <w:proofErr w:type="spellEnd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börn</w:t>
      </w:r>
      <w:proofErr w:type="spellEnd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í </w:t>
      </w:r>
      <w:proofErr w:type="spellStart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þessum</w:t>
      </w:r>
      <w:proofErr w:type="spellEnd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aðstæðum</w:t>
      </w:r>
      <w:proofErr w:type="spellEnd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tryggja</w:t>
      </w:r>
      <w:proofErr w:type="spellEnd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þeim</w:t>
      </w:r>
      <w:proofErr w:type="spellEnd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einstaklingsbundinn</w:t>
      </w:r>
      <w:proofErr w:type="spellEnd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stuðning</w:t>
      </w:r>
      <w:proofErr w:type="spellEnd"/>
      <w:r w:rsidR="000D186D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r w:rsidR="00826F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í </w:t>
      </w:r>
      <w:proofErr w:type="spellStart"/>
      <w:r w:rsidR="00826F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samræmi</w:t>
      </w:r>
      <w:proofErr w:type="spellEnd"/>
      <w:r w:rsidR="00826F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826F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við</w:t>
      </w:r>
      <w:proofErr w:type="spellEnd"/>
      <w:r w:rsidR="00826F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826F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þörf</w:t>
      </w:r>
      <w:proofErr w:type="spellEnd"/>
      <w:r w:rsidR="00826F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826F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sérhvers</w:t>
      </w:r>
      <w:proofErr w:type="spellEnd"/>
      <w:r w:rsidR="00826F90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barns. </w:t>
      </w:r>
    </w:p>
    <w:p w14:paraId="31C1F9DE" w14:textId="77777777" w:rsidR="00195984" w:rsidRDefault="00195984" w:rsidP="00260495">
      <w:pP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</w:pPr>
    </w:p>
    <w:p w14:paraId="7ED35C80" w14:textId="3598CAE4" w:rsidR="00AF46F5" w:rsidRPr="003E1CD5" w:rsidRDefault="00C9781A" w:rsidP="00260495">
      <w:pPr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</w:pPr>
      <w:proofErr w:type="spellStart"/>
      <w:r w:rsidRPr="003E1CD5"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Þekking</w:t>
      </w:r>
      <w:proofErr w:type="spellEnd"/>
      <w:r w:rsidRPr="003E1CD5"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á </w:t>
      </w:r>
      <w:proofErr w:type="spellStart"/>
      <w:r w:rsidRPr="003E1CD5"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>mannréttindum</w:t>
      </w:r>
      <w:proofErr w:type="spellEnd"/>
      <w:r w:rsidRPr="003E1CD5">
        <w:rPr>
          <w:rStyle w:val="normaltextrun"/>
          <w:rFonts w:ascii="Lato" w:hAnsi="Lato" w:cs="Calibri"/>
          <w:b/>
          <w:bCs/>
          <w:color w:val="000000"/>
          <w:sz w:val="22"/>
          <w:szCs w:val="22"/>
          <w:lang w:val="en-US"/>
        </w:rPr>
        <w:t xml:space="preserve"> barna</w:t>
      </w:r>
    </w:p>
    <w:p w14:paraId="0A6D8804" w14:textId="53B757EE" w:rsidR="00C9781A" w:rsidRDefault="00C9781A" w:rsidP="00260495">
      <w:pP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Afar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brýnt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er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allt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</w:t>
      </w:r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ó</w:t>
      </w:r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lk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starfar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með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fyrir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börn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foreldrar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fái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reglulega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fræðslu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um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mannréttindi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barna og </w:t>
      </w:r>
      <w:proofErr w:type="spellStart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Barnasáttmálann</w:t>
      </w:r>
      <w:proofErr w:type="spellEnd"/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Réttur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barna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til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upplýsinga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þátttöku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láta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skoðun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sína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í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ljós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sem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til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bestu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heilbrigðisþjónustu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sem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völ</w:t>
      </w:r>
      <w:proofErr w:type="spellEnd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er á </w:t>
      </w:r>
      <w:proofErr w:type="spellStart"/>
      <w:r w:rsidR="00405691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eru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réttindi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sem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þurfa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vera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starfsfólki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innan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geðheilbrigðisþjónustunnar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vel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kunn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þurfa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vera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iðkuð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í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allri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þjónustu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við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börn</w:t>
      </w:r>
      <w:proofErr w:type="spellEnd"/>
      <w:r w:rsidR="003E1CD5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. </w:t>
      </w:r>
    </w:p>
    <w:p w14:paraId="66688144" w14:textId="77777777" w:rsidR="00C9781A" w:rsidRDefault="00C9781A" w:rsidP="00260495">
      <w:pP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</w:pPr>
    </w:p>
    <w:p w14:paraId="18CE6F5F" w14:textId="1AC5B273" w:rsidR="00826F90" w:rsidRDefault="00826F90" w:rsidP="00260495">
      <w:pP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Barnaheill </w:t>
      </w:r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taka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öðru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leyti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undir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umsagnir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Geðhjálpar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Félagsráðgjafafélags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Íslands og Barna- og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fjölskyldustofu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því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er </w:t>
      </w:r>
      <w:proofErr w:type="spellStart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varðar</w:t>
      </w:r>
      <w:proofErr w:type="spellEnd"/>
      <w:r w:rsidR="009B0279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atriði</w:t>
      </w:r>
      <w:proofErr w:type="spellEnd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sem</w:t>
      </w:r>
      <w:proofErr w:type="spellEnd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lúta</w:t>
      </w:r>
      <w:proofErr w:type="spellEnd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að</w:t>
      </w:r>
      <w:proofErr w:type="spellEnd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börnum</w:t>
      </w:r>
      <w:proofErr w:type="spellEnd"/>
      <w:r w:rsidR="00195984"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  <w:t>.</w:t>
      </w:r>
    </w:p>
    <w:p w14:paraId="3E56D2E4" w14:textId="77777777" w:rsidR="00E83EBE" w:rsidRPr="0042045D" w:rsidRDefault="00E83EBE" w:rsidP="00260495">
      <w:pPr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</w:pPr>
    </w:p>
    <w:p w14:paraId="01B3B2A8" w14:textId="77777777" w:rsidR="00B43A57" w:rsidRPr="0042045D" w:rsidRDefault="00B43A57" w:rsidP="00B43A57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42045D">
        <w:rPr>
          <w:rStyle w:val="eop"/>
          <w:rFonts w:ascii="Lato" w:hAnsi="Lato" w:cs="Calibri"/>
          <w:sz w:val="22"/>
          <w:szCs w:val="22"/>
        </w:rPr>
        <w:t>Barnaheill vinna að bættum mannréttindum barna og hafa Barnasáttmálann að leiðarljósi í öllu sínu starfi.  </w:t>
      </w:r>
    </w:p>
    <w:p w14:paraId="65D99B4A" w14:textId="77777777" w:rsidR="00B43A57" w:rsidRPr="0042045D" w:rsidRDefault="00B43A57" w:rsidP="00B43A57">
      <w:pPr>
        <w:ind w:left="-360"/>
        <w:rPr>
          <w:rFonts w:ascii="Lato" w:hAnsi="Lato"/>
          <w:sz w:val="22"/>
          <w:szCs w:val="22"/>
        </w:rPr>
      </w:pPr>
    </w:p>
    <w:p w14:paraId="682751EE" w14:textId="77777777" w:rsidR="00B43A57" w:rsidRPr="0042045D" w:rsidRDefault="00B43A57" w:rsidP="00B43A57">
      <w:pPr>
        <w:rPr>
          <w:rFonts w:ascii="Lato" w:hAnsi="Lato"/>
          <w:b/>
          <w:bCs/>
          <w:sz w:val="22"/>
          <w:szCs w:val="22"/>
        </w:rPr>
      </w:pPr>
    </w:p>
    <w:p w14:paraId="477F0575" w14:textId="77777777" w:rsidR="00B43A57" w:rsidRPr="0042045D" w:rsidRDefault="00B43A57" w:rsidP="00B43A57">
      <w:pPr>
        <w:rPr>
          <w:rFonts w:ascii="Lato" w:hAnsi="Lato"/>
          <w:sz w:val="22"/>
          <w:szCs w:val="22"/>
        </w:rPr>
      </w:pPr>
    </w:p>
    <w:p w14:paraId="7525CD0E" w14:textId="77777777" w:rsidR="00CE3695" w:rsidRDefault="00CE3695"/>
    <w:sectPr w:rsidR="00CE3695" w:rsidSect="00BF691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5791" w14:textId="77777777" w:rsidR="00141172" w:rsidRDefault="00B122C0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D06E7" w14:textId="77777777" w:rsidR="00141172" w:rsidRDefault="00B122C0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EC6" w14:textId="77777777" w:rsidR="00141172" w:rsidRPr="00BB65A3" w:rsidRDefault="00B122C0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61A87B47" w14:textId="77777777" w:rsidR="00141172" w:rsidRPr="00BB65A3" w:rsidRDefault="00B122C0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178E3B78" w14:textId="77777777" w:rsidR="00141172" w:rsidRDefault="00B122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68C3AEB" w14:textId="77777777" w:rsidR="00141172" w:rsidRPr="00FC4733" w:rsidRDefault="00B122C0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FE76" w14:textId="77777777" w:rsidR="00141172" w:rsidRPr="00BB65A3" w:rsidRDefault="00B122C0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</w:t>
    </w:r>
    <w:r>
      <w:rPr>
        <w:rFonts w:ascii="Trebuchet MS" w:hAnsi="Trebuchet MS"/>
        <w:sz w:val="20"/>
        <w:szCs w:val="20"/>
      </w:rPr>
      <w:t xml:space="preserve">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772FA2A5" w14:textId="77777777" w:rsidR="00141172" w:rsidRPr="00DB765A" w:rsidRDefault="00B122C0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</w:t>
    </w:r>
    <w:proofErr w:type="spellStart"/>
    <w:r w:rsidRPr="00DB765A">
      <w:rPr>
        <w:rFonts w:ascii="Trebuchet MS" w:hAnsi="Trebuchet MS"/>
        <w:sz w:val="20"/>
        <w:szCs w:val="20"/>
        <w:lang w:val="fr-FR"/>
      </w:rPr>
      <w:t>barnaheill@barnaheill.is</w:t>
    </w:r>
    <w:proofErr w:type="spellEnd"/>
    <w:r w:rsidRPr="00DB765A">
      <w:rPr>
        <w:rFonts w:ascii="Trebuchet MS" w:hAnsi="Trebuchet MS"/>
        <w:sz w:val="20"/>
        <w:szCs w:val="20"/>
        <w:lang w:val="fr-FR"/>
      </w:rPr>
      <w:t xml:space="preserve"> - </w:t>
    </w:r>
    <w:proofErr w:type="spellStart"/>
    <w:r w:rsidRPr="00DB765A">
      <w:rPr>
        <w:rFonts w:ascii="Trebuchet MS" w:hAnsi="Trebuchet MS"/>
        <w:sz w:val="20"/>
        <w:szCs w:val="20"/>
        <w:lang w:val="fr-FR"/>
      </w:rPr>
      <w:t>www.barnaheill.is</w:t>
    </w:r>
    <w:proofErr w:type="spellEnd"/>
  </w:p>
  <w:p w14:paraId="797F9377" w14:textId="77777777" w:rsidR="00141172" w:rsidRPr="00DB765A" w:rsidRDefault="00B122C0">
    <w:pPr>
      <w:pStyle w:val="Footer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25DA" w14:textId="77777777" w:rsidR="00ED68C8" w:rsidRDefault="00B122C0" w:rsidP="00613D5B">
    <w:pPr>
      <w:pStyle w:val="Header"/>
      <w:jc w:val="right"/>
    </w:pPr>
    <w:r>
      <w:rPr>
        <w:noProof/>
      </w:rPr>
      <w:drawing>
        <wp:inline distT="0" distB="0" distL="0" distR="0" wp14:anchorId="4B8635B9" wp14:editId="76C7EA26">
          <wp:extent cx="1332000" cy="4968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61FEC" w14:textId="77777777" w:rsidR="00141172" w:rsidRDefault="00B122C0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B2E9" w14:textId="77777777" w:rsidR="00141172" w:rsidRDefault="00B122C0" w:rsidP="002002EC">
    <w:pPr>
      <w:pStyle w:val="Header"/>
    </w:pPr>
    <w:r>
      <w:rPr>
        <w:noProof/>
      </w:rPr>
      <w:drawing>
        <wp:inline distT="0" distB="0" distL="0" distR="0" wp14:anchorId="6E6E9BE1" wp14:editId="245EEC1E">
          <wp:extent cx="1327341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72" cy="49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57"/>
    <w:rsid w:val="000400D1"/>
    <w:rsid w:val="00040D09"/>
    <w:rsid w:val="0008321C"/>
    <w:rsid w:val="000D186D"/>
    <w:rsid w:val="00100918"/>
    <w:rsid w:val="00170B63"/>
    <w:rsid w:val="00190E72"/>
    <w:rsid w:val="00195984"/>
    <w:rsid w:val="001C2457"/>
    <w:rsid w:val="00252655"/>
    <w:rsid w:val="0025752B"/>
    <w:rsid w:val="00260495"/>
    <w:rsid w:val="002A6214"/>
    <w:rsid w:val="002F72B6"/>
    <w:rsid w:val="00304B81"/>
    <w:rsid w:val="00366EB3"/>
    <w:rsid w:val="003947ED"/>
    <w:rsid w:val="003B3B5B"/>
    <w:rsid w:val="003E1CD5"/>
    <w:rsid w:val="00405691"/>
    <w:rsid w:val="00430D91"/>
    <w:rsid w:val="00477082"/>
    <w:rsid w:val="004F347B"/>
    <w:rsid w:val="00547540"/>
    <w:rsid w:val="00551DD5"/>
    <w:rsid w:val="005D0330"/>
    <w:rsid w:val="005E3E72"/>
    <w:rsid w:val="00615C25"/>
    <w:rsid w:val="0062165E"/>
    <w:rsid w:val="00623E57"/>
    <w:rsid w:val="00633668"/>
    <w:rsid w:val="0070573C"/>
    <w:rsid w:val="007448AB"/>
    <w:rsid w:val="007571BA"/>
    <w:rsid w:val="00762C7B"/>
    <w:rsid w:val="00793B90"/>
    <w:rsid w:val="007A4D72"/>
    <w:rsid w:val="007D2BB1"/>
    <w:rsid w:val="007E3630"/>
    <w:rsid w:val="007F3A0A"/>
    <w:rsid w:val="00806AFA"/>
    <w:rsid w:val="008179B0"/>
    <w:rsid w:val="00824D01"/>
    <w:rsid w:val="00826F90"/>
    <w:rsid w:val="008425CA"/>
    <w:rsid w:val="00931C94"/>
    <w:rsid w:val="009444AB"/>
    <w:rsid w:val="00954405"/>
    <w:rsid w:val="00970C64"/>
    <w:rsid w:val="0099099A"/>
    <w:rsid w:val="009B0279"/>
    <w:rsid w:val="009E091B"/>
    <w:rsid w:val="00AE024E"/>
    <w:rsid w:val="00AE0E6B"/>
    <w:rsid w:val="00AF46F5"/>
    <w:rsid w:val="00B122C0"/>
    <w:rsid w:val="00B407CC"/>
    <w:rsid w:val="00B43A57"/>
    <w:rsid w:val="00BC7942"/>
    <w:rsid w:val="00BF0AC2"/>
    <w:rsid w:val="00C019C5"/>
    <w:rsid w:val="00C025D1"/>
    <w:rsid w:val="00C05678"/>
    <w:rsid w:val="00C67948"/>
    <w:rsid w:val="00C9781A"/>
    <w:rsid w:val="00CB5295"/>
    <w:rsid w:val="00CE3695"/>
    <w:rsid w:val="00D05D57"/>
    <w:rsid w:val="00D12B0E"/>
    <w:rsid w:val="00D53E6A"/>
    <w:rsid w:val="00D970CB"/>
    <w:rsid w:val="00DC1EDE"/>
    <w:rsid w:val="00DD69F8"/>
    <w:rsid w:val="00DF605D"/>
    <w:rsid w:val="00E15712"/>
    <w:rsid w:val="00E826FD"/>
    <w:rsid w:val="00E83EBE"/>
    <w:rsid w:val="00EA32DC"/>
    <w:rsid w:val="00EC1778"/>
    <w:rsid w:val="00F00896"/>
    <w:rsid w:val="00F325D5"/>
    <w:rsid w:val="00F73B4A"/>
    <w:rsid w:val="00FC530A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BCBB"/>
  <w15:chartTrackingRefBased/>
  <w15:docId w15:val="{CD16AB1C-801B-437C-8B6F-01FD0309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A57"/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rsid w:val="00B43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57"/>
    <w:rPr>
      <w:rFonts w:ascii="Times New Roman" w:eastAsia="Times New Roman" w:hAnsi="Times New Roman" w:cs="Times New Roman"/>
      <w:sz w:val="24"/>
      <w:szCs w:val="24"/>
      <w:lang w:val="is-IS"/>
    </w:rPr>
  </w:style>
  <w:style w:type="character" w:styleId="PageNumber">
    <w:name w:val="page number"/>
    <w:basedOn w:val="DefaultParagraphFont"/>
    <w:rsid w:val="00B43A57"/>
  </w:style>
  <w:style w:type="character" w:customStyle="1" w:styleId="normaltextrun">
    <w:name w:val="normaltextrun"/>
    <w:basedOn w:val="DefaultParagraphFont"/>
    <w:rsid w:val="00B43A57"/>
  </w:style>
  <w:style w:type="paragraph" w:customStyle="1" w:styleId="paragraph">
    <w:name w:val="paragraph"/>
    <w:basedOn w:val="Normal"/>
    <w:rsid w:val="00B43A57"/>
    <w:pPr>
      <w:spacing w:before="100" w:beforeAutospacing="1" w:after="100" w:afterAutospacing="1"/>
    </w:pPr>
    <w:rPr>
      <w:lang w:eastAsia="is-IS"/>
    </w:rPr>
  </w:style>
  <w:style w:type="character" w:customStyle="1" w:styleId="eop">
    <w:name w:val="eop"/>
    <w:basedOn w:val="DefaultParagraphFont"/>
    <w:rsid w:val="00B4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AE0317C846144B068EAECE9227437" ma:contentTypeVersion="10" ma:contentTypeDescription="Create a new document." ma:contentTypeScope="" ma:versionID="aaaba08b7b31360b17ced8e1a214df18">
  <xsd:schema xmlns:xsd="http://www.w3.org/2001/XMLSchema" xmlns:xs="http://www.w3.org/2001/XMLSchema" xmlns:p="http://schemas.microsoft.com/office/2006/metadata/properties" xmlns:ns2="e2c455d8-a1f3-49cf-89b3-9dfedd601638" xmlns:ns3="daec5077-30ea-4ccc-8768-fec14f621032" targetNamespace="http://schemas.microsoft.com/office/2006/metadata/properties" ma:root="true" ma:fieldsID="fe0d7497da10f3e31660388c5d73ecbe" ns2:_="" ns3:_="">
    <xsd:import namespace="e2c455d8-a1f3-49cf-89b3-9dfedd601638"/>
    <xsd:import namespace="daec5077-30ea-4ccc-8768-fec14f621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55d8-a1f3-49cf-89b3-9dfedd60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a974ed1-8ecc-4e4d-b5f7-f1f3f8e11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c5077-30ea-4ccc-8768-fec14f6210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969116-b082-4bb9-8bf1-70258d56d973}" ma:internalName="TaxCatchAll" ma:showField="CatchAllData" ma:web="daec5077-30ea-4ccc-8768-fec14f621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c5077-30ea-4ccc-8768-fec14f621032" xsi:nil="true"/>
    <lcf76f155ced4ddcb4097134ff3c332f xmlns="e2c455d8-a1f3-49cf-89b3-9dfedd601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1DE19A-CE33-4011-8330-AD62A1724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2E60A-3BD7-4204-B270-290EC4D8AF31}"/>
</file>

<file path=customXml/itemProps3.xml><?xml version="1.0" encoding="utf-8"?>
<ds:datastoreItem xmlns:ds="http://schemas.openxmlformats.org/officeDocument/2006/customXml" ds:itemID="{AB8873C3-F28A-493F-B6A5-2AB12B39E879}"/>
</file>

<file path=customXml/itemProps4.xml><?xml version="1.0" encoding="utf-8"?>
<ds:datastoreItem xmlns:ds="http://schemas.openxmlformats.org/officeDocument/2006/customXml" ds:itemID="{3C161DB4-D0F7-47ED-91A4-F222E69CA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83</cp:revision>
  <dcterms:created xsi:type="dcterms:W3CDTF">2023-01-18T09:11:00Z</dcterms:created>
  <dcterms:modified xsi:type="dcterms:W3CDTF">2023-01-18T18:32:00Z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0x0101003C2AE0317C846144B068EAECE9227437</vt:lpwstr>
  </property>
</Properties>
</file>