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AA6E" w14:textId="61BF07B0" w:rsidR="0044781F" w:rsidRPr="002A00C3" w:rsidRDefault="0044781F" w:rsidP="00E56A67">
      <w:pPr>
        <w:tabs>
          <w:tab w:val="left" w:pos="1767"/>
        </w:tabs>
        <w:spacing w:line="276" w:lineRule="auto"/>
        <w:rPr>
          <w:b/>
          <w:noProof/>
          <w:lang w:val="is-IS"/>
        </w:rPr>
      </w:pPr>
    </w:p>
    <w:p w14:paraId="7896E0F2" w14:textId="77777777" w:rsidR="0044781F" w:rsidRPr="002A00C3" w:rsidRDefault="0044781F" w:rsidP="00E56A67">
      <w:pPr>
        <w:tabs>
          <w:tab w:val="left" w:pos="1767"/>
        </w:tabs>
        <w:spacing w:line="276" w:lineRule="auto"/>
        <w:rPr>
          <w:b/>
          <w:noProof/>
          <w:lang w:val="is-IS"/>
        </w:rPr>
      </w:pPr>
    </w:p>
    <w:p w14:paraId="5CDBC2FC" w14:textId="5439676E" w:rsidR="00BC4E52" w:rsidRDefault="00CD2E33" w:rsidP="00E56A67">
      <w:pPr>
        <w:tabs>
          <w:tab w:val="left" w:pos="1767"/>
        </w:tabs>
        <w:spacing w:line="276" w:lineRule="auto"/>
        <w:rPr>
          <w:b/>
          <w:noProof/>
          <w:lang w:val="is-IS"/>
        </w:rPr>
      </w:pPr>
      <w:r>
        <w:rPr>
          <w:b/>
          <w:noProof/>
          <w:lang w:val="is-IS"/>
        </w:rPr>
        <w:t>Umhverfis- og auðlindaráðuneyti</w:t>
      </w:r>
    </w:p>
    <w:p w14:paraId="3941CD63" w14:textId="6B490A96" w:rsidR="00CD2E33" w:rsidRDefault="00CD2E33" w:rsidP="00E56A67">
      <w:pPr>
        <w:tabs>
          <w:tab w:val="left" w:pos="1767"/>
        </w:tabs>
        <w:spacing w:line="276" w:lineRule="auto"/>
        <w:rPr>
          <w:b/>
          <w:noProof/>
          <w:lang w:val="is-IS"/>
        </w:rPr>
      </w:pPr>
      <w:r>
        <w:rPr>
          <w:b/>
          <w:noProof/>
          <w:lang w:val="is-IS"/>
        </w:rPr>
        <w:t>Helga Jónsdóttir</w:t>
      </w:r>
    </w:p>
    <w:p w14:paraId="6C281AF8" w14:textId="77777777" w:rsidR="00CD2E33" w:rsidRPr="002A00C3" w:rsidRDefault="00CD2E33" w:rsidP="00E56A67">
      <w:pPr>
        <w:tabs>
          <w:tab w:val="left" w:pos="1767"/>
        </w:tabs>
        <w:spacing w:line="276" w:lineRule="auto"/>
        <w:rPr>
          <w:b/>
          <w:noProof/>
          <w:lang w:val="is-IS"/>
        </w:rPr>
      </w:pPr>
    </w:p>
    <w:p w14:paraId="32B70BF3" w14:textId="4B89B4E1" w:rsidR="00113437" w:rsidRPr="002A00C3" w:rsidRDefault="00113437" w:rsidP="00E56A67">
      <w:pPr>
        <w:tabs>
          <w:tab w:val="left" w:pos="1767"/>
        </w:tabs>
        <w:spacing w:line="276" w:lineRule="auto"/>
        <w:rPr>
          <w:b/>
          <w:noProof/>
          <w:lang w:val="is-IS"/>
        </w:rPr>
      </w:pPr>
    </w:p>
    <w:p w14:paraId="7CED0994" w14:textId="7E77759F" w:rsidR="00FD29B4" w:rsidRPr="002A00C3" w:rsidRDefault="00FD29B4" w:rsidP="00FD29B4">
      <w:pPr>
        <w:tabs>
          <w:tab w:val="left" w:pos="1767"/>
        </w:tabs>
        <w:spacing w:line="276" w:lineRule="auto"/>
        <w:jc w:val="right"/>
        <w:rPr>
          <w:bCs/>
          <w:noProof/>
          <w:lang w:val="is-IS"/>
        </w:rPr>
      </w:pPr>
      <w:r w:rsidRPr="002A00C3">
        <w:rPr>
          <w:bCs/>
          <w:noProof/>
          <w:lang w:val="is-IS"/>
        </w:rPr>
        <w:t xml:space="preserve">Reykjavík </w:t>
      </w:r>
      <w:r w:rsidR="005F420E">
        <w:rPr>
          <w:bCs/>
          <w:noProof/>
          <w:lang w:val="is-IS"/>
        </w:rPr>
        <w:t>6</w:t>
      </w:r>
      <w:r w:rsidRPr="002A00C3">
        <w:rPr>
          <w:bCs/>
          <w:noProof/>
          <w:lang w:val="is-IS"/>
        </w:rPr>
        <w:t xml:space="preserve">. </w:t>
      </w:r>
      <w:r w:rsidR="005F420E">
        <w:rPr>
          <w:bCs/>
          <w:noProof/>
          <w:lang w:val="is-IS"/>
        </w:rPr>
        <w:t>d</w:t>
      </w:r>
      <w:r w:rsidRPr="002A00C3">
        <w:rPr>
          <w:bCs/>
          <w:noProof/>
          <w:lang w:val="is-IS"/>
        </w:rPr>
        <w:t>esember 2019</w:t>
      </w:r>
    </w:p>
    <w:p w14:paraId="78D3ACB0" w14:textId="599F8D4F" w:rsidR="00FD29B4" w:rsidRDefault="00FD29B4" w:rsidP="00FD29B4">
      <w:pPr>
        <w:tabs>
          <w:tab w:val="left" w:pos="1767"/>
        </w:tabs>
        <w:spacing w:line="276" w:lineRule="auto"/>
        <w:jc w:val="right"/>
        <w:rPr>
          <w:bCs/>
          <w:noProof/>
          <w:lang w:val="is-IS"/>
        </w:rPr>
      </w:pPr>
    </w:p>
    <w:p w14:paraId="547CBE7D" w14:textId="77777777" w:rsidR="00CD2E33" w:rsidRDefault="00CD2E33" w:rsidP="00CD2E33">
      <w:pPr>
        <w:rPr>
          <w:u w:val="single"/>
        </w:rPr>
      </w:pPr>
    </w:p>
    <w:p w14:paraId="58B3AAF0" w14:textId="50A49CE6" w:rsidR="00CD2E33" w:rsidRDefault="00CD2E33" w:rsidP="00CD2E33">
      <w:pPr>
        <w:rPr>
          <w:u w:val="single"/>
        </w:rPr>
      </w:pPr>
      <w:r w:rsidRPr="00CD2E33">
        <w:rPr>
          <w:u w:val="single"/>
        </w:rPr>
        <w:t>Frumvarp - breyting á lögum um loftslagsmál (EES-innleiðing), nr. 70/2012</w:t>
      </w:r>
    </w:p>
    <w:p w14:paraId="5623F513" w14:textId="3C7DCBB8" w:rsidR="00CD2E33" w:rsidRDefault="00CD2E33" w:rsidP="00CD2E33">
      <w:pPr>
        <w:rPr>
          <w:u w:val="single"/>
        </w:rPr>
      </w:pPr>
    </w:p>
    <w:p w14:paraId="7D560D9B" w14:textId="6A9AA8E9" w:rsidR="00CD2E33" w:rsidRDefault="00CD2E33" w:rsidP="00CD2E33">
      <w:r w:rsidRPr="00CD2E33">
        <w:t>Náttúruverndarsamtök Íslands telja rétt að með frumvarpinu fylgi þýðing á álkvörðun Sameiginlegrar nefndar EES-samningsings nr. 269/2019 frá 25 október 2019.</w:t>
      </w:r>
    </w:p>
    <w:p w14:paraId="785159E4" w14:textId="77777777" w:rsidR="00CD2E33" w:rsidRDefault="00CD2E33" w:rsidP="00CD2E33">
      <w:pPr>
        <w:rPr>
          <w:lang w:eastAsia="en-GB"/>
        </w:rPr>
      </w:pPr>
    </w:p>
    <w:p w14:paraId="6F2FEF25" w14:textId="23AA3FD8" w:rsidR="00CD2E33" w:rsidRPr="00CD2E33" w:rsidRDefault="00CD2E33" w:rsidP="00CD2E33">
      <w:pPr>
        <w:rPr>
          <w:lang w:eastAsia="en-GB"/>
        </w:rPr>
      </w:pPr>
      <w:hyperlink r:id="rId7" w:history="1">
        <w:r w:rsidRPr="00CD2E33">
          <w:rPr>
            <w:rStyle w:val="Hyperlink"/>
            <w:lang w:eastAsia="en-GB"/>
          </w:rPr>
          <w:t>DECISION OF THE EEA JOINT COMMITTEE No 269/2019</w:t>
        </w:r>
      </w:hyperlink>
      <w:r w:rsidRPr="00CD2E33">
        <w:rPr>
          <w:lang w:eastAsia="en-GB"/>
        </w:rPr>
        <w:t xml:space="preserve"> of 25 October 2019 amending Protocol 31 to the EEA Agreement, on cooperation in specific fields outside the four freedoms</w:t>
      </w:r>
    </w:p>
    <w:p w14:paraId="58FCFB38" w14:textId="4A4EDF84" w:rsidR="00CD2E33" w:rsidRDefault="00CD2E33" w:rsidP="00CD2E33">
      <w:pPr>
        <w:tabs>
          <w:tab w:val="left" w:pos="1767"/>
        </w:tabs>
        <w:spacing w:line="276" w:lineRule="auto"/>
        <w:rPr>
          <w:bCs/>
          <w:noProof/>
          <w:lang w:val="is-IS"/>
        </w:rPr>
      </w:pPr>
    </w:p>
    <w:p w14:paraId="19F7B8F6" w14:textId="45515F10" w:rsidR="00CD2E33" w:rsidRDefault="00CD2E33" w:rsidP="00CD2E33">
      <w:pPr>
        <w:tabs>
          <w:tab w:val="left" w:pos="1767"/>
        </w:tabs>
        <w:spacing w:line="276" w:lineRule="auto"/>
        <w:rPr>
          <w:lang w:eastAsia="en-GB"/>
        </w:rPr>
      </w:pPr>
      <w:r>
        <w:rPr>
          <w:bCs/>
          <w:noProof/>
          <w:lang w:val="is-IS"/>
        </w:rPr>
        <w:t>Í frumvarpinu er vísað til r</w:t>
      </w:r>
      <w:r w:rsidRPr="00CD2E33">
        <w:rPr>
          <w:lang w:eastAsia="en-GB"/>
        </w:rPr>
        <w:t>eglugerð</w:t>
      </w:r>
      <w:r>
        <w:rPr>
          <w:lang w:eastAsia="en-GB"/>
        </w:rPr>
        <w:t>ar</w:t>
      </w:r>
      <w:r w:rsidRPr="00CD2E33">
        <w:rPr>
          <w:lang w:eastAsia="en-GB"/>
        </w:rPr>
        <w:t xml:space="preserve"> </w:t>
      </w:r>
      <w:r>
        <w:rPr>
          <w:lang w:eastAsia="en-GB"/>
        </w:rPr>
        <w:t>„</w:t>
      </w:r>
      <w:r w:rsidRPr="00CD2E33">
        <w:rPr>
          <w:highlight w:val="yellow"/>
          <w:lang w:eastAsia="en-GB"/>
        </w:rPr>
        <w:t>(ESB) 2018/842</w:t>
      </w:r>
      <w:r w:rsidRPr="00CD2E33">
        <w:rPr>
          <w:lang w:eastAsia="en-GB"/>
        </w:rPr>
        <w:t xml:space="preserve"> um bindandi árlega skerðingu á losun gróðurhúsalofttegunda aðildarríkjanna frá 2021 til 2030 sem stuðlar að loftslagsaðgerðum til að uppfylla skuldbindingar samkvæmt Parísarsamningnum og um breytingu á reglugerð </w:t>
      </w:r>
      <w:r w:rsidRPr="00CD2E33">
        <w:rPr>
          <w:highlight w:val="yellow"/>
          <w:lang w:eastAsia="en-GB"/>
        </w:rPr>
        <w:t>(ESB) nr. 525/2013.</w:t>
      </w:r>
      <w:r>
        <w:rPr>
          <w:lang w:eastAsia="en-GB"/>
        </w:rPr>
        <w:t>”</w:t>
      </w:r>
    </w:p>
    <w:p w14:paraId="5DB8CC04" w14:textId="1577A22D" w:rsidR="00CD2E33" w:rsidRDefault="00CD2E33" w:rsidP="00CD2E33">
      <w:pPr>
        <w:tabs>
          <w:tab w:val="left" w:pos="1767"/>
        </w:tabs>
        <w:spacing w:line="276" w:lineRule="auto"/>
        <w:rPr>
          <w:lang w:eastAsia="en-GB"/>
        </w:rPr>
      </w:pPr>
    </w:p>
    <w:p w14:paraId="29956154" w14:textId="37828DDC" w:rsidR="00CD2E33" w:rsidRDefault="00CD2E33" w:rsidP="00CD2E33">
      <w:pPr>
        <w:tabs>
          <w:tab w:val="left" w:pos="1767"/>
        </w:tabs>
        <w:spacing w:line="276" w:lineRule="auto"/>
        <w:rPr>
          <w:lang w:eastAsia="en-GB"/>
        </w:rPr>
      </w:pPr>
      <w:r>
        <w:rPr>
          <w:lang w:eastAsia="en-GB"/>
        </w:rPr>
        <w:t>Í greinargerð segir að þessar tvær reglugerðir séu tilefni lagasetningarinnar.</w:t>
      </w:r>
    </w:p>
    <w:p w14:paraId="2EB671E8" w14:textId="283CA547" w:rsidR="00CD2E33" w:rsidRDefault="00CD2E33" w:rsidP="00CD2E33">
      <w:pPr>
        <w:tabs>
          <w:tab w:val="left" w:pos="1767"/>
        </w:tabs>
        <w:spacing w:line="276" w:lineRule="auto"/>
        <w:rPr>
          <w:lang w:eastAsia="en-GB"/>
        </w:rPr>
      </w:pPr>
    </w:p>
    <w:p w14:paraId="399D6006" w14:textId="46D7AD4A" w:rsidR="00CD2E33" w:rsidRDefault="00CD2E33" w:rsidP="00CD2E33">
      <w:pPr>
        <w:tabs>
          <w:tab w:val="left" w:pos="1767"/>
        </w:tabs>
        <w:spacing w:line="276" w:lineRule="auto"/>
        <w:rPr>
          <w:lang w:eastAsia="en-GB"/>
        </w:rPr>
      </w:pPr>
      <w:r>
        <w:rPr>
          <w:lang w:eastAsia="en-GB"/>
        </w:rPr>
        <w:t>Vísað er til þessara tveggja reglugerða í ákvörðun nr. 269/2019. Gott væri að skilja samhengið.</w:t>
      </w:r>
    </w:p>
    <w:p w14:paraId="56430F3C" w14:textId="65AC490F" w:rsidR="00CD2E33" w:rsidRDefault="00CD2E33" w:rsidP="00CD2E33">
      <w:pPr>
        <w:tabs>
          <w:tab w:val="left" w:pos="1767"/>
        </w:tabs>
        <w:spacing w:line="276" w:lineRule="auto"/>
        <w:rPr>
          <w:lang w:eastAsia="en-GB"/>
        </w:rPr>
      </w:pPr>
    </w:p>
    <w:p w14:paraId="1D7BC39B" w14:textId="436814ED" w:rsidR="00CD2E33" w:rsidRDefault="00CD2E33" w:rsidP="00CD2E33">
      <w:pPr>
        <w:tabs>
          <w:tab w:val="left" w:pos="1767"/>
        </w:tabs>
        <w:spacing w:line="276" w:lineRule="auto"/>
        <w:rPr>
          <w:bCs/>
          <w:noProof/>
          <w:lang w:val="is-IS"/>
        </w:rPr>
      </w:pPr>
      <w:r>
        <w:rPr>
          <w:bCs/>
          <w:noProof/>
          <w:lang w:val="is-IS"/>
        </w:rPr>
        <w:t xml:space="preserve">Í </w:t>
      </w:r>
      <w:hyperlink r:id="rId8" w:history="1">
        <w:r w:rsidRPr="00CD2E33">
          <w:rPr>
            <w:rStyle w:val="Hyperlink"/>
            <w:bCs/>
            <w:noProof/>
            <w:lang w:val="is-IS"/>
          </w:rPr>
          <w:t>fréttatilkynningu Evrópusambandsins</w:t>
        </w:r>
      </w:hyperlink>
      <w:r>
        <w:rPr>
          <w:bCs/>
          <w:noProof/>
          <w:lang w:val="is-IS"/>
        </w:rPr>
        <w:t xml:space="preserve"> frá 25. október sl. segir í fyrirsögn, að </w:t>
      </w:r>
    </w:p>
    <w:p w14:paraId="1F235604" w14:textId="29A78FF3" w:rsidR="00CD2E33" w:rsidRDefault="00CD2E33" w:rsidP="00CD2E33">
      <w:pPr>
        <w:tabs>
          <w:tab w:val="left" w:pos="1767"/>
        </w:tabs>
        <w:spacing w:line="276" w:lineRule="auto"/>
        <w:rPr>
          <w:bCs/>
          <w:noProof/>
          <w:lang w:val="is-IS"/>
        </w:rPr>
      </w:pPr>
    </w:p>
    <w:p w14:paraId="32AB26A6" w14:textId="77777777" w:rsidR="00CD2E33" w:rsidRPr="00CD2E33" w:rsidRDefault="00CD2E33" w:rsidP="00CD2E33">
      <w:pPr>
        <w:ind w:left="720"/>
      </w:pPr>
      <w:r w:rsidRPr="00CD2E33">
        <w:t>The European Union, Iceland and Norway agree to deepen their cooperation in climate action</w:t>
      </w:r>
    </w:p>
    <w:p w14:paraId="1C4A3578" w14:textId="58B7DBEC" w:rsidR="00CD2E33" w:rsidRDefault="00CD2E33" w:rsidP="00CD2E33">
      <w:pPr>
        <w:tabs>
          <w:tab w:val="left" w:pos="1767"/>
        </w:tabs>
        <w:spacing w:line="276" w:lineRule="auto"/>
        <w:rPr>
          <w:bCs/>
          <w:noProof/>
          <w:lang w:val="is-IS"/>
        </w:rPr>
      </w:pPr>
    </w:p>
    <w:p w14:paraId="6497A37C" w14:textId="377DF073" w:rsidR="00CD2E33" w:rsidRDefault="00CD2E33" w:rsidP="00CD2E33">
      <w:pPr>
        <w:tabs>
          <w:tab w:val="left" w:pos="1767"/>
        </w:tabs>
        <w:spacing w:line="276" w:lineRule="auto"/>
        <w:rPr>
          <w:bCs/>
          <w:noProof/>
          <w:lang w:val="is-IS"/>
        </w:rPr>
      </w:pPr>
      <w:r>
        <w:rPr>
          <w:bCs/>
          <w:noProof/>
          <w:lang w:val="is-IS"/>
        </w:rPr>
        <w:t xml:space="preserve">Hvað þýðir þetta? Er um þríhliða samning að ræða þar sem samningur ESB við Ísland er háður samningi við Noreg og öfugt? Eða, er tengsl samninga ESB við Ísland og Noregur einungis gerður / tilkynntur á sama degi? </w:t>
      </w:r>
    </w:p>
    <w:p w14:paraId="757E3AE6" w14:textId="77777777" w:rsidR="00DE197B" w:rsidRDefault="00DE197B" w:rsidP="00CD2E33">
      <w:pPr>
        <w:tabs>
          <w:tab w:val="left" w:pos="1767"/>
        </w:tabs>
        <w:spacing w:line="276" w:lineRule="auto"/>
        <w:rPr>
          <w:bCs/>
          <w:noProof/>
          <w:lang w:val="is-IS"/>
        </w:rPr>
      </w:pPr>
    </w:p>
    <w:p w14:paraId="6C56FDB7" w14:textId="47EA7215" w:rsidR="00CD2E33" w:rsidRDefault="00CD2E33" w:rsidP="00CD2E33">
      <w:pPr>
        <w:tabs>
          <w:tab w:val="left" w:pos="1767"/>
        </w:tabs>
        <w:spacing w:line="276" w:lineRule="auto"/>
        <w:rPr>
          <w:bCs/>
          <w:noProof/>
          <w:lang w:val="is-IS"/>
        </w:rPr>
      </w:pPr>
      <w:r>
        <w:rPr>
          <w:bCs/>
          <w:noProof/>
          <w:lang w:val="is-IS"/>
        </w:rPr>
        <w:t>Í greinargerð</w:t>
      </w:r>
      <w:r w:rsidR="00DE197B">
        <w:rPr>
          <w:bCs/>
          <w:noProof/>
          <w:lang w:val="is-IS"/>
        </w:rPr>
        <w:t xml:space="preserve"> með frumvarpinu</w:t>
      </w:r>
      <w:r>
        <w:rPr>
          <w:bCs/>
          <w:noProof/>
          <w:lang w:val="is-IS"/>
        </w:rPr>
        <w:t xml:space="preserve"> segir:</w:t>
      </w:r>
    </w:p>
    <w:p w14:paraId="1475481A" w14:textId="725BDA52" w:rsidR="00CD2E33" w:rsidRDefault="00CD2E33" w:rsidP="00CD2E33">
      <w:pPr>
        <w:tabs>
          <w:tab w:val="left" w:pos="1767"/>
        </w:tabs>
        <w:spacing w:line="276" w:lineRule="auto"/>
        <w:rPr>
          <w:bCs/>
          <w:noProof/>
          <w:lang w:val="is-IS"/>
        </w:rPr>
      </w:pPr>
    </w:p>
    <w:p w14:paraId="7C28149A" w14:textId="1DE41263" w:rsidR="00CD2E33" w:rsidRDefault="00CD2E33" w:rsidP="00CD2E33">
      <w:pPr>
        <w:ind w:left="720"/>
        <w:rPr>
          <w:lang w:eastAsia="en-GB"/>
        </w:rPr>
      </w:pPr>
      <w:r w:rsidRPr="00CD2E33">
        <w:rPr>
          <w:lang w:eastAsia="en-GB"/>
        </w:rPr>
        <w:t xml:space="preserve">Ísland, Noregur og Evrópusambandið hafa komist að samkomulagi um að stefna að </w:t>
      </w:r>
      <w:r w:rsidRPr="00CD2E33">
        <w:rPr>
          <w:highlight w:val="yellow"/>
          <w:lang w:eastAsia="en-GB"/>
        </w:rPr>
        <w:t>sameiginlegu markmiði</w:t>
      </w:r>
      <w:r w:rsidRPr="00CD2E33">
        <w:rPr>
          <w:lang w:eastAsia="en-GB"/>
        </w:rPr>
        <w:t xml:space="preserve"> varðandi skuldbindingar innan ramma Parísarsamningsins, eins og heimild er fyrir í Parísarsamningnum. Efnislegt samkomulag náðist í </w:t>
      </w:r>
      <w:r w:rsidRPr="00CD2E33">
        <w:rPr>
          <w:lang w:eastAsia="en-GB"/>
        </w:rPr>
        <w:lastRenderedPageBreak/>
        <w:t xml:space="preserve">desember 2018, en formlega var gengið frá samkomulaginu með ákvörðun Sameiginlegu EES-nefndarinnar þann 25. október 2019. </w:t>
      </w:r>
    </w:p>
    <w:p w14:paraId="30E7A1A2" w14:textId="3BDE76C9" w:rsidR="00CD2E33" w:rsidRDefault="00CD2E33" w:rsidP="00DE197B">
      <w:pPr>
        <w:rPr>
          <w:lang w:eastAsia="en-GB"/>
        </w:rPr>
      </w:pPr>
    </w:p>
    <w:p w14:paraId="607FD6C8" w14:textId="2C52429D" w:rsidR="00DE197B" w:rsidRDefault="00DE197B" w:rsidP="00DE197B">
      <w:pPr>
        <w:rPr>
          <w:lang w:eastAsia="en-GB"/>
        </w:rPr>
      </w:pPr>
      <w:r>
        <w:rPr>
          <w:lang w:eastAsia="en-GB"/>
        </w:rPr>
        <w:t>Vísað er til þingsályktunartillögu utanríkisráðherra</w:t>
      </w:r>
    </w:p>
    <w:p w14:paraId="6AD247C4" w14:textId="20181607" w:rsidR="00DE197B" w:rsidRDefault="00DE197B" w:rsidP="00DE197B">
      <w:pPr>
        <w:rPr>
          <w:lang w:eastAsia="en-GB"/>
        </w:rPr>
      </w:pPr>
    </w:p>
    <w:p w14:paraId="076EC503" w14:textId="77777777" w:rsidR="00DE197B" w:rsidRPr="00DE197B" w:rsidRDefault="00DE197B" w:rsidP="00DE197B">
      <w:pPr>
        <w:ind w:left="720"/>
      </w:pPr>
      <w:r w:rsidRPr="00DE197B">
        <w:rPr>
          <w:color w:val="242424"/>
          <w:shd w:val="clear" w:color="auto" w:fill="FFFFFF"/>
        </w:rPr>
        <w:t>um staðfestingu ákvörðunar sameiginlegu EES-nefndarinnar nr. </w:t>
      </w:r>
      <w:hyperlink r:id="rId9" w:tgtFrame="_blank" w:history="1">
        <w:r w:rsidRPr="00DE197B">
          <w:rPr>
            <w:rStyle w:val="Hyperlink"/>
            <w:color w:val="6CA694"/>
          </w:rPr>
          <w:t>269/</w:t>
        </w:r>
        <w:r w:rsidRPr="00DE197B">
          <w:rPr>
            <w:rStyle w:val="Hyperlink"/>
            <w:color w:val="6CA694"/>
          </w:rPr>
          <w:t>2</w:t>
        </w:r>
        <w:r w:rsidRPr="00DE197B">
          <w:rPr>
            <w:rStyle w:val="Hyperlink"/>
            <w:color w:val="6CA694"/>
          </w:rPr>
          <w:t>019</w:t>
        </w:r>
      </w:hyperlink>
      <w:r w:rsidRPr="00DE197B">
        <w:rPr>
          <w:color w:val="242424"/>
          <w:shd w:val="clear" w:color="auto" w:fill="FFFFFF"/>
        </w:rPr>
        <w:t> um breytingu á bókun 31 (samvinna á sérstökum sviðum utan marka fjórþætta frelsisins) við EES-samninginn (sameiginlegar efndir samkvæmt Parísarsamningnum fyrir árin 2021–2030).</w:t>
      </w:r>
    </w:p>
    <w:p w14:paraId="5711CCB4" w14:textId="77777777" w:rsidR="00DE197B" w:rsidRPr="00CD2E33" w:rsidRDefault="00DE197B" w:rsidP="00DE197B">
      <w:pPr>
        <w:rPr>
          <w:lang w:eastAsia="en-GB"/>
        </w:rPr>
      </w:pPr>
    </w:p>
    <w:p w14:paraId="48D36391" w14:textId="7E68029A" w:rsidR="00CD2E33" w:rsidRDefault="00DE197B" w:rsidP="00CD2E33">
      <w:pPr>
        <w:tabs>
          <w:tab w:val="left" w:pos="1767"/>
        </w:tabs>
        <w:spacing w:line="276" w:lineRule="auto"/>
        <w:rPr>
          <w:bCs/>
          <w:noProof/>
          <w:lang w:val="is-IS"/>
        </w:rPr>
      </w:pPr>
      <w:r>
        <w:rPr>
          <w:bCs/>
          <w:noProof/>
          <w:lang w:val="is-IS"/>
        </w:rPr>
        <w:t xml:space="preserve">Þingsályktunartillögunni fylgir óopinber </w:t>
      </w:r>
      <w:hyperlink r:id="rId10" w:history="1">
        <w:r w:rsidRPr="00DE197B">
          <w:rPr>
            <w:rStyle w:val="Hyperlink"/>
            <w:bCs/>
            <w:noProof/>
            <w:lang w:val="is-IS"/>
          </w:rPr>
          <w:t>þýðing</w:t>
        </w:r>
      </w:hyperlink>
      <w:r>
        <w:rPr>
          <w:bCs/>
          <w:noProof/>
          <w:lang w:val="is-IS"/>
        </w:rPr>
        <w:t xml:space="preserve"> á ákvörðun nr. 269/2019. Er ekki nauðsynlegt að frumvarpinu fylgi opinber þýðing á ákvörðuninni sem er tilefni lagasetningarinnar?</w:t>
      </w:r>
    </w:p>
    <w:p w14:paraId="7307356C" w14:textId="76995E87" w:rsidR="00DE197B" w:rsidRDefault="00DE197B" w:rsidP="00CD2E33">
      <w:pPr>
        <w:tabs>
          <w:tab w:val="left" w:pos="1767"/>
        </w:tabs>
        <w:spacing w:line="276" w:lineRule="auto"/>
        <w:rPr>
          <w:bCs/>
          <w:noProof/>
          <w:lang w:val="is-IS"/>
        </w:rPr>
      </w:pPr>
    </w:p>
    <w:p w14:paraId="74CC4944" w14:textId="40543773" w:rsidR="00DE197B" w:rsidRDefault="00DE197B" w:rsidP="00CD2E33">
      <w:pPr>
        <w:tabs>
          <w:tab w:val="left" w:pos="1767"/>
        </w:tabs>
        <w:spacing w:line="276" w:lineRule="auto"/>
        <w:rPr>
          <w:bCs/>
          <w:noProof/>
          <w:lang w:val="is-IS"/>
        </w:rPr>
      </w:pPr>
      <w:r>
        <w:rPr>
          <w:bCs/>
          <w:noProof/>
          <w:lang w:val="is-IS"/>
        </w:rPr>
        <w:t>Í greinargerð með frumvarpinu segir, að</w:t>
      </w:r>
    </w:p>
    <w:p w14:paraId="32A50EC7" w14:textId="0134AE0E" w:rsidR="00DE197B" w:rsidRDefault="00DE197B" w:rsidP="00CD2E33">
      <w:pPr>
        <w:tabs>
          <w:tab w:val="left" w:pos="1767"/>
        </w:tabs>
        <w:spacing w:line="276" w:lineRule="auto"/>
        <w:rPr>
          <w:bCs/>
          <w:noProof/>
          <w:lang w:val="is-IS"/>
        </w:rPr>
      </w:pPr>
    </w:p>
    <w:p w14:paraId="1FE72835" w14:textId="77777777" w:rsidR="00DE197B" w:rsidRPr="00DE197B" w:rsidRDefault="00DE197B" w:rsidP="00DE197B">
      <w:pPr>
        <w:ind w:left="720"/>
        <w:rPr>
          <w:lang w:eastAsia="en-GB"/>
        </w:rPr>
      </w:pPr>
      <w:r w:rsidRPr="00DE197B">
        <w:rPr>
          <w:lang w:eastAsia="en-GB"/>
        </w:rPr>
        <w:t>Í I. viðauka reglugerðarinnar er tilgreint hversu mörg prósent hvert aðildarríki skuli að lágmarki draga úr losun gróðurhúsalofttegunda sem fellur undir gildissvið hennar á tímabilinu 2021–2030, miðað við losun árið 2005. Hvað Ísland varðar yrði sú tala 29%.</w:t>
      </w:r>
    </w:p>
    <w:p w14:paraId="5D0606AE" w14:textId="79E019E7" w:rsidR="00DE197B" w:rsidRDefault="00DE197B" w:rsidP="00CD2E33">
      <w:pPr>
        <w:tabs>
          <w:tab w:val="left" w:pos="1767"/>
        </w:tabs>
        <w:spacing w:line="276" w:lineRule="auto"/>
        <w:rPr>
          <w:bCs/>
          <w:noProof/>
          <w:lang w:val="is-IS"/>
        </w:rPr>
      </w:pPr>
    </w:p>
    <w:p w14:paraId="254EBF09" w14:textId="72C89514" w:rsidR="00DE197B" w:rsidRDefault="00DE197B" w:rsidP="00CD2E33">
      <w:pPr>
        <w:tabs>
          <w:tab w:val="left" w:pos="1767"/>
        </w:tabs>
        <w:spacing w:line="276" w:lineRule="auto"/>
        <w:rPr>
          <w:bCs/>
          <w:noProof/>
          <w:lang w:val="is-IS"/>
        </w:rPr>
      </w:pPr>
      <w:r>
        <w:rPr>
          <w:bCs/>
          <w:noProof/>
          <w:lang w:val="is-IS"/>
        </w:rPr>
        <w:t xml:space="preserve">Af hverju 29 prósent? Noregur lýsti því yfir strax við undirritun Parísarsamningsins í apríl 2016 að þar í landi yrði dregið úr losun um 40%. Það var og niðurstaðan í samkomulagi Íslands, Noregs og Evrópusambandins. Jafnframt bætti Noregur við 5 prósentustigum þegar </w:t>
      </w:r>
      <w:hyperlink r:id="rId11" w:history="1">
        <w:r w:rsidRPr="00DE197B">
          <w:rPr>
            <w:rStyle w:val="Hyperlink"/>
            <w:bCs/>
            <w:noProof/>
            <w:lang w:val="is-IS"/>
          </w:rPr>
          <w:t>samkomulagið var kynnt</w:t>
        </w:r>
      </w:hyperlink>
      <w:r>
        <w:rPr>
          <w:bCs/>
          <w:noProof/>
          <w:lang w:val="is-IS"/>
        </w:rPr>
        <w:t xml:space="preserve"> hinn 25. október sl. Landsframlag Noregs verður því 45%.</w:t>
      </w:r>
    </w:p>
    <w:p w14:paraId="52A6D774" w14:textId="65A45362" w:rsidR="00DE197B" w:rsidRDefault="00DE197B" w:rsidP="00CD2E33">
      <w:pPr>
        <w:tabs>
          <w:tab w:val="left" w:pos="1767"/>
        </w:tabs>
        <w:spacing w:line="276" w:lineRule="auto"/>
        <w:rPr>
          <w:bCs/>
          <w:noProof/>
          <w:lang w:val="is-IS"/>
        </w:rPr>
      </w:pPr>
    </w:p>
    <w:p w14:paraId="0C4B69D5" w14:textId="77777777" w:rsidR="00DE197B" w:rsidRDefault="00DE197B" w:rsidP="00DE197B">
      <w:pPr>
        <w:rPr>
          <w:bCs/>
          <w:noProof/>
          <w:lang w:val="is-IS"/>
        </w:rPr>
      </w:pPr>
      <w:r>
        <w:rPr>
          <w:bCs/>
          <w:noProof/>
          <w:lang w:val="is-IS"/>
        </w:rPr>
        <w:t>Í fréttatilkynningu umhverfis- og auðlindaráðuneytisins um samkomulagið segir, að</w:t>
      </w:r>
    </w:p>
    <w:p w14:paraId="432ACBA1" w14:textId="77777777" w:rsidR="00DE197B" w:rsidRDefault="00DE197B" w:rsidP="00DE197B">
      <w:pPr>
        <w:rPr>
          <w:bCs/>
          <w:noProof/>
          <w:lang w:val="is-IS"/>
        </w:rPr>
      </w:pPr>
    </w:p>
    <w:p w14:paraId="5F8156B9" w14:textId="335AF30B" w:rsidR="00DE197B" w:rsidRPr="00DE197B" w:rsidRDefault="00DE197B" w:rsidP="00DE197B">
      <w:pPr>
        <w:ind w:left="720"/>
        <w:rPr>
          <w:color w:val="000000" w:themeColor="text1"/>
          <w:lang w:eastAsia="en-GB"/>
        </w:rPr>
      </w:pPr>
      <w:r w:rsidRPr="00DE197B">
        <w:rPr>
          <w:color w:val="000000" w:themeColor="text1"/>
          <w:shd w:val="clear" w:color="auto" w:fill="FFFFFF"/>
          <w:lang w:eastAsia="en-GB"/>
        </w:rPr>
        <w:t>Samkvæmt samkomulaginu er lágmarksframlag Íslands 29% samdráttur í losun gróðurhúsalofttegunda til 2030 í geirum utan ETS, miðað við 2005</w:t>
      </w:r>
      <w:r w:rsidRPr="008C0A80">
        <w:rPr>
          <w:color w:val="000000" w:themeColor="text1"/>
          <w:highlight w:val="yellow"/>
          <w:shd w:val="clear" w:color="auto" w:fill="FFFFFF"/>
          <w:lang w:eastAsia="en-GB"/>
        </w:rPr>
        <w:t>. Íslensk stjórnvöld hafa þó lýst því yfir að markmið þeirra sé eftir sem áður að ná 40% samdrætti í losun,</w:t>
      </w:r>
      <w:r w:rsidRPr="00DE197B">
        <w:rPr>
          <w:color w:val="000000" w:themeColor="text1"/>
          <w:shd w:val="clear" w:color="auto" w:fill="FFFFFF"/>
          <w:lang w:eastAsia="en-GB"/>
        </w:rPr>
        <w:t xml:space="preserve"> líkt og kveðið er á um í aðgerðaáætlun Íslands í loftslagsmálum. </w:t>
      </w:r>
    </w:p>
    <w:p w14:paraId="6C1FB310" w14:textId="05BD19ED" w:rsidR="00DE197B" w:rsidRDefault="00DE197B" w:rsidP="00CD2E33">
      <w:pPr>
        <w:tabs>
          <w:tab w:val="left" w:pos="1767"/>
        </w:tabs>
        <w:spacing w:line="276" w:lineRule="auto"/>
        <w:rPr>
          <w:bCs/>
          <w:noProof/>
          <w:lang w:val="is-IS"/>
        </w:rPr>
      </w:pPr>
    </w:p>
    <w:p w14:paraId="42985D95" w14:textId="252EA977" w:rsidR="008C0A80" w:rsidRDefault="008C0A80" w:rsidP="00CD2E33">
      <w:pPr>
        <w:tabs>
          <w:tab w:val="left" w:pos="1767"/>
        </w:tabs>
        <w:spacing w:line="276" w:lineRule="auto"/>
        <w:rPr>
          <w:bCs/>
          <w:noProof/>
          <w:lang w:val="is-IS"/>
        </w:rPr>
      </w:pPr>
      <w:r>
        <w:rPr>
          <w:bCs/>
          <w:noProof/>
          <w:lang w:val="is-IS"/>
        </w:rPr>
        <w:t>Af hverju er þessa ekki getið í greinargerð með frumvarpinu? Samkvæmt upplýsingum umhverfis- og auðlindaráðuneytisins til skrifstofu Rammasamnings Sameinuðu þjóðanna um loftslagssbreytingur er markmið Íslands 29% samdráttur fyrir 2030.</w:t>
      </w:r>
      <w:r>
        <w:rPr>
          <w:rStyle w:val="FootnoteReference"/>
          <w:bCs/>
          <w:noProof/>
          <w:lang w:val="is-IS"/>
        </w:rPr>
        <w:footnoteReference w:id="1"/>
      </w:r>
      <w:r>
        <w:rPr>
          <w:bCs/>
          <w:noProof/>
          <w:lang w:val="is-IS"/>
        </w:rPr>
        <w:t xml:space="preserve"> Hvað gildir? Er markmið stjórnvalda, að </w:t>
      </w:r>
      <w:r w:rsidRPr="008C0A80">
        <w:rPr>
          <w:bCs/>
          <w:i/>
          <w:iCs/>
          <w:noProof/>
          <w:lang w:val="is-IS"/>
        </w:rPr>
        <w:t>eftir sem áður að ná 40% samdrætti í losun</w:t>
      </w:r>
      <w:r>
        <w:rPr>
          <w:bCs/>
          <w:noProof/>
          <w:lang w:val="is-IS"/>
        </w:rPr>
        <w:t xml:space="preserve"> til heimabrúks en á alþjóðavettvangi sé markmiðið 29% samdráttur. Þetta þarf að skýra í greinargerð með frumvarpinu.</w:t>
      </w:r>
    </w:p>
    <w:p w14:paraId="6A4BE450" w14:textId="77777777" w:rsidR="00F26F64" w:rsidRDefault="00F26F64" w:rsidP="00F26F64">
      <w:pPr>
        <w:tabs>
          <w:tab w:val="left" w:pos="1767"/>
        </w:tabs>
        <w:spacing w:line="276" w:lineRule="auto"/>
        <w:rPr>
          <w:bCs/>
          <w:noProof/>
          <w:lang w:val="is-IS"/>
        </w:rPr>
      </w:pPr>
    </w:p>
    <w:p w14:paraId="05B26A6D" w14:textId="250A9CE9" w:rsidR="00CD2E33" w:rsidRDefault="00F26F64" w:rsidP="00F26F64">
      <w:pPr>
        <w:tabs>
          <w:tab w:val="left" w:pos="1767"/>
        </w:tabs>
        <w:spacing w:line="276" w:lineRule="auto"/>
        <w:rPr>
          <w:bCs/>
          <w:noProof/>
          <w:lang w:val="is-IS"/>
        </w:rPr>
      </w:pPr>
      <w:r>
        <w:rPr>
          <w:bCs/>
          <w:noProof/>
          <w:lang w:val="is-IS"/>
        </w:rPr>
        <w:t xml:space="preserve">Norsk stjórnvöld </w:t>
      </w:r>
      <w:hyperlink r:id="rId12" w:history="1">
        <w:r w:rsidRPr="00714D7C">
          <w:rPr>
            <w:rStyle w:val="Hyperlink"/>
            <w:bCs/>
            <w:noProof/>
            <w:lang w:val="is-IS"/>
          </w:rPr>
          <w:t>skýrlega lýst því yfir</w:t>
        </w:r>
      </w:hyperlink>
      <w:r>
        <w:rPr>
          <w:bCs/>
          <w:noProof/>
          <w:lang w:val="is-IS"/>
        </w:rPr>
        <w:t xml:space="preserve"> frá því apríl 2016 að þar í landi yrði dregið úr losun um 40%.  </w:t>
      </w:r>
    </w:p>
    <w:p w14:paraId="2332506B" w14:textId="5C43CE12" w:rsidR="00714D7C" w:rsidRDefault="00714D7C" w:rsidP="00F26F64">
      <w:pPr>
        <w:tabs>
          <w:tab w:val="left" w:pos="1767"/>
        </w:tabs>
        <w:spacing w:line="276" w:lineRule="auto"/>
        <w:rPr>
          <w:bCs/>
          <w:noProof/>
          <w:lang w:val="is-IS"/>
        </w:rPr>
      </w:pPr>
    </w:p>
    <w:p w14:paraId="6D148812" w14:textId="77777777" w:rsidR="00714D7C" w:rsidRDefault="00714D7C" w:rsidP="00714D7C">
      <w:pPr>
        <w:rPr>
          <w:bCs/>
          <w:noProof/>
          <w:lang w:val="is-IS"/>
        </w:rPr>
      </w:pPr>
      <w:r>
        <w:rPr>
          <w:bCs/>
          <w:noProof/>
          <w:lang w:val="is-IS"/>
        </w:rPr>
        <w:t>Í fréttatilkynningu norska loftslags- og umhverfisráðuneytisins frá 25. október sl. segir:</w:t>
      </w:r>
    </w:p>
    <w:p w14:paraId="09C5C2C7" w14:textId="466D604F" w:rsidR="00714D7C" w:rsidRPr="00714D7C" w:rsidRDefault="00714D7C" w:rsidP="00714D7C">
      <w:pPr>
        <w:ind w:left="720"/>
      </w:pPr>
      <w:r>
        <w:rPr>
          <w:bCs/>
          <w:noProof/>
          <w:lang w:val="is-IS"/>
        </w:rPr>
        <w:lastRenderedPageBreak/>
        <w:br/>
      </w:r>
      <w:r w:rsidRPr="00714D7C">
        <w:t>Norges og Islands klimaavtale med EU ble vedtatt i Brussel fredag. Norge skal samarbeide med EU om utslippskutt fram til 2030, med mål om minst 40 prosent reduksjon. Vi får et utslippsbudsjett for hvert år og må rapportere om hvordan vi skal innfri våre forpliktelser.</w:t>
      </w:r>
    </w:p>
    <w:p w14:paraId="30456108" w14:textId="47B4FE6B" w:rsidR="00714D7C" w:rsidRDefault="00714D7C" w:rsidP="00714D7C">
      <w:pPr>
        <w:ind w:left="720"/>
      </w:pPr>
    </w:p>
    <w:p w14:paraId="05912DA9" w14:textId="4D97D56E" w:rsidR="00714D7C" w:rsidRDefault="00714D7C" w:rsidP="00714D7C">
      <w:r>
        <w:t>og</w:t>
      </w:r>
    </w:p>
    <w:p w14:paraId="4A6F4BA3" w14:textId="75734342" w:rsidR="00714D7C" w:rsidRDefault="00714D7C" w:rsidP="00714D7C">
      <w:pPr>
        <w:ind w:left="720"/>
      </w:pPr>
    </w:p>
    <w:p w14:paraId="1F300A55" w14:textId="77777777" w:rsidR="00714D7C" w:rsidRPr="00714D7C" w:rsidRDefault="00714D7C" w:rsidP="00714D7C">
      <w:pPr>
        <w:ind w:left="720"/>
      </w:pPr>
      <w:r w:rsidRPr="00714D7C">
        <w:t>Norge forpliktes nå blant annet til 40 prosent kutt i utslipp fra transport, bygg, avfall og jordbruk innen 2030.</w:t>
      </w:r>
    </w:p>
    <w:p w14:paraId="61E82D8A" w14:textId="3DB2361D" w:rsidR="00714D7C" w:rsidRDefault="00714D7C" w:rsidP="00714D7C">
      <w:pPr>
        <w:ind w:left="720"/>
      </w:pPr>
      <w:r w:rsidRPr="00714D7C">
        <w:t xml:space="preserve">– Norge vil overoppfylle dette målet, og kutte utslipp fra transport, bygg, avfall og jordbruk </w:t>
      </w:r>
      <w:r w:rsidRPr="00714D7C">
        <w:rPr>
          <w:highlight w:val="yellow"/>
        </w:rPr>
        <w:t>med 45 prosent innen 2030</w:t>
      </w:r>
      <w:r w:rsidRPr="00714D7C">
        <w:t xml:space="preserve">, </w:t>
      </w:r>
    </w:p>
    <w:p w14:paraId="47DA8659" w14:textId="07734D14" w:rsidR="00714D7C" w:rsidRDefault="00714D7C" w:rsidP="00714D7C"/>
    <w:p w14:paraId="6D60BAB9" w14:textId="04067D74" w:rsidR="00CB4360" w:rsidRPr="00714D7C" w:rsidRDefault="00CB4360" w:rsidP="00714D7C">
      <w:r>
        <w:t>Því miður virðist</w:t>
      </w:r>
      <w:bookmarkStart w:id="0" w:name="_GoBack"/>
      <w:bookmarkEnd w:id="0"/>
      <w:r>
        <w:t xml:space="preserve"> ástæða til að ætla að ekki sé samstaða í ríkisstjórn Íslands um hversu mikið skuli draga úr losun. </w:t>
      </w:r>
    </w:p>
    <w:p w14:paraId="7641A36E" w14:textId="77777777" w:rsidR="00113437" w:rsidRPr="002A00C3" w:rsidRDefault="00113437" w:rsidP="00E56A67">
      <w:pPr>
        <w:tabs>
          <w:tab w:val="left" w:pos="1767"/>
        </w:tabs>
        <w:spacing w:line="276" w:lineRule="auto"/>
        <w:rPr>
          <w:b/>
          <w:noProof/>
          <w:lang w:val="is-IS"/>
        </w:rPr>
      </w:pPr>
    </w:p>
    <w:p w14:paraId="237D8DFA" w14:textId="77777777" w:rsidR="00E56A67" w:rsidRPr="002A00C3" w:rsidRDefault="00E56A67" w:rsidP="00714D7C">
      <w:pPr>
        <w:jc w:val="both"/>
        <w:rPr>
          <w:color w:val="4A4A4A"/>
          <w:shd w:val="clear" w:color="auto" w:fill="FFFFFF"/>
        </w:rPr>
      </w:pPr>
    </w:p>
    <w:p w14:paraId="7A18ACE8" w14:textId="77777777" w:rsidR="00E56A67" w:rsidRPr="002A00C3" w:rsidRDefault="00E56A67" w:rsidP="00714D7C">
      <w:pPr>
        <w:jc w:val="both"/>
        <w:rPr>
          <w:color w:val="000000"/>
          <w:lang w:val="is-IS"/>
        </w:rPr>
      </w:pPr>
      <w:r w:rsidRPr="002A00C3">
        <w:rPr>
          <w:color w:val="000000"/>
          <w:lang w:val="is-IS"/>
        </w:rPr>
        <w:t>F.h. Náttúruverndarsamtaka Íslands</w:t>
      </w:r>
    </w:p>
    <w:p w14:paraId="1FAE376B" w14:textId="560CC547" w:rsidR="00E56A67" w:rsidRPr="002A00C3" w:rsidRDefault="00E56A67" w:rsidP="00714D7C">
      <w:pPr>
        <w:jc w:val="both"/>
        <w:rPr>
          <w:color w:val="000000"/>
          <w:lang w:val="is-IS"/>
        </w:rPr>
      </w:pPr>
    </w:p>
    <w:p w14:paraId="42F9081D" w14:textId="661EA794" w:rsidR="00782836" w:rsidRPr="002A00C3" w:rsidRDefault="00782836" w:rsidP="00714D7C">
      <w:pPr>
        <w:jc w:val="both"/>
        <w:rPr>
          <w:color w:val="000000"/>
          <w:lang w:val="is-IS"/>
        </w:rPr>
      </w:pPr>
      <w:r w:rsidRPr="002A00C3">
        <w:rPr>
          <w:noProof/>
          <w:color w:val="000000"/>
          <w:lang w:val="is-IS"/>
        </w:rPr>
        <w:drawing>
          <wp:inline distT="0" distB="0" distL="0" distR="0" wp14:anchorId="410FD320" wp14:editId="3E08BC1F">
            <wp:extent cx="23495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2349500" cy="622300"/>
                    </a:xfrm>
                    <a:prstGeom prst="rect">
                      <a:avLst/>
                    </a:prstGeom>
                  </pic:spPr>
                </pic:pic>
              </a:graphicData>
            </a:graphic>
          </wp:inline>
        </w:drawing>
      </w:r>
    </w:p>
    <w:p w14:paraId="7990D684" w14:textId="77777777" w:rsidR="00E56A67" w:rsidRPr="002A00C3" w:rsidRDefault="00E56A67" w:rsidP="00714D7C">
      <w:pPr>
        <w:jc w:val="both"/>
        <w:rPr>
          <w:color w:val="000000"/>
          <w:lang w:val="is-IS"/>
        </w:rPr>
      </w:pPr>
    </w:p>
    <w:p w14:paraId="44826D34" w14:textId="77777777" w:rsidR="00E56A67" w:rsidRPr="002A00C3" w:rsidRDefault="00E56A67" w:rsidP="00714D7C">
      <w:pPr>
        <w:jc w:val="both"/>
        <w:rPr>
          <w:color w:val="000000"/>
          <w:lang w:val="is-IS"/>
        </w:rPr>
      </w:pPr>
      <w:r w:rsidRPr="002A00C3">
        <w:rPr>
          <w:color w:val="000000"/>
          <w:lang w:val="is-IS"/>
        </w:rPr>
        <w:t>Árni Finnsson</w:t>
      </w:r>
    </w:p>
    <w:p w14:paraId="5AA4496B" w14:textId="14F9A451" w:rsidR="00E56A67" w:rsidRDefault="00E56A67" w:rsidP="00714D7C">
      <w:pPr>
        <w:jc w:val="both"/>
        <w:rPr>
          <w:color w:val="000000"/>
          <w:lang w:val="is-IS"/>
        </w:rPr>
      </w:pPr>
    </w:p>
    <w:p w14:paraId="48217FA8" w14:textId="77777777" w:rsidR="002A00C3" w:rsidRPr="002A00C3" w:rsidRDefault="002A00C3" w:rsidP="00E56A67">
      <w:pPr>
        <w:rPr>
          <w:color w:val="000000"/>
          <w:lang w:val="is-IS"/>
        </w:rPr>
      </w:pPr>
    </w:p>
    <w:p w14:paraId="6BA16C6E" w14:textId="75056E05" w:rsidR="00E56A67" w:rsidRPr="002A00C3" w:rsidRDefault="002A00C3" w:rsidP="00E56A67">
      <w:pPr>
        <w:rPr>
          <w:color w:val="000000"/>
          <w:lang w:val="is-IS"/>
        </w:rPr>
      </w:pPr>
      <w:r>
        <w:rPr>
          <w:color w:val="000000"/>
          <w:lang w:val="is-IS"/>
        </w:rPr>
        <w:t>Afrit:</w:t>
      </w:r>
      <w:r w:rsidR="00687BC5">
        <w:rPr>
          <w:color w:val="000000"/>
          <w:lang w:val="is-IS"/>
        </w:rPr>
        <w:tab/>
      </w:r>
      <w:r>
        <w:rPr>
          <w:color w:val="000000"/>
          <w:lang w:val="is-IS"/>
        </w:rPr>
        <w:t xml:space="preserve">Sjávarútvegsráðherra Kristján Þór Júlíusson </w:t>
      </w:r>
    </w:p>
    <w:p w14:paraId="2AC99AA5" w14:textId="725C5F33" w:rsidR="00E56A67" w:rsidRPr="002A00C3" w:rsidRDefault="00687BC5" w:rsidP="00E56A67">
      <w:pPr>
        <w:rPr>
          <w:color w:val="000000"/>
          <w:lang w:val="is-IS"/>
        </w:rPr>
      </w:pPr>
      <w:r>
        <w:rPr>
          <w:color w:val="000000"/>
          <w:lang w:val="is-IS"/>
        </w:rPr>
        <w:tab/>
        <w:t>Umhverfis- og auðlindaráðherra Guðmundur Ingi Guðbrandsson</w:t>
      </w:r>
    </w:p>
    <w:p w14:paraId="133E67F6" w14:textId="77777777" w:rsidR="00E56A67" w:rsidRPr="002A00C3" w:rsidRDefault="00E56A67" w:rsidP="00E56A67">
      <w:pPr>
        <w:rPr>
          <w:color w:val="000000"/>
          <w:lang w:val="is-IS"/>
        </w:rPr>
      </w:pPr>
    </w:p>
    <w:p w14:paraId="5C270ECC" w14:textId="77777777" w:rsidR="00E56A67" w:rsidRPr="002A00C3" w:rsidRDefault="00E56A67" w:rsidP="00E56A67">
      <w:pPr>
        <w:rPr>
          <w:color w:val="000000"/>
          <w:lang w:val="is-IS"/>
        </w:rPr>
      </w:pPr>
    </w:p>
    <w:p w14:paraId="616F9E6B" w14:textId="77777777" w:rsidR="00E56A67" w:rsidRPr="002A00C3" w:rsidRDefault="00E56A67" w:rsidP="00E56A67">
      <w:pPr>
        <w:rPr>
          <w:color w:val="000000"/>
          <w:lang w:val="is-IS"/>
        </w:rPr>
      </w:pPr>
    </w:p>
    <w:p w14:paraId="121D67CF" w14:textId="77777777" w:rsidR="00E56A67" w:rsidRPr="002A00C3" w:rsidRDefault="00E56A67" w:rsidP="00E56A67">
      <w:pPr>
        <w:rPr>
          <w:color w:val="000000"/>
          <w:lang w:val="is-IS"/>
        </w:rPr>
      </w:pPr>
    </w:p>
    <w:p w14:paraId="0D242A1F" w14:textId="77777777" w:rsidR="00E56A67" w:rsidRPr="002A00C3" w:rsidRDefault="00E56A67" w:rsidP="00E56A67">
      <w:pPr>
        <w:rPr>
          <w:color w:val="000000"/>
          <w:lang w:val="is-IS"/>
        </w:rPr>
      </w:pPr>
    </w:p>
    <w:p w14:paraId="3F70AA66" w14:textId="77777777" w:rsidR="00E56A67" w:rsidRPr="002A00C3" w:rsidRDefault="00E56A67" w:rsidP="00E56A67">
      <w:pPr>
        <w:rPr>
          <w:color w:val="000000"/>
          <w:lang w:val="is-IS"/>
        </w:rPr>
      </w:pPr>
    </w:p>
    <w:p w14:paraId="6045DB4D" w14:textId="77777777" w:rsidR="00E56A67" w:rsidRPr="002A00C3" w:rsidRDefault="00E56A67" w:rsidP="00E56A67">
      <w:pPr>
        <w:rPr>
          <w:color w:val="000000"/>
          <w:lang w:val="is-IS"/>
        </w:rPr>
      </w:pPr>
    </w:p>
    <w:p w14:paraId="72FB076A" w14:textId="77777777" w:rsidR="00E56A67" w:rsidRPr="002A00C3" w:rsidRDefault="00E56A67" w:rsidP="00E56A67">
      <w:pPr>
        <w:rPr>
          <w:color w:val="000000"/>
          <w:lang w:val="is-IS"/>
        </w:rPr>
      </w:pPr>
    </w:p>
    <w:p w14:paraId="235863AC" w14:textId="77777777" w:rsidR="00E56A67" w:rsidRPr="002A00C3" w:rsidRDefault="00E56A67" w:rsidP="00E56A67">
      <w:pPr>
        <w:rPr>
          <w:color w:val="000000"/>
          <w:lang w:val="is-IS"/>
        </w:rPr>
      </w:pPr>
    </w:p>
    <w:p w14:paraId="10F48232" w14:textId="77777777" w:rsidR="00E56A67" w:rsidRPr="002A00C3" w:rsidRDefault="00E56A67" w:rsidP="00E56A67">
      <w:pPr>
        <w:rPr>
          <w:color w:val="000000"/>
          <w:lang w:val="is-IS"/>
        </w:rPr>
      </w:pPr>
    </w:p>
    <w:p w14:paraId="0F33814C" w14:textId="77777777" w:rsidR="00E56A67" w:rsidRPr="002A00C3" w:rsidRDefault="00E56A67" w:rsidP="00E56A67">
      <w:pPr>
        <w:tabs>
          <w:tab w:val="left" w:pos="3544"/>
        </w:tabs>
        <w:rPr>
          <w:color w:val="000000"/>
          <w:lang w:val="is-IS"/>
        </w:rPr>
      </w:pPr>
    </w:p>
    <w:p w14:paraId="45F3FEE0" w14:textId="77777777" w:rsidR="00E56A67" w:rsidRPr="002A00C3" w:rsidRDefault="00E56A67" w:rsidP="00E56A67"/>
    <w:p w14:paraId="3A37106A" w14:textId="77777777" w:rsidR="00593E2B" w:rsidRPr="002A00C3" w:rsidRDefault="00593E2B"/>
    <w:p w14:paraId="4B6B5EF9" w14:textId="77777777" w:rsidR="00FD29B4" w:rsidRPr="002A00C3" w:rsidRDefault="00FD29B4"/>
    <w:sectPr w:rsidR="00FD29B4" w:rsidRPr="002A00C3" w:rsidSect="00190590">
      <w:footerReference w:type="even" r:id="rId14"/>
      <w:footerReference w:type="default" r:id="rId15"/>
      <w:head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65B5" w14:textId="77777777" w:rsidR="00773B09" w:rsidRDefault="00773B09" w:rsidP="00E56A67">
      <w:r>
        <w:separator/>
      </w:r>
    </w:p>
  </w:endnote>
  <w:endnote w:type="continuationSeparator" w:id="0">
    <w:p w14:paraId="2A9ADC47" w14:textId="77777777" w:rsidR="00773B09" w:rsidRDefault="00773B09" w:rsidP="00E5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4D3A" w14:textId="77777777" w:rsidR="00803F37" w:rsidRDefault="009D4E42" w:rsidP="00BE7E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C93CB" w14:textId="77777777" w:rsidR="00803F37" w:rsidRDefault="00773B09" w:rsidP="00190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D4A3" w14:textId="77777777" w:rsidR="00803F37" w:rsidRDefault="009D4E42" w:rsidP="00BE7E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174237" w14:textId="77777777" w:rsidR="00803F37" w:rsidRDefault="00773B09" w:rsidP="001905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5B50" w14:textId="77777777" w:rsidR="00773B09" w:rsidRDefault="00773B09" w:rsidP="00E56A67">
      <w:r>
        <w:separator/>
      </w:r>
    </w:p>
  </w:footnote>
  <w:footnote w:type="continuationSeparator" w:id="0">
    <w:p w14:paraId="3B43667C" w14:textId="77777777" w:rsidR="00773B09" w:rsidRDefault="00773B09" w:rsidP="00E56A67">
      <w:r>
        <w:continuationSeparator/>
      </w:r>
    </w:p>
  </w:footnote>
  <w:footnote w:id="1">
    <w:p w14:paraId="65B5DE10" w14:textId="20DFB266" w:rsidR="008C0A80" w:rsidRPr="008C0A80" w:rsidRDefault="008C0A80">
      <w:pPr>
        <w:pStyle w:val="FootnoteText"/>
        <w:rPr>
          <w:sz w:val="20"/>
          <w:szCs w:val="20"/>
          <w:lang w:val="is-IS"/>
        </w:rPr>
      </w:pPr>
      <w:r>
        <w:rPr>
          <w:rStyle w:val="FootnoteReference"/>
        </w:rPr>
        <w:footnoteRef/>
      </w:r>
      <w:r>
        <w:t xml:space="preserve"> </w:t>
      </w:r>
      <w:r w:rsidRPr="008C0A80">
        <w:rPr>
          <w:color w:val="000000" w:themeColor="text1"/>
          <w:sz w:val="20"/>
          <w:szCs w:val="20"/>
          <w:lang w:eastAsia="en-GB"/>
        </w:rPr>
        <w:t>Iceland expects its target for non-ETS sectors for 2021–2030 to be a 29 per cent emission reduction. Iceland has also set a long-term goal of achieving carbon neutrality by no later than 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01C5" w14:textId="77777777" w:rsidR="00803F37" w:rsidRDefault="009D4E42">
    <w:pPr>
      <w:pStyle w:val="Header"/>
    </w:pPr>
    <w:r>
      <w:rPr>
        <w:noProof/>
      </w:rPr>
      <w:drawing>
        <wp:inline distT="0" distB="0" distL="0" distR="0" wp14:anchorId="362AD175" wp14:editId="23B24BE6">
          <wp:extent cx="5715000" cy="1170940"/>
          <wp:effectExtent l="0" t="0" r="0" b="0"/>
          <wp:docPr id="4" name="Picture 4" descr="../Bréfh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fha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70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24E2B"/>
    <w:multiLevelType w:val="multilevel"/>
    <w:tmpl w:val="3884AA1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440E0687"/>
    <w:multiLevelType w:val="hybridMultilevel"/>
    <w:tmpl w:val="3F2848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14E1E"/>
    <w:multiLevelType w:val="hybridMultilevel"/>
    <w:tmpl w:val="23C4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67"/>
    <w:rsid w:val="000D3223"/>
    <w:rsid w:val="00113437"/>
    <w:rsid w:val="001A7E23"/>
    <w:rsid w:val="0028470E"/>
    <w:rsid w:val="002A00C3"/>
    <w:rsid w:val="00353D2D"/>
    <w:rsid w:val="0044781F"/>
    <w:rsid w:val="00481C9A"/>
    <w:rsid w:val="00593E2B"/>
    <w:rsid w:val="005A4E38"/>
    <w:rsid w:val="005F420E"/>
    <w:rsid w:val="0062157D"/>
    <w:rsid w:val="00687BC5"/>
    <w:rsid w:val="006E0198"/>
    <w:rsid w:val="00714D7C"/>
    <w:rsid w:val="00763CE3"/>
    <w:rsid w:val="0077007C"/>
    <w:rsid w:val="007717C2"/>
    <w:rsid w:val="00773B09"/>
    <w:rsid w:val="00782836"/>
    <w:rsid w:val="007A281C"/>
    <w:rsid w:val="007E16B6"/>
    <w:rsid w:val="008A0FC9"/>
    <w:rsid w:val="008A5B45"/>
    <w:rsid w:val="008A79E1"/>
    <w:rsid w:val="008C0A80"/>
    <w:rsid w:val="008C64A2"/>
    <w:rsid w:val="008E14D6"/>
    <w:rsid w:val="00981D5A"/>
    <w:rsid w:val="009D4E42"/>
    <w:rsid w:val="00A03C69"/>
    <w:rsid w:val="00A9759A"/>
    <w:rsid w:val="00BC4E52"/>
    <w:rsid w:val="00C75D6D"/>
    <w:rsid w:val="00C83732"/>
    <w:rsid w:val="00CB4360"/>
    <w:rsid w:val="00CD2E33"/>
    <w:rsid w:val="00DB23A5"/>
    <w:rsid w:val="00DE031C"/>
    <w:rsid w:val="00DE197B"/>
    <w:rsid w:val="00E56A67"/>
    <w:rsid w:val="00E93BDC"/>
    <w:rsid w:val="00E96F90"/>
    <w:rsid w:val="00EB4D3E"/>
    <w:rsid w:val="00EE47A7"/>
    <w:rsid w:val="00F26F64"/>
    <w:rsid w:val="00F90BB0"/>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E5B07"/>
  <w15:chartTrackingRefBased/>
  <w15:docId w15:val="{05778D0C-D2AA-F147-8603-B58CBDD1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67"/>
    <w:rPr>
      <w:rFonts w:ascii="Times New Roman" w:eastAsia="Times New Roman" w:hAnsi="Times New Roman" w:cs="Times New Roman"/>
    </w:rPr>
  </w:style>
  <w:style w:type="paragraph" w:styleId="Heading1">
    <w:name w:val="heading 1"/>
    <w:basedOn w:val="Normal"/>
    <w:next w:val="Normal"/>
    <w:link w:val="Heading1Char"/>
    <w:uiPriority w:val="9"/>
    <w:qFormat/>
    <w:rsid w:val="00CD2E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E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1C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A67"/>
    <w:rPr>
      <w:color w:val="0000FF"/>
      <w:u w:val="single"/>
    </w:rPr>
  </w:style>
  <w:style w:type="paragraph" w:styleId="Header">
    <w:name w:val="header"/>
    <w:basedOn w:val="Normal"/>
    <w:link w:val="HeaderChar"/>
    <w:uiPriority w:val="99"/>
    <w:unhideWhenUsed/>
    <w:rsid w:val="00E56A67"/>
    <w:pPr>
      <w:tabs>
        <w:tab w:val="center" w:pos="4513"/>
        <w:tab w:val="right" w:pos="9026"/>
      </w:tabs>
    </w:pPr>
  </w:style>
  <w:style w:type="character" w:customStyle="1" w:styleId="HeaderChar">
    <w:name w:val="Header Char"/>
    <w:basedOn w:val="DefaultParagraphFont"/>
    <w:link w:val="Header"/>
    <w:uiPriority w:val="99"/>
    <w:rsid w:val="00E56A67"/>
    <w:rPr>
      <w:rFonts w:ascii="Times New Roman" w:eastAsia="Times New Roman" w:hAnsi="Times New Roman" w:cs="Times New Roman"/>
    </w:rPr>
  </w:style>
  <w:style w:type="paragraph" w:styleId="Footer">
    <w:name w:val="footer"/>
    <w:basedOn w:val="Normal"/>
    <w:link w:val="FooterChar"/>
    <w:uiPriority w:val="99"/>
    <w:unhideWhenUsed/>
    <w:rsid w:val="00E56A67"/>
    <w:pPr>
      <w:tabs>
        <w:tab w:val="center" w:pos="4513"/>
        <w:tab w:val="right" w:pos="9026"/>
      </w:tabs>
    </w:pPr>
  </w:style>
  <w:style w:type="character" w:customStyle="1" w:styleId="FooterChar">
    <w:name w:val="Footer Char"/>
    <w:basedOn w:val="DefaultParagraphFont"/>
    <w:link w:val="Footer"/>
    <w:uiPriority w:val="99"/>
    <w:rsid w:val="00E56A67"/>
    <w:rPr>
      <w:rFonts w:ascii="Times New Roman" w:eastAsia="Times New Roman" w:hAnsi="Times New Roman" w:cs="Times New Roman"/>
    </w:rPr>
  </w:style>
  <w:style w:type="character" w:styleId="PageNumber">
    <w:name w:val="page number"/>
    <w:basedOn w:val="DefaultParagraphFont"/>
    <w:uiPriority w:val="99"/>
    <w:semiHidden/>
    <w:unhideWhenUsed/>
    <w:rsid w:val="00E56A67"/>
  </w:style>
  <w:style w:type="paragraph" w:styleId="FootnoteText">
    <w:name w:val="footnote text"/>
    <w:basedOn w:val="Normal"/>
    <w:link w:val="FootnoteTextChar"/>
    <w:uiPriority w:val="99"/>
    <w:unhideWhenUsed/>
    <w:rsid w:val="00E56A67"/>
  </w:style>
  <w:style w:type="character" w:customStyle="1" w:styleId="FootnoteTextChar">
    <w:name w:val="Footnote Text Char"/>
    <w:basedOn w:val="DefaultParagraphFont"/>
    <w:link w:val="FootnoteText"/>
    <w:uiPriority w:val="99"/>
    <w:rsid w:val="00E56A67"/>
    <w:rPr>
      <w:rFonts w:ascii="Times New Roman" w:eastAsia="Times New Roman" w:hAnsi="Times New Roman" w:cs="Times New Roman"/>
    </w:rPr>
  </w:style>
  <w:style w:type="character" w:styleId="FootnoteReference">
    <w:name w:val="footnote reference"/>
    <w:basedOn w:val="DefaultParagraphFont"/>
    <w:uiPriority w:val="99"/>
    <w:unhideWhenUsed/>
    <w:rsid w:val="00E56A67"/>
    <w:rPr>
      <w:vertAlign w:val="superscript"/>
    </w:rPr>
  </w:style>
  <w:style w:type="character" w:styleId="Emphasis">
    <w:name w:val="Emphasis"/>
    <w:basedOn w:val="DefaultParagraphFont"/>
    <w:uiPriority w:val="20"/>
    <w:qFormat/>
    <w:rsid w:val="00E56A67"/>
    <w:rPr>
      <w:i/>
      <w:iCs/>
    </w:rPr>
  </w:style>
  <w:style w:type="paragraph" w:styleId="ListParagraph">
    <w:name w:val="List Paragraph"/>
    <w:basedOn w:val="Normal"/>
    <w:uiPriority w:val="34"/>
    <w:qFormat/>
    <w:rsid w:val="00E56A67"/>
    <w:pPr>
      <w:ind w:left="720"/>
      <w:contextualSpacing/>
    </w:pPr>
  </w:style>
  <w:style w:type="character" w:styleId="Strong">
    <w:name w:val="Strong"/>
    <w:basedOn w:val="DefaultParagraphFont"/>
    <w:uiPriority w:val="22"/>
    <w:qFormat/>
    <w:rsid w:val="00E56A67"/>
    <w:rPr>
      <w:b/>
      <w:bCs/>
    </w:rPr>
  </w:style>
  <w:style w:type="paragraph" w:styleId="BalloonText">
    <w:name w:val="Balloon Text"/>
    <w:basedOn w:val="Normal"/>
    <w:link w:val="BalloonTextChar"/>
    <w:uiPriority w:val="99"/>
    <w:semiHidden/>
    <w:unhideWhenUsed/>
    <w:rsid w:val="00E56A67"/>
    <w:rPr>
      <w:sz w:val="18"/>
      <w:szCs w:val="18"/>
    </w:rPr>
  </w:style>
  <w:style w:type="character" w:customStyle="1" w:styleId="BalloonTextChar">
    <w:name w:val="Balloon Text Char"/>
    <w:basedOn w:val="DefaultParagraphFont"/>
    <w:link w:val="BalloonText"/>
    <w:uiPriority w:val="99"/>
    <w:semiHidden/>
    <w:rsid w:val="00E56A67"/>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0D3223"/>
    <w:rPr>
      <w:color w:val="605E5C"/>
      <w:shd w:val="clear" w:color="auto" w:fill="E1DFDD"/>
    </w:rPr>
  </w:style>
  <w:style w:type="character" w:customStyle="1" w:styleId="Heading3Char">
    <w:name w:val="Heading 3 Char"/>
    <w:basedOn w:val="DefaultParagraphFont"/>
    <w:link w:val="Heading3"/>
    <w:uiPriority w:val="9"/>
    <w:rsid w:val="00481C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C9A"/>
    <w:pPr>
      <w:spacing w:before="100" w:beforeAutospacing="1" w:after="100" w:afterAutospacing="1"/>
    </w:pPr>
  </w:style>
  <w:style w:type="character" w:styleId="FollowedHyperlink">
    <w:name w:val="FollowedHyperlink"/>
    <w:basedOn w:val="DefaultParagraphFont"/>
    <w:uiPriority w:val="99"/>
    <w:semiHidden/>
    <w:unhideWhenUsed/>
    <w:rsid w:val="00EB4D3E"/>
    <w:rPr>
      <w:color w:val="954F72" w:themeColor="followedHyperlink"/>
      <w:u w:val="single"/>
    </w:rPr>
  </w:style>
  <w:style w:type="character" w:customStyle="1" w:styleId="Heading2Char">
    <w:name w:val="Heading 2 Char"/>
    <w:basedOn w:val="DefaultParagraphFont"/>
    <w:link w:val="Heading2"/>
    <w:uiPriority w:val="9"/>
    <w:semiHidden/>
    <w:rsid w:val="00CD2E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D2E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15469">
      <w:bodyDiv w:val="1"/>
      <w:marLeft w:val="0"/>
      <w:marRight w:val="0"/>
      <w:marTop w:val="0"/>
      <w:marBottom w:val="0"/>
      <w:divBdr>
        <w:top w:val="none" w:sz="0" w:space="0" w:color="auto"/>
        <w:left w:val="none" w:sz="0" w:space="0" w:color="auto"/>
        <w:bottom w:val="none" w:sz="0" w:space="0" w:color="auto"/>
        <w:right w:val="none" w:sz="0" w:space="0" w:color="auto"/>
      </w:divBdr>
    </w:div>
    <w:div w:id="574243595">
      <w:bodyDiv w:val="1"/>
      <w:marLeft w:val="0"/>
      <w:marRight w:val="0"/>
      <w:marTop w:val="0"/>
      <w:marBottom w:val="0"/>
      <w:divBdr>
        <w:top w:val="none" w:sz="0" w:space="0" w:color="auto"/>
        <w:left w:val="none" w:sz="0" w:space="0" w:color="auto"/>
        <w:bottom w:val="none" w:sz="0" w:space="0" w:color="auto"/>
        <w:right w:val="none" w:sz="0" w:space="0" w:color="auto"/>
      </w:divBdr>
    </w:div>
    <w:div w:id="680666175">
      <w:bodyDiv w:val="1"/>
      <w:marLeft w:val="0"/>
      <w:marRight w:val="0"/>
      <w:marTop w:val="0"/>
      <w:marBottom w:val="0"/>
      <w:divBdr>
        <w:top w:val="none" w:sz="0" w:space="0" w:color="auto"/>
        <w:left w:val="none" w:sz="0" w:space="0" w:color="auto"/>
        <w:bottom w:val="none" w:sz="0" w:space="0" w:color="auto"/>
        <w:right w:val="none" w:sz="0" w:space="0" w:color="auto"/>
      </w:divBdr>
    </w:div>
    <w:div w:id="853612656">
      <w:bodyDiv w:val="1"/>
      <w:marLeft w:val="0"/>
      <w:marRight w:val="0"/>
      <w:marTop w:val="0"/>
      <w:marBottom w:val="0"/>
      <w:divBdr>
        <w:top w:val="none" w:sz="0" w:space="0" w:color="auto"/>
        <w:left w:val="none" w:sz="0" w:space="0" w:color="auto"/>
        <w:bottom w:val="none" w:sz="0" w:space="0" w:color="auto"/>
        <w:right w:val="none" w:sz="0" w:space="0" w:color="auto"/>
      </w:divBdr>
    </w:div>
    <w:div w:id="910432274">
      <w:bodyDiv w:val="1"/>
      <w:marLeft w:val="0"/>
      <w:marRight w:val="0"/>
      <w:marTop w:val="0"/>
      <w:marBottom w:val="0"/>
      <w:divBdr>
        <w:top w:val="none" w:sz="0" w:space="0" w:color="auto"/>
        <w:left w:val="none" w:sz="0" w:space="0" w:color="auto"/>
        <w:bottom w:val="none" w:sz="0" w:space="0" w:color="auto"/>
        <w:right w:val="none" w:sz="0" w:space="0" w:color="auto"/>
      </w:divBdr>
    </w:div>
    <w:div w:id="990133989">
      <w:bodyDiv w:val="1"/>
      <w:marLeft w:val="0"/>
      <w:marRight w:val="0"/>
      <w:marTop w:val="0"/>
      <w:marBottom w:val="0"/>
      <w:divBdr>
        <w:top w:val="none" w:sz="0" w:space="0" w:color="auto"/>
        <w:left w:val="none" w:sz="0" w:space="0" w:color="auto"/>
        <w:bottom w:val="none" w:sz="0" w:space="0" w:color="auto"/>
        <w:right w:val="none" w:sz="0" w:space="0" w:color="auto"/>
      </w:divBdr>
    </w:div>
    <w:div w:id="1007050596">
      <w:bodyDiv w:val="1"/>
      <w:marLeft w:val="0"/>
      <w:marRight w:val="0"/>
      <w:marTop w:val="0"/>
      <w:marBottom w:val="0"/>
      <w:divBdr>
        <w:top w:val="none" w:sz="0" w:space="0" w:color="auto"/>
        <w:left w:val="none" w:sz="0" w:space="0" w:color="auto"/>
        <w:bottom w:val="none" w:sz="0" w:space="0" w:color="auto"/>
        <w:right w:val="none" w:sz="0" w:space="0" w:color="auto"/>
      </w:divBdr>
    </w:div>
    <w:div w:id="1183131530">
      <w:bodyDiv w:val="1"/>
      <w:marLeft w:val="0"/>
      <w:marRight w:val="0"/>
      <w:marTop w:val="0"/>
      <w:marBottom w:val="0"/>
      <w:divBdr>
        <w:top w:val="none" w:sz="0" w:space="0" w:color="auto"/>
        <w:left w:val="none" w:sz="0" w:space="0" w:color="auto"/>
        <w:bottom w:val="none" w:sz="0" w:space="0" w:color="auto"/>
        <w:right w:val="none" w:sz="0" w:space="0" w:color="auto"/>
      </w:divBdr>
    </w:div>
    <w:div w:id="1264604482">
      <w:bodyDiv w:val="1"/>
      <w:marLeft w:val="0"/>
      <w:marRight w:val="0"/>
      <w:marTop w:val="0"/>
      <w:marBottom w:val="0"/>
      <w:divBdr>
        <w:top w:val="none" w:sz="0" w:space="0" w:color="auto"/>
        <w:left w:val="none" w:sz="0" w:space="0" w:color="auto"/>
        <w:bottom w:val="none" w:sz="0" w:space="0" w:color="auto"/>
        <w:right w:val="none" w:sz="0" w:space="0" w:color="auto"/>
      </w:divBdr>
      <w:divsChild>
        <w:div w:id="2016495946">
          <w:marLeft w:val="0"/>
          <w:marRight w:val="0"/>
          <w:marTop w:val="0"/>
          <w:marBottom w:val="0"/>
          <w:divBdr>
            <w:top w:val="none" w:sz="0" w:space="0" w:color="auto"/>
            <w:left w:val="none" w:sz="0" w:space="0" w:color="auto"/>
            <w:bottom w:val="none" w:sz="0" w:space="0" w:color="auto"/>
            <w:right w:val="none" w:sz="0" w:space="0" w:color="auto"/>
          </w:divBdr>
          <w:divsChild>
            <w:div w:id="1100681894">
              <w:marLeft w:val="0"/>
              <w:marRight w:val="0"/>
              <w:marTop w:val="0"/>
              <w:marBottom w:val="0"/>
              <w:divBdr>
                <w:top w:val="none" w:sz="0" w:space="0" w:color="auto"/>
                <w:left w:val="none" w:sz="0" w:space="0" w:color="auto"/>
                <w:bottom w:val="none" w:sz="0" w:space="0" w:color="auto"/>
                <w:right w:val="none" w:sz="0" w:space="0" w:color="auto"/>
              </w:divBdr>
              <w:divsChild>
                <w:div w:id="1389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5322">
      <w:bodyDiv w:val="1"/>
      <w:marLeft w:val="0"/>
      <w:marRight w:val="0"/>
      <w:marTop w:val="0"/>
      <w:marBottom w:val="0"/>
      <w:divBdr>
        <w:top w:val="none" w:sz="0" w:space="0" w:color="auto"/>
        <w:left w:val="none" w:sz="0" w:space="0" w:color="auto"/>
        <w:bottom w:val="none" w:sz="0" w:space="0" w:color="auto"/>
        <w:right w:val="none" w:sz="0" w:space="0" w:color="auto"/>
      </w:divBdr>
    </w:div>
    <w:div w:id="1373262686">
      <w:bodyDiv w:val="1"/>
      <w:marLeft w:val="0"/>
      <w:marRight w:val="0"/>
      <w:marTop w:val="0"/>
      <w:marBottom w:val="0"/>
      <w:divBdr>
        <w:top w:val="none" w:sz="0" w:space="0" w:color="auto"/>
        <w:left w:val="none" w:sz="0" w:space="0" w:color="auto"/>
        <w:bottom w:val="none" w:sz="0" w:space="0" w:color="auto"/>
        <w:right w:val="none" w:sz="0" w:space="0" w:color="auto"/>
      </w:divBdr>
    </w:div>
    <w:div w:id="1464885265">
      <w:bodyDiv w:val="1"/>
      <w:marLeft w:val="0"/>
      <w:marRight w:val="0"/>
      <w:marTop w:val="0"/>
      <w:marBottom w:val="0"/>
      <w:divBdr>
        <w:top w:val="none" w:sz="0" w:space="0" w:color="auto"/>
        <w:left w:val="none" w:sz="0" w:space="0" w:color="auto"/>
        <w:bottom w:val="none" w:sz="0" w:space="0" w:color="auto"/>
        <w:right w:val="none" w:sz="0" w:space="0" w:color="auto"/>
      </w:divBdr>
    </w:div>
    <w:div w:id="1565680768">
      <w:bodyDiv w:val="1"/>
      <w:marLeft w:val="0"/>
      <w:marRight w:val="0"/>
      <w:marTop w:val="0"/>
      <w:marBottom w:val="0"/>
      <w:divBdr>
        <w:top w:val="none" w:sz="0" w:space="0" w:color="auto"/>
        <w:left w:val="none" w:sz="0" w:space="0" w:color="auto"/>
        <w:bottom w:val="none" w:sz="0" w:space="0" w:color="auto"/>
        <w:right w:val="none" w:sz="0" w:space="0" w:color="auto"/>
      </w:divBdr>
    </w:div>
    <w:div w:id="1581790806">
      <w:bodyDiv w:val="1"/>
      <w:marLeft w:val="0"/>
      <w:marRight w:val="0"/>
      <w:marTop w:val="0"/>
      <w:marBottom w:val="0"/>
      <w:divBdr>
        <w:top w:val="none" w:sz="0" w:space="0" w:color="auto"/>
        <w:left w:val="none" w:sz="0" w:space="0" w:color="auto"/>
        <w:bottom w:val="none" w:sz="0" w:space="0" w:color="auto"/>
        <w:right w:val="none" w:sz="0" w:space="0" w:color="auto"/>
      </w:divBdr>
    </w:div>
    <w:div w:id="1809466886">
      <w:bodyDiv w:val="1"/>
      <w:marLeft w:val="0"/>
      <w:marRight w:val="0"/>
      <w:marTop w:val="0"/>
      <w:marBottom w:val="0"/>
      <w:divBdr>
        <w:top w:val="none" w:sz="0" w:space="0" w:color="auto"/>
        <w:left w:val="none" w:sz="0" w:space="0" w:color="auto"/>
        <w:bottom w:val="none" w:sz="0" w:space="0" w:color="auto"/>
        <w:right w:val="none" w:sz="0" w:space="0" w:color="auto"/>
      </w:divBdr>
    </w:div>
    <w:div w:id="1830251496">
      <w:bodyDiv w:val="1"/>
      <w:marLeft w:val="0"/>
      <w:marRight w:val="0"/>
      <w:marTop w:val="0"/>
      <w:marBottom w:val="0"/>
      <w:divBdr>
        <w:top w:val="none" w:sz="0" w:space="0" w:color="auto"/>
        <w:left w:val="none" w:sz="0" w:space="0" w:color="auto"/>
        <w:bottom w:val="none" w:sz="0" w:space="0" w:color="auto"/>
        <w:right w:val="none" w:sz="0" w:space="0" w:color="auto"/>
      </w:divBdr>
    </w:div>
    <w:div w:id="1834492262">
      <w:bodyDiv w:val="1"/>
      <w:marLeft w:val="0"/>
      <w:marRight w:val="0"/>
      <w:marTop w:val="0"/>
      <w:marBottom w:val="0"/>
      <w:divBdr>
        <w:top w:val="none" w:sz="0" w:space="0" w:color="auto"/>
        <w:left w:val="none" w:sz="0" w:space="0" w:color="auto"/>
        <w:bottom w:val="none" w:sz="0" w:space="0" w:color="auto"/>
        <w:right w:val="none" w:sz="0" w:space="0" w:color="auto"/>
      </w:divBdr>
    </w:div>
    <w:div w:id="1925718938">
      <w:bodyDiv w:val="1"/>
      <w:marLeft w:val="0"/>
      <w:marRight w:val="0"/>
      <w:marTop w:val="0"/>
      <w:marBottom w:val="0"/>
      <w:divBdr>
        <w:top w:val="none" w:sz="0" w:space="0" w:color="auto"/>
        <w:left w:val="none" w:sz="0" w:space="0" w:color="auto"/>
        <w:bottom w:val="none" w:sz="0" w:space="0" w:color="auto"/>
        <w:right w:val="none" w:sz="0" w:space="0" w:color="auto"/>
      </w:divBdr>
    </w:div>
    <w:div w:id="2050449340">
      <w:bodyDiv w:val="1"/>
      <w:marLeft w:val="0"/>
      <w:marRight w:val="0"/>
      <w:marTop w:val="0"/>
      <w:marBottom w:val="0"/>
      <w:divBdr>
        <w:top w:val="none" w:sz="0" w:space="0" w:color="auto"/>
        <w:left w:val="none" w:sz="0" w:space="0" w:color="auto"/>
        <w:bottom w:val="none" w:sz="0" w:space="0" w:color="auto"/>
        <w:right w:val="none" w:sz="0" w:space="0" w:color="auto"/>
      </w:divBdr>
    </w:div>
    <w:div w:id="2051494758">
      <w:bodyDiv w:val="1"/>
      <w:marLeft w:val="0"/>
      <w:marRight w:val="0"/>
      <w:marTop w:val="0"/>
      <w:marBottom w:val="0"/>
      <w:divBdr>
        <w:top w:val="none" w:sz="0" w:space="0" w:color="auto"/>
        <w:left w:val="none" w:sz="0" w:space="0" w:color="auto"/>
        <w:bottom w:val="none" w:sz="0" w:space="0" w:color="auto"/>
        <w:right w:val="none" w:sz="0" w:space="0" w:color="auto"/>
      </w:divBdr>
    </w:div>
    <w:div w:id="20898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news/european-union-iceland-and-norway-agree-deepen-their-cooperation-climate-action_e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clima/sites/clima/files/news/20191025.pdf" TargetMode="External"/><Relationship Id="rId12" Type="http://schemas.openxmlformats.org/officeDocument/2006/relationships/hyperlink" Target="https://www.regjeringen.no/no/tema/klima-og-miljo/innsiktsartikler-klima-miljo/klimaendringer-og-norsk-klimapolitikk/id26368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ornarradid.is/efst-a-baugi/frettir/stok-frett/2019/10/25/Samkomulag-Islands-og-Noregs-vid-ESB-a-svidi-loftslagsmal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fta.int/sites/default/files/documents/legal-texts/eea/other-legal-documents/adopted-joint-committee-decisions/2019%20-%20Icelandic/269-2019i.pdf" TargetMode="External"/><Relationship Id="rId4" Type="http://schemas.openxmlformats.org/officeDocument/2006/relationships/webSettings" Target="webSettings.xml"/><Relationship Id="rId9" Type="http://schemas.openxmlformats.org/officeDocument/2006/relationships/hyperlink" Target="https://www.efta.int/sites/default/files/documents/legal-texts/eea/other-legal-documents/adopted-joint-committee-decisions/2019%20-%20Icelandic/269-2019i.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 Finnsson</dc:creator>
  <cp:keywords/>
  <dc:description/>
  <cp:lastModifiedBy>Arni Finnsson</cp:lastModifiedBy>
  <cp:revision>6</cp:revision>
  <dcterms:created xsi:type="dcterms:W3CDTF">2019-12-06T17:40:00Z</dcterms:created>
  <dcterms:modified xsi:type="dcterms:W3CDTF">2019-12-06T19:18:00Z</dcterms:modified>
</cp:coreProperties>
</file>