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70" w:rsidRDefault="00590B51" w:rsidP="00590B51">
      <w:pPr>
        <w:jc w:val="center"/>
        <w:rPr>
          <w:b/>
          <w:sz w:val="24"/>
          <w:szCs w:val="24"/>
          <w:u w:val="single"/>
        </w:rPr>
      </w:pPr>
      <w:r w:rsidRPr="00590B51">
        <w:rPr>
          <w:b/>
          <w:sz w:val="24"/>
          <w:szCs w:val="24"/>
          <w:u w:val="single"/>
        </w:rPr>
        <w:t>Umsögn vegna Hönnunarstefnu 2019-2027:</w:t>
      </w:r>
    </w:p>
    <w:p w:rsidR="00590B51" w:rsidRDefault="00590B51" w:rsidP="00590B51">
      <w:pPr>
        <w:jc w:val="both"/>
        <w:rPr>
          <w:sz w:val="24"/>
          <w:szCs w:val="24"/>
        </w:rPr>
      </w:pPr>
      <w:r>
        <w:rPr>
          <w:sz w:val="24"/>
          <w:szCs w:val="24"/>
        </w:rPr>
        <w:t>Undirritaður Eyjólfur Pálsson vill vinsamlegast koma með neðangreinda umsögn um hönnunarstefnu 2019-2027. Jafnframt fagnar undirritaður allri umræðu og fyrirhuguðum aðgerðum um hönnun og hönnunarstefnu til framtíðar á Íslandi.</w:t>
      </w:r>
    </w:p>
    <w:p w:rsidR="00B96AEF" w:rsidRDefault="00590B51" w:rsidP="00590B51">
      <w:pPr>
        <w:jc w:val="both"/>
        <w:rPr>
          <w:sz w:val="24"/>
          <w:szCs w:val="24"/>
        </w:rPr>
      </w:pPr>
      <w:r>
        <w:rPr>
          <w:sz w:val="24"/>
          <w:szCs w:val="24"/>
        </w:rPr>
        <w:t>Í greinargerð um mótun hönnun</w:t>
      </w:r>
      <w:r w:rsidR="00182494">
        <w:rPr>
          <w:sz w:val="24"/>
          <w:szCs w:val="24"/>
        </w:rPr>
        <w:t>arstefnu 2019-202</w:t>
      </w:r>
      <w:r w:rsidR="00110B9D">
        <w:rPr>
          <w:sz w:val="24"/>
          <w:szCs w:val="24"/>
        </w:rPr>
        <w:t>7 er m.a. reynt</w:t>
      </w:r>
      <w:r>
        <w:rPr>
          <w:sz w:val="24"/>
          <w:szCs w:val="24"/>
        </w:rPr>
        <w:t xml:space="preserve"> að greina hvernig eldri stefna (Hönnunarstefna 2014-2018) hefði reynst í framkvæmd. Í niðurstöðum greinargerðarinnar má m.a. sjá að margt hefur ekki náð fram að ganga og margt má læra</w:t>
      </w:r>
      <w:r w:rsidR="00B96AEF">
        <w:rPr>
          <w:sz w:val="24"/>
          <w:szCs w:val="24"/>
        </w:rPr>
        <w:t xml:space="preserve"> af framgangi eldri hönnunarstefnu og líklegt má telja að ný hönnunarstefna til framtíðar hljóti sömu örlög og eldri stefna verði ekki gerð bragarbót á aðfinnslum í framkvæmd eldri hönnunarstefnu.</w:t>
      </w:r>
    </w:p>
    <w:p w:rsidR="00B96AEF" w:rsidRDefault="00B96AEF" w:rsidP="00590B51">
      <w:pPr>
        <w:jc w:val="both"/>
        <w:rPr>
          <w:sz w:val="24"/>
          <w:szCs w:val="24"/>
        </w:rPr>
      </w:pPr>
      <w:r>
        <w:rPr>
          <w:sz w:val="24"/>
          <w:szCs w:val="24"/>
        </w:rPr>
        <w:t>Í greiningunni kemur m.a. fram að framgangur aðgerða í eldri stefnu er verulega ábótavant s.s. í menntun og þekkingu, starfs- og stuðningsumhverfi, skipulagi, samstarfi og eftirfylgni. Í greinargerðinni segir m.a. varðandi eldri hönnunarstefnu:</w:t>
      </w:r>
    </w:p>
    <w:p w:rsidR="00B96AEF" w:rsidRPr="00110B9D" w:rsidRDefault="00B96AEF" w:rsidP="00B96AEF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110B9D">
        <w:rPr>
          <w:b/>
          <w:i/>
          <w:sz w:val="24"/>
          <w:szCs w:val="24"/>
        </w:rPr>
        <w:t>Ekki hefur tekist að vinna að tilteknum markmiðum eldri hönnunarstefnu.</w:t>
      </w:r>
    </w:p>
    <w:p w:rsidR="00B96AEF" w:rsidRPr="00110B9D" w:rsidRDefault="00B96AEF" w:rsidP="00B96AEF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110B9D">
        <w:rPr>
          <w:b/>
          <w:i/>
          <w:sz w:val="24"/>
          <w:szCs w:val="24"/>
        </w:rPr>
        <w:t>Ekki náðist virkni í starf samráðs- og framkvæmdahóps stefnunnar.</w:t>
      </w:r>
    </w:p>
    <w:p w:rsidR="00B96AEF" w:rsidRPr="00110B9D" w:rsidRDefault="00B96AEF" w:rsidP="00B96AEF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110B9D">
        <w:rPr>
          <w:b/>
          <w:i/>
          <w:sz w:val="24"/>
          <w:szCs w:val="24"/>
        </w:rPr>
        <w:t>Ný lög um opinber fjármál setja stjórnvöldum nýjar leikreglur með stefnumörkun hönnunarstefnu.</w:t>
      </w:r>
    </w:p>
    <w:p w:rsidR="00B96AEF" w:rsidRPr="00110B9D" w:rsidRDefault="00B96AEF" w:rsidP="00B96AEF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110B9D">
        <w:rPr>
          <w:b/>
          <w:i/>
          <w:sz w:val="24"/>
          <w:szCs w:val="24"/>
        </w:rPr>
        <w:t>Fjármagn fylgdi ekki markmiðum og fyrirhuguðum aðgerðum.</w:t>
      </w:r>
    </w:p>
    <w:p w:rsidR="00EF28F1" w:rsidRPr="00110B9D" w:rsidRDefault="00EF28F1" w:rsidP="00EF28F1">
      <w:pPr>
        <w:jc w:val="both"/>
        <w:rPr>
          <w:b/>
          <w:sz w:val="24"/>
          <w:szCs w:val="24"/>
        </w:rPr>
      </w:pPr>
      <w:r w:rsidRPr="00110B9D">
        <w:rPr>
          <w:b/>
          <w:sz w:val="24"/>
          <w:szCs w:val="24"/>
        </w:rPr>
        <w:t>Tillögur til úrbóta:</w:t>
      </w:r>
    </w:p>
    <w:p w:rsidR="00EF28F1" w:rsidRPr="00110B9D" w:rsidRDefault="00EF28F1" w:rsidP="00EF28F1">
      <w:pPr>
        <w:pStyle w:val="ListParagraph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110B9D">
        <w:rPr>
          <w:b/>
          <w:i/>
          <w:sz w:val="24"/>
          <w:szCs w:val="24"/>
        </w:rPr>
        <w:t>Hönnunarstefna til framtíðar þarf að fylgja tímaramma fjárhagsáætlunar ríkisins til 5 ára. Lengri hönnunarstefna má vera til staðar en skal þá skilgreind í samræmi við opinber fjárlög.</w:t>
      </w:r>
    </w:p>
    <w:p w:rsidR="00EF28F1" w:rsidRPr="00110B9D" w:rsidRDefault="00110B9D" w:rsidP="00EF28F1">
      <w:pPr>
        <w:pStyle w:val="ListParagraph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Fjárframlög verða að f</w:t>
      </w:r>
      <w:r w:rsidR="00EF28F1" w:rsidRPr="00110B9D">
        <w:rPr>
          <w:b/>
          <w:i/>
          <w:sz w:val="24"/>
          <w:szCs w:val="24"/>
        </w:rPr>
        <w:t>ylgja stefnunni, ef fjárframlög fylgja ekki eru líkur til að stefnan verði aðeins orð á blaði.</w:t>
      </w:r>
    </w:p>
    <w:p w:rsidR="00EF28F1" w:rsidRPr="00110B9D" w:rsidRDefault="00EF28F1" w:rsidP="00EF28F1">
      <w:pPr>
        <w:pStyle w:val="ListParagraph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110B9D">
        <w:rPr>
          <w:b/>
          <w:i/>
          <w:sz w:val="24"/>
          <w:szCs w:val="24"/>
        </w:rPr>
        <w:t>Samræma þarf starf framkvæmdahópa stefnunnar til að tryggja framgang hennar og innleiðingu.</w:t>
      </w:r>
    </w:p>
    <w:p w:rsidR="00EF28F1" w:rsidRPr="00110B9D" w:rsidRDefault="00EF28F1" w:rsidP="00EF28F1">
      <w:pPr>
        <w:pStyle w:val="ListParagraph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110B9D">
        <w:rPr>
          <w:b/>
          <w:i/>
          <w:sz w:val="24"/>
          <w:szCs w:val="24"/>
        </w:rPr>
        <w:t>Tryggja fjármagn til Hönnunarmiðstöðvar, Hönnunarsjóðs og fyrirhuguðum stýrihóp stefnunnar innan atvinnuvega- og nýsköpunarráðuneytis.</w:t>
      </w:r>
    </w:p>
    <w:p w:rsidR="00EF28F1" w:rsidRPr="00110B9D" w:rsidRDefault="00EF28F1" w:rsidP="00EF28F1">
      <w:pPr>
        <w:pStyle w:val="ListParagraph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110B9D">
        <w:rPr>
          <w:b/>
          <w:i/>
          <w:sz w:val="24"/>
          <w:szCs w:val="24"/>
        </w:rPr>
        <w:t>Horfa frekar til Danmerkur og læra af þeim varðandi málefni hönnunar, enda einstakt að svo fámenn þjóð sem Danir eigi svo mörg heimsþekkt vörumerki</w:t>
      </w:r>
      <w:r w:rsidR="00110B9D">
        <w:rPr>
          <w:b/>
          <w:i/>
          <w:sz w:val="24"/>
          <w:szCs w:val="24"/>
        </w:rPr>
        <w:t xml:space="preserve"> og hönnuði</w:t>
      </w:r>
      <w:r w:rsidRPr="00110B9D">
        <w:rPr>
          <w:b/>
          <w:i/>
          <w:sz w:val="24"/>
          <w:szCs w:val="24"/>
        </w:rPr>
        <w:t>.</w:t>
      </w:r>
    </w:p>
    <w:p w:rsidR="00EF28F1" w:rsidRPr="00110B9D" w:rsidRDefault="00EF28F1" w:rsidP="00EF28F1">
      <w:pPr>
        <w:pStyle w:val="ListParagraph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110B9D">
        <w:rPr>
          <w:b/>
          <w:i/>
          <w:sz w:val="24"/>
          <w:szCs w:val="24"/>
        </w:rPr>
        <w:t>Skilgreina betur stjórnskipulag framkvæmdar, hvað á að ger</w:t>
      </w:r>
      <w:r w:rsidR="00110B9D">
        <w:rPr>
          <w:b/>
          <w:i/>
          <w:sz w:val="24"/>
          <w:szCs w:val="24"/>
        </w:rPr>
        <w:t>a</w:t>
      </w:r>
      <w:r w:rsidRPr="00110B9D">
        <w:rPr>
          <w:b/>
          <w:i/>
          <w:sz w:val="24"/>
          <w:szCs w:val="24"/>
        </w:rPr>
        <w:t>, hvenær og hvernig og hver ber ábyrgð á framkvæmdinni.</w:t>
      </w:r>
    </w:p>
    <w:p w:rsidR="00EF28F1" w:rsidRDefault="00EF28F1" w:rsidP="00EF28F1">
      <w:pPr>
        <w:jc w:val="both"/>
        <w:rPr>
          <w:sz w:val="24"/>
          <w:szCs w:val="24"/>
        </w:rPr>
      </w:pPr>
      <w:r>
        <w:rPr>
          <w:sz w:val="24"/>
          <w:szCs w:val="24"/>
        </w:rPr>
        <w:t>Hönnunarstefna á að vera miðlæg og hluti af stjórnsýslunni, hún má ekki vera í pólitískum slagorðastíl og rædd einungis við hátíðleg tækifæri. Hún þarf að vera sívirk og vel útfærð og fjármögnuð. Þannig nýtist hún best samfélaginu og eykur þannig líkur á góðri meðferð almannafjár varðandi framkvæmd stefnunnar.</w:t>
      </w:r>
    </w:p>
    <w:p w:rsidR="00EF28F1" w:rsidRDefault="00EF28F1" w:rsidP="00EF28F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Óþrjótandi möguleikar felast í hönnun og snertir hún flest svið samfélagsins eins og fram kemur í greinargerðinni til hagsbótar fyrir íslenskt samfélag til framtíðar. Töku</w:t>
      </w:r>
      <w:r w:rsidR="00110B9D">
        <w:rPr>
          <w:sz w:val="24"/>
          <w:szCs w:val="24"/>
        </w:rPr>
        <w:t>m mark á niðurstöðum greinargerðarinnar og skoðunum þess fagfólks sem rætt var við í henni.</w:t>
      </w:r>
    </w:p>
    <w:p w:rsidR="00110B9D" w:rsidRPr="00110B9D" w:rsidRDefault="00110B9D" w:rsidP="00EF28F1">
      <w:pPr>
        <w:jc w:val="both"/>
        <w:rPr>
          <w:b/>
          <w:sz w:val="24"/>
          <w:szCs w:val="24"/>
        </w:rPr>
      </w:pPr>
      <w:r w:rsidRPr="00110B9D">
        <w:rPr>
          <w:b/>
          <w:sz w:val="24"/>
          <w:szCs w:val="24"/>
        </w:rPr>
        <w:t>Reykjavík 11.9.18</w:t>
      </w:r>
    </w:p>
    <w:p w:rsidR="00110B9D" w:rsidRPr="00EF28F1" w:rsidRDefault="00110B9D" w:rsidP="00EF28F1">
      <w:pPr>
        <w:jc w:val="both"/>
        <w:rPr>
          <w:sz w:val="24"/>
          <w:szCs w:val="24"/>
        </w:rPr>
      </w:pPr>
      <w:r w:rsidRPr="00110B9D">
        <w:rPr>
          <w:b/>
          <w:sz w:val="24"/>
          <w:szCs w:val="24"/>
        </w:rPr>
        <w:t>Eyjólfur Pálsson</w:t>
      </w:r>
    </w:p>
    <w:sectPr w:rsidR="00110B9D" w:rsidRPr="00EF28F1" w:rsidSect="00F2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2F5"/>
    <w:multiLevelType w:val="hybridMultilevel"/>
    <w:tmpl w:val="EC02C97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E7B69"/>
    <w:multiLevelType w:val="hybridMultilevel"/>
    <w:tmpl w:val="0EC6FE2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0B51"/>
    <w:rsid w:val="00110B9D"/>
    <w:rsid w:val="00182494"/>
    <w:rsid w:val="00590B51"/>
    <w:rsid w:val="00B96AEF"/>
    <w:rsid w:val="00C0490D"/>
    <w:rsid w:val="00EF28F1"/>
    <w:rsid w:val="00F2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3</cp:revision>
  <dcterms:created xsi:type="dcterms:W3CDTF">2018-09-11T09:58:00Z</dcterms:created>
  <dcterms:modified xsi:type="dcterms:W3CDTF">2018-09-11T12:00:00Z</dcterms:modified>
</cp:coreProperties>
</file>