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
          <w:szCs w:val="2"/>
        </w:rPr>
        <w:id w:val="89512093"/>
        <w:lock w:val="contentLocked"/>
        <w:group/>
      </w:sdtPr>
      <w:sdtEndPr/>
      <w:sdtContent>
        <w:sdt>
          <w:sdtPr>
            <w:alias w:val="Post Title"/>
            <w:id w:val="89512082"/>
            <w:showingPlcHdr/>
            <w:dataBinding w:xpath="/ns0:BlogPostInfo/ns0:PostTitle" w:storeItemID="{5F329CAD-B019-4FA6-9FEF-74898909AD20}"/>
            <w:text/>
          </w:sdtPr>
          <w:sdtEndPr/>
          <w:sdtContent>
            <w:p w14:paraId="7789F5E0" w14:textId="77777777" w:rsidR="00387B48" w:rsidRDefault="009F6425" w:rsidP="00A52CFB">
              <w:pPr>
                <w:pStyle w:val="Publishwithline"/>
              </w:pPr>
              <w:r>
                <w:t xml:space="preserve">     </w:t>
              </w:r>
            </w:p>
          </w:sdtContent>
        </w:sdt>
        <w:p w14:paraId="02AA961A" w14:textId="77777777" w:rsidR="00387B48" w:rsidRDefault="00387B48" w:rsidP="00A52CFB">
          <w:pPr>
            <w:pStyle w:val="underline"/>
          </w:pPr>
        </w:p>
        <w:p w14:paraId="654D2382" w14:textId="77777777" w:rsidR="00387B48" w:rsidRDefault="00857D33" w:rsidP="00A52CFB">
          <w:pPr>
            <w:pStyle w:val="PadderBetweenControlandBody"/>
          </w:pPr>
        </w:p>
      </w:sdtContent>
    </w:sdt>
    <w:p w14:paraId="5B5817AE" w14:textId="77777777" w:rsidR="00C41FB2" w:rsidRPr="00A568AB" w:rsidRDefault="00C41FB2" w:rsidP="00A568AB">
      <w:pPr>
        <w:ind w:left="6520"/>
        <w:rPr>
          <w:rFonts w:ascii="Times New Roman" w:hAnsi="Times New Roman" w:cs="Times New Roman"/>
          <w:sz w:val="28"/>
          <w:szCs w:val="28"/>
          <w:lang w:val="sv-SE"/>
        </w:rPr>
      </w:pPr>
    </w:p>
    <w:p w14:paraId="18E050A5" w14:textId="645714C5" w:rsidR="00957DF5" w:rsidRPr="00535FF5" w:rsidRDefault="00535FF5" w:rsidP="005B2303">
      <w:pPr>
        <w:rPr>
          <w:rFonts w:ascii="Times New Roman" w:hAnsi="Times New Roman" w:cs="Times New Roman"/>
          <w:sz w:val="24"/>
          <w:szCs w:val="22"/>
          <w:lang w:val="is-IS"/>
        </w:rPr>
      </w:pPr>
      <w:r w:rsidRPr="00535FF5">
        <w:rPr>
          <w:rFonts w:ascii="Times New Roman" w:hAnsi="Times New Roman" w:cs="Times New Roman"/>
          <w:sz w:val="24"/>
          <w:szCs w:val="22"/>
          <w:lang w:val="is-IS"/>
        </w:rPr>
        <w:t>Heilbrigðisráðuneytið</w:t>
      </w:r>
      <w:r>
        <w:rPr>
          <w:rFonts w:ascii="Times New Roman" w:hAnsi="Times New Roman" w:cs="Times New Roman"/>
          <w:sz w:val="24"/>
          <w:szCs w:val="22"/>
          <w:lang w:val="is-IS"/>
        </w:rPr>
        <w:br/>
        <w:t>Síðumúla 24</w:t>
      </w:r>
      <w:r>
        <w:rPr>
          <w:rFonts w:ascii="Times New Roman" w:hAnsi="Times New Roman" w:cs="Times New Roman"/>
          <w:sz w:val="24"/>
          <w:szCs w:val="22"/>
          <w:lang w:val="is-IS"/>
        </w:rPr>
        <w:br/>
        <w:t>108 Reykjavík</w:t>
      </w:r>
      <w:r w:rsidRPr="00535FF5">
        <w:rPr>
          <w:rFonts w:ascii="Times New Roman" w:hAnsi="Times New Roman" w:cs="Times New Roman"/>
          <w:sz w:val="24"/>
          <w:szCs w:val="22"/>
          <w:lang w:val="is-IS"/>
        </w:rPr>
        <w:tab/>
      </w:r>
    </w:p>
    <w:p w14:paraId="451A313E" w14:textId="2F67ADEE" w:rsidR="00957DF5" w:rsidRDefault="00535FF5" w:rsidP="00535FF5">
      <w:pPr>
        <w:jc w:val="right"/>
        <w:rPr>
          <w:rFonts w:ascii="Times New Roman" w:hAnsi="Times New Roman" w:cs="Times New Roman"/>
          <w:sz w:val="24"/>
          <w:szCs w:val="22"/>
          <w:lang w:val="is-IS"/>
        </w:rPr>
      </w:pPr>
      <w:r>
        <w:rPr>
          <w:rFonts w:ascii="Times New Roman" w:hAnsi="Times New Roman" w:cs="Times New Roman"/>
          <w:sz w:val="24"/>
          <w:szCs w:val="22"/>
          <w:lang w:val="is-IS"/>
        </w:rPr>
        <w:t>10. október 2022</w:t>
      </w:r>
    </w:p>
    <w:p w14:paraId="378861DF" w14:textId="77777777" w:rsidR="00535FF5" w:rsidRPr="00535FF5" w:rsidRDefault="00535FF5" w:rsidP="00535FF5">
      <w:pPr>
        <w:jc w:val="right"/>
        <w:rPr>
          <w:rFonts w:ascii="Times New Roman" w:hAnsi="Times New Roman" w:cs="Times New Roman"/>
          <w:sz w:val="24"/>
          <w:szCs w:val="22"/>
          <w:lang w:val="is-IS"/>
        </w:rPr>
      </w:pPr>
    </w:p>
    <w:p w14:paraId="114B403C" w14:textId="4562B82E" w:rsidR="005B2303" w:rsidRPr="002A3CDE" w:rsidRDefault="00DB6CB4" w:rsidP="002A3CDE">
      <w:pPr>
        <w:jc w:val="center"/>
        <w:rPr>
          <w:b/>
          <w:bCs/>
          <w:sz w:val="28"/>
          <w:szCs w:val="28"/>
          <w:lang w:val="is-IS"/>
        </w:rPr>
      </w:pPr>
      <w:r w:rsidRPr="00DB6CB4">
        <w:rPr>
          <w:b/>
          <w:bCs/>
          <w:sz w:val="28"/>
          <w:szCs w:val="28"/>
          <w:lang w:val="is-IS"/>
        </w:rPr>
        <w:t xml:space="preserve">Umsögn </w:t>
      </w:r>
      <w:proofErr w:type="spellStart"/>
      <w:r w:rsidRPr="00DB6CB4">
        <w:rPr>
          <w:b/>
          <w:bCs/>
          <w:sz w:val="28"/>
          <w:szCs w:val="28"/>
          <w:lang w:val="is-IS"/>
        </w:rPr>
        <w:t>Philip</w:t>
      </w:r>
      <w:proofErr w:type="spellEnd"/>
      <w:r w:rsidRPr="00DB6CB4">
        <w:rPr>
          <w:b/>
          <w:bCs/>
          <w:sz w:val="28"/>
          <w:szCs w:val="28"/>
          <w:lang w:val="is-IS"/>
        </w:rPr>
        <w:t xml:space="preserve"> Morris um frumvarp t</w:t>
      </w:r>
      <w:r>
        <w:rPr>
          <w:b/>
          <w:bCs/>
          <w:sz w:val="28"/>
          <w:szCs w:val="28"/>
          <w:lang w:val="is-IS"/>
        </w:rPr>
        <w:t>il laga um breytingu á lögum um tóbaksvarnir nr. 6/2002 (innihaldsefni, rekjanleiki, umbúðir tóbaksvara o.fl.).</w:t>
      </w:r>
    </w:p>
    <w:p w14:paraId="219913B3" w14:textId="78A74DDB" w:rsidR="00DB6CB4" w:rsidRPr="00DB6CB4" w:rsidRDefault="00DB6CB4" w:rsidP="005B2303">
      <w:pPr>
        <w:rPr>
          <w:rFonts w:asciiTheme="majorHAnsi" w:hAnsiTheme="majorHAnsi" w:cstheme="majorHAnsi"/>
          <w:sz w:val="24"/>
          <w:szCs w:val="24"/>
          <w:lang w:val="is-IS"/>
        </w:rPr>
      </w:pPr>
      <w:proofErr w:type="spellStart"/>
      <w:r w:rsidRPr="00DB6CB4">
        <w:rPr>
          <w:rFonts w:asciiTheme="majorHAnsi" w:hAnsiTheme="majorHAnsi" w:cstheme="majorHAnsi"/>
          <w:sz w:val="24"/>
          <w:szCs w:val="24"/>
          <w:lang w:val="is-IS"/>
        </w:rPr>
        <w:t>Philip</w:t>
      </w:r>
      <w:proofErr w:type="spellEnd"/>
      <w:r w:rsidRPr="00DB6CB4">
        <w:rPr>
          <w:rFonts w:asciiTheme="majorHAnsi" w:hAnsiTheme="majorHAnsi" w:cstheme="majorHAnsi"/>
          <w:sz w:val="24"/>
          <w:szCs w:val="24"/>
          <w:lang w:val="is-IS"/>
        </w:rPr>
        <w:t xml:space="preserve"> Morris þakkar </w:t>
      </w:r>
      <w:r>
        <w:rPr>
          <w:rFonts w:asciiTheme="majorHAnsi" w:hAnsiTheme="majorHAnsi" w:cstheme="majorHAnsi"/>
          <w:sz w:val="24"/>
          <w:szCs w:val="24"/>
          <w:lang w:val="is-IS"/>
        </w:rPr>
        <w:t>fyrir tækifærið til að koma á framfæri athugasemdum við íslenskt frumvarp til laga um breytingu á lögum um tóbaksvarnir nr. 6/2002 (drög að frumvarpi) sem tekur til innleiðingar evrópsku tóbakstilskipunarinnar (</w:t>
      </w:r>
      <w:r w:rsidR="002A3CDE">
        <w:rPr>
          <w:rFonts w:asciiTheme="majorHAnsi" w:hAnsiTheme="majorHAnsi" w:cstheme="majorHAnsi"/>
          <w:sz w:val="24"/>
          <w:szCs w:val="24"/>
          <w:lang w:val="is-IS"/>
        </w:rPr>
        <w:t xml:space="preserve">TPD - </w:t>
      </w:r>
      <w:r>
        <w:rPr>
          <w:rFonts w:asciiTheme="majorHAnsi" w:hAnsiTheme="majorHAnsi" w:cstheme="majorHAnsi"/>
          <w:sz w:val="24"/>
          <w:szCs w:val="24"/>
          <w:lang w:val="is-IS"/>
        </w:rPr>
        <w:t>2014/40/EU).</w:t>
      </w:r>
    </w:p>
    <w:p w14:paraId="0BEA43BC" w14:textId="3D6D942F" w:rsidR="005B2303" w:rsidRDefault="002A3CDE" w:rsidP="005B2303">
      <w:pPr>
        <w:rPr>
          <w:rFonts w:asciiTheme="majorHAnsi" w:hAnsiTheme="majorHAnsi" w:cstheme="majorHAnsi"/>
          <w:sz w:val="24"/>
          <w:szCs w:val="24"/>
          <w:lang w:val="is-IS"/>
        </w:rPr>
      </w:pPr>
      <w:proofErr w:type="spellStart"/>
      <w:r w:rsidRPr="002A3CDE">
        <w:rPr>
          <w:rFonts w:asciiTheme="majorHAnsi" w:hAnsiTheme="majorHAnsi" w:cstheme="majorHAnsi"/>
          <w:sz w:val="24"/>
          <w:szCs w:val="24"/>
          <w:lang w:val="is-IS"/>
        </w:rPr>
        <w:t>Philip</w:t>
      </w:r>
      <w:proofErr w:type="spellEnd"/>
      <w:r w:rsidRPr="002A3CDE">
        <w:rPr>
          <w:rFonts w:asciiTheme="majorHAnsi" w:hAnsiTheme="majorHAnsi" w:cstheme="majorHAnsi"/>
          <w:sz w:val="24"/>
          <w:szCs w:val="24"/>
          <w:lang w:val="is-IS"/>
        </w:rPr>
        <w:t xml:space="preserve"> Morris vill leggja áherslu á fjögur atriði </w:t>
      </w:r>
      <w:r>
        <w:rPr>
          <w:rFonts w:asciiTheme="majorHAnsi" w:hAnsiTheme="majorHAnsi" w:cstheme="majorHAnsi"/>
          <w:sz w:val="24"/>
          <w:szCs w:val="24"/>
          <w:lang w:val="is-IS"/>
        </w:rPr>
        <w:t>í</w:t>
      </w:r>
      <w:r w:rsidRPr="002A3CDE">
        <w:rPr>
          <w:rFonts w:asciiTheme="majorHAnsi" w:hAnsiTheme="majorHAnsi" w:cstheme="majorHAnsi"/>
          <w:sz w:val="24"/>
          <w:szCs w:val="24"/>
          <w:lang w:val="is-IS"/>
        </w:rPr>
        <w:t xml:space="preserve"> núverandi frumvarpsdrögum:</w:t>
      </w:r>
    </w:p>
    <w:p w14:paraId="2FDAB461" w14:textId="7D7A196A" w:rsidR="002A3CDE" w:rsidRDefault="002A3CDE" w:rsidP="002A3CDE">
      <w:pPr>
        <w:pStyle w:val="ListParagraph"/>
        <w:numPr>
          <w:ilvl w:val="0"/>
          <w:numId w:val="18"/>
        </w:numPr>
        <w:rPr>
          <w:rFonts w:asciiTheme="majorHAnsi" w:hAnsiTheme="majorHAnsi" w:cstheme="majorHAnsi"/>
          <w:sz w:val="24"/>
          <w:szCs w:val="24"/>
          <w:lang w:val="is-IS"/>
        </w:rPr>
      </w:pPr>
      <w:r>
        <w:rPr>
          <w:rFonts w:asciiTheme="majorHAnsi" w:hAnsiTheme="majorHAnsi" w:cstheme="majorHAnsi"/>
          <w:sz w:val="24"/>
          <w:szCs w:val="24"/>
          <w:lang w:val="is-IS"/>
        </w:rPr>
        <w:t xml:space="preserve">6. grein (g) sem varðar 19. grein tóbakstilskipunarinnar – </w:t>
      </w:r>
      <w:r w:rsidR="00C86E72">
        <w:rPr>
          <w:rFonts w:asciiTheme="majorHAnsi" w:hAnsiTheme="majorHAnsi" w:cstheme="majorHAnsi"/>
          <w:sz w:val="24"/>
          <w:szCs w:val="24"/>
          <w:lang w:val="is-IS"/>
        </w:rPr>
        <w:t>tilk</w:t>
      </w:r>
      <w:r>
        <w:rPr>
          <w:rFonts w:asciiTheme="majorHAnsi" w:hAnsiTheme="majorHAnsi" w:cstheme="majorHAnsi"/>
          <w:sz w:val="24"/>
          <w:szCs w:val="24"/>
          <w:lang w:val="is-IS"/>
        </w:rPr>
        <w:t xml:space="preserve">ynning </w:t>
      </w:r>
      <w:r w:rsidR="00C86E72">
        <w:rPr>
          <w:rFonts w:asciiTheme="majorHAnsi" w:hAnsiTheme="majorHAnsi" w:cstheme="majorHAnsi"/>
          <w:sz w:val="24"/>
          <w:szCs w:val="24"/>
          <w:lang w:val="is-IS"/>
        </w:rPr>
        <w:t>um nýjar tóbaksvörur</w:t>
      </w:r>
      <w:r>
        <w:rPr>
          <w:rFonts w:asciiTheme="majorHAnsi" w:hAnsiTheme="majorHAnsi" w:cstheme="majorHAnsi"/>
          <w:sz w:val="24"/>
          <w:szCs w:val="24"/>
          <w:lang w:val="is-IS"/>
        </w:rPr>
        <w:t>.</w:t>
      </w:r>
    </w:p>
    <w:p w14:paraId="4D0FC1EE" w14:textId="669D0AE9" w:rsidR="002A3CDE" w:rsidRDefault="00B373E2" w:rsidP="002A3CDE">
      <w:pPr>
        <w:pStyle w:val="ListParagraph"/>
        <w:numPr>
          <w:ilvl w:val="0"/>
          <w:numId w:val="18"/>
        </w:numPr>
        <w:rPr>
          <w:rFonts w:asciiTheme="majorHAnsi" w:hAnsiTheme="majorHAnsi" w:cstheme="majorHAnsi"/>
          <w:sz w:val="24"/>
          <w:szCs w:val="24"/>
          <w:lang w:val="is-IS"/>
        </w:rPr>
      </w:pPr>
      <w:r>
        <w:rPr>
          <w:rFonts w:asciiTheme="majorHAnsi" w:hAnsiTheme="majorHAnsi" w:cstheme="majorHAnsi"/>
          <w:sz w:val="24"/>
          <w:szCs w:val="24"/>
          <w:lang w:val="is-IS"/>
        </w:rPr>
        <w:t>Gildistökudag</w:t>
      </w:r>
      <w:r w:rsidR="004A1EE4">
        <w:rPr>
          <w:rFonts w:asciiTheme="majorHAnsi" w:hAnsiTheme="majorHAnsi" w:cstheme="majorHAnsi"/>
          <w:sz w:val="24"/>
          <w:szCs w:val="24"/>
          <w:lang w:val="is-IS"/>
        </w:rPr>
        <w:t>ur</w:t>
      </w:r>
      <w:r>
        <w:rPr>
          <w:rFonts w:asciiTheme="majorHAnsi" w:hAnsiTheme="majorHAnsi" w:cstheme="majorHAnsi"/>
          <w:sz w:val="24"/>
          <w:szCs w:val="24"/>
          <w:lang w:val="is-IS"/>
        </w:rPr>
        <w:t xml:space="preserve"> fyrir rekjanleika, skráningu og öryggis</w:t>
      </w:r>
      <w:r w:rsidR="001903B7">
        <w:rPr>
          <w:rFonts w:asciiTheme="majorHAnsi" w:hAnsiTheme="majorHAnsi" w:cstheme="majorHAnsi"/>
          <w:sz w:val="24"/>
          <w:szCs w:val="24"/>
          <w:lang w:val="is-IS"/>
        </w:rPr>
        <w:t>þætti</w:t>
      </w:r>
      <w:r>
        <w:rPr>
          <w:rFonts w:asciiTheme="majorHAnsi" w:hAnsiTheme="majorHAnsi" w:cstheme="majorHAnsi"/>
          <w:sz w:val="24"/>
          <w:szCs w:val="24"/>
          <w:lang w:val="is-IS"/>
        </w:rPr>
        <w:t xml:space="preserve"> fyrir sígarettur og </w:t>
      </w:r>
      <w:r w:rsidR="00C86E72">
        <w:rPr>
          <w:rFonts w:asciiTheme="majorHAnsi" w:hAnsiTheme="majorHAnsi" w:cstheme="majorHAnsi"/>
          <w:sz w:val="24"/>
          <w:szCs w:val="24"/>
          <w:lang w:val="is-IS"/>
        </w:rPr>
        <w:t>vafningstóbak.</w:t>
      </w:r>
    </w:p>
    <w:p w14:paraId="2948BCD1" w14:textId="78B547F1" w:rsidR="00C86E72" w:rsidRDefault="00C86E72" w:rsidP="002A3CDE">
      <w:pPr>
        <w:pStyle w:val="ListParagraph"/>
        <w:numPr>
          <w:ilvl w:val="0"/>
          <w:numId w:val="18"/>
        </w:numPr>
        <w:rPr>
          <w:rFonts w:asciiTheme="majorHAnsi" w:hAnsiTheme="majorHAnsi" w:cstheme="majorHAnsi"/>
          <w:sz w:val="24"/>
          <w:szCs w:val="24"/>
          <w:lang w:val="is-IS"/>
        </w:rPr>
      </w:pPr>
      <w:r>
        <w:rPr>
          <w:rFonts w:asciiTheme="majorHAnsi" w:hAnsiTheme="majorHAnsi" w:cstheme="majorHAnsi"/>
          <w:sz w:val="24"/>
          <w:szCs w:val="24"/>
          <w:lang w:val="is-IS"/>
        </w:rPr>
        <w:t>Innihaldsefni tóbaksvara og einkennandi bragð.</w:t>
      </w:r>
    </w:p>
    <w:p w14:paraId="0FCFCAA6" w14:textId="665AB980" w:rsidR="00C86E72" w:rsidRPr="00535FF5" w:rsidRDefault="00C86E72" w:rsidP="00C86E72">
      <w:pPr>
        <w:pStyle w:val="ListParagraph"/>
        <w:numPr>
          <w:ilvl w:val="0"/>
          <w:numId w:val="18"/>
        </w:numPr>
        <w:rPr>
          <w:rFonts w:asciiTheme="majorHAnsi" w:hAnsiTheme="majorHAnsi" w:cstheme="majorHAnsi"/>
          <w:sz w:val="24"/>
          <w:szCs w:val="24"/>
          <w:lang w:val="is-IS"/>
        </w:rPr>
      </w:pPr>
      <w:r>
        <w:rPr>
          <w:rFonts w:asciiTheme="majorHAnsi" w:hAnsiTheme="majorHAnsi" w:cstheme="majorHAnsi"/>
          <w:sz w:val="24"/>
          <w:szCs w:val="24"/>
          <w:lang w:val="is-IS"/>
        </w:rPr>
        <w:t>Gjald til ÁTVR.</w:t>
      </w:r>
      <w:r w:rsidR="00535FF5">
        <w:rPr>
          <w:rFonts w:asciiTheme="majorHAnsi" w:hAnsiTheme="majorHAnsi" w:cstheme="majorHAnsi"/>
          <w:sz w:val="24"/>
          <w:szCs w:val="24"/>
          <w:lang w:val="is-IS"/>
        </w:rPr>
        <w:br/>
      </w:r>
    </w:p>
    <w:p w14:paraId="1E268B66" w14:textId="150941F5" w:rsidR="00C86E72" w:rsidRDefault="00C86E72" w:rsidP="005B2303">
      <w:pPr>
        <w:pStyle w:val="ListParagraph"/>
        <w:numPr>
          <w:ilvl w:val="0"/>
          <w:numId w:val="17"/>
        </w:numPr>
        <w:spacing w:after="0"/>
        <w:contextualSpacing w:val="0"/>
        <w:rPr>
          <w:rFonts w:asciiTheme="majorHAnsi" w:hAnsiTheme="majorHAnsi" w:cstheme="majorHAnsi"/>
          <w:b/>
          <w:bCs/>
          <w:sz w:val="24"/>
          <w:szCs w:val="24"/>
          <w:lang w:val="is-IS"/>
        </w:rPr>
      </w:pPr>
      <w:r w:rsidRPr="00C86E72">
        <w:rPr>
          <w:rFonts w:asciiTheme="majorHAnsi" w:hAnsiTheme="majorHAnsi" w:cstheme="majorHAnsi"/>
          <w:b/>
          <w:bCs/>
          <w:sz w:val="24"/>
          <w:szCs w:val="24"/>
          <w:lang w:val="is-IS"/>
        </w:rPr>
        <w:t>Tilkynning um nýjar tóbaksvörur</w:t>
      </w:r>
    </w:p>
    <w:p w14:paraId="336E93CF" w14:textId="6993F510" w:rsidR="005B2303" w:rsidRDefault="001F0DAD" w:rsidP="001F0DAD">
      <w:pPr>
        <w:spacing w:after="0"/>
        <w:rPr>
          <w:rFonts w:asciiTheme="majorHAnsi" w:hAnsiTheme="majorHAnsi" w:cstheme="majorHAnsi"/>
          <w:sz w:val="24"/>
          <w:szCs w:val="24"/>
          <w:lang w:val="is-IS"/>
        </w:rPr>
      </w:pPr>
      <w:r>
        <w:rPr>
          <w:rFonts w:asciiTheme="majorHAnsi" w:hAnsiTheme="majorHAnsi" w:cstheme="majorHAnsi"/>
          <w:sz w:val="24"/>
          <w:szCs w:val="24"/>
          <w:lang w:val="is-IS"/>
        </w:rPr>
        <w:t>Í grein 2 (14. lið) í evrópsku tóbakstilskipuninni eru nýjar tóbaksvörur skilgrein</w:t>
      </w:r>
      <w:r w:rsidR="00D550A1">
        <w:rPr>
          <w:rFonts w:asciiTheme="majorHAnsi" w:hAnsiTheme="majorHAnsi" w:cstheme="majorHAnsi"/>
          <w:sz w:val="24"/>
          <w:szCs w:val="24"/>
          <w:lang w:val="is-IS"/>
        </w:rPr>
        <w:t>d</w:t>
      </w:r>
      <w:r>
        <w:rPr>
          <w:rFonts w:asciiTheme="majorHAnsi" w:hAnsiTheme="majorHAnsi" w:cstheme="majorHAnsi"/>
          <w:sz w:val="24"/>
          <w:szCs w:val="24"/>
          <w:lang w:val="is-IS"/>
        </w:rPr>
        <w:t xml:space="preserve">ar sem tóbaksvörur sem: </w:t>
      </w:r>
    </w:p>
    <w:p w14:paraId="7826EB92" w14:textId="665B1975" w:rsidR="001F0DAD" w:rsidRDefault="001F0DAD" w:rsidP="001F0DAD">
      <w:pPr>
        <w:spacing w:after="0"/>
        <w:rPr>
          <w:rFonts w:asciiTheme="majorHAnsi" w:hAnsiTheme="majorHAnsi" w:cstheme="majorHAnsi"/>
          <w:sz w:val="24"/>
          <w:szCs w:val="24"/>
          <w:lang w:val="is-IS"/>
        </w:rPr>
      </w:pPr>
    </w:p>
    <w:p w14:paraId="4FEC83C8" w14:textId="54F477FE" w:rsidR="001F0DAD" w:rsidRPr="001F0DAD" w:rsidRDefault="001F0DAD" w:rsidP="001F0DAD">
      <w:pPr>
        <w:spacing w:after="0"/>
        <w:rPr>
          <w:rFonts w:asciiTheme="majorHAnsi" w:hAnsiTheme="majorHAnsi" w:cstheme="majorHAnsi"/>
          <w:sz w:val="24"/>
          <w:szCs w:val="24"/>
          <w:lang w:val="is-IS"/>
        </w:rPr>
      </w:pPr>
      <w:r w:rsidRPr="001F0DAD">
        <w:rPr>
          <w:rFonts w:asciiTheme="majorHAnsi" w:hAnsiTheme="majorHAnsi" w:cstheme="majorHAnsi"/>
          <w:sz w:val="24"/>
          <w:szCs w:val="24"/>
          <w:lang w:val="is-IS"/>
        </w:rPr>
        <w:t>(a</w:t>
      </w:r>
      <w:r>
        <w:rPr>
          <w:rFonts w:asciiTheme="majorHAnsi" w:hAnsiTheme="majorHAnsi" w:cstheme="majorHAnsi"/>
          <w:sz w:val="24"/>
          <w:szCs w:val="24"/>
          <w:lang w:val="is-IS"/>
        </w:rPr>
        <w:t xml:space="preserve">) </w:t>
      </w:r>
      <w:r w:rsidRPr="001F0DAD">
        <w:rPr>
          <w:rFonts w:asciiTheme="majorHAnsi" w:hAnsiTheme="majorHAnsi" w:cstheme="majorHAnsi"/>
          <w:sz w:val="24"/>
          <w:szCs w:val="24"/>
          <w:lang w:val="is-IS"/>
        </w:rPr>
        <w:t>falla ekki undir neinn af eftirfarandi flokkum; sígarettur, vafningstóbak, píputóbak, vatnspíputóbak, vindlar, smávindlar, tuggutóbak, neftóbak eða munntóbak; og</w:t>
      </w:r>
    </w:p>
    <w:p w14:paraId="310410DC" w14:textId="4464F273" w:rsidR="001F0DAD" w:rsidRDefault="001F0DAD" w:rsidP="001F0DAD">
      <w:pPr>
        <w:rPr>
          <w:lang w:val="is-IS"/>
        </w:rPr>
      </w:pPr>
    </w:p>
    <w:p w14:paraId="6FB5ED8E" w14:textId="4862C450" w:rsidR="001F0DAD" w:rsidRDefault="001F0DAD" w:rsidP="001F0DAD">
      <w:pPr>
        <w:rPr>
          <w:rFonts w:asciiTheme="majorHAnsi" w:hAnsiTheme="majorHAnsi" w:cstheme="majorHAnsi"/>
          <w:sz w:val="24"/>
          <w:szCs w:val="22"/>
          <w:lang w:val="is-IS"/>
        </w:rPr>
      </w:pPr>
      <w:r w:rsidRPr="001F0DAD">
        <w:rPr>
          <w:rFonts w:asciiTheme="majorHAnsi" w:hAnsiTheme="majorHAnsi" w:cstheme="majorHAnsi"/>
          <w:sz w:val="24"/>
          <w:szCs w:val="22"/>
          <w:lang w:val="is-IS"/>
        </w:rPr>
        <w:t xml:space="preserve">(b) </w:t>
      </w:r>
      <w:r>
        <w:rPr>
          <w:rFonts w:asciiTheme="majorHAnsi" w:hAnsiTheme="majorHAnsi" w:cstheme="majorHAnsi"/>
          <w:sz w:val="24"/>
          <w:szCs w:val="22"/>
          <w:lang w:val="is-IS"/>
        </w:rPr>
        <w:t>er sett á markað eftir 19. maí 2014.</w:t>
      </w:r>
    </w:p>
    <w:p w14:paraId="1012140C" w14:textId="745D8180" w:rsidR="001F0DAD" w:rsidRDefault="00E433DD" w:rsidP="001F0DAD">
      <w:pPr>
        <w:rPr>
          <w:rFonts w:asciiTheme="majorHAnsi" w:hAnsiTheme="majorHAnsi" w:cstheme="majorHAnsi"/>
          <w:sz w:val="24"/>
          <w:szCs w:val="22"/>
          <w:lang w:val="is-IS"/>
        </w:rPr>
      </w:pPr>
      <w:r>
        <w:rPr>
          <w:rFonts w:asciiTheme="majorHAnsi" w:hAnsiTheme="majorHAnsi" w:cstheme="majorHAnsi"/>
          <w:sz w:val="24"/>
          <w:szCs w:val="22"/>
          <w:lang w:val="is-IS"/>
        </w:rPr>
        <w:t xml:space="preserve">Þetta samsvarar til 18. liðar í 2. grein frumvarpsins. </w:t>
      </w:r>
    </w:p>
    <w:p w14:paraId="423E11D9" w14:textId="70A31EE5" w:rsidR="00E433DD" w:rsidRDefault="00E433DD" w:rsidP="001F0DAD">
      <w:pPr>
        <w:rPr>
          <w:rFonts w:asciiTheme="majorHAnsi" w:hAnsiTheme="majorHAnsi" w:cstheme="majorHAnsi"/>
          <w:sz w:val="24"/>
          <w:szCs w:val="22"/>
          <w:lang w:val="is-IS"/>
        </w:rPr>
      </w:pPr>
      <w:r>
        <w:rPr>
          <w:rFonts w:asciiTheme="majorHAnsi" w:hAnsiTheme="majorHAnsi" w:cstheme="majorHAnsi"/>
          <w:sz w:val="24"/>
          <w:szCs w:val="22"/>
          <w:lang w:val="is-IS"/>
        </w:rPr>
        <w:t>Evrópska tóbakstilskipunin vísar aðeins til nýrra tóbaksvara eins og þær eru skilgrein</w:t>
      </w:r>
      <w:r w:rsidR="00D550A1">
        <w:rPr>
          <w:rFonts w:asciiTheme="majorHAnsi" w:hAnsiTheme="majorHAnsi" w:cstheme="majorHAnsi"/>
          <w:sz w:val="24"/>
          <w:szCs w:val="22"/>
          <w:lang w:val="is-IS"/>
        </w:rPr>
        <w:t>d</w:t>
      </w:r>
      <w:r>
        <w:rPr>
          <w:rFonts w:asciiTheme="majorHAnsi" w:hAnsiTheme="majorHAnsi" w:cstheme="majorHAnsi"/>
          <w:sz w:val="24"/>
          <w:szCs w:val="22"/>
          <w:lang w:val="is-IS"/>
        </w:rPr>
        <w:t xml:space="preserve">ar í 2. grein (14. lið). En í frumvarpsdrögunum, þrátt fyrir að fyrirsögnin segi „Tilkynningar um nýjar tóbaksvörur,“ og samsvari þar með 19. grein tilskipunarinnar, er kveðið á um að „framleiðendur </w:t>
      </w:r>
      <w:r>
        <w:rPr>
          <w:rFonts w:asciiTheme="majorHAnsi" w:hAnsiTheme="majorHAnsi" w:cstheme="majorHAnsi"/>
          <w:sz w:val="24"/>
          <w:szCs w:val="22"/>
          <w:lang w:val="is-IS"/>
        </w:rPr>
        <w:lastRenderedPageBreak/>
        <w:t>og innflytjendur sem hyggjast setja vörur sem falla undir lög þessi á markað hér á landi skulu senda ÁTVR tilkynningu með sex mánaða fyrirvara áður en markaðssetning er fyrirhuguð.“ (</w:t>
      </w:r>
      <w:r w:rsidR="00D550A1">
        <w:rPr>
          <w:rFonts w:asciiTheme="majorHAnsi" w:hAnsiTheme="majorHAnsi" w:cstheme="majorHAnsi"/>
          <w:sz w:val="24"/>
          <w:szCs w:val="22"/>
          <w:lang w:val="is-IS"/>
        </w:rPr>
        <w:t>Á</w:t>
      </w:r>
      <w:r>
        <w:rPr>
          <w:rFonts w:asciiTheme="majorHAnsi" w:hAnsiTheme="majorHAnsi" w:cstheme="majorHAnsi"/>
          <w:sz w:val="24"/>
          <w:szCs w:val="22"/>
          <w:lang w:val="is-IS"/>
        </w:rPr>
        <w:t>herslur okkar). Þetta er miklu víðtækara gildissvið en gildissvið 19. greinar evrópsku tóbakstilskipunarinnar þar sem það nær yfir allar vörur sem falla undir lögin en ekki aðeins nýjar tóbaksvörur eins og þær eru skilgreindar í grein 2 (14. lið)</w:t>
      </w:r>
      <w:r w:rsidR="004A1EE4">
        <w:rPr>
          <w:rFonts w:asciiTheme="majorHAnsi" w:hAnsiTheme="majorHAnsi" w:cstheme="majorHAnsi"/>
          <w:sz w:val="24"/>
          <w:szCs w:val="22"/>
          <w:lang w:val="is-IS"/>
        </w:rPr>
        <w:t xml:space="preserve"> í evrópsku tóbakstilskipuninni og í 2. grein (18. lið) í frumvarpinu. Ákvæðið í frumvarpsdrögunum er ekki í samræmi við evrópsku tóbakstilskipunina og yrði ótrúlega þungt í vöfum bæði fyrir framleiðendur og ÁTVR.</w:t>
      </w:r>
    </w:p>
    <w:p w14:paraId="59F76DCC" w14:textId="15ED238E" w:rsidR="005B2303" w:rsidRPr="004A1EE4" w:rsidRDefault="004A1EE4" w:rsidP="005B2303">
      <w:pPr>
        <w:rPr>
          <w:rFonts w:asciiTheme="majorHAnsi" w:hAnsiTheme="majorHAnsi" w:cstheme="majorHAnsi"/>
          <w:sz w:val="24"/>
          <w:szCs w:val="22"/>
          <w:lang w:val="is-IS"/>
        </w:rPr>
      </w:pPr>
      <w:r>
        <w:rPr>
          <w:rFonts w:asciiTheme="majorHAnsi" w:hAnsiTheme="majorHAnsi" w:cstheme="majorHAnsi"/>
          <w:sz w:val="24"/>
          <w:szCs w:val="22"/>
          <w:lang w:val="is-IS"/>
        </w:rPr>
        <w:t xml:space="preserve">Við leggjum því til að vörur sem falla ekki undir 19. grein evrópsku tóbakstilskipunarinnar, þ.e. vörur sem voru á evrópskum markaði fyrir 20. maí 2014, verði áfram meðhöndlaðar eins og í dag, t.d. að ÁTVR samþykki umbúðir og nafn, og að grein 6 (liður g) í frumvarpinu ætti aðeins að taka til nýrra tóbaksvara eins og þær eru skilgreinar í grein 2 (18. lið) í frumvarpinu. </w:t>
      </w:r>
    </w:p>
    <w:p w14:paraId="043C101E" w14:textId="3635C07D" w:rsidR="005B2303" w:rsidRPr="004A1EE4" w:rsidRDefault="005B2303" w:rsidP="005B2303">
      <w:pPr>
        <w:pStyle w:val="ListParagraph"/>
        <w:numPr>
          <w:ilvl w:val="0"/>
          <w:numId w:val="17"/>
        </w:numPr>
        <w:spacing w:after="0"/>
        <w:contextualSpacing w:val="0"/>
        <w:rPr>
          <w:rFonts w:asciiTheme="majorHAnsi" w:hAnsiTheme="majorHAnsi" w:cstheme="majorHAnsi"/>
          <w:b/>
          <w:bCs/>
          <w:sz w:val="24"/>
          <w:szCs w:val="24"/>
          <w:lang w:val="is-IS"/>
        </w:rPr>
      </w:pPr>
      <w:r w:rsidRPr="00E47F30">
        <w:rPr>
          <w:rFonts w:asciiTheme="majorHAnsi" w:hAnsiTheme="majorHAnsi" w:cstheme="majorHAnsi"/>
          <w:b/>
          <w:bCs/>
          <w:sz w:val="24"/>
          <w:szCs w:val="24"/>
          <w:lang w:val="en-US"/>
        </w:rPr>
        <w:t xml:space="preserve"> </w:t>
      </w:r>
      <w:r w:rsidR="004A1EE4" w:rsidRPr="004A1EE4">
        <w:rPr>
          <w:rFonts w:asciiTheme="majorHAnsi" w:hAnsiTheme="majorHAnsi" w:cstheme="majorHAnsi"/>
          <w:b/>
          <w:bCs/>
          <w:sz w:val="24"/>
          <w:szCs w:val="24"/>
          <w:lang w:val="is-IS"/>
        </w:rPr>
        <w:t>Gildistökudag</w:t>
      </w:r>
      <w:r w:rsidR="004A1EE4">
        <w:rPr>
          <w:rFonts w:asciiTheme="majorHAnsi" w:hAnsiTheme="majorHAnsi" w:cstheme="majorHAnsi"/>
          <w:b/>
          <w:bCs/>
          <w:sz w:val="24"/>
          <w:szCs w:val="24"/>
          <w:lang w:val="is-IS"/>
        </w:rPr>
        <w:t>ur</w:t>
      </w:r>
      <w:r w:rsidR="004A1EE4" w:rsidRPr="004A1EE4">
        <w:rPr>
          <w:rFonts w:asciiTheme="majorHAnsi" w:hAnsiTheme="majorHAnsi" w:cstheme="majorHAnsi"/>
          <w:b/>
          <w:bCs/>
          <w:sz w:val="24"/>
          <w:szCs w:val="24"/>
          <w:lang w:val="is-IS"/>
        </w:rPr>
        <w:t xml:space="preserve"> fyrir rekjanleika, skráningu og öryggis</w:t>
      </w:r>
      <w:r w:rsidR="001903B7">
        <w:rPr>
          <w:rFonts w:asciiTheme="majorHAnsi" w:hAnsiTheme="majorHAnsi" w:cstheme="majorHAnsi"/>
          <w:b/>
          <w:bCs/>
          <w:sz w:val="24"/>
          <w:szCs w:val="24"/>
          <w:lang w:val="is-IS"/>
        </w:rPr>
        <w:t>þættir</w:t>
      </w:r>
      <w:r w:rsidR="004A1EE4" w:rsidRPr="004A1EE4">
        <w:rPr>
          <w:rFonts w:asciiTheme="majorHAnsi" w:hAnsiTheme="majorHAnsi" w:cstheme="majorHAnsi"/>
          <w:b/>
          <w:bCs/>
          <w:sz w:val="24"/>
          <w:szCs w:val="24"/>
          <w:lang w:val="is-IS"/>
        </w:rPr>
        <w:t xml:space="preserve"> fyrir sígarettur og vafningstóbak</w:t>
      </w:r>
    </w:p>
    <w:p w14:paraId="4CFF9037" w14:textId="406F6914" w:rsidR="004A1EE4" w:rsidRDefault="004A1EE4" w:rsidP="005B2303">
      <w:pPr>
        <w:rPr>
          <w:rFonts w:asciiTheme="majorHAnsi" w:hAnsiTheme="majorHAnsi" w:cstheme="majorHAnsi"/>
          <w:sz w:val="24"/>
          <w:szCs w:val="24"/>
          <w:lang w:val="is-IS"/>
        </w:rPr>
      </w:pPr>
      <w:r>
        <w:rPr>
          <w:rFonts w:asciiTheme="majorHAnsi" w:hAnsiTheme="majorHAnsi" w:cstheme="majorHAnsi"/>
          <w:sz w:val="24"/>
          <w:szCs w:val="24"/>
          <w:lang w:val="is-IS"/>
        </w:rPr>
        <w:t>Í grein 21 (lið a) í frumvarpinu kemur fram að lögin öðlist gildi 1. desember 2023 að undanskildum d-lið 6. greinar (rekjanleiki), e-lið 6. greinar (skráning) og f-lið 6. greinar (öryggiseiginleikar) sem gilda frá 20. maí 2024 fyrir</w:t>
      </w:r>
      <w:r w:rsidR="00534D09">
        <w:rPr>
          <w:rFonts w:asciiTheme="majorHAnsi" w:hAnsiTheme="majorHAnsi" w:cstheme="majorHAnsi"/>
          <w:sz w:val="24"/>
          <w:szCs w:val="24"/>
          <w:lang w:val="is-IS"/>
        </w:rPr>
        <w:t xml:space="preserve"> aðrar tóbaksvörur og vafningstóbak.</w:t>
      </w:r>
      <w:r>
        <w:rPr>
          <w:rFonts w:asciiTheme="majorHAnsi" w:hAnsiTheme="majorHAnsi" w:cstheme="majorHAnsi"/>
          <w:sz w:val="24"/>
          <w:szCs w:val="24"/>
          <w:lang w:val="is-IS"/>
        </w:rPr>
        <w:t xml:space="preserve"> </w:t>
      </w:r>
    </w:p>
    <w:p w14:paraId="56C9C9C6" w14:textId="47C6E781" w:rsidR="001903B7" w:rsidRDefault="00837AF9" w:rsidP="005B2303">
      <w:pPr>
        <w:rPr>
          <w:rFonts w:asciiTheme="majorHAnsi" w:hAnsiTheme="majorHAnsi" w:cstheme="majorHAnsi"/>
          <w:sz w:val="24"/>
          <w:szCs w:val="24"/>
          <w:lang w:val="is-IS"/>
        </w:rPr>
      </w:pPr>
      <w:r>
        <w:rPr>
          <w:rFonts w:asciiTheme="majorHAnsi" w:hAnsiTheme="majorHAnsi" w:cstheme="majorHAnsi"/>
          <w:sz w:val="24"/>
          <w:szCs w:val="24"/>
          <w:lang w:val="is-IS"/>
        </w:rPr>
        <w:t>Þetta þýðir að d-, e- og f-liðir 6. greinar öðlast gildi fyrir t.d. sígarettur frá og með 1. desember 2023. Þetta er mjög stutt</w:t>
      </w:r>
      <w:r w:rsidR="000C12BD">
        <w:rPr>
          <w:rFonts w:asciiTheme="majorHAnsi" w:hAnsiTheme="majorHAnsi" w:cstheme="majorHAnsi"/>
          <w:sz w:val="24"/>
          <w:szCs w:val="24"/>
          <w:lang w:val="is-IS"/>
        </w:rPr>
        <w:t xml:space="preserve"> tímalína út frá </w:t>
      </w:r>
      <w:r w:rsidR="00D550A1">
        <w:rPr>
          <w:rFonts w:asciiTheme="majorHAnsi" w:hAnsiTheme="majorHAnsi" w:cstheme="majorHAnsi"/>
          <w:sz w:val="24"/>
          <w:szCs w:val="24"/>
          <w:lang w:val="is-IS"/>
        </w:rPr>
        <w:t xml:space="preserve">verkséðu </w:t>
      </w:r>
      <w:r w:rsidR="000C12BD">
        <w:rPr>
          <w:rFonts w:asciiTheme="majorHAnsi" w:hAnsiTheme="majorHAnsi" w:cstheme="majorHAnsi"/>
          <w:sz w:val="24"/>
          <w:szCs w:val="24"/>
          <w:lang w:val="is-IS"/>
        </w:rPr>
        <w:t>sjónarhorni þar sem</w:t>
      </w:r>
      <w:r>
        <w:rPr>
          <w:rFonts w:asciiTheme="majorHAnsi" w:hAnsiTheme="majorHAnsi" w:cstheme="majorHAnsi"/>
          <w:sz w:val="24"/>
          <w:szCs w:val="24"/>
          <w:lang w:val="is-IS"/>
        </w:rPr>
        <w:t xml:space="preserve"> búa þarf til einkvæmt auðkenni</w:t>
      </w:r>
      <w:r w:rsidR="000C12BD">
        <w:rPr>
          <w:rFonts w:asciiTheme="majorHAnsi" w:hAnsiTheme="majorHAnsi" w:cstheme="majorHAnsi"/>
          <w:sz w:val="24"/>
          <w:szCs w:val="24"/>
          <w:lang w:val="is-IS"/>
        </w:rPr>
        <w:t xml:space="preserve"> og </w:t>
      </w:r>
      <w:r>
        <w:rPr>
          <w:rFonts w:asciiTheme="majorHAnsi" w:hAnsiTheme="majorHAnsi" w:cstheme="majorHAnsi"/>
          <w:sz w:val="24"/>
          <w:szCs w:val="24"/>
          <w:lang w:val="is-IS"/>
        </w:rPr>
        <w:t xml:space="preserve">undirbúa öryggisþætti og framleiðendur þurfa að aðlaga framleiðsluna á stuttum tíma. </w:t>
      </w:r>
      <w:r w:rsidR="000C12BD">
        <w:rPr>
          <w:rFonts w:asciiTheme="majorHAnsi" w:hAnsiTheme="majorHAnsi" w:cstheme="majorHAnsi"/>
          <w:sz w:val="24"/>
          <w:szCs w:val="24"/>
          <w:lang w:val="is-IS"/>
        </w:rPr>
        <w:t>Vegna þess</w:t>
      </w:r>
      <w:r w:rsidR="001903B7">
        <w:rPr>
          <w:rFonts w:asciiTheme="majorHAnsi" w:hAnsiTheme="majorHAnsi" w:cstheme="majorHAnsi"/>
          <w:sz w:val="24"/>
          <w:szCs w:val="24"/>
          <w:lang w:val="is-IS"/>
        </w:rPr>
        <w:t xml:space="preserve"> hversu umfangsmikið þetta er </w:t>
      </w:r>
      <w:r w:rsidR="000C12BD">
        <w:rPr>
          <w:rFonts w:asciiTheme="majorHAnsi" w:hAnsiTheme="majorHAnsi" w:cstheme="majorHAnsi"/>
          <w:sz w:val="24"/>
          <w:szCs w:val="24"/>
          <w:lang w:val="is-IS"/>
        </w:rPr>
        <w:t>veitir EES-ákvörðun nr. 6/2022, d- og e-liður 1. greinar, framleiðendum 16 mánuði eftir að EES ákvörðunin hefur öðlast gildi til að uppfylla kröfurnar sem settar eru fram í</w:t>
      </w:r>
      <w:r w:rsidR="001903B7">
        <w:rPr>
          <w:rFonts w:asciiTheme="majorHAnsi" w:hAnsiTheme="majorHAnsi" w:cstheme="majorHAnsi"/>
          <w:sz w:val="24"/>
          <w:szCs w:val="24"/>
          <w:lang w:val="is-IS"/>
        </w:rPr>
        <w:t xml:space="preserve"> </w:t>
      </w:r>
      <w:r w:rsidR="000C12BD">
        <w:rPr>
          <w:rFonts w:asciiTheme="majorHAnsi" w:hAnsiTheme="majorHAnsi" w:cstheme="majorHAnsi"/>
          <w:sz w:val="24"/>
          <w:szCs w:val="24"/>
          <w:lang w:val="is-IS"/>
        </w:rPr>
        <w:t>evrópsku tóbakstilskipuninni</w:t>
      </w:r>
      <w:r w:rsidR="001903B7">
        <w:rPr>
          <w:rFonts w:asciiTheme="majorHAnsi" w:hAnsiTheme="majorHAnsi" w:cstheme="majorHAnsi"/>
          <w:sz w:val="24"/>
          <w:szCs w:val="24"/>
          <w:lang w:val="is-IS"/>
        </w:rPr>
        <w:t xml:space="preserve">, grein 15 (rekjanleiki) og grein 16 (öryggisþættir).EES-ákvörðunin hefur ekki enn öðlast gildi þar sem bæði Noregur og Ísland þurfa að afgreiða stjórnarskrárskilyrði í samræmi við EES-samninginn, 103. grein (1). Við leggjum til að Ísland innleiði þessa lengri tímalínu til að gefa bæði framleiðendum og ÁTVR nægan tíma til að aðlaga sig að þessari nýju reglugerð. </w:t>
      </w:r>
    </w:p>
    <w:p w14:paraId="701227DB" w14:textId="4746E171" w:rsidR="001903B7" w:rsidRDefault="001903B7" w:rsidP="005B2303">
      <w:pPr>
        <w:rPr>
          <w:rFonts w:asciiTheme="majorHAnsi" w:hAnsiTheme="majorHAnsi" w:cstheme="majorHAnsi"/>
          <w:sz w:val="24"/>
          <w:szCs w:val="24"/>
          <w:lang w:val="is-IS"/>
        </w:rPr>
      </w:pPr>
      <w:r>
        <w:rPr>
          <w:rFonts w:asciiTheme="majorHAnsi" w:hAnsiTheme="majorHAnsi" w:cstheme="majorHAnsi"/>
          <w:sz w:val="24"/>
          <w:szCs w:val="24"/>
          <w:lang w:val="is-IS"/>
        </w:rPr>
        <w:t>Við viljum líka benda á að framkvæmdareglugerð framkvæmdastjórnar Evrópusambandsins 2018/574 og framkvæmda</w:t>
      </w:r>
      <w:r w:rsidR="00294AB5">
        <w:rPr>
          <w:rFonts w:asciiTheme="majorHAnsi" w:hAnsiTheme="majorHAnsi" w:cstheme="majorHAnsi"/>
          <w:sz w:val="24"/>
          <w:szCs w:val="24"/>
          <w:lang w:val="is-IS"/>
        </w:rPr>
        <w:t>r</w:t>
      </w:r>
      <w:r>
        <w:rPr>
          <w:rFonts w:asciiTheme="majorHAnsi" w:hAnsiTheme="majorHAnsi" w:cstheme="majorHAnsi"/>
          <w:sz w:val="24"/>
          <w:szCs w:val="24"/>
          <w:lang w:val="is-IS"/>
        </w:rPr>
        <w:t xml:space="preserve">ákvörðunar ESB 2018/576 </w:t>
      </w:r>
      <w:r w:rsidR="00294AB5">
        <w:rPr>
          <w:rFonts w:asciiTheme="majorHAnsi" w:hAnsiTheme="majorHAnsi" w:cstheme="majorHAnsi"/>
          <w:sz w:val="24"/>
          <w:szCs w:val="24"/>
          <w:lang w:val="is-IS"/>
        </w:rPr>
        <w:t xml:space="preserve">innihalda aðlögunartímabil fyrir reglugerðina um rekjanleika og öryggisþætti. Nánar tiltekið kveður 37. grein framkvæmdareglugerðarinnar og 9. grein framkvæmdarákvörðunarinnar á um eins árs aðlögunartímabil fyrir sígarettur og vafningstóbak framleitt fyrir 20. maí 2019 </w:t>
      </w:r>
      <w:r w:rsidR="000B13E3">
        <w:rPr>
          <w:rFonts w:asciiTheme="majorHAnsi" w:hAnsiTheme="majorHAnsi" w:cstheme="majorHAnsi"/>
          <w:sz w:val="24"/>
          <w:szCs w:val="24"/>
          <w:lang w:val="is-IS"/>
        </w:rPr>
        <w:t>verði áfram</w:t>
      </w:r>
      <w:r w:rsidR="00294AB5">
        <w:rPr>
          <w:rFonts w:asciiTheme="majorHAnsi" w:hAnsiTheme="majorHAnsi" w:cstheme="majorHAnsi"/>
          <w:sz w:val="24"/>
          <w:szCs w:val="24"/>
          <w:lang w:val="is-IS"/>
        </w:rPr>
        <w:t xml:space="preserve"> í frjálsri dreifingu til 20. maí 2020 og fyrir tóbaksvörur aðrar en sígarettur og vafningstóbak framleitt fyrir 20. maí 2024 </w:t>
      </w:r>
      <w:r w:rsidR="000B13E3">
        <w:rPr>
          <w:rFonts w:asciiTheme="majorHAnsi" w:hAnsiTheme="majorHAnsi" w:cstheme="majorHAnsi"/>
          <w:sz w:val="24"/>
          <w:szCs w:val="24"/>
          <w:lang w:val="is-IS"/>
        </w:rPr>
        <w:t>verði áfram</w:t>
      </w:r>
      <w:r w:rsidR="00294AB5">
        <w:rPr>
          <w:rFonts w:asciiTheme="majorHAnsi" w:hAnsiTheme="majorHAnsi" w:cstheme="majorHAnsi"/>
          <w:sz w:val="24"/>
          <w:szCs w:val="24"/>
          <w:lang w:val="is-IS"/>
        </w:rPr>
        <w:t xml:space="preserve"> í frjálsri dreifingu til 20. maí 2026. Við hvetjum Ísland til að taka upp svipaðan aðlögunartíma, eitt og tvö ár í sömu röð. </w:t>
      </w:r>
    </w:p>
    <w:p w14:paraId="103DEF08" w14:textId="384D70B6" w:rsidR="005B2303" w:rsidRPr="009811BD" w:rsidRDefault="00294AB5" w:rsidP="005B2303">
      <w:pPr>
        <w:rPr>
          <w:rFonts w:asciiTheme="majorHAnsi" w:hAnsiTheme="majorHAnsi" w:cstheme="majorHAnsi"/>
          <w:sz w:val="24"/>
          <w:szCs w:val="24"/>
          <w:lang w:val="is-IS"/>
        </w:rPr>
      </w:pPr>
      <w:r>
        <w:rPr>
          <w:rFonts w:asciiTheme="majorHAnsi" w:hAnsiTheme="majorHAnsi" w:cstheme="majorHAnsi"/>
          <w:sz w:val="24"/>
          <w:szCs w:val="24"/>
          <w:lang w:val="is-IS"/>
        </w:rPr>
        <w:t xml:space="preserve">Með innleiðingu rekjanleikareglugerðar verður Ísland hluti af rekjanleikakerfi Evrópusambandsins fyrir tóbaksvörur. Við teljum að það sé nauðsynlegt að Ísland samþætti </w:t>
      </w:r>
      <w:r w:rsidR="009811BD">
        <w:rPr>
          <w:rFonts w:asciiTheme="majorHAnsi" w:hAnsiTheme="majorHAnsi" w:cstheme="majorHAnsi"/>
          <w:sz w:val="24"/>
          <w:szCs w:val="24"/>
          <w:lang w:val="is-IS"/>
        </w:rPr>
        <w:t>allt vistkerfið sem snýr að tóbaksvörum</w:t>
      </w:r>
      <w:r w:rsidR="000B13E3">
        <w:rPr>
          <w:rFonts w:asciiTheme="majorHAnsi" w:hAnsiTheme="majorHAnsi" w:cstheme="majorHAnsi"/>
          <w:sz w:val="24"/>
          <w:szCs w:val="24"/>
          <w:lang w:val="is-IS"/>
        </w:rPr>
        <w:t>,</w:t>
      </w:r>
      <w:r w:rsidR="009811BD">
        <w:rPr>
          <w:rFonts w:asciiTheme="majorHAnsi" w:hAnsiTheme="majorHAnsi" w:cstheme="majorHAnsi"/>
          <w:sz w:val="24"/>
          <w:szCs w:val="24"/>
          <w:lang w:val="is-IS"/>
        </w:rPr>
        <w:t xml:space="preserve"> þar með talið dreifikerfi og aðal- og auka</w:t>
      </w:r>
      <w:r w:rsidR="00857D33">
        <w:rPr>
          <w:rFonts w:asciiTheme="majorHAnsi" w:hAnsiTheme="majorHAnsi" w:cstheme="majorHAnsi"/>
          <w:sz w:val="24"/>
          <w:szCs w:val="24"/>
          <w:lang w:val="is-IS"/>
        </w:rPr>
        <w:t>gagna</w:t>
      </w:r>
      <w:r w:rsidR="009811BD">
        <w:rPr>
          <w:rFonts w:asciiTheme="majorHAnsi" w:hAnsiTheme="majorHAnsi" w:cstheme="majorHAnsi"/>
          <w:sz w:val="24"/>
          <w:szCs w:val="24"/>
          <w:lang w:val="is-IS"/>
        </w:rPr>
        <w:t>geymslur.</w:t>
      </w:r>
      <w:r>
        <w:rPr>
          <w:rFonts w:asciiTheme="majorHAnsi" w:hAnsiTheme="majorHAnsi" w:cstheme="majorHAnsi"/>
          <w:sz w:val="24"/>
          <w:szCs w:val="24"/>
          <w:lang w:val="is-IS"/>
        </w:rPr>
        <w:t xml:space="preserve"> </w:t>
      </w:r>
      <w:r w:rsidR="009811BD">
        <w:rPr>
          <w:rFonts w:asciiTheme="majorHAnsi" w:hAnsiTheme="majorHAnsi" w:cstheme="majorHAnsi"/>
          <w:sz w:val="24"/>
          <w:szCs w:val="24"/>
          <w:lang w:val="is-IS"/>
        </w:rPr>
        <w:t xml:space="preserve">Með því að fylgja innleiðingarreglugerðinni innan Evrópusambandsins getur Ísland nýtt sér alla reynsluna af innleiðingu rekjanleikakerfis frá öllum aðildarríkjum sambandsins og síðast en ekki síst orðið hluti af þekkingarmiðlun yfir landamæri. Hafandi reynslu frá öðrum mörkuðum </w:t>
      </w:r>
      <w:r w:rsidR="009811BD">
        <w:rPr>
          <w:rFonts w:asciiTheme="majorHAnsi" w:hAnsiTheme="majorHAnsi" w:cstheme="majorHAnsi"/>
          <w:sz w:val="24"/>
          <w:szCs w:val="24"/>
          <w:lang w:val="is-IS"/>
        </w:rPr>
        <w:lastRenderedPageBreak/>
        <w:t xml:space="preserve">Evrópusambandsins getum við bent á mikilvægi þess að gefa sér raunhæfan tíma milli hvers þreps í innleiðingu </w:t>
      </w:r>
      <w:r w:rsidR="00804945">
        <w:rPr>
          <w:rFonts w:asciiTheme="majorHAnsi" w:hAnsiTheme="majorHAnsi" w:cstheme="majorHAnsi"/>
          <w:sz w:val="24"/>
          <w:szCs w:val="24"/>
          <w:lang w:val="is-IS"/>
        </w:rPr>
        <w:t>þessara ferla</w:t>
      </w:r>
      <w:r w:rsidR="009811BD">
        <w:rPr>
          <w:rFonts w:asciiTheme="majorHAnsi" w:hAnsiTheme="majorHAnsi" w:cstheme="majorHAnsi"/>
          <w:sz w:val="24"/>
          <w:szCs w:val="24"/>
          <w:lang w:val="is-IS"/>
        </w:rPr>
        <w:t xml:space="preserve">. </w:t>
      </w:r>
    </w:p>
    <w:p w14:paraId="3307CB11" w14:textId="7A86C7AC" w:rsidR="005B2303" w:rsidRPr="00804945" w:rsidRDefault="00804945" w:rsidP="005B2303">
      <w:pPr>
        <w:pStyle w:val="ListParagraph"/>
        <w:numPr>
          <w:ilvl w:val="0"/>
          <w:numId w:val="17"/>
        </w:numPr>
        <w:spacing w:after="0"/>
        <w:contextualSpacing w:val="0"/>
        <w:rPr>
          <w:rFonts w:asciiTheme="majorHAnsi" w:hAnsiTheme="majorHAnsi" w:cstheme="majorHAnsi"/>
          <w:b/>
          <w:bCs/>
          <w:sz w:val="24"/>
          <w:szCs w:val="24"/>
          <w:lang w:val="is-IS"/>
        </w:rPr>
      </w:pPr>
      <w:r w:rsidRPr="00804945">
        <w:rPr>
          <w:rFonts w:asciiTheme="majorHAnsi" w:hAnsiTheme="majorHAnsi" w:cstheme="majorHAnsi"/>
          <w:b/>
          <w:bCs/>
          <w:sz w:val="24"/>
          <w:szCs w:val="24"/>
          <w:lang w:val="is-IS"/>
        </w:rPr>
        <w:t>Innihaldsefni tóbaksvara og einkennandi bragð</w:t>
      </w:r>
    </w:p>
    <w:p w14:paraId="63C967DD" w14:textId="0543849F" w:rsidR="00804945" w:rsidRDefault="00804945" w:rsidP="005B2303">
      <w:pPr>
        <w:rPr>
          <w:rFonts w:asciiTheme="majorHAnsi" w:hAnsiTheme="majorHAnsi" w:cstheme="majorHAnsi"/>
          <w:sz w:val="24"/>
          <w:szCs w:val="24"/>
          <w:lang w:val="is-IS"/>
        </w:rPr>
      </w:pPr>
      <w:r w:rsidRPr="00804945">
        <w:rPr>
          <w:rFonts w:asciiTheme="majorHAnsi" w:hAnsiTheme="majorHAnsi" w:cstheme="majorHAnsi"/>
          <w:sz w:val="24"/>
          <w:szCs w:val="24"/>
          <w:lang w:val="is-IS"/>
        </w:rPr>
        <w:t xml:space="preserve">Eins og </w:t>
      </w:r>
      <w:proofErr w:type="spellStart"/>
      <w:r w:rsidRPr="00804945">
        <w:rPr>
          <w:rFonts w:asciiTheme="majorHAnsi" w:hAnsiTheme="majorHAnsi" w:cstheme="majorHAnsi"/>
          <w:sz w:val="24"/>
          <w:szCs w:val="24"/>
          <w:lang w:val="is-IS"/>
        </w:rPr>
        <w:t>Philip</w:t>
      </w:r>
      <w:proofErr w:type="spellEnd"/>
      <w:r w:rsidRPr="00804945">
        <w:rPr>
          <w:rFonts w:asciiTheme="majorHAnsi" w:hAnsiTheme="majorHAnsi" w:cstheme="majorHAnsi"/>
          <w:sz w:val="24"/>
          <w:szCs w:val="24"/>
          <w:lang w:val="is-IS"/>
        </w:rPr>
        <w:t xml:space="preserve"> Morris skilur</w:t>
      </w:r>
      <w:r w:rsidR="00EE0300">
        <w:rPr>
          <w:rFonts w:asciiTheme="majorHAnsi" w:hAnsiTheme="majorHAnsi" w:cstheme="majorHAnsi"/>
          <w:sz w:val="24"/>
          <w:szCs w:val="24"/>
          <w:lang w:val="is-IS"/>
        </w:rPr>
        <w:t xml:space="preserve"> frumvarpsdrögin eru ákvæðin í 7. grein (6. lið) evrópsku tóbakstilskipunarinnar, um bann við aukaefnum (</w:t>
      </w:r>
      <w:proofErr w:type="spellStart"/>
      <w:r w:rsidR="00EE0300">
        <w:rPr>
          <w:rFonts w:asciiTheme="majorHAnsi" w:hAnsiTheme="majorHAnsi" w:cstheme="majorHAnsi"/>
          <w:sz w:val="24"/>
          <w:szCs w:val="24"/>
          <w:lang w:val="is-IS"/>
        </w:rPr>
        <w:t>additives</w:t>
      </w:r>
      <w:proofErr w:type="spellEnd"/>
      <w:r w:rsidR="00EE0300">
        <w:rPr>
          <w:rFonts w:asciiTheme="majorHAnsi" w:hAnsiTheme="majorHAnsi" w:cstheme="majorHAnsi"/>
          <w:sz w:val="24"/>
          <w:szCs w:val="24"/>
          <w:lang w:val="is-IS"/>
        </w:rPr>
        <w:t>), skrifuð í íslensku tilskipunina sem bann við efnum (</w:t>
      </w:r>
      <w:proofErr w:type="spellStart"/>
      <w:r w:rsidR="00EE0300">
        <w:rPr>
          <w:rFonts w:asciiTheme="majorHAnsi" w:hAnsiTheme="majorHAnsi" w:cstheme="majorHAnsi"/>
          <w:sz w:val="24"/>
          <w:szCs w:val="24"/>
          <w:lang w:val="is-IS"/>
        </w:rPr>
        <w:t>substance</w:t>
      </w:r>
      <w:proofErr w:type="spellEnd"/>
      <w:r w:rsidR="00EE0300">
        <w:rPr>
          <w:rFonts w:asciiTheme="majorHAnsi" w:hAnsiTheme="majorHAnsi" w:cstheme="majorHAnsi"/>
          <w:sz w:val="24"/>
          <w:szCs w:val="24"/>
          <w:lang w:val="is-IS"/>
        </w:rPr>
        <w:t xml:space="preserve">). Þessi breyting er mikilvæg. Þetta má túlka þannig að bannið nái yfir leifar efna í blöndum. Þessi skilgreining er augljóslega ekki hluti af evrópsku tóbakstilskipuninni þar sem í 7. grein (6. lið) er talað um aukaefni. Þar sem ætlunin með frumvarpinu er að innleiða evrópsku tóbakstilskipunina samkvæmt EFTA-samningnum ber að nota skilgreiningar tilskipunarinnar. Í henni er eingöngu átt við innihaldsefni, aukaefni og bragðefni. </w:t>
      </w:r>
    </w:p>
    <w:p w14:paraId="612B2FC9" w14:textId="04642E74" w:rsidR="00EE0300" w:rsidRPr="00804945" w:rsidRDefault="00621103" w:rsidP="005B2303">
      <w:pPr>
        <w:rPr>
          <w:rFonts w:asciiTheme="majorHAnsi" w:hAnsiTheme="majorHAnsi" w:cstheme="majorHAnsi"/>
          <w:sz w:val="24"/>
          <w:szCs w:val="24"/>
          <w:lang w:val="is-IS"/>
        </w:rPr>
      </w:pPr>
      <w:r>
        <w:rPr>
          <w:rFonts w:asciiTheme="majorHAnsi" w:hAnsiTheme="majorHAnsi" w:cstheme="majorHAnsi"/>
          <w:sz w:val="24"/>
          <w:szCs w:val="24"/>
          <w:lang w:val="is-IS"/>
        </w:rPr>
        <w:t>Á sama hátt vantar orðin „í óbrenndu formi“ (</w:t>
      </w:r>
      <w:proofErr w:type="spellStart"/>
      <w:r>
        <w:rPr>
          <w:rFonts w:asciiTheme="majorHAnsi" w:hAnsiTheme="majorHAnsi" w:cstheme="majorHAnsi"/>
          <w:sz w:val="24"/>
          <w:szCs w:val="24"/>
          <w:lang w:val="is-IS"/>
        </w:rPr>
        <w:t>in</w:t>
      </w:r>
      <w:proofErr w:type="spellEnd"/>
      <w:r>
        <w:rPr>
          <w:rFonts w:asciiTheme="majorHAnsi" w:hAnsiTheme="majorHAnsi" w:cstheme="majorHAnsi"/>
          <w:sz w:val="24"/>
          <w:szCs w:val="24"/>
          <w:lang w:val="is-IS"/>
        </w:rPr>
        <w:t xml:space="preserve"> </w:t>
      </w:r>
      <w:proofErr w:type="spellStart"/>
      <w:r>
        <w:rPr>
          <w:rFonts w:asciiTheme="majorHAnsi" w:hAnsiTheme="majorHAnsi" w:cstheme="majorHAnsi"/>
          <w:sz w:val="24"/>
          <w:szCs w:val="24"/>
          <w:lang w:val="is-IS"/>
        </w:rPr>
        <w:t>unburnt</w:t>
      </w:r>
      <w:proofErr w:type="spellEnd"/>
      <w:r>
        <w:rPr>
          <w:rFonts w:asciiTheme="majorHAnsi" w:hAnsiTheme="majorHAnsi" w:cstheme="majorHAnsi"/>
          <w:sz w:val="24"/>
          <w:szCs w:val="24"/>
          <w:lang w:val="is-IS"/>
        </w:rPr>
        <w:t xml:space="preserve"> form) sem eru í evrópsku tóbakstilskipuninni, 7. grein (6. lið). Án þessara orða gæti frumvarpið leitt til óviljandi banns.  </w:t>
      </w:r>
    </w:p>
    <w:p w14:paraId="4C485A5E" w14:textId="3F653C11" w:rsidR="005B2303" w:rsidRPr="00535FF5" w:rsidRDefault="00535FF5" w:rsidP="005B2303">
      <w:pPr>
        <w:pStyle w:val="ListParagraph"/>
        <w:numPr>
          <w:ilvl w:val="0"/>
          <w:numId w:val="17"/>
        </w:numPr>
        <w:spacing w:after="0"/>
        <w:contextualSpacing w:val="0"/>
        <w:rPr>
          <w:rFonts w:asciiTheme="majorHAnsi" w:hAnsiTheme="majorHAnsi" w:cstheme="majorHAnsi"/>
          <w:b/>
          <w:bCs/>
          <w:sz w:val="24"/>
          <w:szCs w:val="24"/>
          <w:lang w:val="is-IS"/>
        </w:rPr>
      </w:pPr>
      <w:r w:rsidRPr="00535FF5">
        <w:rPr>
          <w:rFonts w:asciiTheme="majorHAnsi" w:hAnsiTheme="majorHAnsi" w:cstheme="majorHAnsi"/>
          <w:b/>
          <w:bCs/>
          <w:sz w:val="24"/>
          <w:szCs w:val="24"/>
          <w:lang w:val="is-IS"/>
        </w:rPr>
        <w:t>Gjald til</w:t>
      </w:r>
      <w:r w:rsidR="005B2303" w:rsidRPr="00535FF5">
        <w:rPr>
          <w:rFonts w:asciiTheme="majorHAnsi" w:hAnsiTheme="majorHAnsi" w:cstheme="majorHAnsi"/>
          <w:b/>
          <w:bCs/>
          <w:sz w:val="24"/>
          <w:szCs w:val="24"/>
          <w:lang w:val="is-IS"/>
        </w:rPr>
        <w:t xml:space="preserve"> </w:t>
      </w:r>
      <w:r w:rsidRPr="00535FF5">
        <w:rPr>
          <w:rFonts w:asciiTheme="majorHAnsi" w:hAnsiTheme="majorHAnsi" w:cstheme="majorHAnsi"/>
          <w:b/>
          <w:bCs/>
          <w:sz w:val="24"/>
          <w:szCs w:val="24"/>
          <w:lang w:val="is-IS"/>
        </w:rPr>
        <w:t>Á</w:t>
      </w:r>
      <w:r w:rsidR="005B2303" w:rsidRPr="00535FF5">
        <w:rPr>
          <w:rFonts w:asciiTheme="majorHAnsi" w:hAnsiTheme="majorHAnsi" w:cstheme="majorHAnsi"/>
          <w:b/>
          <w:bCs/>
          <w:sz w:val="24"/>
          <w:szCs w:val="24"/>
          <w:lang w:val="is-IS"/>
        </w:rPr>
        <w:t>TVR</w:t>
      </w:r>
    </w:p>
    <w:p w14:paraId="583411A0" w14:textId="7F66BA9D" w:rsidR="00535FF5" w:rsidRPr="00535FF5" w:rsidRDefault="00535FF5" w:rsidP="005B2303">
      <w:pPr>
        <w:rPr>
          <w:rFonts w:asciiTheme="majorHAnsi" w:hAnsiTheme="majorHAnsi" w:cstheme="majorHAnsi"/>
          <w:sz w:val="24"/>
          <w:szCs w:val="24"/>
          <w:lang w:val="is-IS"/>
        </w:rPr>
      </w:pPr>
      <w:r w:rsidRPr="00535FF5">
        <w:rPr>
          <w:rFonts w:asciiTheme="majorHAnsi" w:hAnsiTheme="majorHAnsi" w:cstheme="majorHAnsi"/>
          <w:sz w:val="24"/>
          <w:szCs w:val="24"/>
          <w:lang w:val="is-IS"/>
        </w:rPr>
        <w:t>Sumar greinar frumvarpsins</w:t>
      </w:r>
      <w:r>
        <w:rPr>
          <w:rFonts w:asciiTheme="majorHAnsi" w:hAnsiTheme="majorHAnsi" w:cstheme="majorHAnsi"/>
          <w:sz w:val="24"/>
          <w:szCs w:val="24"/>
          <w:lang w:val="is-IS"/>
        </w:rPr>
        <w:t>, t.d. í a-lið 6. greinar er ÁTVR veitt heimild til að taka gjald af framleiðendum. Þetta er frekar staðlað. Það skal tekið fram að þessi gjöld ættu að vera sanngjörn og samsvara þeirri þjónustu sem ÁTVR veitir. Þetta getur ekki verið falinn skattur.</w:t>
      </w:r>
    </w:p>
    <w:p w14:paraId="5106E358" w14:textId="0666AAC1" w:rsidR="005B2303" w:rsidRPr="00E47F30" w:rsidRDefault="00535FF5" w:rsidP="005B2303">
      <w:pPr>
        <w:rPr>
          <w:rFonts w:asciiTheme="majorHAnsi" w:hAnsiTheme="majorHAnsi" w:cstheme="majorHAnsi"/>
          <w:sz w:val="24"/>
          <w:szCs w:val="24"/>
          <w:lang w:val="en-US"/>
        </w:rPr>
      </w:pPr>
      <w:r w:rsidRPr="00FB04CD">
        <w:rPr>
          <w:rFonts w:asciiTheme="majorHAnsi" w:hAnsiTheme="majorHAnsi" w:cstheme="majorHAnsi"/>
          <w:sz w:val="24"/>
          <w:szCs w:val="24"/>
          <w:lang w:val="is-IS"/>
        </w:rPr>
        <w:t>Virðingarfyllst</w:t>
      </w:r>
      <w:r w:rsidR="005B2303" w:rsidRPr="00E47F30">
        <w:rPr>
          <w:rFonts w:asciiTheme="majorHAnsi" w:hAnsiTheme="majorHAnsi" w:cstheme="majorHAnsi"/>
          <w:sz w:val="24"/>
          <w:szCs w:val="24"/>
          <w:lang w:val="en-US"/>
        </w:rPr>
        <w:t>,</w:t>
      </w:r>
    </w:p>
    <w:p w14:paraId="104C89BB" w14:textId="77777777" w:rsidR="005B2303" w:rsidRPr="00E47F30"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Mathilda Stenman, Manager External Affairs Sweden &amp; Iceland</w:t>
      </w:r>
    </w:p>
    <w:p w14:paraId="634C72F2" w14:textId="77777777" w:rsidR="005B2303" w:rsidRPr="00E47F30" w:rsidRDefault="00857D33" w:rsidP="005B2303">
      <w:pPr>
        <w:rPr>
          <w:rFonts w:asciiTheme="majorHAnsi" w:hAnsiTheme="majorHAnsi" w:cstheme="majorHAnsi"/>
          <w:sz w:val="24"/>
          <w:szCs w:val="24"/>
          <w:lang w:val="en-US"/>
        </w:rPr>
      </w:pPr>
      <w:hyperlink r:id="rId8" w:history="1">
        <w:r w:rsidR="005B2303" w:rsidRPr="00E47F30">
          <w:rPr>
            <w:rStyle w:val="Hyperlink"/>
            <w:rFonts w:asciiTheme="majorHAnsi" w:hAnsiTheme="majorHAnsi" w:cstheme="majorHAnsi"/>
            <w:sz w:val="24"/>
            <w:szCs w:val="24"/>
            <w:lang w:val="en-US"/>
          </w:rPr>
          <w:t>Mathilda.Stenman@pmi.com</w:t>
        </w:r>
      </w:hyperlink>
    </w:p>
    <w:p w14:paraId="06E2879B" w14:textId="2DA178AD" w:rsidR="005B2303" w:rsidRDefault="005B2303" w:rsidP="005B2303">
      <w:pPr>
        <w:rPr>
          <w:rFonts w:asciiTheme="majorHAnsi" w:hAnsiTheme="majorHAnsi" w:cstheme="majorHAnsi"/>
          <w:sz w:val="24"/>
          <w:szCs w:val="24"/>
          <w:lang w:val="en-US"/>
        </w:rPr>
      </w:pPr>
      <w:r w:rsidRPr="00E47F30">
        <w:rPr>
          <w:rFonts w:asciiTheme="majorHAnsi" w:hAnsiTheme="majorHAnsi" w:cstheme="majorHAnsi"/>
          <w:sz w:val="24"/>
          <w:szCs w:val="24"/>
          <w:lang w:val="en-US"/>
        </w:rPr>
        <w:t>+46 704 50 59 38</w:t>
      </w:r>
    </w:p>
    <w:p w14:paraId="6D256768" w14:textId="72496F05" w:rsidR="00E46051" w:rsidRPr="00FB04CD" w:rsidRDefault="00E46051" w:rsidP="00E46051">
      <w:pPr>
        <w:rPr>
          <w:rFonts w:asciiTheme="majorHAnsi" w:hAnsiTheme="majorHAnsi" w:cstheme="majorHAnsi"/>
          <w:sz w:val="24"/>
          <w:szCs w:val="24"/>
          <w:lang w:val="is-IS"/>
        </w:rPr>
      </w:pPr>
      <w:proofErr w:type="spellStart"/>
      <w:r w:rsidRPr="00FB04CD">
        <w:rPr>
          <w:rFonts w:asciiTheme="majorHAnsi" w:hAnsiTheme="majorHAnsi" w:cstheme="majorHAnsi"/>
          <w:sz w:val="24"/>
          <w:szCs w:val="24"/>
          <w:lang w:val="is-IS"/>
        </w:rPr>
        <w:t>Philip</w:t>
      </w:r>
      <w:proofErr w:type="spellEnd"/>
      <w:r w:rsidRPr="00FB04CD">
        <w:rPr>
          <w:rFonts w:asciiTheme="majorHAnsi" w:hAnsiTheme="majorHAnsi" w:cstheme="majorHAnsi"/>
          <w:sz w:val="24"/>
          <w:szCs w:val="24"/>
          <w:lang w:val="is-IS"/>
        </w:rPr>
        <w:t xml:space="preserve"> Morris AB</w:t>
      </w:r>
      <w:r w:rsidR="00FB04CD">
        <w:rPr>
          <w:rFonts w:asciiTheme="majorHAnsi" w:hAnsiTheme="majorHAnsi" w:cstheme="majorHAnsi"/>
          <w:sz w:val="24"/>
          <w:szCs w:val="24"/>
          <w:lang w:val="is-IS"/>
        </w:rPr>
        <w:br/>
      </w:r>
      <w:proofErr w:type="spellStart"/>
      <w:r w:rsidRPr="00FB04CD">
        <w:rPr>
          <w:rFonts w:asciiTheme="majorHAnsi" w:hAnsiTheme="majorHAnsi" w:cstheme="majorHAnsi"/>
          <w:sz w:val="24"/>
          <w:szCs w:val="24"/>
          <w:lang w:val="is-IS"/>
        </w:rPr>
        <w:t>Karlavägen</w:t>
      </w:r>
      <w:proofErr w:type="spellEnd"/>
      <w:r w:rsidRPr="00FB04CD">
        <w:rPr>
          <w:rFonts w:asciiTheme="majorHAnsi" w:hAnsiTheme="majorHAnsi" w:cstheme="majorHAnsi"/>
          <w:sz w:val="24"/>
          <w:szCs w:val="24"/>
          <w:lang w:val="is-IS"/>
        </w:rPr>
        <w:t xml:space="preserve"> 108</w:t>
      </w:r>
      <w:r w:rsidR="00FB04CD">
        <w:rPr>
          <w:rFonts w:asciiTheme="majorHAnsi" w:hAnsiTheme="majorHAnsi" w:cstheme="majorHAnsi"/>
          <w:sz w:val="24"/>
          <w:szCs w:val="24"/>
          <w:lang w:val="is-IS"/>
        </w:rPr>
        <w:br/>
      </w:r>
      <w:r w:rsidRPr="00FB04CD">
        <w:rPr>
          <w:rFonts w:asciiTheme="majorHAnsi" w:hAnsiTheme="majorHAnsi" w:cstheme="majorHAnsi"/>
          <w:sz w:val="24"/>
          <w:szCs w:val="24"/>
          <w:lang w:val="is-IS"/>
        </w:rPr>
        <w:t>Box 24242</w:t>
      </w:r>
      <w:r w:rsidR="00FB04CD">
        <w:rPr>
          <w:rFonts w:asciiTheme="majorHAnsi" w:hAnsiTheme="majorHAnsi" w:cstheme="majorHAnsi"/>
          <w:sz w:val="24"/>
          <w:szCs w:val="24"/>
          <w:lang w:val="is-IS"/>
        </w:rPr>
        <w:br/>
      </w:r>
      <w:r w:rsidRPr="00FB04CD">
        <w:rPr>
          <w:rFonts w:asciiTheme="majorHAnsi" w:hAnsiTheme="majorHAnsi" w:cstheme="majorHAnsi"/>
          <w:sz w:val="24"/>
          <w:szCs w:val="24"/>
          <w:lang w:val="is-IS"/>
        </w:rPr>
        <w:t xml:space="preserve">S-104 51 </w:t>
      </w:r>
      <w:proofErr w:type="spellStart"/>
      <w:r w:rsidRPr="00FB04CD">
        <w:rPr>
          <w:rFonts w:asciiTheme="majorHAnsi" w:hAnsiTheme="majorHAnsi" w:cstheme="majorHAnsi"/>
          <w:sz w:val="24"/>
          <w:szCs w:val="24"/>
          <w:lang w:val="is-IS"/>
        </w:rPr>
        <w:t>Stockholm</w:t>
      </w:r>
      <w:proofErr w:type="spellEnd"/>
    </w:p>
    <w:p w14:paraId="269F4D3B" w14:textId="77777777" w:rsidR="00E46051" w:rsidRPr="00E47F30" w:rsidRDefault="00E46051" w:rsidP="005B2303">
      <w:pPr>
        <w:rPr>
          <w:rFonts w:asciiTheme="majorHAnsi" w:hAnsiTheme="majorHAnsi" w:cstheme="majorHAnsi"/>
          <w:sz w:val="24"/>
          <w:szCs w:val="24"/>
          <w:lang w:val="en-US"/>
        </w:rPr>
      </w:pPr>
    </w:p>
    <w:p w14:paraId="3B79090B" w14:textId="77777777" w:rsidR="005B2303" w:rsidRPr="00E47F30" w:rsidRDefault="005B2303" w:rsidP="005B2303">
      <w:pPr>
        <w:rPr>
          <w:rFonts w:asciiTheme="majorHAnsi" w:hAnsiTheme="majorHAnsi" w:cstheme="majorHAnsi"/>
          <w:sz w:val="24"/>
          <w:szCs w:val="24"/>
          <w:lang w:val="en-US"/>
        </w:rPr>
      </w:pPr>
    </w:p>
    <w:p w14:paraId="2205B65A" w14:textId="77777777" w:rsidR="005B2303" w:rsidRPr="00E47F30" w:rsidRDefault="005B2303" w:rsidP="005B2303">
      <w:pPr>
        <w:rPr>
          <w:rFonts w:asciiTheme="majorHAnsi" w:hAnsiTheme="majorHAnsi" w:cstheme="majorHAnsi"/>
          <w:sz w:val="24"/>
          <w:szCs w:val="24"/>
          <w:lang w:val="sv-SE"/>
        </w:rPr>
      </w:pPr>
    </w:p>
    <w:sectPr w:rsidR="005B2303" w:rsidRPr="00E47F30" w:rsidSect="009F6425">
      <w:headerReference w:type="first" r:id="rId9"/>
      <w:pgSz w:w="12240" w:h="15840"/>
      <w:pgMar w:top="1417" w:right="1417" w:bottom="1417"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A665" w14:textId="77777777" w:rsidR="002D6409" w:rsidRDefault="002D6409" w:rsidP="009C6590">
      <w:pPr>
        <w:spacing w:after="0"/>
      </w:pPr>
      <w:r>
        <w:separator/>
      </w:r>
    </w:p>
  </w:endnote>
  <w:endnote w:type="continuationSeparator" w:id="0">
    <w:p w14:paraId="14391C36" w14:textId="77777777" w:rsidR="002D6409" w:rsidRDefault="002D6409" w:rsidP="009C6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B03B" w14:textId="77777777" w:rsidR="002D6409" w:rsidRDefault="002D6409" w:rsidP="009C6590">
      <w:pPr>
        <w:spacing w:after="0"/>
      </w:pPr>
      <w:r>
        <w:separator/>
      </w:r>
    </w:p>
  </w:footnote>
  <w:footnote w:type="continuationSeparator" w:id="0">
    <w:p w14:paraId="2947666E" w14:textId="77777777" w:rsidR="002D6409" w:rsidRDefault="002D6409" w:rsidP="009C6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B1E8" w14:textId="77777777" w:rsidR="009F6425" w:rsidRDefault="009F6425">
    <w:pPr>
      <w:pStyle w:val="Header"/>
    </w:pPr>
    <w:r>
      <w:rPr>
        <w:noProof/>
        <w:color w:val="1F497D"/>
        <w:lang w:val="sv-SE" w:eastAsia="sv-SE" w:bidi="ar-SA"/>
      </w:rPr>
      <w:drawing>
        <wp:inline distT="0" distB="0" distL="0" distR="0" wp14:anchorId="3D3F72B6" wp14:editId="462073C7">
          <wp:extent cx="1943100" cy="942975"/>
          <wp:effectExtent l="0" t="0" r="0" b="9525"/>
          <wp:docPr id="2" name="Picture 2" descr="cid:image003.png@01CFFEA5.A24F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FEA5.A24F52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431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F7F"/>
    <w:multiLevelType w:val="multilevel"/>
    <w:tmpl w:val="71A43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A4116C"/>
    <w:multiLevelType w:val="hybridMultilevel"/>
    <w:tmpl w:val="9D80C6CE"/>
    <w:lvl w:ilvl="0" w:tplc="35B021E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D0A7859"/>
    <w:multiLevelType w:val="hybridMultilevel"/>
    <w:tmpl w:val="796ED5F4"/>
    <w:lvl w:ilvl="0" w:tplc="040F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6DE752D"/>
    <w:multiLevelType w:val="hybridMultilevel"/>
    <w:tmpl w:val="019636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8D20D2"/>
    <w:multiLevelType w:val="hybridMultilevel"/>
    <w:tmpl w:val="6852A79A"/>
    <w:lvl w:ilvl="0" w:tplc="965E1C1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192013A0"/>
    <w:multiLevelType w:val="hybridMultilevel"/>
    <w:tmpl w:val="223E1942"/>
    <w:lvl w:ilvl="0" w:tplc="532AE58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C2330A0"/>
    <w:multiLevelType w:val="hybridMultilevel"/>
    <w:tmpl w:val="660E7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6F48CD"/>
    <w:multiLevelType w:val="hybridMultilevel"/>
    <w:tmpl w:val="5B4A9F70"/>
    <w:lvl w:ilvl="0" w:tplc="32D6C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16856"/>
    <w:multiLevelType w:val="hybridMultilevel"/>
    <w:tmpl w:val="1A3271E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8E1603C"/>
    <w:multiLevelType w:val="hybridMultilevel"/>
    <w:tmpl w:val="28CEACD2"/>
    <w:lvl w:ilvl="0" w:tplc="EFECC92C">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0" w15:restartNumberingAfterBreak="0">
    <w:nsid w:val="38EB53A6"/>
    <w:multiLevelType w:val="hybridMultilevel"/>
    <w:tmpl w:val="2BCC84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E6D1965"/>
    <w:multiLevelType w:val="hybridMultilevel"/>
    <w:tmpl w:val="A2CA9688"/>
    <w:lvl w:ilvl="0" w:tplc="D35AA7B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3ED818AF"/>
    <w:multiLevelType w:val="hybridMultilevel"/>
    <w:tmpl w:val="A7108810"/>
    <w:lvl w:ilvl="0" w:tplc="3B0A467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322BB1"/>
    <w:multiLevelType w:val="hybridMultilevel"/>
    <w:tmpl w:val="6A3294A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96F712C"/>
    <w:multiLevelType w:val="hybridMultilevel"/>
    <w:tmpl w:val="420C4B94"/>
    <w:lvl w:ilvl="0" w:tplc="EE6E9BB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4EF42467"/>
    <w:multiLevelType w:val="multilevel"/>
    <w:tmpl w:val="71A43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43830DE"/>
    <w:multiLevelType w:val="hybridMultilevel"/>
    <w:tmpl w:val="420C46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4824EDD"/>
    <w:multiLevelType w:val="hybridMultilevel"/>
    <w:tmpl w:val="525611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67F73436"/>
    <w:multiLevelType w:val="hybridMultilevel"/>
    <w:tmpl w:val="C6367B86"/>
    <w:lvl w:ilvl="0" w:tplc="4AC6E884">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78A17FE2"/>
    <w:multiLevelType w:val="hybridMultilevel"/>
    <w:tmpl w:val="ACEC6384"/>
    <w:lvl w:ilvl="0" w:tplc="7E34EFCA">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1255866900">
    <w:abstractNumId w:val="8"/>
  </w:num>
  <w:num w:numId="2" w16cid:durableId="744376834">
    <w:abstractNumId w:val="16"/>
  </w:num>
  <w:num w:numId="3" w16cid:durableId="1135682502">
    <w:abstractNumId w:val="11"/>
  </w:num>
  <w:num w:numId="4" w16cid:durableId="2099014337">
    <w:abstractNumId w:val="9"/>
  </w:num>
  <w:num w:numId="5" w16cid:durableId="375470976">
    <w:abstractNumId w:val="1"/>
  </w:num>
  <w:num w:numId="6" w16cid:durableId="1092314660">
    <w:abstractNumId w:val="4"/>
  </w:num>
  <w:num w:numId="7" w16cid:durableId="484246391">
    <w:abstractNumId w:val="5"/>
  </w:num>
  <w:num w:numId="8" w16cid:durableId="1026060634">
    <w:abstractNumId w:val="14"/>
  </w:num>
  <w:num w:numId="9" w16cid:durableId="1651596678">
    <w:abstractNumId w:val="3"/>
  </w:num>
  <w:num w:numId="10" w16cid:durableId="1105734777">
    <w:abstractNumId w:val="12"/>
  </w:num>
  <w:num w:numId="11" w16cid:durableId="1669864357">
    <w:abstractNumId w:val="6"/>
  </w:num>
  <w:num w:numId="12" w16cid:durableId="8414123">
    <w:abstractNumId w:val="0"/>
  </w:num>
  <w:num w:numId="13" w16cid:durableId="1107315262">
    <w:abstractNumId w:val="15"/>
  </w:num>
  <w:num w:numId="14" w16cid:durableId="306858656">
    <w:abstractNumId w:val="7"/>
  </w:num>
  <w:num w:numId="15" w16cid:durableId="1201090048">
    <w:abstractNumId w:val="17"/>
  </w:num>
  <w:num w:numId="16" w16cid:durableId="2043051020">
    <w:abstractNumId w:val="13"/>
  </w:num>
  <w:num w:numId="17" w16cid:durableId="151528682">
    <w:abstractNumId w:val="10"/>
  </w:num>
  <w:num w:numId="18" w16cid:durableId="1387220490">
    <w:abstractNumId w:val="2"/>
  </w:num>
  <w:num w:numId="19" w16cid:durableId="1545020456">
    <w:abstractNumId w:val="19"/>
  </w:num>
  <w:num w:numId="20" w16cid:durableId="17339177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48"/>
    <w:rsid w:val="0000082C"/>
    <w:rsid w:val="00040570"/>
    <w:rsid w:val="000878AB"/>
    <w:rsid w:val="000A0746"/>
    <w:rsid w:val="000A277F"/>
    <w:rsid w:val="000B13E3"/>
    <w:rsid w:val="000C12BD"/>
    <w:rsid w:val="000D0048"/>
    <w:rsid w:val="000D16CF"/>
    <w:rsid w:val="000F5286"/>
    <w:rsid w:val="00103885"/>
    <w:rsid w:val="00146BBE"/>
    <w:rsid w:val="0018221F"/>
    <w:rsid w:val="001903B7"/>
    <w:rsid w:val="001C76F2"/>
    <w:rsid w:val="001D1847"/>
    <w:rsid w:val="001D6CDE"/>
    <w:rsid w:val="001E0437"/>
    <w:rsid w:val="001F0DAD"/>
    <w:rsid w:val="00227F72"/>
    <w:rsid w:val="00243A24"/>
    <w:rsid w:val="0026207E"/>
    <w:rsid w:val="0026312F"/>
    <w:rsid w:val="00294AB5"/>
    <w:rsid w:val="00297659"/>
    <w:rsid w:val="002A3CDE"/>
    <w:rsid w:val="002C4B30"/>
    <w:rsid w:val="002D6409"/>
    <w:rsid w:val="002F5281"/>
    <w:rsid w:val="00366271"/>
    <w:rsid w:val="00385EAF"/>
    <w:rsid w:val="00387B48"/>
    <w:rsid w:val="003A37BA"/>
    <w:rsid w:val="003D0B28"/>
    <w:rsid w:val="003E481A"/>
    <w:rsid w:val="004159B7"/>
    <w:rsid w:val="00423064"/>
    <w:rsid w:val="00461D29"/>
    <w:rsid w:val="004A1EE4"/>
    <w:rsid w:val="004A20AC"/>
    <w:rsid w:val="004B1FEA"/>
    <w:rsid w:val="004B390D"/>
    <w:rsid w:val="004C462B"/>
    <w:rsid w:val="004D4313"/>
    <w:rsid w:val="004F6562"/>
    <w:rsid w:val="00534D09"/>
    <w:rsid w:val="00535FF5"/>
    <w:rsid w:val="00555C70"/>
    <w:rsid w:val="005613FF"/>
    <w:rsid w:val="005B2303"/>
    <w:rsid w:val="005B2900"/>
    <w:rsid w:val="005D6652"/>
    <w:rsid w:val="005F5DDD"/>
    <w:rsid w:val="00607D84"/>
    <w:rsid w:val="006160B5"/>
    <w:rsid w:val="00621103"/>
    <w:rsid w:val="0062647C"/>
    <w:rsid w:val="00631014"/>
    <w:rsid w:val="00645631"/>
    <w:rsid w:val="0065553A"/>
    <w:rsid w:val="00670E1B"/>
    <w:rsid w:val="006822B3"/>
    <w:rsid w:val="00684A5D"/>
    <w:rsid w:val="006C23A1"/>
    <w:rsid w:val="006E0DBD"/>
    <w:rsid w:val="006E57E2"/>
    <w:rsid w:val="0070062F"/>
    <w:rsid w:val="00702F2F"/>
    <w:rsid w:val="007447F7"/>
    <w:rsid w:val="00747ABE"/>
    <w:rsid w:val="00747C54"/>
    <w:rsid w:val="00794A10"/>
    <w:rsid w:val="00795B77"/>
    <w:rsid w:val="007A2BD3"/>
    <w:rsid w:val="007B1BA6"/>
    <w:rsid w:val="007E3D9A"/>
    <w:rsid w:val="007F1B62"/>
    <w:rsid w:val="007F6D88"/>
    <w:rsid w:val="00804945"/>
    <w:rsid w:val="00813616"/>
    <w:rsid w:val="008154D4"/>
    <w:rsid w:val="00816B5C"/>
    <w:rsid w:val="008212F2"/>
    <w:rsid w:val="00832B33"/>
    <w:rsid w:val="00837AF9"/>
    <w:rsid w:val="00850C7E"/>
    <w:rsid w:val="00857D33"/>
    <w:rsid w:val="008C6157"/>
    <w:rsid w:val="008D6973"/>
    <w:rsid w:val="008D7BB2"/>
    <w:rsid w:val="00910554"/>
    <w:rsid w:val="00914D2C"/>
    <w:rsid w:val="0093429C"/>
    <w:rsid w:val="00957DF5"/>
    <w:rsid w:val="00970AB9"/>
    <w:rsid w:val="009811BD"/>
    <w:rsid w:val="009851E1"/>
    <w:rsid w:val="00986002"/>
    <w:rsid w:val="009B6DE6"/>
    <w:rsid w:val="009C6590"/>
    <w:rsid w:val="009D626B"/>
    <w:rsid w:val="009F6425"/>
    <w:rsid w:val="00A0099D"/>
    <w:rsid w:val="00A54502"/>
    <w:rsid w:val="00A568AB"/>
    <w:rsid w:val="00A64F37"/>
    <w:rsid w:val="00AC5296"/>
    <w:rsid w:val="00AC6EDB"/>
    <w:rsid w:val="00AD0A29"/>
    <w:rsid w:val="00AE2DC3"/>
    <w:rsid w:val="00B27622"/>
    <w:rsid w:val="00B373E2"/>
    <w:rsid w:val="00B5313D"/>
    <w:rsid w:val="00BE17BA"/>
    <w:rsid w:val="00BF09DB"/>
    <w:rsid w:val="00BF4AA3"/>
    <w:rsid w:val="00BF4F63"/>
    <w:rsid w:val="00BF7A71"/>
    <w:rsid w:val="00C25FDF"/>
    <w:rsid w:val="00C41FB2"/>
    <w:rsid w:val="00C45F40"/>
    <w:rsid w:val="00C63FBC"/>
    <w:rsid w:val="00C800FA"/>
    <w:rsid w:val="00C86E72"/>
    <w:rsid w:val="00CA56BC"/>
    <w:rsid w:val="00D23DAC"/>
    <w:rsid w:val="00D32FA0"/>
    <w:rsid w:val="00D411D8"/>
    <w:rsid w:val="00D5279D"/>
    <w:rsid w:val="00D53FBC"/>
    <w:rsid w:val="00D546F3"/>
    <w:rsid w:val="00D550A1"/>
    <w:rsid w:val="00D602AA"/>
    <w:rsid w:val="00D92DCB"/>
    <w:rsid w:val="00DA75BC"/>
    <w:rsid w:val="00DB6CB4"/>
    <w:rsid w:val="00E32F4F"/>
    <w:rsid w:val="00E422DA"/>
    <w:rsid w:val="00E433DD"/>
    <w:rsid w:val="00E46051"/>
    <w:rsid w:val="00E47F30"/>
    <w:rsid w:val="00E5159B"/>
    <w:rsid w:val="00E81713"/>
    <w:rsid w:val="00E97D4A"/>
    <w:rsid w:val="00EA0F1F"/>
    <w:rsid w:val="00EE0300"/>
    <w:rsid w:val="00EE6352"/>
    <w:rsid w:val="00F3087F"/>
    <w:rsid w:val="00F57DF0"/>
    <w:rsid w:val="00F85182"/>
    <w:rsid w:val="00FB04CD"/>
    <w:rsid w:val="00FB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DF673"/>
  <w14:defaultImageDpi w14:val="300"/>
  <w15:docId w15:val="{E72AD439-44FC-4E4A-BD9A-D44862E8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7B48"/>
    <w:pPr>
      <w:spacing w:after="200"/>
    </w:pPr>
    <w:rPr>
      <w:sz w:val="22"/>
      <w:szCs w:val="20"/>
    </w:rPr>
  </w:style>
  <w:style w:type="paragraph" w:styleId="Heading2">
    <w:name w:val="heading 2"/>
    <w:basedOn w:val="Normal"/>
    <w:next w:val="Normal"/>
    <w:link w:val="Heading2Char"/>
    <w:uiPriority w:val="9"/>
    <w:unhideWhenUsed/>
    <w:qFormat/>
    <w:rsid w:val="00E422D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sv-S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rsid w:val="00387B4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Normal"/>
    <w:next w:val="Normal"/>
    <w:semiHidden/>
    <w:rsid w:val="00387B48"/>
    <w:pPr>
      <w:spacing w:after="120"/>
    </w:pPr>
    <w:rPr>
      <w:sz w:val="2"/>
      <w:szCs w:val="2"/>
    </w:rPr>
  </w:style>
  <w:style w:type="paragraph" w:customStyle="1" w:styleId="underline">
    <w:name w:val="underline"/>
    <w:semiHidden/>
    <w:rsid w:val="00387B48"/>
    <w:pPr>
      <w:pBdr>
        <w:bottom w:val="single" w:sz="8" w:space="2" w:color="C6C6C6"/>
      </w:pBdr>
    </w:pPr>
    <w:rPr>
      <w:sz w:val="2"/>
      <w:szCs w:val="2"/>
    </w:rPr>
  </w:style>
  <w:style w:type="paragraph" w:styleId="ListParagraph">
    <w:name w:val="List Paragraph"/>
    <w:basedOn w:val="Normal"/>
    <w:uiPriority w:val="34"/>
    <w:qFormat/>
    <w:rsid w:val="00387B48"/>
    <w:pPr>
      <w:ind w:left="720"/>
      <w:contextualSpacing/>
    </w:pPr>
  </w:style>
  <w:style w:type="character" w:styleId="Hyperlink">
    <w:name w:val="Hyperlink"/>
    <w:basedOn w:val="DefaultParagraphFont"/>
    <w:uiPriority w:val="99"/>
    <w:unhideWhenUsed/>
    <w:rsid w:val="00387B48"/>
    <w:rPr>
      <w:color w:val="0000FF" w:themeColor="hyperlink"/>
      <w:u w:val="single"/>
    </w:rPr>
  </w:style>
  <w:style w:type="paragraph" w:customStyle="1" w:styleId="Default">
    <w:name w:val="Default"/>
    <w:rsid w:val="00387B48"/>
    <w:pPr>
      <w:autoSpaceDE w:val="0"/>
      <w:autoSpaceDN w:val="0"/>
      <w:adjustRightInd w:val="0"/>
    </w:pPr>
    <w:rPr>
      <w:rFonts w:ascii="Times New Roman" w:eastAsiaTheme="minorHAnsi" w:hAnsi="Times New Roman" w:cs="Times New Roman"/>
      <w:color w:val="000000"/>
    </w:rPr>
  </w:style>
  <w:style w:type="character" w:styleId="PlaceholderText">
    <w:name w:val="Placeholder Text"/>
    <w:basedOn w:val="DefaultParagraphFont"/>
    <w:uiPriority w:val="99"/>
    <w:semiHidden/>
    <w:rsid w:val="00387B48"/>
    <w:rPr>
      <w:color w:val="808080"/>
    </w:rPr>
  </w:style>
  <w:style w:type="paragraph" w:styleId="BalloonText">
    <w:name w:val="Balloon Text"/>
    <w:basedOn w:val="Normal"/>
    <w:link w:val="BalloonTextChar"/>
    <w:uiPriority w:val="99"/>
    <w:semiHidden/>
    <w:unhideWhenUsed/>
    <w:rsid w:val="00D23D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DAC"/>
    <w:rPr>
      <w:rFonts w:ascii="Segoe UI" w:hAnsi="Segoe UI" w:cs="Segoe UI"/>
      <w:sz w:val="18"/>
      <w:szCs w:val="18"/>
    </w:rPr>
  </w:style>
  <w:style w:type="character" w:styleId="FollowedHyperlink">
    <w:name w:val="FollowedHyperlink"/>
    <w:basedOn w:val="DefaultParagraphFont"/>
    <w:uiPriority w:val="99"/>
    <w:semiHidden/>
    <w:unhideWhenUsed/>
    <w:rsid w:val="0026207E"/>
    <w:rPr>
      <w:color w:val="800080" w:themeColor="followedHyperlink"/>
      <w:u w:val="single"/>
    </w:rPr>
  </w:style>
  <w:style w:type="paragraph" w:styleId="FootnoteText">
    <w:name w:val="footnote text"/>
    <w:basedOn w:val="Normal"/>
    <w:link w:val="FootnoteTextChar"/>
    <w:uiPriority w:val="99"/>
    <w:unhideWhenUsed/>
    <w:rsid w:val="009C6590"/>
    <w:pPr>
      <w:spacing w:after="0"/>
    </w:pPr>
    <w:rPr>
      <w:sz w:val="20"/>
    </w:rPr>
  </w:style>
  <w:style w:type="character" w:customStyle="1" w:styleId="FootnoteTextChar">
    <w:name w:val="Footnote Text Char"/>
    <w:basedOn w:val="DefaultParagraphFont"/>
    <w:link w:val="FootnoteText"/>
    <w:uiPriority w:val="99"/>
    <w:rsid w:val="009C6590"/>
    <w:rPr>
      <w:sz w:val="20"/>
      <w:szCs w:val="20"/>
    </w:rPr>
  </w:style>
  <w:style w:type="character" w:styleId="FootnoteReference">
    <w:name w:val="footnote reference"/>
    <w:basedOn w:val="DefaultParagraphFont"/>
    <w:uiPriority w:val="99"/>
    <w:semiHidden/>
    <w:unhideWhenUsed/>
    <w:rsid w:val="009C6590"/>
    <w:rPr>
      <w:vertAlign w:val="superscript"/>
    </w:rPr>
  </w:style>
  <w:style w:type="character" w:customStyle="1" w:styleId="topdescriptionbody1">
    <w:name w:val="topdescription_body1"/>
    <w:basedOn w:val="DefaultParagraphFont"/>
    <w:rsid w:val="009C6590"/>
    <w:rPr>
      <w:color w:val="8B8D09"/>
      <w:sz w:val="23"/>
      <w:szCs w:val="23"/>
    </w:rPr>
  </w:style>
  <w:style w:type="character" w:styleId="CommentReference">
    <w:name w:val="annotation reference"/>
    <w:basedOn w:val="DefaultParagraphFont"/>
    <w:unhideWhenUsed/>
    <w:rsid w:val="00D546F3"/>
    <w:rPr>
      <w:sz w:val="16"/>
      <w:szCs w:val="16"/>
    </w:rPr>
  </w:style>
  <w:style w:type="paragraph" w:styleId="CommentText">
    <w:name w:val="annotation text"/>
    <w:basedOn w:val="Normal"/>
    <w:link w:val="CommentTextChar"/>
    <w:unhideWhenUsed/>
    <w:rsid w:val="00D546F3"/>
    <w:rPr>
      <w:sz w:val="20"/>
    </w:rPr>
  </w:style>
  <w:style w:type="character" w:customStyle="1" w:styleId="CommentTextChar">
    <w:name w:val="Comment Text Char"/>
    <w:basedOn w:val="DefaultParagraphFont"/>
    <w:link w:val="CommentText"/>
    <w:rsid w:val="00D546F3"/>
    <w:rPr>
      <w:sz w:val="20"/>
      <w:szCs w:val="20"/>
    </w:rPr>
  </w:style>
  <w:style w:type="paragraph" w:styleId="CommentSubject">
    <w:name w:val="annotation subject"/>
    <w:basedOn w:val="CommentText"/>
    <w:next w:val="CommentText"/>
    <w:link w:val="CommentSubjectChar"/>
    <w:uiPriority w:val="99"/>
    <w:semiHidden/>
    <w:unhideWhenUsed/>
    <w:rsid w:val="00D546F3"/>
    <w:rPr>
      <w:b/>
      <w:bCs/>
    </w:rPr>
  </w:style>
  <w:style w:type="character" w:customStyle="1" w:styleId="CommentSubjectChar">
    <w:name w:val="Comment Subject Char"/>
    <w:basedOn w:val="CommentTextChar"/>
    <w:link w:val="CommentSubject"/>
    <w:uiPriority w:val="99"/>
    <w:semiHidden/>
    <w:rsid w:val="00D546F3"/>
    <w:rPr>
      <w:b/>
      <w:bCs/>
      <w:sz w:val="20"/>
      <w:szCs w:val="20"/>
    </w:rPr>
  </w:style>
  <w:style w:type="paragraph" w:styleId="TOC6">
    <w:name w:val="toc 6"/>
    <w:basedOn w:val="Normal"/>
    <w:next w:val="Normal"/>
    <w:rsid w:val="000878AB"/>
    <w:pPr>
      <w:tabs>
        <w:tab w:val="right" w:leader="dot" w:pos="9062"/>
      </w:tabs>
      <w:suppressAutoHyphens/>
      <w:spacing w:after="0" w:line="280" w:lineRule="atLeast"/>
      <w:ind w:left="1701" w:hanging="1701"/>
      <w:jc w:val="both"/>
    </w:pPr>
    <w:rPr>
      <w:rFonts w:ascii="Arial" w:eastAsia="Times New Roman" w:hAnsi="Arial" w:cs="Arial"/>
      <w:noProof/>
      <w:sz w:val="20"/>
      <w:szCs w:val="24"/>
      <w:lang w:eastAsia="nl-NL" w:bidi="ar-SA"/>
    </w:rPr>
  </w:style>
  <w:style w:type="paragraph" w:customStyle="1" w:styleId="CM11">
    <w:name w:val="CM1+1"/>
    <w:basedOn w:val="Default"/>
    <w:next w:val="Default"/>
    <w:uiPriority w:val="99"/>
    <w:rsid w:val="00607D84"/>
    <w:rPr>
      <w:rFonts w:ascii="EUAlbertina" w:eastAsiaTheme="minorEastAsia" w:hAnsi="EUAlbertina" w:cstheme="minorBidi"/>
      <w:color w:val="auto"/>
      <w:lang w:val="sv-SE" w:bidi="ar-SA"/>
    </w:rPr>
  </w:style>
  <w:style w:type="paragraph" w:customStyle="1" w:styleId="CM31">
    <w:name w:val="CM3+1"/>
    <w:basedOn w:val="Default"/>
    <w:next w:val="Default"/>
    <w:uiPriority w:val="99"/>
    <w:rsid w:val="00607D84"/>
    <w:rPr>
      <w:rFonts w:ascii="EUAlbertina" w:eastAsiaTheme="minorEastAsia" w:hAnsi="EUAlbertina" w:cstheme="minorBidi"/>
      <w:color w:val="auto"/>
      <w:lang w:val="sv-SE" w:bidi="ar-SA"/>
    </w:rPr>
  </w:style>
  <w:style w:type="character" w:customStyle="1" w:styleId="hps">
    <w:name w:val="hps"/>
    <w:basedOn w:val="DefaultParagraphFont"/>
    <w:rsid w:val="000D0048"/>
  </w:style>
  <w:style w:type="paragraph" w:styleId="Header">
    <w:name w:val="header"/>
    <w:basedOn w:val="Normal"/>
    <w:link w:val="HeaderChar"/>
    <w:uiPriority w:val="99"/>
    <w:unhideWhenUsed/>
    <w:rsid w:val="009F6425"/>
    <w:pPr>
      <w:tabs>
        <w:tab w:val="center" w:pos="4536"/>
        <w:tab w:val="right" w:pos="9072"/>
      </w:tabs>
      <w:spacing w:after="0"/>
    </w:pPr>
  </w:style>
  <w:style w:type="character" w:customStyle="1" w:styleId="HeaderChar">
    <w:name w:val="Header Char"/>
    <w:basedOn w:val="DefaultParagraphFont"/>
    <w:link w:val="Header"/>
    <w:uiPriority w:val="99"/>
    <w:rsid w:val="009F6425"/>
    <w:rPr>
      <w:sz w:val="22"/>
      <w:szCs w:val="20"/>
    </w:rPr>
  </w:style>
  <w:style w:type="paragraph" w:styleId="Footer">
    <w:name w:val="footer"/>
    <w:basedOn w:val="Normal"/>
    <w:link w:val="FooterChar"/>
    <w:uiPriority w:val="99"/>
    <w:unhideWhenUsed/>
    <w:rsid w:val="009F6425"/>
    <w:pPr>
      <w:tabs>
        <w:tab w:val="center" w:pos="4536"/>
        <w:tab w:val="right" w:pos="9072"/>
      </w:tabs>
      <w:spacing w:after="0"/>
    </w:pPr>
  </w:style>
  <w:style w:type="character" w:customStyle="1" w:styleId="FooterChar">
    <w:name w:val="Footer Char"/>
    <w:basedOn w:val="DefaultParagraphFont"/>
    <w:link w:val="Footer"/>
    <w:uiPriority w:val="99"/>
    <w:rsid w:val="009F6425"/>
    <w:rPr>
      <w:sz w:val="22"/>
      <w:szCs w:val="20"/>
    </w:rPr>
  </w:style>
  <w:style w:type="character" w:customStyle="1" w:styleId="Heading2Char">
    <w:name w:val="Heading 2 Char"/>
    <w:basedOn w:val="DefaultParagraphFont"/>
    <w:link w:val="Heading2"/>
    <w:uiPriority w:val="9"/>
    <w:rsid w:val="00E422DA"/>
    <w:rPr>
      <w:rFonts w:asciiTheme="majorHAnsi" w:eastAsiaTheme="majorEastAsia" w:hAnsiTheme="majorHAnsi" w:cstheme="majorBidi"/>
      <w:color w:val="365F91" w:themeColor="accent1" w:themeShade="BF"/>
      <w:sz w:val="26"/>
      <w:szCs w:val="26"/>
      <w:lang w:val="sv-SE" w:eastAsia="en-US" w:bidi="ar-SA"/>
    </w:rPr>
  </w:style>
  <w:style w:type="paragraph" w:styleId="NormalWeb">
    <w:name w:val="Normal (Web)"/>
    <w:basedOn w:val="Normal"/>
    <w:uiPriority w:val="99"/>
    <w:unhideWhenUsed/>
    <w:rsid w:val="00E422DA"/>
    <w:pPr>
      <w:spacing w:before="100" w:beforeAutospacing="1" w:after="100" w:afterAutospacing="1"/>
    </w:pPr>
    <w:rPr>
      <w:rFonts w:ascii="Times New Roman" w:eastAsiaTheme="minorHAnsi" w:hAnsi="Times New Roman" w:cs="Times New Roman"/>
      <w:sz w:val="24"/>
      <w:szCs w:val="24"/>
      <w:lang w:val="sv-SE" w:eastAsia="sv-SE" w:bidi="ar-SA"/>
    </w:rPr>
  </w:style>
  <w:style w:type="character" w:styleId="Emphasis">
    <w:name w:val="Emphasis"/>
    <w:basedOn w:val="DefaultParagraphFont"/>
    <w:uiPriority w:val="20"/>
    <w:qFormat/>
    <w:rsid w:val="007A2BD3"/>
    <w:rPr>
      <w:i/>
      <w:iCs/>
    </w:rPr>
  </w:style>
  <w:style w:type="paragraph" w:styleId="Revision">
    <w:name w:val="Revision"/>
    <w:hidden/>
    <w:uiPriority w:val="99"/>
    <w:semiHidden/>
    <w:rsid w:val="00D550A1"/>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17603">
      <w:bodyDiv w:val="1"/>
      <w:marLeft w:val="0"/>
      <w:marRight w:val="0"/>
      <w:marTop w:val="0"/>
      <w:marBottom w:val="0"/>
      <w:divBdr>
        <w:top w:val="none" w:sz="0" w:space="0" w:color="auto"/>
        <w:left w:val="none" w:sz="0" w:space="0" w:color="auto"/>
        <w:bottom w:val="none" w:sz="0" w:space="0" w:color="auto"/>
        <w:right w:val="none" w:sz="0" w:space="0" w:color="auto"/>
      </w:divBdr>
    </w:div>
    <w:div w:id="1009067806">
      <w:bodyDiv w:val="1"/>
      <w:marLeft w:val="0"/>
      <w:marRight w:val="0"/>
      <w:marTop w:val="0"/>
      <w:marBottom w:val="0"/>
      <w:divBdr>
        <w:top w:val="none" w:sz="0" w:space="0" w:color="auto"/>
        <w:left w:val="none" w:sz="0" w:space="0" w:color="auto"/>
        <w:bottom w:val="none" w:sz="0" w:space="0" w:color="auto"/>
        <w:right w:val="none" w:sz="0" w:space="0" w:color="auto"/>
      </w:divBdr>
    </w:div>
    <w:div w:id="1894462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hilda.Stenman@pm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CFFEA5.A24F52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E4FD-66D5-435F-860A-16897BC9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973</Words>
  <Characters>5548</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John Atherton Limited</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Atherton</dc:creator>
  <cp:keywords/>
  <dc:description/>
  <cp:lastModifiedBy>Ragnar Z. Guðjónsson | GreyTeam Íslandi</cp:lastModifiedBy>
  <cp:revision>3</cp:revision>
  <cp:lastPrinted>2014-11-12T11:31:00Z</cp:lastPrinted>
  <dcterms:created xsi:type="dcterms:W3CDTF">2022-10-11T16:29:00Z</dcterms:created>
  <dcterms:modified xsi:type="dcterms:W3CDTF">2022-10-12T09:09:00Z</dcterms:modified>
</cp:coreProperties>
</file>