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07" w:rsidRPr="00E377E4" w:rsidRDefault="00733307" w:rsidP="00E377E4">
      <w:pPr>
        <w:pStyle w:val="Title"/>
      </w:pPr>
    </w:p>
    <w:p w:rsidR="00733307" w:rsidRPr="00E377E4" w:rsidRDefault="007B1536" w:rsidP="00E377E4">
      <w:pPr>
        <w:pStyle w:val="Title"/>
      </w:pPr>
      <w:r>
        <w:t>Umsögn Mílu</w:t>
      </w:r>
    </w:p>
    <w:p w:rsidR="00733307" w:rsidRPr="00E377E4" w:rsidRDefault="00733307">
      <w:pPr>
        <w:spacing w:line="360" w:lineRule="auto"/>
        <w:rPr>
          <w:b/>
          <w:sz w:val="24"/>
        </w:rPr>
      </w:pPr>
    </w:p>
    <w:p w:rsidR="00733307" w:rsidRPr="00E377E4" w:rsidRDefault="00E97101">
      <w:pPr>
        <w:pStyle w:val="Heading3"/>
      </w:pPr>
      <w:r>
        <w:t>Efni:  Grænbók, fjarskipti og netöryggismál</w:t>
      </w:r>
      <w:r w:rsidR="00D36823">
        <w:t xml:space="preserve">. Umsögn Mílu </w:t>
      </w:r>
      <w:bookmarkStart w:id="0" w:name="_GoBack"/>
      <w:bookmarkEnd w:id="0"/>
      <w:r w:rsidR="00D36823">
        <w:t>dagsett 12. 10.2018</w:t>
      </w:r>
    </w:p>
    <w:p w:rsidR="00733307" w:rsidRPr="00E377E4" w:rsidRDefault="00733307"/>
    <w:p w:rsidR="007B1536" w:rsidRDefault="000F62BA" w:rsidP="007B1536">
      <w:pPr>
        <w:rPr>
          <w:rFonts w:ascii="Calibri" w:hAnsi="Calibri"/>
        </w:rPr>
      </w:pPr>
      <w:r>
        <w:t>Helstu áherslur Grænbókar er Míla gerir athugasemdir við:</w:t>
      </w:r>
    </w:p>
    <w:p w:rsidR="007B1536" w:rsidRDefault="007B1536" w:rsidP="007B1536"/>
    <w:p w:rsidR="007B1536" w:rsidRDefault="007B1536" w:rsidP="007B1536">
      <w:pPr>
        <w:pStyle w:val="ListParagraph"/>
        <w:numPr>
          <w:ilvl w:val="0"/>
          <w:numId w:val="5"/>
        </w:numPr>
        <w:contextualSpacing w:val="0"/>
      </w:pPr>
      <w:r>
        <w:t xml:space="preserve">Ljósleiðaravæðing þéttbýlis fyrir 2025.  </w:t>
      </w:r>
    </w:p>
    <w:p w:rsidR="007B1536" w:rsidRDefault="000F62BA" w:rsidP="007B1536">
      <w:pPr>
        <w:pStyle w:val="ListParagraph"/>
        <w:numPr>
          <w:ilvl w:val="1"/>
          <w:numId w:val="5"/>
        </w:numPr>
        <w:contextualSpacing w:val="0"/>
      </w:pPr>
      <w:r>
        <w:t>Míla telur vafasamt að r</w:t>
      </w:r>
      <w:r w:rsidR="007B1536">
        <w:t>íkisvaldið ákveði hvernig hagað verði ljósleiðaravæðingu þéttbýlis</w:t>
      </w:r>
    </w:p>
    <w:p w:rsidR="007B1536" w:rsidRDefault="007B1536" w:rsidP="007B1536">
      <w:pPr>
        <w:pStyle w:val="ListParagraph"/>
        <w:numPr>
          <w:ilvl w:val="1"/>
          <w:numId w:val="5"/>
        </w:numPr>
        <w:contextualSpacing w:val="0"/>
      </w:pPr>
      <w:r>
        <w:t>Að mati Mílu er það v</w:t>
      </w:r>
      <w:r>
        <w:t>erkefni markaðarins</w:t>
      </w:r>
    </w:p>
    <w:p w:rsidR="007B1536" w:rsidRDefault="007B1536" w:rsidP="007B1536">
      <w:pPr>
        <w:pStyle w:val="ListParagraph"/>
        <w:numPr>
          <w:ilvl w:val="1"/>
          <w:numId w:val="5"/>
        </w:numPr>
        <w:contextualSpacing w:val="0"/>
      </w:pPr>
      <w:r>
        <w:t>Á</w:t>
      </w:r>
      <w:r w:rsidR="000F62BA">
        <w:t xml:space="preserve">herslur ríkisvaldsins geta snúið að þjónustu til endanotanda og fyrirtækja en ekki binda við tækniútfærslur. </w:t>
      </w:r>
      <w:r>
        <w:t>Margar leiðir í tækni til að uppfylla þarfir</w:t>
      </w:r>
      <w:r w:rsidR="000F62BA">
        <w:t>.</w:t>
      </w:r>
    </w:p>
    <w:p w:rsidR="007B1536" w:rsidRDefault="007B1536" w:rsidP="007B1536"/>
    <w:p w:rsidR="007B1536" w:rsidRDefault="007B1536" w:rsidP="007B1536">
      <w:pPr>
        <w:pStyle w:val="ListParagraph"/>
        <w:numPr>
          <w:ilvl w:val="0"/>
          <w:numId w:val="5"/>
        </w:numPr>
        <w:contextualSpacing w:val="0"/>
      </w:pPr>
      <w:r>
        <w:t>Aðgangur að ljósleiðara.</w:t>
      </w:r>
    </w:p>
    <w:p w:rsidR="007B1536" w:rsidRDefault="007B1536" w:rsidP="007B1536">
      <w:pPr>
        <w:pStyle w:val="ListParagraph"/>
        <w:numPr>
          <w:ilvl w:val="1"/>
          <w:numId w:val="5"/>
        </w:numPr>
        <w:contextualSpacing w:val="0"/>
      </w:pPr>
      <w:r>
        <w:t>Samkeppnin ve</w:t>
      </w:r>
      <w:r>
        <w:t xml:space="preserve">rður í aðallega í tækni </w:t>
      </w:r>
      <w:r w:rsidR="000F62BA">
        <w:t>og þjónustu.</w:t>
      </w:r>
    </w:p>
    <w:p w:rsidR="007B1536" w:rsidRDefault="000F62BA" w:rsidP="007B1536">
      <w:pPr>
        <w:pStyle w:val="ListParagraph"/>
        <w:numPr>
          <w:ilvl w:val="1"/>
          <w:numId w:val="5"/>
        </w:numPr>
        <w:contextualSpacing w:val="0"/>
      </w:pPr>
      <w:r>
        <w:t xml:space="preserve">Ein ljósleiðaraheimtaug </w:t>
      </w:r>
      <w:r w:rsidR="007B1536">
        <w:t xml:space="preserve">er nóg til að skapa forsendur samkeppni í </w:t>
      </w:r>
      <w:r w:rsidR="007B1536">
        <w:t>þjónustu og tækni</w:t>
      </w:r>
      <w:r w:rsidR="007B1536">
        <w:t xml:space="preserve"> ef aðgangur er opin</w:t>
      </w:r>
      <w:r w:rsidR="007B1536">
        <w:t>n að svörtum ljósleiðara</w:t>
      </w:r>
      <w:r>
        <w:t>. Það á ekki síst við um ljósleiðara sem lagður er af fyrirtækjum í opinberri eigu.</w:t>
      </w:r>
    </w:p>
    <w:p w:rsidR="007B1536" w:rsidRDefault="000F62BA" w:rsidP="007B1536">
      <w:pPr>
        <w:pStyle w:val="ListParagraph"/>
        <w:numPr>
          <w:ilvl w:val="1"/>
          <w:numId w:val="5"/>
        </w:numPr>
        <w:contextualSpacing w:val="0"/>
      </w:pPr>
      <w:r>
        <w:t xml:space="preserve">Nánast eingöngu einn aðili sem jafnframt er í opinberri eigu </w:t>
      </w:r>
      <w:r w:rsidR="00154D5F">
        <w:t xml:space="preserve">sem </w:t>
      </w:r>
      <w:r w:rsidR="007B1536">
        <w:t xml:space="preserve">veitir </w:t>
      </w:r>
      <w:r w:rsidR="00C43C03">
        <w:t xml:space="preserve">ekki </w:t>
      </w:r>
      <w:r w:rsidR="007B1536">
        <w:t xml:space="preserve">aðgang </w:t>
      </w:r>
      <w:r w:rsidR="007B1536">
        <w:t xml:space="preserve">að svörtum ljósleiðara </w:t>
      </w:r>
      <w:r w:rsidR="007B1536">
        <w:t>og ú</w:t>
      </w:r>
      <w:r>
        <w:t>tilokar þar með samkeppni, þ.m.t. mismunandi tækni.</w:t>
      </w:r>
    </w:p>
    <w:p w:rsidR="007B1536" w:rsidRDefault="007B1536" w:rsidP="007B1536">
      <w:pPr>
        <w:pStyle w:val="ListParagraph"/>
        <w:ind w:left="1440"/>
      </w:pPr>
    </w:p>
    <w:p w:rsidR="007B1536" w:rsidRDefault="007B1536" w:rsidP="007B1536">
      <w:pPr>
        <w:pStyle w:val="ListParagraph"/>
        <w:numPr>
          <w:ilvl w:val="0"/>
          <w:numId w:val="5"/>
        </w:numPr>
        <w:contextualSpacing w:val="0"/>
      </w:pPr>
      <w:r>
        <w:t>Jafnaðarverð á ekki að nota til jöfnun</w:t>
      </w:r>
      <w:r w:rsidR="000F62BA">
        <w:t>ar</w:t>
      </w:r>
      <w:r>
        <w:t xml:space="preserve"> kostnaðar endanotenda</w:t>
      </w:r>
    </w:p>
    <w:p w:rsidR="007B1536" w:rsidRDefault="007B1536" w:rsidP="007B1536">
      <w:pPr>
        <w:pStyle w:val="ListParagraph"/>
        <w:numPr>
          <w:ilvl w:val="1"/>
          <w:numId w:val="5"/>
        </w:numPr>
        <w:contextualSpacing w:val="0"/>
      </w:pPr>
      <w:r>
        <w:t>Slík aðferð gengur upp þar sem ekki er samkeppni – en ekki í samkeppnisumhverfi</w:t>
      </w:r>
    </w:p>
    <w:p w:rsidR="007B1536" w:rsidRDefault="007B1536" w:rsidP="007B1536">
      <w:pPr>
        <w:pStyle w:val="ListParagraph"/>
        <w:numPr>
          <w:ilvl w:val="1"/>
          <w:numId w:val="5"/>
        </w:numPr>
        <w:contextualSpacing w:val="0"/>
      </w:pPr>
      <w:r>
        <w:t>Finna þarf aðrar leiðir til að jaf</w:t>
      </w:r>
      <w:r w:rsidR="000F62BA">
        <w:t>na verð/kostnað endanotenda – t.</w:t>
      </w:r>
      <w:r>
        <w:t>d. jöfnunarsjóður.</w:t>
      </w:r>
    </w:p>
    <w:p w:rsidR="007B1536" w:rsidRDefault="007B1536" w:rsidP="007B1536">
      <w:pPr>
        <w:pStyle w:val="ListParagraph"/>
        <w:numPr>
          <w:ilvl w:val="1"/>
          <w:numId w:val="5"/>
        </w:numPr>
        <w:contextualSpacing w:val="0"/>
      </w:pPr>
      <w:r>
        <w:t xml:space="preserve">Skekkir samkeppnisstöðu aðila á markaði - endar með að sá sem ber kostnað af óhagkvæmu </w:t>
      </w:r>
      <w:r w:rsidR="00C43C03">
        <w:t>svæðunum getur ekki keppt við aðila sem eingöngu starfa á arðsömum svæðum.</w:t>
      </w:r>
    </w:p>
    <w:p w:rsidR="007B1536" w:rsidRDefault="007B1536" w:rsidP="007B1536">
      <w:pPr>
        <w:pStyle w:val="ListParagraph"/>
        <w:numPr>
          <w:ilvl w:val="1"/>
          <w:numId w:val="5"/>
        </w:numPr>
        <w:contextualSpacing w:val="0"/>
      </w:pPr>
      <w:r>
        <w:t xml:space="preserve">Dregur úr eða kemur í veg fyrir fjárfestingar utan samkeppnissvæða </w:t>
      </w:r>
    </w:p>
    <w:p w:rsidR="007B1536" w:rsidRDefault="007B1536" w:rsidP="007B1536"/>
    <w:p w:rsidR="007B1536" w:rsidRDefault="007B1536" w:rsidP="007B1536">
      <w:pPr>
        <w:pStyle w:val="ListParagraph"/>
        <w:numPr>
          <w:ilvl w:val="0"/>
          <w:numId w:val="5"/>
        </w:numPr>
        <w:contextualSpacing w:val="0"/>
      </w:pPr>
      <w:r>
        <w:t>Kortlagning innviða</w:t>
      </w:r>
      <w:r w:rsidR="000F62BA">
        <w:t xml:space="preserve"> – nýting fyrirliggjandi innviða</w:t>
      </w:r>
    </w:p>
    <w:p w:rsidR="007B1536" w:rsidRDefault="000F62BA" w:rsidP="007B1536">
      <w:pPr>
        <w:pStyle w:val="ListParagraph"/>
        <w:numPr>
          <w:ilvl w:val="1"/>
          <w:numId w:val="5"/>
        </w:numPr>
        <w:contextualSpacing w:val="0"/>
      </w:pPr>
      <w:r>
        <w:t>Mjög mikilvægt að s</w:t>
      </w:r>
      <w:r w:rsidR="007B1536">
        <w:t xml:space="preserve">kýra tilgang </w:t>
      </w:r>
      <w:r>
        <w:t xml:space="preserve">kortlagningar </w:t>
      </w:r>
      <w:r w:rsidR="007B1536">
        <w:t xml:space="preserve">og hvað </w:t>
      </w:r>
      <w:r>
        <w:t>skal</w:t>
      </w:r>
      <w:r w:rsidR="007B1536">
        <w:t xml:space="preserve"> kortlagt ásamt því að tekið verði tillit til öryggissjónarmiða</w:t>
      </w:r>
      <w:r w:rsidR="00C43C03">
        <w:t>.</w:t>
      </w:r>
      <w:r>
        <w:t xml:space="preserve"> Bent skal á að ljósleiðaranet Gagnaveitu Reykjavíkur sem fyrirtækið kveður að nái til 80% he</w:t>
      </w:r>
      <w:r w:rsidR="00316067">
        <w:t>imila veitir ekki aðgang.</w:t>
      </w:r>
    </w:p>
    <w:p w:rsidR="00316067" w:rsidRDefault="00316067" w:rsidP="007B1536">
      <w:pPr>
        <w:pStyle w:val="ListParagraph"/>
        <w:numPr>
          <w:ilvl w:val="1"/>
          <w:numId w:val="5"/>
        </w:numPr>
        <w:contextualSpacing w:val="0"/>
      </w:pPr>
      <w:r>
        <w:t>Skilgreina þarf mikilvæga innviði.</w:t>
      </w:r>
    </w:p>
    <w:p w:rsidR="00F943F8" w:rsidRDefault="00D02B5B" w:rsidP="00F943F8">
      <w:pPr>
        <w:pStyle w:val="ListParagraph"/>
        <w:numPr>
          <w:ilvl w:val="1"/>
          <w:numId w:val="5"/>
        </w:numPr>
        <w:contextualSpacing w:val="0"/>
      </w:pPr>
      <w:r>
        <w:t>Míla telur að ummæli í Grænbók á þá leið að „of</w:t>
      </w:r>
      <w:r w:rsidRPr="00D02B5B">
        <w:t>tar en ekki reynist hvorki hagkvæmara né heppilegra til skemmri eða lengri tíma lit</w:t>
      </w:r>
      <w:r>
        <w:t>ið að nýta fyrirliggjandi innviði“ þarfnist verulegrar skýringar og röksemda og sé í mótsögn við önnur markmið er varða samnýtingu framkvæmda og gagnkvæma skyldu um gagnkvæmni í veitingu aðgangs að innviðum og framkvæmdum. Bent skal einnig á að reglur um ríkisstyrki mæla sérstaklega fyrir um að ekki megi styrkja innviðauppbyggingu nema að gengið sé úr skugga um fyrirliggjandi innviði og þeir nýttir.</w:t>
      </w:r>
    </w:p>
    <w:p w:rsidR="00F943F8" w:rsidRDefault="00F943F8" w:rsidP="00F943F8">
      <w:pPr>
        <w:pStyle w:val="ListParagraph"/>
        <w:numPr>
          <w:ilvl w:val="1"/>
          <w:numId w:val="5"/>
        </w:numPr>
        <w:contextualSpacing w:val="0"/>
      </w:pPr>
      <w:r>
        <w:t xml:space="preserve">Í Grænbókinni er talað um að mikilvægt sé að nýta fjarskiptainnviði ríkisins til að efla samkeppni. Míla bendir á að ríkið verður að gæta að reglum um ríkisstyrki og telur að eins og þetta er orðað í Grænbók geti ríkið orðið brotlegt </w:t>
      </w:r>
      <w:r>
        <w:lastRenderedPageBreak/>
        <w:t>við ríkisstyrkjareglur ef það hyggst nýta innviði sína til hagsbóta tilteknum aðilum á markaði eða hyggst fara í samkeppni við fyrirtæki á markaði.</w:t>
      </w:r>
    </w:p>
    <w:p w:rsidR="007B1536" w:rsidRDefault="00C43C03" w:rsidP="00C43C03">
      <w:pPr>
        <w:pStyle w:val="ListParagraph"/>
        <w:numPr>
          <w:ilvl w:val="0"/>
          <w:numId w:val="5"/>
        </w:numPr>
      </w:pPr>
      <w:r>
        <w:t>Alþjónusta</w:t>
      </w:r>
    </w:p>
    <w:p w:rsidR="00C43C03" w:rsidRDefault="00C43C03" w:rsidP="00C43C03">
      <w:pPr>
        <w:pStyle w:val="ListParagraph"/>
        <w:numPr>
          <w:ilvl w:val="1"/>
          <w:numId w:val="5"/>
        </w:numPr>
      </w:pPr>
      <w:r>
        <w:t xml:space="preserve">Mikilvægt að alþjónustukvöð skerði ekki samkeppnismöguleika </w:t>
      </w:r>
      <w:r w:rsidR="00316067">
        <w:t>útnefnds</w:t>
      </w:r>
      <w:r>
        <w:t xml:space="preserve"> alþjónustuveitanda.</w:t>
      </w:r>
    </w:p>
    <w:p w:rsidR="00C43C03" w:rsidRDefault="00C43C03" w:rsidP="00C43C03">
      <w:pPr>
        <w:pStyle w:val="ListParagraph"/>
        <w:numPr>
          <w:ilvl w:val="1"/>
          <w:numId w:val="5"/>
        </w:numPr>
      </w:pPr>
      <w:r>
        <w:t>Mikilvægt að skilgreina og afmarka hvaða þjónusta telst vera „nothæf internetþjónusta.“</w:t>
      </w:r>
    </w:p>
    <w:p w:rsidR="00C43C03" w:rsidRPr="007B1536" w:rsidRDefault="00C43C03" w:rsidP="00C43C03">
      <w:pPr>
        <w:pStyle w:val="ListParagraph"/>
        <w:numPr>
          <w:ilvl w:val="1"/>
          <w:numId w:val="5"/>
        </w:numPr>
      </w:pPr>
      <w:r>
        <w:t>Mikilvægt að útnefndur alþjónustuveitandi fái bætt tap af alþjónustu</w:t>
      </w:r>
      <w:r w:rsidR="00316067">
        <w:t xml:space="preserve"> og reglur skýrar og skilvirkar</w:t>
      </w:r>
      <w:r>
        <w:t xml:space="preserve">. </w:t>
      </w:r>
    </w:p>
    <w:p w:rsidR="007B1536" w:rsidRDefault="007B1536">
      <w:pPr>
        <w:pStyle w:val="BodyText"/>
        <w:rPr>
          <w:i/>
        </w:rPr>
      </w:pPr>
    </w:p>
    <w:p w:rsidR="00F028F2" w:rsidRDefault="00F028F2">
      <w:pPr>
        <w:pStyle w:val="BodyText"/>
      </w:pPr>
    </w:p>
    <w:p w:rsidR="00C43C03" w:rsidRDefault="00C43C03" w:rsidP="002B2F87">
      <w:pPr>
        <w:pStyle w:val="ListParagraph"/>
        <w:numPr>
          <w:ilvl w:val="0"/>
          <w:numId w:val="5"/>
        </w:numPr>
      </w:pPr>
      <w:r>
        <w:t>Markaðsgreiningar og landfræðileg skipting markaða</w:t>
      </w:r>
    </w:p>
    <w:p w:rsidR="00C43C03" w:rsidRDefault="00C43C03" w:rsidP="00C43C03">
      <w:pPr>
        <w:pStyle w:val="ListParagraph"/>
        <w:numPr>
          <w:ilvl w:val="1"/>
          <w:numId w:val="5"/>
        </w:numPr>
      </w:pPr>
      <w:r>
        <w:t>Mikilvægt að landfræðileg skipting markaða verði viðurkennd þegar verið er að skilgreina markaði á grundvelli fjarskiptalaga í því skyni að kanna hvort einhver aðili á markaði teljist í markaðsráðandi stöðu.</w:t>
      </w:r>
    </w:p>
    <w:p w:rsidR="00F943F8" w:rsidRDefault="00F943F8" w:rsidP="00C43C03">
      <w:pPr>
        <w:pStyle w:val="ListParagraph"/>
        <w:numPr>
          <w:ilvl w:val="1"/>
          <w:numId w:val="5"/>
        </w:numPr>
      </w:pPr>
      <w:r>
        <w:t xml:space="preserve">Bent skal á að með því að víða hafa myndast </w:t>
      </w:r>
      <w:r w:rsidR="00C47497">
        <w:t>„</w:t>
      </w:r>
      <w:proofErr w:type="spellStart"/>
      <w:r>
        <w:t>de</w:t>
      </w:r>
      <w:proofErr w:type="spellEnd"/>
      <w:r>
        <w:t xml:space="preserve"> </w:t>
      </w:r>
      <w:proofErr w:type="spellStart"/>
      <w:r>
        <w:t>facto</w:t>
      </w:r>
      <w:proofErr w:type="spellEnd"/>
      <w:r w:rsidR="00C47497">
        <w:t>“</w:t>
      </w:r>
      <w:r>
        <w:t xml:space="preserve"> einokunaraðilar í ljósleiðara. Til dæmis þar sem ríki og sveitarfélög hafa styrkt ljósleiðaravæðingu eða hún verið gerð með tilstilli fyrirtækja í opinberri eigu.</w:t>
      </w:r>
    </w:p>
    <w:p w:rsidR="00C43C03" w:rsidRDefault="00C43C03" w:rsidP="00C43C03">
      <w:pPr>
        <w:pStyle w:val="ListParagraph"/>
        <w:numPr>
          <w:ilvl w:val="1"/>
          <w:numId w:val="5"/>
        </w:numPr>
      </w:pPr>
      <w:r>
        <w:t>Regluverk á Evrópska efnahagssvæðinu gerir nú ráð fyrir að aukin áhersla sé á að greina landfræðilega markaði og haga álagningu kvaða í samræmi við það.</w:t>
      </w:r>
    </w:p>
    <w:p w:rsidR="00F943F8" w:rsidRDefault="00C43C03" w:rsidP="00F943F8">
      <w:pPr>
        <w:pStyle w:val="ListParagraph"/>
        <w:numPr>
          <w:ilvl w:val="1"/>
          <w:numId w:val="5"/>
        </w:numPr>
      </w:pPr>
      <w:r>
        <w:t>Það er mikilvægt að íslensk löggjöf og reglur á svið</w:t>
      </w:r>
      <w:r w:rsidR="00F943F8">
        <w:t>i fjarskiptalaga séu í takt við gildandi reglur á EES svæðinu og innleiðing nýrra gerða séu tímanlegar</w:t>
      </w:r>
      <w:r w:rsidR="00C47497">
        <w:t xml:space="preserve"> og réttar</w:t>
      </w:r>
      <w:r w:rsidR="00F943F8">
        <w:t>.</w:t>
      </w:r>
    </w:p>
    <w:p w:rsidR="00F943F8" w:rsidRDefault="00F943F8" w:rsidP="00F943F8">
      <w:pPr>
        <w:pStyle w:val="ListParagraph"/>
        <w:ind w:left="1440"/>
      </w:pPr>
    </w:p>
    <w:p w:rsidR="00861F04" w:rsidRDefault="00861F04" w:rsidP="001B0513">
      <w:pPr>
        <w:rPr>
          <w:sz w:val="20"/>
        </w:rPr>
      </w:pPr>
    </w:p>
    <w:p w:rsidR="00861F04" w:rsidRDefault="00861F04" w:rsidP="001B0513">
      <w:pPr>
        <w:rPr>
          <w:sz w:val="20"/>
        </w:rPr>
      </w:pPr>
    </w:p>
    <w:sectPr w:rsidR="00861F04" w:rsidSect="00733307">
      <w:headerReference w:type="even" r:id="rId11"/>
      <w:headerReference w:type="default" r:id="rId12"/>
      <w:headerReference w:type="first" r:id="rId13"/>
      <w:pgSz w:w="11900" w:h="16840"/>
      <w:pgMar w:top="1350" w:right="101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5E" w:rsidRDefault="000D3F5E">
      <w:r>
        <w:separator/>
      </w:r>
    </w:p>
  </w:endnote>
  <w:endnote w:type="continuationSeparator" w:id="0">
    <w:p w:rsidR="000D3F5E" w:rsidRDefault="000D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5E" w:rsidRDefault="000D3F5E">
      <w:r>
        <w:separator/>
      </w:r>
    </w:p>
  </w:footnote>
  <w:footnote w:type="continuationSeparator" w:id="0">
    <w:p w:rsidR="000D3F5E" w:rsidRDefault="000D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4D" w:rsidRDefault="00CE0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07" w:rsidRDefault="00733307" w:rsidP="00733307">
    <w:pPr>
      <w:pStyle w:val="Header"/>
      <w:tabs>
        <w:tab w:val="clear" w:pos="8640"/>
        <w:tab w:val="right" w:pos="9270"/>
      </w:tabs>
      <w:ind w:right="-430"/>
    </w:pPr>
    <w:r>
      <w:t xml:space="preserve"> </w:t>
    </w:r>
    <w:r>
      <w:tab/>
    </w:r>
    <w:r>
      <w:tab/>
    </w:r>
    <w:r w:rsidR="00E377E4">
      <w:rPr>
        <w:noProof/>
        <w:lang w:eastAsia="is-IS"/>
      </w:rPr>
      <w:drawing>
        <wp:inline distT="0" distB="0" distL="0" distR="0">
          <wp:extent cx="1371600" cy="657225"/>
          <wp:effectExtent l="0" t="0" r="0" b="9525"/>
          <wp:docPr id="1" name="Picture 1" descr="mila-logo_template_skj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a-logo_template_skj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4D" w:rsidRDefault="00CE0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4EF"/>
    <w:multiLevelType w:val="hybridMultilevel"/>
    <w:tmpl w:val="A9D008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3611"/>
    <w:multiLevelType w:val="hybridMultilevel"/>
    <w:tmpl w:val="370C2C4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71D9"/>
    <w:multiLevelType w:val="hybridMultilevel"/>
    <w:tmpl w:val="035A160E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3D2F"/>
    <w:multiLevelType w:val="hybridMultilevel"/>
    <w:tmpl w:val="7638A274"/>
    <w:lvl w:ilvl="0" w:tplc="4D5E7B9C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61CF1BD0"/>
    <w:multiLevelType w:val="hybridMultilevel"/>
    <w:tmpl w:val="A9D008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6"/>
    <w:rsid w:val="00002662"/>
    <w:rsid w:val="000B2FB0"/>
    <w:rsid w:val="000D21BF"/>
    <w:rsid w:val="000D3F5E"/>
    <w:rsid w:val="000D66A0"/>
    <w:rsid w:val="000F62BA"/>
    <w:rsid w:val="00154D5F"/>
    <w:rsid w:val="00173772"/>
    <w:rsid w:val="001B0513"/>
    <w:rsid w:val="00204F38"/>
    <w:rsid w:val="00241877"/>
    <w:rsid w:val="002663F7"/>
    <w:rsid w:val="00286B60"/>
    <w:rsid w:val="0028793C"/>
    <w:rsid w:val="00316067"/>
    <w:rsid w:val="00321419"/>
    <w:rsid w:val="00343286"/>
    <w:rsid w:val="003454F8"/>
    <w:rsid w:val="003531BF"/>
    <w:rsid w:val="003809E6"/>
    <w:rsid w:val="003B1870"/>
    <w:rsid w:val="003F2588"/>
    <w:rsid w:val="00496C23"/>
    <w:rsid w:val="005464DB"/>
    <w:rsid w:val="0060118C"/>
    <w:rsid w:val="006A0DEC"/>
    <w:rsid w:val="007010AF"/>
    <w:rsid w:val="00733307"/>
    <w:rsid w:val="007864EC"/>
    <w:rsid w:val="007B1536"/>
    <w:rsid w:val="00807470"/>
    <w:rsid w:val="00861F04"/>
    <w:rsid w:val="008A33B5"/>
    <w:rsid w:val="009F0E69"/>
    <w:rsid w:val="00B36D31"/>
    <w:rsid w:val="00C1529B"/>
    <w:rsid w:val="00C43C03"/>
    <w:rsid w:val="00C47497"/>
    <w:rsid w:val="00CE0C4D"/>
    <w:rsid w:val="00D02B5B"/>
    <w:rsid w:val="00D04DF2"/>
    <w:rsid w:val="00D36823"/>
    <w:rsid w:val="00DF4E23"/>
    <w:rsid w:val="00E3156D"/>
    <w:rsid w:val="00E377E4"/>
    <w:rsid w:val="00E76838"/>
    <w:rsid w:val="00E97101"/>
    <w:rsid w:val="00EB438C"/>
    <w:rsid w:val="00F028F2"/>
    <w:rsid w:val="00F632ED"/>
    <w:rsid w:val="00F943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32451362"/>
  <w15:docId w15:val="{A24FA19E-532E-48A3-A44E-F688DB3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0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76C0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76C01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D76C0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6C01"/>
    <w:pPr>
      <w:spacing w:line="288" w:lineRule="auto"/>
    </w:pPr>
    <w:rPr>
      <w:sz w:val="20"/>
    </w:rPr>
  </w:style>
  <w:style w:type="paragraph" w:styleId="Header">
    <w:name w:val="header"/>
    <w:basedOn w:val="Normal"/>
    <w:rsid w:val="00D76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520E8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E377E4"/>
    <w:pPr>
      <w:spacing w:after="24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77E4"/>
    <w:rPr>
      <w:rFonts w:ascii="Arial" w:eastAsiaTheme="majorEastAsia" w:hAnsi="Arial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8A3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3B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632E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32E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1B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urros\Downloads\Minnisblad+-+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F792AEDA59D47A3BF2536C0A132CC" ma:contentTypeVersion="1" ma:contentTypeDescription="Create a new document." ma:contentTypeScope="" ma:versionID="b2cfee9d3f1882a5a26a03bdecab5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5C5C-9DB9-40B1-B52A-6629F1D612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E7B70-F0DD-44C4-80C5-57F949836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AE1F1-5BD0-4743-8140-8213DDA46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3B2BA-F5F5-4F5E-AFBA-315704CC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Minnisblad+-+Memo</Template>
  <TotalTime>0</TotalTime>
  <Pages>2</Pages>
  <Words>585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Minnisblað trúnaðarmál</vt:lpstr>
    </vt:vector>
  </TitlesOfParts>
  <Manager>sigurros@mila.is</Manager>
  <Company>Míla ehf.</Company>
  <LinksUpToDate>false</LinksUpToDate>
  <CharactersWithSpaces>3718</CharactersWithSpaces>
  <SharedDoc>false</SharedDoc>
  <HLinks>
    <vt:vector size="6" baseType="variant">
      <vt:variant>
        <vt:i4>3670134</vt:i4>
      </vt:variant>
      <vt:variant>
        <vt:i4>2463</vt:i4>
      </vt:variant>
      <vt:variant>
        <vt:i4>1025</vt:i4>
      </vt:variant>
      <vt:variant>
        <vt:i4>1</vt:i4>
      </vt:variant>
      <vt:variant>
        <vt:lpwstr>mila-logo_template_skjol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Minnisblað trúnaðarmál</dc:title>
  <dc:creator>Sigurrós Jónsdóttir</dc:creator>
  <cp:lastModifiedBy>Auður Inga Ingvarsdóttir</cp:lastModifiedBy>
  <cp:revision>2</cp:revision>
  <cp:lastPrinted>2007-05-10T13:47:00Z</cp:lastPrinted>
  <dcterms:created xsi:type="dcterms:W3CDTF">2018-10-12T16:42:00Z</dcterms:created>
  <dcterms:modified xsi:type="dcterms:W3CDTF">2018-10-12T16:42:00Z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0x010100081F792AEDA59D47A3BF2536C0A132CC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