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D209D" w14:textId="77777777" w:rsidR="00065ABC" w:rsidRPr="006417EA" w:rsidRDefault="00065ABC" w:rsidP="00065ABC">
      <w:pPr>
        <w:keepNext/>
        <w:tabs>
          <w:tab w:val="left" w:pos="397"/>
          <w:tab w:val="left" w:pos="709"/>
          <w:tab w:val="right" w:pos="7796"/>
        </w:tabs>
        <w:spacing w:after="0"/>
        <w:jc w:val="center"/>
        <w:outlineLvl w:val="2"/>
        <w:rPr>
          <w:rFonts w:eastAsia="Times New Roman" w:cs="Times New Roman"/>
          <w:szCs w:val="20"/>
          <w:lang w:eastAsia="en-GB"/>
        </w:rPr>
      </w:pPr>
    </w:p>
    <w:p w14:paraId="6228D4F7" w14:textId="77777777" w:rsidR="00065ABC" w:rsidRPr="006417EA" w:rsidRDefault="00065ABC" w:rsidP="00065ABC">
      <w:pPr>
        <w:keepNext/>
        <w:tabs>
          <w:tab w:val="left" w:pos="397"/>
          <w:tab w:val="left" w:pos="709"/>
          <w:tab w:val="right" w:pos="7796"/>
        </w:tabs>
        <w:spacing w:before="240" w:after="60"/>
        <w:jc w:val="center"/>
        <w:outlineLvl w:val="0"/>
        <w:rPr>
          <w:rFonts w:eastAsia="Times New Roman" w:cs="Times New Roman"/>
          <w:spacing w:val="32"/>
          <w:kern w:val="28"/>
          <w:sz w:val="32"/>
          <w:szCs w:val="20"/>
          <w:lang w:eastAsia="en-GB"/>
        </w:rPr>
      </w:pPr>
      <w:r w:rsidRPr="006417EA">
        <w:rPr>
          <w:rFonts w:eastAsia="Times New Roman" w:cs="Times New Roman"/>
          <w:spacing w:val="32"/>
          <w:kern w:val="28"/>
          <w:sz w:val="32"/>
          <w:szCs w:val="20"/>
          <w:lang w:eastAsia="en-GB"/>
        </w:rPr>
        <w:t>REGLUGERÐ</w:t>
      </w:r>
    </w:p>
    <w:p w14:paraId="537EEED5" w14:textId="77777777" w:rsidR="00065ABC" w:rsidRPr="006417EA" w:rsidRDefault="00065ABC" w:rsidP="00065ABC">
      <w:pPr>
        <w:keepNext/>
        <w:tabs>
          <w:tab w:val="left" w:pos="397"/>
          <w:tab w:val="left" w:pos="709"/>
          <w:tab w:val="right" w:pos="7796"/>
        </w:tabs>
        <w:spacing w:after="0"/>
        <w:jc w:val="center"/>
        <w:outlineLvl w:val="1"/>
        <w:rPr>
          <w:rFonts w:eastAsia="Times New Roman" w:cs="Times New Roman"/>
          <w:b/>
          <w:szCs w:val="20"/>
          <w:lang w:eastAsia="en-GB"/>
        </w:rPr>
      </w:pPr>
      <w:r w:rsidRPr="006417EA">
        <w:rPr>
          <w:rFonts w:eastAsia="Times New Roman" w:cs="Times New Roman"/>
          <w:b/>
          <w:szCs w:val="20"/>
          <w:lang w:eastAsia="en-GB"/>
        </w:rPr>
        <w:t xml:space="preserve">um </w:t>
      </w:r>
      <w:r>
        <w:rPr>
          <w:rFonts w:eastAsia="Times New Roman" w:cs="Times New Roman"/>
          <w:b/>
          <w:szCs w:val="20"/>
          <w:lang w:eastAsia="en-GB"/>
        </w:rPr>
        <w:t>reiðhjól.</w:t>
      </w:r>
    </w:p>
    <w:p w14:paraId="479D38D2" w14:textId="77777777" w:rsidR="00065ABC" w:rsidRDefault="00065ABC" w:rsidP="00065ABC"/>
    <w:p w14:paraId="22FB2758" w14:textId="77777777" w:rsidR="00065ABC" w:rsidRPr="005B294F" w:rsidRDefault="00065ABC" w:rsidP="00065ABC">
      <w:pPr>
        <w:pStyle w:val="Heading2"/>
      </w:pPr>
    </w:p>
    <w:p w14:paraId="18211D48" w14:textId="77777777" w:rsidR="00065ABC" w:rsidRPr="00F91767" w:rsidRDefault="00065ABC" w:rsidP="00065ABC">
      <w:pPr>
        <w:pStyle w:val="Greinartitill"/>
      </w:pPr>
      <w:r w:rsidRPr="00F91767">
        <w:t>Gildissvið og skilgreiningar</w:t>
      </w:r>
    </w:p>
    <w:p w14:paraId="496D237B" w14:textId="77777777" w:rsidR="00065ABC" w:rsidRPr="00F91767" w:rsidRDefault="00065ABC" w:rsidP="00065ABC">
      <w:pPr>
        <w:spacing w:after="0"/>
        <w:contextualSpacing/>
      </w:pPr>
      <w:r w:rsidRPr="00F91767">
        <w:t>Reglugerð þessi gildir um reiðhjól eins og þau eru skilgreind í umferðarlögum, önnur en reiðhjól sem markaðsett eru sem leikföng og CE-merkt sem slík.</w:t>
      </w:r>
    </w:p>
    <w:p w14:paraId="7AF6F4BB" w14:textId="77777777" w:rsidR="00065ABC" w:rsidRPr="00F91767" w:rsidRDefault="00065ABC" w:rsidP="00065ABC">
      <w:pPr>
        <w:pStyle w:val="Framhald"/>
      </w:pPr>
      <w:r w:rsidRPr="00F91767">
        <w:t>Reiðhjól skiptast í þrjá flokka samkvæmt umferðarlögum:</w:t>
      </w:r>
    </w:p>
    <w:p w14:paraId="6F179BF9" w14:textId="77777777" w:rsidR="00065ABC" w:rsidRPr="00F91767" w:rsidRDefault="00065ABC" w:rsidP="00065ABC">
      <w:pPr>
        <w:pStyle w:val="Framhald"/>
        <w:numPr>
          <w:ilvl w:val="0"/>
          <w:numId w:val="3"/>
        </w:numPr>
      </w:pPr>
      <w:r w:rsidRPr="00F91767">
        <w:t>Ökutæki sem er knúið áfram með stig- eða sveifarbúnaði.</w:t>
      </w:r>
    </w:p>
    <w:p w14:paraId="77C78AFA" w14:textId="77777777" w:rsidR="00065ABC" w:rsidRPr="00F91767" w:rsidRDefault="00065ABC" w:rsidP="00065ABC">
      <w:pPr>
        <w:pStyle w:val="Framhald"/>
        <w:numPr>
          <w:ilvl w:val="0"/>
          <w:numId w:val="3"/>
        </w:numPr>
      </w:pPr>
      <w:r w:rsidRPr="00F91767">
        <w:t>Hjól með stig- eða sveifarbúnaði, búið rafknúinni hjálparvél þar sem samfellt hámarksafl er allt að 0,25 kW og afköstin minnka smám saman og stöðvast alveg þegar hjólið hefur náð hraðanum 25 km á klst. eða fyrr ef hjólreiðamaðurinn hættir að stíga hjólið.</w:t>
      </w:r>
    </w:p>
    <w:p w14:paraId="4AA063B0" w14:textId="0FA72082" w:rsidR="00065ABC" w:rsidRPr="00F91767" w:rsidRDefault="00065ABC" w:rsidP="00065ABC">
      <w:pPr>
        <w:pStyle w:val="Framhald"/>
        <w:numPr>
          <w:ilvl w:val="0"/>
          <w:numId w:val="3"/>
        </w:numPr>
      </w:pPr>
      <w:r w:rsidRPr="00F91767">
        <w:t>Annað lítið vélknúið ökutæki sem ekki telst til létts bifhjóls og er hannað til aksturs á hraða frá 6 km á klst. upp í 25 km á klst. Undir þessa skilgreiningu fellur m.a. vélknúið hlaupahjól og tvíhjóla ökutæki á einum öxli. Slíkum fa</w:t>
      </w:r>
      <w:r w:rsidR="00A37AAC" w:rsidRPr="00F91767">
        <w:t>rartækjum má ekki aka á akbraut.</w:t>
      </w:r>
    </w:p>
    <w:p w14:paraId="061D33B4" w14:textId="77777777" w:rsidR="00065ABC" w:rsidRPr="00F91767" w:rsidRDefault="00065ABC" w:rsidP="00065ABC">
      <w:pPr>
        <w:pStyle w:val="Millifyrirsgn"/>
      </w:pPr>
      <w:r w:rsidRPr="00F91767">
        <w:t>Reiðhjól A og B</w:t>
      </w:r>
    </w:p>
    <w:p w14:paraId="29552EEC" w14:textId="77777777" w:rsidR="00065ABC" w:rsidRPr="00F91767" w:rsidRDefault="00065ABC" w:rsidP="00065ABC">
      <w:pPr>
        <w:pStyle w:val="Heading2"/>
      </w:pPr>
    </w:p>
    <w:p w14:paraId="43F5E5DB" w14:textId="77777777" w:rsidR="00065ABC" w:rsidRPr="00F91767" w:rsidRDefault="00065ABC" w:rsidP="00065ABC">
      <w:pPr>
        <w:pStyle w:val="Greinartitill"/>
      </w:pPr>
      <w:r w:rsidRPr="00F91767">
        <w:t xml:space="preserve">Almennar </w:t>
      </w:r>
      <w:commentRangeStart w:id="0"/>
      <w:r w:rsidRPr="00F91767">
        <w:t>reglur</w:t>
      </w:r>
      <w:commentRangeEnd w:id="0"/>
      <w:r w:rsidR="00122519" w:rsidRPr="00F91767">
        <w:rPr>
          <w:rStyle w:val="CommentReference"/>
          <w:i w:val="0"/>
        </w:rPr>
        <w:commentReference w:id="0"/>
      </w:r>
    </w:p>
    <w:p w14:paraId="4B7FDF65" w14:textId="78105B83" w:rsidR="00065ABC" w:rsidRPr="00F91767" w:rsidRDefault="00065ABC" w:rsidP="00065ABC">
      <w:pPr>
        <w:pStyle w:val="Framhald"/>
      </w:pPr>
      <w:r w:rsidRPr="00F91767">
        <w:t>Reiðhjól samkvæmt a. og b. lið</w:t>
      </w:r>
      <w:r w:rsidR="0021107D">
        <w:t>um</w:t>
      </w:r>
      <w:r w:rsidRPr="00F91767">
        <w:t xml:space="preserve"> 2. mgr. 1. gr., skal þannig gert, sett saman, búið og haldið við að það þoli það álag sem hlýst af venjulegri notkun þess og þannig að nota megi án þess að valda hættu eða óþarfa óþægindum.</w:t>
      </w:r>
    </w:p>
    <w:p w14:paraId="03AA018F" w14:textId="77777777" w:rsidR="00065ABC" w:rsidRPr="00F91767" w:rsidRDefault="00065ABC" w:rsidP="00065ABC">
      <w:pPr>
        <w:pStyle w:val="Heading2"/>
      </w:pPr>
    </w:p>
    <w:p w14:paraId="2C0A7296" w14:textId="77777777" w:rsidR="00065ABC" w:rsidRPr="00F91767" w:rsidRDefault="00065ABC" w:rsidP="00065ABC">
      <w:pPr>
        <w:pStyle w:val="Greinartitill"/>
      </w:pPr>
      <w:r w:rsidRPr="00F91767">
        <w:t>Reiðhjól með hjálparvél</w:t>
      </w:r>
    </w:p>
    <w:p w14:paraId="27DAC1B4" w14:textId="1E562AE7" w:rsidR="00065ABC" w:rsidRPr="00F91767" w:rsidRDefault="00065ABC" w:rsidP="00065ABC">
      <w:pPr>
        <w:pStyle w:val="Framhald"/>
      </w:pPr>
      <w:r w:rsidRPr="00F91767">
        <w:t>Búa má reiðhjól samkvæmt a. lið 2. mgr. 1. gr.</w:t>
      </w:r>
      <w:r w:rsidR="000C3DDA">
        <w:t>,</w:t>
      </w:r>
      <w:r w:rsidRPr="00F91767">
        <w:t xml:space="preserve"> rafknúinni hjálparvél sem styðst við og stjórnast af stig- og sveifarbúnaði hjólsins. Samfellt hámarksafl vélar má vera 0,25kW og skal það minnka smám saman og stöðvast alveg þegar hjólið hefur náð hraðanum 25 km á klst. eða fyrr ef hjólreiðamaðurinn hættir að stíga hjólið.</w:t>
      </w:r>
    </w:p>
    <w:p w14:paraId="0E45EEBC" w14:textId="77777777" w:rsidR="00065ABC" w:rsidRPr="00F91767" w:rsidRDefault="00065ABC" w:rsidP="00065ABC">
      <w:pPr>
        <w:pStyle w:val="Framhald"/>
      </w:pPr>
      <w:r w:rsidRPr="00F91767">
        <w:t xml:space="preserve">Jafnframt er heimilt að reiðhjól sé knúið áfram af rafmótor eingöngu upp í allt að 6 km á klst. án þess að sveifarbúnaður sé notaður. </w:t>
      </w:r>
    </w:p>
    <w:p w14:paraId="2BE45BB2" w14:textId="77777777" w:rsidR="00065ABC" w:rsidRPr="00F91767" w:rsidRDefault="00065ABC" w:rsidP="00065ABC">
      <w:pPr>
        <w:pStyle w:val="Framhald"/>
      </w:pPr>
      <w:r w:rsidRPr="00F91767">
        <w:t>Reiðhjól sem eru svo búin teljast til reiðhjóla samkvæmt b. lið 2. mgr. 1. gr.</w:t>
      </w:r>
    </w:p>
    <w:p w14:paraId="729E7462" w14:textId="77777777" w:rsidR="00065ABC" w:rsidRPr="00F91767" w:rsidRDefault="00065ABC" w:rsidP="00065ABC">
      <w:pPr>
        <w:pStyle w:val="Heading2"/>
      </w:pPr>
    </w:p>
    <w:p w14:paraId="43E3C0B2" w14:textId="77777777" w:rsidR="00065ABC" w:rsidRPr="00F91767" w:rsidRDefault="00065ABC" w:rsidP="00065ABC">
      <w:pPr>
        <w:pStyle w:val="Greinartitill"/>
      </w:pPr>
      <w:r w:rsidRPr="00F91767">
        <w:t>Hemlabúnaður</w:t>
      </w:r>
    </w:p>
    <w:p w14:paraId="1364587D" w14:textId="08D2E604" w:rsidR="00065ABC" w:rsidRPr="00F91767" w:rsidRDefault="00065ABC" w:rsidP="00065ABC">
      <w:pPr>
        <w:pStyle w:val="Framhald"/>
      </w:pPr>
      <w:r w:rsidRPr="00F91767">
        <w:t>Reiðhjól samkvæmt a. og b. lið</w:t>
      </w:r>
      <w:r w:rsidR="0021107D">
        <w:t>um</w:t>
      </w:r>
      <w:r w:rsidRPr="00F91767">
        <w:t xml:space="preserve"> 2. mgr. 1. gr., skal búið að minnsta kosti tveimur sjálfstæðum hemlum sem virka á framhjól annars vegar og afturhjól hins vegar. Hjól á sama ási skulu nota sömu hemla. </w:t>
      </w:r>
    </w:p>
    <w:p w14:paraId="0BA37580" w14:textId="77777777" w:rsidR="00065ABC" w:rsidRPr="00F91767" w:rsidRDefault="00065ABC" w:rsidP="00065ABC">
      <w:pPr>
        <w:pStyle w:val="Framhald"/>
      </w:pPr>
      <w:r w:rsidRPr="00F91767">
        <w:t xml:space="preserve">Hemlar skulu virka án þess að veður eða aðrir utanaðkomandi þættir hafi afgerandi áhrif á virkni þeirra. </w:t>
      </w:r>
    </w:p>
    <w:p w14:paraId="18DF6AEC" w14:textId="77777777" w:rsidR="00065ABC" w:rsidRPr="00F91767" w:rsidRDefault="00065ABC" w:rsidP="00065ABC">
      <w:pPr>
        <w:pStyle w:val="Framhald"/>
      </w:pPr>
      <w:r w:rsidRPr="00F91767">
        <w:t xml:space="preserve">Reiðhjól með fleiri en tvö hjól, t.d. reiðhjól sem hannað er til vöruflutninga, skal útbúið stöðuhemli sem getur haldið reiðhjólinu kyrru sé því lagt í brekku. </w:t>
      </w:r>
    </w:p>
    <w:p w14:paraId="4E1594C8" w14:textId="77777777" w:rsidR="00065ABC" w:rsidRPr="00F91767" w:rsidRDefault="00065ABC" w:rsidP="00065ABC">
      <w:pPr>
        <w:pStyle w:val="Heading2"/>
      </w:pPr>
    </w:p>
    <w:p w14:paraId="2CF9AD93" w14:textId="77777777" w:rsidR="00065ABC" w:rsidRPr="00F91767" w:rsidRDefault="00065ABC" w:rsidP="00065ABC">
      <w:pPr>
        <w:pStyle w:val="Greinartitill"/>
      </w:pPr>
      <w:r w:rsidRPr="00F91767">
        <w:t>Ljós og endurskin</w:t>
      </w:r>
    </w:p>
    <w:p w14:paraId="0184AFFB" w14:textId="21B4E507" w:rsidR="00065ABC" w:rsidRPr="00F91767" w:rsidRDefault="00065ABC" w:rsidP="00065ABC">
      <w:pPr>
        <w:pStyle w:val="Framhald"/>
      </w:pPr>
      <w:r w:rsidRPr="00F91767">
        <w:t>Reiðhjól samkvæmt a. og b. lið</w:t>
      </w:r>
      <w:r w:rsidR="0021107D">
        <w:t>um</w:t>
      </w:r>
      <w:r w:rsidRPr="00F91767">
        <w:t xml:space="preserve"> 2. mgr. 1. gr., skal búið að minnsta kosti eftirfarandi glitaugum:</w:t>
      </w:r>
    </w:p>
    <w:p w14:paraId="5A5FDFE9" w14:textId="77777777" w:rsidR="00065ABC" w:rsidRPr="00F91767" w:rsidRDefault="00065ABC" w:rsidP="00065ABC">
      <w:pPr>
        <w:pStyle w:val="Framhald"/>
        <w:numPr>
          <w:ilvl w:val="0"/>
          <w:numId w:val="4"/>
        </w:numPr>
      </w:pPr>
      <w:r w:rsidRPr="00F91767">
        <w:t>Einu gulu eða hvítu glitauga að framan.</w:t>
      </w:r>
    </w:p>
    <w:p w14:paraId="2B1DE289" w14:textId="77777777" w:rsidR="00065ABC" w:rsidRPr="00F91767" w:rsidRDefault="00065ABC" w:rsidP="00065ABC">
      <w:pPr>
        <w:pStyle w:val="Framhald"/>
        <w:numPr>
          <w:ilvl w:val="0"/>
          <w:numId w:val="4"/>
        </w:numPr>
      </w:pPr>
      <w:r w:rsidRPr="00F91767">
        <w:t>Einu rauðu glitauga að aftan.</w:t>
      </w:r>
    </w:p>
    <w:p w14:paraId="34886E7F" w14:textId="6397D34C" w:rsidR="00065ABC" w:rsidRPr="00F91767" w:rsidRDefault="00065ABC" w:rsidP="00065ABC">
      <w:pPr>
        <w:pStyle w:val="Framhald"/>
        <w:numPr>
          <w:ilvl w:val="0"/>
          <w:numId w:val="4"/>
        </w:numPr>
      </w:pPr>
      <w:r w:rsidRPr="00F91767">
        <w:t xml:space="preserve">Tveimur gulum eða hvítum glitaugum á hvorri hlið beggja fótstiga eða </w:t>
      </w:r>
      <w:r w:rsidR="005F5094">
        <w:t xml:space="preserve">endurskini </w:t>
      </w:r>
      <w:r w:rsidRPr="00F91767">
        <w:t>á sveifarörmum</w:t>
      </w:r>
      <w:r w:rsidR="001D13DB">
        <w:t>, ef ekki er unnt að koma glitaugum fyrir á fótstigi</w:t>
      </w:r>
      <w:r w:rsidRPr="00F91767">
        <w:t>.</w:t>
      </w:r>
    </w:p>
    <w:p w14:paraId="7103D7F9" w14:textId="55E5EC6C" w:rsidR="00065ABC" w:rsidRPr="00F91767" w:rsidRDefault="00065ABC" w:rsidP="00065ABC">
      <w:pPr>
        <w:pStyle w:val="Framhald"/>
        <w:numPr>
          <w:ilvl w:val="0"/>
          <w:numId w:val="4"/>
        </w:numPr>
      </w:pPr>
      <w:r w:rsidRPr="00F91767">
        <w:t xml:space="preserve">Tveimur gulum eða hvítum glitaugum, sitt á hvorri hlið </w:t>
      </w:r>
      <w:r w:rsidR="006402CB">
        <w:t>reið</w:t>
      </w:r>
      <w:r w:rsidR="00680CE4">
        <w:t>h</w:t>
      </w:r>
      <w:r w:rsidRPr="00F91767">
        <w:t>jólsins, á gjörðum eða í teinum. Endurskin á hlið dekkja skal jafngilt glitaugum á gjörðum eða í teinum, að því gefnu að endurskin nái yfir allan hring dekkja.</w:t>
      </w:r>
    </w:p>
    <w:p w14:paraId="3B81637E" w14:textId="77777777" w:rsidR="00065ABC" w:rsidRPr="00F91767" w:rsidRDefault="00065ABC" w:rsidP="00065ABC">
      <w:pPr>
        <w:pStyle w:val="Framhald"/>
      </w:pPr>
      <w:r w:rsidRPr="00F91767">
        <w:t xml:space="preserve">Á hliðar- og eftirvagni reiðhjóls og á reiðhjóli með tvö hjól á sama ási skulu vera tvö samstæð glitaugu sem snúa skulu aftur eða fram og aftur eftir atvikum. </w:t>
      </w:r>
    </w:p>
    <w:p w14:paraId="6DD2B24F" w14:textId="77777777" w:rsidR="00065ABC" w:rsidRPr="00F91767" w:rsidRDefault="00065ABC" w:rsidP="00065ABC">
      <w:pPr>
        <w:pStyle w:val="Framhald"/>
      </w:pPr>
      <w:r w:rsidRPr="00F91767">
        <w:lastRenderedPageBreak/>
        <w:t xml:space="preserve">Reiðhjól sem notað er í myrkri eða við aðstæður þar sem skyggni er skert skal, til viðbótar við glitaugu, vera búið hvítu eða gulu ljósi að framan og rauðu ljósi að aftan, sem lýsa vel án þess að valda glýju. Ljós skulu vera sýnileg í að minnsta kosti 300 m fjarlægð og mega blikka. Ljósin skulu tryggilega fest og vísa fram og aftur. </w:t>
      </w:r>
    </w:p>
    <w:p w14:paraId="470F8339" w14:textId="597BF54D" w:rsidR="00065ABC" w:rsidRPr="00F91767" w:rsidRDefault="00065ABC" w:rsidP="00065ABC">
      <w:pPr>
        <w:pStyle w:val="Framhald"/>
      </w:pPr>
      <w:r w:rsidRPr="00F91767">
        <w:t xml:space="preserve">Heimilt er að búa reiðhjól, hliðar- og eftirvagna reiðhjóls fleiri </w:t>
      </w:r>
      <w:r w:rsidR="007D37CA">
        <w:t>glitaugum en að framan greinir. Glitaugu sem vísa aftur skulu vera rauð en önnur glitaugu gul eða hvít.</w:t>
      </w:r>
    </w:p>
    <w:p w14:paraId="392A0BBB" w14:textId="77777777" w:rsidR="00065ABC" w:rsidRPr="00F91767" w:rsidRDefault="00065ABC" w:rsidP="00065ABC">
      <w:pPr>
        <w:pStyle w:val="Heading2"/>
      </w:pPr>
    </w:p>
    <w:p w14:paraId="1D10DF99" w14:textId="77777777" w:rsidR="00065ABC" w:rsidRPr="00F91767" w:rsidRDefault="00065ABC" w:rsidP="00065ABC">
      <w:pPr>
        <w:pStyle w:val="Greinartitill"/>
      </w:pPr>
      <w:r w:rsidRPr="00F91767">
        <w:t>Hljóðmerki</w:t>
      </w:r>
    </w:p>
    <w:p w14:paraId="6D4C3121" w14:textId="58A7FE5C" w:rsidR="00065ABC" w:rsidRPr="00F91767" w:rsidRDefault="00065ABC" w:rsidP="00A37AAC">
      <w:pPr>
        <w:pStyle w:val="Framhald"/>
      </w:pPr>
      <w:r w:rsidRPr="00F91767">
        <w:t>Reiðhjól samkvæmt a. og b. lið</w:t>
      </w:r>
      <w:r w:rsidR="0021107D">
        <w:t>um</w:t>
      </w:r>
      <w:r w:rsidRPr="00F91767">
        <w:t xml:space="preserve"> 2. mgr. 1. gr., skal búið bjöllu með skýrum tón og skal hún fest á stýri. Reiðhjól skal ekki hafa annan búnað sem gefur frá sér hljóðmerki. </w:t>
      </w:r>
    </w:p>
    <w:p w14:paraId="1F05B7B3" w14:textId="77777777" w:rsidR="00065ABC" w:rsidRPr="00F91767" w:rsidRDefault="00065ABC" w:rsidP="00065ABC">
      <w:pPr>
        <w:pStyle w:val="Millifyrirsgn"/>
      </w:pPr>
      <w:r w:rsidRPr="00F91767">
        <w:t>Reiðhjól C</w:t>
      </w:r>
    </w:p>
    <w:p w14:paraId="3965197B" w14:textId="77777777" w:rsidR="00065ABC" w:rsidRPr="00F91767" w:rsidRDefault="00065ABC" w:rsidP="00065ABC">
      <w:pPr>
        <w:pStyle w:val="Heading2"/>
      </w:pPr>
    </w:p>
    <w:p w14:paraId="768F5A26" w14:textId="77777777" w:rsidR="00065ABC" w:rsidRPr="00F91767" w:rsidRDefault="00065ABC" w:rsidP="00065ABC">
      <w:pPr>
        <w:pStyle w:val="Greinartitill"/>
      </w:pPr>
      <w:r w:rsidRPr="00F91767">
        <w:t>Almennar reglur</w:t>
      </w:r>
    </w:p>
    <w:p w14:paraId="7482552B" w14:textId="77777777" w:rsidR="00065ABC" w:rsidRPr="00F91767" w:rsidRDefault="00065ABC" w:rsidP="00065ABC">
      <w:pPr>
        <w:pStyle w:val="Framhald"/>
      </w:pPr>
      <w:r w:rsidRPr="00F91767">
        <w:t>Reiðhjól samkvæmt c. lið 2. mgr. 1. gr., skal þannig gert, sett saman, búið og haldið við að það þoli það álag sem hlýst af venjulegri notkun þess og þannig að nota megi án þess að valda hættu eða óþarfa óþægindum.</w:t>
      </w:r>
    </w:p>
    <w:p w14:paraId="470A4C14" w14:textId="77777777" w:rsidR="00065ABC" w:rsidRPr="00F91767" w:rsidRDefault="00065ABC" w:rsidP="00065ABC">
      <w:pPr>
        <w:pStyle w:val="Heading2"/>
      </w:pPr>
    </w:p>
    <w:p w14:paraId="71158609" w14:textId="77777777" w:rsidR="00065ABC" w:rsidRPr="00F91767" w:rsidRDefault="00065ABC" w:rsidP="00065ABC">
      <w:pPr>
        <w:pStyle w:val="Greinartitill"/>
      </w:pPr>
      <w:r w:rsidRPr="00F91767">
        <w:t>Hemlabúnaður</w:t>
      </w:r>
    </w:p>
    <w:p w14:paraId="61C40140" w14:textId="77777777" w:rsidR="00065ABC" w:rsidRPr="00F91767" w:rsidRDefault="00065ABC" w:rsidP="00065ABC">
      <w:pPr>
        <w:pStyle w:val="Framhald"/>
      </w:pPr>
      <w:r w:rsidRPr="00F91767">
        <w:t>Reiðhjól samkvæmt c. lið 2. mgr. 1. gr., skal búið hemlum sem duga til að stöðva reiðhjólið á öruggan, skilvirkan og skjótan hátt. Hemlar skulu virka án þess að veður eða aðrir utanaðkomandi þættir hafi afgerandi áhrif á virkni þeirra.</w:t>
      </w:r>
    </w:p>
    <w:p w14:paraId="3770E95D" w14:textId="77777777" w:rsidR="00065ABC" w:rsidRPr="00F91767" w:rsidRDefault="00065ABC" w:rsidP="00065ABC">
      <w:pPr>
        <w:pStyle w:val="Heading2"/>
      </w:pPr>
    </w:p>
    <w:p w14:paraId="01B56AF5" w14:textId="77777777" w:rsidR="00065ABC" w:rsidRPr="00F91767" w:rsidRDefault="00065ABC" w:rsidP="00065ABC">
      <w:pPr>
        <w:pStyle w:val="Greinartitill"/>
      </w:pPr>
      <w:r w:rsidRPr="00F91767">
        <w:t>Ljós og endurskin</w:t>
      </w:r>
    </w:p>
    <w:p w14:paraId="27D4E823" w14:textId="77777777" w:rsidR="00065ABC" w:rsidRPr="00F91767" w:rsidRDefault="00065ABC" w:rsidP="00065ABC">
      <w:pPr>
        <w:pStyle w:val="Framhald"/>
      </w:pPr>
      <w:r w:rsidRPr="00F91767">
        <w:t>Reiðhjól samkvæmt c. lið 2. mgr. 1. gr., skal búið að minnsta kosti eftirfarandi glitaugum:</w:t>
      </w:r>
    </w:p>
    <w:p w14:paraId="296A21CB" w14:textId="27CF42C7" w:rsidR="00065ABC" w:rsidRPr="00F91767" w:rsidRDefault="00065ABC" w:rsidP="00065ABC">
      <w:pPr>
        <w:pStyle w:val="Framhald"/>
        <w:numPr>
          <w:ilvl w:val="0"/>
          <w:numId w:val="5"/>
        </w:numPr>
      </w:pPr>
      <w:r w:rsidRPr="00F91767">
        <w:t>Einu rauðu glitauga að aftan.</w:t>
      </w:r>
    </w:p>
    <w:p w14:paraId="679F3E89" w14:textId="77777777" w:rsidR="00065ABC" w:rsidRPr="00F91767" w:rsidRDefault="00065ABC" w:rsidP="00065ABC">
      <w:pPr>
        <w:pStyle w:val="Framhald"/>
      </w:pPr>
      <w:r w:rsidRPr="00F91767">
        <w:t xml:space="preserve">Reiðhjól sem notað er í myrkri eða við aðstæður þar sem skyggni er skert skal, til viðbótar við glitaugu, vera búið hvítu eða gulu ljósi að framan og rauðu ljósi að aftan, sem lýsa vel án þess að valda glýju. Ljós skulu vera sýnileg í að minnsta kosti 300 m fjarlægð og mega blikka. Ljósin skulu tryggilega fest og vísa fram og aftur. </w:t>
      </w:r>
    </w:p>
    <w:p w14:paraId="632F0D25" w14:textId="55418D54" w:rsidR="00065ABC" w:rsidRPr="00F91767" w:rsidRDefault="00065ABC" w:rsidP="00065ABC">
      <w:pPr>
        <w:pStyle w:val="Framhald"/>
      </w:pPr>
      <w:r w:rsidRPr="00F91767">
        <w:t>Heimilt er að búa reiðhjól, hliðar- og eftirvagna reiðhjóls fleiri glitaugum en að framan greinir.</w:t>
      </w:r>
      <w:r w:rsidR="005D41AE" w:rsidRPr="005D41AE">
        <w:t xml:space="preserve"> </w:t>
      </w:r>
      <w:r w:rsidR="005D41AE">
        <w:t xml:space="preserve">Glitaugu sem vísa aftur skulu vera rauð en glitaugu </w:t>
      </w:r>
      <w:r w:rsidR="00882491">
        <w:t xml:space="preserve">sem snúa fram skulu vera </w:t>
      </w:r>
      <w:r w:rsidR="005D41AE">
        <w:t>gul eða hvít.</w:t>
      </w:r>
    </w:p>
    <w:p w14:paraId="1F183C8E" w14:textId="77777777" w:rsidR="00065ABC" w:rsidRPr="00F91767" w:rsidRDefault="00065ABC" w:rsidP="00065ABC">
      <w:pPr>
        <w:pStyle w:val="Heading2"/>
      </w:pPr>
    </w:p>
    <w:p w14:paraId="7FD7CD94" w14:textId="77777777" w:rsidR="00065ABC" w:rsidRPr="00F91767" w:rsidRDefault="00065ABC" w:rsidP="00065ABC">
      <w:pPr>
        <w:pStyle w:val="Greinartitill"/>
      </w:pPr>
      <w:r w:rsidRPr="00F91767">
        <w:t>Hljóðmerki</w:t>
      </w:r>
    </w:p>
    <w:p w14:paraId="5314A500" w14:textId="7F05EC97" w:rsidR="00065ABC" w:rsidRPr="00F91767" w:rsidRDefault="00065ABC" w:rsidP="00A37AAC">
      <w:pPr>
        <w:pStyle w:val="Framhald"/>
      </w:pPr>
      <w:r w:rsidRPr="00F91767">
        <w:t xml:space="preserve">Reiðhjól samkvæmt c. lið 2. mgr. 1. gr., skal búið bjöllu með skýrum tón eða flautu sem fest skal á stýri. Reiðhjól skal ekki hafa annan búnað sem gefur frá sér hljóðmerki. </w:t>
      </w:r>
    </w:p>
    <w:p w14:paraId="5A0AC06C" w14:textId="6CC01CBB" w:rsidR="00065ABC" w:rsidRPr="00F91767" w:rsidRDefault="00065ABC" w:rsidP="00065ABC">
      <w:pPr>
        <w:pStyle w:val="Millifyrirsgn"/>
      </w:pPr>
      <w:r w:rsidRPr="00F91767">
        <w:t>Flutningur farþega og farms</w:t>
      </w:r>
    </w:p>
    <w:p w14:paraId="6984DDC0" w14:textId="77777777" w:rsidR="00065ABC" w:rsidRPr="00F91767" w:rsidRDefault="00065ABC" w:rsidP="00065ABC">
      <w:pPr>
        <w:pStyle w:val="Heading2"/>
      </w:pPr>
    </w:p>
    <w:p w14:paraId="293C0BE2" w14:textId="77777777" w:rsidR="00065ABC" w:rsidRPr="00F91767" w:rsidRDefault="00065ABC" w:rsidP="00065ABC">
      <w:pPr>
        <w:pStyle w:val="Greinartitill"/>
      </w:pPr>
      <w:r w:rsidRPr="00F91767">
        <w:t xml:space="preserve">Hliðar- og eftirvagnar </w:t>
      </w:r>
    </w:p>
    <w:p w14:paraId="7FA09D9C" w14:textId="77777777" w:rsidR="00065ABC" w:rsidRPr="00F91767" w:rsidRDefault="00065ABC" w:rsidP="00065ABC">
      <w:pPr>
        <w:pStyle w:val="Framhald"/>
      </w:pPr>
      <w:r w:rsidRPr="00F91767">
        <w:t xml:space="preserve">Við reiðhjól má festa einn hliðarvagn og allt að tvo eftirvagna sem skulu tryggilega festir. Hliðar- og eftirvagnar sem festir eru við reiðhjól mega ekki hafa fleiri en tvö hjól. </w:t>
      </w:r>
      <w:r w:rsidRPr="00F91767">
        <w:rPr>
          <w:rFonts w:eastAsia="Times New Roman" w:cs="Times New Roman"/>
        </w:rPr>
        <w:t xml:space="preserve">Hliðarvagni skal vera komið fyrir hægra megin við reiðhjólið. </w:t>
      </w:r>
    </w:p>
    <w:p w14:paraId="4FCB78EF" w14:textId="465A2DC2" w:rsidR="00065ABC" w:rsidRPr="00F91767" w:rsidRDefault="00065ABC" w:rsidP="00065ABC">
      <w:pPr>
        <w:pStyle w:val="Framhald"/>
      </w:pPr>
      <w:r w:rsidRPr="00F91767">
        <w:t>Hliðar- og eftirvagnar mega ekki vera breiðari en 1,0 m. Samfelld lengd reiðhjóls ásamt áföstum  vagni eða vögnum má ekki vera lengri en 3,5 m.</w:t>
      </w:r>
    </w:p>
    <w:p w14:paraId="4BEB4E0D" w14:textId="0C9A5727" w:rsidR="00065ABC" w:rsidRPr="00F91767" w:rsidRDefault="00065ABC" w:rsidP="00065ABC">
      <w:pPr>
        <w:pStyle w:val="Framhald"/>
      </w:pPr>
      <w:r w:rsidRPr="00F91767">
        <w:t xml:space="preserve">Þrátt fyrir ákvæði 1. mgr. er óheimilt að festa hliðar- eða eftirvagn við </w:t>
      </w:r>
      <w:bookmarkStart w:id="1" w:name="_GoBack"/>
      <w:bookmarkEnd w:id="1"/>
      <w:r w:rsidRPr="00F91767">
        <w:t>ökutæki á einum öxli samkvæmt c. lið 2. mgr. 1. gr.</w:t>
      </w:r>
    </w:p>
    <w:p w14:paraId="1D1E31C6" w14:textId="77777777" w:rsidR="00065ABC" w:rsidRPr="00F91767" w:rsidRDefault="00065ABC" w:rsidP="00065ABC">
      <w:pPr>
        <w:pStyle w:val="Heading2"/>
      </w:pPr>
      <w:r w:rsidRPr="00F91767">
        <w:t xml:space="preserve"> </w:t>
      </w:r>
    </w:p>
    <w:p w14:paraId="2A6845BC" w14:textId="77777777" w:rsidR="00065ABC" w:rsidRPr="00F91767" w:rsidRDefault="00065ABC" w:rsidP="00065ABC">
      <w:pPr>
        <w:pStyle w:val="Greinartitill"/>
      </w:pPr>
      <w:r w:rsidRPr="00F91767">
        <w:t xml:space="preserve">Farþegar og öryggi </w:t>
      </w:r>
    </w:p>
    <w:p w14:paraId="6C879310" w14:textId="04AA5518" w:rsidR="00070427" w:rsidRPr="00F91767" w:rsidRDefault="00FE4272" w:rsidP="00065ABC">
      <w:pPr>
        <w:pStyle w:val="Framhald"/>
      </w:pPr>
      <w:r w:rsidRPr="00F91767">
        <w:t xml:space="preserve">Óheimilt er á reiðhjóli að flytja fleiri farþega en það er hannað til að flytja. </w:t>
      </w:r>
      <w:r w:rsidR="00070427" w:rsidRPr="00F91767">
        <w:t>Með sérstökum hliðar- eða eftirva</w:t>
      </w:r>
      <w:r w:rsidR="00A03C9A" w:rsidRPr="00F91767">
        <w:t>gni sem festur er við reiðhjól</w:t>
      </w:r>
      <w:r w:rsidR="00070427" w:rsidRPr="00F91767">
        <w:t xml:space="preserve"> má flytja allt að tvo farþega.</w:t>
      </w:r>
    </w:p>
    <w:p w14:paraId="61613E3D" w14:textId="789D91BB" w:rsidR="00065ABC" w:rsidRPr="00F91767" w:rsidRDefault="00A03C9A" w:rsidP="00A03C9A">
      <w:pPr>
        <w:pStyle w:val="Framhald"/>
      </w:pPr>
      <w:r w:rsidRPr="00F91767">
        <w:lastRenderedPageBreak/>
        <w:t xml:space="preserve">Börn undir 7 ára aldri má einungis flytja á reiðhjólum sem útbúin eru sérstökum sætum </w:t>
      </w:r>
      <w:r w:rsidR="00936E88" w:rsidRPr="00F91767">
        <w:t>fyrir börn</w:t>
      </w:r>
      <w:r w:rsidRPr="00F91767">
        <w:t xml:space="preserve">. </w:t>
      </w:r>
      <w:r w:rsidR="00BF7B51" w:rsidRPr="00F91767">
        <w:t>Sætin</w:t>
      </w:r>
      <w:r w:rsidR="00065ABC" w:rsidRPr="00F91767">
        <w:t xml:space="preserve"> skulu hæfa þyngd barnsins og hæð hverju sinni og þannig um búið að barninu stafi eigi hætta af hjólateinunum. Börn sem eru flutt með reiðhjóli skulu vera tryggilega fest með öryggisbelti</w:t>
      </w:r>
      <w:r w:rsidRPr="00F91767">
        <w:t>. Ökumaður reiðhjóls, sem flytur farþega undir 7 ára aldri, með eða án hliðar- eða eftirvagns, skal hafa náð 15 ára aldri.</w:t>
      </w:r>
    </w:p>
    <w:p w14:paraId="6A9DA231" w14:textId="72D48290" w:rsidR="00065ABC" w:rsidRPr="00F91767" w:rsidRDefault="00065ABC" w:rsidP="00065ABC">
      <w:pPr>
        <w:pStyle w:val="Framhald"/>
      </w:pPr>
      <w:r w:rsidRPr="00F91767">
        <w:t xml:space="preserve">Á reiðhjóli, sem hannað er til að flytja farþega, eða í hliðar- eða eftirvagni sem ætlaður er til slíkra nota, skal vera sérstakt sæti fyrir hvern farþega og hlíf sem skýlir farþegum fyrir hjólum og hjólateinum. Allir farþegar í hliðar- eða eftirvagni skulu vera festir með öryggisbelti. </w:t>
      </w:r>
      <w:r w:rsidR="00FD0F3B" w:rsidRPr="00F91767">
        <w:t>Þó er ekki gerð krafa um öryggisbelti e</w:t>
      </w:r>
      <w:r w:rsidRPr="00F91767">
        <w:t xml:space="preserve">f hliðar- eða eftirvagn er búinn hnakki, handföngum og fótstigi fyrir </w:t>
      </w:r>
      <w:r w:rsidR="00FD0F3B" w:rsidRPr="00F91767">
        <w:t xml:space="preserve">hvern </w:t>
      </w:r>
      <w:r w:rsidRPr="00F91767">
        <w:t>farþega</w:t>
      </w:r>
      <w:r w:rsidR="00FD0F3B" w:rsidRPr="00F91767">
        <w:t>.</w:t>
      </w:r>
    </w:p>
    <w:p w14:paraId="1AE507FD" w14:textId="759F1A52" w:rsidR="00EA29AB" w:rsidRPr="00F91767" w:rsidRDefault="00065ABC" w:rsidP="00EA29AB">
      <w:pPr>
        <w:pStyle w:val="Framhald"/>
      </w:pPr>
      <w:r w:rsidRPr="00F91767">
        <w:t xml:space="preserve">Á </w:t>
      </w:r>
      <w:r w:rsidR="0047617F" w:rsidRPr="00F91767">
        <w:t xml:space="preserve">reiðhjólum samkvæmt c. lið 2. mgr. 1. gr. </w:t>
      </w:r>
      <w:r w:rsidRPr="00F91767">
        <w:t xml:space="preserve">má ekki flytja farþega nema </w:t>
      </w:r>
      <w:r w:rsidR="004058D8" w:rsidRPr="00F91767">
        <w:t>reiðhjólið</w:t>
      </w:r>
      <w:r w:rsidRPr="00F91767">
        <w:t xml:space="preserve"> hafi verið sérstaklega útbúið til þess af framleiðanda.</w:t>
      </w:r>
    </w:p>
    <w:p w14:paraId="73C1A0B7" w14:textId="58091E4B" w:rsidR="00EA29AB" w:rsidRPr="00F91767" w:rsidRDefault="00EA29AB" w:rsidP="00EA29AB">
      <w:pPr>
        <w:pStyle w:val="Framhald"/>
      </w:pPr>
      <w:r w:rsidRPr="00F91767">
        <w:t>Eigi má flytja á reiðhjóli fleiri farþega en svo að ökumaður geti haft fullkomna stjórn á reiðhjólinu og gefið viðeigandi merki.</w:t>
      </w:r>
    </w:p>
    <w:p w14:paraId="6E2BBFBA" w14:textId="1F673A28" w:rsidR="00EA29AB" w:rsidRPr="00F91767" w:rsidRDefault="00EA29AB" w:rsidP="00EA29AB">
      <w:pPr>
        <w:pStyle w:val="Heading2"/>
      </w:pPr>
    </w:p>
    <w:p w14:paraId="562EE679" w14:textId="75F0679D" w:rsidR="00EA29AB" w:rsidRPr="00F91767" w:rsidRDefault="00EA29AB" w:rsidP="00EA29AB">
      <w:pPr>
        <w:pStyle w:val="Greinartitill"/>
      </w:pPr>
      <w:r w:rsidRPr="00F91767">
        <w:t>Flutningur farms</w:t>
      </w:r>
    </w:p>
    <w:p w14:paraId="1EBAF4B9" w14:textId="3462489E" w:rsidR="004F46C9" w:rsidRPr="00F91767" w:rsidRDefault="004F46C9" w:rsidP="00EA29AB">
      <w:pPr>
        <w:pStyle w:val="Framhald"/>
      </w:pPr>
      <w:r w:rsidRPr="00F91767">
        <w:t>Farm reiðhjóls skal skorða tryggilega eða festa við reiðhjóli</w:t>
      </w:r>
      <w:r w:rsidR="00CD51BE">
        <w:t>ð</w:t>
      </w:r>
      <w:r w:rsidRPr="00F91767">
        <w:t xml:space="preserve"> og þannig gengið frá honum að hann byrgi ekki sýn ökumanns eða hætta sé á að hann hreyfist til eða falli af reiðhjólinu.</w:t>
      </w:r>
    </w:p>
    <w:p w14:paraId="22C3F0BE" w14:textId="08705CCB" w:rsidR="00EA29AB" w:rsidRPr="00F91767" w:rsidRDefault="00EA29AB" w:rsidP="00A37AAC">
      <w:pPr>
        <w:pStyle w:val="Framhald"/>
      </w:pPr>
      <w:r w:rsidRPr="00F91767">
        <w:t xml:space="preserve">Eigi má flytja á reiðhjóli þyngri farm en svo að ökumaður geti haft fullkomna stjórn á reiðhjólinu og gefið viðeigandi merki. Eigi má heldur flytja á reiðhjóli hluti, sem valdið geta öðrum vegfarendum óþægindum. </w:t>
      </w:r>
    </w:p>
    <w:p w14:paraId="7A3C1C7A" w14:textId="27BEC429" w:rsidR="00065ABC" w:rsidRPr="00F91767" w:rsidRDefault="00A37AAC" w:rsidP="00A37AAC">
      <w:pPr>
        <w:pStyle w:val="Millifyrirsgn"/>
      </w:pPr>
      <w:r w:rsidRPr="00F91767">
        <w:t>Ýmis ákvæði</w:t>
      </w:r>
    </w:p>
    <w:p w14:paraId="6F1D5C3E" w14:textId="77777777" w:rsidR="00065ABC" w:rsidRPr="00F91767" w:rsidRDefault="00065ABC" w:rsidP="00065ABC">
      <w:pPr>
        <w:pStyle w:val="Heading2"/>
      </w:pPr>
    </w:p>
    <w:p w14:paraId="5468B454" w14:textId="77777777" w:rsidR="00065ABC" w:rsidRPr="00F91767" w:rsidRDefault="00065ABC" w:rsidP="00065ABC">
      <w:pPr>
        <w:pStyle w:val="Greinartitill"/>
      </w:pPr>
      <w:r w:rsidRPr="00F91767">
        <w:t xml:space="preserve">Undanþága </w:t>
      </w:r>
    </w:p>
    <w:p w14:paraId="4FDAD374" w14:textId="77777777" w:rsidR="00065ABC" w:rsidRPr="00F91767" w:rsidRDefault="00065ABC" w:rsidP="00065ABC">
      <w:pPr>
        <w:pStyle w:val="Framhald"/>
      </w:pPr>
      <w:r w:rsidRPr="00F91767">
        <w:t xml:space="preserve">Samgöngustofu er heimilt að veita undanþágu frá einstökum ákvæðum reglugerðarinnar þegar sérstakar aðstæður mæla með því og slíkt er talið forsvaranlegt með tilliti til öryggis. </w:t>
      </w:r>
    </w:p>
    <w:p w14:paraId="18EEFA49" w14:textId="77777777" w:rsidR="00065ABC" w:rsidRPr="00F91767" w:rsidRDefault="00065ABC" w:rsidP="00065ABC">
      <w:pPr>
        <w:pStyle w:val="Heading2"/>
      </w:pPr>
    </w:p>
    <w:p w14:paraId="230480A3" w14:textId="77777777" w:rsidR="00065ABC" w:rsidRPr="00F91767" w:rsidRDefault="00065ABC" w:rsidP="00065ABC">
      <w:pPr>
        <w:pStyle w:val="Greinartitill"/>
      </w:pPr>
      <w:r w:rsidRPr="00F91767">
        <w:t xml:space="preserve">Viðurlög </w:t>
      </w:r>
    </w:p>
    <w:p w14:paraId="7EC7B6F1" w14:textId="77777777" w:rsidR="00065ABC" w:rsidRPr="00F91767" w:rsidRDefault="00065ABC" w:rsidP="00065ABC">
      <w:pPr>
        <w:pStyle w:val="Framhald"/>
      </w:pPr>
      <w:r w:rsidRPr="00F91767">
        <w:t>Brot gegn reglugerð þessari varða refsingu samkvæmt 94. gr. umferðarlaga nr. 77/2019, með síðari breytingum.</w:t>
      </w:r>
    </w:p>
    <w:p w14:paraId="4EC23190" w14:textId="77777777" w:rsidR="00065ABC" w:rsidRPr="00F91767" w:rsidRDefault="00065ABC" w:rsidP="00065ABC">
      <w:pPr>
        <w:pStyle w:val="Heading2"/>
      </w:pPr>
    </w:p>
    <w:p w14:paraId="0AF43E74" w14:textId="77777777" w:rsidR="00065ABC" w:rsidRPr="00F91767" w:rsidRDefault="00065ABC" w:rsidP="00065ABC">
      <w:pPr>
        <w:pStyle w:val="Greinartitill"/>
      </w:pPr>
      <w:r w:rsidRPr="00F91767">
        <w:t xml:space="preserve">Lagastoð og gildistaka. </w:t>
      </w:r>
    </w:p>
    <w:p w14:paraId="570C9326" w14:textId="77777777" w:rsidR="00065ABC" w:rsidRPr="00F91767" w:rsidRDefault="00065ABC" w:rsidP="00065ABC">
      <w:pPr>
        <w:ind w:left="-15" w:firstLine="396"/>
      </w:pPr>
      <w:r w:rsidRPr="00F91767">
        <w:rPr>
          <w:rFonts w:eastAsia="Times New Roman" w:cs="Times New Roman"/>
        </w:rPr>
        <w:t xml:space="preserve">Reglugerð þessi sem sett er samkvæmt 42. gr., 69. gr., 70. gr. og 80. gr. umferðarlaga nr. 77/2019, öðlast þegar gildi. Jafnframt fellur úr gildi reglugerð nr. 57/1994 um gerð og búnað reiðhjóla. </w:t>
      </w:r>
    </w:p>
    <w:p w14:paraId="1875FCB0" w14:textId="77777777" w:rsidR="00065ABC" w:rsidRPr="00F91767" w:rsidRDefault="00065ABC" w:rsidP="00065ABC">
      <w:pPr>
        <w:spacing w:line="259" w:lineRule="auto"/>
        <w:jc w:val="center"/>
      </w:pPr>
      <w:r w:rsidRPr="00F91767">
        <w:rPr>
          <w:rFonts w:eastAsia="Times New Roman" w:cs="Times New Roman"/>
          <w:i/>
        </w:rPr>
        <w:t xml:space="preserve"> </w:t>
      </w:r>
    </w:p>
    <w:p w14:paraId="016BA44A" w14:textId="77777777" w:rsidR="00065ABC" w:rsidRPr="00F91767" w:rsidRDefault="00065ABC" w:rsidP="00065ABC">
      <w:pPr>
        <w:spacing w:line="259" w:lineRule="auto"/>
        <w:ind w:left="353" w:hanging="10"/>
        <w:jc w:val="center"/>
      </w:pPr>
      <w:r w:rsidRPr="00F91767">
        <w:t xml:space="preserve">Samgöngu- og sveitarstjórnarráðuneytinu,     . júlí 2020. </w:t>
      </w:r>
    </w:p>
    <w:p w14:paraId="198A4EC7" w14:textId="77777777" w:rsidR="00065ABC" w:rsidRPr="00F91767" w:rsidRDefault="00065ABC" w:rsidP="00065ABC">
      <w:pPr>
        <w:spacing w:line="259" w:lineRule="auto"/>
        <w:ind w:left="393"/>
        <w:jc w:val="center"/>
      </w:pPr>
      <w:r w:rsidRPr="00F91767">
        <w:t xml:space="preserve"> </w:t>
      </w:r>
    </w:p>
    <w:p w14:paraId="69FCDBFE" w14:textId="77777777" w:rsidR="00065ABC" w:rsidRPr="00F91767" w:rsidRDefault="00065ABC" w:rsidP="00065ABC">
      <w:pPr>
        <w:spacing w:line="259" w:lineRule="auto"/>
        <w:ind w:left="393"/>
        <w:jc w:val="center"/>
      </w:pPr>
    </w:p>
    <w:p w14:paraId="2490915B" w14:textId="77777777" w:rsidR="00065ABC" w:rsidRPr="00F91767" w:rsidRDefault="00065ABC" w:rsidP="00065ABC">
      <w:pPr>
        <w:spacing w:line="259" w:lineRule="auto"/>
        <w:ind w:left="353" w:hanging="10"/>
        <w:jc w:val="center"/>
      </w:pPr>
      <w:r w:rsidRPr="00F91767">
        <w:rPr>
          <w:rFonts w:eastAsia="Times New Roman" w:cs="Times New Roman"/>
          <w:b/>
        </w:rPr>
        <w:t xml:space="preserve">Sigurður Ingi Jóhannsson. </w:t>
      </w:r>
    </w:p>
    <w:p w14:paraId="59250568" w14:textId="77777777" w:rsidR="00065ABC" w:rsidRPr="00F91767" w:rsidRDefault="00065ABC" w:rsidP="00065ABC">
      <w:pPr>
        <w:spacing w:line="259" w:lineRule="auto"/>
        <w:ind w:left="396"/>
      </w:pPr>
      <w:r w:rsidRPr="00F91767">
        <w:rPr>
          <w:rFonts w:eastAsia="Times New Roman" w:cs="Times New Roman"/>
          <w:i/>
        </w:rPr>
        <w:t xml:space="preserve"> </w:t>
      </w:r>
    </w:p>
    <w:p w14:paraId="7C4D4D34" w14:textId="77777777" w:rsidR="00065ABC" w:rsidRPr="00F91767" w:rsidRDefault="00065ABC" w:rsidP="00065ABC">
      <w:pPr>
        <w:spacing w:line="259" w:lineRule="auto"/>
        <w:jc w:val="right"/>
      </w:pPr>
      <w:r w:rsidRPr="00F91767">
        <w:rPr>
          <w:rFonts w:eastAsia="Times New Roman" w:cs="Times New Roman"/>
          <w:i/>
        </w:rPr>
        <w:t xml:space="preserve"> </w:t>
      </w:r>
    </w:p>
    <w:p w14:paraId="3C97CFB5" w14:textId="77777777" w:rsidR="00065ABC" w:rsidRPr="00F91767" w:rsidRDefault="00065ABC" w:rsidP="00065ABC">
      <w:pPr>
        <w:spacing w:line="259" w:lineRule="auto"/>
        <w:jc w:val="right"/>
      </w:pPr>
      <w:r w:rsidRPr="00F91767">
        <w:rPr>
          <w:rFonts w:eastAsia="Times New Roman" w:cs="Times New Roman"/>
          <w:i/>
        </w:rPr>
        <w:t xml:space="preserve"> </w:t>
      </w:r>
    </w:p>
    <w:p w14:paraId="27082A7F" w14:textId="77777777" w:rsidR="00065ABC" w:rsidRPr="005B294F" w:rsidRDefault="00065ABC" w:rsidP="00065ABC">
      <w:pPr>
        <w:spacing w:line="259" w:lineRule="auto"/>
        <w:ind w:right="53"/>
        <w:jc w:val="right"/>
      </w:pPr>
      <w:r w:rsidRPr="00F91767">
        <w:rPr>
          <w:rFonts w:eastAsia="Times New Roman" w:cs="Times New Roman"/>
          <w:i/>
        </w:rPr>
        <w:t>Ragnhildur Hjaltadóttir.</w:t>
      </w:r>
    </w:p>
    <w:p w14:paraId="7F531882" w14:textId="77777777" w:rsidR="00EF2D68" w:rsidRDefault="00B412A6"/>
    <w:sectPr w:rsidR="00EF2D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udmundurBG2869" w:date="2020-07-24T09:18:00Z" w:initials="G">
    <w:p w14:paraId="6AD9DB6D" w14:textId="2E31E016" w:rsidR="00122519" w:rsidRDefault="00122519">
      <w:pPr>
        <w:pStyle w:val="CommentText"/>
      </w:pPr>
      <w:r>
        <w:rPr>
          <w:rStyle w:val="CommentReference"/>
        </w:rPr>
        <w:annotationRef/>
      </w:r>
      <w:r w:rsidR="00DB2934">
        <w:rPr>
          <w:rStyle w:val="CommentReference"/>
        </w:rPr>
        <w:t>Engar r</w:t>
      </w:r>
      <w:r>
        <w:t>eglur um hámarkslengd né hámarksbreidd reiðhjóla, nema í 11. gr. þar sem hámarkslengd að meðtöldum eftirvögnum er 3,5 metrar.</w:t>
      </w:r>
    </w:p>
    <w:p w14:paraId="5BF22740" w14:textId="73D898DD" w:rsidR="00122519" w:rsidRDefault="00122519">
      <w:pPr>
        <w:pStyle w:val="CommentText"/>
      </w:pPr>
    </w:p>
    <w:p w14:paraId="576D5596" w14:textId="4705572D" w:rsidR="00122519" w:rsidRDefault="00122519">
      <w:pPr>
        <w:pStyle w:val="CommentText"/>
      </w:pPr>
      <w:r>
        <w:t>Ef ástæða er til að fjalla um slíkt væri það ágætt hér.</w:t>
      </w:r>
    </w:p>
    <w:p w14:paraId="32EE446C" w14:textId="79C3AC5C" w:rsidR="00122519" w:rsidRDefault="00122519">
      <w:pPr>
        <w:pStyle w:val="CommentText"/>
      </w:pPr>
    </w:p>
    <w:p w14:paraId="62B85069" w14:textId="18DD680D" w:rsidR="00122519" w:rsidRDefault="00122519">
      <w:pPr>
        <w:pStyle w:val="CommentText"/>
      </w:pPr>
      <w:r>
        <w:t>Dönsk hámarksbreidd reiðhjóla er 1 m eða 1,25 metrar fyrir reiðhjól með 2 hjól á sama ás.</w:t>
      </w:r>
    </w:p>
    <w:p w14:paraId="00ED692F" w14:textId="2EE8D4DE" w:rsidR="00122519" w:rsidRDefault="00122519">
      <w:pPr>
        <w:pStyle w:val="CommentText"/>
      </w:pPr>
    </w:p>
    <w:p w14:paraId="353B033F" w14:textId="2D396178" w:rsidR="00122519" w:rsidRDefault="00122519">
      <w:pPr>
        <w:pStyle w:val="CommentText"/>
      </w:pPr>
      <w:r>
        <w:t>Hámarksbreidd stýris 70 cm.</w:t>
      </w:r>
    </w:p>
    <w:p w14:paraId="0D5CFFC8" w14:textId="43CD5534" w:rsidR="00122519" w:rsidRDefault="00122519">
      <w:pPr>
        <w:pStyle w:val="CommentText"/>
      </w:pPr>
    </w:p>
    <w:p w14:paraId="374A728D" w14:textId="3F31EF2F" w:rsidR="00122519" w:rsidRDefault="00122519">
      <w:pPr>
        <w:pStyle w:val="CommentText"/>
      </w:pPr>
      <w:r>
        <w:t>Hámarkslengd 3,5 m</w:t>
      </w:r>
    </w:p>
    <w:p w14:paraId="79B1C1BA" w14:textId="3361ECBD" w:rsidR="00122519" w:rsidRDefault="00122519">
      <w:pPr>
        <w:pStyle w:val="CommentText"/>
      </w:pPr>
    </w:p>
    <w:p w14:paraId="4EC3E55A" w14:textId="58CB6DFE" w:rsidR="00122519" w:rsidRDefault="00122519">
      <w:pPr>
        <w:pStyle w:val="CommentText"/>
      </w:pPr>
      <w:r>
        <w:t>Hámarksbreidd vagns 1 m.</w:t>
      </w:r>
    </w:p>
    <w:p w14:paraId="0F4780A5" w14:textId="451EE57A" w:rsidR="00122519" w:rsidRDefault="00122519">
      <w:pPr>
        <w:pStyle w:val="CommentText"/>
      </w:pPr>
    </w:p>
    <w:p w14:paraId="4D564140" w14:textId="3BD367A5" w:rsidR="00122519" w:rsidRDefault="00122519">
      <w:pPr>
        <w:pStyle w:val="CommentText"/>
      </w:pPr>
      <w:r>
        <w:t xml:space="preserve">Hámarksþyngd vagns 60 kg, 100 kg ef búið </w:t>
      </w:r>
      <w:r w:rsidRPr="00122519">
        <w:t>påløbsbremse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5641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30AF" w14:textId="77777777" w:rsidR="0056222D" w:rsidRDefault="0021107D">
      <w:pPr>
        <w:spacing w:after="0"/>
      </w:pPr>
      <w:r>
        <w:separator/>
      </w:r>
    </w:p>
  </w:endnote>
  <w:endnote w:type="continuationSeparator" w:id="0">
    <w:p w14:paraId="16518874" w14:textId="77777777" w:rsidR="0056222D" w:rsidRDefault="00211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64AC0" w14:textId="77777777" w:rsidR="005948C6" w:rsidRDefault="00B41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BB8E" w14:textId="77777777" w:rsidR="00816566" w:rsidRDefault="00B412A6">
    <w:pPr>
      <w:pStyle w:val="Footer"/>
      <w:jc w:val="center"/>
    </w:pPr>
  </w:p>
  <w:p w14:paraId="1B0C391D" w14:textId="77777777" w:rsidR="00816566" w:rsidRDefault="00B41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0475" w14:textId="77777777" w:rsidR="005948C6" w:rsidRDefault="00B41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55A8" w14:textId="77777777" w:rsidR="0056222D" w:rsidRDefault="0021107D">
      <w:pPr>
        <w:spacing w:after="0"/>
      </w:pPr>
      <w:r>
        <w:separator/>
      </w:r>
    </w:p>
  </w:footnote>
  <w:footnote w:type="continuationSeparator" w:id="0">
    <w:p w14:paraId="6AF4316D" w14:textId="77777777" w:rsidR="0056222D" w:rsidRDefault="002110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839CB" w14:textId="77777777" w:rsidR="005948C6" w:rsidRDefault="00B41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632249"/>
      <w:docPartObj>
        <w:docPartGallery w:val="Watermarks"/>
        <w:docPartUnique/>
      </w:docPartObj>
    </w:sdtPr>
    <w:sdtEndPr/>
    <w:sdtContent>
      <w:p w14:paraId="6C8B9697" w14:textId="77777777" w:rsidR="005948C6" w:rsidRDefault="00B412A6">
        <w:pPr>
          <w:pStyle w:val="Header"/>
        </w:pPr>
        <w:r>
          <w:rPr>
            <w:noProof/>
            <w:lang w:val="en-US"/>
          </w:rPr>
          <w:pict w14:anchorId="22E872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223033" o:spid="_x0000_s1025" type="#_x0000_t136" style="position:absolute;left:0;text-align:left;margin-left:0;margin-top:0;width:365.45pt;height:274.0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45D4" w14:textId="77777777" w:rsidR="005948C6" w:rsidRDefault="00B41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933"/>
    <w:multiLevelType w:val="hybridMultilevel"/>
    <w:tmpl w:val="EC88CAAA"/>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 w15:restartNumberingAfterBreak="0">
    <w:nsid w:val="42C30065"/>
    <w:multiLevelType w:val="multilevel"/>
    <w:tmpl w:val="2856B148"/>
    <w:numStyleLink w:val="Regluger"/>
  </w:abstractNum>
  <w:abstractNum w:abstractNumId="2" w15:restartNumberingAfterBreak="0">
    <w:nsid w:val="42E46C8E"/>
    <w:multiLevelType w:val="hybridMultilevel"/>
    <w:tmpl w:val="BA9695DC"/>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3" w15:restartNumberingAfterBreak="0">
    <w:nsid w:val="61BE1258"/>
    <w:multiLevelType w:val="hybridMultilevel"/>
    <w:tmpl w:val="EC88CAAA"/>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4" w15:restartNumberingAfterBreak="0">
    <w:nsid w:val="6F39405F"/>
    <w:multiLevelType w:val="multilevel"/>
    <w:tmpl w:val="2856B148"/>
    <w:styleLink w:val="Regluger"/>
    <w:lvl w:ilvl="0">
      <w:start w:val="1"/>
      <w:numFmt w:val="upperRoman"/>
      <w:pStyle w:val="Heading1"/>
      <w:suff w:val="space"/>
      <w:lvlText w:val="%1."/>
      <w:lvlJc w:val="center"/>
      <w:pPr>
        <w:ind w:left="360" w:hanging="72"/>
      </w:pPr>
      <w:rPr>
        <w:rFonts w:hint="default"/>
      </w:rPr>
    </w:lvl>
    <w:lvl w:ilvl="1">
      <w:start w:val="1"/>
      <w:numFmt w:val="decimal"/>
      <w:lvlRestart w:val="0"/>
      <w:pStyle w:val="Heading2"/>
      <w:suff w:val="nothing"/>
      <w:lvlText w:val="%2. gr."/>
      <w:lvlJc w:val="center"/>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lvlOverride w:ilvl="1">
      <w:lvl w:ilvl="1">
        <w:start w:val="1"/>
        <w:numFmt w:val="decimal"/>
        <w:lvlRestart w:val="0"/>
        <w:pStyle w:val="Heading2"/>
        <w:suff w:val="nothing"/>
        <w:lvlText w:val="%2. gr."/>
        <w:lvlJc w:val="center"/>
        <w:pPr>
          <w:ind w:left="720" w:hanging="360"/>
        </w:pPr>
        <w:rPr>
          <w:rFonts w:hint="default"/>
        </w:rPr>
      </w:lvl>
    </w:lvlOverride>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dmundurBG2869">
    <w15:presenceInfo w15:providerId="None" w15:userId="GudmundurBG2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BC"/>
    <w:rsid w:val="00065ABC"/>
    <w:rsid w:val="00070427"/>
    <w:rsid w:val="000C3DDA"/>
    <w:rsid w:val="001139DD"/>
    <w:rsid w:val="00122519"/>
    <w:rsid w:val="001D13DB"/>
    <w:rsid w:val="0021107D"/>
    <w:rsid w:val="002A4054"/>
    <w:rsid w:val="004058D8"/>
    <w:rsid w:val="0047617F"/>
    <w:rsid w:val="004E6299"/>
    <w:rsid w:val="004F46C9"/>
    <w:rsid w:val="0056222D"/>
    <w:rsid w:val="00562AB5"/>
    <w:rsid w:val="005D41AE"/>
    <w:rsid w:val="005F5094"/>
    <w:rsid w:val="006402CB"/>
    <w:rsid w:val="00680CE4"/>
    <w:rsid w:val="006D10A6"/>
    <w:rsid w:val="007D37CA"/>
    <w:rsid w:val="00882491"/>
    <w:rsid w:val="009150E0"/>
    <w:rsid w:val="00936E88"/>
    <w:rsid w:val="00A03C9A"/>
    <w:rsid w:val="00A37AAC"/>
    <w:rsid w:val="00B412A6"/>
    <w:rsid w:val="00B56AF8"/>
    <w:rsid w:val="00BF7B51"/>
    <w:rsid w:val="00CD51BE"/>
    <w:rsid w:val="00DB2934"/>
    <w:rsid w:val="00EA29AB"/>
    <w:rsid w:val="00F91767"/>
    <w:rsid w:val="00FD0F3B"/>
    <w:rsid w:val="00FE42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55E51"/>
  <w15:chartTrackingRefBased/>
  <w15:docId w15:val="{99E634C7-65CC-4E3F-840B-C2BDFCD4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ABC"/>
    <w:pPr>
      <w:spacing w:after="210" w:line="240" w:lineRule="auto"/>
      <w:jc w:val="both"/>
    </w:pPr>
    <w:rPr>
      <w:rFonts w:ascii="Times New Roman" w:hAnsi="Times New Roman"/>
      <w:sz w:val="21"/>
    </w:rPr>
  </w:style>
  <w:style w:type="paragraph" w:styleId="Heading1">
    <w:name w:val="heading 1"/>
    <w:basedOn w:val="Normal"/>
    <w:next w:val="Normal"/>
    <w:link w:val="Heading1Char"/>
    <w:uiPriority w:val="9"/>
    <w:qFormat/>
    <w:rsid w:val="00065ABC"/>
    <w:pPr>
      <w:keepNext/>
      <w:keepLines/>
      <w:numPr>
        <w:numId w:val="2"/>
      </w:numPr>
      <w:spacing w:before="240" w:after="240"/>
      <w:jc w:val="center"/>
      <w:outlineLvl w:val="0"/>
    </w:pPr>
    <w:rPr>
      <w:rFonts w:eastAsiaTheme="majorEastAsia" w:cstheme="majorBidi"/>
      <w:b/>
      <w:caps/>
      <w:sz w:val="32"/>
      <w:szCs w:val="32"/>
    </w:rPr>
  </w:style>
  <w:style w:type="paragraph" w:styleId="Heading2">
    <w:name w:val="heading 2"/>
    <w:basedOn w:val="Normal"/>
    <w:next w:val="Greinartitill"/>
    <w:link w:val="Heading2Char"/>
    <w:uiPriority w:val="9"/>
    <w:unhideWhenUsed/>
    <w:qFormat/>
    <w:rsid w:val="00065ABC"/>
    <w:pPr>
      <w:keepNext/>
      <w:keepLines/>
      <w:numPr>
        <w:ilvl w:val="1"/>
        <w:numId w:val="2"/>
      </w:numPr>
      <w:spacing w:before="240" w:after="0"/>
      <w:ind w:hanging="436"/>
      <w:jc w:val="center"/>
      <w:outlineLvl w:val="1"/>
    </w:pPr>
    <w:rPr>
      <w:rFonts w:ascii="Times" w:eastAsiaTheme="majorEastAsia" w:hAnsi="Times"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ABC"/>
    <w:rPr>
      <w:rFonts w:ascii="Times New Roman" w:eastAsiaTheme="majorEastAsia" w:hAnsi="Times New Roman" w:cstheme="majorBidi"/>
      <w:b/>
      <w:caps/>
      <w:sz w:val="32"/>
      <w:szCs w:val="32"/>
    </w:rPr>
  </w:style>
  <w:style w:type="character" w:customStyle="1" w:styleId="Heading2Char">
    <w:name w:val="Heading 2 Char"/>
    <w:basedOn w:val="DefaultParagraphFont"/>
    <w:link w:val="Heading2"/>
    <w:uiPriority w:val="9"/>
    <w:rsid w:val="00065ABC"/>
    <w:rPr>
      <w:rFonts w:ascii="Times" w:eastAsiaTheme="majorEastAsia" w:hAnsi="Times" w:cstheme="majorBidi"/>
      <w:sz w:val="21"/>
      <w:szCs w:val="26"/>
    </w:rPr>
  </w:style>
  <w:style w:type="numbering" w:customStyle="1" w:styleId="Regluger">
    <w:name w:val="Reglugerð"/>
    <w:uiPriority w:val="99"/>
    <w:rsid w:val="00065ABC"/>
    <w:pPr>
      <w:numPr>
        <w:numId w:val="1"/>
      </w:numPr>
    </w:pPr>
  </w:style>
  <w:style w:type="paragraph" w:customStyle="1" w:styleId="Greinartitill">
    <w:name w:val="Greinartitill"/>
    <w:basedOn w:val="Normal"/>
    <w:next w:val="Normal"/>
    <w:link w:val="GreinartitillChar"/>
    <w:qFormat/>
    <w:rsid w:val="00065ABC"/>
    <w:pPr>
      <w:keepNext/>
      <w:spacing w:after="0"/>
      <w:jc w:val="center"/>
    </w:pPr>
    <w:rPr>
      <w:i/>
    </w:rPr>
  </w:style>
  <w:style w:type="character" w:styleId="CommentReference">
    <w:name w:val="annotation reference"/>
    <w:basedOn w:val="DefaultParagraphFont"/>
    <w:uiPriority w:val="99"/>
    <w:semiHidden/>
    <w:unhideWhenUsed/>
    <w:rsid w:val="00065ABC"/>
    <w:rPr>
      <w:sz w:val="16"/>
      <w:szCs w:val="16"/>
    </w:rPr>
  </w:style>
  <w:style w:type="character" w:customStyle="1" w:styleId="GreinartitillChar">
    <w:name w:val="Greinartitill Char"/>
    <w:basedOn w:val="DefaultParagraphFont"/>
    <w:link w:val="Greinartitill"/>
    <w:rsid w:val="00065ABC"/>
    <w:rPr>
      <w:rFonts w:ascii="Times New Roman" w:hAnsi="Times New Roman"/>
      <w:i/>
      <w:sz w:val="21"/>
    </w:rPr>
  </w:style>
  <w:style w:type="paragraph" w:styleId="CommentText">
    <w:name w:val="annotation text"/>
    <w:basedOn w:val="Normal"/>
    <w:link w:val="CommentTextChar"/>
    <w:uiPriority w:val="99"/>
    <w:unhideWhenUsed/>
    <w:rsid w:val="00065ABC"/>
    <w:rPr>
      <w:sz w:val="20"/>
      <w:szCs w:val="20"/>
    </w:rPr>
  </w:style>
  <w:style w:type="character" w:customStyle="1" w:styleId="CommentTextChar">
    <w:name w:val="Comment Text Char"/>
    <w:basedOn w:val="DefaultParagraphFont"/>
    <w:link w:val="CommentText"/>
    <w:uiPriority w:val="99"/>
    <w:rsid w:val="00065ABC"/>
    <w:rPr>
      <w:rFonts w:ascii="Times New Roman" w:hAnsi="Times New Roman"/>
      <w:sz w:val="20"/>
      <w:szCs w:val="20"/>
    </w:rPr>
  </w:style>
  <w:style w:type="paragraph" w:customStyle="1" w:styleId="Millifyrirsgn">
    <w:name w:val="Millifyrirsögn"/>
    <w:basedOn w:val="Normal"/>
    <w:link w:val="MillifyrirsgnChar"/>
    <w:qFormat/>
    <w:rsid w:val="00A37AAC"/>
    <w:pPr>
      <w:keepNext/>
      <w:spacing w:before="210"/>
      <w:jc w:val="center"/>
    </w:pPr>
    <w:rPr>
      <w:b/>
      <w:bCs/>
    </w:rPr>
  </w:style>
  <w:style w:type="character" w:customStyle="1" w:styleId="MillifyrirsgnChar">
    <w:name w:val="Millifyrirsögn Char"/>
    <w:basedOn w:val="DefaultParagraphFont"/>
    <w:link w:val="Millifyrirsgn"/>
    <w:rsid w:val="00A37AAC"/>
    <w:rPr>
      <w:rFonts w:ascii="Times New Roman" w:hAnsi="Times New Roman"/>
      <w:b/>
      <w:bCs/>
      <w:sz w:val="21"/>
    </w:rPr>
  </w:style>
  <w:style w:type="paragraph" w:styleId="Header">
    <w:name w:val="header"/>
    <w:basedOn w:val="Normal"/>
    <w:link w:val="HeaderChar"/>
    <w:uiPriority w:val="99"/>
    <w:unhideWhenUsed/>
    <w:rsid w:val="00065ABC"/>
    <w:pPr>
      <w:tabs>
        <w:tab w:val="center" w:pos="4536"/>
        <w:tab w:val="right" w:pos="9072"/>
      </w:tabs>
      <w:spacing w:after="0"/>
    </w:pPr>
  </w:style>
  <w:style w:type="character" w:customStyle="1" w:styleId="HeaderChar">
    <w:name w:val="Header Char"/>
    <w:basedOn w:val="DefaultParagraphFont"/>
    <w:link w:val="Header"/>
    <w:uiPriority w:val="99"/>
    <w:rsid w:val="00065ABC"/>
    <w:rPr>
      <w:rFonts w:ascii="Times New Roman" w:hAnsi="Times New Roman"/>
      <w:sz w:val="21"/>
    </w:rPr>
  </w:style>
  <w:style w:type="paragraph" w:styleId="Footer">
    <w:name w:val="footer"/>
    <w:basedOn w:val="Normal"/>
    <w:link w:val="FooterChar"/>
    <w:uiPriority w:val="99"/>
    <w:unhideWhenUsed/>
    <w:rsid w:val="00065ABC"/>
    <w:pPr>
      <w:tabs>
        <w:tab w:val="center" w:pos="4536"/>
        <w:tab w:val="right" w:pos="9072"/>
      </w:tabs>
      <w:spacing w:after="0"/>
    </w:pPr>
  </w:style>
  <w:style w:type="character" w:customStyle="1" w:styleId="FooterChar">
    <w:name w:val="Footer Char"/>
    <w:basedOn w:val="DefaultParagraphFont"/>
    <w:link w:val="Footer"/>
    <w:uiPriority w:val="99"/>
    <w:rsid w:val="00065ABC"/>
    <w:rPr>
      <w:rFonts w:ascii="Times New Roman" w:hAnsi="Times New Roman"/>
      <w:sz w:val="21"/>
    </w:rPr>
  </w:style>
  <w:style w:type="paragraph" w:customStyle="1" w:styleId="Framhald">
    <w:name w:val="Framhald"/>
    <w:basedOn w:val="Normal"/>
    <w:link w:val="FramhaldChar"/>
    <w:qFormat/>
    <w:rsid w:val="00065ABC"/>
    <w:pPr>
      <w:spacing w:after="0"/>
      <w:ind w:firstLine="397"/>
      <w:contextualSpacing/>
    </w:pPr>
  </w:style>
  <w:style w:type="character" w:customStyle="1" w:styleId="FramhaldChar">
    <w:name w:val="Framhald Char"/>
    <w:basedOn w:val="DefaultParagraphFont"/>
    <w:link w:val="Framhald"/>
    <w:rsid w:val="00065ABC"/>
    <w:rPr>
      <w:rFonts w:ascii="Times New Roman" w:hAnsi="Times New Roman"/>
      <w:sz w:val="21"/>
    </w:rPr>
  </w:style>
  <w:style w:type="paragraph" w:styleId="BalloonText">
    <w:name w:val="Balloon Text"/>
    <w:basedOn w:val="Normal"/>
    <w:link w:val="BalloonTextChar"/>
    <w:uiPriority w:val="99"/>
    <w:semiHidden/>
    <w:unhideWhenUsed/>
    <w:rsid w:val="00065A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A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2519"/>
    <w:rPr>
      <w:b/>
      <w:bCs/>
    </w:rPr>
  </w:style>
  <w:style w:type="character" w:customStyle="1" w:styleId="CommentSubjectChar">
    <w:name w:val="Comment Subject Char"/>
    <w:basedOn w:val="CommentTextChar"/>
    <w:link w:val="CommentSubject"/>
    <w:uiPriority w:val="99"/>
    <w:semiHidden/>
    <w:rsid w:val="0012251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Reykjavíkurborg</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GudmundurBG2869</dc:creator>
  <cp:keywords/>
  <dc:description/>
  <cp:lastModifiedBy>Grétar Þór Ævarsson</cp:lastModifiedBy>
  <cp:revision>3</cp:revision>
  <cp:lastPrinted>2020-07-24T09:56:00Z</cp:lastPrinted>
  <dcterms:created xsi:type="dcterms:W3CDTF">2020-07-27T14:13:00Z</dcterms:created>
  <dcterms:modified xsi:type="dcterms:W3CDTF">2020-07-27T14:14:00Z</dcterms:modified>
</cp:coreProperties>
</file>