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3011" w14:textId="12C1DBF6" w:rsidR="007C0292" w:rsidRDefault="007C0292" w:rsidP="007C0292">
      <w:pPr>
        <w:rPr>
          <w:rFonts w:ascii="Calibri" w:hAnsi="Calibri" w:cs="Calibri"/>
          <w:b/>
          <w:color w:val="4A4A4A"/>
          <w:sz w:val="24"/>
          <w:szCs w:val="24"/>
          <w:lang w:val="is-IS"/>
        </w:rPr>
      </w:pPr>
      <w:r>
        <w:rPr>
          <w:rFonts w:ascii="Calibri" w:hAnsi="Calibri" w:cs="Calibri"/>
          <w:b/>
          <w:noProof/>
          <w:color w:val="4A4A4A"/>
          <w:sz w:val="24"/>
          <w:szCs w:val="24"/>
          <w:lang w:val="is-IS"/>
        </w:rPr>
        <w:drawing>
          <wp:anchor distT="0" distB="0" distL="114300" distR="114300" simplePos="0" relativeHeight="251658240" behindDoc="0" locked="0" layoutInCell="1" allowOverlap="1" wp14:anchorId="53032313" wp14:editId="32CC28DE">
            <wp:simplePos x="0" y="0"/>
            <wp:positionH relativeFrom="margin">
              <wp:posOffset>5400675</wp:posOffset>
            </wp:positionH>
            <wp:positionV relativeFrom="paragraph">
              <wp:posOffset>0</wp:posOffset>
            </wp:positionV>
            <wp:extent cx="676275" cy="885190"/>
            <wp:effectExtent l="0" t="0" r="9525" b="0"/>
            <wp:wrapThrough wrapText="bothSides">
              <wp:wrapPolygon edited="0">
                <wp:start x="0" y="0"/>
                <wp:lineTo x="0" y="20918"/>
                <wp:lineTo x="21296" y="20918"/>
                <wp:lineTo x="21296" y="0"/>
                <wp:lineTo x="0" y="0"/>
              </wp:wrapPolygon>
            </wp:wrapThrough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FB600" w14:textId="1B116887" w:rsidR="007C0292" w:rsidRDefault="007C0292" w:rsidP="007C0292">
      <w:pPr>
        <w:rPr>
          <w:rFonts w:ascii="Calibri" w:hAnsi="Calibri" w:cs="Calibri"/>
          <w:b/>
          <w:color w:val="4A4A4A"/>
          <w:sz w:val="24"/>
          <w:szCs w:val="24"/>
          <w:lang w:val="is-IS"/>
        </w:rPr>
      </w:pPr>
    </w:p>
    <w:p w14:paraId="00000001" w14:textId="176EDA85" w:rsidR="0077776F" w:rsidRPr="007C0292" w:rsidRDefault="000E3EEC" w:rsidP="007C0292">
      <w:pPr>
        <w:rPr>
          <w:rFonts w:ascii="Calibri" w:hAnsi="Calibri" w:cs="Calibri"/>
          <w:b/>
          <w:color w:val="4A4A4A"/>
          <w:sz w:val="32"/>
          <w:szCs w:val="32"/>
          <w:lang w:val="is-IS"/>
        </w:rPr>
      </w:pPr>
      <w:r w:rsidRPr="007C0292">
        <w:rPr>
          <w:rFonts w:ascii="Calibri" w:hAnsi="Calibri" w:cs="Calibri"/>
          <w:b/>
          <w:color w:val="4A4A4A"/>
          <w:sz w:val="32"/>
          <w:szCs w:val="32"/>
          <w:lang w:val="is-IS"/>
        </w:rPr>
        <w:t>Samráðsgátt /</w:t>
      </w:r>
    </w:p>
    <w:p w14:paraId="00000002" w14:textId="64239E0A" w:rsidR="0077776F" w:rsidRPr="007C0292" w:rsidRDefault="000E3EEC">
      <w:pPr>
        <w:shd w:val="clear" w:color="auto" w:fill="FFFFFF"/>
        <w:spacing w:after="160" w:line="240" w:lineRule="auto"/>
        <w:rPr>
          <w:rFonts w:ascii="Calibri" w:hAnsi="Calibri" w:cs="Calibri"/>
          <w:b/>
          <w:color w:val="4A4A4A"/>
          <w:sz w:val="32"/>
          <w:szCs w:val="32"/>
          <w:lang w:val="is-IS"/>
        </w:rPr>
      </w:pPr>
      <w:r w:rsidRPr="007C0292">
        <w:rPr>
          <w:rFonts w:ascii="Calibri" w:hAnsi="Calibri" w:cs="Calibri"/>
          <w:b/>
          <w:color w:val="4A4A4A"/>
          <w:sz w:val="32"/>
          <w:szCs w:val="32"/>
          <w:lang w:val="is-IS"/>
        </w:rPr>
        <w:t>Háskóla-, iðnaðar- og nýsköpunarráðuneytið</w:t>
      </w:r>
    </w:p>
    <w:p w14:paraId="4572D44D" w14:textId="77777777" w:rsidR="007C0292" w:rsidRPr="007C0292" w:rsidRDefault="007C0292">
      <w:pPr>
        <w:shd w:val="clear" w:color="auto" w:fill="FFFFFF"/>
        <w:spacing w:after="160" w:line="240" w:lineRule="auto"/>
        <w:rPr>
          <w:rFonts w:ascii="Calibri" w:hAnsi="Calibri" w:cs="Calibri"/>
          <w:b/>
          <w:color w:val="4A4A4A"/>
          <w:sz w:val="26"/>
          <w:szCs w:val="26"/>
          <w:lang w:val="is-IS"/>
        </w:rPr>
      </w:pPr>
    </w:p>
    <w:p w14:paraId="00000003" w14:textId="77777777" w:rsidR="0077776F" w:rsidRPr="007C0292" w:rsidRDefault="000E3EEC" w:rsidP="007C0292">
      <w:pPr>
        <w:shd w:val="clear" w:color="auto" w:fill="FFFFFF"/>
        <w:spacing w:after="160" w:line="240" w:lineRule="auto"/>
        <w:jc w:val="right"/>
        <w:rPr>
          <w:rFonts w:ascii="Calibri" w:hAnsi="Calibri" w:cs="Calibri"/>
          <w:color w:val="4A4A4A"/>
          <w:sz w:val="26"/>
          <w:szCs w:val="26"/>
          <w:lang w:val="is-IS"/>
        </w:rPr>
      </w:pP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>10. mars 2023</w:t>
      </w:r>
    </w:p>
    <w:p w14:paraId="2FA1DEFE" w14:textId="77777777" w:rsidR="007C0292" w:rsidRPr="007C0292" w:rsidRDefault="007C0292" w:rsidP="007C0292">
      <w:pPr>
        <w:shd w:val="clear" w:color="auto" w:fill="FFFFFF"/>
        <w:spacing w:after="160" w:line="240" w:lineRule="auto"/>
        <w:rPr>
          <w:rFonts w:ascii="Calibri" w:hAnsi="Calibri" w:cs="Calibri"/>
          <w:color w:val="4A4A4A"/>
          <w:sz w:val="26"/>
          <w:szCs w:val="26"/>
          <w:lang w:val="is-IS"/>
        </w:rPr>
      </w:pPr>
    </w:p>
    <w:p w14:paraId="00000005" w14:textId="2EAA57D6" w:rsidR="0077776F" w:rsidRPr="007C0292" w:rsidRDefault="000E3EEC">
      <w:pPr>
        <w:shd w:val="clear" w:color="auto" w:fill="FFFFFF"/>
        <w:spacing w:after="160" w:line="240" w:lineRule="auto"/>
        <w:jc w:val="both"/>
        <w:rPr>
          <w:rFonts w:ascii="Calibri" w:hAnsi="Calibri" w:cs="Calibri"/>
          <w:color w:val="4A4A4A"/>
          <w:sz w:val="26"/>
          <w:szCs w:val="26"/>
          <w:lang w:val="is-IS"/>
        </w:rPr>
      </w:pPr>
      <w:r w:rsidRPr="007C0292">
        <w:rPr>
          <w:rFonts w:ascii="Calibri" w:hAnsi="Calibri" w:cs="Calibri"/>
          <w:b/>
          <w:color w:val="4A4A4A"/>
          <w:sz w:val="26"/>
          <w:szCs w:val="26"/>
          <w:lang w:val="is-IS"/>
        </w:rPr>
        <w:t>Efni:</w:t>
      </w:r>
      <w:r w:rsidRPr="007C0292">
        <w:rPr>
          <w:rFonts w:ascii="Calibri" w:hAnsi="Calibri" w:cs="Calibri"/>
          <w:b/>
          <w:color w:val="4A4A4A"/>
          <w:sz w:val="26"/>
          <w:szCs w:val="26"/>
          <w:lang w:val="is-IS"/>
        </w:rPr>
        <w:tab/>
      </w: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>Umsögn Samtaka Þekkingarsetra</w:t>
      </w:r>
      <w:r w:rsidR="0045460C">
        <w:rPr>
          <w:rFonts w:ascii="Calibri" w:hAnsi="Calibri" w:cs="Calibri"/>
          <w:color w:val="4A4A4A"/>
          <w:sz w:val="26"/>
          <w:szCs w:val="26"/>
          <w:lang w:val="is-IS"/>
        </w:rPr>
        <w:t xml:space="preserve"> / SÞS</w:t>
      </w: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 xml:space="preserve"> í Samráðsgátt um tillögu til þingsályktunar um stefnumótandi aðgerðir til eflingar þekkingarsamfélags á Íslandi til ársins 2025.</w:t>
      </w:r>
    </w:p>
    <w:p w14:paraId="00000006" w14:textId="77777777" w:rsidR="0077776F" w:rsidRPr="007C0292" w:rsidRDefault="0077776F">
      <w:pPr>
        <w:shd w:val="clear" w:color="auto" w:fill="FFFFFF"/>
        <w:spacing w:after="160" w:line="240" w:lineRule="auto"/>
        <w:jc w:val="both"/>
        <w:rPr>
          <w:rFonts w:ascii="Calibri" w:hAnsi="Calibri" w:cs="Calibri"/>
          <w:color w:val="4A4A4A"/>
          <w:sz w:val="26"/>
          <w:szCs w:val="26"/>
          <w:lang w:val="is-IS"/>
        </w:rPr>
      </w:pPr>
    </w:p>
    <w:p w14:paraId="00000007" w14:textId="77777777" w:rsidR="0077776F" w:rsidRPr="007C0292" w:rsidRDefault="000E3EEC">
      <w:pPr>
        <w:shd w:val="clear" w:color="auto" w:fill="FFFFFF"/>
        <w:spacing w:after="160" w:line="240" w:lineRule="auto"/>
        <w:jc w:val="both"/>
        <w:rPr>
          <w:rFonts w:ascii="Calibri" w:hAnsi="Calibri" w:cs="Calibri"/>
          <w:b/>
          <w:color w:val="4A4A4A"/>
          <w:sz w:val="26"/>
          <w:szCs w:val="26"/>
          <w:lang w:val="is-IS"/>
        </w:rPr>
      </w:pPr>
      <w:r w:rsidRPr="007C0292">
        <w:rPr>
          <w:rFonts w:ascii="Calibri" w:hAnsi="Calibri" w:cs="Calibri"/>
          <w:b/>
          <w:color w:val="4A4A4A"/>
          <w:sz w:val="26"/>
          <w:szCs w:val="26"/>
          <w:lang w:val="is-IS"/>
        </w:rPr>
        <w:t>Þekkingarsetrin - grundvöllur/jarðvegur nýsköpunar og þekkingarstarfs:</w:t>
      </w:r>
    </w:p>
    <w:p w14:paraId="00000008" w14:textId="77777777" w:rsidR="0077776F" w:rsidRPr="007C0292" w:rsidRDefault="000E3EEC">
      <w:pPr>
        <w:shd w:val="clear" w:color="auto" w:fill="FFFFFF"/>
        <w:spacing w:after="160" w:line="240" w:lineRule="auto"/>
        <w:jc w:val="both"/>
        <w:rPr>
          <w:rFonts w:ascii="Calibri" w:hAnsi="Calibri" w:cs="Calibri"/>
          <w:color w:val="4A4A4A"/>
          <w:sz w:val="26"/>
          <w:szCs w:val="26"/>
          <w:lang w:val="is-IS"/>
        </w:rPr>
      </w:pP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>SÞS eru netverk stofnana/</w:t>
      </w: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>þekkingarsetra sem starfa eftir samningi við HVIN um byggðir Íslands. Þekkingarsetrin sinna innviðaþjónustu við þekkingarstarfsemi úti í byggðum landsins á vegum HVIN og samkvæmt samningum við ráðuneytið. Þekkingarsetrin eiga það sameiginlegt að hýsa þekki</w:t>
      </w: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 xml:space="preserve">ngarstarfsemi á eigin vegum, svo sem svæðisbundið rannsóknastarf og þjónustu við háskóla og háskólanema. Einnig hýsa þau þekkingarstarfsemi á vegum annarra aðila með aðstöðusköpun af margvíslegum toga.  </w:t>
      </w:r>
    </w:p>
    <w:p w14:paraId="00000009" w14:textId="7CD17025" w:rsidR="0077776F" w:rsidRPr="007C0292" w:rsidRDefault="000E3EEC">
      <w:pPr>
        <w:shd w:val="clear" w:color="auto" w:fill="FFFFFF"/>
        <w:spacing w:after="160" w:line="240" w:lineRule="auto"/>
        <w:jc w:val="both"/>
        <w:rPr>
          <w:rFonts w:ascii="Calibri" w:hAnsi="Calibri" w:cs="Calibri"/>
          <w:color w:val="4A4A4A"/>
          <w:sz w:val="26"/>
          <w:szCs w:val="26"/>
          <w:u w:val="single"/>
          <w:lang w:val="is-IS"/>
        </w:rPr>
      </w:pP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 xml:space="preserve">Þekkingarsetrin innan SÞS eru skýr og </w:t>
      </w:r>
      <w:r w:rsidR="00FB1424" w:rsidRPr="007C0292">
        <w:rPr>
          <w:rFonts w:ascii="Calibri" w:hAnsi="Calibri" w:cs="Calibri"/>
          <w:color w:val="4A4A4A"/>
          <w:sz w:val="26"/>
          <w:szCs w:val="26"/>
          <w:lang w:val="is-IS"/>
        </w:rPr>
        <w:t>fast mótaður</w:t>
      </w: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 xml:space="preserve"> fa</w:t>
      </w: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>rvegur í stjórnsýslu Íslands fyrir þekkingarstarfsemi í byggðum landsins. Grundvallaratriði er að við aðgerðir til eflingar þekkingarsamfélags á Íslandi verði byggt á þeim grunni sem þessi starfsemi myndar um land allt.</w:t>
      </w:r>
      <w:r w:rsidR="007C0292">
        <w:rPr>
          <w:rFonts w:ascii="Calibri" w:hAnsi="Calibri" w:cs="Calibri"/>
          <w:color w:val="4A4A4A"/>
          <w:sz w:val="26"/>
          <w:szCs w:val="26"/>
          <w:lang w:val="is-IS"/>
        </w:rPr>
        <w:t xml:space="preserve"> </w:t>
      </w:r>
      <w:r w:rsidRPr="007C0292">
        <w:rPr>
          <w:rFonts w:ascii="Calibri" w:hAnsi="Calibri" w:cs="Calibri"/>
          <w:color w:val="4A4A4A"/>
          <w:sz w:val="26"/>
          <w:szCs w:val="26"/>
          <w:u w:val="single"/>
          <w:lang w:val="is-IS"/>
        </w:rPr>
        <w:t>Þannig verði það gert að sjálfstæðr</w:t>
      </w:r>
      <w:r w:rsidRPr="007C0292">
        <w:rPr>
          <w:rFonts w:ascii="Calibri" w:hAnsi="Calibri" w:cs="Calibri"/>
          <w:color w:val="4A4A4A"/>
          <w:sz w:val="26"/>
          <w:szCs w:val="26"/>
          <w:u w:val="single"/>
          <w:lang w:val="is-IS"/>
        </w:rPr>
        <w:t xml:space="preserve">i stefnumarkandi aðgerð fyrir eflingu þekkingarsamfélagsins á Íslandi að treysta rekstrarumhverfi og auka skyldur og þjónustu sem þekkingarsetrin tryggja um allt land. </w:t>
      </w:r>
    </w:p>
    <w:p w14:paraId="0000000A" w14:textId="77777777" w:rsidR="0077776F" w:rsidRPr="007C0292" w:rsidRDefault="0077776F">
      <w:pPr>
        <w:shd w:val="clear" w:color="auto" w:fill="FFFFFF"/>
        <w:spacing w:after="160" w:line="240" w:lineRule="auto"/>
        <w:jc w:val="both"/>
        <w:rPr>
          <w:rFonts w:ascii="Calibri" w:hAnsi="Calibri" w:cs="Calibri"/>
          <w:b/>
          <w:color w:val="4A4A4A"/>
          <w:sz w:val="26"/>
          <w:szCs w:val="26"/>
          <w:lang w:val="is-IS"/>
        </w:rPr>
      </w:pPr>
    </w:p>
    <w:p w14:paraId="0000000B" w14:textId="77777777" w:rsidR="0077776F" w:rsidRPr="007C0292" w:rsidRDefault="000E3EEC">
      <w:pPr>
        <w:shd w:val="clear" w:color="auto" w:fill="FFFFFF"/>
        <w:spacing w:after="160" w:line="240" w:lineRule="auto"/>
        <w:jc w:val="both"/>
        <w:rPr>
          <w:rFonts w:ascii="Calibri" w:hAnsi="Calibri" w:cs="Calibri"/>
          <w:b/>
          <w:color w:val="4A4A4A"/>
          <w:sz w:val="26"/>
          <w:szCs w:val="26"/>
          <w:lang w:val="is-IS"/>
        </w:rPr>
      </w:pPr>
      <w:r w:rsidRPr="007C0292">
        <w:rPr>
          <w:rFonts w:ascii="Calibri" w:hAnsi="Calibri" w:cs="Calibri"/>
          <w:b/>
          <w:color w:val="4A4A4A"/>
          <w:sz w:val="26"/>
          <w:szCs w:val="26"/>
          <w:lang w:val="is-IS"/>
        </w:rPr>
        <w:t>Gildandi Byggðaáætlun styður við:</w:t>
      </w:r>
    </w:p>
    <w:p w14:paraId="0000000C" w14:textId="77777777" w:rsidR="0077776F" w:rsidRPr="007C0292" w:rsidRDefault="000E3EEC">
      <w:pPr>
        <w:shd w:val="clear" w:color="auto" w:fill="FFFFFF"/>
        <w:spacing w:after="160" w:line="240" w:lineRule="auto"/>
        <w:jc w:val="both"/>
        <w:rPr>
          <w:rFonts w:ascii="Calibri" w:hAnsi="Calibri" w:cs="Calibri"/>
          <w:color w:val="4A4A4A"/>
          <w:sz w:val="26"/>
          <w:szCs w:val="26"/>
          <w:highlight w:val="white"/>
          <w:lang w:val="is-IS"/>
        </w:rPr>
      </w:pP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>Í Byggðaáætlun eru tilgreindar aðgerðir sem styðja m</w:t>
      </w: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>eð beinum hætti við eflingu þeirra þátta og verkefna sem HVIN hefur komið til leiðar í samningum við þekkingarsetrin (innan SÞS).  Í aðgerðaráætlun Byggðaáætlunar er t.a.m. liður B.07 um aðstöðu til óstaðbundinna starfa um landið. Þar kemur m.a. fram í aðg</w:t>
      </w: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>erðaráætlun að byggðir “</w:t>
      </w:r>
      <w:r w:rsidRPr="007C0292">
        <w:rPr>
          <w:rFonts w:ascii="Calibri" w:hAnsi="Calibri" w:cs="Calibri"/>
          <w:color w:val="4A4A4A"/>
          <w:sz w:val="26"/>
          <w:szCs w:val="26"/>
          <w:highlight w:val="white"/>
          <w:lang w:val="is-IS"/>
        </w:rPr>
        <w:t>verði upp vinnustaða klasar í samstarfi ríkis, sveitarfélaga og annarra aðila eftir atvikum þannig að góð vinnuaðstaða verði í boði sem víðast um landið”.  Þessi viðfangsefni er augljóst að vinna í gegnum samninga við þekkingarsetri</w:t>
      </w:r>
      <w:r w:rsidRPr="007C0292">
        <w:rPr>
          <w:rFonts w:ascii="Calibri" w:hAnsi="Calibri" w:cs="Calibri"/>
          <w:color w:val="4A4A4A"/>
          <w:sz w:val="26"/>
          <w:szCs w:val="26"/>
          <w:highlight w:val="white"/>
          <w:lang w:val="is-IS"/>
        </w:rPr>
        <w:t xml:space="preserve">n, sem þegar eru í rekstri og samningssamband verið um árabil milli ráðuneyta og stofnananna.  </w:t>
      </w:r>
    </w:p>
    <w:p w14:paraId="0000000D" w14:textId="614772AD" w:rsidR="0077776F" w:rsidRPr="007C0292" w:rsidRDefault="000E3EEC">
      <w:pPr>
        <w:shd w:val="clear" w:color="auto" w:fill="FFFFFF"/>
        <w:spacing w:after="160" w:line="240" w:lineRule="auto"/>
        <w:jc w:val="both"/>
        <w:rPr>
          <w:rFonts w:ascii="Calibri" w:hAnsi="Calibri" w:cs="Calibri"/>
          <w:color w:val="4A4A4A"/>
          <w:sz w:val="26"/>
          <w:szCs w:val="26"/>
          <w:highlight w:val="white"/>
          <w:lang w:val="is-IS"/>
        </w:rPr>
      </w:pPr>
      <w:r w:rsidRPr="007C0292">
        <w:rPr>
          <w:rFonts w:ascii="Calibri" w:hAnsi="Calibri" w:cs="Calibri"/>
          <w:color w:val="4A4A4A"/>
          <w:sz w:val="26"/>
          <w:szCs w:val="26"/>
          <w:highlight w:val="white"/>
          <w:lang w:val="is-IS"/>
        </w:rPr>
        <w:lastRenderedPageBreak/>
        <w:t>Einnig styðja fleiri markmið og aðgerðir úr Byggðaáætlun við þá tilhögun að nýta vettvang og krafta þekkingarsetranna, t.a.m. aðgerð nr. A.15 um opinbera grunnþ</w:t>
      </w:r>
      <w:r w:rsidRPr="007C0292">
        <w:rPr>
          <w:rFonts w:ascii="Calibri" w:hAnsi="Calibri" w:cs="Calibri"/>
          <w:color w:val="4A4A4A"/>
          <w:sz w:val="26"/>
          <w:szCs w:val="26"/>
          <w:highlight w:val="white"/>
          <w:lang w:val="is-IS"/>
        </w:rPr>
        <w:t xml:space="preserve">jónustu og jöfnun aðgengis.  </w:t>
      </w:r>
    </w:p>
    <w:p w14:paraId="0000000E" w14:textId="77777777" w:rsidR="0077776F" w:rsidRPr="007C0292" w:rsidRDefault="0077776F">
      <w:pPr>
        <w:shd w:val="clear" w:color="auto" w:fill="FFFFFF"/>
        <w:spacing w:after="160" w:line="240" w:lineRule="auto"/>
        <w:jc w:val="both"/>
        <w:rPr>
          <w:rFonts w:ascii="Calibri" w:hAnsi="Calibri" w:cs="Calibri"/>
          <w:color w:val="4A4A4A"/>
          <w:sz w:val="26"/>
          <w:szCs w:val="26"/>
          <w:highlight w:val="white"/>
          <w:lang w:val="is-IS"/>
        </w:rPr>
      </w:pPr>
    </w:p>
    <w:p w14:paraId="0000000F" w14:textId="77777777" w:rsidR="0077776F" w:rsidRPr="007C0292" w:rsidRDefault="000E3EEC">
      <w:pPr>
        <w:shd w:val="clear" w:color="auto" w:fill="FFFFFF"/>
        <w:spacing w:after="160" w:line="240" w:lineRule="auto"/>
        <w:jc w:val="both"/>
        <w:rPr>
          <w:rFonts w:ascii="Calibri" w:hAnsi="Calibri" w:cs="Calibri"/>
          <w:b/>
          <w:color w:val="4A4A4A"/>
          <w:sz w:val="26"/>
          <w:szCs w:val="26"/>
          <w:highlight w:val="white"/>
          <w:lang w:val="is-IS"/>
        </w:rPr>
      </w:pPr>
      <w:r w:rsidRPr="007C0292">
        <w:rPr>
          <w:rFonts w:ascii="Calibri" w:hAnsi="Calibri" w:cs="Calibri"/>
          <w:b/>
          <w:color w:val="4A4A4A"/>
          <w:sz w:val="26"/>
          <w:szCs w:val="26"/>
          <w:highlight w:val="white"/>
          <w:lang w:val="is-IS"/>
        </w:rPr>
        <w:t>Þekkingarsetin - hagkvæm og skilvirk undirstaða</w:t>
      </w:r>
    </w:p>
    <w:p w14:paraId="00000010" w14:textId="77777777" w:rsidR="0077776F" w:rsidRPr="007C0292" w:rsidRDefault="000E3EEC">
      <w:pPr>
        <w:shd w:val="clear" w:color="auto" w:fill="FFFFFF"/>
        <w:spacing w:after="160" w:line="240" w:lineRule="auto"/>
        <w:jc w:val="both"/>
        <w:rPr>
          <w:rFonts w:ascii="Calibri" w:hAnsi="Calibri" w:cs="Calibri"/>
          <w:color w:val="4A4A4A"/>
          <w:sz w:val="26"/>
          <w:szCs w:val="26"/>
          <w:lang w:val="is-IS"/>
        </w:rPr>
      </w:pP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>Afar hagkvæmt er og skilvirkt að nýta tilvist og grundvöll þekkingarsetranna, ekki eingöngu til skilgreindra eigin verka skv. samningi við HVIN, heldur einnig til að hýsa og eft</w:t>
      </w: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 xml:space="preserve">ir atvikum reka eða halda utan um aðra tengda þætti á þekkingarsviði. Nálgast þannig þá þætti sem nútímaleg þekkingarsamfélög útheimta með einföldum og skilvirkum hætti. </w:t>
      </w:r>
    </w:p>
    <w:p w14:paraId="00000011" w14:textId="77777777" w:rsidR="0077776F" w:rsidRPr="007C0292" w:rsidRDefault="000E3EEC">
      <w:pPr>
        <w:shd w:val="clear" w:color="auto" w:fill="FFFFFF"/>
        <w:spacing w:after="160" w:line="240" w:lineRule="auto"/>
        <w:jc w:val="both"/>
        <w:rPr>
          <w:rFonts w:ascii="Calibri" w:hAnsi="Calibri" w:cs="Calibri"/>
          <w:color w:val="4A4A4A"/>
          <w:sz w:val="26"/>
          <w:szCs w:val="26"/>
          <w:u w:val="single"/>
          <w:lang w:val="is-IS"/>
        </w:rPr>
      </w:pPr>
      <w:r w:rsidRPr="007C0292">
        <w:rPr>
          <w:rFonts w:ascii="Calibri" w:hAnsi="Calibri" w:cs="Calibri"/>
          <w:color w:val="4A4A4A"/>
          <w:sz w:val="26"/>
          <w:szCs w:val="26"/>
          <w:u w:val="single"/>
          <w:lang w:val="is-IS"/>
        </w:rPr>
        <w:t>Dæmi um samstarfþætti sem einfalt er að hýsa innan þekkingarsetranna:</w:t>
      </w:r>
    </w:p>
    <w:p w14:paraId="00000012" w14:textId="3534CFA8" w:rsidR="0077776F" w:rsidRPr="007C0292" w:rsidRDefault="000E3EEC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hAnsi="Calibri" w:cs="Calibri"/>
          <w:color w:val="4A4A4A"/>
          <w:sz w:val="26"/>
          <w:szCs w:val="26"/>
          <w:lang w:val="is-IS"/>
        </w:rPr>
      </w:pP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 xml:space="preserve">Rekstur og/eða </w:t>
      </w: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 xml:space="preserve">hýsing </w:t>
      </w:r>
      <w:r w:rsidR="00E60BB7">
        <w:rPr>
          <w:rFonts w:ascii="Calibri" w:hAnsi="Calibri" w:cs="Calibri"/>
          <w:color w:val="4A4A4A"/>
          <w:sz w:val="26"/>
          <w:szCs w:val="26"/>
          <w:lang w:val="is-IS"/>
        </w:rPr>
        <w:t>stafrænna</w:t>
      </w:r>
      <w:r>
        <w:rPr>
          <w:rFonts w:ascii="Calibri" w:hAnsi="Calibri" w:cs="Calibri"/>
          <w:color w:val="4A4A4A"/>
          <w:sz w:val="26"/>
          <w:szCs w:val="26"/>
          <w:lang w:val="is-IS"/>
        </w:rPr>
        <w:t>-</w:t>
      </w: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>smiðja, í nánum tengslum við skóla og svæðisbundið atvinnulíf.</w:t>
      </w:r>
    </w:p>
    <w:p w14:paraId="00000013" w14:textId="77777777" w:rsidR="0077776F" w:rsidRPr="007C0292" w:rsidRDefault="000E3EEC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hAnsi="Calibri" w:cs="Calibri"/>
          <w:color w:val="4A4A4A"/>
          <w:sz w:val="26"/>
          <w:szCs w:val="26"/>
          <w:lang w:val="is-IS"/>
        </w:rPr>
      </w:pP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 xml:space="preserve">Rekstur frumkvöðlasetra og nýsköpunarmiðstöðva, þar sem þörf er og við á í samstarfi við sveitarfélög, atvinnulíf og fjárfesta. </w:t>
      </w:r>
    </w:p>
    <w:p w14:paraId="00000014" w14:textId="77777777" w:rsidR="0077776F" w:rsidRPr="007C0292" w:rsidRDefault="000E3EEC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hAnsi="Calibri" w:cs="Calibri"/>
          <w:color w:val="4A4A4A"/>
          <w:sz w:val="26"/>
          <w:szCs w:val="26"/>
          <w:lang w:val="is-IS"/>
        </w:rPr>
      </w:pP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>Svæðisbundinn vettvangur háskóla og háskólastarfse</w:t>
      </w: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 xml:space="preserve">mi þar sem ekki eru staðsettir háskólar. </w:t>
      </w:r>
    </w:p>
    <w:p w14:paraId="00000015" w14:textId="77777777" w:rsidR="0077776F" w:rsidRPr="007C0292" w:rsidRDefault="000E3EEC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Calibri" w:hAnsi="Calibri" w:cs="Calibri"/>
          <w:color w:val="4A4A4A"/>
          <w:sz w:val="26"/>
          <w:szCs w:val="26"/>
          <w:lang w:val="is-IS"/>
        </w:rPr>
      </w:pP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>Símenntunarmiðstöðvar</w:t>
      </w:r>
    </w:p>
    <w:p w14:paraId="00000016" w14:textId="77777777" w:rsidR="0077776F" w:rsidRPr="007C0292" w:rsidRDefault="0077776F">
      <w:pPr>
        <w:shd w:val="clear" w:color="auto" w:fill="FFFFFF"/>
        <w:spacing w:after="160" w:line="240" w:lineRule="auto"/>
        <w:jc w:val="both"/>
        <w:rPr>
          <w:rFonts w:ascii="Calibri" w:hAnsi="Calibri" w:cs="Calibri"/>
          <w:color w:val="4A4A4A"/>
          <w:sz w:val="26"/>
          <w:szCs w:val="26"/>
          <w:lang w:val="is-IS"/>
        </w:rPr>
      </w:pPr>
    </w:p>
    <w:p w14:paraId="00000017" w14:textId="77777777" w:rsidR="0077776F" w:rsidRPr="007C0292" w:rsidRDefault="0077776F">
      <w:pPr>
        <w:shd w:val="clear" w:color="auto" w:fill="FFFFFF"/>
        <w:spacing w:after="160" w:line="240" w:lineRule="auto"/>
        <w:jc w:val="both"/>
        <w:rPr>
          <w:rFonts w:ascii="Calibri" w:hAnsi="Calibri" w:cs="Calibri"/>
          <w:color w:val="4A4A4A"/>
          <w:sz w:val="26"/>
          <w:szCs w:val="26"/>
          <w:lang w:val="is-IS"/>
        </w:rPr>
      </w:pPr>
    </w:p>
    <w:p w14:paraId="00000018" w14:textId="77777777" w:rsidR="0077776F" w:rsidRPr="007C0292" w:rsidRDefault="0077776F">
      <w:pPr>
        <w:shd w:val="clear" w:color="auto" w:fill="FFFFFF"/>
        <w:spacing w:after="160" w:line="240" w:lineRule="auto"/>
        <w:jc w:val="both"/>
        <w:rPr>
          <w:rFonts w:ascii="Calibri" w:hAnsi="Calibri" w:cs="Calibri"/>
          <w:color w:val="4A4A4A"/>
          <w:sz w:val="26"/>
          <w:szCs w:val="26"/>
          <w:lang w:val="is-IS"/>
        </w:rPr>
      </w:pPr>
    </w:p>
    <w:p w14:paraId="00000019" w14:textId="77777777" w:rsidR="0077776F" w:rsidRPr="007C0292" w:rsidRDefault="0077776F">
      <w:pPr>
        <w:shd w:val="clear" w:color="auto" w:fill="FFFFFF"/>
        <w:spacing w:after="160" w:line="240" w:lineRule="auto"/>
        <w:jc w:val="both"/>
        <w:rPr>
          <w:rFonts w:ascii="Calibri" w:hAnsi="Calibri" w:cs="Calibri"/>
          <w:color w:val="4A4A4A"/>
          <w:sz w:val="26"/>
          <w:szCs w:val="26"/>
          <w:lang w:val="is-IS"/>
        </w:rPr>
      </w:pPr>
    </w:p>
    <w:p w14:paraId="0000001A" w14:textId="1B27EA5B" w:rsidR="0077776F" w:rsidRDefault="007C0292">
      <w:pPr>
        <w:shd w:val="clear" w:color="auto" w:fill="FFFFFF"/>
        <w:spacing w:after="160" w:line="240" w:lineRule="auto"/>
        <w:jc w:val="both"/>
        <w:rPr>
          <w:rFonts w:ascii="Calibri" w:hAnsi="Calibri" w:cs="Calibri"/>
          <w:color w:val="4A4A4A"/>
          <w:sz w:val="26"/>
          <w:szCs w:val="26"/>
          <w:lang w:val="is-IS"/>
        </w:rPr>
      </w:pPr>
      <w:r>
        <w:rPr>
          <w:rFonts w:ascii="Calibri" w:hAnsi="Calibri" w:cs="Calibri"/>
          <w:noProof/>
          <w:color w:val="4A4A4A"/>
          <w:sz w:val="26"/>
          <w:szCs w:val="26"/>
          <w:lang w:val="is-IS"/>
        </w:rPr>
        <w:drawing>
          <wp:anchor distT="0" distB="0" distL="114300" distR="114300" simplePos="0" relativeHeight="251659264" behindDoc="0" locked="0" layoutInCell="1" allowOverlap="1" wp14:anchorId="2B81DFD2" wp14:editId="6F57EEA5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1842449" cy="67627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412" cy="678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EEC" w:rsidRPr="007C0292">
        <w:rPr>
          <w:rFonts w:ascii="Calibri" w:hAnsi="Calibri" w:cs="Calibri"/>
          <w:color w:val="4A4A4A"/>
          <w:sz w:val="26"/>
          <w:szCs w:val="26"/>
          <w:lang w:val="is-IS"/>
        </w:rPr>
        <w:t xml:space="preserve">Virðingarfyllst, </w:t>
      </w:r>
    </w:p>
    <w:p w14:paraId="1AF82C6F" w14:textId="1378C4F0" w:rsidR="007C0292" w:rsidRDefault="007C0292">
      <w:pPr>
        <w:shd w:val="clear" w:color="auto" w:fill="FFFFFF"/>
        <w:spacing w:after="160" w:line="240" w:lineRule="auto"/>
        <w:jc w:val="both"/>
        <w:rPr>
          <w:rFonts w:ascii="Calibri" w:hAnsi="Calibri" w:cs="Calibri"/>
          <w:color w:val="4A4A4A"/>
          <w:sz w:val="26"/>
          <w:szCs w:val="26"/>
          <w:lang w:val="is-IS"/>
        </w:rPr>
      </w:pPr>
    </w:p>
    <w:p w14:paraId="0000001B" w14:textId="1D035D1C" w:rsidR="0077776F" w:rsidRPr="007C0292" w:rsidRDefault="007C0292">
      <w:pPr>
        <w:shd w:val="clear" w:color="auto" w:fill="FFFFFF"/>
        <w:spacing w:after="160" w:line="240" w:lineRule="auto"/>
        <w:jc w:val="both"/>
        <w:rPr>
          <w:rFonts w:ascii="Calibri" w:hAnsi="Calibri" w:cs="Calibri"/>
          <w:color w:val="4A4A4A"/>
          <w:sz w:val="26"/>
          <w:szCs w:val="26"/>
          <w:lang w:val="is-IS"/>
        </w:rPr>
      </w:pPr>
      <w:r>
        <w:rPr>
          <w:rFonts w:ascii="Calibri" w:hAnsi="Calibri" w:cs="Calibri"/>
          <w:color w:val="4A4A4A"/>
          <w:sz w:val="26"/>
          <w:szCs w:val="26"/>
          <w:lang w:val="is-IS"/>
        </w:rPr>
        <w:t>_________________________________</w:t>
      </w:r>
    </w:p>
    <w:p w14:paraId="0000001C" w14:textId="77777777" w:rsidR="0077776F" w:rsidRPr="007C0292" w:rsidRDefault="000E3EEC">
      <w:pPr>
        <w:shd w:val="clear" w:color="auto" w:fill="FFFFFF"/>
        <w:spacing w:after="160" w:line="240" w:lineRule="auto"/>
        <w:jc w:val="both"/>
        <w:rPr>
          <w:rFonts w:ascii="Calibri" w:hAnsi="Calibri" w:cs="Calibri"/>
          <w:color w:val="4A4A4A"/>
          <w:sz w:val="26"/>
          <w:szCs w:val="26"/>
          <w:lang w:val="is-IS"/>
        </w:rPr>
      </w:pP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>Ingunn Jónsdóttir</w:t>
      </w:r>
    </w:p>
    <w:p w14:paraId="0000001D" w14:textId="1B21C030" w:rsidR="0077776F" w:rsidRPr="007C0292" w:rsidRDefault="000E3EEC">
      <w:pPr>
        <w:shd w:val="clear" w:color="auto" w:fill="FFFFFF"/>
        <w:spacing w:after="160" w:line="240" w:lineRule="auto"/>
        <w:jc w:val="both"/>
        <w:rPr>
          <w:rFonts w:ascii="Calibri" w:hAnsi="Calibri" w:cs="Calibri"/>
          <w:color w:val="4A4A4A"/>
          <w:sz w:val="26"/>
          <w:szCs w:val="26"/>
          <w:lang w:val="is-IS"/>
        </w:rPr>
      </w:pP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 xml:space="preserve">Formaður Samtaka Þekkingarsetra </w:t>
      </w:r>
      <w:r w:rsidR="00C166E2">
        <w:rPr>
          <w:rFonts w:ascii="Calibri" w:hAnsi="Calibri" w:cs="Calibri"/>
          <w:color w:val="4A4A4A"/>
          <w:sz w:val="26"/>
          <w:szCs w:val="26"/>
          <w:lang w:val="is-IS"/>
        </w:rPr>
        <w:t xml:space="preserve">/ </w:t>
      </w:r>
      <w:r w:rsidRPr="007C0292">
        <w:rPr>
          <w:rFonts w:ascii="Calibri" w:hAnsi="Calibri" w:cs="Calibri"/>
          <w:color w:val="4A4A4A"/>
          <w:sz w:val="26"/>
          <w:szCs w:val="26"/>
          <w:lang w:val="is-IS"/>
        </w:rPr>
        <w:t>SÞS</w:t>
      </w:r>
    </w:p>
    <w:p w14:paraId="0000001E" w14:textId="5490D64D" w:rsidR="0077776F" w:rsidRPr="007C0292" w:rsidRDefault="00AA286C">
      <w:pPr>
        <w:shd w:val="clear" w:color="auto" w:fill="FFFFFF"/>
        <w:spacing w:after="160" w:line="240" w:lineRule="auto"/>
        <w:jc w:val="both"/>
        <w:rPr>
          <w:rFonts w:asciiTheme="majorHAnsi" w:hAnsiTheme="majorHAnsi" w:cstheme="majorHAnsi"/>
          <w:color w:val="4A4A4A"/>
          <w:sz w:val="26"/>
          <w:szCs w:val="26"/>
          <w:lang w:val="is-IS"/>
        </w:rPr>
      </w:pPr>
      <w:r>
        <w:rPr>
          <w:rFonts w:asciiTheme="majorHAnsi" w:hAnsiTheme="majorHAnsi" w:cstheme="majorHAnsi"/>
          <w:color w:val="4A4A4A"/>
          <w:sz w:val="26"/>
          <w:szCs w:val="26"/>
          <w:lang w:val="is-IS"/>
        </w:rPr>
        <w:t>og framkvæmdastjóri Háskólafélags Suðurlands</w:t>
      </w:r>
      <w:r w:rsidR="00035F5A">
        <w:rPr>
          <w:rFonts w:asciiTheme="majorHAnsi" w:hAnsiTheme="majorHAnsi" w:cstheme="majorHAnsi"/>
          <w:color w:val="4A4A4A"/>
          <w:sz w:val="26"/>
          <w:szCs w:val="26"/>
          <w:lang w:val="is-IS"/>
        </w:rPr>
        <w:t xml:space="preserve"> / HfSu</w:t>
      </w:r>
    </w:p>
    <w:p w14:paraId="0000001F" w14:textId="77777777" w:rsidR="0077776F" w:rsidRPr="00FB1424" w:rsidRDefault="0077776F">
      <w:pPr>
        <w:shd w:val="clear" w:color="auto" w:fill="FFFFFF"/>
        <w:spacing w:after="160" w:line="240" w:lineRule="auto"/>
        <w:jc w:val="both"/>
        <w:rPr>
          <w:rFonts w:asciiTheme="majorHAnsi" w:hAnsiTheme="majorHAnsi" w:cstheme="majorHAnsi"/>
          <w:color w:val="4A4A4A"/>
          <w:sz w:val="24"/>
          <w:szCs w:val="24"/>
          <w:lang w:val="is-IS"/>
        </w:rPr>
      </w:pPr>
    </w:p>
    <w:p w14:paraId="00000020" w14:textId="77777777" w:rsidR="0077776F" w:rsidRPr="00FB1424" w:rsidRDefault="0077776F">
      <w:pPr>
        <w:shd w:val="clear" w:color="auto" w:fill="FFFFFF"/>
        <w:spacing w:after="160" w:line="240" w:lineRule="auto"/>
        <w:jc w:val="both"/>
        <w:rPr>
          <w:rFonts w:asciiTheme="majorHAnsi" w:hAnsiTheme="majorHAnsi" w:cstheme="majorHAnsi"/>
          <w:color w:val="4A4A4A"/>
          <w:sz w:val="24"/>
          <w:szCs w:val="24"/>
          <w:lang w:val="is-IS"/>
        </w:rPr>
      </w:pPr>
    </w:p>
    <w:p w14:paraId="00000021" w14:textId="77777777" w:rsidR="0077776F" w:rsidRPr="00FB1424" w:rsidRDefault="0077776F">
      <w:pPr>
        <w:shd w:val="clear" w:color="auto" w:fill="FFFFFF"/>
        <w:spacing w:after="160" w:line="375" w:lineRule="auto"/>
        <w:rPr>
          <w:rFonts w:asciiTheme="majorHAnsi" w:hAnsiTheme="majorHAnsi" w:cstheme="majorHAnsi"/>
          <w:color w:val="FF0000"/>
          <w:sz w:val="24"/>
          <w:szCs w:val="24"/>
          <w:lang w:val="is-IS"/>
        </w:rPr>
      </w:pPr>
    </w:p>
    <w:sectPr w:rsidR="0077776F" w:rsidRPr="00FB1424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FABD" w14:textId="77777777" w:rsidR="00FB1424" w:rsidRDefault="00FB1424" w:rsidP="00FB1424">
      <w:pPr>
        <w:spacing w:line="240" w:lineRule="auto"/>
      </w:pPr>
      <w:r>
        <w:separator/>
      </w:r>
    </w:p>
  </w:endnote>
  <w:endnote w:type="continuationSeparator" w:id="0">
    <w:p w14:paraId="75E1DD68" w14:textId="77777777" w:rsidR="00FB1424" w:rsidRDefault="00FB1424" w:rsidP="00FB1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B3F6" w14:textId="77777777" w:rsidR="00FB1424" w:rsidRDefault="00FB1424" w:rsidP="00FB1424">
      <w:pPr>
        <w:spacing w:line="240" w:lineRule="auto"/>
      </w:pPr>
      <w:r>
        <w:separator/>
      </w:r>
    </w:p>
  </w:footnote>
  <w:footnote w:type="continuationSeparator" w:id="0">
    <w:p w14:paraId="199E1405" w14:textId="77777777" w:rsidR="00FB1424" w:rsidRDefault="00FB1424" w:rsidP="00FB14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2700"/>
    <w:multiLevelType w:val="multilevel"/>
    <w:tmpl w:val="AA74B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64560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6F"/>
    <w:rsid w:val="00035F5A"/>
    <w:rsid w:val="000E3EEC"/>
    <w:rsid w:val="004233DD"/>
    <w:rsid w:val="0045460C"/>
    <w:rsid w:val="0077776F"/>
    <w:rsid w:val="007C0292"/>
    <w:rsid w:val="00AA286C"/>
    <w:rsid w:val="00C166E2"/>
    <w:rsid w:val="00E60BB7"/>
    <w:rsid w:val="00FB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33568"/>
  <w15:docId w15:val="{D51910C8-7EB7-46E3-B3FA-623BDAB7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B142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24"/>
  </w:style>
  <w:style w:type="paragraph" w:styleId="Footer">
    <w:name w:val="footer"/>
    <w:basedOn w:val="Normal"/>
    <w:link w:val="FooterChar"/>
    <w:uiPriority w:val="99"/>
    <w:unhideWhenUsed/>
    <w:rsid w:val="00FB142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Ingunn Jónsdóttir</cp:lastModifiedBy>
  <cp:revision>9</cp:revision>
  <dcterms:created xsi:type="dcterms:W3CDTF">2023-03-10T09:56:00Z</dcterms:created>
  <dcterms:modified xsi:type="dcterms:W3CDTF">2023-03-10T14:41:00Z</dcterms:modified>
</cp:coreProperties>
</file>