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957C0" w14:textId="7F1D2380" w:rsidR="00A66B4B" w:rsidRDefault="00050C6E" w:rsidP="003C70FE">
      <w:pPr>
        <w:jc w:val="center"/>
        <w:rPr>
          <w:b/>
          <w:bCs/>
          <w:sz w:val="28"/>
          <w:szCs w:val="28"/>
        </w:rPr>
      </w:pPr>
      <w:r>
        <w:rPr>
          <w:b/>
          <w:bCs/>
          <w:sz w:val="28"/>
          <w:szCs w:val="28"/>
        </w:rPr>
        <w:br/>
      </w:r>
      <w:r w:rsidR="003C70FE" w:rsidRPr="003C70FE">
        <w:rPr>
          <w:b/>
          <w:bCs/>
          <w:sz w:val="28"/>
          <w:szCs w:val="28"/>
        </w:rPr>
        <w:t xml:space="preserve">Umsögn </w:t>
      </w:r>
      <w:r w:rsidR="00B754E8">
        <w:rPr>
          <w:b/>
          <w:bCs/>
          <w:sz w:val="28"/>
          <w:szCs w:val="28"/>
        </w:rPr>
        <w:t>Búnaðarsambands Eyjafjarðar</w:t>
      </w:r>
      <w:r w:rsidR="007650FA">
        <w:rPr>
          <w:b/>
          <w:bCs/>
          <w:sz w:val="28"/>
          <w:szCs w:val="28"/>
        </w:rPr>
        <w:t xml:space="preserve"> og</w:t>
      </w:r>
      <w:r w:rsidR="00B754E8">
        <w:rPr>
          <w:b/>
          <w:bCs/>
          <w:sz w:val="28"/>
          <w:szCs w:val="28"/>
        </w:rPr>
        <w:t xml:space="preserve"> Félags sauðfjárbænda við Eyjafjörð </w:t>
      </w:r>
      <w:r w:rsidR="003C70FE" w:rsidRPr="003C70FE">
        <w:rPr>
          <w:b/>
          <w:bCs/>
          <w:sz w:val="28"/>
          <w:szCs w:val="28"/>
        </w:rPr>
        <w:t>um</w:t>
      </w:r>
      <w:r w:rsidR="003C70FE" w:rsidRPr="006210C5">
        <w:rPr>
          <w:b/>
          <w:bCs/>
          <w:sz w:val="28"/>
          <w:szCs w:val="28"/>
        </w:rPr>
        <w:t xml:space="preserve"> drög</w:t>
      </w:r>
      <w:r w:rsidR="003C70FE" w:rsidRPr="003C70FE">
        <w:rPr>
          <w:b/>
          <w:bCs/>
          <w:sz w:val="28"/>
          <w:szCs w:val="28"/>
        </w:rPr>
        <w:t xml:space="preserve"> að reglugerð um leiðbeiningar og viðmið um sjálfbæra landnýtingu.</w:t>
      </w:r>
    </w:p>
    <w:p w14:paraId="3F317E09" w14:textId="68BCEFBE" w:rsidR="003C70FE" w:rsidRDefault="003C70FE" w:rsidP="003C70FE">
      <w:pPr>
        <w:jc w:val="center"/>
        <w:rPr>
          <w:b/>
          <w:bCs/>
          <w:sz w:val="28"/>
          <w:szCs w:val="28"/>
        </w:rPr>
      </w:pPr>
    </w:p>
    <w:p w14:paraId="4717F525" w14:textId="77777777" w:rsidR="00AB7ED0" w:rsidRDefault="00AB7ED0" w:rsidP="003C70FE">
      <w:pPr>
        <w:rPr>
          <w:sz w:val="24"/>
          <w:szCs w:val="24"/>
        </w:rPr>
      </w:pPr>
    </w:p>
    <w:p w14:paraId="775222DF" w14:textId="41EFF417" w:rsidR="00AB7ED0" w:rsidRDefault="00AB7ED0" w:rsidP="003C70FE">
      <w:pPr>
        <w:rPr>
          <w:sz w:val="24"/>
          <w:szCs w:val="24"/>
        </w:rPr>
      </w:pPr>
      <w:r>
        <w:rPr>
          <w:sz w:val="24"/>
          <w:szCs w:val="24"/>
        </w:rPr>
        <w:t xml:space="preserve">Umsagnaraðili er sammála því að </w:t>
      </w:r>
      <w:r w:rsidR="00665CA6">
        <w:rPr>
          <w:sz w:val="24"/>
          <w:szCs w:val="24"/>
        </w:rPr>
        <w:t xml:space="preserve">það sé markmið þeirra sem nytja land að það sé gert á þann hátt að það samrýmist </w:t>
      </w:r>
      <w:r w:rsidR="00194F57">
        <w:rPr>
          <w:sz w:val="24"/>
          <w:szCs w:val="24"/>
        </w:rPr>
        <w:t xml:space="preserve">eftirfarandi </w:t>
      </w:r>
      <w:r w:rsidR="00A15FA9">
        <w:rPr>
          <w:sz w:val="24"/>
          <w:szCs w:val="24"/>
        </w:rPr>
        <w:t>ákvæði</w:t>
      </w:r>
      <w:r w:rsidR="00665CA6">
        <w:rPr>
          <w:sz w:val="24"/>
          <w:szCs w:val="24"/>
        </w:rPr>
        <w:t xml:space="preserve"> </w:t>
      </w:r>
      <w:r w:rsidR="00A15FA9">
        <w:rPr>
          <w:sz w:val="24"/>
          <w:szCs w:val="24"/>
        </w:rPr>
        <w:t>laga um</w:t>
      </w:r>
      <w:r w:rsidR="00665CA6">
        <w:rPr>
          <w:sz w:val="24"/>
          <w:szCs w:val="24"/>
        </w:rPr>
        <w:t xml:space="preserve"> landgræðslu </w:t>
      </w:r>
      <w:r w:rsidR="00AC034A">
        <w:rPr>
          <w:sz w:val="24"/>
          <w:szCs w:val="24"/>
        </w:rPr>
        <w:t xml:space="preserve">(nr. 155/2018). Þar er samkvæmt orðskýringum í 4. </w:t>
      </w:r>
      <w:r w:rsidR="00A15FA9">
        <w:rPr>
          <w:sz w:val="24"/>
          <w:szCs w:val="24"/>
        </w:rPr>
        <w:t>g</w:t>
      </w:r>
      <w:r w:rsidR="00AC034A">
        <w:rPr>
          <w:sz w:val="24"/>
          <w:szCs w:val="24"/>
        </w:rPr>
        <w:t xml:space="preserve">r. b. lið, </w:t>
      </w:r>
      <w:r w:rsidR="00194F57">
        <w:rPr>
          <w:sz w:val="24"/>
          <w:szCs w:val="24"/>
        </w:rPr>
        <w:t>„</w:t>
      </w:r>
      <w:r w:rsidR="00AC034A">
        <w:rPr>
          <w:sz w:val="24"/>
          <w:szCs w:val="24"/>
        </w:rPr>
        <w:t>að það ferli að koma vistkerfum, vistkerfisferlum, eiginleikum vistkerfaþjónustu í það horf að vistkerfið þróist án hnignunar</w:t>
      </w:r>
      <w:r w:rsidR="00194F57">
        <w:rPr>
          <w:sz w:val="24"/>
          <w:szCs w:val="24"/>
        </w:rPr>
        <w:t>“</w:t>
      </w:r>
      <w:r w:rsidR="00AC034A">
        <w:rPr>
          <w:sz w:val="24"/>
          <w:szCs w:val="24"/>
        </w:rPr>
        <w:t>.</w:t>
      </w:r>
    </w:p>
    <w:p w14:paraId="73C002E5" w14:textId="036D1FBF" w:rsidR="00AC034A" w:rsidRDefault="00AC034A" w:rsidP="003C70FE">
      <w:pPr>
        <w:rPr>
          <w:sz w:val="24"/>
          <w:szCs w:val="24"/>
        </w:rPr>
      </w:pPr>
      <w:r>
        <w:rPr>
          <w:sz w:val="24"/>
          <w:szCs w:val="24"/>
        </w:rPr>
        <w:t xml:space="preserve">Drög að þeirri reglugerð sem nú er í samráðsgátt stjórnvalda </w:t>
      </w:r>
      <w:r w:rsidR="00950F01">
        <w:rPr>
          <w:sz w:val="24"/>
          <w:szCs w:val="24"/>
        </w:rPr>
        <w:t>útheimtir flókna og kostnaðarsama útfærslu</w:t>
      </w:r>
      <w:r>
        <w:rPr>
          <w:sz w:val="24"/>
          <w:szCs w:val="24"/>
        </w:rPr>
        <w:t xml:space="preserve"> án þess að árangur sé augljós</w:t>
      </w:r>
      <w:r w:rsidR="009735BD">
        <w:rPr>
          <w:sz w:val="24"/>
          <w:szCs w:val="24"/>
        </w:rPr>
        <w:t xml:space="preserve">. </w:t>
      </w:r>
      <w:r>
        <w:rPr>
          <w:sz w:val="24"/>
          <w:szCs w:val="24"/>
        </w:rPr>
        <w:t xml:space="preserve"> </w:t>
      </w:r>
      <w:r w:rsidR="009735BD">
        <w:rPr>
          <w:sz w:val="24"/>
          <w:szCs w:val="24"/>
        </w:rPr>
        <w:t>Drögin skilja einnig</w:t>
      </w:r>
      <w:r>
        <w:rPr>
          <w:sz w:val="24"/>
          <w:szCs w:val="24"/>
        </w:rPr>
        <w:t xml:space="preserve"> eftir sig</w:t>
      </w:r>
      <w:r w:rsidR="00950F01">
        <w:rPr>
          <w:sz w:val="24"/>
          <w:szCs w:val="24"/>
        </w:rPr>
        <w:t xml:space="preserve"> áleitnar spurningar um </w:t>
      </w:r>
      <w:r w:rsidR="00226C1C">
        <w:rPr>
          <w:sz w:val="24"/>
          <w:szCs w:val="24"/>
        </w:rPr>
        <w:t>að ekki hafi verið hugleitt nægjanlega vel</w:t>
      </w:r>
      <w:r w:rsidR="00950F01">
        <w:rPr>
          <w:sz w:val="24"/>
          <w:szCs w:val="24"/>
        </w:rPr>
        <w:t xml:space="preserve"> hvernig fjármunum </w:t>
      </w:r>
      <w:r w:rsidR="009735BD">
        <w:rPr>
          <w:sz w:val="24"/>
          <w:szCs w:val="24"/>
        </w:rPr>
        <w:t xml:space="preserve">til landgræðslu </w:t>
      </w:r>
      <w:r w:rsidR="00950F01">
        <w:rPr>
          <w:sz w:val="24"/>
          <w:szCs w:val="24"/>
        </w:rPr>
        <w:t>sé</w:t>
      </w:r>
      <w:r w:rsidR="009735BD">
        <w:rPr>
          <w:sz w:val="24"/>
          <w:szCs w:val="24"/>
        </w:rPr>
        <w:t xml:space="preserve"> sem</w:t>
      </w:r>
      <w:r w:rsidR="00950F01">
        <w:rPr>
          <w:sz w:val="24"/>
          <w:szCs w:val="24"/>
        </w:rPr>
        <w:t xml:space="preserve"> best varið og</w:t>
      </w:r>
      <w:r w:rsidR="009735BD">
        <w:rPr>
          <w:sz w:val="24"/>
          <w:szCs w:val="24"/>
        </w:rPr>
        <w:t xml:space="preserve"> á hvern hátt sé hægt að mynda samstöðu um góðan árangur.</w:t>
      </w:r>
      <w:r w:rsidR="00194F57">
        <w:rPr>
          <w:sz w:val="24"/>
          <w:szCs w:val="24"/>
        </w:rPr>
        <w:t xml:space="preserve"> </w:t>
      </w:r>
      <w:r w:rsidR="001021E1">
        <w:rPr>
          <w:sz w:val="24"/>
          <w:szCs w:val="24"/>
        </w:rPr>
        <w:t>Útfæ</w:t>
      </w:r>
      <w:r w:rsidR="0016527F">
        <w:rPr>
          <w:sz w:val="24"/>
          <w:szCs w:val="24"/>
        </w:rPr>
        <w:t>r</w:t>
      </w:r>
      <w:r w:rsidR="001021E1">
        <w:rPr>
          <w:sz w:val="24"/>
          <w:szCs w:val="24"/>
        </w:rPr>
        <w:t xml:space="preserve">sla </w:t>
      </w:r>
      <w:r w:rsidR="00194F57">
        <w:rPr>
          <w:sz w:val="24"/>
          <w:szCs w:val="24"/>
        </w:rPr>
        <w:t xml:space="preserve">reglugerðarinnar virðist </w:t>
      </w:r>
      <w:r w:rsidR="001021E1">
        <w:rPr>
          <w:sz w:val="24"/>
          <w:szCs w:val="24"/>
        </w:rPr>
        <w:t>mjög flókin</w:t>
      </w:r>
      <w:r w:rsidR="00194F57">
        <w:rPr>
          <w:sz w:val="24"/>
          <w:szCs w:val="24"/>
        </w:rPr>
        <w:t xml:space="preserve"> og kostnaðarsöm</w:t>
      </w:r>
      <w:r w:rsidR="001021E1">
        <w:rPr>
          <w:sz w:val="24"/>
          <w:szCs w:val="24"/>
        </w:rPr>
        <w:t>.</w:t>
      </w:r>
      <w:r w:rsidR="00675D47">
        <w:rPr>
          <w:sz w:val="24"/>
          <w:szCs w:val="24"/>
        </w:rPr>
        <w:br/>
        <w:t xml:space="preserve">Fyrsta skilyrði þegar settar eru reglugerðir er að hægt sé með góðu móti að vinna eftir þeim, sem </w:t>
      </w:r>
      <w:r w:rsidR="001D5626">
        <w:rPr>
          <w:sz w:val="24"/>
          <w:szCs w:val="24"/>
        </w:rPr>
        <w:t>ekki er líklegt að verði</w:t>
      </w:r>
      <w:r w:rsidR="00675D47">
        <w:rPr>
          <w:sz w:val="24"/>
          <w:szCs w:val="24"/>
        </w:rPr>
        <w:t xml:space="preserve"> ef sá orðagrautur sem hér er á</w:t>
      </w:r>
      <w:r w:rsidR="00194F57">
        <w:rPr>
          <w:sz w:val="24"/>
          <w:szCs w:val="24"/>
        </w:rPr>
        <w:t xml:space="preserve"> </w:t>
      </w:r>
      <w:r w:rsidR="00675D47">
        <w:rPr>
          <w:sz w:val="24"/>
          <w:szCs w:val="24"/>
        </w:rPr>
        <w:t xml:space="preserve">ferð verður að veruleika. </w:t>
      </w:r>
    </w:p>
    <w:p w14:paraId="00EFE32B" w14:textId="081D6E77" w:rsidR="00494419" w:rsidRDefault="00AC034A" w:rsidP="00CE461C">
      <w:pPr>
        <w:ind w:left="360"/>
        <w:rPr>
          <w:sz w:val="24"/>
          <w:szCs w:val="24"/>
        </w:rPr>
      </w:pPr>
      <w:r>
        <w:rPr>
          <w:sz w:val="24"/>
          <w:szCs w:val="24"/>
        </w:rPr>
        <w:t>Eftirfarandi punktar eru dregnir fram því til stuðnings</w:t>
      </w:r>
      <w:r w:rsidR="00950F01">
        <w:rPr>
          <w:sz w:val="24"/>
          <w:szCs w:val="24"/>
        </w:rPr>
        <w:t>:</w:t>
      </w:r>
      <w:r w:rsidR="008526FB">
        <w:rPr>
          <w:sz w:val="24"/>
          <w:szCs w:val="24"/>
        </w:rPr>
        <w:br/>
      </w:r>
      <w:r w:rsidR="008526FB">
        <w:rPr>
          <w:sz w:val="24"/>
          <w:szCs w:val="24"/>
        </w:rPr>
        <w:br/>
      </w:r>
      <w:r w:rsidR="008526FB" w:rsidRPr="00CE461C">
        <w:rPr>
          <w:b/>
          <w:bCs/>
          <w:sz w:val="24"/>
          <w:szCs w:val="24"/>
        </w:rPr>
        <w:t>Sjálfbær landnýting</w:t>
      </w:r>
      <w:r w:rsidR="00E50C23">
        <w:rPr>
          <w:b/>
          <w:bCs/>
          <w:sz w:val="24"/>
          <w:szCs w:val="24"/>
        </w:rPr>
        <w:t xml:space="preserve"> og</w:t>
      </w:r>
      <w:r w:rsidR="008526FB" w:rsidRPr="00CE461C">
        <w:rPr>
          <w:b/>
          <w:bCs/>
          <w:sz w:val="24"/>
          <w:szCs w:val="24"/>
        </w:rPr>
        <w:t xml:space="preserve"> viðauki I.</w:t>
      </w:r>
    </w:p>
    <w:p w14:paraId="44CCC5C4" w14:textId="6948799D" w:rsidR="00494419" w:rsidRDefault="00494419" w:rsidP="00950F01">
      <w:pPr>
        <w:pStyle w:val="ListParagraph"/>
        <w:numPr>
          <w:ilvl w:val="0"/>
          <w:numId w:val="2"/>
        </w:numPr>
        <w:rPr>
          <w:sz w:val="24"/>
          <w:szCs w:val="24"/>
        </w:rPr>
      </w:pPr>
      <w:r>
        <w:rPr>
          <w:sz w:val="24"/>
          <w:szCs w:val="24"/>
        </w:rPr>
        <w:t>Forsenda þess að settar séu í reglugerð jafn viðamiklar breytingar á landnýtingu og þarna eru settar fram,</w:t>
      </w:r>
      <w:r w:rsidR="0037112E">
        <w:rPr>
          <w:sz w:val="24"/>
          <w:szCs w:val="24"/>
        </w:rPr>
        <w:t xml:space="preserve"> er að þær byggi á rannsóknum eða staðreyndum. Verulega er ámælisvert hversu faglegur grunnur þeirra er veikur.</w:t>
      </w:r>
    </w:p>
    <w:p w14:paraId="70543F89" w14:textId="0B1539AA" w:rsidR="00805BCC" w:rsidRDefault="00805BCC" w:rsidP="00805BCC">
      <w:pPr>
        <w:pStyle w:val="ListParagraph"/>
        <w:numPr>
          <w:ilvl w:val="0"/>
          <w:numId w:val="2"/>
        </w:numPr>
        <w:rPr>
          <w:sz w:val="24"/>
          <w:szCs w:val="24"/>
        </w:rPr>
      </w:pPr>
      <w:r>
        <w:rPr>
          <w:sz w:val="24"/>
          <w:szCs w:val="24"/>
        </w:rPr>
        <w:t>Ekki er hægt að átta sig á í neinum gögnum hverjar afleiðingar á innleiðingu reglugerðarinnar geta orðið. T.d. hversu stór hluti af dölum í Eyjafirði er í &gt; 20° landhalla. Það er nauðsynlegt til að skynja í hversu miklum halla land getur verið í vistfræðilegri framför miðað þær aðstæður sem við búum við.</w:t>
      </w:r>
    </w:p>
    <w:p w14:paraId="1C6E7233" w14:textId="637FDA1E" w:rsidR="00805BCC" w:rsidRPr="00D75F23" w:rsidRDefault="00D96D3D" w:rsidP="00D75F23">
      <w:pPr>
        <w:pStyle w:val="ListParagraph"/>
        <w:numPr>
          <w:ilvl w:val="0"/>
          <w:numId w:val="2"/>
        </w:numPr>
        <w:rPr>
          <w:sz w:val="24"/>
          <w:szCs w:val="24"/>
        </w:rPr>
      </w:pPr>
      <w:r>
        <w:rPr>
          <w:sz w:val="24"/>
          <w:szCs w:val="24"/>
        </w:rPr>
        <w:t xml:space="preserve">Búnaðarsamband Eyjafjarðar óskaði eftir að Guðmundur H. Gunnarsson jarðræktarráðunautur og kortateiknari gerði hallamælingu á einni fjallshlíð af handahófi. Kaupangssveitarfjall fyrir ofan Svertingsstaði er strax fyrir ofan fjallsgirðingu í um 200 m.h.y.s. komið í 23° halla og &gt; 30° halla í 300 metrum. Hægt er að fullyrða </w:t>
      </w:r>
      <w:r w:rsidR="00D75F23">
        <w:rPr>
          <w:sz w:val="24"/>
          <w:szCs w:val="24"/>
        </w:rPr>
        <w:t>að ástand gróðurs á þessu svæði er sjálfbært og er að þróast án hnignunar þrátt fyrir að vera miðlungs beitt og</w:t>
      </w:r>
      <w:r w:rsidR="008922DE">
        <w:rPr>
          <w:sz w:val="24"/>
          <w:szCs w:val="24"/>
        </w:rPr>
        <w:t xml:space="preserve"> er</w:t>
      </w:r>
      <w:r w:rsidR="00D75F23">
        <w:rPr>
          <w:sz w:val="24"/>
          <w:szCs w:val="24"/>
        </w:rPr>
        <w:t xml:space="preserve"> nánast útilokað frá skynsamlegri nýtingu samkvæmt fyrirliggjandi reglugerðadrögum.</w:t>
      </w:r>
    </w:p>
    <w:p w14:paraId="1D2559BE" w14:textId="67E355CE" w:rsidR="0037112E" w:rsidRDefault="0037112E" w:rsidP="0037112E">
      <w:pPr>
        <w:pStyle w:val="ListParagraph"/>
        <w:numPr>
          <w:ilvl w:val="0"/>
          <w:numId w:val="2"/>
        </w:numPr>
        <w:rPr>
          <w:sz w:val="24"/>
          <w:szCs w:val="24"/>
        </w:rPr>
      </w:pPr>
      <w:r>
        <w:rPr>
          <w:sz w:val="24"/>
          <w:szCs w:val="24"/>
        </w:rPr>
        <w:lastRenderedPageBreak/>
        <w:t xml:space="preserve">Þekkt er að í bröttum hlíðum er aukin skriðuhætta þegar jarðvegur </w:t>
      </w:r>
      <w:r w:rsidR="001D5626">
        <w:rPr>
          <w:sz w:val="24"/>
          <w:szCs w:val="24"/>
        </w:rPr>
        <w:t>er</w:t>
      </w:r>
      <w:r>
        <w:rPr>
          <w:sz w:val="24"/>
          <w:szCs w:val="24"/>
        </w:rPr>
        <w:t xml:space="preserve"> án skilvirkrar bindingar róta graslendis. </w:t>
      </w:r>
      <w:r w:rsidR="006E611C">
        <w:rPr>
          <w:sz w:val="24"/>
          <w:szCs w:val="24"/>
        </w:rPr>
        <w:t>Á</w:t>
      </w:r>
      <w:r>
        <w:rPr>
          <w:sz w:val="24"/>
          <w:szCs w:val="24"/>
        </w:rPr>
        <w:t xml:space="preserve">byrgð </w:t>
      </w:r>
      <w:r w:rsidR="006E611C">
        <w:rPr>
          <w:sz w:val="24"/>
          <w:szCs w:val="24"/>
        </w:rPr>
        <w:t xml:space="preserve">er </w:t>
      </w:r>
      <w:r>
        <w:rPr>
          <w:sz w:val="24"/>
          <w:szCs w:val="24"/>
        </w:rPr>
        <w:t>mikil að takmarka skynsamlega nýtingu með valdboði þannig að hættu geti valdið.</w:t>
      </w:r>
    </w:p>
    <w:p w14:paraId="547C4FC1" w14:textId="4326CA14" w:rsidR="0037112E" w:rsidRDefault="006E611C" w:rsidP="00950F01">
      <w:pPr>
        <w:pStyle w:val="ListParagraph"/>
        <w:numPr>
          <w:ilvl w:val="0"/>
          <w:numId w:val="2"/>
        </w:numPr>
        <w:rPr>
          <w:sz w:val="24"/>
          <w:szCs w:val="24"/>
        </w:rPr>
      </w:pPr>
      <w:r>
        <w:rPr>
          <w:sz w:val="24"/>
          <w:szCs w:val="24"/>
        </w:rPr>
        <w:t>Því til stuðnings</w:t>
      </w:r>
      <w:r w:rsidR="006F0C63">
        <w:rPr>
          <w:sz w:val="24"/>
          <w:szCs w:val="24"/>
        </w:rPr>
        <w:t xml:space="preserve"> má nefna rannsóknir þess efnis að rótavöxtur og binding jarðvegs minnk</w:t>
      </w:r>
      <w:r w:rsidR="00D75F23">
        <w:rPr>
          <w:sz w:val="24"/>
          <w:szCs w:val="24"/>
        </w:rPr>
        <w:t>ar</w:t>
      </w:r>
      <w:r w:rsidR="006F0C63">
        <w:rPr>
          <w:sz w:val="24"/>
          <w:szCs w:val="24"/>
        </w:rPr>
        <w:t xml:space="preserve"> við friðun lands, þ.e. að rótamassi grasa </w:t>
      </w:r>
      <w:r w:rsidR="00D75F23">
        <w:rPr>
          <w:sz w:val="24"/>
          <w:szCs w:val="24"/>
        </w:rPr>
        <w:t>er</w:t>
      </w:r>
      <w:r w:rsidR="006F0C63">
        <w:rPr>
          <w:sz w:val="24"/>
          <w:szCs w:val="24"/>
        </w:rPr>
        <w:t xml:space="preserve"> mestur við hóflega beit (</w:t>
      </w:r>
      <w:proofErr w:type="spellStart"/>
      <w:r w:rsidR="006F0C63">
        <w:rPr>
          <w:sz w:val="24"/>
          <w:szCs w:val="24"/>
        </w:rPr>
        <w:t>Friggens</w:t>
      </w:r>
      <w:proofErr w:type="spellEnd"/>
      <w:r w:rsidR="006F0C63">
        <w:rPr>
          <w:sz w:val="24"/>
          <w:szCs w:val="24"/>
        </w:rPr>
        <w:t xml:space="preserve"> og fl. 2020 </w:t>
      </w:r>
      <w:proofErr w:type="spellStart"/>
      <w:r w:rsidR="006F0C63">
        <w:rPr>
          <w:sz w:val="24"/>
          <w:szCs w:val="24"/>
        </w:rPr>
        <w:t>Global</w:t>
      </w:r>
      <w:proofErr w:type="spellEnd"/>
      <w:r w:rsidR="006F0C63">
        <w:rPr>
          <w:sz w:val="24"/>
          <w:szCs w:val="24"/>
        </w:rPr>
        <w:t xml:space="preserve"> </w:t>
      </w:r>
      <w:proofErr w:type="spellStart"/>
      <w:r w:rsidR="006F0C63">
        <w:rPr>
          <w:sz w:val="24"/>
          <w:szCs w:val="24"/>
        </w:rPr>
        <w:t>Change</w:t>
      </w:r>
      <w:proofErr w:type="spellEnd"/>
      <w:r w:rsidR="006F0C63">
        <w:rPr>
          <w:sz w:val="24"/>
          <w:szCs w:val="24"/>
        </w:rPr>
        <w:t xml:space="preserve"> </w:t>
      </w:r>
      <w:proofErr w:type="spellStart"/>
      <w:r w:rsidR="006F0C63">
        <w:rPr>
          <w:sz w:val="24"/>
          <w:szCs w:val="24"/>
        </w:rPr>
        <w:t>Biology</w:t>
      </w:r>
      <w:proofErr w:type="spellEnd"/>
      <w:r w:rsidR="006F0C63">
        <w:rPr>
          <w:sz w:val="24"/>
          <w:szCs w:val="24"/>
        </w:rPr>
        <w:t xml:space="preserve">). </w:t>
      </w:r>
    </w:p>
    <w:p w14:paraId="329C56C8" w14:textId="6B5F1292" w:rsidR="006F0C63" w:rsidRDefault="006F0C63" w:rsidP="00950F01">
      <w:pPr>
        <w:pStyle w:val="ListParagraph"/>
        <w:numPr>
          <w:ilvl w:val="0"/>
          <w:numId w:val="2"/>
        </w:numPr>
        <w:rPr>
          <w:sz w:val="24"/>
          <w:szCs w:val="24"/>
        </w:rPr>
      </w:pPr>
      <w:r>
        <w:rPr>
          <w:sz w:val="24"/>
          <w:szCs w:val="24"/>
        </w:rPr>
        <w:t>Líffræðileg fjölbreytni gróðurs er mest við miðlungs beit.</w:t>
      </w:r>
      <w:r w:rsidR="005146AA">
        <w:rPr>
          <w:sz w:val="24"/>
          <w:szCs w:val="24"/>
        </w:rPr>
        <w:t xml:space="preserve"> </w:t>
      </w:r>
    </w:p>
    <w:p w14:paraId="39586061" w14:textId="37551EA9" w:rsidR="00CB400E" w:rsidRDefault="00CB400E" w:rsidP="00950F01">
      <w:pPr>
        <w:pStyle w:val="ListParagraph"/>
        <w:numPr>
          <w:ilvl w:val="0"/>
          <w:numId w:val="2"/>
        </w:numPr>
        <w:rPr>
          <w:sz w:val="24"/>
          <w:szCs w:val="24"/>
        </w:rPr>
      </w:pPr>
      <w:r>
        <w:rPr>
          <w:sz w:val="24"/>
          <w:szCs w:val="24"/>
        </w:rPr>
        <w:t xml:space="preserve">Nauðsyn er fyrir þá fagaðila sem standa á bakvið reglugerðarskrif um sjálfbæra nýtingu lands að kynna sér grein Önnu Guðrúnar Þórhallsdóttur prófessors </w:t>
      </w:r>
      <w:r w:rsidR="004B5021">
        <w:rPr>
          <w:sz w:val="24"/>
          <w:szCs w:val="24"/>
        </w:rPr>
        <w:t>í Bændablaðinu á bls. 58 í 18 tbl.2021,</w:t>
      </w:r>
      <w:r>
        <w:rPr>
          <w:sz w:val="24"/>
          <w:szCs w:val="24"/>
        </w:rPr>
        <w:t xml:space="preserve"> Graslendi, kolefni og loftslag – eru tengsl þar á milli?</w:t>
      </w:r>
      <w:r w:rsidR="004B5021">
        <w:rPr>
          <w:sz w:val="24"/>
          <w:szCs w:val="24"/>
        </w:rPr>
        <w:t xml:space="preserve"> </w:t>
      </w:r>
    </w:p>
    <w:p w14:paraId="05FA7C27" w14:textId="72917171" w:rsidR="00950F01" w:rsidRDefault="00950F01" w:rsidP="00950F01">
      <w:pPr>
        <w:pStyle w:val="ListParagraph"/>
        <w:numPr>
          <w:ilvl w:val="0"/>
          <w:numId w:val="2"/>
        </w:numPr>
        <w:rPr>
          <w:sz w:val="24"/>
          <w:szCs w:val="24"/>
        </w:rPr>
      </w:pPr>
      <w:r>
        <w:rPr>
          <w:sz w:val="24"/>
          <w:szCs w:val="24"/>
        </w:rPr>
        <w:t>Daggráður</w:t>
      </w:r>
      <w:r w:rsidR="001021E1">
        <w:rPr>
          <w:sz w:val="24"/>
          <w:szCs w:val="24"/>
        </w:rPr>
        <w:t>,</w:t>
      </w:r>
      <w:r>
        <w:rPr>
          <w:sz w:val="24"/>
          <w:szCs w:val="24"/>
        </w:rPr>
        <w:t xml:space="preserve"> birta</w:t>
      </w:r>
      <w:r w:rsidR="00BE1CED">
        <w:rPr>
          <w:sz w:val="24"/>
          <w:szCs w:val="24"/>
        </w:rPr>
        <w:t xml:space="preserve"> og jarðvegsgerð</w:t>
      </w:r>
      <w:r>
        <w:rPr>
          <w:sz w:val="24"/>
          <w:szCs w:val="24"/>
        </w:rPr>
        <w:t xml:space="preserve"> ræður miklu um gróðurfar og nýtingarmöguleika lands. Á því er mikill munur milli landshluta sem reglugerðarhöfundum virðist ókunnugt um.</w:t>
      </w:r>
      <w:r w:rsidR="00BE1CED">
        <w:rPr>
          <w:sz w:val="24"/>
          <w:szCs w:val="24"/>
        </w:rPr>
        <w:t xml:space="preserve"> Gróður í dölum Eyjafjarðar nær jafnan hærra upp í hlíðar en í sambærilegri h.y.s. sunnan hálendis.</w:t>
      </w:r>
    </w:p>
    <w:p w14:paraId="00E96A84" w14:textId="5A9CCE47" w:rsidR="00453978" w:rsidRDefault="00453978" w:rsidP="00950F01">
      <w:pPr>
        <w:pStyle w:val="ListParagraph"/>
        <w:numPr>
          <w:ilvl w:val="0"/>
          <w:numId w:val="2"/>
        </w:numPr>
        <w:rPr>
          <w:sz w:val="24"/>
          <w:szCs w:val="24"/>
        </w:rPr>
      </w:pPr>
      <w:r>
        <w:rPr>
          <w:sz w:val="24"/>
          <w:szCs w:val="24"/>
        </w:rPr>
        <w:t>Landgræðslan hefur ekki skipulagsvald og umhugsunarvert hver stjórnsýsluleg</w:t>
      </w:r>
      <w:r w:rsidR="000E6D15">
        <w:rPr>
          <w:sz w:val="24"/>
          <w:szCs w:val="24"/>
        </w:rPr>
        <w:t xml:space="preserve"> staða </w:t>
      </w:r>
      <w:r w:rsidR="006E611C">
        <w:rPr>
          <w:sz w:val="24"/>
          <w:szCs w:val="24"/>
        </w:rPr>
        <w:t>stofnunarinnar er</w:t>
      </w:r>
      <w:r>
        <w:rPr>
          <w:sz w:val="24"/>
          <w:szCs w:val="24"/>
        </w:rPr>
        <w:t xml:space="preserve"> yfir heimalöndum landeigenda/bænda.</w:t>
      </w:r>
    </w:p>
    <w:p w14:paraId="79C981AD" w14:textId="603120C5" w:rsidR="00453978" w:rsidRDefault="00453978" w:rsidP="00950F01">
      <w:pPr>
        <w:pStyle w:val="ListParagraph"/>
        <w:numPr>
          <w:ilvl w:val="0"/>
          <w:numId w:val="2"/>
        </w:numPr>
        <w:rPr>
          <w:sz w:val="24"/>
          <w:szCs w:val="24"/>
        </w:rPr>
      </w:pPr>
      <w:r>
        <w:rPr>
          <w:sz w:val="24"/>
          <w:szCs w:val="24"/>
        </w:rPr>
        <w:t xml:space="preserve">Ekki er tekið á hver greiðir fyrir </w:t>
      </w:r>
      <w:r w:rsidR="000E6D15">
        <w:rPr>
          <w:sz w:val="24"/>
          <w:szCs w:val="24"/>
        </w:rPr>
        <w:t>þá vinnu sem reglugerðin segir til um að framkvæmd verði.</w:t>
      </w:r>
    </w:p>
    <w:p w14:paraId="57C30C24" w14:textId="764AF310" w:rsidR="007650FA" w:rsidRDefault="007650FA" w:rsidP="00950F01">
      <w:pPr>
        <w:pStyle w:val="ListParagraph"/>
        <w:numPr>
          <w:ilvl w:val="0"/>
          <w:numId w:val="2"/>
        </w:numPr>
        <w:rPr>
          <w:sz w:val="24"/>
          <w:szCs w:val="24"/>
        </w:rPr>
      </w:pPr>
      <w:r>
        <w:rPr>
          <w:sz w:val="24"/>
          <w:szCs w:val="24"/>
        </w:rPr>
        <w:t xml:space="preserve">Túlkun í þá veru að „ ef land er ekki í besta mögulega ástandi sé það ósjálfbært“ er stórlega villandi. </w:t>
      </w:r>
      <w:r w:rsidR="00DC2588">
        <w:rPr>
          <w:sz w:val="24"/>
          <w:szCs w:val="24"/>
        </w:rPr>
        <w:t xml:space="preserve">Hvorki </w:t>
      </w:r>
      <w:r w:rsidR="008922DE">
        <w:rPr>
          <w:sz w:val="24"/>
          <w:szCs w:val="24"/>
        </w:rPr>
        <w:t xml:space="preserve">eru orðin </w:t>
      </w:r>
      <w:r w:rsidR="00DC2588">
        <w:rPr>
          <w:sz w:val="24"/>
          <w:szCs w:val="24"/>
        </w:rPr>
        <w:t>sjálfbær né ósjálfbær í orðskýringu</w:t>
      </w:r>
      <w:r w:rsidR="008922DE">
        <w:rPr>
          <w:sz w:val="24"/>
          <w:szCs w:val="24"/>
        </w:rPr>
        <w:t>m</w:t>
      </w:r>
      <w:r w:rsidR="00DC2588">
        <w:rPr>
          <w:sz w:val="24"/>
          <w:szCs w:val="24"/>
        </w:rPr>
        <w:t xml:space="preserve"> í landgræðslulögum</w:t>
      </w:r>
      <w:r w:rsidR="008922DE">
        <w:rPr>
          <w:sz w:val="24"/>
          <w:szCs w:val="24"/>
        </w:rPr>
        <w:t xml:space="preserve"> nr. 155/2018.</w:t>
      </w:r>
    </w:p>
    <w:p w14:paraId="09882ABD" w14:textId="098F2B50" w:rsidR="00FE685F" w:rsidRDefault="00153C66" w:rsidP="00950F01">
      <w:pPr>
        <w:pStyle w:val="ListParagraph"/>
        <w:numPr>
          <w:ilvl w:val="0"/>
          <w:numId w:val="2"/>
        </w:numPr>
        <w:rPr>
          <w:sz w:val="24"/>
          <w:szCs w:val="24"/>
        </w:rPr>
      </w:pPr>
      <w:r>
        <w:rPr>
          <w:sz w:val="24"/>
          <w:szCs w:val="24"/>
        </w:rPr>
        <w:t xml:space="preserve">Grólindargrunnurinn er ekki er ekki réttur. </w:t>
      </w:r>
      <w:r w:rsidR="008922DE">
        <w:rPr>
          <w:sz w:val="24"/>
          <w:szCs w:val="24"/>
        </w:rPr>
        <w:t>(Eftir að skoða betur)</w:t>
      </w:r>
    </w:p>
    <w:p w14:paraId="2F4F0C6B" w14:textId="647CD9AF" w:rsidR="00153C66" w:rsidRPr="00CE461C" w:rsidRDefault="00FE685F" w:rsidP="00950F01">
      <w:pPr>
        <w:pStyle w:val="ListParagraph"/>
        <w:numPr>
          <w:ilvl w:val="0"/>
          <w:numId w:val="2"/>
        </w:numPr>
        <w:rPr>
          <w:sz w:val="24"/>
          <w:szCs w:val="24"/>
        </w:rPr>
      </w:pPr>
      <w:r w:rsidRPr="00CE461C">
        <w:rPr>
          <w:sz w:val="24"/>
          <w:szCs w:val="24"/>
        </w:rPr>
        <w:t xml:space="preserve">Í viðauka I, 4. </w:t>
      </w:r>
      <w:r w:rsidR="008922DE">
        <w:rPr>
          <w:sz w:val="24"/>
          <w:szCs w:val="24"/>
        </w:rPr>
        <w:t>g</w:t>
      </w:r>
      <w:r w:rsidRPr="00CE461C">
        <w:rPr>
          <w:sz w:val="24"/>
          <w:szCs w:val="24"/>
        </w:rPr>
        <w:t>r.</w:t>
      </w:r>
      <w:r w:rsidR="001D5626">
        <w:rPr>
          <w:sz w:val="24"/>
          <w:szCs w:val="24"/>
        </w:rPr>
        <w:t xml:space="preserve"> um</w:t>
      </w:r>
      <w:r w:rsidRPr="00CE461C">
        <w:rPr>
          <w:sz w:val="24"/>
          <w:szCs w:val="24"/>
        </w:rPr>
        <w:t xml:space="preserve"> þjálfun og réttindi úttekta</w:t>
      </w:r>
      <w:r w:rsidR="00CE461C" w:rsidRPr="00CE461C">
        <w:rPr>
          <w:sz w:val="24"/>
          <w:szCs w:val="24"/>
        </w:rPr>
        <w:t xml:space="preserve">raðila, kemur fram að </w:t>
      </w:r>
      <w:r w:rsidR="00CE461C">
        <w:rPr>
          <w:sz w:val="24"/>
          <w:szCs w:val="24"/>
        </w:rPr>
        <w:t>„</w:t>
      </w:r>
      <w:r w:rsidR="00CE461C" w:rsidRPr="00CE461C">
        <w:rPr>
          <w:sz w:val="24"/>
          <w:szCs w:val="24"/>
        </w:rPr>
        <w:t>Landgræðslan, getur sett vinnureglur um kröfur til og viðurkenningu aðila sem geta séð um mat á ástandi beitarlanda m.t.t. sjálfbærn</w:t>
      </w:r>
      <w:r w:rsidR="00CE461C">
        <w:rPr>
          <w:sz w:val="24"/>
          <w:szCs w:val="24"/>
        </w:rPr>
        <w:t>i“. Slíkt stenst ekki vegna sýnilegrar hlutdrægni  og víðtækrar aðkomu að ákvæðum þessarar reglugerðar.</w:t>
      </w:r>
      <w:r w:rsidR="009A5B7C">
        <w:rPr>
          <w:sz w:val="24"/>
          <w:szCs w:val="24"/>
        </w:rPr>
        <w:br/>
      </w:r>
      <w:r w:rsidR="009A5B7C">
        <w:rPr>
          <w:sz w:val="24"/>
          <w:szCs w:val="24"/>
        </w:rPr>
        <w:br/>
      </w:r>
      <w:r w:rsidR="009A5B7C" w:rsidRPr="00CE461C">
        <w:rPr>
          <w:b/>
          <w:bCs/>
          <w:sz w:val="24"/>
          <w:szCs w:val="24"/>
        </w:rPr>
        <w:t>Kafli um akuryrkju og viðauki II</w:t>
      </w:r>
      <w:r w:rsidR="008526FB" w:rsidRPr="00CE461C">
        <w:rPr>
          <w:b/>
          <w:bCs/>
          <w:sz w:val="24"/>
          <w:szCs w:val="24"/>
        </w:rPr>
        <w:t>.</w:t>
      </w:r>
    </w:p>
    <w:p w14:paraId="0524E574" w14:textId="49682B10" w:rsidR="00CE461C" w:rsidRDefault="00CE461C" w:rsidP="00950F01">
      <w:pPr>
        <w:pStyle w:val="ListParagraph"/>
        <w:numPr>
          <w:ilvl w:val="0"/>
          <w:numId w:val="2"/>
        </w:numPr>
        <w:rPr>
          <w:sz w:val="24"/>
          <w:szCs w:val="24"/>
        </w:rPr>
      </w:pPr>
      <w:r>
        <w:rPr>
          <w:sz w:val="24"/>
          <w:szCs w:val="24"/>
        </w:rPr>
        <w:t xml:space="preserve">Almennt </w:t>
      </w:r>
      <w:r w:rsidR="00F06CFA">
        <w:rPr>
          <w:sz w:val="24"/>
          <w:szCs w:val="24"/>
        </w:rPr>
        <w:t xml:space="preserve">til upplýsinga fyrir reglugerðarhöfunda vegna </w:t>
      </w:r>
      <w:r>
        <w:rPr>
          <w:sz w:val="24"/>
          <w:szCs w:val="24"/>
        </w:rPr>
        <w:t>viðauka II er rétt að benda á að jarðrækt (akuryrkja á ykkar máli)</w:t>
      </w:r>
      <w:r w:rsidR="00F06CFA">
        <w:rPr>
          <w:sz w:val="24"/>
          <w:szCs w:val="24"/>
        </w:rPr>
        <w:t xml:space="preserve"> er stunduð beint til matvælaframleiðslu eða til að auka arðbærni við þá grein. Samt er það þannig að jarðrækt er stunduð til </w:t>
      </w:r>
      <w:r w:rsidR="00333CED">
        <w:rPr>
          <w:sz w:val="24"/>
          <w:szCs w:val="24"/>
        </w:rPr>
        <w:t>hlutfallslega</w:t>
      </w:r>
      <w:r w:rsidR="00F06CFA">
        <w:rPr>
          <w:sz w:val="24"/>
          <w:szCs w:val="24"/>
        </w:rPr>
        <w:t xml:space="preserve"> minna hér á landi en í nágrannalöndum okkar </w:t>
      </w:r>
      <w:r w:rsidR="00A200C6">
        <w:rPr>
          <w:sz w:val="24"/>
          <w:szCs w:val="24"/>
        </w:rPr>
        <w:t xml:space="preserve">við matvælaframleiðslu </w:t>
      </w:r>
      <w:r w:rsidR="00333CED">
        <w:rPr>
          <w:sz w:val="24"/>
          <w:szCs w:val="24"/>
        </w:rPr>
        <w:t xml:space="preserve"> en er </w:t>
      </w:r>
      <w:r w:rsidR="00F06CFA">
        <w:rPr>
          <w:sz w:val="24"/>
          <w:szCs w:val="24"/>
        </w:rPr>
        <w:t xml:space="preserve">víðast um </w:t>
      </w:r>
      <w:r w:rsidR="00A200C6">
        <w:rPr>
          <w:sz w:val="24"/>
          <w:szCs w:val="24"/>
        </w:rPr>
        <w:t>veröldina</w:t>
      </w:r>
      <w:r w:rsidR="00F06CFA">
        <w:rPr>
          <w:sz w:val="24"/>
          <w:szCs w:val="24"/>
        </w:rPr>
        <w:t xml:space="preserve">. Leiðbeiningar um góða meðferð á landi er afskaplega góðra gjalda verð, en að setja reglur sem eru til muna harðari en allir sjá að er </w:t>
      </w:r>
      <w:r w:rsidR="00A200C6">
        <w:rPr>
          <w:sz w:val="24"/>
          <w:szCs w:val="24"/>
        </w:rPr>
        <w:t>við lýði</w:t>
      </w:r>
      <w:r w:rsidR="00F06CFA">
        <w:rPr>
          <w:sz w:val="24"/>
          <w:szCs w:val="24"/>
        </w:rPr>
        <w:t xml:space="preserve"> í okkar samkeppnislöndum er ómakleg tilraun til að skáka framleiðslu okkar út þannig að engin von er</w:t>
      </w:r>
      <w:r w:rsidR="00DC2588">
        <w:rPr>
          <w:sz w:val="24"/>
          <w:szCs w:val="24"/>
        </w:rPr>
        <w:t xml:space="preserve"> til</w:t>
      </w:r>
      <w:r w:rsidR="00F06CFA">
        <w:rPr>
          <w:sz w:val="24"/>
          <w:szCs w:val="24"/>
        </w:rPr>
        <w:t xml:space="preserve"> að hún standist samkeppni.</w:t>
      </w:r>
    </w:p>
    <w:p w14:paraId="44CE3C56" w14:textId="5273053A" w:rsidR="00A86E23" w:rsidRDefault="00A86E23" w:rsidP="00950F01">
      <w:pPr>
        <w:pStyle w:val="ListParagraph"/>
        <w:numPr>
          <w:ilvl w:val="0"/>
          <w:numId w:val="2"/>
        </w:numPr>
        <w:rPr>
          <w:sz w:val="24"/>
          <w:szCs w:val="24"/>
        </w:rPr>
      </w:pPr>
      <w:r>
        <w:rPr>
          <w:sz w:val="24"/>
          <w:szCs w:val="24"/>
        </w:rPr>
        <w:t xml:space="preserve">Í 7 gr. e. lið eru sett fram </w:t>
      </w:r>
      <w:r w:rsidR="008526FB">
        <w:rPr>
          <w:sz w:val="24"/>
          <w:szCs w:val="24"/>
        </w:rPr>
        <w:t>„</w:t>
      </w:r>
      <w:r>
        <w:rPr>
          <w:sz w:val="24"/>
          <w:szCs w:val="24"/>
        </w:rPr>
        <w:t>viðmið um lágmarksbreidd á grónu, ósnertu landi</w:t>
      </w:r>
      <w:r w:rsidR="008526FB">
        <w:rPr>
          <w:sz w:val="24"/>
          <w:szCs w:val="24"/>
        </w:rPr>
        <w:t xml:space="preserve"> á milli akurs og áa og lækja“ og </w:t>
      </w:r>
      <w:proofErr w:type="spellStart"/>
      <w:r w:rsidR="008526FB">
        <w:rPr>
          <w:sz w:val="24"/>
          <w:szCs w:val="24"/>
        </w:rPr>
        <w:t>sv</w:t>
      </w:r>
      <w:proofErr w:type="spellEnd"/>
      <w:r w:rsidR="008526FB">
        <w:rPr>
          <w:sz w:val="24"/>
          <w:szCs w:val="24"/>
        </w:rPr>
        <w:t xml:space="preserve">. frv. </w:t>
      </w:r>
      <w:r w:rsidR="00675D47">
        <w:rPr>
          <w:sz w:val="24"/>
          <w:szCs w:val="24"/>
        </w:rPr>
        <w:t xml:space="preserve">Hvar eru niðurstöður rannsókna hér á landi sem gefa vísbendingu í þá átt að réttlætanlegt sé að setja reglur sem þessar án þess að taka tillit </w:t>
      </w:r>
      <w:r w:rsidR="00675D47">
        <w:rPr>
          <w:sz w:val="24"/>
          <w:szCs w:val="24"/>
        </w:rPr>
        <w:lastRenderedPageBreak/>
        <w:t>til aðstæðna á hverjum stað.</w:t>
      </w:r>
      <w:r w:rsidR="009A5C53">
        <w:rPr>
          <w:sz w:val="24"/>
          <w:szCs w:val="24"/>
        </w:rPr>
        <w:t xml:space="preserve"> Ef rétt er að staðið er ekkert sem styður</w:t>
      </w:r>
      <w:r w:rsidR="008922DE">
        <w:rPr>
          <w:sz w:val="24"/>
          <w:szCs w:val="24"/>
        </w:rPr>
        <w:t>,</w:t>
      </w:r>
      <w:r w:rsidR="009A5C53">
        <w:rPr>
          <w:sz w:val="24"/>
          <w:szCs w:val="24"/>
        </w:rPr>
        <w:t xml:space="preserve"> að þó nær sé farið en sett er í reglugerð, að það valdi „meinvirkum áhrifum“.</w:t>
      </w:r>
    </w:p>
    <w:p w14:paraId="0820B19C" w14:textId="7E7B55EE" w:rsidR="001021E1" w:rsidRDefault="001021E1" w:rsidP="00950F01">
      <w:pPr>
        <w:pStyle w:val="ListParagraph"/>
        <w:numPr>
          <w:ilvl w:val="0"/>
          <w:numId w:val="2"/>
        </w:numPr>
        <w:rPr>
          <w:sz w:val="24"/>
          <w:szCs w:val="24"/>
        </w:rPr>
      </w:pPr>
      <w:r>
        <w:rPr>
          <w:sz w:val="24"/>
          <w:szCs w:val="24"/>
        </w:rPr>
        <w:t>Hver er skilgreining á sjálfbærni</w:t>
      </w:r>
      <w:r w:rsidR="00CE7C5D">
        <w:rPr>
          <w:sz w:val="24"/>
          <w:szCs w:val="24"/>
        </w:rPr>
        <w:t>?</w:t>
      </w:r>
      <w:r>
        <w:rPr>
          <w:sz w:val="24"/>
          <w:szCs w:val="24"/>
        </w:rPr>
        <w:t xml:space="preserve"> </w:t>
      </w:r>
      <w:r w:rsidR="00EA37CB">
        <w:rPr>
          <w:sz w:val="24"/>
          <w:szCs w:val="24"/>
        </w:rPr>
        <w:t xml:space="preserve">Orðið kemur fram í mismunsandi myndum </w:t>
      </w:r>
      <w:proofErr w:type="spellStart"/>
      <w:r w:rsidR="00EA37CB">
        <w:rPr>
          <w:sz w:val="24"/>
          <w:szCs w:val="24"/>
        </w:rPr>
        <w:t>uþb</w:t>
      </w:r>
      <w:proofErr w:type="spellEnd"/>
      <w:r w:rsidR="00EA37CB">
        <w:rPr>
          <w:sz w:val="24"/>
          <w:szCs w:val="24"/>
        </w:rPr>
        <w:t xml:space="preserve"> 80 sinnum í reglugerð með viðaukum.</w:t>
      </w:r>
      <w:r w:rsidR="009A5C53">
        <w:rPr>
          <w:sz w:val="24"/>
          <w:szCs w:val="24"/>
        </w:rPr>
        <w:t xml:space="preserve"> Í gr. 3, orðskýringum er kveðið á um sjálfbæra landnýtingu  og sjálfbærnistuðul. Miðað við skýringu þeirra orða er hugtakið oftúlkað og oft óljóst hvort það á við.</w:t>
      </w:r>
    </w:p>
    <w:p w14:paraId="67B3E311" w14:textId="0A4DF515" w:rsidR="000E0271" w:rsidRDefault="000E0271" w:rsidP="000E0271">
      <w:pPr>
        <w:pStyle w:val="ListParagraph"/>
        <w:numPr>
          <w:ilvl w:val="0"/>
          <w:numId w:val="2"/>
        </w:numPr>
        <w:rPr>
          <w:rFonts w:ascii="Calibri" w:hAnsi="Calibri" w:cs="Calibri"/>
          <w:sz w:val="24"/>
          <w:szCs w:val="24"/>
        </w:rPr>
      </w:pPr>
      <w:r w:rsidRPr="00880FC9">
        <w:rPr>
          <w:rFonts w:ascii="Calibri" w:hAnsi="Calibri" w:cs="Calibri"/>
          <w:sz w:val="24"/>
          <w:szCs w:val="24"/>
        </w:rPr>
        <w:t xml:space="preserve">Í viðauka II stendur. „Við jarðvinnslu eða plægingu jarðvegs er leitast við að lífrænar leifar, svo sem sina, hálmur og aðrar lífrænar leifar séu varðveittar með því að þeim, er blandað saman við jarðveginn en ekki fjarlægðar af akrinum. Við uppskeru er hálmur saxaður og látinn falla til jarðar til að fjarlægja ekki næringarefni í of miklu magni úr jarðveginum“. Mest af kornuppskeru bænda er nýtt þannig að hálmur er tekinn og borinn undir gripi og síðan dreift aftur á það land sem í jarðrækt er. Auðvelt er að færa rök fyrir því að þá hafi hálmurinn batnað og betra sé fyrir landið að fá hálminn blandaðan </w:t>
      </w:r>
      <w:r w:rsidR="00560C61">
        <w:rPr>
          <w:rFonts w:ascii="Calibri" w:hAnsi="Calibri" w:cs="Calibri"/>
          <w:sz w:val="24"/>
          <w:szCs w:val="24"/>
        </w:rPr>
        <w:t>búfjáráburði</w:t>
      </w:r>
      <w:r w:rsidRPr="00880FC9">
        <w:rPr>
          <w:rFonts w:ascii="Calibri" w:hAnsi="Calibri" w:cs="Calibri"/>
          <w:sz w:val="24"/>
          <w:szCs w:val="24"/>
        </w:rPr>
        <w:t xml:space="preserve"> til baka til að bæta jarðveginn. </w:t>
      </w:r>
      <w:r w:rsidR="008922DE" w:rsidRPr="00880FC9">
        <w:rPr>
          <w:rFonts w:ascii="Calibri" w:hAnsi="Calibri" w:cs="Calibri"/>
          <w:sz w:val="24"/>
          <w:szCs w:val="24"/>
        </w:rPr>
        <w:t>Þ</w:t>
      </w:r>
      <w:r w:rsidRPr="00880FC9">
        <w:rPr>
          <w:rFonts w:ascii="Calibri" w:hAnsi="Calibri" w:cs="Calibri"/>
          <w:sz w:val="24"/>
          <w:szCs w:val="24"/>
        </w:rPr>
        <w:t xml:space="preserve">að </w:t>
      </w:r>
      <w:r w:rsidR="00D52AD9" w:rsidRPr="00880FC9">
        <w:rPr>
          <w:rFonts w:ascii="Calibri" w:hAnsi="Calibri" w:cs="Calibri"/>
          <w:sz w:val="24"/>
          <w:szCs w:val="24"/>
        </w:rPr>
        <w:t>er mælt gegn því</w:t>
      </w:r>
      <w:r w:rsidRPr="00880FC9">
        <w:rPr>
          <w:rFonts w:ascii="Calibri" w:hAnsi="Calibri" w:cs="Calibri"/>
          <w:sz w:val="24"/>
          <w:szCs w:val="24"/>
        </w:rPr>
        <w:t xml:space="preserve"> samkvæmt þessum drögum. Fáviskan ríður ekki við einteyming. </w:t>
      </w:r>
    </w:p>
    <w:p w14:paraId="38DCBC10" w14:textId="338B8327" w:rsidR="00CC56F6" w:rsidRPr="00732BF6" w:rsidRDefault="00CC56F6" w:rsidP="00732BF6">
      <w:pPr>
        <w:pStyle w:val="ListParagraph"/>
        <w:numPr>
          <w:ilvl w:val="0"/>
          <w:numId w:val="2"/>
        </w:numPr>
        <w:rPr>
          <w:sz w:val="24"/>
          <w:szCs w:val="24"/>
        </w:rPr>
      </w:pPr>
      <w:r>
        <w:rPr>
          <w:sz w:val="24"/>
          <w:szCs w:val="24"/>
        </w:rPr>
        <w:t>Í annarri málsgrein 4. Gr. í viðauka II stendur. „</w:t>
      </w:r>
      <w:r w:rsidRPr="00CC56F6">
        <w:rPr>
          <w:sz w:val="24"/>
          <w:szCs w:val="24"/>
        </w:rPr>
        <w:t>Samkvæmt 7. gr. reglugerðar er óæskilegt að skilja akra eftir opna og óvarða yfir vetur. Opinn akur er akur sem jarðvinna hefur átt sér stað en ekki hefur verið sáð í hann. Óvarinn akur er akur sem gróðurhula eða uppskeruleifar síðastliðið uppskerutímabil ná ekki að verja jarðveginn fyrir vind og vatnsrofi. Margvíslegar leiðir má nýta til að verja akur og jarðveg gagnvart roföflum</w:t>
      </w:r>
      <w:r>
        <w:rPr>
          <w:sz w:val="24"/>
          <w:szCs w:val="24"/>
        </w:rPr>
        <w:t>“</w:t>
      </w:r>
      <w:r w:rsidRPr="00CC56F6">
        <w:rPr>
          <w:sz w:val="24"/>
          <w:szCs w:val="24"/>
        </w:rPr>
        <w:t>.</w:t>
      </w:r>
      <w:r>
        <w:rPr>
          <w:sz w:val="24"/>
          <w:szCs w:val="24"/>
        </w:rPr>
        <w:br/>
        <w:t>Ef farið er eftir þessum tilmælum er útilokað að stunda kartöflurækt sem atvinnugrein</w:t>
      </w:r>
      <w:r w:rsidR="00732BF6">
        <w:rPr>
          <w:sz w:val="24"/>
          <w:szCs w:val="24"/>
        </w:rPr>
        <w:t>. Eins er með ræktun á gulrófum og fl.</w:t>
      </w:r>
      <w:r w:rsidR="005E4E8D">
        <w:rPr>
          <w:sz w:val="24"/>
          <w:szCs w:val="24"/>
        </w:rPr>
        <w:t xml:space="preserve"> tegundum þar sem róta þarf í jörð að hausti til að ná uppskeru ársins.</w:t>
      </w:r>
    </w:p>
    <w:p w14:paraId="692CB87A" w14:textId="0BE2C102" w:rsidR="009A5C53" w:rsidRPr="00880FC9" w:rsidRDefault="009B3418" w:rsidP="00950F01">
      <w:pPr>
        <w:pStyle w:val="ListParagraph"/>
        <w:numPr>
          <w:ilvl w:val="0"/>
          <w:numId w:val="2"/>
        </w:numPr>
        <w:rPr>
          <w:rFonts w:ascii="Calibri" w:hAnsi="Calibri" w:cs="Calibri"/>
          <w:sz w:val="24"/>
          <w:szCs w:val="24"/>
        </w:rPr>
      </w:pPr>
      <w:r w:rsidRPr="00880FC9">
        <w:rPr>
          <w:rFonts w:ascii="Calibri" w:hAnsi="Calibri" w:cs="Calibri"/>
          <w:sz w:val="24"/>
          <w:szCs w:val="24"/>
        </w:rPr>
        <w:t xml:space="preserve">Í 4. </w:t>
      </w:r>
      <w:proofErr w:type="spellStart"/>
      <w:r w:rsidR="00C90EF6" w:rsidRPr="00880FC9">
        <w:rPr>
          <w:rFonts w:ascii="Calibri" w:hAnsi="Calibri" w:cs="Calibri"/>
          <w:sz w:val="24"/>
          <w:szCs w:val="24"/>
        </w:rPr>
        <w:t>g</w:t>
      </w:r>
      <w:r w:rsidRPr="00880FC9">
        <w:rPr>
          <w:rFonts w:ascii="Calibri" w:hAnsi="Calibri" w:cs="Calibri"/>
          <w:sz w:val="24"/>
          <w:szCs w:val="24"/>
        </w:rPr>
        <w:t>r</w:t>
      </w:r>
      <w:proofErr w:type="spellEnd"/>
      <w:r w:rsidRPr="00880FC9">
        <w:rPr>
          <w:rFonts w:ascii="Calibri" w:hAnsi="Calibri" w:cs="Calibri"/>
          <w:sz w:val="24"/>
          <w:szCs w:val="24"/>
        </w:rPr>
        <w:t xml:space="preserve"> í viðauka II .  stendur m.a. „Ekki skal dreifa áburði né lífrænum úrgangi eftir síðustu uppskeru“.  Dreifing búfjáráburðar að hausti áður en frost fer í jörð er samkvæmt tilraunaniðurstöðum og leiðbeiningum jarðræktarráðunauta gott til árangurs og samkvæmt sjálfbærri hugsun um nýtingu þess efnis sem er hvað æskilegast til að skila jarðvegi </w:t>
      </w:r>
      <w:r w:rsidR="004E2FF6" w:rsidRPr="00880FC9">
        <w:rPr>
          <w:rFonts w:ascii="Calibri" w:hAnsi="Calibri" w:cs="Calibri"/>
          <w:sz w:val="24"/>
          <w:szCs w:val="24"/>
        </w:rPr>
        <w:t>því</w:t>
      </w:r>
      <w:r w:rsidRPr="00880FC9">
        <w:rPr>
          <w:rFonts w:ascii="Calibri" w:hAnsi="Calibri" w:cs="Calibri"/>
          <w:sz w:val="24"/>
          <w:szCs w:val="24"/>
        </w:rPr>
        <w:t xml:space="preserve"> sem tekið er með uppskeru. Við þær aðstæður er </w:t>
      </w:r>
      <w:r w:rsidR="005E4E8D">
        <w:rPr>
          <w:rFonts w:ascii="Calibri" w:hAnsi="Calibri" w:cs="Calibri"/>
          <w:sz w:val="24"/>
          <w:szCs w:val="24"/>
        </w:rPr>
        <w:t>mjög óveruleg</w:t>
      </w:r>
      <w:r w:rsidRPr="00880FC9">
        <w:rPr>
          <w:rFonts w:ascii="Calibri" w:hAnsi="Calibri" w:cs="Calibri"/>
          <w:sz w:val="24"/>
          <w:szCs w:val="24"/>
        </w:rPr>
        <w:t xml:space="preserve"> hætta á </w:t>
      </w:r>
      <w:r w:rsidR="002E0AB2" w:rsidRPr="00880FC9">
        <w:rPr>
          <w:rFonts w:ascii="Calibri" w:hAnsi="Calibri" w:cs="Calibri"/>
          <w:sz w:val="24"/>
          <w:szCs w:val="24"/>
        </w:rPr>
        <w:t>útskolun í grunnvatn</w:t>
      </w:r>
      <w:r w:rsidR="004E2FF6" w:rsidRPr="00880FC9">
        <w:rPr>
          <w:rFonts w:ascii="Calibri" w:hAnsi="Calibri" w:cs="Calibri"/>
          <w:sz w:val="24"/>
          <w:szCs w:val="24"/>
        </w:rPr>
        <w:t>, enda viðtekin venja í þeim löndum sem við berum okkur saman við.</w:t>
      </w:r>
    </w:p>
    <w:p w14:paraId="6F276325" w14:textId="50632BD5" w:rsidR="002E0AB2" w:rsidRPr="00802A43" w:rsidRDefault="002E0AB2" w:rsidP="00950F01">
      <w:pPr>
        <w:pStyle w:val="ListParagraph"/>
        <w:numPr>
          <w:ilvl w:val="0"/>
          <w:numId w:val="2"/>
        </w:numPr>
        <w:rPr>
          <w:rFonts w:ascii="Calibri" w:hAnsi="Calibri" w:cs="Calibri"/>
          <w:sz w:val="24"/>
          <w:szCs w:val="24"/>
        </w:rPr>
      </w:pPr>
      <w:r w:rsidRPr="00880FC9">
        <w:rPr>
          <w:rFonts w:ascii="Calibri" w:hAnsi="Calibri" w:cs="Calibri"/>
          <w:sz w:val="24"/>
          <w:szCs w:val="24"/>
        </w:rPr>
        <w:t xml:space="preserve">Og neðar í 4. </w:t>
      </w:r>
      <w:proofErr w:type="spellStart"/>
      <w:r w:rsidR="00A200C6" w:rsidRPr="00880FC9">
        <w:rPr>
          <w:rFonts w:ascii="Calibri" w:hAnsi="Calibri" w:cs="Calibri"/>
          <w:sz w:val="24"/>
          <w:szCs w:val="24"/>
        </w:rPr>
        <w:t>g</w:t>
      </w:r>
      <w:r w:rsidRPr="00880FC9">
        <w:rPr>
          <w:rFonts w:ascii="Calibri" w:hAnsi="Calibri" w:cs="Calibri"/>
          <w:sz w:val="24"/>
          <w:szCs w:val="24"/>
        </w:rPr>
        <w:t>r</w:t>
      </w:r>
      <w:proofErr w:type="spellEnd"/>
      <w:r w:rsidRPr="00880FC9">
        <w:rPr>
          <w:rFonts w:ascii="Calibri" w:hAnsi="Calibri" w:cs="Calibri"/>
          <w:sz w:val="24"/>
          <w:szCs w:val="24"/>
        </w:rPr>
        <w:t xml:space="preserve"> viðauka II</w:t>
      </w:r>
      <w:r w:rsidR="004E2FF6" w:rsidRPr="00880FC9">
        <w:rPr>
          <w:rFonts w:ascii="Calibri" w:hAnsi="Calibri" w:cs="Calibri"/>
          <w:sz w:val="24"/>
          <w:szCs w:val="24"/>
        </w:rPr>
        <w:t>. „</w:t>
      </w:r>
      <w:r w:rsidR="004E2FF6" w:rsidRPr="00802A43">
        <w:rPr>
          <w:rFonts w:ascii="Calibri" w:hAnsi="Calibri" w:cs="Calibri"/>
          <w:sz w:val="24"/>
          <w:szCs w:val="24"/>
        </w:rPr>
        <w:t xml:space="preserve">Dreifing tilbúins áburðar er óleyfileg á öllu landi sem er innan við 5-10 m fjarlægð frá vatni“. Vissulega þarf að gæta varúðar við áburðardreifingu, en ef á að setja slíkar reglur þarf að sýna fram á að þörf sé fyrir. Nefna má að sennilega eru fá vatnsföll  með vatnasvæði  jafn nátengdu landbúnaði og Eyjafjarðará. </w:t>
      </w:r>
      <w:r w:rsidR="005E4E8D">
        <w:rPr>
          <w:rFonts w:ascii="Calibri" w:hAnsi="Calibri" w:cs="Calibri"/>
          <w:sz w:val="24"/>
          <w:szCs w:val="24"/>
        </w:rPr>
        <w:t>Eru til einhverjar sýnatökur sem leiða líkum að mengun af völdum landbúnaðar í grunnvatn á vatnasvæði árinnar</w:t>
      </w:r>
      <w:r w:rsidR="00E377D3">
        <w:rPr>
          <w:rFonts w:ascii="Calibri" w:hAnsi="Calibri" w:cs="Calibri"/>
          <w:sz w:val="24"/>
          <w:szCs w:val="24"/>
        </w:rPr>
        <w:t xml:space="preserve"> (búið að óska eftir slíkum niðurstöðum frá Fiskistofu og Umhverfisstofnun án árangurs).</w:t>
      </w:r>
      <w:r w:rsidR="00E377D3">
        <w:rPr>
          <w:rFonts w:ascii="Calibri" w:hAnsi="Calibri" w:cs="Calibri"/>
          <w:sz w:val="24"/>
          <w:szCs w:val="24"/>
        </w:rPr>
        <w:br/>
        <w:t>V</w:t>
      </w:r>
      <w:r w:rsidR="004E2FF6" w:rsidRPr="00802A43">
        <w:rPr>
          <w:rFonts w:ascii="Calibri" w:hAnsi="Calibri" w:cs="Calibri"/>
          <w:sz w:val="24"/>
          <w:szCs w:val="24"/>
        </w:rPr>
        <w:t xml:space="preserve">æntanlega </w:t>
      </w:r>
      <w:r w:rsidR="00E377D3">
        <w:rPr>
          <w:rFonts w:ascii="Calibri" w:hAnsi="Calibri" w:cs="Calibri"/>
          <w:sz w:val="24"/>
          <w:szCs w:val="24"/>
        </w:rPr>
        <w:t xml:space="preserve">er </w:t>
      </w:r>
      <w:r w:rsidR="004E2FF6" w:rsidRPr="00802A43">
        <w:rPr>
          <w:rFonts w:ascii="Calibri" w:hAnsi="Calibri" w:cs="Calibri"/>
          <w:sz w:val="24"/>
          <w:szCs w:val="24"/>
        </w:rPr>
        <w:t xml:space="preserve">mesta mengun árinnar vegna </w:t>
      </w:r>
      <w:r w:rsidR="0009606B" w:rsidRPr="00802A43">
        <w:rPr>
          <w:rFonts w:ascii="Calibri" w:hAnsi="Calibri" w:cs="Calibri"/>
          <w:sz w:val="24"/>
          <w:szCs w:val="24"/>
        </w:rPr>
        <w:t xml:space="preserve">jarðrofs af völdum </w:t>
      </w:r>
      <w:r w:rsidR="004E2FF6" w:rsidRPr="00802A43">
        <w:rPr>
          <w:rFonts w:ascii="Calibri" w:hAnsi="Calibri" w:cs="Calibri"/>
          <w:sz w:val="24"/>
          <w:szCs w:val="24"/>
        </w:rPr>
        <w:t xml:space="preserve">skriðufalla </w:t>
      </w:r>
      <w:r w:rsidR="00E377D3">
        <w:rPr>
          <w:rFonts w:ascii="Calibri" w:hAnsi="Calibri" w:cs="Calibri"/>
          <w:sz w:val="24"/>
          <w:szCs w:val="24"/>
        </w:rPr>
        <w:t>sem oft skolast lengi úr</w:t>
      </w:r>
      <w:r w:rsidR="005E4E8D">
        <w:rPr>
          <w:rFonts w:ascii="Calibri" w:hAnsi="Calibri" w:cs="Calibri"/>
          <w:sz w:val="24"/>
          <w:szCs w:val="24"/>
        </w:rPr>
        <w:t>.</w:t>
      </w:r>
    </w:p>
    <w:p w14:paraId="7711D1C8" w14:textId="02DDEBA1" w:rsidR="0009606B" w:rsidRPr="00880FC9" w:rsidRDefault="0009606B" w:rsidP="00950F01">
      <w:pPr>
        <w:pStyle w:val="ListParagraph"/>
        <w:numPr>
          <w:ilvl w:val="0"/>
          <w:numId w:val="2"/>
        </w:numPr>
        <w:rPr>
          <w:rFonts w:ascii="Calibri" w:hAnsi="Calibri" w:cs="Calibri"/>
          <w:sz w:val="24"/>
          <w:szCs w:val="24"/>
        </w:rPr>
      </w:pPr>
      <w:r w:rsidRPr="00802A43">
        <w:rPr>
          <w:rFonts w:ascii="Calibri" w:hAnsi="Calibri" w:cs="Calibri"/>
          <w:sz w:val="24"/>
          <w:szCs w:val="24"/>
        </w:rPr>
        <w:lastRenderedPageBreak/>
        <w:t xml:space="preserve">Og áfram með sömu grein þar sem fáviskan skín í gegn. „Dreifing búfjáráburðar er óleyfileg á öllu landi sem er innan við 50 m fjarlægð frá vatni“. Aftur er bent á nauðsyn </w:t>
      </w:r>
      <w:r w:rsidR="00CC0F5D" w:rsidRPr="00802A43">
        <w:rPr>
          <w:rFonts w:ascii="Calibri" w:hAnsi="Calibri" w:cs="Calibri"/>
          <w:sz w:val="24"/>
          <w:szCs w:val="24"/>
        </w:rPr>
        <w:t>þess</w:t>
      </w:r>
      <w:r w:rsidRPr="00802A43">
        <w:rPr>
          <w:rFonts w:ascii="Calibri" w:hAnsi="Calibri" w:cs="Calibri"/>
          <w:sz w:val="24"/>
          <w:szCs w:val="24"/>
        </w:rPr>
        <w:t xml:space="preserve"> að hafa staðreyndir á bakvið setningu reglugerða. Auk þess væri umtalsvert til bóta við smíði jafn umfangsmikillar reglugerðar og þessarar að kynna sér þá tækni sem er að ryðja sér til rúms við dreifingu búfjáráburðar</w:t>
      </w:r>
      <w:r w:rsidR="00CC0F5D" w:rsidRPr="00802A43">
        <w:rPr>
          <w:rFonts w:ascii="Calibri" w:hAnsi="Calibri" w:cs="Calibri"/>
          <w:sz w:val="24"/>
          <w:szCs w:val="24"/>
        </w:rPr>
        <w:t xml:space="preserve"> sem gjörbreytir hættu á mengandi áhrifum</w:t>
      </w:r>
      <w:r w:rsidR="00CC0F5D" w:rsidRPr="00880FC9">
        <w:rPr>
          <w:rFonts w:ascii="Calibri" w:hAnsi="Calibri" w:cs="Calibri"/>
        </w:rPr>
        <w:t>.</w:t>
      </w:r>
    </w:p>
    <w:p w14:paraId="50D6EC39" w14:textId="77777777" w:rsidR="007650FA" w:rsidRPr="00950F01" w:rsidRDefault="007650FA" w:rsidP="007650FA">
      <w:pPr>
        <w:pStyle w:val="ListParagraph"/>
        <w:rPr>
          <w:sz w:val="24"/>
          <w:szCs w:val="24"/>
        </w:rPr>
      </w:pPr>
    </w:p>
    <w:p w14:paraId="3E853913" w14:textId="050D3582" w:rsidR="00C13EC6" w:rsidRDefault="007454B6" w:rsidP="003C70FE">
      <w:pPr>
        <w:rPr>
          <w:sz w:val="24"/>
          <w:szCs w:val="24"/>
        </w:rPr>
      </w:pPr>
      <w:r>
        <w:rPr>
          <w:sz w:val="24"/>
          <w:szCs w:val="24"/>
        </w:rPr>
        <w:t>Í allri þeirri nauðsyn á að stuðla að umhverfis- og náttúruvernd á Jörðinni er þyngra en tárum taki að fá jafn glötuð reglugerðardrög í hendur sem gerir ekkert annað en sundra þeim sem vilja stuðla að bættri umgengni við landið.</w:t>
      </w:r>
      <w:r w:rsidR="00E377D3">
        <w:rPr>
          <w:sz w:val="24"/>
          <w:szCs w:val="24"/>
        </w:rPr>
        <w:br/>
      </w:r>
      <w:r w:rsidR="00E377D3">
        <w:rPr>
          <w:sz w:val="24"/>
          <w:szCs w:val="24"/>
        </w:rPr>
        <w:br/>
        <w:t>Akureyri 3.11.2021</w:t>
      </w:r>
      <w:r w:rsidR="00E377D3">
        <w:rPr>
          <w:sz w:val="24"/>
          <w:szCs w:val="24"/>
        </w:rPr>
        <w:br/>
        <w:t xml:space="preserve">F.h. </w:t>
      </w:r>
      <w:r w:rsidR="00C13EC6">
        <w:rPr>
          <w:sz w:val="24"/>
          <w:szCs w:val="24"/>
        </w:rPr>
        <w:t xml:space="preserve">stjórna </w:t>
      </w:r>
      <w:r w:rsidR="00E377D3">
        <w:rPr>
          <w:sz w:val="24"/>
          <w:szCs w:val="24"/>
        </w:rPr>
        <w:t>Búnaðarsambands Eyjafjarðar og Félags sauðfjárbænda við Eyjafjörð.</w:t>
      </w:r>
      <w:r w:rsidR="00C13EC6">
        <w:rPr>
          <w:sz w:val="24"/>
          <w:szCs w:val="24"/>
        </w:rPr>
        <w:br/>
        <w:t>Sigurgeir B. Hreinsson</w:t>
      </w:r>
    </w:p>
    <w:p w14:paraId="747C6594" w14:textId="77777777" w:rsidR="00950F01" w:rsidRDefault="00950F01" w:rsidP="003C70FE">
      <w:pPr>
        <w:rPr>
          <w:sz w:val="24"/>
          <w:szCs w:val="24"/>
        </w:rPr>
      </w:pPr>
    </w:p>
    <w:p w14:paraId="09A9B95A" w14:textId="33391AEB" w:rsidR="00665CA6" w:rsidRDefault="00AB7ED0" w:rsidP="007650FA">
      <w:pPr>
        <w:rPr>
          <w:sz w:val="24"/>
          <w:szCs w:val="24"/>
        </w:rPr>
      </w:pPr>
      <w:r>
        <w:rPr>
          <w:sz w:val="24"/>
          <w:szCs w:val="24"/>
        </w:rPr>
        <w:br/>
      </w:r>
    </w:p>
    <w:p w14:paraId="7AC0CA59" w14:textId="5223E7D1" w:rsidR="003C70FE" w:rsidRPr="003C70FE" w:rsidRDefault="003C70FE" w:rsidP="003C70FE">
      <w:pPr>
        <w:rPr>
          <w:b/>
          <w:bCs/>
          <w:sz w:val="28"/>
          <w:szCs w:val="28"/>
        </w:rPr>
      </w:pPr>
    </w:p>
    <w:sectPr w:rsidR="003C70FE" w:rsidRPr="003C70FE" w:rsidSect="00E065A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3BA9" w14:textId="77777777" w:rsidR="00C60EA8" w:rsidRDefault="00C60EA8" w:rsidP="00C13EC6">
      <w:pPr>
        <w:spacing w:after="0" w:line="240" w:lineRule="auto"/>
      </w:pPr>
      <w:r>
        <w:separator/>
      </w:r>
    </w:p>
  </w:endnote>
  <w:endnote w:type="continuationSeparator" w:id="0">
    <w:p w14:paraId="21910953" w14:textId="77777777" w:rsidR="00C60EA8" w:rsidRDefault="00C60EA8" w:rsidP="00C1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7FB2" w14:textId="77777777" w:rsidR="00C60EA8" w:rsidRDefault="00C60EA8" w:rsidP="00C13EC6">
      <w:pPr>
        <w:spacing w:after="0" w:line="240" w:lineRule="auto"/>
      </w:pPr>
      <w:r>
        <w:separator/>
      </w:r>
    </w:p>
  </w:footnote>
  <w:footnote w:type="continuationSeparator" w:id="0">
    <w:p w14:paraId="00915BE4" w14:textId="77777777" w:rsidR="00C60EA8" w:rsidRDefault="00C60EA8" w:rsidP="00C13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437B" w14:textId="77777777" w:rsidR="00C13EC6" w:rsidRPr="007A4E1A" w:rsidRDefault="00C13EC6" w:rsidP="00C13EC6">
    <w:pPr>
      <w:spacing w:after="0" w:line="240" w:lineRule="auto"/>
      <w:contextualSpacing/>
      <w:rPr>
        <w:rFonts w:asciiTheme="majorHAnsi" w:eastAsiaTheme="majorEastAsia" w:hAnsiTheme="majorHAnsi" w:cstheme="majorBidi"/>
        <w:color w:val="00B050"/>
        <w:kern w:val="28"/>
      </w:rPr>
    </w:pPr>
    <w:r>
      <w:rPr>
        <w:noProof/>
      </w:rPr>
      <w:drawing>
        <wp:anchor distT="0" distB="0" distL="114300" distR="114300" simplePos="0" relativeHeight="251659264" behindDoc="0" locked="0" layoutInCell="1" allowOverlap="1" wp14:anchorId="52AC7E67" wp14:editId="3E7A2284">
          <wp:simplePos x="0" y="0"/>
          <wp:positionH relativeFrom="column">
            <wp:posOffset>4777105</wp:posOffset>
          </wp:positionH>
          <wp:positionV relativeFrom="paragraph">
            <wp:posOffset>-201930</wp:posOffset>
          </wp:positionV>
          <wp:extent cx="927100" cy="927100"/>
          <wp:effectExtent l="0" t="0" r="6350" b="6350"/>
          <wp:wrapNone/>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anchor>
      </w:drawing>
    </w:r>
    <w:r w:rsidRPr="007A4E1A">
      <w:rPr>
        <w:rFonts w:asciiTheme="majorHAnsi" w:eastAsiaTheme="majorEastAsia" w:hAnsiTheme="majorHAnsi" w:cstheme="majorBidi"/>
        <w:color w:val="00B050"/>
        <w:kern w:val="28"/>
        <w:sz w:val="32"/>
        <w:szCs w:val="32"/>
      </w:rPr>
      <w:t>Búnaðarsamband Eyjafjarðar.</w:t>
    </w:r>
    <w:r w:rsidRPr="007A4E1A">
      <w:rPr>
        <w:rFonts w:asciiTheme="majorHAnsi" w:eastAsiaTheme="majorEastAsia" w:hAnsiTheme="majorHAnsi" w:cstheme="majorBidi"/>
        <w:color w:val="00B050"/>
        <w:kern w:val="28"/>
        <w:sz w:val="32"/>
        <w:szCs w:val="32"/>
      </w:rPr>
      <w:br/>
    </w:r>
    <w:r w:rsidRPr="007A4E1A">
      <w:rPr>
        <w:rFonts w:asciiTheme="majorHAnsi" w:eastAsiaTheme="majorEastAsia" w:hAnsiTheme="majorHAnsi" w:cstheme="majorBidi"/>
        <w:color w:val="00B050"/>
        <w:kern w:val="28"/>
      </w:rPr>
      <w:t xml:space="preserve">Óseyri 2, 603 Akureyri, sími 4604477, netfang: </w:t>
    </w:r>
    <w:proofErr w:type="spellStart"/>
    <w:r w:rsidRPr="007A4E1A">
      <w:rPr>
        <w:rFonts w:asciiTheme="majorHAnsi" w:eastAsiaTheme="majorEastAsia" w:hAnsiTheme="majorHAnsi" w:cstheme="majorBidi"/>
        <w:color w:val="00B050"/>
        <w:kern w:val="28"/>
      </w:rPr>
      <w:t>bugardur</w:t>
    </w:r>
    <w:proofErr w:type="spellEnd"/>
    <w:r w:rsidRPr="007A4E1A">
      <w:rPr>
        <w:rFonts w:asciiTheme="majorHAnsi" w:eastAsiaTheme="majorEastAsia" w:hAnsiTheme="majorHAnsi" w:cstheme="majorBidi"/>
        <w:color w:val="00B050"/>
        <w:kern w:val="28"/>
      </w:rPr>
      <w:t>@</w:t>
    </w:r>
    <w:proofErr w:type="spellStart"/>
    <w:r w:rsidRPr="007A4E1A">
      <w:rPr>
        <w:rFonts w:asciiTheme="majorHAnsi" w:eastAsiaTheme="majorEastAsia" w:hAnsiTheme="majorHAnsi" w:cstheme="majorBidi"/>
        <w:color w:val="00B050"/>
        <w:kern w:val="28"/>
      </w:rPr>
      <w:t>bugardur</w:t>
    </w:r>
    <w:proofErr w:type="spellEnd"/>
    <w:r w:rsidRPr="007A4E1A">
      <w:rPr>
        <w:rFonts w:asciiTheme="majorHAnsi" w:eastAsiaTheme="majorEastAsia" w:hAnsiTheme="majorHAnsi" w:cstheme="majorBidi"/>
        <w:color w:val="00B050"/>
        <w:kern w:val="28"/>
      </w:rPr>
      <w:t>.is</w:t>
    </w:r>
    <w:r w:rsidRPr="007A4E1A">
      <w:rPr>
        <w:rFonts w:asciiTheme="majorHAnsi" w:eastAsiaTheme="majorEastAsia" w:hAnsiTheme="majorHAnsi" w:cstheme="majorBidi"/>
        <w:color w:val="00B050"/>
        <w:kern w:val="28"/>
      </w:rPr>
      <w:br/>
      <w:t>Nautgripasæðingar, kortateikningar, bókhald, klaufskurður.</w:t>
    </w:r>
  </w:p>
  <w:p w14:paraId="3DCDDF64" w14:textId="77777777" w:rsidR="00C13EC6" w:rsidRDefault="00C13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1pt;height:42pt;visibility:visible;mso-wrap-style:square" o:bullet="t">
        <v:imagedata r:id="rId1" o:title=""/>
      </v:shape>
    </w:pict>
  </w:numPicBullet>
  <w:abstractNum w:abstractNumId="0" w15:restartNumberingAfterBreak="0">
    <w:nsid w:val="310B336B"/>
    <w:multiLevelType w:val="hybridMultilevel"/>
    <w:tmpl w:val="80AA8096"/>
    <w:lvl w:ilvl="0" w:tplc="8FD46206">
      <w:start w:val="1"/>
      <w:numFmt w:val="bullet"/>
      <w:lvlText w:val=""/>
      <w:lvlPicBulletId w:val="0"/>
      <w:lvlJc w:val="left"/>
      <w:pPr>
        <w:tabs>
          <w:tab w:val="num" w:pos="720"/>
        </w:tabs>
        <w:ind w:left="720" w:hanging="360"/>
      </w:pPr>
      <w:rPr>
        <w:rFonts w:ascii="Symbol" w:hAnsi="Symbol" w:hint="default"/>
      </w:rPr>
    </w:lvl>
    <w:lvl w:ilvl="1" w:tplc="DC72A1FA" w:tentative="1">
      <w:start w:val="1"/>
      <w:numFmt w:val="bullet"/>
      <w:lvlText w:val=""/>
      <w:lvlJc w:val="left"/>
      <w:pPr>
        <w:tabs>
          <w:tab w:val="num" w:pos="1440"/>
        </w:tabs>
        <w:ind w:left="1440" w:hanging="360"/>
      </w:pPr>
      <w:rPr>
        <w:rFonts w:ascii="Symbol" w:hAnsi="Symbol" w:hint="default"/>
      </w:rPr>
    </w:lvl>
    <w:lvl w:ilvl="2" w:tplc="6B9255E4" w:tentative="1">
      <w:start w:val="1"/>
      <w:numFmt w:val="bullet"/>
      <w:lvlText w:val=""/>
      <w:lvlJc w:val="left"/>
      <w:pPr>
        <w:tabs>
          <w:tab w:val="num" w:pos="2160"/>
        </w:tabs>
        <w:ind w:left="2160" w:hanging="360"/>
      </w:pPr>
      <w:rPr>
        <w:rFonts w:ascii="Symbol" w:hAnsi="Symbol" w:hint="default"/>
      </w:rPr>
    </w:lvl>
    <w:lvl w:ilvl="3" w:tplc="7558364A" w:tentative="1">
      <w:start w:val="1"/>
      <w:numFmt w:val="bullet"/>
      <w:lvlText w:val=""/>
      <w:lvlJc w:val="left"/>
      <w:pPr>
        <w:tabs>
          <w:tab w:val="num" w:pos="2880"/>
        </w:tabs>
        <w:ind w:left="2880" w:hanging="360"/>
      </w:pPr>
      <w:rPr>
        <w:rFonts w:ascii="Symbol" w:hAnsi="Symbol" w:hint="default"/>
      </w:rPr>
    </w:lvl>
    <w:lvl w:ilvl="4" w:tplc="159C4614" w:tentative="1">
      <w:start w:val="1"/>
      <w:numFmt w:val="bullet"/>
      <w:lvlText w:val=""/>
      <w:lvlJc w:val="left"/>
      <w:pPr>
        <w:tabs>
          <w:tab w:val="num" w:pos="3600"/>
        </w:tabs>
        <w:ind w:left="3600" w:hanging="360"/>
      </w:pPr>
      <w:rPr>
        <w:rFonts w:ascii="Symbol" w:hAnsi="Symbol" w:hint="default"/>
      </w:rPr>
    </w:lvl>
    <w:lvl w:ilvl="5" w:tplc="CA885DF4" w:tentative="1">
      <w:start w:val="1"/>
      <w:numFmt w:val="bullet"/>
      <w:lvlText w:val=""/>
      <w:lvlJc w:val="left"/>
      <w:pPr>
        <w:tabs>
          <w:tab w:val="num" w:pos="4320"/>
        </w:tabs>
        <w:ind w:left="4320" w:hanging="360"/>
      </w:pPr>
      <w:rPr>
        <w:rFonts w:ascii="Symbol" w:hAnsi="Symbol" w:hint="default"/>
      </w:rPr>
    </w:lvl>
    <w:lvl w:ilvl="6" w:tplc="D7C089A0" w:tentative="1">
      <w:start w:val="1"/>
      <w:numFmt w:val="bullet"/>
      <w:lvlText w:val=""/>
      <w:lvlJc w:val="left"/>
      <w:pPr>
        <w:tabs>
          <w:tab w:val="num" w:pos="5040"/>
        </w:tabs>
        <w:ind w:left="5040" w:hanging="360"/>
      </w:pPr>
      <w:rPr>
        <w:rFonts w:ascii="Symbol" w:hAnsi="Symbol" w:hint="default"/>
      </w:rPr>
    </w:lvl>
    <w:lvl w:ilvl="7" w:tplc="57945940" w:tentative="1">
      <w:start w:val="1"/>
      <w:numFmt w:val="bullet"/>
      <w:lvlText w:val=""/>
      <w:lvlJc w:val="left"/>
      <w:pPr>
        <w:tabs>
          <w:tab w:val="num" w:pos="5760"/>
        </w:tabs>
        <w:ind w:left="5760" w:hanging="360"/>
      </w:pPr>
      <w:rPr>
        <w:rFonts w:ascii="Symbol" w:hAnsi="Symbol" w:hint="default"/>
      </w:rPr>
    </w:lvl>
    <w:lvl w:ilvl="8" w:tplc="4A981C2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C506916"/>
    <w:multiLevelType w:val="hybridMultilevel"/>
    <w:tmpl w:val="A2783DBE"/>
    <w:lvl w:ilvl="0" w:tplc="F942F03A">
      <w:start w:val="1"/>
      <w:numFmt w:val="lowerLetter"/>
      <w:lvlText w:val="%1)"/>
      <w:lvlJc w:val="left"/>
      <w:pPr>
        <w:tabs>
          <w:tab w:val="num" w:pos="720"/>
        </w:tabs>
        <w:ind w:left="720" w:hanging="360"/>
      </w:pPr>
    </w:lvl>
    <w:lvl w:ilvl="1" w:tplc="9BFC820E">
      <w:start w:val="1"/>
      <w:numFmt w:val="lowerLetter"/>
      <w:lvlText w:val="%2)"/>
      <w:lvlJc w:val="left"/>
      <w:pPr>
        <w:tabs>
          <w:tab w:val="num" w:pos="1440"/>
        </w:tabs>
        <w:ind w:left="1440" w:hanging="360"/>
      </w:pPr>
    </w:lvl>
    <w:lvl w:ilvl="2" w:tplc="F4B08CF6" w:tentative="1">
      <w:start w:val="1"/>
      <w:numFmt w:val="lowerLetter"/>
      <w:lvlText w:val="%3)"/>
      <w:lvlJc w:val="left"/>
      <w:pPr>
        <w:tabs>
          <w:tab w:val="num" w:pos="2160"/>
        </w:tabs>
        <w:ind w:left="2160" w:hanging="360"/>
      </w:pPr>
    </w:lvl>
    <w:lvl w:ilvl="3" w:tplc="49C0D69A" w:tentative="1">
      <w:start w:val="1"/>
      <w:numFmt w:val="lowerLetter"/>
      <w:lvlText w:val="%4)"/>
      <w:lvlJc w:val="left"/>
      <w:pPr>
        <w:tabs>
          <w:tab w:val="num" w:pos="2880"/>
        </w:tabs>
        <w:ind w:left="2880" w:hanging="360"/>
      </w:pPr>
    </w:lvl>
    <w:lvl w:ilvl="4" w:tplc="94948BBE" w:tentative="1">
      <w:start w:val="1"/>
      <w:numFmt w:val="lowerLetter"/>
      <w:lvlText w:val="%5)"/>
      <w:lvlJc w:val="left"/>
      <w:pPr>
        <w:tabs>
          <w:tab w:val="num" w:pos="3600"/>
        </w:tabs>
        <w:ind w:left="3600" w:hanging="360"/>
      </w:pPr>
    </w:lvl>
    <w:lvl w:ilvl="5" w:tplc="60F40DF2" w:tentative="1">
      <w:start w:val="1"/>
      <w:numFmt w:val="lowerLetter"/>
      <w:lvlText w:val="%6)"/>
      <w:lvlJc w:val="left"/>
      <w:pPr>
        <w:tabs>
          <w:tab w:val="num" w:pos="4320"/>
        </w:tabs>
        <w:ind w:left="4320" w:hanging="360"/>
      </w:pPr>
    </w:lvl>
    <w:lvl w:ilvl="6" w:tplc="6054F522" w:tentative="1">
      <w:start w:val="1"/>
      <w:numFmt w:val="lowerLetter"/>
      <w:lvlText w:val="%7)"/>
      <w:lvlJc w:val="left"/>
      <w:pPr>
        <w:tabs>
          <w:tab w:val="num" w:pos="5040"/>
        </w:tabs>
        <w:ind w:left="5040" w:hanging="360"/>
      </w:pPr>
    </w:lvl>
    <w:lvl w:ilvl="7" w:tplc="C8F0570C" w:tentative="1">
      <w:start w:val="1"/>
      <w:numFmt w:val="lowerLetter"/>
      <w:lvlText w:val="%8)"/>
      <w:lvlJc w:val="left"/>
      <w:pPr>
        <w:tabs>
          <w:tab w:val="num" w:pos="5760"/>
        </w:tabs>
        <w:ind w:left="5760" w:hanging="360"/>
      </w:pPr>
    </w:lvl>
    <w:lvl w:ilvl="8" w:tplc="CAE438A8" w:tentative="1">
      <w:start w:val="1"/>
      <w:numFmt w:val="lowerLetter"/>
      <w:lvlText w:val="%9)"/>
      <w:lvlJc w:val="left"/>
      <w:pPr>
        <w:tabs>
          <w:tab w:val="num" w:pos="6480"/>
        </w:tabs>
        <w:ind w:left="6480" w:hanging="360"/>
      </w:pPr>
    </w:lvl>
  </w:abstractNum>
  <w:abstractNum w:abstractNumId="2" w15:restartNumberingAfterBreak="0">
    <w:nsid w:val="757855C8"/>
    <w:multiLevelType w:val="hybridMultilevel"/>
    <w:tmpl w:val="646C1E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0FE"/>
    <w:rsid w:val="00050C6E"/>
    <w:rsid w:val="0009606B"/>
    <w:rsid w:val="000E0271"/>
    <w:rsid w:val="000E27E4"/>
    <w:rsid w:val="000E6D15"/>
    <w:rsid w:val="000F77AE"/>
    <w:rsid w:val="001021E1"/>
    <w:rsid w:val="00132D48"/>
    <w:rsid w:val="00153C66"/>
    <w:rsid w:val="0016527F"/>
    <w:rsid w:val="00194F57"/>
    <w:rsid w:val="001D5626"/>
    <w:rsid w:val="001F2403"/>
    <w:rsid w:val="00226C1C"/>
    <w:rsid w:val="00254D2E"/>
    <w:rsid w:val="002E0AB2"/>
    <w:rsid w:val="00316892"/>
    <w:rsid w:val="00333CED"/>
    <w:rsid w:val="0034665D"/>
    <w:rsid w:val="0037112E"/>
    <w:rsid w:val="003C70FE"/>
    <w:rsid w:val="00407825"/>
    <w:rsid w:val="00453978"/>
    <w:rsid w:val="00494419"/>
    <w:rsid w:val="004B5021"/>
    <w:rsid w:val="004E2FF6"/>
    <w:rsid w:val="005146AA"/>
    <w:rsid w:val="00560C61"/>
    <w:rsid w:val="005E4E8D"/>
    <w:rsid w:val="006210C5"/>
    <w:rsid w:val="0065654E"/>
    <w:rsid w:val="00665CA6"/>
    <w:rsid w:val="00675D47"/>
    <w:rsid w:val="006E611C"/>
    <w:rsid w:val="006F0C63"/>
    <w:rsid w:val="00732BF6"/>
    <w:rsid w:val="007454B6"/>
    <w:rsid w:val="007650FA"/>
    <w:rsid w:val="00802A43"/>
    <w:rsid w:val="00805BCC"/>
    <w:rsid w:val="008432A2"/>
    <w:rsid w:val="008526FB"/>
    <w:rsid w:val="00857AA6"/>
    <w:rsid w:val="00880FC9"/>
    <w:rsid w:val="008922DE"/>
    <w:rsid w:val="008D6537"/>
    <w:rsid w:val="00950F01"/>
    <w:rsid w:val="009735BD"/>
    <w:rsid w:val="009877B7"/>
    <w:rsid w:val="009A5B7C"/>
    <w:rsid w:val="009A5C53"/>
    <w:rsid w:val="009B3418"/>
    <w:rsid w:val="009E6EEF"/>
    <w:rsid w:val="00A15FA9"/>
    <w:rsid w:val="00A200C6"/>
    <w:rsid w:val="00A66B4B"/>
    <w:rsid w:val="00A86E23"/>
    <w:rsid w:val="00AB7ED0"/>
    <w:rsid w:val="00AC034A"/>
    <w:rsid w:val="00AC29EC"/>
    <w:rsid w:val="00AC7621"/>
    <w:rsid w:val="00AE081D"/>
    <w:rsid w:val="00B2053B"/>
    <w:rsid w:val="00B754E8"/>
    <w:rsid w:val="00BA1E5E"/>
    <w:rsid w:val="00BE1CED"/>
    <w:rsid w:val="00C13EC6"/>
    <w:rsid w:val="00C60EA8"/>
    <w:rsid w:val="00C90EF6"/>
    <w:rsid w:val="00CB400E"/>
    <w:rsid w:val="00CC0F5D"/>
    <w:rsid w:val="00CC56F6"/>
    <w:rsid w:val="00CE461C"/>
    <w:rsid w:val="00CE7C5D"/>
    <w:rsid w:val="00D52AD9"/>
    <w:rsid w:val="00D75F23"/>
    <w:rsid w:val="00D96D3D"/>
    <w:rsid w:val="00DC2588"/>
    <w:rsid w:val="00E065AA"/>
    <w:rsid w:val="00E377D3"/>
    <w:rsid w:val="00E50C23"/>
    <w:rsid w:val="00EA37CB"/>
    <w:rsid w:val="00F06CFA"/>
    <w:rsid w:val="00FE685F"/>
  </w:rsids>
  <m:mathPr>
    <m:mathFont m:val="Cambria Math"/>
    <m:brkBin m:val="before"/>
    <m:brkBinSub m:val="--"/>
    <m:smallFrac m:val="0"/>
    <m:dispDef/>
    <m:lMargin m:val="0"/>
    <m:rMargin m:val="0"/>
    <m:defJc m:val="centerGroup"/>
    <m:wrapIndent m:val="1440"/>
    <m:intLim m:val="subSup"/>
    <m:naryLim m:val="undOvr"/>
  </m:mathPr>
  <w:themeFontLang w:val="en-US" w:eastAsia="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7E52"/>
  <w15:chartTrackingRefBased/>
  <w15:docId w15:val="{E1974CB2-C6B9-43AF-8808-FE2C54E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5CA6"/>
    <w:rPr>
      <w:i/>
      <w:iCs/>
    </w:rPr>
  </w:style>
  <w:style w:type="paragraph" w:styleId="ListParagraph">
    <w:name w:val="List Paragraph"/>
    <w:basedOn w:val="Normal"/>
    <w:uiPriority w:val="34"/>
    <w:qFormat/>
    <w:rsid w:val="00665CA6"/>
    <w:pPr>
      <w:ind w:left="720"/>
      <w:contextualSpacing/>
    </w:pPr>
  </w:style>
  <w:style w:type="paragraph" w:styleId="Header">
    <w:name w:val="header"/>
    <w:basedOn w:val="Normal"/>
    <w:link w:val="HeaderChar"/>
    <w:uiPriority w:val="99"/>
    <w:unhideWhenUsed/>
    <w:rsid w:val="00C13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EC6"/>
  </w:style>
  <w:style w:type="paragraph" w:styleId="Footer">
    <w:name w:val="footer"/>
    <w:basedOn w:val="Normal"/>
    <w:link w:val="FooterChar"/>
    <w:uiPriority w:val="99"/>
    <w:unhideWhenUsed/>
    <w:rsid w:val="00C13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652842">
      <w:bodyDiv w:val="1"/>
      <w:marLeft w:val="0"/>
      <w:marRight w:val="0"/>
      <w:marTop w:val="0"/>
      <w:marBottom w:val="0"/>
      <w:divBdr>
        <w:top w:val="none" w:sz="0" w:space="0" w:color="auto"/>
        <w:left w:val="none" w:sz="0" w:space="0" w:color="auto"/>
        <w:bottom w:val="none" w:sz="0" w:space="0" w:color="auto"/>
        <w:right w:val="none" w:sz="0" w:space="0" w:color="auto"/>
      </w:divBdr>
      <w:divsChild>
        <w:div w:id="1837110804">
          <w:marLeft w:val="1440"/>
          <w:marRight w:val="0"/>
          <w:marTop w:val="40"/>
          <w:marBottom w:val="80"/>
          <w:divBdr>
            <w:top w:val="none" w:sz="0" w:space="0" w:color="auto"/>
            <w:left w:val="none" w:sz="0" w:space="0" w:color="auto"/>
            <w:bottom w:val="none" w:sz="0" w:space="0" w:color="auto"/>
            <w:right w:val="none" w:sz="0" w:space="0" w:color="auto"/>
          </w:divBdr>
        </w:div>
        <w:div w:id="1591086244">
          <w:marLeft w:val="1440"/>
          <w:marRight w:val="0"/>
          <w:marTop w:val="40"/>
          <w:marBottom w:val="80"/>
          <w:divBdr>
            <w:top w:val="none" w:sz="0" w:space="0" w:color="auto"/>
            <w:left w:val="none" w:sz="0" w:space="0" w:color="auto"/>
            <w:bottom w:val="none" w:sz="0" w:space="0" w:color="auto"/>
            <w:right w:val="none" w:sz="0" w:space="0" w:color="auto"/>
          </w:divBdr>
        </w:div>
        <w:div w:id="195540322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33B6-D770-4E5A-B17F-65732ED4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6679</TotalTime>
  <Pages>4</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Sigurgeir B. Hreinsson</dc:creator>
  <cp:keywords/>
  <dc:description/>
  <cp:lastModifiedBy>Sigurgeir B. Hreinsson</cp:lastModifiedBy>
  <cp:revision>28</cp:revision>
  <cp:lastPrinted>2021-10-22T08:51:00Z</cp:lastPrinted>
  <dcterms:created xsi:type="dcterms:W3CDTF">2021-10-12T15:55:00Z</dcterms:created>
  <dcterms:modified xsi:type="dcterms:W3CDTF">2021-11-08T09:04:00Z</dcterms:modified>
</cp:coreProperties>
</file>