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F368" w14:textId="52843258" w:rsidR="000E13B4" w:rsidRPr="00D051E2" w:rsidRDefault="00935A60" w:rsidP="000E13B4">
      <w:pPr>
        <w:spacing w:line="260" w:lineRule="exact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>Samgöngu- og sveitarstjórnarráðuneytið</w:t>
      </w:r>
    </w:p>
    <w:p w14:paraId="348C2BDE" w14:textId="4B06A26E" w:rsidR="00935A60" w:rsidRPr="00D051E2" w:rsidRDefault="00AE79F4" w:rsidP="000E13B4">
      <w:pPr>
        <w:spacing w:line="260" w:lineRule="exact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>Sölvhólsgötu 7</w:t>
      </w:r>
    </w:p>
    <w:p w14:paraId="58922622" w14:textId="0D3E24D4" w:rsidR="00AE79F4" w:rsidRPr="00D051E2" w:rsidRDefault="00AE79F4" w:rsidP="000E13B4">
      <w:pPr>
        <w:spacing w:line="260" w:lineRule="exact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>101 Reykjavík</w:t>
      </w:r>
    </w:p>
    <w:p w14:paraId="24179137" w14:textId="372AA74C" w:rsidR="0048010D" w:rsidRPr="00D051E2" w:rsidRDefault="0048010D" w:rsidP="000E13B4">
      <w:pPr>
        <w:spacing w:line="260" w:lineRule="exact"/>
        <w:rPr>
          <w:rFonts w:ascii="Times New Roman" w:hAnsi="Times New Roman"/>
          <w:sz w:val="22"/>
          <w:lang w:val="is-IS"/>
        </w:rPr>
      </w:pPr>
    </w:p>
    <w:p w14:paraId="7A60F0E9" w14:textId="448DDD76" w:rsidR="0048010D" w:rsidRPr="00D051E2" w:rsidRDefault="0048010D" w:rsidP="000E13B4">
      <w:pPr>
        <w:spacing w:line="260" w:lineRule="exact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>Sent á samráðsgátt</w:t>
      </w:r>
    </w:p>
    <w:p w14:paraId="3380D702" w14:textId="70C52850" w:rsidR="00AE79F4" w:rsidRPr="00D051E2" w:rsidRDefault="00AE79F4" w:rsidP="000E13B4">
      <w:pPr>
        <w:spacing w:line="260" w:lineRule="exact"/>
        <w:rPr>
          <w:rFonts w:ascii="Times New Roman" w:hAnsi="Times New Roman"/>
          <w:sz w:val="22"/>
          <w:lang w:val="is-IS"/>
        </w:rPr>
      </w:pPr>
    </w:p>
    <w:p w14:paraId="56A874EE" w14:textId="205E08B1" w:rsidR="00AE79F4" w:rsidRPr="00D051E2" w:rsidRDefault="0048010D" w:rsidP="0048010D">
      <w:pPr>
        <w:spacing w:line="260" w:lineRule="exact"/>
        <w:jc w:val="right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 xml:space="preserve">Reykjavík, </w:t>
      </w:r>
      <w:r w:rsidR="00270DFD" w:rsidRPr="00D051E2">
        <w:rPr>
          <w:rFonts w:ascii="Times New Roman" w:hAnsi="Times New Roman"/>
          <w:sz w:val="22"/>
          <w:lang w:val="is-IS"/>
        </w:rPr>
        <w:t>1</w:t>
      </w:r>
      <w:r w:rsidR="00AF4861">
        <w:rPr>
          <w:rFonts w:ascii="Times New Roman" w:hAnsi="Times New Roman"/>
          <w:sz w:val="22"/>
          <w:lang w:val="is-IS"/>
        </w:rPr>
        <w:t>1</w:t>
      </w:r>
      <w:r w:rsidRPr="00D051E2">
        <w:rPr>
          <w:rFonts w:ascii="Times New Roman" w:hAnsi="Times New Roman"/>
          <w:sz w:val="22"/>
          <w:lang w:val="is-IS"/>
        </w:rPr>
        <w:t>. júní 2019</w:t>
      </w:r>
    </w:p>
    <w:p w14:paraId="370DA4A0" w14:textId="21714C8B" w:rsidR="0048010D" w:rsidRPr="00D051E2" w:rsidRDefault="0048010D" w:rsidP="0048010D">
      <w:pPr>
        <w:spacing w:line="260" w:lineRule="exact"/>
        <w:jc w:val="right"/>
        <w:rPr>
          <w:rFonts w:ascii="Times New Roman" w:hAnsi="Times New Roman"/>
          <w:sz w:val="22"/>
          <w:lang w:val="is-IS"/>
        </w:rPr>
      </w:pPr>
    </w:p>
    <w:p w14:paraId="12922FBD" w14:textId="49CE74A9" w:rsidR="0048010D" w:rsidRPr="00D051E2" w:rsidRDefault="00564BB3" w:rsidP="00FA562B">
      <w:pPr>
        <w:spacing w:line="260" w:lineRule="exact"/>
        <w:jc w:val="both"/>
        <w:rPr>
          <w:rFonts w:ascii="Times New Roman" w:hAnsi="Times New Roman"/>
          <w:b/>
          <w:sz w:val="22"/>
          <w:lang w:val="is-IS"/>
        </w:rPr>
      </w:pPr>
      <w:r w:rsidRPr="00D051E2">
        <w:rPr>
          <w:rFonts w:ascii="Times New Roman" w:hAnsi="Times New Roman"/>
          <w:b/>
          <w:sz w:val="22"/>
          <w:lang w:val="is-IS"/>
        </w:rPr>
        <w:t xml:space="preserve">Efni: Umsögn um </w:t>
      </w:r>
      <w:proofErr w:type="spellStart"/>
      <w:r w:rsidR="000916D8">
        <w:rPr>
          <w:rFonts w:ascii="Times New Roman" w:hAnsi="Times New Roman"/>
          <w:b/>
          <w:sz w:val="22"/>
          <w:lang w:val="is-IS"/>
        </w:rPr>
        <w:t>g</w:t>
      </w:r>
      <w:r w:rsidR="0048441D" w:rsidRPr="00D051E2">
        <w:rPr>
          <w:rFonts w:ascii="Times New Roman" w:hAnsi="Times New Roman"/>
          <w:b/>
          <w:sz w:val="22"/>
          <w:lang w:val="is-IS"/>
        </w:rPr>
        <w:t>rænbók</w:t>
      </w:r>
      <w:proofErr w:type="spellEnd"/>
      <w:r w:rsidR="000916D8">
        <w:rPr>
          <w:rFonts w:ascii="Times New Roman" w:hAnsi="Times New Roman"/>
          <w:b/>
          <w:sz w:val="22"/>
          <w:lang w:val="is-IS"/>
        </w:rPr>
        <w:t>,</w:t>
      </w:r>
      <w:r w:rsidR="0048441D" w:rsidRPr="00D051E2">
        <w:rPr>
          <w:rFonts w:ascii="Times New Roman" w:hAnsi="Times New Roman"/>
          <w:b/>
          <w:sz w:val="22"/>
          <w:lang w:val="is-IS"/>
        </w:rPr>
        <w:t xml:space="preserve"> </w:t>
      </w:r>
      <w:r w:rsidR="000916D8">
        <w:rPr>
          <w:rFonts w:ascii="Times New Roman" w:hAnsi="Times New Roman"/>
          <w:b/>
          <w:sz w:val="22"/>
          <w:lang w:val="is-IS"/>
        </w:rPr>
        <w:t>s</w:t>
      </w:r>
      <w:r w:rsidR="0048441D" w:rsidRPr="00D051E2">
        <w:rPr>
          <w:rFonts w:ascii="Times New Roman" w:hAnsi="Times New Roman"/>
          <w:b/>
          <w:sz w:val="22"/>
          <w:lang w:val="is-IS"/>
        </w:rPr>
        <w:t>tefnu um málefni sveitarfélaga</w:t>
      </w:r>
    </w:p>
    <w:p w14:paraId="2B609A0B" w14:textId="34026493" w:rsidR="0048441D" w:rsidRPr="00D051E2" w:rsidRDefault="0048441D" w:rsidP="00FA562B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5AD9274E" w14:textId="77777777" w:rsidR="0048441D" w:rsidRPr="00D051E2" w:rsidRDefault="0048441D" w:rsidP="00FA562B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792494FA" w14:textId="1B4D3B67" w:rsidR="005325F4" w:rsidRPr="00D051E2" w:rsidRDefault="00807724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 xml:space="preserve">Samtök atvinnulífsins (SA, samtökin) hafa tekið til umsagnar </w:t>
      </w:r>
      <w:proofErr w:type="spellStart"/>
      <w:r w:rsidR="000916D8">
        <w:rPr>
          <w:rFonts w:ascii="Times New Roman" w:hAnsi="Times New Roman"/>
          <w:sz w:val="22"/>
          <w:lang w:val="is-IS"/>
        </w:rPr>
        <w:t>g</w:t>
      </w:r>
      <w:r w:rsidR="009A0AD8" w:rsidRPr="00D051E2">
        <w:rPr>
          <w:rFonts w:ascii="Times New Roman" w:hAnsi="Times New Roman"/>
          <w:sz w:val="22"/>
          <w:lang w:val="is-IS"/>
        </w:rPr>
        <w:t>rænbók</w:t>
      </w:r>
      <w:proofErr w:type="spellEnd"/>
      <w:r w:rsidR="009A0AD8" w:rsidRPr="00D051E2">
        <w:rPr>
          <w:rFonts w:ascii="Times New Roman" w:hAnsi="Times New Roman"/>
          <w:sz w:val="22"/>
          <w:lang w:val="is-IS"/>
        </w:rPr>
        <w:t xml:space="preserve">, stefnu um málefni sveitarfélaga sem kynnt var á samráðsgátt stjórnvalda </w:t>
      </w:r>
      <w:r w:rsidR="00AF3DFA" w:rsidRPr="00D051E2">
        <w:rPr>
          <w:rFonts w:ascii="Times New Roman" w:hAnsi="Times New Roman"/>
          <w:sz w:val="22"/>
          <w:lang w:val="is-IS"/>
        </w:rPr>
        <w:t xml:space="preserve">30. apríl sl. </w:t>
      </w:r>
    </w:p>
    <w:p w14:paraId="44CCD137" w14:textId="3C79577A" w:rsidR="00AF3DFA" w:rsidRDefault="00AF3DFA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161DAC61" w14:textId="63E8C76F" w:rsidR="003A6B82" w:rsidRDefault="00FC74FD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>
        <w:rPr>
          <w:rFonts w:ascii="Times New Roman" w:hAnsi="Times New Roman"/>
          <w:sz w:val="22"/>
          <w:lang w:val="is-IS"/>
        </w:rPr>
        <w:t xml:space="preserve">Athugasemdir SA </w:t>
      </w:r>
      <w:proofErr w:type="spellStart"/>
      <w:r>
        <w:rPr>
          <w:rFonts w:ascii="Times New Roman" w:hAnsi="Times New Roman"/>
          <w:sz w:val="22"/>
          <w:lang w:val="is-IS"/>
        </w:rPr>
        <w:t>lúta</w:t>
      </w:r>
      <w:proofErr w:type="spellEnd"/>
      <w:r>
        <w:rPr>
          <w:rFonts w:ascii="Times New Roman" w:hAnsi="Times New Roman"/>
          <w:sz w:val="22"/>
          <w:lang w:val="is-IS"/>
        </w:rPr>
        <w:t xml:space="preserve"> annars vegar að fyrirkomulagi heilbrigðiseftirlits á Íslandi og hins vegar </w:t>
      </w:r>
      <w:r w:rsidR="00031AA4">
        <w:rPr>
          <w:rFonts w:ascii="Times New Roman" w:hAnsi="Times New Roman"/>
          <w:sz w:val="22"/>
          <w:lang w:val="is-IS"/>
        </w:rPr>
        <w:t xml:space="preserve">eru </w:t>
      </w:r>
      <w:r w:rsidR="00AF4861">
        <w:rPr>
          <w:rFonts w:ascii="Times New Roman" w:hAnsi="Times New Roman"/>
          <w:sz w:val="22"/>
          <w:lang w:val="is-IS"/>
        </w:rPr>
        <w:t xml:space="preserve">fjármálastjórn </w:t>
      </w:r>
      <w:proofErr w:type="spellStart"/>
      <w:r w:rsidR="00AF4861">
        <w:rPr>
          <w:rFonts w:ascii="Times New Roman" w:hAnsi="Times New Roman"/>
          <w:sz w:val="22"/>
          <w:lang w:val="is-IS"/>
        </w:rPr>
        <w:t>A-hluta</w:t>
      </w:r>
      <w:proofErr w:type="spellEnd"/>
      <w:r w:rsidR="00AF4861">
        <w:rPr>
          <w:rFonts w:ascii="Times New Roman" w:hAnsi="Times New Roman"/>
          <w:sz w:val="22"/>
          <w:lang w:val="is-IS"/>
        </w:rPr>
        <w:t xml:space="preserve"> sveitarfélaga á því hagvaxtarskeiði sem nú er senn á enda. </w:t>
      </w:r>
    </w:p>
    <w:p w14:paraId="0DECE2D9" w14:textId="53C769E9" w:rsidR="00031AA4" w:rsidRDefault="00031AA4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18CFAF8F" w14:textId="05595788" w:rsidR="003A6B82" w:rsidRPr="00E0710D" w:rsidRDefault="00031AA4" w:rsidP="006772DA">
      <w:pPr>
        <w:pStyle w:val="ListParagraph"/>
        <w:numPr>
          <w:ilvl w:val="0"/>
          <w:numId w:val="1"/>
        </w:numPr>
        <w:spacing w:line="260" w:lineRule="exact"/>
        <w:jc w:val="both"/>
        <w:rPr>
          <w:rFonts w:ascii="Times New Roman" w:hAnsi="Times New Roman"/>
          <w:b/>
          <w:sz w:val="22"/>
          <w:lang w:val="is-IS"/>
        </w:rPr>
      </w:pPr>
      <w:r w:rsidRPr="00E0710D">
        <w:rPr>
          <w:rFonts w:ascii="Times New Roman" w:hAnsi="Times New Roman"/>
          <w:b/>
          <w:sz w:val="22"/>
          <w:lang w:val="is-IS"/>
        </w:rPr>
        <w:t>Heilbrigðiseftirlit</w:t>
      </w:r>
    </w:p>
    <w:p w14:paraId="02DD4827" w14:textId="68E01293" w:rsidR="00432D17" w:rsidRPr="00D051E2" w:rsidRDefault="00031AA4" w:rsidP="00432D17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>
        <w:rPr>
          <w:rFonts w:ascii="Times New Roman" w:hAnsi="Times New Roman"/>
          <w:sz w:val="22"/>
          <w:lang w:val="is-IS"/>
        </w:rPr>
        <w:t>Í</w:t>
      </w:r>
      <w:r w:rsidR="00F779A7" w:rsidRPr="00D051E2">
        <w:rPr>
          <w:rFonts w:ascii="Times New Roman" w:hAnsi="Times New Roman"/>
          <w:sz w:val="22"/>
          <w:lang w:val="is-IS"/>
        </w:rPr>
        <w:t xml:space="preserve"> 44. gr. </w:t>
      </w:r>
      <w:r w:rsidR="004B385D" w:rsidRPr="00D051E2">
        <w:rPr>
          <w:rFonts w:ascii="Times New Roman" w:hAnsi="Times New Roman"/>
          <w:sz w:val="22"/>
          <w:lang w:val="is-IS"/>
        </w:rPr>
        <w:t>laga um hollustuhætti og mengunarvarnir nr. 7/1998</w:t>
      </w:r>
      <w:r w:rsidR="00CB4194" w:rsidRPr="00D051E2">
        <w:rPr>
          <w:rFonts w:ascii="Times New Roman" w:hAnsi="Times New Roman"/>
          <w:sz w:val="22"/>
          <w:lang w:val="is-IS"/>
        </w:rPr>
        <w:t xml:space="preserve"> (</w:t>
      </w:r>
      <w:proofErr w:type="spellStart"/>
      <w:r w:rsidR="00CB4194" w:rsidRPr="00D051E2">
        <w:rPr>
          <w:rFonts w:ascii="Times New Roman" w:hAnsi="Times New Roman"/>
          <w:sz w:val="22"/>
          <w:lang w:val="is-IS"/>
        </w:rPr>
        <w:t>hml</w:t>
      </w:r>
      <w:proofErr w:type="spellEnd"/>
      <w:r w:rsidR="00CB4194" w:rsidRPr="00D051E2">
        <w:rPr>
          <w:rFonts w:ascii="Times New Roman" w:hAnsi="Times New Roman"/>
          <w:sz w:val="22"/>
          <w:lang w:val="is-IS"/>
        </w:rPr>
        <w:t>.)</w:t>
      </w:r>
      <w:r w:rsidR="00B1330D" w:rsidRPr="00D051E2">
        <w:rPr>
          <w:rFonts w:ascii="Times New Roman" w:hAnsi="Times New Roman"/>
          <w:sz w:val="22"/>
          <w:lang w:val="is-IS"/>
        </w:rPr>
        <w:t xml:space="preserve"> segir að ekkert sveitarfélag skuli vera án heilbrigðiseftirlits. </w:t>
      </w:r>
      <w:r w:rsidR="00432D17" w:rsidRPr="00D051E2">
        <w:rPr>
          <w:rFonts w:ascii="Times New Roman" w:hAnsi="Times New Roman"/>
          <w:sz w:val="22"/>
          <w:lang w:val="is-IS"/>
        </w:rPr>
        <w:t xml:space="preserve">Samkvæmt 59. gr. reglugerðar nr. 941/2002 um hollustuhætti með síðari breytingum ber heilbrigðisnefnd ábyrgð á heilbrigðiseftirliti og framkvæmd þess. </w:t>
      </w:r>
    </w:p>
    <w:p w14:paraId="770FA360" w14:textId="2DFB907D" w:rsidR="00731BC9" w:rsidRPr="00D051E2" w:rsidRDefault="00731BC9" w:rsidP="00432D17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26E2D391" w14:textId="378AD8FC" w:rsidR="00731BC9" w:rsidRPr="00D051E2" w:rsidRDefault="00731BC9" w:rsidP="00432D17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 xml:space="preserve">Heilbrigðiseftirlit starfa </w:t>
      </w:r>
      <w:r w:rsidR="00617613" w:rsidRPr="00D051E2">
        <w:rPr>
          <w:rFonts w:ascii="Times New Roman" w:hAnsi="Times New Roman"/>
          <w:sz w:val="22"/>
          <w:lang w:val="is-IS"/>
        </w:rPr>
        <w:t xml:space="preserve">því </w:t>
      </w:r>
      <w:r w:rsidRPr="00D051E2">
        <w:rPr>
          <w:rFonts w:ascii="Times New Roman" w:hAnsi="Times New Roman"/>
          <w:sz w:val="22"/>
          <w:lang w:val="is-IS"/>
        </w:rPr>
        <w:t>í umboði heilbrigðisnefnda</w:t>
      </w:r>
      <w:r w:rsidR="000916D8">
        <w:rPr>
          <w:rFonts w:ascii="Times New Roman" w:hAnsi="Times New Roman"/>
          <w:sz w:val="22"/>
          <w:lang w:val="is-IS"/>
        </w:rPr>
        <w:t>,</w:t>
      </w:r>
      <w:r w:rsidRPr="00D051E2">
        <w:rPr>
          <w:rFonts w:ascii="Times New Roman" w:hAnsi="Times New Roman"/>
          <w:sz w:val="22"/>
          <w:lang w:val="is-IS"/>
        </w:rPr>
        <w:t xml:space="preserve"> en hlutverk þeirra er skilgreint í 13. gr. </w:t>
      </w:r>
      <w:proofErr w:type="spellStart"/>
      <w:r w:rsidRPr="00D051E2">
        <w:rPr>
          <w:rFonts w:ascii="Times New Roman" w:hAnsi="Times New Roman"/>
          <w:sz w:val="22"/>
          <w:lang w:val="is-IS"/>
        </w:rPr>
        <w:t>hml</w:t>
      </w:r>
      <w:proofErr w:type="spellEnd"/>
      <w:r w:rsidRPr="00D051E2">
        <w:rPr>
          <w:rFonts w:ascii="Times New Roman" w:hAnsi="Times New Roman"/>
          <w:sz w:val="22"/>
          <w:lang w:val="is-IS"/>
        </w:rPr>
        <w:t xml:space="preserve">.  Heilbrigðiseftirliti er skipt í heilbrigðisnefndir og heilbrigðisfulltrúa. Heilbrigðisfulltrúar hafa umsjón með starfsleyfisgerð og eftirliti með efnavörum, hollustuháttum, matvælum, mengandi starfssemi og umhverfisgæðum innan heilbrigðiseftirlitssvæða. </w:t>
      </w:r>
    </w:p>
    <w:p w14:paraId="3002643E" w14:textId="77777777" w:rsidR="00432D17" w:rsidRPr="00D051E2" w:rsidRDefault="00432D17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7AC122E8" w14:textId="5B60EBBA" w:rsidR="002A0B3C" w:rsidRPr="00D051E2" w:rsidRDefault="0088028F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 xml:space="preserve">Í 45. gr. </w:t>
      </w:r>
      <w:proofErr w:type="spellStart"/>
      <w:r w:rsidR="00E6405E" w:rsidRPr="00D051E2">
        <w:rPr>
          <w:rFonts w:ascii="Times New Roman" w:hAnsi="Times New Roman"/>
          <w:sz w:val="22"/>
          <w:lang w:val="is-IS"/>
        </w:rPr>
        <w:t>hml</w:t>
      </w:r>
      <w:proofErr w:type="spellEnd"/>
      <w:r w:rsidR="00E6405E" w:rsidRPr="00D051E2">
        <w:rPr>
          <w:rFonts w:ascii="Times New Roman" w:hAnsi="Times New Roman"/>
          <w:sz w:val="22"/>
          <w:lang w:val="is-IS"/>
        </w:rPr>
        <w:t xml:space="preserve">. </w:t>
      </w:r>
      <w:r w:rsidR="005D3D35" w:rsidRPr="00D051E2">
        <w:rPr>
          <w:rFonts w:ascii="Times New Roman" w:hAnsi="Times New Roman"/>
          <w:sz w:val="22"/>
          <w:lang w:val="is-IS"/>
        </w:rPr>
        <w:t xml:space="preserve">er </w:t>
      </w:r>
      <w:r w:rsidR="00FD1FBB" w:rsidRPr="00D051E2">
        <w:rPr>
          <w:rFonts w:ascii="Times New Roman" w:hAnsi="Times New Roman"/>
          <w:sz w:val="22"/>
          <w:lang w:val="is-IS"/>
        </w:rPr>
        <w:t xml:space="preserve">nánar </w:t>
      </w:r>
      <w:r w:rsidR="005D3D35" w:rsidRPr="00D051E2">
        <w:rPr>
          <w:rFonts w:ascii="Times New Roman" w:hAnsi="Times New Roman"/>
          <w:sz w:val="22"/>
          <w:lang w:val="is-IS"/>
        </w:rPr>
        <w:t xml:space="preserve">fjallað um </w:t>
      </w:r>
      <w:r w:rsidR="00555EBB" w:rsidRPr="00D051E2">
        <w:rPr>
          <w:rFonts w:ascii="Times New Roman" w:hAnsi="Times New Roman"/>
          <w:sz w:val="22"/>
          <w:lang w:val="is-IS"/>
        </w:rPr>
        <w:t>heilbrigðis</w:t>
      </w:r>
      <w:r w:rsidR="005D3D35" w:rsidRPr="00D051E2">
        <w:rPr>
          <w:rFonts w:ascii="Times New Roman" w:hAnsi="Times New Roman"/>
          <w:sz w:val="22"/>
          <w:lang w:val="is-IS"/>
        </w:rPr>
        <w:t>eftirlitssvæðin</w:t>
      </w:r>
      <w:r w:rsidR="0015221A" w:rsidRPr="00D051E2">
        <w:rPr>
          <w:rFonts w:ascii="Times New Roman" w:hAnsi="Times New Roman"/>
          <w:sz w:val="22"/>
          <w:lang w:val="is-IS"/>
        </w:rPr>
        <w:t xml:space="preserve"> en samkvæmt ákvæðinu er Íslandi skipt upp í 10 eftirlitssvæði. </w:t>
      </w:r>
      <w:r w:rsidR="008A20DB" w:rsidRPr="00D051E2">
        <w:rPr>
          <w:rFonts w:ascii="Times New Roman" w:hAnsi="Times New Roman"/>
          <w:sz w:val="22"/>
          <w:lang w:val="is-IS"/>
        </w:rPr>
        <w:t xml:space="preserve">Í </w:t>
      </w:r>
      <w:r w:rsidR="000916D8">
        <w:rPr>
          <w:rFonts w:ascii="Times New Roman" w:hAnsi="Times New Roman"/>
          <w:sz w:val="22"/>
          <w:lang w:val="is-IS"/>
        </w:rPr>
        <w:t>eldri</w:t>
      </w:r>
      <w:r w:rsidR="008A20DB" w:rsidRPr="00D051E2">
        <w:rPr>
          <w:rFonts w:ascii="Times New Roman" w:hAnsi="Times New Roman"/>
          <w:sz w:val="22"/>
          <w:lang w:val="is-IS"/>
        </w:rPr>
        <w:t xml:space="preserve"> lögum </w:t>
      </w:r>
      <w:r w:rsidR="00D44C4A" w:rsidRPr="00D051E2">
        <w:rPr>
          <w:rFonts w:ascii="Times New Roman" w:hAnsi="Times New Roman"/>
          <w:sz w:val="22"/>
          <w:lang w:val="is-IS"/>
        </w:rPr>
        <w:t>voru starfandi 46 heilbrigðisnefndir á 13 eftirlitssvæðum. Þar áður voru heilbrig</w:t>
      </w:r>
      <w:r w:rsidR="00D02BA5" w:rsidRPr="00D051E2">
        <w:rPr>
          <w:rFonts w:ascii="Times New Roman" w:hAnsi="Times New Roman"/>
          <w:sz w:val="22"/>
          <w:lang w:val="is-IS"/>
        </w:rPr>
        <w:t>ðisnefndirnar rúmlega 200 talsins.</w:t>
      </w:r>
      <w:r w:rsidR="00117EA6" w:rsidRPr="00D051E2">
        <w:rPr>
          <w:rFonts w:ascii="Times New Roman" w:hAnsi="Times New Roman"/>
          <w:sz w:val="22"/>
          <w:lang w:val="is-IS"/>
        </w:rPr>
        <w:t xml:space="preserve"> </w:t>
      </w:r>
      <w:r w:rsidR="00CF0FAF" w:rsidRPr="00D051E2">
        <w:rPr>
          <w:rFonts w:ascii="Times New Roman" w:hAnsi="Times New Roman"/>
          <w:sz w:val="22"/>
          <w:lang w:val="is-IS"/>
        </w:rPr>
        <w:t xml:space="preserve">Í athugasemdum </w:t>
      </w:r>
      <w:r w:rsidR="009B4B5A" w:rsidRPr="00D051E2">
        <w:rPr>
          <w:rFonts w:ascii="Times New Roman" w:hAnsi="Times New Roman"/>
          <w:sz w:val="22"/>
          <w:lang w:val="is-IS"/>
        </w:rPr>
        <w:t xml:space="preserve">við 11. gr. frumvarpsins sem varð að </w:t>
      </w:r>
      <w:proofErr w:type="spellStart"/>
      <w:r w:rsidR="009B4B5A" w:rsidRPr="00D051E2">
        <w:rPr>
          <w:rFonts w:ascii="Times New Roman" w:hAnsi="Times New Roman"/>
          <w:sz w:val="22"/>
          <w:lang w:val="is-IS"/>
        </w:rPr>
        <w:t>hml</w:t>
      </w:r>
      <w:proofErr w:type="spellEnd"/>
      <w:r w:rsidR="009B4B5A" w:rsidRPr="00D051E2">
        <w:rPr>
          <w:rFonts w:ascii="Times New Roman" w:hAnsi="Times New Roman"/>
          <w:sz w:val="22"/>
          <w:lang w:val="is-IS"/>
        </w:rPr>
        <w:t>.</w:t>
      </w:r>
      <w:r w:rsidR="00CF0FAF" w:rsidRPr="00D051E2">
        <w:rPr>
          <w:rFonts w:ascii="Times New Roman" w:hAnsi="Times New Roman"/>
          <w:sz w:val="22"/>
          <w:lang w:val="is-IS"/>
        </w:rPr>
        <w:t xml:space="preserve"> var þessi fækkun heilbrigðisnefnda </w:t>
      </w:r>
      <w:r w:rsidR="0092046A" w:rsidRPr="00D051E2">
        <w:rPr>
          <w:rFonts w:ascii="Times New Roman" w:hAnsi="Times New Roman"/>
          <w:sz w:val="22"/>
          <w:lang w:val="is-IS"/>
        </w:rPr>
        <w:t>sögð</w:t>
      </w:r>
      <w:r w:rsidR="00A7438A" w:rsidRPr="00D051E2">
        <w:rPr>
          <w:rFonts w:ascii="Times New Roman" w:hAnsi="Times New Roman"/>
          <w:sz w:val="22"/>
          <w:lang w:val="is-IS"/>
        </w:rPr>
        <w:t xml:space="preserve"> styrkja eftirlitið. </w:t>
      </w:r>
      <w:r w:rsidR="0085661B" w:rsidRPr="00D051E2">
        <w:rPr>
          <w:rFonts w:ascii="Times New Roman" w:hAnsi="Times New Roman"/>
          <w:sz w:val="22"/>
          <w:lang w:val="is-IS"/>
        </w:rPr>
        <w:t xml:space="preserve">Jafnframt </w:t>
      </w:r>
      <w:r w:rsidR="00235AAB" w:rsidRPr="00D051E2">
        <w:rPr>
          <w:rFonts w:ascii="Times New Roman" w:hAnsi="Times New Roman"/>
          <w:sz w:val="22"/>
          <w:lang w:val="is-IS"/>
        </w:rPr>
        <w:t>var um að ræða</w:t>
      </w:r>
      <w:r w:rsidR="0085661B" w:rsidRPr="00D051E2">
        <w:rPr>
          <w:rFonts w:ascii="Times New Roman" w:hAnsi="Times New Roman"/>
          <w:sz w:val="22"/>
          <w:lang w:val="is-IS"/>
        </w:rPr>
        <w:t xml:space="preserve"> viðleitni í þá átt að sameina sveitarfélögin í landinu </w:t>
      </w:r>
      <w:r w:rsidR="00AE7AC2" w:rsidRPr="00D051E2">
        <w:rPr>
          <w:rFonts w:ascii="Times New Roman" w:hAnsi="Times New Roman"/>
          <w:sz w:val="22"/>
          <w:lang w:val="is-IS"/>
        </w:rPr>
        <w:t xml:space="preserve">enn frekar um að standa sameiginlega að verkefnum. </w:t>
      </w:r>
    </w:p>
    <w:p w14:paraId="02BBC2A6" w14:textId="78270CE1" w:rsidR="00DC469F" w:rsidRPr="00D051E2" w:rsidRDefault="00DC469F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28EF54E1" w14:textId="12675F51" w:rsidR="00DC469F" w:rsidRPr="00D051E2" w:rsidRDefault="00FF729F" w:rsidP="00DC469F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 xml:space="preserve">Heilbrigðiseftirlit eru staðbundin stjórnvöld. </w:t>
      </w:r>
      <w:r w:rsidR="006F0688" w:rsidRPr="00D051E2">
        <w:rPr>
          <w:rFonts w:ascii="Times New Roman" w:hAnsi="Times New Roman"/>
          <w:sz w:val="22"/>
          <w:lang w:val="is-IS"/>
        </w:rPr>
        <w:t xml:space="preserve">Á Íslandi eru þar af leiðandi starfandi 10 staðbundin stjórnvöld sem sinna heilbrigðiseftirliti. </w:t>
      </w:r>
      <w:r w:rsidR="00256DFD" w:rsidRPr="00D051E2">
        <w:rPr>
          <w:rFonts w:ascii="Times New Roman" w:hAnsi="Times New Roman"/>
          <w:sz w:val="22"/>
          <w:lang w:val="is-IS"/>
        </w:rPr>
        <w:t>Hver</w:t>
      </w:r>
      <w:r w:rsidR="00CF1AEB" w:rsidRPr="00D051E2">
        <w:rPr>
          <w:rFonts w:ascii="Times New Roman" w:hAnsi="Times New Roman"/>
          <w:sz w:val="22"/>
          <w:lang w:val="is-IS"/>
        </w:rPr>
        <w:t>t eftirlitssvæði hefur t.a.m. sína eigin gjaldskrá sem birt er í B-deild Stjórnartíðinda</w:t>
      </w:r>
      <w:r w:rsidR="00D35E35" w:rsidRPr="00D051E2">
        <w:rPr>
          <w:rFonts w:ascii="Times New Roman" w:hAnsi="Times New Roman"/>
          <w:sz w:val="22"/>
          <w:lang w:val="is-IS"/>
        </w:rPr>
        <w:t xml:space="preserve"> og eru gjöld mismunandi eftir svæðum</w:t>
      </w:r>
      <w:r w:rsidR="00CF1AEB" w:rsidRPr="00D051E2">
        <w:rPr>
          <w:rFonts w:ascii="Times New Roman" w:hAnsi="Times New Roman"/>
          <w:sz w:val="22"/>
          <w:lang w:val="is-IS"/>
        </w:rPr>
        <w:t xml:space="preserve">. </w:t>
      </w:r>
      <w:r w:rsidR="005F4C10" w:rsidRPr="00D051E2">
        <w:rPr>
          <w:rFonts w:ascii="Times New Roman" w:hAnsi="Times New Roman"/>
          <w:sz w:val="22"/>
          <w:lang w:val="is-IS"/>
        </w:rPr>
        <w:t>Umhverfisstofnun og Matvælastofnun hafa yfirstjórn með heilbrigðiseftirlitunum</w:t>
      </w:r>
      <w:r w:rsidR="00983FF4" w:rsidRPr="00D051E2">
        <w:rPr>
          <w:rFonts w:ascii="Times New Roman" w:hAnsi="Times New Roman"/>
          <w:sz w:val="22"/>
          <w:lang w:val="is-IS"/>
        </w:rPr>
        <w:t xml:space="preserve"> ásamt því að sinna samræmingarhlutverki. </w:t>
      </w:r>
      <w:r w:rsidR="00B229F0" w:rsidRPr="00D051E2">
        <w:rPr>
          <w:rFonts w:ascii="Times New Roman" w:hAnsi="Times New Roman"/>
          <w:sz w:val="22"/>
          <w:lang w:val="is-IS"/>
        </w:rPr>
        <w:t xml:space="preserve">Umhverfisstofnun heyrir undir umhverfisráðuneytið og Matvælastofnun heyrir undir </w:t>
      </w:r>
      <w:r w:rsidR="00AF6B02" w:rsidRPr="00D051E2">
        <w:rPr>
          <w:rFonts w:ascii="Times New Roman" w:hAnsi="Times New Roman"/>
          <w:sz w:val="22"/>
          <w:lang w:val="is-IS"/>
        </w:rPr>
        <w:t>atvinnuvega- og nýsköpunarráðuneytið</w:t>
      </w:r>
      <w:r w:rsidR="00B229F0" w:rsidRPr="00D051E2">
        <w:rPr>
          <w:rFonts w:ascii="Times New Roman" w:hAnsi="Times New Roman"/>
          <w:sz w:val="22"/>
          <w:lang w:val="is-IS"/>
        </w:rPr>
        <w:t xml:space="preserve">. </w:t>
      </w:r>
      <w:r w:rsidR="00E46FF7" w:rsidRPr="00D051E2">
        <w:rPr>
          <w:rFonts w:ascii="Times New Roman" w:hAnsi="Times New Roman"/>
          <w:sz w:val="22"/>
          <w:lang w:val="is-IS"/>
        </w:rPr>
        <w:t>Eftirlitsumdæmin</w:t>
      </w:r>
      <w:r w:rsidR="0048087C" w:rsidRPr="00D051E2">
        <w:rPr>
          <w:rFonts w:ascii="Times New Roman" w:hAnsi="Times New Roman"/>
          <w:sz w:val="22"/>
          <w:lang w:val="is-IS"/>
        </w:rPr>
        <w:t xml:space="preserve"> tíu</w:t>
      </w:r>
      <w:r w:rsidR="00E46FF7" w:rsidRPr="00D051E2">
        <w:rPr>
          <w:rFonts w:ascii="Times New Roman" w:hAnsi="Times New Roman"/>
          <w:sz w:val="22"/>
          <w:lang w:val="is-IS"/>
        </w:rPr>
        <w:t xml:space="preserve"> heyra því </w:t>
      </w:r>
      <w:r w:rsidR="006612F8" w:rsidRPr="00D051E2">
        <w:rPr>
          <w:rFonts w:ascii="Times New Roman" w:hAnsi="Times New Roman"/>
          <w:sz w:val="22"/>
          <w:lang w:val="is-IS"/>
        </w:rPr>
        <w:t xml:space="preserve">undir tvær stofnanir sem aftur heyra undir tvö ráðuneyti. </w:t>
      </w:r>
      <w:r w:rsidR="00105F8E" w:rsidRPr="00D051E2">
        <w:rPr>
          <w:rFonts w:ascii="Times New Roman" w:hAnsi="Times New Roman"/>
          <w:sz w:val="22"/>
          <w:lang w:val="is-IS"/>
        </w:rPr>
        <w:t xml:space="preserve">Umhverfisstofnun og Matvælastofnun </w:t>
      </w:r>
      <w:r w:rsidR="00AA0FEC" w:rsidRPr="00D051E2">
        <w:rPr>
          <w:rFonts w:ascii="Times New Roman" w:hAnsi="Times New Roman"/>
          <w:sz w:val="22"/>
          <w:lang w:val="is-IS"/>
        </w:rPr>
        <w:t xml:space="preserve">fara að auki með eftirlit og hafa sérstakar gjaldskrár fyrir það eftirlit. </w:t>
      </w:r>
      <w:r w:rsidR="00BA2B70" w:rsidRPr="00D051E2">
        <w:rPr>
          <w:rFonts w:ascii="Times New Roman" w:hAnsi="Times New Roman"/>
          <w:sz w:val="22"/>
          <w:lang w:val="is-IS"/>
        </w:rPr>
        <w:t xml:space="preserve">Þetta fyrirkomulag er kostnaðarsamt og flókið fyrir þá sem </w:t>
      </w:r>
      <w:r w:rsidR="000F4974" w:rsidRPr="00D051E2">
        <w:rPr>
          <w:rFonts w:ascii="Times New Roman" w:hAnsi="Times New Roman"/>
          <w:sz w:val="22"/>
          <w:lang w:val="is-IS"/>
        </w:rPr>
        <w:t xml:space="preserve">sæta og </w:t>
      </w:r>
      <w:r w:rsidR="00BA2B70" w:rsidRPr="00D051E2">
        <w:rPr>
          <w:rFonts w:ascii="Times New Roman" w:hAnsi="Times New Roman"/>
          <w:sz w:val="22"/>
          <w:lang w:val="is-IS"/>
        </w:rPr>
        <w:t xml:space="preserve">sinna </w:t>
      </w:r>
      <w:r w:rsidR="009D6D79" w:rsidRPr="00D051E2">
        <w:rPr>
          <w:rFonts w:ascii="Times New Roman" w:hAnsi="Times New Roman"/>
          <w:sz w:val="22"/>
          <w:lang w:val="is-IS"/>
        </w:rPr>
        <w:t>eftirliti</w:t>
      </w:r>
      <w:r w:rsidR="000F4974" w:rsidRPr="00D051E2">
        <w:rPr>
          <w:rFonts w:ascii="Times New Roman" w:hAnsi="Times New Roman"/>
          <w:sz w:val="22"/>
          <w:lang w:val="is-IS"/>
        </w:rPr>
        <w:t>nu</w:t>
      </w:r>
      <w:r w:rsidR="00BA2B70" w:rsidRPr="00D051E2">
        <w:rPr>
          <w:rFonts w:ascii="Times New Roman" w:hAnsi="Times New Roman"/>
          <w:sz w:val="22"/>
          <w:lang w:val="is-IS"/>
        </w:rPr>
        <w:t xml:space="preserve">. </w:t>
      </w:r>
    </w:p>
    <w:p w14:paraId="10638400" w14:textId="3B742A8B" w:rsidR="006F0688" w:rsidRPr="00D051E2" w:rsidRDefault="006F0688" w:rsidP="00DC469F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51AABA07" w14:textId="39FD6435" w:rsidR="00371FA5" w:rsidRPr="00D051E2" w:rsidRDefault="00371FA5" w:rsidP="00371FA5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>Margþætt, flókið og íþyngjandi lagaumhverfi og eftirlit eykur kostnað og veikir samkeppnishæfni</w:t>
      </w:r>
      <w:r w:rsidR="005E20FF" w:rsidRPr="00D051E2">
        <w:rPr>
          <w:rFonts w:ascii="Times New Roman" w:hAnsi="Times New Roman"/>
          <w:sz w:val="22"/>
          <w:lang w:val="is-IS"/>
        </w:rPr>
        <w:t xml:space="preserve"> fyrirtækja og Íslands í alþjóðlegu samhengi</w:t>
      </w:r>
      <w:r w:rsidRPr="00D051E2">
        <w:rPr>
          <w:rFonts w:ascii="Times New Roman" w:hAnsi="Times New Roman"/>
          <w:sz w:val="22"/>
          <w:lang w:val="is-IS"/>
        </w:rPr>
        <w:t xml:space="preserve">. Líkt og kemur fram í athugasemdum greinargerðar með </w:t>
      </w:r>
      <w:proofErr w:type="spellStart"/>
      <w:r w:rsidR="00361D29" w:rsidRPr="00D051E2">
        <w:rPr>
          <w:rFonts w:ascii="Times New Roman" w:hAnsi="Times New Roman"/>
          <w:sz w:val="22"/>
          <w:lang w:val="is-IS"/>
        </w:rPr>
        <w:t>hml</w:t>
      </w:r>
      <w:proofErr w:type="spellEnd"/>
      <w:r w:rsidR="00361D29" w:rsidRPr="00D051E2">
        <w:rPr>
          <w:rFonts w:ascii="Times New Roman" w:hAnsi="Times New Roman"/>
          <w:sz w:val="22"/>
          <w:lang w:val="is-IS"/>
        </w:rPr>
        <w:t>.</w:t>
      </w:r>
      <w:r w:rsidRPr="00D051E2">
        <w:rPr>
          <w:rFonts w:ascii="Times New Roman" w:hAnsi="Times New Roman"/>
          <w:sz w:val="22"/>
          <w:lang w:val="is-IS"/>
        </w:rPr>
        <w:t xml:space="preserve"> stendur atvinnulífið undir stærstum hluta kostnaðar við heilbrigðiseftirlit. </w:t>
      </w:r>
    </w:p>
    <w:p w14:paraId="7290DD9A" w14:textId="77777777" w:rsidR="00371FA5" w:rsidRPr="00D051E2" w:rsidRDefault="00371FA5" w:rsidP="00DC469F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058F9CE8" w14:textId="62AEF5E4" w:rsidR="00C30630" w:rsidRPr="00D051E2" w:rsidRDefault="00C30630" w:rsidP="00C30630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 xml:space="preserve">Opinbert eftirlit á að taka breytingum eins og annað með framþróun á ýmsum sviðum og breyttum viðhorfum. Í því samhengi væri skynsamlegt að greina og ná utan um umfang opinbers eftirlits með kerfisbundnum hætti og endurmeta reglur sem eru í gildi. Meta þarf hvort tilteknar reglur eigi ennþá við og þjóni eðlilegum markmiðum og nái þeim. Það sem hefur á einhverjum tímapunkti þótt eðlilegt að setja í lög er ekki meitlað í stein og </w:t>
      </w:r>
      <w:proofErr w:type="spellStart"/>
      <w:r w:rsidR="000916D8">
        <w:rPr>
          <w:rFonts w:ascii="Times New Roman" w:hAnsi="Times New Roman"/>
          <w:sz w:val="22"/>
          <w:lang w:val="is-IS"/>
        </w:rPr>
        <w:t>ætti</w:t>
      </w:r>
      <w:proofErr w:type="spellEnd"/>
      <w:r w:rsidR="000916D8">
        <w:rPr>
          <w:rFonts w:ascii="Times New Roman" w:hAnsi="Times New Roman"/>
          <w:sz w:val="22"/>
          <w:lang w:val="is-IS"/>
        </w:rPr>
        <w:t xml:space="preserve"> að</w:t>
      </w:r>
      <w:r w:rsidRPr="00D051E2">
        <w:rPr>
          <w:rFonts w:ascii="Times New Roman" w:hAnsi="Times New Roman"/>
          <w:sz w:val="22"/>
          <w:lang w:val="is-IS"/>
        </w:rPr>
        <w:t xml:space="preserve"> sæta endurskoðun </w:t>
      </w:r>
      <w:r w:rsidR="00A4753D" w:rsidRPr="00D051E2">
        <w:rPr>
          <w:rFonts w:ascii="Times New Roman" w:hAnsi="Times New Roman"/>
          <w:sz w:val="22"/>
          <w:lang w:val="is-IS"/>
        </w:rPr>
        <w:t>með breyttum tímum</w:t>
      </w:r>
      <w:r w:rsidR="00F84228" w:rsidRPr="00D051E2">
        <w:rPr>
          <w:rFonts w:ascii="Times New Roman" w:hAnsi="Times New Roman"/>
          <w:sz w:val="22"/>
          <w:lang w:val="is-IS"/>
        </w:rPr>
        <w:t xml:space="preserve"> og viðhorfum</w:t>
      </w:r>
      <w:r w:rsidRPr="00D051E2">
        <w:rPr>
          <w:rFonts w:ascii="Times New Roman" w:hAnsi="Times New Roman"/>
          <w:sz w:val="22"/>
          <w:lang w:val="is-IS"/>
        </w:rPr>
        <w:t xml:space="preserve">. </w:t>
      </w:r>
    </w:p>
    <w:p w14:paraId="01AE2F84" w14:textId="23344570" w:rsidR="004F52B8" w:rsidRPr="00D051E2" w:rsidRDefault="004F52B8" w:rsidP="00DC469F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49EFC8AA" w14:textId="79E6A583" w:rsidR="005060FE" w:rsidRPr="00D051E2" w:rsidRDefault="005060FE" w:rsidP="005060FE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 xml:space="preserve">Í stjórnarsáttmála ríkisstjórnarinnar segir að átak verði gert í einföldun regluverks í þágu atvinnulífs og almennings. Sambærilegar yfirlýsingar </w:t>
      </w:r>
      <w:r w:rsidR="00035DE6" w:rsidRPr="00D051E2">
        <w:rPr>
          <w:rFonts w:ascii="Times New Roman" w:hAnsi="Times New Roman"/>
          <w:sz w:val="22"/>
          <w:lang w:val="is-IS"/>
        </w:rPr>
        <w:t>hafa verið</w:t>
      </w:r>
      <w:r w:rsidRPr="00D051E2">
        <w:rPr>
          <w:rFonts w:ascii="Times New Roman" w:hAnsi="Times New Roman"/>
          <w:sz w:val="22"/>
          <w:lang w:val="is-IS"/>
        </w:rPr>
        <w:t xml:space="preserve"> í stjórnarsáttmálum fyrri ríkisstjórna án þess að mikið </w:t>
      </w:r>
      <w:r w:rsidR="00050F06" w:rsidRPr="00D051E2">
        <w:rPr>
          <w:rFonts w:ascii="Times New Roman" w:hAnsi="Times New Roman"/>
          <w:sz w:val="22"/>
          <w:lang w:val="is-IS"/>
        </w:rPr>
        <w:t>hafi verið að gert</w:t>
      </w:r>
      <w:r w:rsidRPr="00D051E2">
        <w:rPr>
          <w:rFonts w:ascii="Times New Roman" w:hAnsi="Times New Roman"/>
          <w:sz w:val="22"/>
          <w:lang w:val="is-IS"/>
        </w:rPr>
        <w:t xml:space="preserve">. Í stuðningsyfirlýsingu stjórnvalda við nýgerða kjarasamninga voru jafnframt kynnt nokkur atriði til einföldunar á opinberu eftirliti. </w:t>
      </w:r>
      <w:r w:rsidR="004655B1" w:rsidRPr="00D051E2">
        <w:rPr>
          <w:rFonts w:ascii="Times New Roman" w:hAnsi="Times New Roman"/>
          <w:sz w:val="22"/>
          <w:lang w:val="is-IS"/>
        </w:rPr>
        <w:t>Ljóst er því að vilji er</w:t>
      </w:r>
      <w:r w:rsidR="00D03ECC" w:rsidRPr="00D051E2">
        <w:rPr>
          <w:rFonts w:ascii="Times New Roman" w:hAnsi="Times New Roman"/>
          <w:sz w:val="22"/>
          <w:lang w:val="is-IS"/>
        </w:rPr>
        <w:t xml:space="preserve"> til breytinga</w:t>
      </w:r>
      <w:r w:rsidR="00037F3A" w:rsidRPr="00D051E2">
        <w:rPr>
          <w:rFonts w:ascii="Times New Roman" w:hAnsi="Times New Roman"/>
          <w:sz w:val="22"/>
          <w:lang w:val="is-IS"/>
        </w:rPr>
        <w:t xml:space="preserve"> af hálfu stjórnvalda. </w:t>
      </w:r>
    </w:p>
    <w:p w14:paraId="70BD39B2" w14:textId="265B5F05" w:rsidR="00CB56D5" w:rsidRPr="00D051E2" w:rsidRDefault="00CB56D5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6FDF4D60" w14:textId="0A748CEA" w:rsidR="00376E88" w:rsidRPr="00D051E2" w:rsidRDefault="00CB56D5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 xml:space="preserve">Stöðlun á framkvæmd eftirlits </w:t>
      </w:r>
      <w:r w:rsidR="00037F3A" w:rsidRPr="00D051E2">
        <w:rPr>
          <w:rFonts w:ascii="Times New Roman" w:hAnsi="Times New Roman"/>
          <w:sz w:val="22"/>
          <w:lang w:val="is-IS"/>
        </w:rPr>
        <w:t xml:space="preserve">er skref </w:t>
      </w:r>
      <w:r w:rsidR="00352D03" w:rsidRPr="00D051E2">
        <w:rPr>
          <w:rFonts w:ascii="Times New Roman" w:hAnsi="Times New Roman"/>
          <w:sz w:val="22"/>
          <w:lang w:val="is-IS"/>
        </w:rPr>
        <w:t>í átt að framangreindum markmiðum og</w:t>
      </w:r>
      <w:r w:rsidR="00971032" w:rsidRPr="00D051E2">
        <w:rPr>
          <w:rFonts w:ascii="Times New Roman" w:hAnsi="Times New Roman"/>
          <w:sz w:val="22"/>
          <w:lang w:val="is-IS"/>
        </w:rPr>
        <w:t xml:space="preserve"> leggja </w:t>
      </w:r>
      <w:r w:rsidR="001340F9" w:rsidRPr="00D051E2">
        <w:rPr>
          <w:rFonts w:ascii="Times New Roman" w:hAnsi="Times New Roman"/>
          <w:sz w:val="22"/>
          <w:lang w:val="is-IS"/>
        </w:rPr>
        <w:t xml:space="preserve">SA til frekari einföldun á heilbrigðiseftirliti á Íslandi. </w:t>
      </w:r>
      <w:r w:rsidR="00240B10" w:rsidRPr="00D051E2">
        <w:rPr>
          <w:rFonts w:ascii="Times New Roman" w:hAnsi="Times New Roman"/>
          <w:sz w:val="22"/>
          <w:lang w:val="is-IS"/>
        </w:rPr>
        <w:t xml:space="preserve">Skipting landsins í </w:t>
      </w:r>
      <w:r w:rsidR="00091CBD" w:rsidRPr="00D051E2">
        <w:rPr>
          <w:rFonts w:ascii="Times New Roman" w:hAnsi="Times New Roman"/>
          <w:sz w:val="22"/>
          <w:lang w:val="is-IS"/>
        </w:rPr>
        <w:t xml:space="preserve">10 </w:t>
      </w:r>
      <w:r w:rsidR="00240B10" w:rsidRPr="00D051E2">
        <w:rPr>
          <w:rFonts w:ascii="Times New Roman" w:hAnsi="Times New Roman"/>
          <w:sz w:val="22"/>
          <w:lang w:val="is-IS"/>
        </w:rPr>
        <w:t>heilbrigðisumdæmi skapar kostnað og eykur líkur á hagsmunaárekstrum. Hún fjölgar leyfum sem fyrirtæki þurfa að sækja um</w:t>
      </w:r>
      <w:r w:rsidR="006C22FA" w:rsidRPr="00D051E2">
        <w:rPr>
          <w:rFonts w:ascii="Times New Roman" w:hAnsi="Times New Roman"/>
          <w:sz w:val="22"/>
          <w:lang w:val="is-IS"/>
        </w:rPr>
        <w:t xml:space="preserve"> og </w:t>
      </w:r>
      <w:r w:rsidR="00560264" w:rsidRPr="00D051E2">
        <w:rPr>
          <w:rFonts w:ascii="Times New Roman" w:hAnsi="Times New Roman"/>
          <w:sz w:val="22"/>
          <w:lang w:val="is-IS"/>
        </w:rPr>
        <w:t xml:space="preserve">flækir þau samskipti sem þurfa að eiga sér stað. </w:t>
      </w:r>
      <w:r w:rsidR="00091CBD" w:rsidRPr="00D051E2">
        <w:rPr>
          <w:rFonts w:ascii="Times New Roman" w:hAnsi="Times New Roman"/>
          <w:sz w:val="22"/>
          <w:lang w:val="is-IS"/>
        </w:rPr>
        <w:t>Jafnframt eykur fjöldi umdæmanna</w:t>
      </w:r>
      <w:r w:rsidR="00275AAE" w:rsidRPr="00D051E2">
        <w:rPr>
          <w:rFonts w:ascii="Times New Roman" w:hAnsi="Times New Roman"/>
          <w:sz w:val="22"/>
          <w:lang w:val="is-IS"/>
        </w:rPr>
        <w:t xml:space="preserve"> hættu á því að </w:t>
      </w:r>
      <w:r w:rsidR="00240B10" w:rsidRPr="00D051E2">
        <w:rPr>
          <w:rFonts w:ascii="Times New Roman" w:hAnsi="Times New Roman"/>
          <w:sz w:val="22"/>
          <w:lang w:val="is-IS"/>
        </w:rPr>
        <w:t xml:space="preserve">mismunandi kröfur </w:t>
      </w:r>
      <w:r w:rsidR="00275AAE" w:rsidRPr="00D051E2">
        <w:rPr>
          <w:rFonts w:ascii="Times New Roman" w:hAnsi="Times New Roman"/>
          <w:sz w:val="22"/>
          <w:lang w:val="is-IS"/>
        </w:rPr>
        <w:t>séu</w:t>
      </w:r>
      <w:r w:rsidR="00240B10" w:rsidRPr="00D051E2">
        <w:rPr>
          <w:rFonts w:ascii="Times New Roman" w:hAnsi="Times New Roman"/>
          <w:sz w:val="22"/>
          <w:lang w:val="is-IS"/>
        </w:rPr>
        <w:t xml:space="preserve"> gerðar til starfsemi eftir því hvar hún er staðsett. </w:t>
      </w:r>
      <w:r w:rsidR="003C6AA3" w:rsidRPr="00D051E2">
        <w:rPr>
          <w:rFonts w:ascii="Times New Roman" w:hAnsi="Times New Roman"/>
          <w:sz w:val="22"/>
          <w:lang w:val="is-IS"/>
        </w:rPr>
        <w:t xml:space="preserve">Lagt er til að </w:t>
      </w:r>
      <w:r w:rsidR="00922130" w:rsidRPr="00D051E2">
        <w:rPr>
          <w:rFonts w:ascii="Times New Roman" w:hAnsi="Times New Roman"/>
          <w:sz w:val="22"/>
          <w:lang w:val="is-IS"/>
        </w:rPr>
        <w:t>heilbrigðiseftirlit</w:t>
      </w:r>
      <w:r w:rsidR="00545BEA" w:rsidRPr="00D051E2">
        <w:rPr>
          <w:rFonts w:ascii="Times New Roman" w:hAnsi="Times New Roman"/>
          <w:sz w:val="22"/>
          <w:lang w:val="is-IS"/>
        </w:rPr>
        <w:t xml:space="preserve"> verði sameinuð í eina stofnun sem tekur þá jafnframt yfir eftirlitsstarfsemi Matvælastofnunar, Umhverfisstofnunar, Fiskistofu, Neytendastofu, Mannvirkjastofnunar og Vinnueftirlitsins.</w:t>
      </w:r>
      <w:r w:rsidR="00092ACE" w:rsidRPr="00D051E2">
        <w:rPr>
          <w:rFonts w:ascii="Times New Roman" w:hAnsi="Times New Roman"/>
          <w:sz w:val="22"/>
          <w:lang w:val="is-IS"/>
        </w:rPr>
        <w:t xml:space="preserve"> D</w:t>
      </w:r>
      <w:r w:rsidR="00922130" w:rsidRPr="00D051E2">
        <w:rPr>
          <w:rFonts w:ascii="Times New Roman" w:hAnsi="Times New Roman"/>
          <w:sz w:val="22"/>
          <w:lang w:val="is-IS"/>
        </w:rPr>
        <w:t xml:space="preserve">æmi eru um að </w:t>
      </w:r>
      <w:r w:rsidR="00AE0986" w:rsidRPr="00D051E2">
        <w:rPr>
          <w:rFonts w:ascii="Times New Roman" w:hAnsi="Times New Roman"/>
          <w:sz w:val="22"/>
          <w:lang w:val="is-IS"/>
        </w:rPr>
        <w:t>fyrirtæki</w:t>
      </w:r>
      <w:r w:rsidR="00B53DA3" w:rsidRPr="00D051E2">
        <w:rPr>
          <w:rFonts w:ascii="Times New Roman" w:hAnsi="Times New Roman"/>
          <w:sz w:val="22"/>
          <w:lang w:val="is-IS"/>
        </w:rPr>
        <w:t>, þar sem almenningur leitar þjónustu,</w:t>
      </w:r>
      <w:r w:rsidR="00AE0986" w:rsidRPr="00D051E2">
        <w:rPr>
          <w:rFonts w:ascii="Times New Roman" w:hAnsi="Times New Roman"/>
          <w:sz w:val="22"/>
          <w:lang w:val="is-IS"/>
        </w:rPr>
        <w:t xml:space="preserve"> sæti eftirliti frá nokkrum af framangreindum eftirlitsaðilum, t.d. </w:t>
      </w:r>
      <w:r w:rsidR="00092ACE" w:rsidRPr="00D051E2">
        <w:rPr>
          <w:rFonts w:ascii="Times New Roman" w:hAnsi="Times New Roman"/>
          <w:sz w:val="22"/>
          <w:lang w:val="is-IS"/>
        </w:rPr>
        <w:t>eru líkur á að heilbrigðiseftirlit kanni salernisaðstöðu fyrirtækis á meðan Vinnueftirlitið sinni</w:t>
      </w:r>
      <w:r w:rsidR="00E64067" w:rsidRPr="00D051E2">
        <w:rPr>
          <w:rFonts w:ascii="Times New Roman" w:hAnsi="Times New Roman"/>
          <w:sz w:val="22"/>
          <w:lang w:val="is-IS"/>
        </w:rPr>
        <w:t>r</w:t>
      </w:r>
      <w:r w:rsidR="00092ACE" w:rsidRPr="00D051E2">
        <w:rPr>
          <w:rFonts w:ascii="Times New Roman" w:hAnsi="Times New Roman"/>
          <w:sz w:val="22"/>
          <w:lang w:val="is-IS"/>
        </w:rPr>
        <w:t xml:space="preserve"> vélaeftirliti. </w:t>
      </w:r>
      <w:r w:rsidR="0058634E" w:rsidRPr="00D051E2">
        <w:rPr>
          <w:rFonts w:ascii="Times New Roman" w:hAnsi="Times New Roman"/>
          <w:sz w:val="22"/>
          <w:lang w:val="is-IS"/>
        </w:rPr>
        <w:t xml:space="preserve">Þegar eftirlit hjá einu fyrirtæki er á höndum margra eftirlitsaðila skapar það meira umstang og þ.a.l. </w:t>
      </w:r>
      <w:r w:rsidR="00AF1752" w:rsidRPr="00D051E2">
        <w:rPr>
          <w:rFonts w:ascii="Times New Roman" w:hAnsi="Times New Roman"/>
          <w:sz w:val="22"/>
          <w:lang w:val="is-IS"/>
        </w:rPr>
        <w:t xml:space="preserve">meiri </w:t>
      </w:r>
      <w:r w:rsidR="0058634E" w:rsidRPr="00D051E2">
        <w:rPr>
          <w:rFonts w:ascii="Times New Roman" w:hAnsi="Times New Roman"/>
          <w:sz w:val="22"/>
          <w:lang w:val="is-IS"/>
        </w:rPr>
        <w:t xml:space="preserve">kostnað </w:t>
      </w:r>
      <w:r w:rsidR="00D1679C" w:rsidRPr="00D051E2">
        <w:rPr>
          <w:rFonts w:ascii="Times New Roman" w:hAnsi="Times New Roman"/>
          <w:sz w:val="22"/>
          <w:lang w:val="is-IS"/>
        </w:rPr>
        <w:t xml:space="preserve">en þörf er á. </w:t>
      </w:r>
      <w:r w:rsidR="00376E88" w:rsidRPr="00D051E2">
        <w:rPr>
          <w:rFonts w:ascii="Times New Roman" w:hAnsi="Times New Roman"/>
          <w:sz w:val="22"/>
          <w:lang w:val="is-IS"/>
        </w:rPr>
        <w:t xml:space="preserve">Það þarf að leggja áherslu á samþættingu eftirlitsins, allt sé á einum stað og að notendur þurfi ekki að eiga við marga ólíka aðila hins opinbera. Kerfið á enda að vera hannað miðað við þarfir notenda þess en ekki kerfisins. </w:t>
      </w:r>
    </w:p>
    <w:p w14:paraId="28A7EB30" w14:textId="3EB35512" w:rsidR="00376E88" w:rsidRPr="00D051E2" w:rsidRDefault="00376E88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00D35F25" w14:textId="1EB93EC3" w:rsidR="005B34CE" w:rsidRPr="00D051E2" w:rsidRDefault="00793152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>Samþættingin</w:t>
      </w:r>
      <w:r w:rsidR="005B34CE" w:rsidRPr="00D051E2">
        <w:rPr>
          <w:rFonts w:ascii="Times New Roman" w:hAnsi="Times New Roman"/>
          <w:sz w:val="22"/>
          <w:lang w:val="is-IS"/>
        </w:rPr>
        <w:t xml:space="preserve"> dregur úr hættu á hagsmunaárekstri</w:t>
      </w:r>
      <w:r w:rsidR="00D81EC2" w:rsidRPr="00D051E2">
        <w:rPr>
          <w:rFonts w:ascii="Times New Roman" w:hAnsi="Times New Roman"/>
          <w:sz w:val="22"/>
          <w:lang w:val="is-IS"/>
        </w:rPr>
        <w:t xml:space="preserve"> og að mismunandi kröfur séu gerðar til sambærilegra lögaðila eftir því hvar á landinu þeir eru staðsettir. </w:t>
      </w:r>
      <w:r w:rsidR="00AA4995" w:rsidRPr="00D051E2">
        <w:rPr>
          <w:rFonts w:ascii="Times New Roman" w:hAnsi="Times New Roman"/>
          <w:sz w:val="22"/>
          <w:lang w:val="is-IS"/>
        </w:rPr>
        <w:t>Með því skapast vænlegr</w:t>
      </w:r>
      <w:r w:rsidR="00F234A8" w:rsidRPr="00D051E2">
        <w:rPr>
          <w:rFonts w:ascii="Times New Roman" w:hAnsi="Times New Roman"/>
          <w:sz w:val="22"/>
          <w:lang w:val="is-IS"/>
        </w:rPr>
        <w:t>a</w:t>
      </w:r>
      <w:r w:rsidR="00AA4995" w:rsidRPr="00D051E2">
        <w:rPr>
          <w:rFonts w:ascii="Times New Roman" w:hAnsi="Times New Roman"/>
          <w:sz w:val="22"/>
          <w:lang w:val="is-IS"/>
        </w:rPr>
        <w:t xml:space="preserve"> umhverfi fyrir íslenskt atvinnulíf þar sem allir sitja við sama borð.</w:t>
      </w:r>
      <w:r w:rsidR="00602355" w:rsidRPr="00D051E2">
        <w:rPr>
          <w:rFonts w:ascii="Times New Roman" w:hAnsi="Times New Roman"/>
          <w:sz w:val="22"/>
          <w:lang w:val="is-IS"/>
        </w:rPr>
        <w:t xml:space="preserve"> Að auki má ætla að eftirlitið eflist enn frekar </w:t>
      </w:r>
      <w:r w:rsidR="00640643" w:rsidRPr="00D051E2">
        <w:rPr>
          <w:rFonts w:ascii="Times New Roman" w:hAnsi="Times New Roman"/>
          <w:sz w:val="22"/>
          <w:lang w:val="is-IS"/>
        </w:rPr>
        <w:t>og tækifær</w:t>
      </w:r>
      <w:r w:rsidR="008613C7" w:rsidRPr="00D051E2">
        <w:rPr>
          <w:rFonts w:ascii="Times New Roman" w:hAnsi="Times New Roman"/>
          <w:sz w:val="22"/>
          <w:lang w:val="is-IS"/>
        </w:rPr>
        <w:t>um</w:t>
      </w:r>
      <w:r w:rsidR="00640643" w:rsidRPr="00D051E2">
        <w:rPr>
          <w:rFonts w:ascii="Times New Roman" w:hAnsi="Times New Roman"/>
          <w:sz w:val="22"/>
          <w:lang w:val="is-IS"/>
        </w:rPr>
        <w:t xml:space="preserve"> til sameiningar sveitarfélaga til þess að standa sameiginlega að verkefnum </w:t>
      </w:r>
      <w:r w:rsidR="008613C7" w:rsidRPr="00D051E2">
        <w:rPr>
          <w:rFonts w:ascii="Times New Roman" w:hAnsi="Times New Roman"/>
          <w:sz w:val="22"/>
          <w:lang w:val="is-IS"/>
        </w:rPr>
        <w:t>fjölgi</w:t>
      </w:r>
      <w:r w:rsidR="00640643" w:rsidRPr="00D051E2">
        <w:rPr>
          <w:rFonts w:ascii="Times New Roman" w:hAnsi="Times New Roman"/>
          <w:sz w:val="22"/>
          <w:lang w:val="is-IS"/>
        </w:rPr>
        <w:t>.</w:t>
      </w:r>
      <w:r w:rsidR="00AA4995" w:rsidRPr="00D051E2">
        <w:rPr>
          <w:rFonts w:ascii="Times New Roman" w:hAnsi="Times New Roman"/>
          <w:sz w:val="22"/>
          <w:lang w:val="is-IS"/>
        </w:rPr>
        <w:t xml:space="preserve"> </w:t>
      </w:r>
      <w:r w:rsidR="007655DB" w:rsidRPr="00D051E2">
        <w:rPr>
          <w:rFonts w:ascii="Times New Roman" w:hAnsi="Times New Roman"/>
          <w:sz w:val="22"/>
          <w:lang w:val="is-IS"/>
        </w:rPr>
        <w:t xml:space="preserve">Með </w:t>
      </w:r>
      <w:r w:rsidR="00350D8F">
        <w:rPr>
          <w:rFonts w:ascii="Times New Roman" w:hAnsi="Times New Roman"/>
          <w:sz w:val="22"/>
          <w:lang w:val="is-IS"/>
        </w:rPr>
        <w:t>g</w:t>
      </w:r>
      <w:r w:rsidR="00CC7EBF" w:rsidRPr="00D051E2">
        <w:rPr>
          <w:rFonts w:ascii="Times New Roman" w:hAnsi="Times New Roman"/>
          <w:sz w:val="22"/>
          <w:lang w:val="is-IS"/>
        </w:rPr>
        <w:t xml:space="preserve">rænbók, stefnumótandi áætlunar ríkisins í málefnum sveitarfélaga gefst tækifæri til að endurskoða fyrirkomulag heilbrigðiseftirlits á Íslandi. SA óska þess að það sé gert </w:t>
      </w:r>
      <w:r w:rsidR="00664B08" w:rsidRPr="00D051E2">
        <w:rPr>
          <w:rFonts w:ascii="Times New Roman" w:hAnsi="Times New Roman"/>
          <w:sz w:val="22"/>
          <w:lang w:val="is-IS"/>
        </w:rPr>
        <w:t xml:space="preserve">með þær tillögur sem hér hafa komið fram að leiðarljósi. </w:t>
      </w:r>
    </w:p>
    <w:p w14:paraId="3A0FEB2F" w14:textId="2F2AC348" w:rsidR="00664B08" w:rsidRDefault="00664B08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422D6594" w14:textId="7F63CD3E" w:rsidR="00565FD5" w:rsidRPr="00565FD5" w:rsidRDefault="00565FD5" w:rsidP="00565FD5">
      <w:pPr>
        <w:pStyle w:val="ListParagraph"/>
        <w:numPr>
          <w:ilvl w:val="0"/>
          <w:numId w:val="1"/>
        </w:num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>
        <w:rPr>
          <w:rFonts w:ascii="Times New Roman" w:hAnsi="Times New Roman"/>
          <w:b/>
          <w:sz w:val="22"/>
          <w:lang w:val="is-IS"/>
        </w:rPr>
        <w:t>Fjármál sveitarfélaga</w:t>
      </w:r>
    </w:p>
    <w:p w14:paraId="32C5C6A6" w14:textId="08C21153" w:rsidR="00565FD5" w:rsidRDefault="00565FD5" w:rsidP="00565FD5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05C97221" w14:textId="77777777" w:rsidR="00565FD5" w:rsidRPr="00565FD5" w:rsidRDefault="00565FD5" w:rsidP="00565FD5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proofErr w:type="spellStart"/>
      <w:r w:rsidRPr="00565FD5">
        <w:rPr>
          <w:rFonts w:ascii="Times New Roman" w:hAnsi="Times New Roman"/>
          <w:sz w:val="22"/>
          <w:lang w:val="is-IS"/>
        </w:rPr>
        <w:t>Samtök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atvinnulífsins </w:t>
      </w:r>
      <w:proofErr w:type="spellStart"/>
      <w:r w:rsidRPr="00565FD5">
        <w:rPr>
          <w:rFonts w:ascii="Times New Roman" w:hAnsi="Times New Roman"/>
          <w:sz w:val="22"/>
          <w:lang w:val="is-IS"/>
        </w:rPr>
        <w:t>vilja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vekja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athygli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mikilli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tekjuaukningu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umliðnum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því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samhliða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miklum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tekjuvexti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lítið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farið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skattalækkunum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skuldaniðurgreiðslu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áhyggjuefni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núverandi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efnahagsástand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uppgangur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síðustu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hafi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sveitastjórnarstigi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frekar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nýttur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auka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útgjöld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fremur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sýna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aðhald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nýta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fremur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uppganginn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lækka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álögur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greiða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niður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skuldir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Eftir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eitt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lengsta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samfellda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hagvaxtarskeið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Íslandssögunnar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nú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spáð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samdrætti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yfirstandandi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Verður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erfitt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sveitastjórnarstigið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sem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útgjöld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mikil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svigrúm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lítið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frekari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skuldsetningar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skattahækkana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Staða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einstakra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þó </w:t>
      </w:r>
      <w:proofErr w:type="spellStart"/>
      <w:r w:rsidRPr="00565FD5">
        <w:rPr>
          <w:rFonts w:ascii="Times New Roman" w:hAnsi="Times New Roman"/>
          <w:sz w:val="22"/>
          <w:lang w:val="is-IS"/>
        </w:rPr>
        <w:t>misjöfn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þessari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umfjöllun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rætt um A-</w:t>
      </w:r>
      <w:proofErr w:type="spellStart"/>
      <w:r w:rsidRPr="00565FD5">
        <w:rPr>
          <w:rFonts w:ascii="Times New Roman" w:hAnsi="Times New Roman"/>
          <w:sz w:val="22"/>
          <w:lang w:val="is-IS"/>
        </w:rPr>
        <w:t>hluta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heild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</w:p>
    <w:p w14:paraId="1C2C02BB" w14:textId="77777777" w:rsidR="00565FD5" w:rsidRPr="00565FD5" w:rsidRDefault="00565FD5" w:rsidP="00565FD5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565FD5">
        <w:rPr>
          <w:rFonts w:ascii="Times New Roman" w:hAnsi="Times New Roman"/>
          <w:b/>
          <w:sz w:val="22"/>
          <w:szCs w:val="22"/>
        </w:rPr>
        <w:lastRenderedPageBreak/>
        <w:t>Tekjur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uxu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um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nærri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þriðjung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frá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2012-2017</w:t>
      </w:r>
    </w:p>
    <w:p w14:paraId="5F716FE3" w14:textId="77777777" w:rsidR="00565FD5" w:rsidRPr="00565FD5" w:rsidRDefault="00565FD5" w:rsidP="00565FD5">
      <w:pPr>
        <w:rPr>
          <w:rFonts w:ascii="Times New Roman" w:hAnsi="Times New Roman"/>
          <w:sz w:val="22"/>
          <w:lang w:val="is-IS"/>
        </w:rPr>
      </w:pPr>
      <w:proofErr w:type="spellStart"/>
      <w:r w:rsidRPr="00565FD5">
        <w:rPr>
          <w:rFonts w:ascii="Times New Roman" w:hAnsi="Times New Roman"/>
          <w:sz w:val="22"/>
          <w:lang w:val="is-IS"/>
        </w:rPr>
        <w:t>Ef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litið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framhjá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greiðslum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úr </w:t>
      </w:r>
      <w:proofErr w:type="spellStart"/>
      <w:r w:rsidRPr="00565FD5">
        <w:rPr>
          <w:rFonts w:ascii="Times New Roman" w:hAnsi="Times New Roman"/>
          <w:sz w:val="22"/>
          <w:lang w:val="is-IS"/>
        </w:rPr>
        <w:t>Jöfnunarsjóði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þá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uxu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A-</w:t>
      </w:r>
      <w:proofErr w:type="spellStart"/>
      <w:r w:rsidRPr="00565FD5">
        <w:rPr>
          <w:rFonts w:ascii="Times New Roman" w:hAnsi="Times New Roman"/>
          <w:sz w:val="22"/>
          <w:lang w:val="is-IS"/>
        </w:rPr>
        <w:t>hluta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um </w:t>
      </w:r>
      <w:proofErr w:type="spellStart"/>
      <w:r w:rsidRPr="00565FD5">
        <w:rPr>
          <w:rFonts w:ascii="Times New Roman" w:hAnsi="Times New Roman"/>
          <w:sz w:val="22"/>
          <w:lang w:val="is-IS"/>
        </w:rPr>
        <w:t>ríflega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94 </w:t>
      </w:r>
      <w:proofErr w:type="spellStart"/>
      <w:r w:rsidRPr="00565FD5">
        <w:rPr>
          <w:rFonts w:ascii="Times New Roman" w:hAnsi="Times New Roman"/>
          <w:sz w:val="22"/>
          <w:lang w:val="is-IS"/>
        </w:rPr>
        <w:t>milljarða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króna </w:t>
      </w:r>
      <w:proofErr w:type="spellStart"/>
      <w:r w:rsidRPr="00565FD5">
        <w:rPr>
          <w:rFonts w:ascii="Times New Roman" w:hAnsi="Times New Roman"/>
          <w:sz w:val="22"/>
          <w:lang w:val="is-IS"/>
        </w:rPr>
        <w:t>frá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árinu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2012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ársins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2017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föstu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verðlagi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Samsvarar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29%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tekjuaukningu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íbúa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, </w:t>
      </w:r>
      <w:proofErr w:type="spellStart"/>
      <w:r w:rsidRPr="00565FD5">
        <w:rPr>
          <w:rFonts w:ascii="Times New Roman" w:hAnsi="Times New Roman"/>
          <w:sz w:val="22"/>
          <w:lang w:val="is-IS"/>
        </w:rPr>
        <w:t>eða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ríflega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200 </w:t>
      </w:r>
      <w:proofErr w:type="spellStart"/>
      <w:r w:rsidRPr="00565FD5">
        <w:rPr>
          <w:rFonts w:ascii="Times New Roman" w:hAnsi="Times New Roman"/>
          <w:sz w:val="22"/>
          <w:lang w:val="is-IS"/>
        </w:rPr>
        <w:t>þúsund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krónum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árlega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</w:p>
    <w:p w14:paraId="1DDE3AE6" w14:textId="77777777" w:rsidR="00565FD5" w:rsidRDefault="00565FD5" w:rsidP="00565FD5">
      <w:r>
        <w:rPr>
          <w:noProof/>
        </w:rPr>
        <w:drawing>
          <wp:inline distT="0" distB="0" distL="0" distR="0" wp14:anchorId="78C1AA3F" wp14:editId="38AD1904">
            <wp:extent cx="5433029" cy="411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9" cy="411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71863E74" w14:textId="77777777" w:rsidR="00565FD5" w:rsidRPr="00565FD5" w:rsidRDefault="00565FD5" w:rsidP="00565FD5">
      <w:pPr>
        <w:rPr>
          <w:rFonts w:ascii="Times New Roman" w:hAnsi="Times New Roman"/>
          <w:sz w:val="22"/>
          <w:lang w:val="is-IS"/>
        </w:rPr>
      </w:pP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mati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Samtaka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atvinnulífsins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hefði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mikil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aukning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skila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sér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meiri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afgangi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rekstri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raunin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var.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hagvaxtarskeið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sem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nú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líða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undir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lok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eitt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lengsta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Íslandssögunni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sem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uppgangur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aldrei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eilífur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var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fyrirséð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viðlíka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tekjuaukning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sveitarfélögin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hafa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notið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góðs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síðustu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myndi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lokum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taka </w:t>
      </w:r>
      <w:proofErr w:type="spellStart"/>
      <w:r w:rsidRPr="00565FD5">
        <w:rPr>
          <w:rFonts w:ascii="Times New Roman" w:hAnsi="Times New Roman"/>
          <w:sz w:val="22"/>
          <w:lang w:val="is-IS"/>
        </w:rPr>
        <w:t>enda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Nú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hægir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gangi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íslensks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efnahags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spáð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samdrætti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yfirstandandi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Blasir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uppsveiflan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hefði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mátt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betur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nýtt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búa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haginn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tíð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erfitt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getur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reynst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sveitarfélögin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bregðast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tekjusamdrætti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verandi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búin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auka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verulega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útgjöld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sín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uppgangstímanum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</w:p>
    <w:p w14:paraId="4616CB1F" w14:textId="77777777" w:rsidR="00565FD5" w:rsidRPr="00565FD5" w:rsidRDefault="00565FD5" w:rsidP="00565FD5">
      <w:pPr>
        <w:rPr>
          <w:rFonts w:ascii="Times New Roman" w:hAnsi="Times New Roman"/>
          <w:sz w:val="22"/>
          <w:lang w:val="is-IS"/>
        </w:rPr>
      </w:pPr>
      <w:proofErr w:type="spellStart"/>
      <w:r w:rsidRPr="00565FD5">
        <w:rPr>
          <w:rFonts w:ascii="Times New Roman" w:hAnsi="Times New Roman"/>
          <w:sz w:val="22"/>
          <w:lang w:val="is-IS"/>
        </w:rPr>
        <w:t>Takmarkaður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afgangur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tilkominn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vegna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útgjaldaaukningar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Þrátt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skatttekjur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íbúa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hafi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vaxið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um 212 </w:t>
      </w:r>
      <w:proofErr w:type="spellStart"/>
      <w:r w:rsidRPr="00565FD5">
        <w:rPr>
          <w:rFonts w:ascii="Times New Roman" w:hAnsi="Times New Roman"/>
          <w:sz w:val="22"/>
          <w:lang w:val="is-IS"/>
        </w:rPr>
        <w:t>þúsund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krónur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árunum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2012-2017 </w:t>
      </w:r>
      <w:proofErr w:type="spellStart"/>
      <w:r w:rsidRPr="00565FD5">
        <w:rPr>
          <w:rFonts w:ascii="Times New Roman" w:hAnsi="Times New Roman"/>
          <w:sz w:val="22"/>
          <w:lang w:val="is-IS"/>
        </w:rPr>
        <w:t>jókst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afkoman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aðeins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um 36 </w:t>
      </w:r>
      <w:proofErr w:type="spellStart"/>
      <w:r w:rsidRPr="00565FD5">
        <w:rPr>
          <w:rFonts w:ascii="Times New Roman" w:hAnsi="Times New Roman"/>
          <w:sz w:val="22"/>
          <w:lang w:val="is-IS"/>
        </w:rPr>
        <w:t>þúsund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krónur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íbúa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,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var </w:t>
      </w:r>
      <w:proofErr w:type="spellStart"/>
      <w:r w:rsidRPr="00565FD5">
        <w:rPr>
          <w:rFonts w:ascii="Times New Roman" w:hAnsi="Times New Roman"/>
          <w:sz w:val="22"/>
          <w:lang w:val="is-IS"/>
        </w:rPr>
        <w:t>tæplega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helmingur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bættrar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afkomu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tilkominn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vegna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lægri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fjármagnskostnaðar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</w:p>
    <w:p w14:paraId="737B3C26" w14:textId="77777777" w:rsidR="00565FD5" w:rsidRPr="00565FD5" w:rsidRDefault="00565FD5" w:rsidP="00565FD5">
      <w:pPr>
        <w:rPr>
          <w:rFonts w:ascii="Times New Roman" w:hAnsi="Times New Roman"/>
          <w:sz w:val="22"/>
          <w:lang w:val="is-IS"/>
        </w:rPr>
      </w:pPr>
    </w:p>
    <w:p w14:paraId="59BF807A" w14:textId="77777777" w:rsidR="00565FD5" w:rsidRDefault="00565FD5" w:rsidP="00565FD5">
      <w:r>
        <w:rPr>
          <w:noProof/>
        </w:rPr>
        <w:lastRenderedPageBreak/>
        <w:drawing>
          <wp:inline distT="0" distB="0" distL="0" distR="0" wp14:anchorId="63A5781B" wp14:editId="5DFD92DA">
            <wp:extent cx="5731510" cy="298958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2B0C022" w14:textId="77777777" w:rsidR="00565FD5" w:rsidRPr="00565FD5" w:rsidRDefault="00565FD5" w:rsidP="00565FD5">
      <w:pPr>
        <w:rPr>
          <w:rFonts w:ascii="Times New Roman" w:hAnsi="Times New Roman"/>
          <w:b/>
          <w:sz w:val="22"/>
          <w:szCs w:val="22"/>
        </w:rPr>
      </w:pPr>
      <w:r w:rsidRPr="00565FD5">
        <w:rPr>
          <w:rFonts w:ascii="Times New Roman" w:hAnsi="Times New Roman"/>
          <w:b/>
          <w:sz w:val="22"/>
          <w:szCs w:val="22"/>
        </w:rPr>
        <w:t xml:space="preserve">Ekki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dregið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úr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skattheimtu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þrátt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fyrir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tekjuaukningu</w:t>
      </w:r>
      <w:proofErr w:type="spellEnd"/>
    </w:p>
    <w:p w14:paraId="71C79CD5" w14:textId="77777777" w:rsidR="00565FD5" w:rsidRPr="00565FD5" w:rsidRDefault="00565FD5" w:rsidP="00565FD5">
      <w:pPr>
        <w:rPr>
          <w:rFonts w:ascii="Times New Roman" w:hAnsi="Times New Roman"/>
          <w:sz w:val="22"/>
          <w:lang w:val="is-IS"/>
        </w:rPr>
      </w:pPr>
      <w:proofErr w:type="spellStart"/>
      <w:r w:rsidRPr="00565FD5">
        <w:rPr>
          <w:rFonts w:ascii="Times New Roman" w:hAnsi="Times New Roman"/>
          <w:sz w:val="22"/>
          <w:lang w:val="is-IS"/>
        </w:rPr>
        <w:t>Þrátt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tekjustofnar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hafi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styrkst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umtalsvert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undanförnum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aukin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verðmætasköpun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samfélaginu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hafi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aukið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lítið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farið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lækkun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skattprósenta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Vegið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meðalútsvar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enn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2012, </w:t>
      </w:r>
      <w:proofErr w:type="spellStart"/>
      <w:r w:rsidRPr="00565FD5">
        <w:rPr>
          <w:rFonts w:ascii="Times New Roman" w:hAnsi="Times New Roman"/>
          <w:sz w:val="22"/>
          <w:lang w:val="is-IS"/>
        </w:rPr>
        <w:t>eða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14,44%,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72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sveitarfélögum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Íslandi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55 </w:t>
      </w:r>
      <w:proofErr w:type="spellStart"/>
      <w:r w:rsidRPr="00565FD5">
        <w:rPr>
          <w:rFonts w:ascii="Times New Roman" w:hAnsi="Times New Roman"/>
          <w:sz w:val="22"/>
          <w:lang w:val="is-IS"/>
        </w:rPr>
        <w:t>með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útsvarsprósentu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sína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lögbundnu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hámarki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Frekar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lækka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samhliða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auknum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vegna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sterkari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skattstofna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hafa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sveitarfélögin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haldið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skattheimtu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því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notið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gríðarlegs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tekjuauka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undanförnum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</w:p>
    <w:p w14:paraId="11D89855" w14:textId="77777777" w:rsidR="00565FD5" w:rsidRDefault="00565FD5" w:rsidP="00565FD5">
      <w:r>
        <w:rPr>
          <w:noProof/>
        </w:rPr>
        <w:drawing>
          <wp:inline distT="0" distB="0" distL="0" distR="0" wp14:anchorId="63F79660" wp14:editId="2C50D145">
            <wp:extent cx="4019550" cy="359737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8232" cy="360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8BF95" w14:textId="77777777" w:rsidR="00565FD5" w:rsidRPr="00663AED" w:rsidRDefault="00565FD5" w:rsidP="00565FD5">
      <w:proofErr w:type="spellStart"/>
      <w:r w:rsidRPr="00565FD5">
        <w:rPr>
          <w:rFonts w:ascii="Times New Roman" w:hAnsi="Times New Roman"/>
          <w:sz w:val="22"/>
          <w:lang w:val="is-IS"/>
        </w:rPr>
        <w:lastRenderedPageBreak/>
        <w:t>Annar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stór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tekjustofn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fasteignaskattur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, </w:t>
      </w:r>
      <w:proofErr w:type="spellStart"/>
      <w:r w:rsidRPr="00565FD5">
        <w:rPr>
          <w:rFonts w:ascii="Times New Roman" w:hAnsi="Times New Roman"/>
          <w:sz w:val="22"/>
          <w:lang w:val="is-IS"/>
        </w:rPr>
        <w:t>sér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lagi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atvinnuhúsnæði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,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2018 var </w:t>
      </w:r>
      <w:proofErr w:type="spellStart"/>
      <w:r w:rsidRPr="00565FD5">
        <w:rPr>
          <w:rFonts w:ascii="Times New Roman" w:hAnsi="Times New Roman"/>
          <w:sz w:val="22"/>
          <w:lang w:val="is-IS"/>
        </w:rPr>
        <w:t>ríflega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helmingur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fasteignaskatti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tilkominn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vegna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álagningar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atvinnuhúsnæði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Atvinnuhúsnæði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þó </w:t>
      </w:r>
      <w:proofErr w:type="spellStart"/>
      <w:r w:rsidRPr="00565FD5">
        <w:rPr>
          <w:rFonts w:ascii="Times New Roman" w:hAnsi="Times New Roman"/>
          <w:sz w:val="22"/>
          <w:lang w:val="is-IS"/>
        </w:rPr>
        <w:t>einungis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um 20%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heildarverðmæti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húsnæðis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landinu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vegin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meðalfasteignaskattsprósenta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atvinnuhúsnæði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um </w:t>
      </w:r>
      <w:proofErr w:type="spellStart"/>
      <w:r w:rsidRPr="00565FD5">
        <w:rPr>
          <w:rFonts w:ascii="Times New Roman" w:hAnsi="Times New Roman"/>
          <w:sz w:val="22"/>
          <w:lang w:val="is-IS"/>
        </w:rPr>
        <w:t>sexfalt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hærri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íbúðarhúsnæði.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Samhliða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mikilli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hækkun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fasteignamats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atvinnuhúsnæðis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síðastliðnum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,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hluta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tilkominni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vegna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breyttrar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aðferðar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mat </w:t>
      </w:r>
      <w:proofErr w:type="spellStart"/>
      <w:r w:rsidRPr="00565FD5">
        <w:rPr>
          <w:rFonts w:ascii="Times New Roman" w:hAnsi="Times New Roman"/>
          <w:sz w:val="22"/>
          <w:lang w:val="is-IS"/>
        </w:rPr>
        <w:t>þess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, </w:t>
      </w:r>
      <w:proofErr w:type="spellStart"/>
      <w:r w:rsidRPr="00565FD5">
        <w:rPr>
          <w:rFonts w:ascii="Times New Roman" w:hAnsi="Times New Roman"/>
          <w:sz w:val="22"/>
          <w:lang w:val="is-IS"/>
        </w:rPr>
        <w:t>hafa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senn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aukist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skattinum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um </w:t>
      </w:r>
      <w:proofErr w:type="spellStart"/>
      <w:r w:rsidRPr="00565FD5">
        <w:rPr>
          <w:rFonts w:ascii="Times New Roman" w:hAnsi="Times New Roman"/>
          <w:sz w:val="22"/>
          <w:lang w:val="is-IS"/>
        </w:rPr>
        <w:t>leið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skattheimtan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þyngt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rekstur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margra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fyrirtækja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fasteignaskatti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hafa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vaxið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ört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hér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landi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svo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komið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slík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skattheimta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nærri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tvöfalt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hærra </w:t>
      </w:r>
      <w:proofErr w:type="spellStart"/>
      <w:r w:rsidRPr="00565FD5">
        <w:rPr>
          <w:rFonts w:ascii="Times New Roman" w:hAnsi="Times New Roman"/>
          <w:sz w:val="22"/>
          <w:lang w:val="is-IS"/>
        </w:rPr>
        <w:t>hlutfall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landsframleiðslu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hér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meðaltali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hinum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Norðurlöndunum</w:t>
      </w:r>
      <w:proofErr w:type="spellEnd"/>
      <w:r w:rsidRPr="00565FD5">
        <w:rPr>
          <w:rFonts w:ascii="Times New Roman" w:hAnsi="Times New Roman"/>
          <w:sz w:val="22"/>
          <w:lang w:val="is-IS"/>
        </w:rPr>
        <w:t>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379093A" wp14:editId="4563C2A6">
            <wp:extent cx="5731510" cy="46951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A94A5" w14:textId="77777777" w:rsidR="00565FD5" w:rsidRPr="00565FD5" w:rsidRDefault="00565FD5" w:rsidP="00565FD5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565FD5">
        <w:rPr>
          <w:rFonts w:ascii="Times New Roman" w:hAnsi="Times New Roman"/>
          <w:b/>
          <w:sz w:val="22"/>
          <w:szCs w:val="22"/>
        </w:rPr>
        <w:t>Skuldir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sveitarfélaga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jukust</w:t>
      </w:r>
      <w:proofErr w:type="spellEnd"/>
      <w:r w:rsidRPr="00565FD5">
        <w:rPr>
          <w:rFonts w:ascii="Times New Roman" w:hAnsi="Times New Roman"/>
          <w:b/>
          <w:sz w:val="22"/>
          <w:szCs w:val="22"/>
        </w:rPr>
        <w:t xml:space="preserve"> í </w:t>
      </w:r>
      <w:proofErr w:type="spellStart"/>
      <w:r w:rsidRPr="00565FD5">
        <w:rPr>
          <w:rFonts w:ascii="Times New Roman" w:hAnsi="Times New Roman"/>
          <w:b/>
          <w:sz w:val="22"/>
          <w:szCs w:val="22"/>
        </w:rPr>
        <w:t>efnahagsuppsveiflunni</w:t>
      </w:r>
      <w:proofErr w:type="spellEnd"/>
    </w:p>
    <w:p w14:paraId="60E5256D" w14:textId="77777777" w:rsidR="00565FD5" w:rsidRPr="00565FD5" w:rsidRDefault="00565FD5" w:rsidP="00565FD5">
      <w:pPr>
        <w:rPr>
          <w:rFonts w:ascii="Times New Roman" w:hAnsi="Times New Roman"/>
          <w:sz w:val="22"/>
          <w:lang w:val="is-IS"/>
        </w:rPr>
      </w:pPr>
      <w:proofErr w:type="spellStart"/>
      <w:r w:rsidRPr="00565FD5">
        <w:rPr>
          <w:rFonts w:ascii="Times New Roman" w:hAnsi="Times New Roman"/>
          <w:sz w:val="22"/>
          <w:lang w:val="is-IS"/>
        </w:rPr>
        <w:t>Tekjuvöxtur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núverandi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uppsveiflu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gert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heimilum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,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fyrirtækjum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hinu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opinbera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kleift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greiða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niður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skuldir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Með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því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aðilar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ekki </w:t>
      </w:r>
      <w:proofErr w:type="spellStart"/>
      <w:r w:rsidRPr="00565FD5">
        <w:rPr>
          <w:rFonts w:ascii="Times New Roman" w:hAnsi="Times New Roman"/>
          <w:sz w:val="22"/>
          <w:lang w:val="is-IS"/>
        </w:rPr>
        <w:t>eins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útsettir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efnahagsáföllum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,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tekjubresti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óvæntum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útgjöldum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 </w:t>
      </w:r>
      <w:proofErr w:type="spellStart"/>
      <w:r w:rsidRPr="00565FD5">
        <w:rPr>
          <w:rFonts w:ascii="Times New Roman" w:hAnsi="Times New Roman"/>
          <w:sz w:val="22"/>
          <w:lang w:val="is-IS"/>
        </w:rPr>
        <w:t>Hrein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erlend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staða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Íslands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aldrei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betri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eins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hafa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ríkisskuldir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greiddar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hratt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niður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undangengum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Sömu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sögu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ekki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segja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sveitastjórnarstiginu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Heildarskuldsetning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A-</w:t>
      </w:r>
      <w:proofErr w:type="spellStart"/>
      <w:r w:rsidRPr="00565FD5">
        <w:rPr>
          <w:rFonts w:ascii="Times New Roman" w:hAnsi="Times New Roman"/>
          <w:sz w:val="22"/>
          <w:lang w:val="is-IS"/>
        </w:rPr>
        <w:t>hluta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mann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, </w:t>
      </w:r>
      <w:proofErr w:type="spellStart"/>
      <w:r w:rsidRPr="00565FD5">
        <w:rPr>
          <w:rFonts w:ascii="Times New Roman" w:hAnsi="Times New Roman"/>
          <w:sz w:val="22"/>
          <w:lang w:val="is-IS"/>
        </w:rPr>
        <w:t>leiðrétt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verðlagsbreytingum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, </w:t>
      </w:r>
      <w:proofErr w:type="spellStart"/>
      <w:r w:rsidRPr="00565FD5">
        <w:rPr>
          <w:rFonts w:ascii="Times New Roman" w:hAnsi="Times New Roman"/>
          <w:sz w:val="22"/>
          <w:lang w:val="is-IS"/>
        </w:rPr>
        <w:t>jókst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um 15 </w:t>
      </w:r>
      <w:proofErr w:type="spellStart"/>
      <w:r w:rsidRPr="00565FD5">
        <w:rPr>
          <w:rFonts w:ascii="Times New Roman" w:hAnsi="Times New Roman"/>
          <w:sz w:val="22"/>
          <w:lang w:val="is-IS"/>
        </w:rPr>
        <w:t>prósent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árunum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2012-2017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tíma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lækkuðu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skuldir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ríkissjóðs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um </w:t>
      </w:r>
      <w:proofErr w:type="spellStart"/>
      <w:r w:rsidRPr="00565FD5">
        <w:rPr>
          <w:rFonts w:ascii="Times New Roman" w:hAnsi="Times New Roman"/>
          <w:sz w:val="22"/>
          <w:lang w:val="is-IS"/>
        </w:rPr>
        <w:t>nærri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þriðjung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Sveitarfélagastigið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heild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því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aukið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skuldsetningu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sína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hagvaxtarskeiðinu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sem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líða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þrátt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njóta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góðs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af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gríðarlegri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tekjuaukningu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tímabilinu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 </w:t>
      </w:r>
    </w:p>
    <w:p w14:paraId="51D9BC3C" w14:textId="77777777" w:rsidR="00565FD5" w:rsidRDefault="00565FD5" w:rsidP="00565FD5">
      <w:r>
        <w:rPr>
          <w:noProof/>
        </w:rPr>
        <w:lastRenderedPageBreak/>
        <w:drawing>
          <wp:inline distT="0" distB="0" distL="0" distR="0" wp14:anchorId="1F2F2636" wp14:editId="6ED9992A">
            <wp:extent cx="5731510" cy="358076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2A62" w14:textId="77777777" w:rsidR="00565FD5" w:rsidRPr="00565FD5" w:rsidRDefault="00565FD5" w:rsidP="00565FD5">
      <w:pPr>
        <w:rPr>
          <w:rFonts w:ascii="Times New Roman" w:hAnsi="Times New Roman"/>
          <w:sz w:val="22"/>
          <w:lang w:val="is-IS"/>
        </w:rPr>
      </w:pPr>
      <w:proofErr w:type="spellStart"/>
      <w:r w:rsidRPr="00565FD5">
        <w:rPr>
          <w:rFonts w:ascii="Times New Roman" w:hAnsi="Times New Roman"/>
          <w:sz w:val="22"/>
          <w:lang w:val="is-IS"/>
        </w:rPr>
        <w:t>Áhyggjuefni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hversu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takmarkað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aðhald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sveitarstjórnarstigi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undanfarin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Treyst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miklar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fjármagna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sívaxandi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útgjöld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verður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drjúg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áskorun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bregðast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breyttum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efnahagsaðstæðum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sem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ekki </w:t>
      </w:r>
      <w:proofErr w:type="spellStart"/>
      <w:r w:rsidRPr="00565FD5">
        <w:rPr>
          <w:rFonts w:ascii="Times New Roman" w:hAnsi="Times New Roman"/>
          <w:sz w:val="22"/>
          <w:lang w:val="is-IS"/>
        </w:rPr>
        <w:t>hefur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dregið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úr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skattheimtu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uppgangstímanum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lítið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svigrúm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auka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með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skattahækkunum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verði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sveitarfélögin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tekjumissi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því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auðséð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fara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verður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aðrar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leiðir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Samtök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atvinnulífsins </w:t>
      </w:r>
      <w:proofErr w:type="spellStart"/>
      <w:r w:rsidRPr="00565FD5">
        <w:rPr>
          <w:rFonts w:ascii="Times New Roman" w:hAnsi="Times New Roman"/>
          <w:sz w:val="22"/>
          <w:lang w:val="is-IS"/>
        </w:rPr>
        <w:t>hvetja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sveitarfélög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til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sýna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aðhald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komandi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árum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hagræða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í </w:t>
      </w:r>
      <w:proofErr w:type="spellStart"/>
      <w:r w:rsidRPr="00565FD5">
        <w:rPr>
          <w:rFonts w:ascii="Times New Roman" w:hAnsi="Times New Roman"/>
          <w:sz w:val="22"/>
          <w:lang w:val="is-IS"/>
        </w:rPr>
        <w:t>rekstri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fremur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skuldsetja sig </w:t>
      </w:r>
      <w:proofErr w:type="spellStart"/>
      <w:r w:rsidRPr="00565FD5">
        <w:rPr>
          <w:rFonts w:ascii="Times New Roman" w:hAnsi="Times New Roman"/>
          <w:sz w:val="22"/>
          <w:lang w:val="is-IS"/>
        </w:rPr>
        <w:t>enn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frekar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eða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auka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álögur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á </w:t>
      </w:r>
      <w:proofErr w:type="spellStart"/>
      <w:r w:rsidRPr="00565FD5">
        <w:rPr>
          <w:rFonts w:ascii="Times New Roman" w:hAnsi="Times New Roman"/>
          <w:sz w:val="22"/>
          <w:lang w:val="is-IS"/>
        </w:rPr>
        <w:t>fólk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fyrirtæki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. </w:t>
      </w:r>
      <w:proofErr w:type="spellStart"/>
      <w:r w:rsidRPr="00565FD5">
        <w:rPr>
          <w:rFonts w:ascii="Times New Roman" w:hAnsi="Times New Roman"/>
          <w:sz w:val="22"/>
          <w:lang w:val="is-IS"/>
        </w:rPr>
        <w:t>Framundan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breyttar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efnahagsaðstæður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og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ekki </w:t>
      </w:r>
      <w:proofErr w:type="spellStart"/>
      <w:r w:rsidRPr="00565FD5">
        <w:rPr>
          <w:rFonts w:ascii="Times New Roman" w:hAnsi="Times New Roman"/>
          <w:sz w:val="22"/>
          <w:lang w:val="is-IS"/>
        </w:rPr>
        <w:t>síður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verkefni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opinberra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aðila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en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einkaaðila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bregðast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við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þeim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með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betri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nýtingu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þeirra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fjármuna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sem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úr </w:t>
      </w:r>
      <w:proofErr w:type="spellStart"/>
      <w:r w:rsidRPr="00565FD5">
        <w:rPr>
          <w:rFonts w:ascii="Times New Roman" w:hAnsi="Times New Roman"/>
          <w:sz w:val="22"/>
          <w:lang w:val="is-IS"/>
        </w:rPr>
        <w:t>er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að</w:t>
      </w:r>
      <w:proofErr w:type="spellEnd"/>
      <w:r w:rsidRPr="00565FD5">
        <w:rPr>
          <w:rFonts w:ascii="Times New Roman" w:hAnsi="Times New Roman"/>
          <w:sz w:val="22"/>
          <w:lang w:val="is-IS"/>
        </w:rPr>
        <w:t xml:space="preserve"> </w:t>
      </w:r>
      <w:proofErr w:type="spellStart"/>
      <w:r w:rsidRPr="00565FD5">
        <w:rPr>
          <w:rFonts w:ascii="Times New Roman" w:hAnsi="Times New Roman"/>
          <w:sz w:val="22"/>
          <w:lang w:val="is-IS"/>
        </w:rPr>
        <w:t>spila</w:t>
      </w:r>
      <w:proofErr w:type="spellEnd"/>
      <w:r w:rsidRPr="00565FD5">
        <w:rPr>
          <w:rFonts w:ascii="Times New Roman" w:hAnsi="Times New Roman"/>
          <w:sz w:val="22"/>
          <w:lang w:val="is-IS"/>
        </w:rPr>
        <w:t>.</w:t>
      </w:r>
    </w:p>
    <w:p w14:paraId="181F59EC" w14:textId="77777777" w:rsidR="00565FD5" w:rsidRPr="00565FD5" w:rsidRDefault="00565FD5" w:rsidP="00565FD5">
      <w:pPr>
        <w:rPr>
          <w:rFonts w:ascii="Times New Roman" w:hAnsi="Times New Roman"/>
          <w:sz w:val="22"/>
          <w:lang w:val="is-IS"/>
        </w:rPr>
      </w:pPr>
    </w:p>
    <w:p w14:paraId="4E0B962C" w14:textId="77777777" w:rsidR="00D051E2" w:rsidRPr="00D051E2" w:rsidRDefault="00D051E2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12C72818" w14:textId="6BB70D73" w:rsidR="00664B08" w:rsidRPr="00D051E2" w:rsidRDefault="00664B08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>Virðingarfyllst,</w:t>
      </w:r>
    </w:p>
    <w:p w14:paraId="688BF700" w14:textId="278446DF" w:rsidR="00664B08" w:rsidRPr="00D051E2" w:rsidRDefault="00664B08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0F4D1FBE" w14:textId="6602F3B5" w:rsidR="00664B08" w:rsidRDefault="00AF4861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2C596" wp14:editId="47D36A15">
            <wp:simplePos x="0" y="0"/>
            <wp:positionH relativeFrom="column">
              <wp:posOffset>3801745</wp:posOffset>
            </wp:positionH>
            <wp:positionV relativeFrom="paragraph">
              <wp:posOffset>158750</wp:posOffset>
            </wp:positionV>
            <wp:extent cx="1190625" cy="448310"/>
            <wp:effectExtent l="0" t="0" r="9525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B08" w:rsidRPr="00D051E2">
        <w:rPr>
          <w:rFonts w:ascii="Times New Roman" w:hAnsi="Times New Roman"/>
          <w:sz w:val="22"/>
          <w:lang w:val="is-IS"/>
        </w:rPr>
        <w:t>f.h. Samtaka atvinnulífsins</w:t>
      </w:r>
    </w:p>
    <w:p w14:paraId="70DB9FB6" w14:textId="6E7A545A" w:rsidR="00BC366F" w:rsidRPr="00D051E2" w:rsidRDefault="00F92074" w:rsidP="00565FD5">
      <w:pPr>
        <w:rPr>
          <w:rFonts w:ascii="Times New Roman" w:hAnsi="Times New Roman"/>
          <w:sz w:val="22"/>
          <w:lang w:val="is-IS"/>
        </w:rPr>
      </w:pPr>
      <w:r w:rsidRPr="00565FD5">
        <w:rPr>
          <w:rFonts w:ascii="Times New Roman" w:hAnsi="Times New Roman"/>
          <w:sz w:val="22"/>
          <w:lang w:val="is-IS"/>
        </w:rPr>
        <w:drawing>
          <wp:anchor distT="0" distB="0" distL="114300" distR="114300" simplePos="0" relativeHeight="251658240" behindDoc="1" locked="0" layoutInCell="1" allowOverlap="1" wp14:anchorId="07F13C87" wp14:editId="13F7AC45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56210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337" y="20935"/>
                <wp:lineTo x="213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96262" w14:textId="55BB3344" w:rsidR="00664B08" w:rsidRPr="00D051E2" w:rsidRDefault="00664B08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154B86AE" w14:textId="623F69E4" w:rsidR="002D629C" w:rsidRPr="00D051E2" w:rsidRDefault="002D629C" w:rsidP="009A0AD8">
      <w:pPr>
        <w:spacing w:line="260" w:lineRule="exact"/>
        <w:jc w:val="both"/>
        <w:rPr>
          <w:rFonts w:ascii="Times New Roman" w:hAnsi="Times New Roman"/>
          <w:sz w:val="22"/>
          <w:lang w:val="is-IS"/>
        </w:rPr>
      </w:pPr>
    </w:p>
    <w:p w14:paraId="550BC728" w14:textId="4B0EBE08" w:rsidR="005325F4" w:rsidRPr="00D051E2" w:rsidRDefault="00664B08" w:rsidP="00565FD5">
      <w:pPr>
        <w:rPr>
          <w:rFonts w:ascii="Times New Roman" w:hAnsi="Times New Roman"/>
          <w:sz w:val="22"/>
          <w:lang w:val="is-IS"/>
        </w:rPr>
      </w:pPr>
      <w:r w:rsidRPr="00D051E2">
        <w:rPr>
          <w:rFonts w:ascii="Times New Roman" w:hAnsi="Times New Roman"/>
          <w:sz w:val="22"/>
          <w:lang w:val="is-IS"/>
        </w:rPr>
        <w:t>Heiðrún Björk Gísladóttir</w:t>
      </w:r>
      <w:r w:rsidR="006962A5">
        <w:rPr>
          <w:rFonts w:ascii="Times New Roman" w:hAnsi="Times New Roman"/>
          <w:sz w:val="22"/>
          <w:lang w:val="is-IS"/>
        </w:rPr>
        <w:tab/>
      </w:r>
      <w:r w:rsidR="006962A5">
        <w:rPr>
          <w:rFonts w:ascii="Times New Roman" w:hAnsi="Times New Roman"/>
          <w:sz w:val="22"/>
          <w:lang w:val="is-IS"/>
        </w:rPr>
        <w:tab/>
      </w:r>
      <w:r w:rsidR="006962A5">
        <w:rPr>
          <w:rFonts w:ascii="Times New Roman" w:hAnsi="Times New Roman"/>
          <w:sz w:val="22"/>
          <w:lang w:val="is-IS"/>
        </w:rPr>
        <w:tab/>
      </w:r>
      <w:r w:rsidR="006962A5">
        <w:rPr>
          <w:rFonts w:ascii="Times New Roman" w:hAnsi="Times New Roman"/>
          <w:sz w:val="22"/>
          <w:lang w:val="is-IS"/>
        </w:rPr>
        <w:tab/>
      </w:r>
      <w:r w:rsidR="006962A5">
        <w:rPr>
          <w:rFonts w:ascii="Times New Roman" w:hAnsi="Times New Roman"/>
          <w:sz w:val="22"/>
          <w:lang w:val="is-IS"/>
        </w:rPr>
        <w:tab/>
      </w:r>
      <w:r w:rsidR="006962A5">
        <w:rPr>
          <w:rFonts w:ascii="Times New Roman" w:hAnsi="Times New Roman"/>
          <w:sz w:val="22"/>
          <w:lang w:val="is-IS"/>
        </w:rPr>
        <w:tab/>
        <w:t>Óttar Snædal</w:t>
      </w:r>
      <w:bookmarkStart w:id="0" w:name="_GoBack"/>
      <w:bookmarkEnd w:id="0"/>
    </w:p>
    <w:sectPr w:rsidR="005325F4" w:rsidRPr="00D051E2" w:rsidSect="005325F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8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1DB1" w14:textId="77777777" w:rsidR="0043596E" w:rsidRDefault="0043596E" w:rsidP="0089343A">
      <w:r>
        <w:separator/>
      </w:r>
    </w:p>
  </w:endnote>
  <w:endnote w:type="continuationSeparator" w:id="0">
    <w:p w14:paraId="6DECF4A2" w14:textId="77777777" w:rsidR="0043596E" w:rsidRDefault="0043596E" w:rsidP="008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DE60" w14:textId="77777777" w:rsidR="005325F4" w:rsidRDefault="00532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4BAE" w14:textId="77777777" w:rsidR="005325F4" w:rsidRDefault="00532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D57F" w14:textId="77777777" w:rsidR="005325F4" w:rsidRPr="005325F4" w:rsidRDefault="005325F4" w:rsidP="005325F4">
    <w:pPr>
      <w:pStyle w:val="Footer"/>
      <w:jc w:val="center"/>
      <w:rPr>
        <w:rFonts w:ascii="Arial" w:hAnsi="Arial" w:cs="Arial"/>
        <w:color w:val="5C6670"/>
        <w:sz w:val="14"/>
        <w:szCs w:val="14"/>
      </w:rPr>
    </w:pPr>
    <w:proofErr w:type="spellStart"/>
    <w:r w:rsidRPr="00B31E74">
      <w:rPr>
        <w:rFonts w:ascii="Arial" w:hAnsi="Arial" w:cs="Arial"/>
        <w:color w:val="5C6670"/>
        <w:sz w:val="14"/>
        <w:szCs w:val="14"/>
      </w:rPr>
      <w:t>Samtök</w:t>
    </w:r>
    <w:proofErr w:type="spellEnd"/>
    <w:r w:rsidRPr="00B31E74">
      <w:rPr>
        <w:rFonts w:ascii="Arial" w:hAnsi="Arial" w:cs="Arial"/>
        <w:color w:val="5C6670"/>
        <w:sz w:val="14"/>
        <w:szCs w:val="14"/>
      </w:rPr>
      <w:t xml:space="preserve"> </w:t>
    </w:r>
    <w:proofErr w:type="gramStart"/>
    <w:r w:rsidRPr="00B31E74">
      <w:rPr>
        <w:rFonts w:ascii="Arial" w:hAnsi="Arial" w:cs="Arial"/>
        <w:color w:val="5C6670"/>
        <w:sz w:val="14"/>
        <w:szCs w:val="14"/>
      </w:rPr>
      <w:t>atvinnulífsins  |</w:t>
    </w:r>
    <w:proofErr w:type="gramEnd"/>
    <w:r w:rsidRPr="00B31E74">
      <w:rPr>
        <w:rFonts w:ascii="Arial" w:hAnsi="Arial" w:cs="Arial"/>
        <w:color w:val="5C6670"/>
        <w:sz w:val="14"/>
        <w:szCs w:val="14"/>
      </w:rPr>
      <w:t xml:space="preserve">  </w:t>
    </w:r>
    <w:proofErr w:type="spellStart"/>
    <w:r w:rsidRPr="00B31E74">
      <w:rPr>
        <w:rFonts w:ascii="Arial" w:hAnsi="Arial" w:cs="Arial"/>
        <w:color w:val="5C6670"/>
        <w:sz w:val="14"/>
        <w:szCs w:val="14"/>
      </w:rPr>
      <w:t>Borgartúni</w:t>
    </w:r>
    <w:proofErr w:type="spellEnd"/>
    <w:r w:rsidRPr="00B31E74">
      <w:rPr>
        <w:rFonts w:ascii="Arial" w:hAnsi="Arial" w:cs="Arial"/>
        <w:color w:val="5C6670"/>
        <w:sz w:val="14"/>
        <w:szCs w:val="14"/>
      </w:rPr>
      <w:t xml:space="preserve"> 35  |  105 Reykjavík  |  </w:t>
    </w:r>
    <w:proofErr w:type="spellStart"/>
    <w:r w:rsidRPr="00B31E74">
      <w:rPr>
        <w:rFonts w:ascii="Arial" w:hAnsi="Arial" w:cs="Arial"/>
        <w:color w:val="5C6670"/>
        <w:sz w:val="14"/>
        <w:szCs w:val="14"/>
      </w:rPr>
      <w:t>Sími</w:t>
    </w:r>
    <w:proofErr w:type="spellEnd"/>
    <w:r w:rsidRPr="00B31E74">
      <w:rPr>
        <w:rFonts w:ascii="Arial" w:hAnsi="Arial" w:cs="Arial"/>
        <w:color w:val="5C6670"/>
        <w:sz w:val="14"/>
        <w:szCs w:val="14"/>
      </w:rPr>
      <w:t xml:space="preserve"> 591 0000  |  </w:t>
    </w:r>
    <w:proofErr w:type="spellStart"/>
    <w:r w:rsidRPr="00B31E74">
      <w:rPr>
        <w:rFonts w:ascii="Arial" w:hAnsi="Arial" w:cs="Arial"/>
        <w:color w:val="5C6670"/>
        <w:sz w:val="14"/>
        <w:szCs w:val="14"/>
      </w:rPr>
      <w:t>Netfang</w:t>
    </w:r>
    <w:proofErr w:type="spellEnd"/>
    <w:r w:rsidRPr="00B31E74">
      <w:rPr>
        <w:rFonts w:ascii="Arial" w:hAnsi="Arial" w:cs="Arial"/>
        <w:color w:val="5C6670"/>
        <w:sz w:val="14"/>
        <w:szCs w:val="14"/>
      </w:rPr>
      <w:t xml:space="preserve"> sa@sa.is  |  www.sa.is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8AAE" w14:textId="77777777" w:rsidR="0043596E" w:rsidRDefault="0043596E" w:rsidP="0089343A">
      <w:r>
        <w:separator/>
      </w:r>
    </w:p>
  </w:footnote>
  <w:footnote w:type="continuationSeparator" w:id="0">
    <w:p w14:paraId="51FB29C6" w14:textId="77777777" w:rsidR="0043596E" w:rsidRDefault="0043596E" w:rsidP="008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549F" w14:textId="77777777" w:rsidR="005325F4" w:rsidRDefault="00532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CA69" w14:textId="77777777" w:rsidR="0089343A" w:rsidRDefault="007A4DB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B2A4EF" wp14:editId="566E46FB">
          <wp:simplePos x="0" y="0"/>
          <wp:positionH relativeFrom="column">
            <wp:posOffset>5143500</wp:posOffset>
          </wp:positionH>
          <wp:positionV relativeFrom="paragraph">
            <wp:posOffset>-135890</wp:posOffset>
          </wp:positionV>
          <wp:extent cx="899795" cy="66294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326E" w14:textId="77777777" w:rsidR="005325F4" w:rsidRDefault="007A4D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5E339" wp14:editId="7A0AEBF4">
          <wp:simplePos x="0" y="0"/>
          <wp:positionH relativeFrom="column">
            <wp:posOffset>4953000</wp:posOffset>
          </wp:positionH>
          <wp:positionV relativeFrom="paragraph">
            <wp:posOffset>-21590</wp:posOffset>
          </wp:positionV>
          <wp:extent cx="1224280" cy="1172845"/>
          <wp:effectExtent l="0" t="0" r="0" b="0"/>
          <wp:wrapNone/>
          <wp:docPr id="1" name="Picture 5" descr="\\localhost\Volumes\HDD\toringolfsson\Desktop\Brefsefni WordTemplate\SA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localhost\Volumes\HDD\toringolfsson\Desktop\Brefsefni WordTemplate\SA-logo-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C6679"/>
    <w:multiLevelType w:val="hybridMultilevel"/>
    <w:tmpl w:val="DDC2DC42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11"/>
    <w:rsid w:val="00027CF1"/>
    <w:rsid w:val="000310AE"/>
    <w:rsid w:val="00031AA4"/>
    <w:rsid w:val="00035DE6"/>
    <w:rsid w:val="00037F3A"/>
    <w:rsid w:val="00040D21"/>
    <w:rsid w:val="000456F0"/>
    <w:rsid w:val="00050F06"/>
    <w:rsid w:val="000645BF"/>
    <w:rsid w:val="00070CFF"/>
    <w:rsid w:val="00090DAA"/>
    <w:rsid w:val="000916D8"/>
    <w:rsid w:val="0009171B"/>
    <w:rsid w:val="00091CBD"/>
    <w:rsid w:val="00092ACE"/>
    <w:rsid w:val="000A20D3"/>
    <w:rsid w:val="000A5E6C"/>
    <w:rsid w:val="000B2336"/>
    <w:rsid w:val="000D1682"/>
    <w:rsid w:val="000E13B4"/>
    <w:rsid w:val="000E5C88"/>
    <w:rsid w:val="000F4974"/>
    <w:rsid w:val="00105F8E"/>
    <w:rsid w:val="00115EBF"/>
    <w:rsid w:val="00117EA6"/>
    <w:rsid w:val="00125718"/>
    <w:rsid w:val="001340F9"/>
    <w:rsid w:val="0015221A"/>
    <w:rsid w:val="00156FEA"/>
    <w:rsid w:val="00173F15"/>
    <w:rsid w:val="00175833"/>
    <w:rsid w:val="00186ABC"/>
    <w:rsid w:val="00195BB1"/>
    <w:rsid w:val="001A0B78"/>
    <w:rsid w:val="001A6328"/>
    <w:rsid w:val="001A6459"/>
    <w:rsid w:val="001C3ABC"/>
    <w:rsid w:val="001C6386"/>
    <w:rsid w:val="001F5CFD"/>
    <w:rsid w:val="002033D9"/>
    <w:rsid w:val="00235AAB"/>
    <w:rsid w:val="00240B10"/>
    <w:rsid w:val="002411B3"/>
    <w:rsid w:val="00256DFD"/>
    <w:rsid w:val="00270DFD"/>
    <w:rsid w:val="00272A87"/>
    <w:rsid w:val="00275AAE"/>
    <w:rsid w:val="002777D4"/>
    <w:rsid w:val="00277D53"/>
    <w:rsid w:val="0028292F"/>
    <w:rsid w:val="002A0B3C"/>
    <w:rsid w:val="002B285D"/>
    <w:rsid w:val="002B78EB"/>
    <w:rsid w:val="002C080B"/>
    <w:rsid w:val="002C11F4"/>
    <w:rsid w:val="002C4A60"/>
    <w:rsid w:val="002C4BD0"/>
    <w:rsid w:val="002C4CAB"/>
    <w:rsid w:val="002C6D46"/>
    <w:rsid w:val="002D1B94"/>
    <w:rsid w:val="002D3AFC"/>
    <w:rsid w:val="002D597F"/>
    <w:rsid w:val="002D629C"/>
    <w:rsid w:val="003043D7"/>
    <w:rsid w:val="00306FF4"/>
    <w:rsid w:val="00310B96"/>
    <w:rsid w:val="003313C1"/>
    <w:rsid w:val="00350D8F"/>
    <w:rsid w:val="00352D03"/>
    <w:rsid w:val="00361D29"/>
    <w:rsid w:val="003677C5"/>
    <w:rsid w:val="00370891"/>
    <w:rsid w:val="00371FA5"/>
    <w:rsid w:val="00376E88"/>
    <w:rsid w:val="0039055D"/>
    <w:rsid w:val="00392F5F"/>
    <w:rsid w:val="003A6B82"/>
    <w:rsid w:val="003B32C8"/>
    <w:rsid w:val="003C6AA3"/>
    <w:rsid w:val="003D75DB"/>
    <w:rsid w:val="00405FDA"/>
    <w:rsid w:val="00410D2C"/>
    <w:rsid w:val="00432D17"/>
    <w:rsid w:val="0043596E"/>
    <w:rsid w:val="00444DD8"/>
    <w:rsid w:val="00446683"/>
    <w:rsid w:val="00451EF8"/>
    <w:rsid w:val="00457671"/>
    <w:rsid w:val="00465516"/>
    <w:rsid w:val="004655B1"/>
    <w:rsid w:val="0048010D"/>
    <w:rsid w:val="0048087C"/>
    <w:rsid w:val="004831BB"/>
    <w:rsid w:val="0048441D"/>
    <w:rsid w:val="00491163"/>
    <w:rsid w:val="004916DB"/>
    <w:rsid w:val="004927AE"/>
    <w:rsid w:val="004A1B01"/>
    <w:rsid w:val="004A7561"/>
    <w:rsid w:val="004A7EF8"/>
    <w:rsid w:val="004B385D"/>
    <w:rsid w:val="004C26E3"/>
    <w:rsid w:val="004D230B"/>
    <w:rsid w:val="004D5460"/>
    <w:rsid w:val="004F3CCA"/>
    <w:rsid w:val="004F52B8"/>
    <w:rsid w:val="0050294D"/>
    <w:rsid w:val="005060FE"/>
    <w:rsid w:val="00520814"/>
    <w:rsid w:val="0052214A"/>
    <w:rsid w:val="005325F4"/>
    <w:rsid w:val="00545BEA"/>
    <w:rsid w:val="00546ABE"/>
    <w:rsid w:val="00555EBB"/>
    <w:rsid w:val="00557163"/>
    <w:rsid w:val="00560264"/>
    <w:rsid w:val="00564BB3"/>
    <w:rsid w:val="00565FD5"/>
    <w:rsid w:val="00576BDC"/>
    <w:rsid w:val="0058634E"/>
    <w:rsid w:val="005876C4"/>
    <w:rsid w:val="005A5A16"/>
    <w:rsid w:val="005A6719"/>
    <w:rsid w:val="005B34CE"/>
    <w:rsid w:val="005C0D0B"/>
    <w:rsid w:val="005C2714"/>
    <w:rsid w:val="005D3D35"/>
    <w:rsid w:val="005D5FBF"/>
    <w:rsid w:val="005E16AE"/>
    <w:rsid w:val="005E20FF"/>
    <w:rsid w:val="005E29A4"/>
    <w:rsid w:val="005E5C7E"/>
    <w:rsid w:val="005F4C10"/>
    <w:rsid w:val="00602355"/>
    <w:rsid w:val="00610173"/>
    <w:rsid w:val="00610B9F"/>
    <w:rsid w:val="00612AF8"/>
    <w:rsid w:val="00617613"/>
    <w:rsid w:val="006276F6"/>
    <w:rsid w:val="00640643"/>
    <w:rsid w:val="00642CEA"/>
    <w:rsid w:val="006612F8"/>
    <w:rsid w:val="0066166C"/>
    <w:rsid w:val="00662A04"/>
    <w:rsid w:val="00664B08"/>
    <w:rsid w:val="006746AF"/>
    <w:rsid w:val="006772DA"/>
    <w:rsid w:val="00692051"/>
    <w:rsid w:val="006962A5"/>
    <w:rsid w:val="006A1493"/>
    <w:rsid w:val="006B7EA0"/>
    <w:rsid w:val="006C22FA"/>
    <w:rsid w:val="006D05BF"/>
    <w:rsid w:val="006E5F40"/>
    <w:rsid w:val="006F0688"/>
    <w:rsid w:val="006F4F69"/>
    <w:rsid w:val="006F5B1C"/>
    <w:rsid w:val="006F7339"/>
    <w:rsid w:val="00700A86"/>
    <w:rsid w:val="00704443"/>
    <w:rsid w:val="0072169E"/>
    <w:rsid w:val="00731BC9"/>
    <w:rsid w:val="00734FA2"/>
    <w:rsid w:val="00742702"/>
    <w:rsid w:val="00756C7A"/>
    <w:rsid w:val="007655DB"/>
    <w:rsid w:val="00793152"/>
    <w:rsid w:val="007A4DBC"/>
    <w:rsid w:val="007B3B34"/>
    <w:rsid w:val="007C5EBD"/>
    <w:rsid w:val="008017D7"/>
    <w:rsid w:val="00807724"/>
    <w:rsid w:val="00817270"/>
    <w:rsid w:val="00827D18"/>
    <w:rsid w:val="008406C2"/>
    <w:rsid w:val="00853273"/>
    <w:rsid w:val="00855763"/>
    <w:rsid w:val="0085661B"/>
    <w:rsid w:val="008613C7"/>
    <w:rsid w:val="00861E87"/>
    <w:rsid w:val="008660C7"/>
    <w:rsid w:val="0088028F"/>
    <w:rsid w:val="00880E02"/>
    <w:rsid w:val="0089343A"/>
    <w:rsid w:val="008A20DB"/>
    <w:rsid w:val="008D7265"/>
    <w:rsid w:val="008F3415"/>
    <w:rsid w:val="008F36B9"/>
    <w:rsid w:val="00902854"/>
    <w:rsid w:val="00914685"/>
    <w:rsid w:val="0092046A"/>
    <w:rsid w:val="00922130"/>
    <w:rsid w:val="00935A60"/>
    <w:rsid w:val="00957F7B"/>
    <w:rsid w:val="00971032"/>
    <w:rsid w:val="00983FF4"/>
    <w:rsid w:val="00994F71"/>
    <w:rsid w:val="009A0AD8"/>
    <w:rsid w:val="009B2CC6"/>
    <w:rsid w:val="009B492E"/>
    <w:rsid w:val="009B4B5A"/>
    <w:rsid w:val="009D6D79"/>
    <w:rsid w:val="00A02CD8"/>
    <w:rsid w:val="00A21183"/>
    <w:rsid w:val="00A432BD"/>
    <w:rsid w:val="00A45651"/>
    <w:rsid w:val="00A4753D"/>
    <w:rsid w:val="00A4776A"/>
    <w:rsid w:val="00A52142"/>
    <w:rsid w:val="00A56D17"/>
    <w:rsid w:val="00A57F41"/>
    <w:rsid w:val="00A62535"/>
    <w:rsid w:val="00A62FAC"/>
    <w:rsid w:val="00A7438A"/>
    <w:rsid w:val="00A749F1"/>
    <w:rsid w:val="00AA0FEC"/>
    <w:rsid w:val="00AA4995"/>
    <w:rsid w:val="00AB7B2C"/>
    <w:rsid w:val="00AC5306"/>
    <w:rsid w:val="00AE0986"/>
    <w:rsid w:val="00AE1826"/>
    <w:rsid w:val="00AE79F4"/>
    <w:rsid w:val="00AE7AC2"/>
    <w:rsid w:val="00AF0116"/>
    <w:rsid w:val="00AF0E73"/>
    <w:rsid w:val="00AF1752"/>
    <w:rsid w:val="00AF3DFA"/>
    <w:rsid w:val="00AF4861"/>
    <w:rsid w:val="00AF6B02"/>
    <w:rsid w:val="00AF76C9"/>
    <w:rsid w:val="00B1330D"/>
    <w:rsid w:val="00B14135"/>
    <w:rsid w:val="00B154F2"/>
    <w:rsid w:val="00B229F0"/>
    <w:rsid w:val="00B31E74"/>
    <w:rsid w:val="00B53DA3"/>
    <w:rsid w:val="00B5644D"/>
    <w:rsid w:val="00B7141A"/>
    <w:rsid w:val="00B80A14"/>
    <w:rsid w:val="00B87497"/>
    <w:rsid w:val="00BA2B70"/>
    <w:rsid w:val="00BA71FB"/>
    <w:rsid w:val="00BC366F"/>
    <w:rsid w:val="00BE27D8"/>
    <w:rsid w:val="00BF1308"/>
    <w:rsid w:val="00BF2F32"/>
    <w:rsid w:val="00C20FC0"/>
    <w:rsid w:val="00C25851"/>
    <w:rsid w:val="00C30630"/>
    <w:rsid w:val="00C307F8"/>
    <w:rsid w:val="00C31703"/>
    <w:rsid w:val="00C35876"/>
    <w:rsid w:val="00C359C0"/>
    <w:rsid w:val="00C413D8"/>
    <w:rsid w:val="00C5191C"/>
    <w:rsid w:val="00C52D75"/>
    <w:rsid w:val="00C60731"/>
    <w:rsid w:val="00C866DD"/>
    <w:rsid w:val="00C97041"/>
    <w:rsid w:val="00CA03E2"/>
    <w:rsid w:val="00CB24CF"/>
    <w:rsid w:val="00CB4194"/>
    <w:rsid w:val="00CB56D5"/>
    <w:rsid w:val="00CC7D69"/>
    <w:rsid w:val="00CC7EBF"/>
    <w:rsid w:val="00CE3E9F"/>
    <w:rsid w:val="00CE7997"/>
    <w:rsid w:val="00CF0FAF"/>
    <w:rsid w:val="00CF1AEB"/>
    <w:rsid w:val="00D02BA5"/>
    <w:rsid w:val="00D03ECC"/>
    <w:rsid w:val="00D05086"/>
    <w:rsid w:val="00D051E2"/>
    <w:rsid w:val="00D1679C"/>
    <w:rsid w:val="00D328DD"/>
    <w:rsid w:val="00D35E35"/>
    <w:rsid w:val="00D44C4A"/>
    <w:rsid w:val="00D4658E"/>
    <w:rsid w:val="00D81EC2"/>
    <w:rsid w:val="00D84EDE"/>
    <w:rsid w:val="00D8597D"/>
    <w:rsid w:val="00D90A4D"/>
    <w:rsid w:val="00DA2ACD"/>
    <w:rsid w:val="00DA3234"/>
    <w:rsid w:val="00DA556E"/>
    <w:rsid w:val="00DC469F"/>
    <w:rsid w:val="00DE41E3"/>
    <w:rsid w:val="00DF015E"/>
    <w:rsid w:val="00E00828"/>
    <w:rsid w:val="00E0134E"/>
    <w:rsid w:val="00E0710D"/>
    <w:rsid w:val="00E1641E"/>
    <w:rsid w:val="00E30559"/>
    <w:rsid w:val="00E30D57"/>
    <w:rsid w:val="00E33213"/>
    <w:rsid w:val="00E34174"/>
    <w:rsid w:val="00E4690C"/>
    <w:rsid w:val="00E46FF7"/>
    <w:rsid w:val="00E50080"/>
    <w:rsid w:val="00E50EC3"/>
    <w:rsid w:val="00E6405E"/>
    <w:rsid w:val="00E64067"/>
    <w:rsid w:val="00E75CC3"/>
    <w:rsid w:val="00E87418"/>
    <w:rsid w:val="00EC76FC"/>
    <w:rsid w:val="00ED58E8"/>
    <w:rsid w:val="00F135CD"/>
    <w:rsid w:val="00F217A6"/>
    <w:rsid w:val="00F234A8"/>
    <w:rsid w:val="00F51511"/>
    <w:rsid w:val="00F6195D"/>
    <w:rsid w:val="00F779A7"/>
    <w:rsid w:val="00F810E9"/>
    <w:rsid w:val="00F8323D"/>
    <w:rsid w:val="00F84228"/>
    <w:rsid w:val="00F92074"/>
    <w:rsid w:val="00FA0D2B"/>
    <w:rsid w:val="00FA562B"/>
    <w:rsid w:val="00FA6EB5"/>
    <w:rsid w:val="00FC74FD"/>
    <w:rsid w:val="00FD1FBB"/>
    <w:rsid w:val="00FD21D3"/>
    <w:rsid w:val="00FE0EF8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1DFEE"/>
  <w14:defaultImageDpi w14:val="300"/>
  <w15:chartTrackingRefBased/>
  <w15:docId w15:val="{307FBE9B-0C16-44DE-A1A5-A668F92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43A"/>
  </w:style>
  <w:style w:type="paragraph" w:styleId="Footer">
    <w:name w:val="footer"/>
    <w:basedOn w:val="Normal"/>
    <w:link w:val="FooterChar"/>
    <w:uiPriority w:val="99"/>
    <w:unhideWhenUsed/>
    <w:rsid w:val="00893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43A"/>
  </w:style>
  <w:style w:type="paragraph" w:styleId="BalloonText">
    <w:name w:val="Balloon Text"/>
    <w:basedOn w:val="Normal"/>
    <w:link w:val="BalloonTextChar"/>
    <w:uiPriority w:val="99"/>
    <w:semiHidden/>
    <w:unhideWhenUsed/>
    <w:rsid w:val="00893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4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Volumes\HDD\toringolfsson\Desktop\Brefsefni%20WordTemplate\SA-logo-RGB.png" TargetMode="External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dur\AppData\Local\Microsoft\Windows\Temporary%20Internet%20Files\Content.Outlook\HDNMQS4Z\SA%20bref%20i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FDB4-FAE7-4E39-8627-E8C67C9D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bref isl.dotx</Template>
  <TotalTime>0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Links>
    <vt:vector size="6" baseType="variant">
      <vt:variant>
        <vt:i4>131072</vt:i4>
      </vt:variant>
      <vt:variant>
        <vt:i4>-1</vt:i4>
      </vt:variant>
      <vt:variant>
        <vt:i4>2049</vt:i4>
      </vt:variant>
      <vt:variant>
        <vt:i4>1</vt:i4>
      </vt:variant>
      <vt:variant>
        <vt:lpwstr>\\localhost\Volumes\HDD\toringolfsson\Desktop\Brefsefni WordTemplate\SA-logo-RGB.png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Hörður Vilberg</dc:creator>
  <cp:keywords/>
  <cp:lastModifiedBy>Óttar Snædal</cp:lastModifiedBy>
  <cp:revision>2</cp:revision>
  <dcterms:created xsi:type="dcterms:W3CDTF">2019-06-11T23:45:00Z</dcterms:created>
  <dcterms:modified xsi:type="dcterms:W3CDTF">2019-06-11T23:45:00Z</dcterms:modified>
</cp:coreProperties>
</file>