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8DA6" w14:textId="63878349" w:rsidR="000A7BA6" w:rsidRPr="000A7BA6" w:rsidRDefault="000A7BA6" w:rsidP="000A7BA6">
      <w:pPr>
        <w:jc w:val="right"/>
      </w:pPr>
      <w:r>
        <w:tab/>
      </w:r>
      <w:r>
        <w:tab/>
      </w:r>
      <w:r>
        <w:tab/>
      </w:r>
      <w:r>
        <w:tab/>
      </w:r>
    </w:p>
    <w:p w14:paraId="461CCEF4" w14:textId="5AC55BC2" w:rsidR="000A7BA6" w:rsidRPr="000A7BA6" w:rsidRDefault="000A7BA6" w:rsidP="000A7BA6">
      <w:pPr>
        <w:rPr>
          <w:b/>
          <w:bCs/>
        </w:rPr>
      </w:pPr>
      <w:proofErr w:type="spellStart"/>
      <w:r w:rsidRPr="000A7BA6">
        <w:rPr>
          <w:b/>
          <w:bCs/>
        </w:rPr>
        <w:t>L</w:t>
      </w:r>
      <w:r w:rsidRPr="000A7BA6">
        <w:rPr>
          <w:b/>
          <w:bCs/>
        </w:rPr>
        <w:t>andbúnaðarráðuneyt</w:t>
      </w:r>
      <w:r w:rsidRPr="000A7BA6">
        <w:rPr>
          <w:b/>
          <w:bCs/>
        </w:rPr>
        <w:t>ið</w:t>
      </w:r>
      <w:proofErr w:type="spellEnd"/>
      <w:r w:rsidRPr="000A7BA6">
        <w:rPr>
          <w:b/>
          <w:bCs/>
        </w:rPr>
        <w:t xml:space="preserve"> </w:t>
      </w:r>
    </w:p>
    <w:p w14:paraId="5A3C4294" w14:textId="745A9149" w:rsidR="000A7BA6" w:rsidRPr="000A7BA6" w:rsidRDefault="000A7BA6" w:rsidP="000A7BA6">
      <w:pPr>
        <w:rPr>
          <w:b/>
          <w:bCs/>
        </w:rPr>
      </w:pPr>
      <w:r w:rsidRPr="000A7BA6">
        <w:rPr>
          <w:b/>
          <w:bCs/>
        </w:rPr>
        <w:t xml:space="preserve">c/o </w:t>
      </w:r>
      <w:proofErr w:type="spellStart"/>
      <w:r w:rsidRPr="000A7BA6">
        <w:rPr>
          <w:b/>
          <w:bCs/>
        </w:rPr>
        <w:t>atvinuvega</w:t>
      </w:r>
      <w:proofErr w:type="spellEnd"/>
      <w:r w:rsidRPr="000A7BA6">
        <w:rPr>
          <w:b/>
          <w:bCs/>
        </w:rPr>
        <w:t xml:space="preserve">- </w:t>
      </w:r>
      <w:proofErr w:type="spellStart"/>
      <w:r w:rsidRPr="000A7BA6">
        <w:rPr>
          <w:b/>
          <w:bCs/>
        </w:rPr>
        <w:t>og</w:t>
      </w:r>
      <w:proofErr w:type="spellEnd"/>
      <w:r w:rsidRPr="000A7BA6">
        <w:rPr>
          <w:b/>
          <w:bCs/>
        </w:rPr>
        <w:t xml:space="preserve"> </w:t>
      </w:r>
      <w:proofErr w:type="spellStart"/>
      <w:r w:rsidRPr="000A7BA6">
        <w:rPr>
          <w:b/>
          <w:bCs/>
        </w:rPr>
        <w:t>nýsköpunarráðuneytið</w:t>
      </w:r>
      <w:proofErr w:type="spellEnd"/>
    </w:p>
    <w:p w14:paraId="0C445BF7" w14:textId="3588C54F" w:rsidR="000A7BA6" w:rsidRDefault="000A7BA6" w:rsidP="000A7BA6"/>
    <w:p w14:paraId="5B064978" w14:textId="46B6F826" w:rsidR="000A7BA6" w:rsidRDefault="000A7BA6" w:rsidP="000A7BA6">
      <w:pPr>
        <w:jc w:val="right"/>
      </w:pPr>
      <w:r>
        <w:t xml:space="preserve">Reykjavík </w:t>
      </w:r>
      <w:r>
        <w:t xml:space="preserve">16. </w:t>
      </w:r>
      <w:proofErr w:type="spellStart"/>
      <w:r>
        <w:t>janúar</w:t>
      </w:r>
      <w:proofErr w:type="spellEnd"/>
      <w:r>
        <w:t xml:space="preserve"> 2019</w:t>
      </w:r>
    </w:p>
    <w:p w14:paraId="54D2FCBC" w14:textId="77777777" w:rsidR="000A7BA6" w:rsidRDefault="000A7BA6" w:rsidP="000A7BA6"/>
    <w:p w14:paraId="17EDFE73" w14:textId="77777777" w:rsidR="000A7BA6" w:rsidRPr="00EA6B1B" w:rsidRDefault="000A7BA6" w:rsidP="000A7BA6">
      <w:pPr>
        <w:rPr>
          <w:u w:val="single"/>
        </w:rPr>
      </w:pPr>
      <w:proofErr w:type="spellStart"/>
      <w:r w:rsidRPr="00EA6B1B">
        <w:rPr>
          <w:u w:val="single"/>
        </w:rPr>
        <w:t>Umsögn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drög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að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reglugerð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fiskeldi</w:t>
      </w:r>
      <w:proofErr w:type="spellEnd"/>
      <w:r w:rsidRPr="00EA6B1B">
        <w:rPr>
          <w:u w:val="single"/>
        </w:rPr>
        <w:t>.</w:t>
      </w:r>
    </w:p>
    <w:p w14:paraId="20474C55" w14:textId="77777777" w:rsidR="000A7BA6" w:rsidRPr="00EA6B1B" w:rsidRDefault="000A7BA6" w:rsidP="000A7BA6">
      <w:pPr>
        <w:rPr>
          <w:u w:val="single"/>
        </w:rPr>
      </w:pPr>
    </w:p>
    <w:p w14:paraId="6A482873" w14:textId="10B70D72" w:rsidR="000A7BA6" w:rsidRDefault="000A7BA6" w:rsidP="000A7BA6"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drög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</w:t>
      </w:r>
    </w:p>
    <w:p w14:paraId="6D44C03B" w14:textId="77777777" w:rsidR="000A7BA6" w:rsidRDefault="000A7BA6" w:rsidP="000A7BA6">
      <w:r>
        <w:t xml:space="preserve">um </w:t>
      </w:r>
      <w:proofErr w:type="spellStart"/>
      <w:r>
        <w:t>fiskeldi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birt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á </w:t>
      </w:r>
      <w:proofErr w:type="spellStart"/>
      <w:r>
        <w:t>samráðsgátt</w:t>
      </w:r>
      <w:proofErr w:type="spellEnd"/>
      <w:r>
        <w:t xml:space="preserve"> </w:t>
      </w:r>
      <w:proofErr w:type="spellStart"/>
      <w:r>
        <w:t>stjórnarráðsins</w:t>
      </w:r>
      <w:proofErr w:type="spellEnd"/>
      <w:r>
        <w:t>:</w:t>
      </w:r>
    </w:p>
    <w:p w14:paraId="018F8C53" w14:textId="77777777" w:rsidR="000A7BA6" w:rsidRDefault="000A7BA6" w:rsidP="000A7BA6"/>
    <w:p w14:paraId="7B070D69" w14:textId="77777777" w:rsidR="000A7BA6" w:rsidRPr="000A7BA6" w:rsidRDefault="000A7BA6" w:rsidP="000A7BA6">
      <w:pPr>
        <w:rPr>
          <w:i/>
          <w:iCs/>
        </w:rPr>
      </w:pPr>
      <w:proofErr w:type="spellStart"/>
      <w:r w:rsidRPr="000A7BA6">
        <w:rPr>
          <w:i/>
          <w:iCs/>
          <w:u w:val="single"/>
        </w:rPr>
        <w:t>Almennt</w:t>
      </w:r>
      <w:proofErr w:type="spellEnd"/>
      <w:r w:rsidRPr="000A7BA6">
        <w:rPr>
          <w:i/>
          <w:iCs/>
          <w:u w:val="single"/>
        </w:rPr>
        <w:t xml:space="preserve"> um </w:t>
      </w:r>
      <w:proofErr w:type="spellStart"/>
      <w:r w:rsidRPr="000A7BA6">
        <w:rPr>
          <w:i/>
          <w:iCs/>
          <w:u w:val="single"/>
        </w:rPr>
        <w:t>reglugerðardrögin</w:t>
      </w:r>
      <w:proofErr w:type="spellEnd"/>
    </w:p>
    <w:p w14:paraId="66071614" w14:textId="322A1DE1" w:rsidR="008418B2" w:rsidRDefault="008418B2" w:rsidP="000A7BA6"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gera</w:t>
      </w:r>
      <w:proofErr w:type="spellEnd"/>
      <w:r w:rsidR="000A7BA6">
        <w:t xml:space="preserve"> </w:t>
      </w:r>
      <w:proofErr w:type="spellStart"/>
      <w:r w:rsidR="000A7BA6">
        <w:t>athugasemd</w:t>
      </w:r>
      <w:proofErr w:type="spellEnd"/>
      <w:r w:rsidR="000A7BA6">
        <w:t xml:space="preserve"> </w:t>
      </w:r>
      <w:proofErr w:type="spellStart"/>
      <w:r w:rsidR="000A7BA6">
        <w:t>við</w:t>
      </w:r>
      <w:proofErr w:type="spellEnd"/>
      <w:r w:rsidR="000A7BA6">
        <w:t xml:space="preserve"> </w:t>
      </w:r>
      <w:proofErr w:type="spellStart"/>
      <w:r w:rsidR="00EA6B1B">
        <w:t>mjög</w:t>
      </w:r>
      <w:proofErr w:type="spellEnd"/>
      <w:r w:rsidR="000A7BA6">
        <w:t xml:space="preserve"> </w:t>
      </w:r>
      <w:proofErr w:type="spellStart"/>
      <w:r w:rsidR="000A7BA6">
        <w:t>stuttan</w:t>
      </w:r>
      <w:proofErr w:type="spellEnd"/>
      <w:r w:rsidR="000A7BA6">
        <w:t xml:space="preserve"> </w:t>
      </w:r>
      <w:proofErr w:type="spellStart"/>
      <w:r w:rsidR="000A7BA6">
        <w:t>umsagnarfrest</w:t>
      </w:r>
      <w:proofErr w:type="spellEnd"/>
      <w:r w:rsidR="000A7BA6">
        <w:t xml:space="preserve">, </w:t>
      </w:r>
      <w:proofErr w:type="spellStart"/>
      <w:r w:rsidR="000A7BA6">
        <w:t>aðeins</w:t>
      </w:r>
      <w:proofErr w:type="spellEnd"/>
      <w:r w:rsidR="000A7BA6">
        <w:t xml:space="preserve"> </w:t>
      </w:r>
      <w:proofErr w:type="spellStart"/>
      <w:r w:rsidR="000A7BA6">
        <w:t>rúma</w:t>
      </w:r>
      <w:proofErr w:type="spellEnd"/>
      <w:r w:rsidR="000A7BA6">
        <w:t xml:space="preserve"> </w:t>
      </w:r>
      <w:proofErr w:type="spellStart"/>
      <w:r w:rsidR="000A7BA6">
        <w:t>viku</w:t>
      </w:r>
      <w:proofErr w:type="spellEnd"/>
      <w:r w:rsidR="000A7BA6">
        <w:t xml:space="preserve"> </w:t>
      </w:r>
      <w:proofErr w:type="spellStart"/>
      <w:r w:rsidR="000A7BA6">
        <w:t>eftir</w:t>
      </w:r>
      <w:proofErr w:type="spellEnd"/>
      <w:r w:rsidR="000A7BA6">
        <w:t xml:space="preserve"> </w:t>
      </w:r>
      <w:proofErr w:type="spellStart"/>
      <w:r w:rsidR="000A7BA6">
        <w:t>jól</w:t>
      </w:r>
      <w:proofErr w:type="spellEnd"/>
      <w:r w:rsidR="000A7BA6">
        <w:t xml:space="preserve"> </w:t>
      </w:r>
      <w:proofErr w:type="spellStart"/>
      <w:r w:rsidR="000A7BA6">
        <w:t>og</w:t>
      </w:r>
      <w:proofErr w:type="spellEnd"/>
      <w:r w:rsidR="00EA6B1B">
        <w:t xml:space="preserve"> </w:t>
      </w:r>
      <w:proofErr w:type="spellStart"/>
      <w:r w:rsidR="000A7BA6">
        <w:t>áramót</w:t>
      </w:r>
      <w:proofErr w:type="spellEnd"/>
      <w:r>
        <w:t xml:space="preserve">. </w:t>
      </w:r>
      <w:proofErr w:type="spellStart"/>
      <w:r>
        <w:t>Jafnvel</w:t>
      </w:r>
      <w:proofErr w:type="spellEnd"/>
      <w:r>
        <w:t xml:space="preserve"> </w:t>
      </w:r>
      <w:proofErr w:type="spellStart"/>
      <w:r>
        <w:t>þótt</w:t>
      </w:r>
      <w:proofErr w:type="spellEnd"/>
      <w:r>
        <w:t xml:space="preserve"> </w:t>
      </w:r>
      <w:proofErr w:type="spellStart"/>
      <w:r>
        <w:t>fresturinn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síðar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lengdur</w:t>
      </w:r>
      <w:proofErr w:type="spellEnd"/>
      <w:r>
        <w:t xml:space="preserve"> um 7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veldur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stuttur</w:t>
      </w:r>
      <w:proofErr w:type="spellEnd"/>
      <w:r>
        <w:t xml:space="preserve"> </w:t>
      </w:r>
      <w:proofErr w:type="spellStart"/>
      <w:r>
        <w:t>frestur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skila</w:t>
      </w:r>
      <w:proofErr w:type="spellEnd"/>
      <w:r>
        <w:t xml:space="preserve"> inn </w:t>
      </w:r>
      <w:proofErr w:type="spellStart"/>
      <w:r>
        <w:t>athugasemdum</w:t>
      </w:r>
      <w:proofErr w:type="spellEnd"/>
      <w:r>
        <w:t xml:space="preserve"> </w:t>
      </w:r>
      <w:proofErr w:type="spellStart"/>
      <w:r>
        <w:t>vandkvæðum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frjáls</w:t>
      </w:r>
      <w:proofErr w:type="spellEnd"/>
      <w:r>
        <w:t xml:space="preserve"> </w:t>
      </w:r>
      <w:proofErr w:type="spellStart"/>
      <w:r>
        <w:t>félagasamtök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bregðast</w:t>
      </w:r>
      <w:proofErr w:type="spellEnd"/>
      <w:r>
        <w:t xml:space="preserve">. </w:t>
      </w:r>
      <w:proofErr w:type="spellStart"/>
      <w:r>
        <w:t>Slík</w:t>
      </w:r>
      <w:proofErr w:type="spellEnd"/>
      <w:r>
        <w:t xml:space="preserve"> </w:t>
      </w:r>
      <w:proofErr w:type="spellStart"/>
      <w:r>
        <w:t>vinnubrögð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fallin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vernda</w:t>
      </w:r>
      <w:proofErr w:type="spellEnd"/>
      <w:r>
        <w:t xml:space="preserve"> </w:t>
      </w:r>
      <w:proofErr w:type="spellStart"/>
      <w:r>
        <w:t>hagsmunaaðila</w:t>
      </w:r>
      <w:proofErr w:type="spellEnd"/>
      <w:r w:rsidR="00F8328F">
        <w:t xml:space="preserve"> í </w:t>
      </w:r>
      <w:proofErr w:type="spellStart"/>
      <w:r w:rsidR="00F8328F">
        <w:t>laxeldi</w:t>
      </w:r>
      <w:proofErr w:type="spellEnd"/>
      <w:r w:rsidR="00F8328F">
        <w:t>.</w:t>
      </w:r>
    </w:p>
    <w:p w14:paraId="0F07283F" w14:textId="77777777" w:rsidR="008418B2" w:rsidRDefault="008418B2" w:rsidP="000A7BA6"/>
    <w:p w14:paraId="39C846B5" w14:textId="456B2E15" w:rsidR="000A7BA6" w:rsidRDefault="00F8328F" w:rsidP="000A7BA6">
      <w:r>
        <w:t xml:space="preserve">Bent </w:t>
      </w:r>
      <w:proofErr w:type="spellStart"/>
      <w:r>
        <w:t>skal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 w:rsidR="000A7BA6">
        <w:t>Landssamband</w:t>
      </w:r>
      <w:proofErr w:type="spellEnd"/>
      <w:r w:rsidR="000A7BA6">
        <w:t xml:space="preserve"> </w:t>
      </w:r>
      <w:proofErr w:type="spellStart"/>
      <w:r w:rsidR="000A7BA6">
        <w:t>veiðifélaga</w:t>
      </w:r>
      <w:proofErr w:type="spellEnd"/>
      <w:r w:rsidR="000A7BA6">
        <w:t xml:space="preserve"> </w:t>
      </w:r>
      <w:proofErr w:type="spellStart"/>
      <w:r w:rsidR="000A7BA6">
        <w:t>hefur</w:t>
      </w:r>
      <w:proofErr w:type="spellEnd"/>
      <w:r w:rsidR="000A7BA6">
        <w:t xml:space="preserve"> </w:t>
      </w:r>
      <w:proofErr w:type="spellStart"/>
      <w:r w:rsidR="000A7BA6">
        <w:t>enga</w:t>
      </w:r>
      <w:proofErr w:type="spellEnd"/>
      <w:r w:rsidR="000A7BA6">
        <w:t xml:space="preserve"> </w:t>
      </w:r>
      <w:proofErr w:type="spellStart"/>
      <w:r w:rsidR="000A7BA6">
        <w:t>aðkomu</w:t>
      </w:r>
      <w:proofErr w:type="spellEnd"/>
      <w:r w:rsidR="000A7BA6">
        <w:t xml:space="preserve"> haft </w:t>
      </w:r>
      <w:proofErr w:type="spellStart"/>
      <w:r w:rsidR="000A7BA6">
        <w:t>að</w:t>
      </w:r>
      <w:proofErr w:type="spellEnd"/>
      <w:r w:rsidR="000A7BA6">
        <w:t xml:space="preserve"> </w:t>
      </w:r>
      <w:proofErr w:type="spellStart"/>
      <w:r>
        <w:t>undirbúningi</w:t>
      </w:r>
      <w:proofErr w:type="spellEnd"/>
      <w:r>
        <w:t xml:space="preserve"> </w:t>
      </w:r>
      <w:proofErr w:type="spellStart"/>
      <w:r>
        <w:t>þessa</w:t>
      </w:r>
      <w:proofErr w:type="spellEnd"/>
      <w:r w:rsidR="000A7BA6">
        <w:t xml:space="preserve"> </w:t>
      </w:r>
      <w:proofErr w:type="spellStart"/>
      <w:r w:rsidR="000A7BA6">
        <w:t>mikilvæga</w:t>
      </w:r>
      <w:proofErr w:type="spellEnd"/>
      <w:r w:rsidR="000A7BA6">
        <w:t xml:space="preserve"> </w:t>
      </w:r>
      <w:proofErr w:type="spellStart"/>
      <w:r w:rsidR="000A7BA6">
        <w:t>hagsmunamáli</w:t>
      </w:r>
      <w:proofErr w:type="spellEnd"/>
      <w:r w:rsidR="000A7BA6">
        <w:t xml:space="preserve"> </w:t>
      </w:r>
      <w:proofErr w:type="spellStart"/>
      <w:r w:rsidR="000A7BA6">
        <w:t>nokkurra</w:t>
      </w:r>
      <w:proofErr w:type="spellEnd"/>
      <w:r w:rsidR="000A7BA6">
        <w:t xml:space="preserve"> </w:t>
      </w:r>
      <w:proofErr w:type="spellStart"/>
      <w:r w:rsidR="000A7BA6">
        <w:t>þúsunda</w:t>
      </w:r>
      <w:proofErr w:type="spellEnd"/>
      <w:r w:rsidR="000A7BA6">
        <w:t xml:space="preserve"> </w:t>
      </w:r>
      <w:proofErr w:type="spellStart"/>
      <w:r w:rsidR="000A7BA6">
        <w:t>veiðiréttarhafa</w:t>
      </w:r>
      <w:proofErr w:type="spellEnd"/>
      <w:r w:rsidR="000A7BA6">
        <w:t xml:space="preserve"> </w:t>
      </w:r>
      <w:proofErr w:type="spellStart"/>
      <w:r w:rsidR="000A7BA6">
        <w:t>innan</w:t>
      </w:r>
      <w:proofErr w:type="spellEnd"/>
      <w:r w:rsidR="000A7BA6">
        <w:t xml:space="preserve"> </w:t>
      </w:r>
      <w:proofErr w:type="spellStart"/>
      <w:r w:rsidR="000A7BA6">
        <w:t>sambandsins</w:t>
      </w:r>
      <w:proofErr w:type="spellEnd"/>
      <w:r w:rsidR="000A7BA6">
        <w:t xml:space="preserve">. </w:t>
      </w:r>
    </w:p>
    <w:p w14:paraId="6BA397E4" w14:textId="77777777" w:rsidR="000A7BA6" w:rsidRDefault="000A7BA6" w:rsidP="000A7BA6"/>
    <w:p w14:paraId="587B4732" w14:textId="324B99A9" w:rsidR="000A7BA6" w:rsidRDefault="000A7BA6" w:rsidP="000A7BA6">
      <w:proofErr w:type="spellStart"/>
      <w:r>
        <w:t>Þá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samráðsnefnd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2. gr. </w:t>
      </w:r>
      <w:proofErr w:type="spellStart"/>
      <w:r>
        <w:t>laga</w:t>
      </w:r>
      <w:proofErr w:type="spellEnd"/>
      <w:r>
        <w:t xml:space="preserve"> nr. 101/2019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reglugerð</w:t>
      </w:r>
      <w:proofErr w:type="spellEnd"/>
      <w:r>
        <w:t xml:space="preserve"> nr. 890/2019 </w:t>
      </w:r>
      <w:proofErr w:type="spellStart"/>
      <w:r>
        <w:t>enga</w:t>
      </w:r>
      <w:proofErr w:type="spellEnd"/>
      <w:r>
        <w:t xml:space="preserve"> </w:t>
      </w:r>
      <w:proofErr w:type="spellStart"/>
      <w:r>
        <w:t>aðkomu</w:t>
      </w:r>
      <w:proofErr w:type="spellEnd"/>
      <w:r>
        <w:t xml:space="preserve"> </w:t>
      </w:r>
      <w:r>
        <w:t xml:space="preserve">haft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smíði</w:t>
      </w:r>
      <w:proofErr w:type="spellEnd"/>
      <w:r>
        <w:t xml:space="preserve"> </w:t>
      </w:r>
      <w:proofErr w:type="spellStart"/>
      <w:r>
        <w:t>draganna</w:t>
      </w:r>
      <w:proofErr w:type="spellEnd"/>
      <w:r>
        <w:t xml:space="preserve"> né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samtök</w:t>
      </w:r>
      <w:proofErr w:type="spellEnd"/>
      <w:r>
        <w:t xml:space="preserve"> um </w:t>
      </w:r>
      <w:proofErr w:type="spellStart"/>
      <w:r>
        <w:t>verndun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laxastofna</w:t>
      </w:r>
      <w:proofErr w:type="spellEnd"/>
      <w:r>
        <w:t>.</w:t>
      </w:r>
    </w:p>
    <w:p w14:paraId="0C672F12" w14:textId="77777777" w:rsidR="000A7BA6" w:rsidRDefault="000A7BA6" w:rsidP="000A7BA6"/>
    <w:p w14:paraId="545DD7B3" w14:textId="77777777" w:rsidR="00EA6B1B" w:rsidRDefault="00EA6B1B" w:rsidP="000A7BA6">
      <w:proofErr w:type="spellStart"/>
      <w:r>
        <w:t>Nýju</w:t>
      </w:r>
      <w:proofErr w:type="spellEnd"/>
      <w:r>
        <w:t xml:space="preserve"> </w:t>
      </w:r>
      <w:proofErr w:type="spellStart"/>
      <w:r w:rsidR="000A7BA6">
        <w:t>drögin</w:t>
      </w:r>
      <w:proofErr w:type="spellEnd"/>
      <w:r w:rsidR="000A7BA6">
        <w:t xml:space="preserve"> </w:t>
      </w:r>
      <w:proofErr w:type="spellStart"/>
      <w:r>
        <w:t>virðast</w:t>
      </w:r>
      <w:proofErr w:type="spellEnd"/>
      <w:r w:rsidR="000A7BA6">
        <w:t xml:space="preserve"> </w:t>
      </w:r>
      <w:proofErr w:type="spellStart"/>
      <w:r w:rsidR="000A7BA6">
        <w:t>fyrst</w:t>
      </w:r>
      <w:proofErr w:type="spellEnd"/>
      <w:r w:rsidR="000A7BA6">
        <w:t xml:space="preserve"> </w:t>
      </w:r>
      <w:proofErr w:type="spellStart"/>
      <w:r w:rsidR="000A7BA6">
        <w:t>og</w:t>
      </w:r>
      <w:proofErr w:type="spellEnd"/>
      <w:r w:rsidR="000A7BA6">
        <w:t xml:space="preserve"> </w:t>
      </w:r>
      <w:proofErr w:type="spellStart"/>
      <w:r w:rsidR="000A7BA6">
        <w:t>fremst</w:t>
      </w:r>
      <w:proofErr w:type="spellEnd"/>
      <w:r w:rsidR="000A7BA6">
        <w:t xml:space="preserve"> </w:t>
      </w:r>
      <w:proofErr w:type="spellStart"/>
      <w:r w:rsidR="000A7BA6">
        <w:t>samin</w:t>
      </w:r>
      <w:proofErr w:type="spellEnd"/>
      <w:r w:rsidR="000A7BA6">
        <w:t xml:space="preserve"> </w:t>
      </w:r>
      <w:proofErr w:type="spellStart"/>
      <w:r w:rsidR="000A7BA6">
        <w:t>með</w:t>
      </w:r>
      <w:proofErr w:type="spellEnd"/>
      <w:r w:rsidR="000A7BA6">
        <w:t xml:space="preserve"> </w:t>
      </w:r>
      <w:proofErr w:type="spellStart"/>
      <w:r w:rsidR="000A7BA6">
        <w:t>hliðsjón</w:t>
      </w:r>
      <w:proofErr w:type="spellEnd"/>
      <w:r w:rsidR="000A7BA6">
        <w:t xml:space="preserve"> </w:t>
      </w:r>
      <w:proofErr w:type="spellStart"/>
      <w:r w:rsidR="000A7BA6">
        <w:t>af</w:t>
      </w:r>
      <w:proofErr w:type="spellEnd"/>
      <w:r w:rsidR="000A7BA6">
        <w:t xml:space="preserve"> </w:t>
      </w:r>
      <w:proofErr w:type="spellStart"/>
      <w:proofErr w:type="gramStart"/>
      <w:r w:rsidR="000A7BA6">
        <w:t>hagsmunum</w:t>
      </w:r>
      <w:proofErr w:type="spellEnd"/>
      <w:r w:rsidR="000A7BA6">
        <w:t xml:space="preserve"> </w:t>
      </w:r>
      <w:r w:rsidR="000A7BA6">
        <w:t xml:space="preserve"> </w:t>
      </w:r>
      <w:proofErr w:type="spellStart"/>
      <w:r w:rsidR="000A7BA6">
        <w:t>sjókvíaeldisfyrirtækja</w:t>
      </w:r>
      <w:proofErr w:type="spellEnd"/>
      <w:proofErr w:type="gramEnd"/>
      <w:r w:rsidR="000A7BA6">
        <w:t xml:space="preserve">, </w:t>
      </w:r>
      <w:proofErr w:type="spellStart"/>
      <w:r w:rsidR="000A7BA6">
        <w:t>sem</w:t>
      </w:r>
      <w:proofErr w:type="spellEnd"/>
      <w:r w:rsidR="000A7BA6">
        <w:t xml:space="preserve"> </w:t>
      </w:r>
      <w:proofErr w:type="spellStart"/>
      <w:r w:rsidR="000A7BA6">
        <w:t>öll</w:t>
      </w:r>
      <w:proofErr w:type="spellEnd"/>
      <w:r w:rsidR="000A7BA6">
        <w:t xml:space="preserve"> </w:t>
      </w:r>
      <w:proofErr w:type="spellStart"/>
      <w:r w:rsidR="000A7BA6">
        <w:t>eru</w:t>
      </w:r>
      <w:proofErr w:type="spellEnd"/>
      <w:r w:rsidR="000A7BA6">
        <w:t xml:space="preserve"> í </w:t>
      </w:r>
      <w:proofErr w:type="spellStart"/>
      <w:r w:rsidR="000A7BA6">
        <w:t>meirihlutaeigu</w:t>
      </w:r>
      <w:proofErr w:type="spellEnd"/>
      <w:r w:rsidR="000A7BA6">
        <w:t xml:space="preserve"> </w:t>
      </w:r>
      <w:proofErr w:type="spellStart"/>
      <w:r w:rsidR="000A7BA6">
        <w:t>norskra</w:t>
      </w:r>
      <w:proofErr w:type="spellEnd"/>
      <w:r w:rsidR="000A7BA6">
        <w:t xml:space="preserve"> </w:t>
      </w:r>
      <w:proofErr w:type="spellStart"/>
      <w:r w:rsidR="000A7BA6">
        <w:t>laxeldisrisa</w:t>
      </w:r>
      <w:proofErr w:type="spellEnd"/>
      <w:r w:rsidR="000A7BA6">
        <w:t xml:space="preserve"> </w:t>
      </w:r>
      <w:proofErr w:type="spellStart"/>
      <w:r w:rsidR="000A7BA6">
        <w:t>og</w:t>
      </w:r>
      <w:proofErr w:type="spellEnd"/>
      <w:r w:rsidR="000A7BA6">
        <w:t xml:space="preserve"> </w:t>
      </w:r>
      <w:proofErr w:type="spellStart"/>
      <w:r w:rsidR="000A7BA6">
        <w:t>sem</w:t>
      </w:r>
      <w:proofErr w:type="spellEnd"/>
      <w:r w:rsidR="000A7BA6">
        <w:t xml:space="preserve"> á </w:t>
      </w:r>
      <w:proofErr w:type="spellStart"/>
      <w:r w:rsidR="000A7BA6">
        <w:t>síðustu</w:t>
      </w:r>
      <w:proofErr w:type="spellEnd"/>
      <w:r w:rsidR="000A7BA6">
        <w:t xml:space="preserve"> </w:t>
      </w:r>
      <w:proofErr w:type="spellStart"/>
      <w:r w:rsidR="000A7BA6">
        <w:t>árum</w:t>
      </w:r>
      <w:proofErr w:type="spellEnd"/>
      <w:r w:rsidR="000A7BA6">
        <w:t xml:space="preserve"> </w:t>
      </w:r>
      <w:proofErr w:type="spellStart"/>
      <w:r w:rsidR="000A7BA6">
        <w:t>hafa</w:t>
      </w:r>
      <w:proofErr w:type="spellEnd"/>
      <w:r w:rsidR="000A7BA6">
        <w:t xml:space="preserve"> </w:t>
      </w:r>
      <w:proofErr w:type="spellStart"/>
      <w:r w:rsidR="000A7BA6">
        <w:t>fengið</w:t>
      </w:r>
      <w:proofErr w:type="spellEnd"/>
      <w:r w:rsidR="000A7BA6">
        <w:t xml:space="preserve"> </w:t>
      </w:r>
      <w:proofErr w:type="spellStart"/>
      <w:r w:rsidR="000A7BA6">
        <w:t>ókeypis</w:t>
      </w:r>
      <w:proofErr w:type="spellEnd"/>
      <w:r w:rsidR="000A7BA6">
        <w:t xml:space="preserve"> </w:t>
      </w:r>
      <w:proofErr w:type="spellStart"/>
      <w:r w:rsidR="000A7BA6">
        <w:t>langtímaafnot</w:t>
      </w:r>
      <w:proofErr w:type="spellEnd"/>
      <w:r w:rsidR="000A7BA6">
        <w:t xml:space="preserve"> </w:t>
      </w:r>
      <w:proofErr w:type="spellStart"/>
      <w:r w:rsidR="000A7BA6">
        <w:t>af</w:t>
      </w:r>
      <w:proofErr w:type="spellEnd"/>
      <w:r w:rsidR="000A7BA6">
        <w:t xml:space="preserve"> </w:t>
      </w:r>
      <w:proofErr w:type="spellStart"/>
      <w:r w:rsidR="000A7BA6">
        <w:t>auðlind</w:t>
      </w:r>
      <w:proofErr w:type="spellEnd"/>
      <w:r w:rsidR="000A7BA6">
        <w:t xml:space="preserve"> </w:t>
      </w:r>
      <w:proofErr w:type="spellStart"/>
      <w:r w:rsidR="000A7BA6">
        <w:t>íslenskra</w:t>
      </w:r>
      <w:proofErr w:type="spellEnd"/>
      <w:r w:rsidR="000A7BA6">
        <w:t xml:space="preserve"> </w:t>
      </w:r>
      <w:proofErr w:type="spellStart"/>
      <w:r w:rsidR="000A7BA6">
        <w:t>fjarða</w:t>
      </w:r>
      <w:proofErr w:type="spellEnd"/>
      <w:r w:rsidR="000A7BA6">
        <w:t xml:space="preserve">. </w:t>
      </w:r>
    </w:p>
    <w:p w14:paraId="4D51413F" w14:textId="77777777" w:rsidR="00EA6B1B" w:rsidRDefault="00EA6B1B" w:rsidP="000A7BA6"/>
    <w:p w14:paraId="6E02AB50" w14:textId="10A56C95" w:rsidR="000A7BA6" w:rsidRDefault="000A7BA6" w:rsidP="000A7BA6">
      <w:proofErr w:type="spellStart"/>
      <w:r>
        <w:t>Þá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sárlega</w:t>
      </w:r>
      <w:proofErr w:type="spellEnd"/>
      <w:r>
        <w:t xml:space="preserve"> í </w:t>
      </w:r>
      <w:proofErr w:type="spellStart"/>
      <w:r>
        <w:t>nýju</w:t>
      </w:r>
      <w:proofErr w:type="spellEnd"/>
      <w:r>
        <w:t xml:space="preserve"> </w:t>
      </w:r>
      <w:proofErr w:type="spellStart"/>
      <w:r>
        <w:t>reglugerðardrögin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tillit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náttúruverndarsjónarmiða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lagaákvæða</w:t>
      </w:r>
      <w:proofErr w:type="spellEnd"/>
      <w:r>
        <w:t xml:space="preserve"> um </w:t>
      </w:r>
      <w:proofErr w:type="spellStart"/>
      <w:r>
        <w:t>náttúruvernd</w:t>
      </w:r>
      <w:proofErr w:type="spellEnd"/>
      <w:r>
        <w:t xml:space="preserve"> í </w:t>
      </w:r>
      <w:proofErr w:type="spellStart"/>
      <w:r>
        <w:t>fiskeldislögum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náttúruverndarlögum</w:t>
      </w:r>
      <w:proofErr w:type="spellEnd"/>
      <w:r>
        <w:t xml:space="preserve">,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víða</w:t>
      </w:r>
      <w:proofErr w:type="spellEnd"/>
      <w:r>
        <w:t xml:space="preserve"> </w:t>
      </w:r>
      <w:proofErr w:type="spellStart"/>
      <w:r>
        <w:t>skortir</w:t>
      </w:r>
      <w:proofErr w:type="spellEnd"/>
      <w:r>
        <w:t xml:space="preserve"> </w:t>
      </w:r>
      <w:proofErr w:type="spellStart"/>
      <w:r>
        <w:t>lagaheimildir</w:t>
      </w:r>
      <w:proofErr w:type="spellEnd"/>
      <w:r>
        <w:t>.</w:t>
      </w:r>
    </w:p>
    <w:p w14:paraId="77731D03" w14:textId="77777777" w:rsidR="000A7BA6" w:rsidRDefault="000A7BA6" w:rsidP="000A7BA6"/>
    <w:p w14:paraId="7D803FCF" w14:textId="68F434E9" w:rsidR="00AA06A9" w:rsidRPr="0087571D" w:rsidRDefault="000A7BA6" w:rsidP="000A7BA6">
      <w:pPr>
        <w:rPr>
          <w:b/>
          <w:u w:val="single"/>
        </w:rPr>
      </w:pPr>
      <w:proofErr w:type="spellStart"/>
      <w:r w:rsidRPr="00C52A03">
        <w:rPr>
          <w:b/>
          <w:u w:val="single"/>
        </w:rPr>
        <w:t>Alvarlegasta</w:t>
      </w:r>
      <w:proofErr w:type="spellEnd"/>
      <w:r w:rsidRPr="00C52A03">
        <w:rPr>
          <w:b/>
          <w:u w:val="single"/>
        </w:rPr>
        <w:t xml:space="preserve"> </w:t>
      </w:r>
      <w:proofErr w:type="spellStart"/>
      <w:r w:rsidRPr="00C52A03">
        <w:rPr>
          <w:b/>
          <w:u w:val="single"/>
        </w:rPr>
        <w:t>breytingin</w:t>
      </w:r>
      <w:proofErr w:type="spellEnd"/>
      <w:r w:rsidRPr="00C52A03">
        <w:rPr>
          <w:b/>
          <w:u w:val="single"/>
        </w:rPr>
        <w:t xml:space="preserve">: </w:t>
      </w:r>
      <w:proofErr w:type="spellStart"/>
      <w:r w:rsidRPr="00C52A03">
        <w:rPr>
          <w:b/>
          <w:u w:val="single"/>
        </w:rPr>
        <w:t>Niðurfelling</w:t>
      </w:r>
      <w:proofErr w:type="spellEnd"/>
      <w:r w:rsidRPr="00C52A03">
        <w:rPr>
          <w:b/>
          <w:u w:val="single"/>
        </w:rPr>
        <w:t xml:space="preserve"> </w:t>
      </w:r>
      <w:proofErr w:type="spellStart"/>
      <w:r w:rsidRPr="00C52A03">
        <w:rPr>
          <w:b/>
          <w:u w:val="single"/>
        </w:rPr>
        <w:t>fjarlægðartakmarkana</w:t>
      </w:r>
      <w:proofErr w:type="spellEnd"/>
      <w:r w:rsidRPr="00C52A03">
        <w:rPr>
          <w:b/>
          <w:u w:val="single"/>
        </w:rPr>
        <w:t xml:space="preserve"> </w:t>
      </w:r>
      <w:proofErr w:type="spellStart"/>
      <w:r w:rsidRPr="00C52A03">
        <w:rPr>
          <w:b/>
          <w:u w:val="single"/>
        </w:rPr>
        <w:t>frá</w:t>
      </w:r>
      <w:proofErr w:type="spellEnd"/>
      <w:r w:rsidRPr="00C52A03">
        <w:rPr>
          <w:b/>
          <w:u w:val="single"/>
        </w:rPr>
        <w:t xml:space="preserve"> </w:t>
      </w:r>
      <w:proofErr w:type="spellStart"/>
      <w:r w:rsidRPr="00C52A03">
        <w:rPr>
          <w:b/>
          <w:u w:val="single"/>
        </w:rPr>
        <w:t>laxveiðiám</w:t>
      </w:r>
      <w:proofErr w:type="spellEnd"/>
      <w:r w:rsidRPr="00C52A03">
        <w:rPr>
          <w:b/>
          <w:u w:val="single"/>
        </w:rPr>
        <w:t>.</w:t>
      </w:r>
      <w:r w:rsidR="0087571D">
        <w:rPr>
          <w:b/>
          <w:u w:val="single"/>
        </w:rPr>
        <w:t>’</w:t>
      </w:r>
    </w:p>
    <w:p w14:paraId="3408E1FF" w14:textId="4BD27E33" w:rsidR="000A7BA6" w:rsidRPr="00C125C2" w:rsidRDefault="000A7BA6" w:rsidP="000A7BA6">
      <w:pPr>
        <w:rPr>
          <w:bCs/>
        </w:rPr>
      </w:pPr>
      <w:r w:rsidRPr="00C125C2">
        <w:rPr>
          <w:bCs/>
        </w:rPr>
        <w:t xml:space="preserve">Ein </w:t>
      </w:r>
      <w:proofErr w:type="spellStart"/>
      <w:r w:rsidRPr="00C125C2">
        <w:rPr>
          <w:bCs/>
        </w:rPr>
        <w:t>hættulegasta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breytingin</w:t>
      </w:r>
      <w:proofErr w:type="spellEnd"/>
      <w:r w:rsidRPr="00C125C2">
        <w:rPr>
          <w:bCs/>
        </w:rPr>
        <w:t xml:space="preserve">, </w:t>
      </w:r>
      <w:proofErr w:type="spellStart"/>
      <w:r w:rsidRPr="00C125C2">
        <w:rPr>
          <w:bCs/>
        </w:rPr>
        <w:t>sem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lögð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er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til</w:t>
      </w:r>
      <w:proofErr w:type="spellEnd"/>
      <w:r w:rsidRPr="00C125C2">
        <w:rPr>
          <w:bCs/>
        </w:rPr>
        <w:t xml:space="preserve">, </w:t>
      </w:r>
      <w:proofErr w:type="spellStart"/>
      <w:r w:rsidRPr="00C125C2">
        <w:rPr>
          <w:bCs/>
        </w:rPr>
        <w:t>er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niðurfelling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ákvæða</w:t>
      </w:r>
      <w:proofErr w:type="spellEnd"/>
      <w:r w:rsidRPr="00C125C2">
        <w:rPr>
          <w:bCs/>
        </w:rPr>
        <w:t xml:space="preserve"> í 3. </w:t>
      </w:r>
      <w:proofErr w:type="spellStart"/>
      <w:r w:rsidRPr="00C125C2">
        <w:rPr>
          <w:bCs/>
        </w:rPr>
        <w:t>og</w:t>
      </w:r>
      <w:proofErr w:type="spellEnd"/>
      <w:r w:rsidRPr="00C125C2">
        <w:rPr>
          <w:bCs/>
        </w:rPr>
        <w:t xml:space="preserve"> 4. gr. </w:t>
      </w:r>
      <w:proofErr w:type="spellStart"/>
      <w:r w:rsidRPr="00C125C2">
        <w:rPr>
          <w:bCs/>
        </w:rPr>
        <w:t>reglugerðar</w:t>
      </w:r>
      <w:proofErr w:type="spellEnd"/>
      <w:r w:rsidR="00AA06A9" w:rsidRPr="00C125C2">
        <w:rPr>
          <w:bCs/>
        </w:rPr>
        <w:t xml:space="preserve"> </w:t>
      </w:r>
      <w:r w:rsidRPr="00C125C2">
        <w:rPr>
          <w:bCs/>
        </w:rPr>
        <w:t xml:space="preserve">nr. 1170/2015 um </w:t>
      </w:r>
      <w:proofErr w:type="spellStart"/>
      <w:r w:rsidRPr="00C125C2">
        <w:rPr>
          <w:bCs/>
        </w:rPr>
        <w:t>fiskeldi</w:t>
      </w:r>
      <w:proofErr w:type="spellEnd"/>
      <w:r w:rsidRPr="00C125C2">
        <w:rPr>
          <w:bCs/>
        </w:rPr>
        <w:t>.</w:t>
      </w:r>
      <w:r w:rsidR="00BA1F31" w:rsidRPr="00C125C2">
        <w:rPr>
          <w:bCs/>
        </w:rPr>
        <w:t xml:space="preserve"> </w:t>
      </w:r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Gerð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er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tillaga</w:t>
      </w:r>
      <w:proofErr w:type="spellEnd"/>
      <w:r w:rsidRPr="00C125C2">
        <w:rPr>
          <w:bCs/>
        </w:rPr>
        <w:t xml:space="preserve"> um </w:t>
      </w:r>
      <w:proofErr w:type="spellStart"/>
      <w:r w:rsidRPr="00C125C2">
        <w:rPr>
          <w:bCs/>
        </w:rPr>
        <w:t>að</w:t>
      </w:r>
      <w:proofErr w:type="spellEnd"/>
      <w:r w:rsidRPr="00C125C2">
        <w:rPr>
          <w:bCs/>
        </w:rPr>
        <w:t xml:space="preserve"> fella </w:t>
      </w:r>
      <w:proofErr w:type="spellStart"/>
      <w:r w:rsidRPr="00C125C2">
        <w:rPr>
          <w:bCs/>
        </w:rPr>
        <w:t>þar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með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niður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fjarlægðarmörk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eldiskvía</w:t>
      </w:r>
      <w:proofErr w:type="spellEnd"/>
      <w:r w:rsidR="00AA06A9" w:rsidRPr="00C125C2">
        <w:rPr>
          <w:bCs/>
        </w:rPr>
        <w:t xml:space="preserve"> </w:t>
      </w:r>
      <w:proofErr w:type="spellStart"/>
      <w:r w:rsidRPr="00C125C2">
        <w:rPr>
          <w:bCs/>
        </w:rPr>
        <w:t>frá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laxveiðiám</w:t>
      </w:r>
      <w:proofErr w:type="spellEnd"/>
      <w:r w:rsidRPr="00C125C2">
        <w:rPr>
          <w:bCs/>
        </w:rPr>
        <w:t xml:space="preserve"> á </w:t>
      </w:r>
      <w:proofErr w:type="spellStart"/>
      <w:r w:rsidRPr="00C125C2">
        <w:rPr>
          <w:bCs/>
        </w:rPr>
        <w:t>þeim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grundvelli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að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fjarlægðarákvæðið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sé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óþarft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eftir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lögfestingu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áhættumats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erfðablöndunar</w:t>
      </w:r>
      <w:proofErr w:type="spellEnd"/>
      <w:r w:rsidRPr="00C125C2">
        <w:rPr>
          <w:bCs/>
        </w:rPr>
        <w:t>.</w:t>
      </w:r>
    </w:p>
    <w:p w14:paraId="18F470DB" w14:textId="77777777" w:rsidR="00AA06A9" w:rsidRPr="00C52A03" w:rsidRDefault="00AA06A9" w:rsidP="000A7BA6">
      <w:pPr>
        <w:rPr>
          <w:b/>
        </w:rPr>
      </w:pPr>
    </w:p>
    <w:p w14:paraId="5BB0D867" w14:textId="77777777" w:rsidR="00C125C2" w:rsidRDefault="000A7BA6" w:rsidP="000A7BA6">
      <w:pPr>
        <w:rPr>
          <w:b/>
        </w:rPr>
      </w:pPr>
      <w:r w:rsidRPr="00C52A03">
        <w:rPr>
          <w:b/>
        </w:rPr>
        <w:lastRenderedPageBreak/>
        <w:t xml:space="preserve">Í </w:t>
      </w:r>
      <w:proofErr w:type="spellStart"/>
      <w:r w:rsidRPr="00C52A03">
        <w:rPr>
          <w:b/>
        </w:rPr>
        <w:t>raun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fjarlægðarákvæði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aldrei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nauðsynlegra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nú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til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verndar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gegn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margvíslegri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náttúruvá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frá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laxeldiskvíum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árósa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laxveiðiáa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og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með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stórauknu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eldismagni</w:t>
      </w:r>
      <w:proofErr w:type="spellEnd"/>
      <w:r w:rsidRPr="00C52A03">
        <w:rPr>
          <w:b/>
        </w:rPr>
        <w:t xml:space="preserve"> í </w:t>
      </w:r>
      <w:proofErr w:type="spellStart"/>
      <w:r w:rsidRPr="00C52A03">
        <w:rPr>
          <w:b/>
        </w:rPr>
        <w:t>sjókvíum</w:t>
      </w:r>
      <w:proofErr w:type="spellEnd"/>
      <w:r w:rsidRPr="00C52A03">
        <w:rPr>
          <w:b/>
        </w:rPr>
        <w:t>.</w:t>
      </w:r>
      <w:r w:rsidR="00AA06A9">
        <w:rPr>
          <w:b/>
        </w:rPr>
        <w:t xml:space="preserve"> </w:t>
      </w:r>
    </w:p>
    <w:p w14:paraId="60D780DB" w14:textId="77777777" w:rsidR="00C125C2" w:rsidRDefault="00C125C2" w:rsidP="000A7BA6">
      <w:pPr>
        <w:rPr>
          <w:b/>
        </w:rPr>
      </w:pPr>
    </w:p>
    <w:p w14:paraId="53D2D498" w14:textId="5B7BE7AF" w:rsidR="000A7BA6" w:rsidRPr="00C52A03" w:rsidRDefault="000A7BA6" w:rsidP="000A7BA6">
      <w:pPr>
        <w:rPr>
          <w:b/>
        </w:rPr>
      </w:pPr>
      <w:proofErr w:type="spellStart"/>
      <w:r w:rsidRPr="00C52A03">
        <w:rPr>
          <w:b/>
        </w:rPr>
        <w:t>Falli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ákvæðið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niður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engin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vörn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gegn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staðsetningu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eldis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ósa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laxveiðiáa</w:t>
      </w:r>
      <w:proofErr w:type="spellEnd"/>
      <w:r w:rsidRPr="00C52A03">
        <w:rPr>
          <w:b/>
        </w:rPr>
        <w:t xml:space="preserve">. </w:t>
      </w:r>
      <w:proofErr w:type="spellStart"/>
      <w:r w:rsidRPr="00C52A03">
        <w:rPr>
          <w:b/>
        </w:rPr>
        <w:t>Áhættumatið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allt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annars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eðlis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fjarlægðartakmarkanirnar</w:t>
      </w:r>
      <w:proofErr w:type="spellEnd"/>
      <w:r w:rsidRPr="00C52A03">
        <w:rPr>
          <w:b/>
        </w:rPr>
        <w:t xml:space="preserve">. </w:t>
      </w:r>
      <w:proofErr w:type="spellStart"/>
      <w:r w:rsidRPr="00C52A03">
        <w:rPr>
          <w:b/>
        </w:rPr>
        <w:t>Það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útreiknað</w:t>
      </w:r>
      <w:proofErr w:type="spellEnd"/>
      <w:r w:rsidRPr="00C52A03">
        <w:rPr>
          <w:b/>
        </w:rPr>
        <w:t xml:space="preserve"> mat á </w:t>
      </w:r>
      <w:proofErr w:type="spellStart"/>
      <w:r w:rsidRPr="00C52A03">
        <w:rPr>
          <w:b/>
        </w:rPr>
        <w:t>hættu</w:t>
      </w:r>
      <w:proofErr w:type="spellEnd"/>
      <w:r w:rsidRPr="00C52A03">
        <w:rPr>
          <w:b/>
        </w:rPr>
        <w:t xml:space="preserve"> á </w:t>
      </w:r>
      <w:proofErr w:type="spellStart"/>
      <w:r w:rsidRPr="00C52A03">
        <w:rPr>
          <w:b/>
        </w:rPr>
        <w:t>erfðablöndun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villtra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laxa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og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erlendra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strokulaxa</w:t>
      </w:r>
      <w:proofErr w:type="spellEnd"/>
      <w:r w:rsidR="00AA06A9">
        <w:rPr>
          <w:b/>
        </w:rPr>
        <w:t xml:space="preserve"> </w:t>
      </w:r>
      <w:proofErr w:type="spellStart"/>
      <w:r w:rsidRPr="00C52A03">
        <w:rPr>
          <w:b/>
        </w:rPr>
        <w:t>samkvæmt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ákveðinni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líkindaformúlu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miðað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við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tiltekið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magn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eldisfisks</w:t>
      </w:r>
      <w:proofErr w:type="spellEnd"/>
      <w:r w:rsidRPr="00C52A03">
        <w:rPr>
          <w:b/>
        </w:rPr>
        <w:t xml:space="preserve"> í </w:t>
      </w:r>
      <w:proofErr w:type="spellStart"/>
      <w:r w:rsidRPr="00C52A03">
        <w:rPr>
          <w:b/>
        </w:rPr>
        <w:t>sjókvíum</w:t>
      </w:r>
      <w:proofErr w:type="spellEnd"/>
      <w:r w:rsidRPr="00C52A03">
        <w:rPr>
          <w:b/>
        </w:rPr>
        <w:t>. </w:t>
      </w:r>
    </w:p>
    <w:p w14:paraId="29F7B486" w14:textId="77777777" w:rsidR="00AA06A9" w:rsidRDefault="00AA06A9" w:rsidP="000A7BA6">
      <w:pPr>
        <w:rPr>
          <w:b/>
        </w:rPr>
      </w:pPr>
    </w:p>
    <w:p w14:paraId="5A32A6B4" w14:textId="4AC95CBE" w:rsidR="000A7BA6" w:rsidRPr="00C52A03" w:rsidRDefault="000A7BA6" w:rsidP="000A7BA6">
      <w:pPr>
        <w:rPr>
          <w:b/>
        </w:rPr>
      </w:pPr>
      <w:proofErr w:type="spellStart"/>
      <w:r w:rsidRPr="00C52A03">
        <w:rPr>
          <w:b/>
        </w:rPr>
        <w:t>Áhættumatið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nær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hvorki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til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lúsafárs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eða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smithættu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fisksjúkdóma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frá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eldiskvíum</w:t>
      </w:r>
      <w:proofErr w:type="spellEnd"/>
      <w:r w:rsidRPr="00C52A03">
        <w:rPr>
          <w:b/>
        </w:rPr>
        <w:t xml:space="preserve"> né </w:t>
      </w:r>
      <w:proofErr w:type="spellStart"/>
      <w:r w:rsidRPr="00C52A03">
        <w:rPr>
          <w:b/>
        </w:rPr>
        <w:t>heldur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sjónmengunar</w:t>
      </w:r>
      <w:proofErr w:type="spellEnd"/>
      <w:r w:rsidRPr="00C52A03">
        <w:rPr>
          <w:b/>
        </w:rPr>
        <w:t xml:space="preserve"> í </w:t>
      </w:r>
      <w:proofErr w:type="spellStart"/>
      <w:r w:rsidRPr="00C52A03">
        <w:rPr>
          <w:b/>
        </w:rPr>
        <w:t>ósnortinni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náttúru</w:t>
      </w:r>
      <w:proofErr w:type="spellEnd"/>
      <w:r w:rsidRPr="00C52A03">
        <w:rPr>
          <w:b/>
        </w:rPr>
        <w:t xml:space="preserve">. </w:t>
      </w:r>
    </w:p>
    <w:p w14:paraId="77307C7B" w14:textId="77777777" w:rsidR="00AA06A9" w:rsidRDefault="00AA06A9" w:rsidP="000A7BA6">
      <w:pPr>
        <w:rPr>
          <w:b/>
        </w:rPr>
      </w:pPr>
    </w:p>
    <w:p w14:paraId="45416A8D" w14:textId="77777777" w:rsidR="00AA06A9" w:rsidRPr="00C125C2" w:rsidRDefault="000A7BA6" w:rsidP="000A7BA6">
      <w:pPr>
        <w:rPr>
          <w:bCs/>
        </w:rPr>
      </w:pPr>
      <w:r w:rsidRPr="00C125C2">
        <w:rPr>
          <w:bCs/>
        </w:rPr>
        <w:t xml:space="preserve">Í </w:t>
      </w:r>
      <w:proofErr w:type="spellStart"/>
      <w:r w:rsidRPr="00C125C2">
        <w:rPr>
          <w:bCs/>
        </w:rPr>
        <w:t>skýrslu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atvinnuvegaráðuneytisins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frá</w:t>
      </w:r>
      <w:proofErr w:type="spellEnd"/>
      <w:r w:rsidRPr="00C125C2">
        <w:rPr>
          <w:bCs/>
        </w:rPr>
        <w:t xml:space="preserve"> 2014 </w:t>
      </w:r>
      <w:proofErr w:type="spellStart"/>
      <w:r w:rsidRPr="00C125C2">
        <w:rPr>
          <w:bCs/>
        </w:rPr>
        <w:t>segir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m.a.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að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bann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við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laxeldi</w:t>
      </w:r>
      <w:proofErr w:type="spellEnd"/>
      <w:r w:rsidRPr="00C125C2">
        <w:rPr>
          <w:bCs/>
        </w:rPr>
        <w:t xml:space="preserve"> í </w:t>
      </w:r>
      <w:proofErr w:type="spellStart"/>
      <w:r w:rsidRPr="00C125C2">
        <w:rPr>
          <w:bCs/>
        </w:rPr>
        <w:t>sjókvíum</w:t>
      </w:r>
      <w:proofErr w:type="spellEnd"/>
      <w:r w:rsidRPr="00C125C2">
        <w:rPr>
          <w:bCs/>
        </w:rPr>
        <w:t xml:space="preserve"> í </w:t>
      </w:r>
      <w:proofErr w:type="spellStart"/>
      <w:r w:rsidRPr="00C125C2">
        <w:rPr>
          <w:bCs/>
        </w:rPr>
        <w:t>námunda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við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laxveiðiár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hafi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verið</w:t>
      </w:r>
      <w:proofErr w:type="spellEnd"/>
      <w:r w:rsidRPr="00C125C2">
        <w:rPr>
          <w:bCs/>
        </w:rPr>
        <w:t xml:space="preserve"> sett </w:t>
      </w:r>
      <w:proofErr w:type="spellStart"/>
      <w:r w:rsidRPr="00C125C2">
        <w:rPr>
          <w:bCs/>
        </w:rPr>
        <w:t>til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verndar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laxastofnum</w:t>
      </w:r>
      <w:proofErr w:type="spellEnd"/>
      <w:r w:rsidRPr="00C125C2">
        <w:rPr>
          <w:bCs/>
        </w:rPr>
        <w:t xml:space="preserve"> í </w:t>
      </w:r>
      <w:proofErr w:type="spellStart"/>
      <w:r w:rsidRPr="00C125C2">
        <w:rPr>
          <w:bCs/>
        </w:rPr>
        <w:t>ám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landsins</w:t>
      </w:r>
      <w:proofErr w:type="spellEnd"/>
      <w:r w:rsidRPr="00C125C2">
        <w:rPr>
          <w:bCs/>
        </w:rPr>
        <w:t xml:space="preserve">. </w:t>
      </w:r>
      <w:proofErr w:type="spellStart"/>
      <w:r w:rsidRPr="00C125C2">
        <w:rPr>
          <w:bCs/>
        </w:rPr>
        <w:t>Síðan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segir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svo</w:t>
      </w:r>
      <w:proofErr w:type="spellEnd"/>
      <w:r w:rsidRPr="00C125C2">
        <w:rPr>
          <w:bCs/>
        </w:rPr>
        <w:t xml:space="preserve"> um </w:t>
      </w:r>
      <w:proofErr w:type="spellStart"/>
      <w:r w:rsidRPr="00C125C2">
        <w:rPr>
          <w:bCs/>
        </w:rPr>
        <w:t>bann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við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sjókvíaeldi</w:t>
      </w:r>
      <w:proofErr w:type="spellEnd"/>
      <w:r w:rsidRPr="00C125C2">
        <w:rPr>
          <w:bCs/>
        </w:rPr>
        <w:t xml:space="preserve"> í 15 km </w:t>
      </w:r>
      <w:proofErr w:type="spellStart"/>
      <w:r w:rsidRPr="00C125C2">
        <w:rPr>
          <w:bCs/>
        </w:rPr>
        <w:t>fjarlægð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frá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helstu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laxveiðám</w:t>
      </w:r>
      <w:proofErr w:type="spellEnd"/>
      <w:r w:rsidRPr="00C125C2">
        <w:rPr>
          <w:bCs/>
        </w:rPr>
        <w:t xml:space="preserve"> </w:t>
      </w:r>
      <w:proofErr w:type="spellStart"/>
      <w:r w:rsidRPr="00C125C2">
        <w:rPr>
          <w:bCs/>
        </w:rPr>
        <w:t>landsins</w:t>
      </w:r>
      <w:proofErr w:type="spellEnd"/>
      <w:r w:rsidRPr="00C125C2">
        <w:rPr>
          <w:bCs/>
        </w:rPr>
        <w:t xml:space="preserve">: </w:t>
      </w:r>
    </w:p>
    <w:p w14:paraId="418454CA" w14:textId="77777777" w:rsidR="00AA06A9" w:rsidRDefault="00AA06A9" w:rsidP="000A7BA6">
      <w:pPr>
        <w:rPr>
          <w:b/>
        </w:rPr>
      </w:pPr>
    </w:p>
    <w:p w14:paraId="2E6EDCF3" w14:textId="6EF2EBA7" w:rsidR="00AA06A9" w:rsidRPr="00BA1F31" w:rsidRDefault="000A7BA6" w:rsidP="00BA1F31">
      <w:pPr>
        <w:ind w:left="720"/>
        <w:rPr>
          <w:bCs/>
        </w:rPr>
      </w:pPr>
      <w:proofErr w:type="spellStart"/>
      <w:r w:rsidRPr="00BA1F31">
        <w:rPr>
          <w:bCs/>
        </w:rPr>
        <w:t>Með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því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heimila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eldi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laxfiska</w:t>
      </w:r>
      <w:proofErr w:type="spellEnd"/>
      <w:r w:rsidRPr="00BA1F31">
        <w:rPr>
          <w:bCs/>
        </w:rPr>
        <w:t xml:space="preserve"> ekki á </w:t>
      </w:r>
      <w:proofErr w:type="spellStart"/>
      <w:r w:rsidRPr="00BA1F31">
        <w:rPr>
          <w:bCs/>
        </w:rPr>
        <w:t>ákveðnum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svæðum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ákveðinni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fjarlægð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frá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stærstu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laxveiðiám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verið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draga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úr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líkum</w:t>
      </w:r>
      <w:proofErr w:type="spellEnd"/>
      <w:r w:rsidRPr="00BA1F31">
        <w:rPr>
          <w:bCs/>
        </w:rPr>
        <w:t xml:space="preserve"> á </w:t>
      </w:r>
      <w:proofErr w:type="spellStart"/>
      <w:r w:rsidRPr="00BA1F31">
        <w:rPr>
          <w:bCs/>
        </w:rPr>
        <w:t>því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eldisfiskur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gangi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upp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verðmætustu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árnar</w:t>
      </w:r>
      <w:proofErr w:type="spellEnd"/>
      <w:r w:rsidRPr="00BA1F31">
        <w:rPr>
          <w:bCs/>
        </w:rPr>
        <w:t xml:space="preserve">.  </w:t>
      </w:r>
      <w:proofErr w:type="spellStart"/>
      <w:r w:rsidRPr="00BA1F31">
        <w:rPr>
          <w:bCs/>
        </w:rPr>
        <w:t>Við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slysasleppingu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sækir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kynþroska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eldislax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mestum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mæli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upp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ár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nágrenninu</w:t>
      </w:r>
      <w:proofErr w:type="spellEnd"/>
      <w:r w:rsidRPr="00BA1F31">
        <w:rPr>
          <w:bCs/>
        </w:rPr>
        <w:t xml:space="preserve">.  </w:t>
      </w:r>
      <w:proofErr w:type="spellStart"/>
      <w:r w:rsidRPr="00BA1F31">
        <w:rPr>
          <w:bCs/>
        </w:rPr>
        <w:t>Það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má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gera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ráð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fyrir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fjöldi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eldisfiska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sem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sleppa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úr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sjókvíum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aukist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með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auknu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umfangi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eldisins</w:t>
      </w:r>
      <w:proofErr w:type="spellEnd"/>
      <w:r w:rsidRPr="00BA1F31">
        <w:rPr>
          <w:bCs/>
        </w:rPr>
        <w:t xml:space="preserve">.  </w:t>
      </w:r>
    </w:p>
    <w:p w14:paraId="3D29C4B6" w14:textId="77777777" w:rsidR="00AA06A9" w:rsidRDefault="00AA06A9" w:rsidP="000A7BA6">
      <w:pPr>
        <w:rPr>
          <w:b/>
        </w:rPr>
      </w:pPr>
    </w:p>
    <w:p w14:paraId="64323F46" w14:textId="6E1F2DB7" w:rsidR="000A7BA6" w:rsidRPr="00BA1F31" w:rsidRDefault="000A7BA6" w:rsidP="000A7BA6">
      <w:pPr>
        <w:rPr>
          <w:bCs/>
        </w:rPr>
      </w:pPr>
      <w:proofErr w:type="spellStart"/>
      <w:r w:rsidRPr="00BA1F31">
        <w:rPr>
          <w:bCs/>
        </w:rPr>
        <w:t>Síðar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sömu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skýrslu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segir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þar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sem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ár</w:t>
      </w:r>
      <w:proofErr w:type="spellEnd"/>
      <w:r w:rsidRPr="00BA1F31">
        <w:rPr>
          <w:bCs/>
        </w:rPr>
        <w:t xml:space="preserve"> á </w:t>
      </w:r>
      <w:proofErr w:type="spellStart"/>
      <w:r w:rsidRPr="00BA1F31">
        <w:rPr>
          <w:bCs/>
        </w:rPr>
        <w:t>mögulegum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laxeldissvæðum</w:t>
      </w:r>
      <w:proofErr w:type="spellEnd"/>
      <w:r w:rsidRPr="00BA1F31">
        <w:rPr>
          <w:bCs/>
        </w:rPr>
        <w:t xml:space="preserve"> á </w:t>
      </w:r>
      <w:proofErr w:type="spellStart"/>
      <w:r w:rsidRPr="00BA1F31">
        <w:rPr>
          <w:bCs/>
        </w:rPr>
        <w:t>Vestfjörðum</w:t>
      </w:r>
      <w:proofErr w:type="spellEnd"/>
      <w:r w:rsidRPr="00BA1F31">
        <w:rPr>
          <w:bCs/>
        </w:rPr>
        <w:t xml:space="preserve">, </w:t>
      </w:r>
      <w:proofErr w:type="spellStart"/>
      <w:r w:rsidRPr="00BA1F31">
        <w:rPr>
          <w:bCs/>
        </w:rPr>
        <w:t>Austfjörðum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og</w:t>
      </w:r>
      <w:proofErr w:type="spellEnd"/>
      <w:r w:rsidRPr="00BA1F31">
        <w:rPr>
          <w:bCs/>
        </w:rPr>
        <w:t xml:space="preserve"> í </w:t>
      </w:r>
      <w:proofErr w:type="spellStart"/>
      <w:r w:rsidRPr="00BA1F31">
        <w:rPr>
          <w:bCs/>
        </w:rPr>
        <w:t>Eyjafirði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væru</w:t>
      </w:r>
      <w:proofErr w:type="spellEnd"/>
      <w:r w:rsidRPr="00BA1F31">
        <w:rPr>
          <w:bCs/>
        </w:rPr>
        <w:t xml:space="preserve"> ekki </w:t>
      </w:r>
      <w:proofErr w:type="spellStart"/>
      <w:r w:rsidRPr="00BA1F31">
        <w:rPr>
          <w:bCs/>
        </w:rPr>
        <w:t>það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aflaháar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að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veiðin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væri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meira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en</w:t>
      </w:r>
      <w:proofErr w:type="spellEnd"/>
      <w:r w:rsidRPr="00BA1F31">
        <w:rPr>
          <w:bCs/>
        </w:rPr>
        <w:t xml:space="preserve"> 500 </w:t>
      </w:r>
      <w:proofErr w:type="spellStart"/>
      <w:r w:rsidRPr="00BA1F31">
        <w:rPr>
          <w:bCs/>
        </w:rPr>
        <w:t>laxar</w:t>
      </w:r>
      <w:proofErr w:type="spellEnd"/>
      <w:r w:rsidRPr="00BA1F31">
        <w:rPr>
          <w:bCs/>
        </w:rPr>
        <w:t xml:space="preserve">, </w:t>
      </w:r>
      <w:proofErr w:type="spellStart"/>
      <w:r w:rsidRPr="00BA1F31">
        <w:rPr>
          <w:bCs/>
        </w:rPr>
        <w:t>þá</w:t>
      </w:r>
      <w:proofErr w:type="spellEnd"/>
      <w:r w:rsidRPr="00BA1F31">
        <w:rPr>
          <w:bCs/>
        </w:rPr>
        <w:t xml:space="preserve"> mundi </w:t>
      </w:r>
      <w:proofErr w:type="spellStart"/>
      <w:r w:rsidRPr="00BA1F31">
        <w:rPr>
          <w:bCs/>
        </w:rPr>
        <w:t>fimm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kílómetra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reglan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gilda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þar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en</w:t>
      </w:r>
      <w:proofErr w:type="spellEnd"/>
      <w:r w:rsidRPr="00BA1F31">
        <w:rPr>
          <w:bCs/>
        </w:rPr>
        <w:t xml:space="preserve"> ekki 15 </w:t>
      </w:r>
      <w:proofErr w:type="spellStart"/>
      <w:r w:rsidRPr="00BA1F31">
        <w:rPr>
          <w:bCs/>
        </w:rPr>
        <w:t>kílómetra</w:t>
      </w:r>
      <w:proofErr w:type="spellEnd"/>
      <w:r w:rsidRPr="00BA1F31">
        <w:rPr>
          <w:bCs/>
        </w:rPr>
        <w:t xml:space="preserve"> </w:t>
      </w:r>
      <w:proofErr w:type="spellStart"/>
      <w:r w:rsidRPr="00BA1F31">
        <w:rPr>
          <w:bCs/>
        </w:rPr>
        <w:t>reglan</w:t>
      </w:r>
      <w:proofErr w:type="spellEnd"/>
      <w:r w:rsidRPr="00BA1F31">
        <w:rPr>
          <w:bCs/>
        </w:rPr>
        <w:t>.</w:t>
      </w:r>
    </w:p>
    <w:p w14:paraId="01965571" w14:textId="77777777" w:rsidR="00AA06A9" w:rsidRPr="00BA1F31" w:rsidRDefault="00AA06A9" w:rsidP="000A7BA6">
      <w:pPr>
        <w:rPr>
          <w:bCs/>
        </w:rPr>
      </w:pPr>
    </w:p>
    <w:p w14:paraId="76B2523E" w14:textId="066C3E15" w:rsidR="000A7BA6" w:rsidRPr="00C52A03" w:rsidRDefault="000A7BA6" w:rsidP="000A7BA6">
      <w:pPr>
        <w:rPr>
          <w:b/>
        </w:rPr>
      </w:pPr>
      <w:proofErr w:type="spellStart"/>
      <w:r w:rsidRPr="00C52A03">
        <w:rPr>
          <w:b/>
        </w:rPr>
        <w:t>Með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nýjum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drögum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að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fiskeldisreglugerð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eru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allar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nefndar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fjarlægðarreglur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felldar</w:t>
      </w:r>
      <w:proofErr w:type="spellEnd"/>
      <w:r w:rsidRPr="00C52A03">
        <w:rPr>
          <w:b/>
        </w:rPr>
        <w:t xml:space="preserve"> </w:t>
      </w:r>
      <w:proofErr w:type="spellStart"/>
      <w:r w:rsidRPr="00C52A03">
        <w:rPr>
          <w:b/>
        </w:rPr>
        <w:t>niður</w:t>
      </w:r>
      <w:proofErr w:type="spellEnd"/>
      <w:r w:rsidRPr="00C52A03">
        <w:rPr>
          <w:b/>
        </w:rPr>
        <w:t>.</w:t>
      </w:r>
    </w:p>
    <w:p w14:paraId="03C5CC2F" w14:textId="77777777" w:rsidR="00AA06A9" w:rsidRDefault="00AA06A9" w:rsidP="000A7BA6">
      <w:pPr>
        <w:rPr>
          <w:b/>
        </w:rPr>
      </w:pPr>
    </w:p>
    <w:p w14:paraId="320A115B" w14:textId="37E4C043" w:rsidR="000A7BA6" w:rsidRPr="00C52A03" w:rsidRDefault="00BA1F31" w:rsidP="000A7BA6">
      <w:proofErr w:type="spellStart"/>
      <w:r>
        <w:rPr>
          <w:b/>
        </w:rPr>
        <w:t>Hætt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0A7BA6" w:rsidRPr="00C52A03">
        <w:rPr>
          <w:b/>
        </w:rPr>
        <w:t>iðurfelling</w:t>
      </w:r>
      <w:proofErr w:type="spellEnd"/>
      <w:r w:rsidR="000A7BA6" w:rsidRPr="00C52A03">
        <w:rPr>
          <w:b/>
        </w:rPr>
        <w:t xml:space="preserve"> </w:t>
      </w:r>
      <w:proofErr w:type="spellStart"/>
      <w:r w:rsidR="000A7BA6" w:rsidRPr="00C52A03">
        <w:rPr>
          <w:b/>
        </w:rPr>
        <w:t>fjarlægðarmarkanna</w:t>
      </w:r>
      <w:proofErr w:type="spellEnd"/>
      <w:r w:rsidR="000A7BA6" w:rsidRPr="00C52A03">
        <w:rPr>
          <w:b/>
        </w:rPr>
        <w:t xml:space="preserve"> </w:t>
      </w:r>
      <w:proofErr w:type="spellStart"/>
      <w:r>
        <w:rPr>
          <w:b/>
        </w:rPr>
        <w:t>leiði</w:t>
      </w:r>
      <w:proofErr w:type="spellEnd"/>
      <w:r w:rsidR="000A7BA6" w:rsidRPr="00BA3EE6">
        <w:rPr>
          <w:b/>
        </w:rPr>
        <w:t xml:space="preserve"> ti</w:t>
      </w:r>
      <w:proofErr w:type="spellStart"/>
      <w:r w:rsidR="000A7BA6" w:rsidRPr="00BA3EE6">
        <w:rPr>
          <w:b/>
        </w:rPr>
        <w:t>l</w:t>
      </w:r>
      <w:proofErr w:type="spellEnd"/>
      <w:r w:rsidR="000A7BA6" w:rsidRPr="00BA3EE6">
        <w:rPr>
          <w:b/>
        </w:rPr>
        <w:t xml:space="preserve"> </w:t>
      </w:r>
      <w:proofErr w:type="spellStart"/>
      <w:r>
        <w:rPr>
          <w:b/>
        </w:rPr>
        <w:t>aukinna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deilna</w:t>
      </w:r>
      <w:r w:rsidR="000A7BA6" w:rsidRPr="00BA3EE6">
        <w:rPr>
          <w:b/>
        </w:rPr>
        <w:t xml:space="preserve"> </w:t>
      </w:r>
      <w:proofErr w:type="spellEnd"/>
      <w:r w:rsidR="000A7BA6" w:rsidRPr="00BA3EE6">
        <w:rPr>
          <w:b/>
        </w:rPr>
        <w:t xml:space="preserve">um </w:t>
      </w:r>
      <w:proofErr w:type="spellStart"/>
      <w:r w:rsidR="000A7BA6" w:rsidRPr="00BA3EE6">
        <w:rPr>
          <w:b/>
        </w:rPr>
        <w:t>sjókvíaeldi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og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því</w:t>
      </w:r>
      <w:proofErr w:type="spellEnd"/>
      <w:r w:rsidR="000A7BA6" w:rsidRPr="00BA3EE6">
        <w:rPr>
          <w:b/>
        </w:rPr>
        <w:t xml:space="preserve"> ekki </w:t>
      </w:r>
      <w:proofErr w:type="spellStart"/>
      <w:r w:rsidR="000A7BA6" w:rsidRPr="00BA3EE6">
        <w:rPr>
          <w:b/>
        </w:rPr>
        <w:t>ljóst</w:t>
      </w:r>
      <w:proofErr w:type="spellEnd"/>
      <w:r w:rsidR="000A7BA6" w:rsidRPr="00BA3EE6">
        <w:rPr>
          <w:b/>
        </w:rPr>
        <w:t xml:space="preserve">, </w:t>
      </w:r>
      <w:proofErr w:type="spellStart"/>
      <w:r w:rsidR="000A7BA6" w:rsidRPr="00BA3EE6">
        <w:rPr>
          <w:b/>
        </w:rPr>
        <w:t>hvaða</w:t>
      </w:r>
      <w:proofErr w:type="spellEnd"/>
      <w:r w:rsidR="000A7BA6" w:rsidRPr="00BA3EE6">
        <w:rPr>
          <w:b/>
        </w:rPr>
        <w:t xml:space="preserve"> hag </w:t>
      </w:r>
      <w:proofErr w:type="spellStart"/>
      <w:r w:rsidR="000A7BA6" w:rsidRPr="00BA3EE6">
        <w:rPr>
          <w:b/>
        </w:rPr>
        <w:t>eldisfyrirtækin</w:t>
      </w:r>
      <w:proofErr w:type="spellEnd"/>
      <w:r w:rsidR="000A7BA6" w:rsidRPr="00C52A03">
        <w:rPr>
          <w:b/>
        </w:rPr>
        <w:t xml:space="preserve"> </w:t>
      </w:r>
      <w:proofErr w:type="spellStart"/>
      <w:r w:rsidR="000A7BA6" w:rsidRPr="00BA3EE6">
        <w:rPr>
          <w:b/>
        </w:rPr>
        <w:t>hafa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af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niðurfellingu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fjarlægðartakmarkana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frá</w:t>
      </w:r>
      <w:proofErr w:type="spellEnd"/>
      <w:r w:rsidR="000A7BA6" w:rsidRPr="00BA3EE6">
        <w:rPr>
          <w:b/>
        </w:rPr>
        <w:t xml:space="preserve"> </w:t>
      </w:r>
      <w:proofErr w:type="spellStart"/>
      <w:r w:rsidR="000A7BA6" w:rsidRPr="00BA3EE6">
        <w:rPr>
          <w:b/>
        </w:rPr>
        <w:t>laxveiðiám</w:t>
      </w:r>
      <w:proofErr w:type="spellEnd"/>
      <w:r w:rsidR="000A7BA6" w:rsidRPr="00BA3EE6">
        <w:rPr>
          <w:b/>
        </w:rPr>
        <w:t>.</w:t>
      </w:r>
    </w:p>
    <w:p w14:paraId="47489B36" w14:textId="77777777" w:rsidR="000A7BA6" w:rsidRDefault="000A7BA6" w:rsidP="000A7BA6"/>
    <w:p w14:paraId="47774793" w14:textId="77777777" w:rsidR="000A7BA6" w:rsidRPr="00C52A03" w:rsidRDefault="000A7BA6" w:rsidP="000A7BA6">
      <w:proofErr w:type="spellStart"/>
      <w:r>
        <w:rPr>
          <w:i/>
          <w:iCs/>
        </w:rPr>
        <w:t>Markmiðsákvæði</w:t>
      </w:r>
      <w:proofErr w:type="spellEnd"/>
      <w:r>
        <w:rPr>
          <w:i/>
          <w:iCs/>
        </w:rPr>
        <w:t xml:space="preserve"> 1. gr. </w:t>
      </w:r>
      <w:proofErr w:type="spellStart"/>
      <w:r>
        <w:rPr>
          <w:i/>
          <w:iCs/>
        </w:rPr>
        <w:t>laga</w:t>
      </w:r>
      <w:proofErr w:type="spellEnd"/>
      <w:r>
        <w:rPr>
          <w:i/>
          <w:iCs/>
        </w:rPr>
        <w:t xml:space="preserve"> um </w:t>
      </w:r>
      <w:proofErr w:type="spellStart"/>
      <w:r>
        <w:rPr>
          <w:i/>
          <w:iCs/>
        </w:rPr>
        <w:t>fiskeldi</w:t>
      </w:r>
      <w:proofErr w:type="spellEnd"/>
      <w:r>
        <w:rPr>
          <w:i/>
          <w:iCs/>
        </w:rPr>
        <w:t xml:space="preserve"> nr. 71/2008.</w:t>
      </w:r>
    </w:p>
    <w:p w14:paraId="7DC18B8D" w14:textId="77777777" w:rsidR="00BA1F31" w:rsidRDefault="000A7BA6" w:rsidP="000A7BA6">
      <w:r>
        <w:t xml:space="preserve">Í </w:t>
      </w:r>
      <w:proofErr w:type="spellStart"/>
      <w:r>
        <w:t>nefndri</w:t>
      </w:r>
      <w:proofErr w:type="spellEnd"/>
      <w:r>
        <w:t xml:space="preserve"> </w:t>
      </w:r>
      <w:proofErr w:type="spellStart"/>
      <w:r>
        <w:t>lagagrein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:  </w:t>
      </w:r>
    </w:p>
    <w:p w14:paraId="5F120F58" w14:textId="77777777" w:rsidR="00BA1F31" w:rsidRDefault="00BA1F31" w:rsidP="000A7BA6"/>
    <w:p w14:paraId="4601ADE4" w14:textId="52E3813A" w:rsidR="000A7BA6" w:rsidRDefault="000A7BA6" w:rsidP="00BA1F31">
      <w:pPr>
        <w:ind w:left="720"/>
      </w:pP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verndun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nytjastofna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í veg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hugsanleg</w:t>
      </w:r>
      <w:proofErr w:type="spellEnd"/>
      <w:r>
        <w:t xml:space="preserve"> </w:t>
      </w:r>
      <w:proofErr w:type="spellStart"/>
      <w:r>
        <w:t>spjöll</w:t>
      </w:r>
      <w:proofErr w:type="spellEnd"/>
      <w:r>
        <w:t xml:space="preserve"> á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nytjastofnum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lífríki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hagsmuni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slíka</w:t>
      </w:r>
      <w:proofErr w:type="spellEnd"/>
      <w:r>
        <w:t xml:space="preserve"> </w:t>
      </w:r>
      <w:proofErr w:type="spellStart"/>
      <w:proofErr w:type="gramStart"/>
      <w:r>
        <w:t>stofna</w:t>
      </w:r>
      <w:proofErr w:type="spellEnd"/>
      <w:r>
        <w:t>.“</w:t>
      </w:r>
      <w:proofErr w:type="gramEnd"/>
      <w:r>
        <w:t xml:space="preserve">  </w:t>
      </w:r>
      <w:proofErr w:type="spellStart"/>
      <w:r>
        <w:t>Síðan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í 2. mgr.:  „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ávallt</w:t>
      </w:r>
      <w:proofErr w:type="spellEnd"/>
      <w:r>
        <w:t xml:space="preserve"> </w:t>
      </w:r>
      <w:proofErr w:type="spellStart"/>
      <w:r>
        <w:t>gætt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minnst</w:t>
      </w:r>
      <w:proofErr w:type="spellEnd"/>
      <w:r>
        <w:t xml:space="preserve"> </w:t>
      </w:r>
      <w:proofErr w:type="spellStart"/>
      <w:r>
        <w:t>röskun</w:t>
      </w:r>
      <w:proofErr w:type="spellEnd"/>
      <w:r>
        <w:t xml:space="preserve"> </w:t>
      </w:r>
      <w:proofErr w:type="spellStart"/>
      <w:proofErr w:type="gramStart"/>
      <w:r>
        <w:t>verði</w:t>
      </w:r>
      <w:proofErr w:type="spellEnd"/>
      <w:r>
        <w:t xml:space="preserve">  á</w:t>
      </w:r>
      <w:proofErr w:type="gramEnd"/>
      <w:r>
        <w:t xml:space="preserve"> </w:t>
      </w:r>
      <w:proofErr w:type="spellStart"/>
      <w:r>
        <w:t>vistkerfi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fiskstofna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sjálfbærri</w:t>
      </w:r>
      <w:proofErr w:type="spellEnd"/>
      <w:r>
        <w:t xml:space="preserve">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ekki </w:t>
      </w:r>
      <w:proofErr w:type="spellStart"/>
      <w:r>
        <w:t>stefnt</w:t>
      </w:r>
      <w:proofErr w:type="spellEnd"/>
      <w:r>
        <w:t xml:space="preserve"> í </w:t>
      </w:r>
      <w:proofErr w:type="spellStart"/>
      <w:r>
        <w:t>hættu</w:t>
      </w:r>
      <w:proofErr w:type="spellEnd"/>
      <w:r>
        <w:t xml:space="preserve">. </w:t>
      </w:r>
    </w:p>
    <w:p w14:paraId="0FE9F63A" w14:textId="77777777" w:rsidR="00AA06A9" w:rsidRDefault="00AA06A9" w:rsidP="000A7BA6"/>
    <w:p w14:paraId="4978D55A" w14:textId="5636D082" w:rsidR="000A7BA6" w:rsidRDefault="000A7BA6" w:rsidP="000A7BA6">
      <w:r>
        <w:t xml:space="preserve">Í </w:t>
      </w:r>
      <w:proofErr w:type="spellStart"/>
      <w:r>
        <w:t>athugasemdum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lagagrein</w:t>
      </w:r>
      <w:proofErr w:type="spellEnd"/>
      <w:r>
        <w:t xml:space="preserve"> í </w:t>
      </w:r>
      <w:proofErr w:type="spellStart"/>
      <w:r>
        <w:t>greinargerð</w:t>
      </w:r>
      <w:proofErr w:type="spellEnd"/>
      <w:r>
        <w:t xml:space="preserve"> </w:t>
      </w:r>
      <w:proofErr w:type="spellStart"/>
      <w:r>
        <w:t>frumvarpsins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</w:t>
      </w:r>
    </w:p>
    <w:p w14:paraId="0353DF9C" w14:textId="77777777" w:rsidR="00BA1F31" w:rsidRDefault="000A7BA6" w:rsidP="000A7BA6">
      <w:r>
        <w:t xml:space="preserve">nr. 71/2008 </w:t>
      </w:r>
      <w:proofErr w:type="spellStart"/>
      <w:r>
        <w:t>segir</w:t>
      </w:r>
      <w:proofErr w:type="spellEnd"/>
      <w:r>
        <w:t xml:space="preserve">: </w:t>
      </w:r>
    </w:p>
    <w:p w14:paraId="3CE4CFFF" w14:textId="77777777" w:rsidR="00BA1F31" w:rsidRDefault="00BA1F31" w:rsidP="000A7BA6"/>
    <w:p w14:paraId="7C91616E" w14:textId="310C3278" w:rsidR="000A7BA6" w:rsidRDefault="000A7BA6" w:rsidP="00BA1F31">
      <w:pPr>
        <w:ind w:left="720"/>
      </w:pPr>
      <w:r>
        <w:t xml:space="preserve">Á </w:t>
      </w:r>
      <w:proofErr w:type="spellStart"/>
      <w:r>
        <w:t>hinn</w:t>
      </w:r>
      <w:proofErr w:type="spellEnd"/>
      <w:r>
        <w:t xml:space="preserve"> </w:t>
      </w:r>
      <w:proofErr w:type="spellStart"/>
      <w:r>
        <w:t>bóginn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endurspeglast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sínu</w:t>
      </w:r>
      <w:proofErr w:type="spellEnd"/>
      <w:r>
        <w:t xml:space="preserve"> </w:t>
      </w:r>
      <w:proofErr w:type="spellStart"/>
      <w:r>
        <w:t>leyti</w:t>
      </w:r>
      <w:proofErr w:type="spellEnd"/>
      <w:r>
        <w:t xml:space="preserve"> í </w:t>
      </w:r>
      <w:proofErr w:type="spellStart"/>
      <w:proofErr w:type="gramStart"/>
      <w:r>
        <w:t>markmiðsyfirlýsingu</w:t>
      </w:r>
      <w:proofErr w:type="spellEnd"/>
      <w:r>
        <w:t xml:space="preserve"> </w:t>
      </w:r>
      <w:r w:rsidR="00AA06A9">
        <w:t xml:space="preserve"> </w:t>
      </w:r>
      <w:r>
        <w:t>2</w:t>
      </w:r>
      <w:proofErr w:type="gramEnd"/>
      <w:r>
        <w:t xml:space="preserve">. mgr.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greinum</w:t>
      </w:r>
      <w:proofErr w:type="spellEnd"/>
      <w:r>
        <w:t xml:space="preserve"> </w:t>
      </w:r>
      <w:proofErr w:type="spellStart"/>
      <w:r>
        <w:t>frumvarpsins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vöxtur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viðgangur</w:t>
      </w:r>
      <w:proofErr w:type="spellEnd"/>
      <w:r>
        <w:t xml:space="preserve"> </w:t>
      </w:r>
      <w:proofErr w:type="spellStart"/>
      <w:r>
        <w:t>atvinnugreinarinnar</w:t>
      </w:r>
      <w:proofErr w:type="spellEnd"/>
      <w:r>
        <w:t xml:space="preserve"> [</w:t>
      </w:r>
      <w:proofErr w:type="spellStart"/>
      <w:r>
        <w:t>fiskeldis</w:t>
      </w:r>
      <w:proofErr w:type="spellEnd"/>
      <w:r>
        <w:t xml:space="preserve">] </w:t>
      </w:r>
      <w:proofErr w:type="spellStart"/>
      <w:r>
        <w:t>má</w:t>
      </w:r>
      <w:proofErr w:type="spellEnd"/>
      <w:r>
        <w:t xml:space="preserve"> ekki </w:t>
      </w:r>
      <w:proofErr w:type="spellStart"/>
      <w:r>
        <w:t>gerast</w:t>
      </w:r>
      <w:proofErr w:type="spellEnd"/>
      <w:r>
        <w:t xml:space="preserve"> á </w:t>
      </w:r>
      <w:proofErr w:type="spellStart"/>
      <w:r>
        <w:t>kostnað</w:t>
      </w:r>
      <w:proofErr w:type="spellEnd"/>
      <w:r>
        <w:t xml:space="preserve"> </w:t>
      </w:r>
      <w:proofErr w:type="spellStart"/>
      <w:r>
        <w:t>viðgangs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nýtingar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fiskstofna</w:t>
      </w:r>
      <w:proofErr w:type="spellEnd"/>
      <w:r>
        <w:t xml:space="preserve">. </w:t>
      </w:r>
      <w:r>
        <w:rPr>
          <w:u w:val="single"/>
        </w:rPr>
        <w:t xml:space="preserve">Í </w:t>
      </w:r>
      <w:proofErr w:type="spellStart"/>
      <w:r>
        <w:rPr>
          <w:u w:val="single"/>
        </w:rPr>
        <w:t>þessari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takmörkun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felst</w:t>
      </w:r>
      <w:proofErr w:type="spellEnd"/>
      <w:r>
        <w:rPr>
          <w:u w:val="single"/>
        </w:rPr>
        <w:t xml:space="preserve"> í </w:t>
      </w:r>
      <w:proofErr w:type="spellStart"/>
      <w:r>
        <w:rPr>
          <w:u w:val="single"/>
        </w:rPr>
        <w:t>raun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þegar</w:t>
      </w:r>
      <w:proofErr w:type="spellEnd"/>
      <w:r>
        <w:rPr>
          <w:u w:val="single"/>
        </w:rPr>
        <w:t xml:space="preserve"> ekki </w:t>
      </w:r>
      <w:proofErr w:type="spellStart"/>
      <w:r>
        <w:rPr>
          <w:u w:val="single"/>
        </w:rPr>
        <w:t>fara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saman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annars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vegar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hagsmunir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þeirra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veiðirétt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samkvæmt</w:t>
      </w:r>
      <w:proofErr w:type="spellEnd"/>
      <w:r>
        <w:rPr>
          <w:u w:val="single"/>
        </w:rPr>
        <w:t xml:space="preserve"> lax- </w:t>
      </w:r>
      <w:proofErr w:type="spellStart"/>
      <w:r>
        <w:rPr>
          <w:u w:val="single"/>
        </w:rPr>
        <w:t>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silungsveiðilögum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vegar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þeirra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fjallað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sérstaklega</w:t>
      </w:r>
      <w:proofErr w:type="spellEnd"/>
      <w:r>
        <w:rPr>
          <w:u w:val="single"/>
        </w:rPr>
        <w:t xml:space="preserve"> um í </w:t>
      </w:r>
      <w:proofErr w:type="spellStart"/>
      <w:r>
        <w:rPr>
          <w:u w:val="single"/>
        </w:rPr>
        <w:t>frumvarpi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þessu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víkja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hinir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síðarnefndu</w:t>
      </w:r>
      <w:proofErr w:type="spellEnd"/>
      <w:r>
        <w:rPr>
          <w:u w:val="single"/>
        </w:rPr>
        <w:t>.</w:t>
      </w:r>
      <w:r>
        <w:t xml:space="preserve"> (</w:t>
      </w:r>
      <w:proofErr w:type="spellStart"/>
      <w:r>
        <w:t>undirstri</w:t>
      </w:r>
      <w:r w:rsidR="00AA06A9">
        <w:t>kun</w:t>
      </w:r>
      <w:proofErr w:type="spellEnd"/>
      <w:r w:rsidR="00AA06A9">
        <w:t xml:space="preserve"> </w:t>
      </w:r>
      <w:proofErr w:type="spellStart"/>
      <w:r w:rsidR="00AA06A9">
        <w:t>er</w:t>
      </w:r>
      <w:proofErr w:type="spellEnd"/>
      <w:r w:rsidR="00AA06A9">
        <w:t xml:space="preserve"> </w:t>
      </w:r>
      <w:proofErr w:type="spellStart"/>
      <w:r w:rsidR="00AA06A9">
        <w:t>okkar</w:t>
      </w:r>
      <w:proofErr w:type="spellEnd"/>
      <w:r>
        <w:t>).</w:t>
      </w:r>
    </w:p>
    <w:p w14:paraId="7053B258" w14:textId="77777777" w:rsidR="000A7BA6" w:rsidRDefault="000A7BA6" w:rsidP="00BA1F31">
      <w:pPr>
        <w:ind w:left="720"/>
      </w:pPr>
    </w:p>
    <w:p w14:paraId="55EDBDB3" w14:textId="77777777" w:rsidR="000A7BA6" w:rsidRDefault="000A7BA6" w:rsidP="000A7BA6">
      <w:pPr>
        <w:rPr>
          <w:i/>
          <w:iCs/>
        </w:rPr>
      </w:pPr>
      <w:proofErr w:type="spellStart"/>
      <w:r>
        <w:rPr>
          <w:i/>
          <w:iCs/>
        </w:rPr>
        <w:t>Ákvæði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náttúruverndarlaga</w:t>
      </w:r>
      <w:proofErr w:type="spellEnd"/>
      <w:r>
        <w:rPr>
          <w:i/>
          <w:iCs/>
        </w:rPr>
        <w:t xml:space="preserve"> nr. 60/2013. „</w:t>
      </w:r>
      <w:proofErr w:type="spellStart"/>
      <w:r>
        <w:rPr>
          <w:i/>
          <w:iCs/>
        </w:rPr>
        <w:t>Náttúran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ávallt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njóta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vafans</w:t>
      </w:r>
      <w:proofErr w:type="spellEnd"/>
      <w:r>
        <w:rPr>
          <w:i/>
          <w:iCs/>
        </w:rPr>
        <w:t>“</w:t>
      </w:r>
      <w:proofErr w:type="gramEnd"/>
      <w:r>
        <w:rPr>
          <w:i/>
          <w:iCs/>
        </w:rPr>
        <w:t>.</w:t>
      </w:r>
    </w:p>
    <w:p w14:paraId="2257C09B" w14:textId="57DCB47B" w:rsidR="000A7BA6" w:rsidRDefault="000A7BA6" w:rsidP="000A7BA6">
      <w:proofErr w:type="spellStart"/>
      <w:r>
        <w:t>Matvælastofnun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Umhverfisstofnun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náttúru</w:t>
      </w:r>
      <w:proofErr w:type="spellEnd"/>
      <w:r>
        <w:t xml:space="preserve"> </w:t>
      </w:r>
      <w:proofErr w:type="spellStart"/>
      <w:r>
        <w:t>Íslands</w:t>
      </w:r>
      <w:proofErr w:type="spellEnd"/>
      <w:r w:rsidR="00AA06A9">
        <w:t xml:space="preserve"> </w:t>
      </w:r>
      <w:proofErr w:type="spellStart"/>
      <w:r>
        <w:t>sé</w:t>
      </w:r>
      <w:proofErr w:type="spellEnd"/>
      <w:r>
        <w:t xml:space="preserve"> ekki </w:t>
      </w:r>
      <w:proofErr w:type="spellStart"/>
      <w:r>
        <w:t>spillt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athöfnum</w:t>
      </w:r>
      <w:proofErr w:type="spellEnd"/>
      <w:r>
        <w:t xml:space="preserve">, </w:t>
      </w:r>
      <w:proofErr w:type="spellStart"/>
      <w:r>
        <w:t>framkvæmdum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rekstri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miklu</w:t>
      </w:r>
      <w:proofErr w:type="spellEnd"/>
      <w:r>
        <w:t xml:space="preserve"> </w:t>
      </w:r>
      <w:proofErr w:type="spellStart"/>
      <w:r>
        <w:t>leyti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slíkt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ekki </w:t>
      </w:r>
      <w:proofErr w:type="spellStart"/>
      <w:r>
        <w:t>falið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sérstökum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, </w:t>
      </w:r>
      <w:proofErr w:type="spellStart"/>
      <w:r>
        <w:t>skv</w:t>
      </w:r>
      <w:proofErr w:type="spellEnd"/>
      <w:r>
        <w:t>. a-</w:t>
      </w:r>
      <w:proofErr w:type="spellStart"/>
      <w:r>
        <w:t>lið</w:t>
      </w:r>
      <w:proofErr w:type="spellEnd"/>
      <w:r>
        <w:t xml:space="preserve"> 2. mgr. 75. gr. </w:t>
      </w:r>
      <w:proofErr w:type="spellStart"/>
      <w:r>
        <w:t>laga</w:t>
      </w:r>
      <w:proofErr w:type="spellEnd"/>
      <w:r>
        <w:t xml:space="preserve"> nr. 60/2013 um </w:t>
      </w:r>
      <w:proofErr w:type="spellStart"/>
      <w:r>
        <w:t>náttúruvernd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rannsóknarreglu</w:t>
      </w:r>
      <w:proofErr w:type="spellEnd"/>
      <w:r>
        <w:t xml:space="preserve"> í 10. gr. </w:t>
      </w:r>
      <w:proofErr w:type="spellStart"/>
      <w:r>
        <w:t>stjórnsýslulaga</w:t>
      </w:r>
      <w:proofErr w:type="spellEnd"/>
      <w:r>
        <w:t xml:space="preserve">.  </w:t>
      </w:r>
    </w:p>
    <w:p w14:paraId="2032DCFE" w14:textId="77777777" w:rsidR="00AA06A9" w:rsidRDefault="00AA06A9" w:rsidP="000A7BA6"/>
    <w:p w14:paraId="07C95D4E" w14:textId="3A695F54" w:rsidR="000A7BA6" w:rsidRDefault="000A7BA6" w:rsidP="000A7BA6">
      <w:proofErr w:type="spellStart"/>
      <w:r>
        <w:t>Stofnanirnar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sé</w:t>
      </w:r>
      <w:proofErr w:type="spellEnd"/>
      <w:r>
        <w:t xml:space="preserve"> </w:t>
      </w:r>
      <w:proofErr w:type="spellStart"/>
      <w:r>
        <w:t>brotið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1. gr.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náttúruvernd</w:t>
      </w:r>
      <w:proofErr w:type="spellEnd"/>
      <w:r>
        <w:t xml:space="preserve">, 2. gr. </w:t>
      </w:r>
      <w:proofErr w:type="spellStart"/>
      <w:r>
        <w:t>þeirra</w:t>
      </w:r>
      <w:proofErr w:type="spellEnd"/>
      <w:r>
        <w:t xml:space="preserve">, </w:t>
      </w:r>
      <w:proofErr w:type="spellStart"/>
      <w:r>
        <w:t>hinni</w:t>
      </w:r>
      <w:proofErr w:type="spellEnd"/>
      <w:r>
        <w:t xml:space="preserve"> </w:t>
      </w:r>
      <w:proofErr w:type="spellStart"/>
      <w:r>
        <w:t>mikilvægu</w:t>
      </w:r>
      <w:proofErr w:type="spellEnd"/>
      <w:r>
        <w:t xml:space="preserve"> </w:t>
      </w:r>
      <w:proofErr w:type="spellStart"/>
      <w:r>
        <w:t>varúðarreglu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9. gr. (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náttúran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ávallt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vafans</w:t>
      </w:r>
      <w:proofErr w:type="spellEnd"/>
      <w:r>
        <w:t xml:space="preserve">),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63. gr. </w:t>
      </w:r>
      <w:proofErr w:type="spellStart"/>
      <w:r>
        <w:t>laganna</w:t>
      </w:r>
      <w:proofErr w:type="spellEnd"/>
      <w:r>
        <w:t xml:space="preserve"> um </w:t>
      </w:r>
      <w:proofErr w:type="spellStart"/>
      <w:r>
        <w:t>innflutning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dreifingu</w:t>
      </w:r>
      <w:proofErr w:type="spellEnd"/>
      <w:r>
        <w:t xml:space="preserve"> á </w:t>
      </w:r>
      <w:proofErr w:type="spellStart"/>
      <w:r>
        <w:t>lifandi</w:t>
      </w:r>
      <w:proofErr w:type="spellEnd"/>
      <w:r>
        <w:t xml:space="preserve"> </w:t>
      </w:r>
      <w:proofErr w:type="spellStart"/>
      <w:r>
        <w:t>framandi</w:t>
      </w:r>
      <w:proofErr w:type="spellEnd"/>
      <w:r>
        <w:t xml:space="preserve"> </w:t>
      </w:r>
      <w:proofErr w:type="spellStart"/>
      <w:r>
        <w:t>lífverum</w:t>
      </w:r>
      <w:proofErr w:type="spellEnd"/>
      <w:r>
        <w:t xml:space="preserve">.  </w:t>
      </w:r>
      <w:proofErr w:type="spellStart"/>
      <w:r w:rsidR="00AA06A9">
        <w:t>Þ</w:t>
      </w:r>
      <w:r>
        <w:t>á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leyfisveitandi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líta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1. gr.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meðal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verndun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nytjastofna</w:t>
      </w:r>
      <w:proofErr w:type="spellEnd"/>
      <w:r>
        <w:t xml:space="preserve">;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málsgrein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á </w:t>
      </w:r>
      <w:proofErr w:type="spellStart"/>
      <w:r>
        <w:t>undan</w:t>
      </w:r>
      <w:proofErr w:type="spellEnd"/>
      <w:r>
        <w:t>.</w:t>
      </w:r>
    </w:p>
    <w:p w14:paraId="530D3919" w14:textId="77777777" w:rsidR="000A7BA6" w:rsidRDefault="000A7BA6" w:rsidP="000A7BA6"/>
    <w:p w14:paraId="3D546406" w14:textId="77777777" w:rsidR="000A7BA6" w:rsidRDefault="000A7BA6" w:rsidP="000A7BA6">
      <w:pPr>
        <w:rPr>
          <w:i/>
          <w:iCs/>
          <w:lang w:eastAsia="is-IS"/>
        </w:rPr>
      </w:pPr>
      <w:proofErr w:type="spellStart"/>
      <w:r>
        <w:rPr>
          <w:i/>
          <w:iCs/>
        </w:rPr>
        <w:t>Nýtt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minkaslys</w:t>
      </w:r>
      <w:proofErr w:type="spellEnd"/>
      <w:r>
        <w:rPr>
          <w:i/>
          <w:iCs/>
        </w:rPr>
        <w:t xml:space="preserve"> í </w:t>
      </w:r>
      <w:proofErr w:type="spellStart"/>
      <w:r>
        <w:rPr>
          <w:i/>
          <w:iCs/>
        </w:rPr>
        <w:t>vændum</w:t>
      </w:r>
      <w:proofErr w:type="spellEnd"/>
      <w:r>
        <w:rPr>
          <w:i/>
          <w:iCs/>
        </w:rPr>
        <w:t xml:space="preserve">. </w:t>
      </w:r>
    </w:p>
    <w:p w14:paraId="08E9919A" w14:textId="7928569E" w:rsidR="000A7BA6" w:rsidRDefault="000A7BA6" w:rsidP="000A7BA6">
      <w:pPr>
        <w:rPr>
          <w:lang w:eastAsia="is-IS"/>
        </w:rPr>
      </w:pPr>
      <w:proofErr w:type="spellStart"/>
      <w:r>
        <w:rPr>
          <w:lang w:eastAsia="is-IS"/>
        </w:rPr>
        <w:t>Norskir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strokulaxar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úr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sjókvíaeldi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eru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byrjaðir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að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veiðast</w:t>
      </w:r>
      <w:proofErr w:type="spellEnd"/>
      <w:r>
        <w:rPr>
          <w:lang w:eastAsia="is-IS"/>
        </w:rPr>
        <w:t xml:space="preserve"> í </w:t>
      </w:r>
      <w:proofErr w:type="spellStart"/>
      <w:r>
        <w:rPr>
          <w:lang w:eastAsia="is-IS"/>
        </w:rPr>
        <w:t>veiðiám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landsins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með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óhjákvæmilegri</w:t>
      </w:r>
      <w:proofErr w:type="spellEnd"/>
      <w:r w:rsidR="00AA06A9">
        <w:rPr>
          <w:lang w:eastAsia="is-IS"/>
        </w:rPr>
        <w:t xml:space="preserve"> </w:t>
      </w:r>
      <w:proofErr w:type="spellStart"/>
      <w:r>
        <w:rPr>
          <w:lang w:eastAsia="is-IS"/>
        </w:rPr>
        <w:t>skerðingu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orðspors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hreinnar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og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óspilltrar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náttúru</w:t>
      </w:r>
      <w:proofErr w:type="spellEnd"/>
      <w:r>
        <w:rPr>
          <w:lang w:eastAsia="is-IS"/>
        </w:rPr>
        <w:t xml:space="preserve">. </w:t>
      </w:r>
      <w:proofErr w:type="spellStart"/>
      <w:r>
        <w:rPr>
          <w:lang w:eastAsia="is-IS"/>
        </w:rPr>
        <w:t>Norsku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eldislaxarnir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sams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konar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fyrirbæri</w:t>
      </w:r>
      <w:proofErr w:type="spellEnd"/>
      <w:r w:rsidR="00AA06A9">
        <w:rPr>
          <w:lang w:eastAsia="is-IS"/>
        </w:rPr>
        <w:t xml:space="preserve"> </w:t>
      </w:r>
      <w:proofErr w:type="spellStart"/>
      <w:r>
        <w:rPr>
          <w:lang w:eastAsia="is-IS"/>
        </w:rPr>
        <w:t>og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minkurinn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sem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illu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heilli</w:t>
      </w:r>
      <w:proofErr w:type="spellEnd"/>
      <w:r>
        <w:rPr>
          <w:lang w:eastAsia="is-IS"/>
        </w:rPr>
        <w:t xml:space="preserve"> var </w:t>
      </w:r>
      <w:proofErr w:type="spellStart"/>
      <w:r>
        <w:rPr>
          <w:lang w:eastAsia="is-IS"/>
        </w:rPr>
        <w:t>fluttur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til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landsins</w:t>
      </w:r>
      <w:proofErr w:type="spellEnd"/>
      <w:r>
        <w:rPr>
          <w:lang w:eastAsia="is-IS"/>
        </w:rPr>
        <w:t xml:space="preserve"> á </w:t>
      </w:r>
      <w:proofErr w:type="spellStart"/>
      <w:r>
        <w:rPr>
          <w:lang w:eastAsia="is-IS"/>
        </w:rPr>
        <w:t>fyrri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hluta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síðustu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aldar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og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átti</w:t>
      </w:r>
      <w:proofErr w:type="spellEnd"/>
      <w:r>
        <w:rPr>
          <w:lang w:eastAsia="is-IS"/>
        </w:rPr>
        <w:t xml:space="preserve"> ekki </w:t>
      </w:r>
      <w:proofErr w:type="spellStart"/>
      <w:r>
        <w:rPr>
          <w:lang w:eastAsia="is-IS"/>
        </w:rPr>
        <w:t>að</w:t>
      </w:r>
      <w:proofErr w:type="spellEnd"/>
      <w:r w:rsidR="00AA06A9">
        <w:rPr>
          <w:lang w:eastAsia="is-IS"/>
        </w:rPr>
        <w:t xml:space="preserve"> </w:t>
      </w:r>
      <w:proofErr w:type="spellStart"/>
      <w:r>
        <w:rPr>
          <w:lang w:eastAsia="is-IS"/>
        </w:rPr>
        <w:t>geta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sloppið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út</w:t>
      </w:r>
      <w:proofErr w:type="spellEnd"/>
      <w:r>
        <w:rPr>
          <w:lang w:eastAsia="is-IS"/>
        </w:rPr>
        <w:t xml:space="preserve"> í </w:t>
      </w:r>
      <w:proofErr w:type="spellStart"/>
      <w:r>
        <w:rPr>
          <w:lang w:eastAsia="is-IS"/>
        </w:rPr>
        <w:t>náttúruna</w:t>
      </w:r>
      <w:proofErr w:type="spellEnd"/>
      <w:r>
        <w:rPr>
          <w:lang w:eastAsia="is-IS"/>
        </w:rPr>
        <w:t xml:space="preserve">. </w:t>
      </w:r>
      <w:proofErr w:type="spellStart"/>
      <w:r>
        <w:rPr>
          <w:lang w:eastAsia="is-IS"/>
        </w:rPr>
        <w:t>All</w:t>
      </w:r>
      <w:r w:rsidR="00BA1F31">
        <w:rPr>
          <w:lang w:eastAsia="is-IS"/>
        </w:rPr>
        <w:t>ir</w:t>
      </w:r>
      <w:proofErr w:type="spellEnd"/>
      <w:r>
        <w:rPr>
          <w:lang w:eastAsia="is-IS"/>
        </w:rPr>
        <w:t xml:space="preserve"> vita </w:t>
      </w:r>
      <w:proofErr w:type="spellStart"/>
      <w:r>
        <w:rPr>
          <w:lang w:eastAsia="is-IS"/>
        </w:rPr>
        <w:t>hvernig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það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fór</w:t>
      </w:r>
      <w:proofErr w:type="spellEnd"/>
      <w:r>
        <w:rPr>
          <w:lang w:eastAsia="is-IS"/>
        </w:rPr>
        <w:t xml:space="preserve">. </w:t>
      </w:r>
      <w:proofErr w:type="spellStart"/>
      <w:r>
        <w:rPr>
          <w:lang w:eastAsia="is-IS"/>
        </w:rPr>
        <w:t>Einmitt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nú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standa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menn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frammi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fyrir</w:t>
      </w:r>
      <w:proofErr w:type="spellEnd"/>
      <w:r w:rsidR="00AA06A9">
        <w:rPr>
          <w:lang w:eastAsia="is-IS"/>
        </w:rPr>
        <w:t xml:space="preserve"> </w:t>
      </w:r>
      <w:proofErr w:type="spellStart"/>
      <w:r>
        <w:rPr>
          <w:lang w:eastAsia="is-IS"/>
        </w:rPr>
        <w:t>sams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konar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umhverfisslysi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og</w:t>
      </w:r>
      <w:proofErr w:type="spellEnd"/>
      <w:r w:rsidR="00FA0484">
        <w:rPr>
          <w:lang w:eastAsia="is-IS"/>
        </w:rPr>
        <w:t xml:space="preserve"> </w:t>
      </w:r>
      <w:proofErr w:type="spellStart"/>
      <w:r w:rsidR="00FA0484">
        <w:rPr>
          <w:lang w:eastAsia="is-IS"/>
        </w:rPr>
        <w:t>innflutningur</w:t>
      </w:r>
      <w:proofErr w:type="spellEnd"/>
      <w:r w:rsidR="00FA0484">
        <w:rPr>
          <w:lang w:eastAsia="is-IS"/>
        </w:rPr>
        <w:t xml:space="preserve"> á</w:t>
      </w:r>
      <w:r>
        <w:rPr>
          <w:lang w:eastAsia="is-IS"/>
        </w:rPr>
        <w:t xml:space="preserve"> </w:t>
      </w:r>
      <w:proofErr w:type="spellStart"/>
      <w:r>
        <w:rPr>
          <w:lang w:eastAsia="is-IS"/>
        </w:rPr>
        <w:t>mi</w:t>
      </w:r>
      <w:r w:rsidR="00FA0484">
        <w:rPr>
          <w:lang w:eastAsia="is-IS"/>
        </w:rPr>
        <w:t>nkum</w:t>
      </w:r>
      <w:proofErr w:type="spellEnd"/>
      <w:r w:rsidR="00FA0484">
        <w:rPr>
          <w:lang w:eastAsia="is-IS"/>
        </w:rPr>
        <w:t xml:space="preserve"> </w:t>
      </w:r>
      <w:proofErr w:type="spellStart"/>
      <w:r w:rsidR="00FA0484">
        <w:rPr>
          <w:lang w:eastAsia="is-IS"/>
        </w:rPr>
        <w:t>reyndist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forðum</w:t>
      </w:r>
      <w:proofErr w:type="spellEnd"/>
      <w:r>
        <w:rPr>
          <w:lang w:eastAsia="is-IS"/>
        </w:rPr>
        <w:t xml:space="preserve">. </w:t>
      </w:r>
      <w:proofErr w:type="spellStart"/>
      <w:r>
        <w:rPr>
          <w:lang w:eastAsia="is-IS"/>
        </w:rPr>
        <w:t>Enn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tækifæri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til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að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koma</w:t>
      </w:r>
      <w:proofErr w:type="spellEnd"/>
      <w:r>
        <w:rPr>
          <w:lang w:eastAsia="is-IS"/>
        </w:rPr>
        <w:t xml:space="preserve"> í veg </w:t>
      </w:r>
      <w:proofErr w:type="spellStart"/>
      <w:r>
        <w:rPr>
          <w:lang w:eastAsia="is-IS"/>
        </w:rPr>
        <w:t>fyrir</w:t>
      </w:r>
      <w:proofErr w:type="spellEnd"/>
      <w:r w:rsidR="00AA06A9">
        <w:rPr>
          <w:lang w:eastAsia="is-IS"/>
        </w:rPr>
        <w:t xml:space="preserve"> </w:t>
      </w:r>
      <w:proofErr w:type="spellStart"/>
      <w:r>
        <w:rPr>
          <w:lang w:eastAsia="is-IS"/>
        </w:rPr>
        <w:t>nýtt</w:t>
      </w:r>
      <w:proofErr w:type="spellEnd"/>
      <w:r>
        <w:rPr>
          <w:lang w:eastAsia="is-IS"/>
        </w:rPr>
        <w:t xml:space="preserve"> „</w:t>
      </w:r>
      <w:proofErr w:type="spellStart"/>
      <w:proofErr w:type="gramStart"/>
      <w:r>
        <w:rPr>
          <w:lang w:eastAsia="is-IS"/>
        </w:rPr>
        <w:t>minkaslys</w:t>
      </w:r>
      <w:proofErr w:type="spellEnd"/>
      <w:r>
        <w:rPr>
          <w:lang w:eastAsia="is-IS"/>
        </w:rPr>
        <w:t>“ --</w:t>
      </w:r>
      <w:proofErr w:type="gram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en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tíminn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er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naumur</w:t>
      </w:r>
      <w:proofErr w:type="spellEnd"/>
      <w:r>
        <w:rPr>
          <w:lang w:eastAsia="is-IS"/>
        </w:rPr>
        <w:t>.</w:t>
      </w:r>
    </w:p>
    <w:p w14:paraId="03837DDE" w14:textId="77777777" w:rsidR="000A7BA6" w:rsidRDefault="000A7BA6" w:rsidP="000A7BA6"/>
    <w:p w14:paraId="6680549C" w14:textId="77777777" w:rsidR="000A7BA6" w:rsidRDefault="000A7BA6" w:rsidP="000A7BA6">
      <w:pPr>
        <w:rPr>
          <w:i/>
          <w:iCs/>
        </w:rPr>
      </w:pPr>
      <w:proofErr w:type="spellStart"/>
      <w:r>
        <w:rPr>
          <w:i/>
          <w:iCs/>
        </w:rPr>
        <w:t>Gífurlegt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úrgangs</w:t>
      </w:r>
      <w:proofErr w:type="spellEnd"/>
      <w:r>
        <w:rPr>
          <w:i/>
          <w:iCs/>
        </w:rPr>
        <w:t>.</w:t>
      </w:r>
    </w:p>
    <w:p w14:paraId="7646B10D" w14:textId="0863D157" w:rsidR="000A7BA6" w:rsidRDefault="000A7BA6" w:rsidP="000A7BA6">
      <w:proofErr w:type="spellStart"/>
      <w:r>
        <w:t>Lítið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fjallað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raunhæfum</w:t>
      </w:r>
      <w:proofErr w:type="spellEnd"/>
      <w:r>
        <w:t xml:space="preserve"> </w:t>
      </w:r>
      <w:proofErr w:type="spellStart"/>
      <w:r>
        <w:t>hætti</w:t>
      </w:r>
      <w:proofErr w:type="spellEnd"/>
      <w:r>
        <w:t xml:space="preserve"> í </w:t>
      </w:r>
      <w:proofErr w:type="spellStart"/>
      <w:r>
        <w:t>reglugerðardrögunum</w:t>
      </w:r>
      <w:proofErr w:type="spellEnd"/>
      <w:r>
        <w:t xml:space="preserve"> um </w:t>
      </w:r>
      <w:proofErr w:type="spellStart"/>
      <w:r>
        <w:t>gífurlegt</w:t>
      </w:r>
      <w:proofErr w:type="spellEnd"/>
      <w:r>
        <w:t xml:space="preserve"> </w:t>
      </w:r>
      <w:proofErr w:type="spellStart"/>
      <w:r>
        <w:t>magn</w:t>
      </w:r>
      <w:proofErr w:type="spellEnd"/>
      <w:r>
        <w:t xml:space="preserve"> </w:t>
      </w:r>
      <w:proofErr w:type="spellStart"/>
      <w:r>
        <w:t>úrgangs</w:t>
      </w:r>
      <w:proofErr w:type="spellEnd"/>
      <w:r>
        <w:t xml:space="preserve"> </w:t>
      </w:r>
      <w:proofErr w:type="spellStart"/>
      <w:proofErr w:type="gramStart"/>
      <w:r>
        <w:t>frá</w:t>
      </w:r>
      <w:proofErr w:type="spellEnd"/>
      <w:r>
        <w:t xml:space="preserve"> </w:t>
      </w:r>
      <w:r w:rsidR="00AA06A9">
        <w:t xml:space="preserve"> </w:t>
      </w:r>
      <w:proofErr w:type="spellStart"/>
      <w:r>
        <w:t>sjókvíaeldinu</w:t>
      </w:r>
      <w:proofErr w:type="spellEnd"/>
      <w:proofErr w:type="gramEnd"/>
      <w:r>
        <w:t xml:space="preserve">.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norskum</w:t>
      </w:r>
      <w:proofErr w:type="spellEnd"/>
      <w:r>
        <w:t xml:space="preserve"> </w:t>
      </w:r>
      <w:proofErr w:type="spellStart"/>
      <w:r>
        <w:t>heimildum</w:t>
      </w:r>
      <w:proofErr w:type="spellEnd"/>
      <w:r>
        <w:t xml:space="preserve"> (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Forurensningstilsyn</w:t>
      </w:r>
      <w:proofErr w:type="spellEnd"/>
      <w:r>
        <w:t xml:space="preserve"> 2009)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úrgangur</w:t>
      </w:r>
      <w:proofErr w:type="spellEnd"/>
      <w:r>
        <w:t xml:space="preserve"> í </w:t>
      </w:r>
      <w:proofErr w:type="spellStart"/>
      <w:r>
        <w:t>sjó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t.d.</w:t>
      </w:r>
      <w:proofErr w:type="spellEnd"/>
      <w:r>
        <w:t xml:space="preserve"> 10.000 </w:t>
      </w:r>
      <w:proofErr w:type="spellStart"/>
      <w:r>
        <w:t>tonna</w:t>
      </w:r>
      <w:proofErr w:type="spellEnd"/>
      <w:r>
        <w:t xml:space="preserve"> </w:t>
      </w:r>
      <w:proofErr w:type="spellStart"/>
      <w:r>
        <w:t>eldi</w:t>
      </w:r>
      <w:proofErr w:type="spellEnd"/>
      <w:r>
        <w:t xml:space="preserve"> </w:t>
      </w:r>
      <w:proofErr w:type="spellStart"/>
      <w:r>
        <w:t>áætlaður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skolpfrárennsli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160.000 manna </w:t>
      </w:r>
      <w:proofErr w:type="spellStart"/>
      <w:r>
        <w:t>byggð</w:t>
      </w:r>
      <w:proofErr w:type="spellEnd"/>
      <w:r>
        <w:t xml:space="preserve">. </w:t>
      </w:r>
      <w:proofErr w:type="spellStart"/>
      <w:r>
        <w:t>Árlega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dembt</w:t>
      </w:r>
      <w:proofErr w:type="spellEnd"/>
      <w:r>
        <w:t xml:space="preserve"> í </w:t>
      </w:r>
      <w:proofErr w:type="spellStart"/>
      <w:r>
        <w:t>sjóinn</w:t>
      </w:r>
      <w:proofErr w:type="spellEnd"/>
      <w:r>
        <w:t xml:space="preserve"> 5.000 </w:t>
      </w:r>
      <w:proofErr w:type="spellStart"/>
      <w:r>
        <w:t>tonnum</w:t>
      </w:r>
      <w:proofErr w:type="spellEnd"/>
      <w:r>
        <w:t xml:space="preserve"> </w:t>
      </w:r>
      <w:proofErr w:type="spellStart"/>
      <w:r>
        <w:t>saurs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fóðurleifa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10.000 </w:t>
      </w:r>
      <w:proofErr w:type="spellStart"/>
      <w:r>
        <w:t>tonna</w:t>
      </w:r>
      <w:proofErr w:type="spellEnd"/>
      <w:r>
        <w:t xml:space="preserve"> </w:t>
      </w:r>
      <w:proofErr w:type="spellStart"/>
      <w:r>
        <w:t>eldi</w:t>
      </w:r>
      <w:proofErr w:type="spellEnd"/>
      <w:r>
        <w:t xml:space="preserve">. </w:t>
      </w:r>
      <w:proofErr w:type="spellStart"/>
      <w:r>
        <w:t>Sjókvíaeldi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einu</w:t>
      </w:r>
      <w:proofErr w:type="spellEnd"/>
      <w:r>
        <w:t xml:space="preserve"> </w:t>
      </w:r>
      <w:proofErr w:type="spellStart"/>
      <w:r>
        <w:t>matvælaframleiðslufyrirtæki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á </w:t>
      </w:r>
      <w:proofErr w:type="spellStart"/>
      <w:r>
        <w:t>landi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í </w:t>
      </w:r>
      <w:proofErr w:type="spellStart"/>
      <w:r>
        <w:t>framkvæmdinni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leyft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demba</w:t>
      </w:r>
      <w:proofErr w:type="spellEnd"/>
      <w:r>
        <w:t xml:space="preserve"> </w:t>
      </w:r>
      <w:proofErr w:type="spellStart"/>
      <w:r>
        <w:t>óátalið</w:t>
      </w:r>
      <w:proofErr w:type="spellEnd"/>
      <w:r>
        <w:t xml:space="preserve">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úrgangi</w:t>
      </w:r>
      <w:proofErr w:type="spellEnd"/>
      <w:r>
        <w:t xml:space="preserve"> </w:t>
      </w:r>
      <w:proofErr w:type="spellStart"/>
      <w:r>
        <w:t>óhreinsuðum</w:t>
      </w:r>
      <w:proofErr w:type="spellEnd"/>
      <w:r>
        <w:t xml:space="preserve"> í </w:t>
      </w:r>
      <w:proofErr w:type="spellStart"/>
      <w:r>
        <w:t>sjóinn</w:t>
      </w:r>
      <w:proofErr w:type="spellEnd"/>
      <w:r>
        <w:t xml:space="preserve">. </w:t>
      </w:r>
      <w:proofErr w:type="spellStart"/>
      <w:r>
        <w:t>Sjókvíaeldi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þannig</w:t>
      </w:r>
      <w:proofErr w:type="spellEnd"/>
      <w:r w:rsidR="00FA0484">
        <w:t xml:space="preserve"> </w:t>
      </w:r>
      <w:proofErr w:type="spellStart"/>
      <w:r>
        <w:t>ósjálfbær</w:t>
      </w:r>
      <w:proofErr w:type="spellEnd"/>
      <w:r>
        <w:t xml:space="preserve"> </w:t>
      </w:r>
      <w:proofErr w:type="spellStart"/>
      <w:r>
        <w:t>starfsemi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umhverfissóði</w:t>
      </w:r>
      <w:proofErr w:type="spellEnd"/>
      <w:r>
        <w:t xml:space="preserve"> </w:t>
      </w:r>
      <w:proofErr w:type="spellStart"/>
      <w:r>
        <w:t>landsins</w:t>
      </w:r>
      <w:proofErr w:type="spellEnd"/>
      <w:r>
        <w:t xml:space="preserve">. </w:t>
      </w:r>
      <w:proofErr w:type="spellStart"/>
      <w:r>
        <w:t>Vísað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ákvæða</w:t>
      </w:r>
      <w:proofErr w:type="spellEnd"/>
      <w:r>
        <w:t xml:space="preserve"> </w:t>
      </w:r>
      <w:proofErr w:type="spellStart"/>
      <w:r>
        <w:t>laga</w:t>
      </w:r>
      <w:proofErr w:type="spellEnd"/>
      <w:r w:rsidR="00FA0484">
        <w:t xml:space="preserve"> </w:t>
      </w:r>
      <w:r>
        <w:t xml:space="preserve">um </w:t>
      </w:r>
      <w:proofErr w:type="spellStart"/>
      <w:r>
        <w:t>varnir</w:t>
      </w:r>
      <w:proofErr w:type="spellEnd"/>
      <w:r>
        <w:t xml:space="preserve"> </w:t>
      </w:r>
      <w:proofErr w:type="spellStart"/>
      <w:proofErr w:type="gramStart"/>
      <w:r>
        <w:t>gegn</w:t>
      </w:r>
      <w:proofErr w:type="spellEnd"/>
      <w:r>
        <w:t xml:space="preserve">  </w:t>
      </w:r>
      <w:proofErr w:type="spellStart"/>
      <w:r>
        <w:t>mengun</w:t>
      </w:r>
      <w:proofErr w:type="spellEnd"/>
      <w:proofErr w:type="gramEnd"/>
      <w:r>
        <w:t xml:space="preserve"> </w:t>
      </w:r>
      <w:proofErr w:type="spellStart"/>
      <w:r>
        <w:t>hafs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stranda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um </w:t>
      </w:r>
      <w:proofErr w:type="spellStart"/>
      <w:r>
        <w:t>fráveitur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skolp</w:t>
      </w:r>
      <w:proofErr w:type="spellEnd"/>
      <w:r>
        <w:t>.</w:t>
      </w:r>
    </w:p>
    <w:p w14:paraId="110331B1" w14:textId="77777777" w:rsidR="000A7BA6" w:rsidRDefault="000A7BA6" w:rsidP="000A7BA6">
      <w:pPr>
        <w:rPr>
          <w:i/>
          <w:iCs/>
        </w:rPr>
      </w:pPr>
    </w:p>
    <w:p w14:paraId="7D288697" w14:textId="6616BEE9" w:rsidR="000A7BA6" w:rsidRPr="00FA0484" w:rsidRDefault="000A7BA6" w:rsidP="000A7BA6">
      <w:pPr>
        <w:rPr>
          <w:i/>
          <w:iCs/>
        </w:rPr>
      </w:pPr>
      <w:proofErr w:type="spellStart"/>
      <w:r>
        <w:rPr>
          <w:i/>
          <w:iCs/>
        </w:rPr>
        <w:t>Áhættumat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erfðablöndunar</w:t>
      </w:r>
      <w:proofErr w:type="spellEnd"/>
      <w:r>
        <w:rPr>
          <w:i/>
          <w:iCs/>
        </w:rPr>
        <w:t xml:space="preserve"> milli </w:t>
      </w:r>
      <w:proofErr w:type="spellStart"/>
      <w:r>
        <w:rPr>
          <w:i/>
          <w:iCs/>
        </w:rPr>
        <w:t>eldislaxa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náttúrulegra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laxastofna</w:t>
      </w:r>
      <w:proofErr w:type="spellEnd"/>
      <w:r>
        <w:rPr>
          <w:i/>
          <w:iCs/>
        </w:rPr>
        <w:t>.</w:t>
      </w:r>
      <w:r w:rsidR="00FA0484">
        <w:rPr>
          <w:i/>
          <w:iCs/>
        </w:rP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ályktun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dregin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áhættumatinu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lax-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silungsveiðiár</w:t>
      </w:r>
      <w:proofErr w:type="spellEnd"/>
      <w:r>
        <w:t xml:space="preserve"> </w:t>
      </w:r>
      <w:proofErr w:type="spellStart"/>
      <w:r>
        <w:t>landsins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í </w:t>
      </w:r>
      <w:proofErr w:type="spellStart"/>
      <w:r>
        <w:t>hættu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stroklaxa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sjókvíaeldi</w:t>
      </w:r>
      <w:proofErr w:type="spellEnd"/>
      <w:r>
        <w:t xml:space="preserve">, </w:t>
      </w:r>
      <w:proofErr w:type="spellStart"/>
      <w:r>
        <w:t>hvar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eldið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staðsett</w:t>
      </w:r>
      <w:proofErr w:type="spellEnd"/>
      <w:r>
        <w:t>.</w:t>
      </w:r>
    </w:p>
    <w:p w14:paraId="16C05248" w14:textId="77777777" w:rsidR="000A7BA6" w:rsidRDefault="000A7BA6" w:rsidP="000A7BA6"/>
    <w:p w14:paraId="6B215EB5" w14:textId="77777777" w:rsidR="000A7BA6" w:rsidRDefault="000A7BA6" w:rsidP="000A7BA6">
      <w:pPr>
        <w:rPr>
          <w:i/>
          <w:iCs/>
        </w:rPr>
      </w:pPr>
      <w:proofErr w:type="spellStart"/>
      <w:r>
        <w:rPr>
          <w:i/>
          <w:iCs/>
        </w:rPr>
        <w:t>Álit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Erfðanefndar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landbúnaðarins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frá</w:t>
      </w:r>
      <w:proofErr w:type="spellEnd"/>
      <w:r>
        <w:rPr>
          <w:i/>
          <w:iCs/>
        </w:rPr>
        <w:t xml:space="preserve"> 6. </w:t>
      </w:r>
      <w:proofErr w:type="spellStart"/>
      <w:r>
        <w:rPr>
          <w:i/>
          <w:iCs/>
        </w:rPr>
        <w:t>júní</w:t>
      </w:r>
      <w:proofErr w:type="spellEnd"/>
      <w:r>
        <w:rPr>
          <w:i/>
          <w:iCs/>
        </w:rPr>
        <w:t xml:space="preserve"> 2017.</w:t>
      </w:r>
    </w:p>
    <w:p w14:paraId="6FC7CA74" w14:textId="77777777" w:rsidR="00FA0484" w:rsidRDefault="000A7BA6" w:rsidP="000A7BA6">
      <w:proofErr w:type="spellStart"/>
      <w:r>
        <w:t>Við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í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álit</w:t>
      </w:r>
      <w:proofErr w:type="spellEnd"/>
      <w:r>
        <w:t xml:space="preserve"> </w:t>
      </w:r>
      <w:proofErr w:type="spellStart"/>
      <w:r>
        <w:t>nefndarinnar</w:t>
      </w:r>
      <w:proofErr w:type="spellEnd"/>
      <w:r w:rsidR="00AA06A9"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: </w:t>
      </w:r>
    </w:p>
    <w:p w14:paraId="6FEEC9E3" w14:textId="77777777" w:rsidR="00FA0484" w:rsidRDefault="00FA0484" w:rsidP="000A7BA6"/>
    <w:p w14:paraId="120F7532" w14:textId="19495BBB" w:rsidR="000A7BA6" w:rsidRDefault="000A7BA6" w:rsidP="00FA0484">
      <w:pPr>
        <w:ind w:left="720"/>
      </w:pPr>
      <w:proofErr w:type="spellStart"/>
      <w:r>
        <w:t>Að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Erfðanefndar</w:t>
      </w:r>
      <w:proofErr w:type="spellEnd"/>
      <w:r>
        <w:t xml:space="preserve"> </w:t>
      </w:r>
      <w:proofErr w:type="spellStart"/>
      <w:r>
        <w:t>landbúnaðarins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útgáfa</w:t>
      </w:r>
      <w:proofErr w:type="spellEnd"/>
      <w:r>
        <w:t xml:space="preserve"> </w:t>
      </w:r>
      <w:proofErr w:type="spellStart"/>
      <w:r>
        <w:t>leyfa</w:t>
      </w:r>
      <w:proofErr w:type="spellEnd"/>
      <w:r w:rsidR="00AA06A9"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eldis</w:t>
      </w:r>
      <w:proofErr w:type="spellEnd"/>
      <w:r>
        <w:t xml:space="preserve"> á </w:t>
      </w:r>
      <w:proofErr w:type="spellStart"/>
      <w:r>
        <w:t>frjóum</w:t>
      </w:r>
      <w:proofErr w:type="spellEnd"/>
      <w:r>
        <w:t xml:space="preserve"> </w:t>
      </w:r>
      <w:proofErr w:type="spellStart"/>
      <w:r>
        <w:t>laxi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erlendum</w:t>
      </w:r>
      <w:proofErr w:type="spellEnd"/>
      <w:r>
        <w:t xml:space="preserve"> </w:t>
      </w:r>
      <w:proofErr w:type="spellStart"/>
      <w:r>
        <w:t>uppruna</w:t>
      </w:r>
      <w:proofErr w:type="spellEnd"/>
      <w:r>
        <w:t xml:space="preserve"> í </w:t>
      </w:r>
      <w:proofErr w:type="spellStart"/>
      <w:r>
        <w:t>sjókvíum</w:t>
      </w:r>
      <w:proofErr w:type="spellEnd"/>
      <w:r>
        <w:t xml:space="preserve"> </w:t>
      </w:r>
      <w:proofErr w:type="spellStart"/>
      <w:r>
        <w:t>óforsvaranleg</w:t>
      </w:r>
      <w:proofErr w:type="spellEnd"/>
      <w:r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stöðu</w:t>
      </w:r>
      <w:proofErr w:type="spellEnd"/>
      <w:r w:rsidR="00AA06A9">
        <w:t xml:space="preserve"> </w:t>
      </w:r>
      <w:proofErr w:type="spellStart"/>
      <w:r>
        <w:t>leyfisveitinga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skort</w:t>
      </w:r>
      <w:proofErr w:type="spellEnd"/>
      <w:r>
        <w:t xml:space="preserve"> á </w:t>
      </w:r>
      <w:proofErr w:type="spellStart"/>
      <w:r>
        <w:t>upplýsingum</w:t>
      </w:r>
      <w:proofErr w:type="spellEnd"/>
      <w:r>
        <w:t xml:space="preserve"> um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eldisins</w:t>
      </w:r>
      <w:proofErr w:type="spellEnd"/>
      <w:r>
        <w:t xml:space="preserve"> á </w:t>
      </w:r>
      <w:proofErr w:type="spellStart"/>
      <w:r>
        <w:t>villta</w:t>
      </w:r>
      <w:proofErr w:type="spellEnd"/>
      <w:r>
        <w:t xml:space="preserve"> </w:t>
      </w:r>
      <w:proofErr w:type="spellStart"/>
      <w:r>
        <w:t>laxastofna</w:t>
      </w:r>
      <w:proofErr w:type="spellEnd"/>
      <w:r>
        <w:t xml:space="preserve"> í </w:t>
      </w:r>
      <w:proofErr w:type="spellStart"/>
      <w:r>
        <w:t>íslenskum</w:t>
      </w:r>
      <w:proofErr w:type="spellEnd"/>
      <w:r w:rsidR="00AA06A9">
        <w:t xml:space="preserve"> </w:t>
      </w:r>
      <w:proofErr w:type="spellStart"/>
      <w:r>
        <w:t>ám</w:t>
      </w:r>
      <w:proofErr w:type="spellEnd"/>
      <w:r>
        <w:t xml:space="preserve">. </w:t>
      </w:r>
      <w:proofErr w:type="spellStart"/>
      <w:r>
        <w:t>Nefndin</w:t>
      </w:r>
      <w:proofErr w:type="spellEnd"/>
      <w:r>
        <w:t xml:space="preserve"> </w:t>
      </w:r>
      <w:proofErr w:type="spellStart"/>
      <w:r>
        <w:t>ráðleggur</w:t>
      </w:r>
      <w:proofErr w:type="spellEnd"/>
      <w:r>
        <w:t xml:space="preserve"> </w:t>
      </w:r>
      <w:proofErr w:type="spellStart"/>
      <w:r>
        <w:t>stjórnvöldum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í veg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útgáfu</w:t>
      </w:r>
      <w:proofErr w:type="spellEnd"/>
      <w:r>
        <w:t xml:space="preserve"> </w:t>
      </w:r>
      <w:proofErr w:type="spellStart"/>
      <w:r>
        <w:t>leyfa</w:t>
      </w:r>
      <w:proofErr w:type="spellEnd"/>
      <w:r w:rsidR="00AA06A9"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sjókvíaeldis</w:t>
      </w:r>
      <w:proofErr w:type="spellEnd"/>
      <w:r>
        <w:t xml:space="preserve"> á </w:t>
      </w:r>
      <w:proofErr w:type="spellStart"/>
      <w:r>
        <w:t>laxi</w:t>
      </w:r>
      <w:proofErr w:type="spellEnd"/>
      <w:r>
        <w:t xml:space="preserve">, þ.m.t.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tugi</w:t>
      </w:r>
      <w:proofErr w:type="spellEnd"/>
      <w:r>
        <w:t xml:space="preserve"> </w:t>
      </w:r>
      <w:proofErr w:type="spellStart"/>
      <w:r>
        <w:t>þúsunda</w:t>
      </w:r>
      <w:proofErr w:type="spellEnd"/>
      <w:r>
        <w:t xml:space="preserve"> </w:t>
      </w:r>
      <w:proofErr w:type="spellStart"/>
      <w:r>
        <w:t>tonna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komin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formleg</w:t>
      </w:r>
      <w:proofErr w:type="spellEnd"/>
      <w:r w:rsidR="00AA06A9">
        <w:t xml:space="preserve"> </w:t>
      </w:r>
      <w:proofErr w:type="spellStart"/>
      <w:r>
        <w:t>umsóknarferli</w:t>
      </w:r>
      <w:proofErr w:type="spellEnd"/>
      <w:r>
        <w:t>.</w:t>
      </w:r>
    </w:p>
    <w:p w14:paraId="760FBE40" w14:textId="77777777" w:rsidR="000A7BA6" w:rsidRDefault="000A7BA6" w:rsidP="000A7BA6"/>
    <w:p w14:paraId="55029B34" w14:textId="77777777" w:rsidR="000A7BA6" w:rsidRPr="00BA3EE6" w:rsidRDefault="000A7BA6" w:rsidP="000A7BA6">
      <w:pPr>
        <w:rPr>
          <w:u w:val="single"/>
        </w:rPr>
      </w:pPr>
      <w:proofErr w:type="spellStart"/>
      <w:r w:rsidRPr="00BA3EE6">
        <w:rPr>
          <w:u w:val="single"/>
        </w:rPr>
        <w:t>Aðrar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helstu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athugasemdir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við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reglugerðardrögin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fara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hér</w:t>
      </w:r>
      <w:proofErr w:type="spellEnd"/>
      <w:r w:rsidRPr="00BA3EE6">
        <w:rPr>
          <w:u w:val="single"/>
        </w:rPr>
        <w:t xml:space="preserve"> á </w:t>
      </w:r>
      <w:proofErr w:type="spellStart"/>
      <w:r w:rsidRPr="00BA3EE6">
        <w:rPr>
          <w:u w:val="single"/>
        </w:rPr>
        <w:t>eftir</w:t>
      </w:r>
      <w:proofErr w:type="spellEnd"/>
      <w:r w:rsidRPr="00BA3EE6">
        <w:rPr>
          <w:u w:val="single"/>
        </w:rPr>
        <w:t xml:space="preserve"> (</w:t>
      </w:r>
      <w:proofErr w:type="spellStart"/>
      <w:r w:rsidRPr="00BA3EE6">
        <w:rPr>
          <w:u w:val="single"/>
        </w:rPr>
        <w:t>þó</w:t>
      </w:r>
      <w:proofErr w:type="spellEnd"/>
      <w:r w:rsidRPr="00BA3EE6">
        <w:rPr>
          <w:u w:val="single"/>
        </w:rPr>
        <w:t xml:space="preserve"> ekki </w:t>
      </w:r>
      <w:proofErr w:type="spellStart"/>
      <w:r w:rsidRPr="00BA3EE6">
        <w:rPr>
          <w:u w:val="single"/>
        </w:rPr>
        <w:t>tæmandi</w:t>
      </w:r>
      <w:proofErr w:type="spellEnd"/>
      <w:r w:rsidRPr="00BA3EE6">
        <w:rPr>
          <w:u w:val="single"/>
        </w:rPr>
        <w:t xml:space="preserve"> </w:t>
      </w:r>
      <w:proofErr w:type="spellStart"/>
      <w:r w:rsidRPr="00BA3EE6">
        <w:rPr>
          <w:u w:val="single"/>
        </w:rPr>
        <w:t>taldar</w:t>
      </w:r>
      <w:proofErr w:type="spellEnd"/>
      <w:r w:rsidRPr="00BA3EE6">
        <w:rPr>
          <w:u w:val="single"/>
        </w:rPr>
        <w:t>):</w:t>
      </w:r>
    </w:p>
    <w:p w14:paraId="600900C4" w14:textId="77777777" w:rsidR="000A7BA6" w:rsidRDefault="000A7BA6" w:rsidP="000A7BA6"/>
    <w:p w14:paraId="546F481A" w14:textId="77777777" w:rsidR="000A7BA6" w:rsidRPr="00352567" w:rsidRDefault="000A7BA6" w:rsidP="000A7BA6">
      <w:pPr>
        <w:rPr>
          <w:i/>
        </w:rPr>
      </w:pPr>
      <w:r w:rsidRPr="00352567">
        <w:rPr>
          <w:i/>
        </w:rPr>
        <w:t xml:space="preserve">3. gr. </w:t>
      </w:r>
      <w:proofErr w:type="spellStart"/>
      <w:r w:rsidRPr="00352567">
        <w:rPr>
          <w:i/>
        </w:rPr>
        <w:t>Skilgreiningar</w:t>
      </w:r>
      <w:proofErr w:type="spellEnd"/>
      <w:r w:rsidRPr="00352567">
        <w:rPr>
          <w:i/>
        </w:rPr>
        <w:t>.</w:t>
      </w:r>
    </w:p>
    <w:p w14:paraId="4C2DF2AC" w14:textId="5A7D800E" w:rsidR="000A7BA6" w:rsidRDefault="000A7BA6" w:rsidP="000A7BA6">
      <w:proofErr w:type="spellStart"/>
      <w:r>
        <w:t>Mótvægisaðgerðir</w:t>
      </w:r>
      <w:proofErr w:type="spellEnd"/>
      <w:r>
        <w:t xml:space="preserve">. </w:t>
      </w:r>
      <w:proofErr w:type="spellStart"/>
      <w:r>
        <w:t>Notkun</w:t>
      </w:r>
      <w:proofErr w:type="spellEnd"/>
      <w:r>
        <w:t xml:space="preserve"> á </w:t>
      </w:r>
      <w:proofErr w:type="spellStart"/>
      <w:r>
        <w:t>búnaði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aukið</w:t>
      </w:r>
      <w:proofErr w:type="spellEnd"/>
      <w:r>
        <w:t xml:space="preserve"> </w:t>
      </w:r>
      <w:proofErr w:type="spellStart"/>
      <w:r>
        <w:t>innra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ekki </w:t>
      </w:r>
      <w:proofErr w:type="spellStart"/>
      <w:r>
        <w:t>talist</w:t>
      </w:r>
      <w:proofErr w:type="spellEnd"/>
      <w:r>
        <w:t xml:space="preserve"> </w:t>
      </w:r>
      <w:proofErr w:type="spellStart"/>
      <w:r>
        <w:t>til</w:t>
      </w:r>
      <w:proofErr w:type="spellEnd"/>
      <w:r w:rsidR="00FA0484">
        <w:t xml:space="preserve"> </w:t>
      </w:r>
      <w:proofErr w:type="spellStart"/>
      <w:r>
        <w:t>mótvægisaðgerða</w:t>
      </w:r>
      <w:proofErr w:type="spellEnd"/>
      <w:r>
        <w:t>.</w:t>
      </w:r>
    </w:p>
    <w:p w14:paraId="19C39989" w14:textId="77777777" w:rsidR="000A7BA6" w:rsidRDefault="000A7BA6" w:rsidP="000A7BA6"/>
    <w:p w14:paraId="7FE5E991" w14:textId="77777777" w:rsidR="000A7BA6" w:rsidRDefault="000A7BA6" w:rsidP="000A7BA6">
      <w:pPr>
        <w:rPr>
          <w:i/>
        </w:rPr>
      </w:pPr>
      <w:r w:rsidRPr="00352567">
        <w:rPr>
          <w:i/>
        </w:rPr>
        <w:t xml:space="preserve">4. gr. </w:t>
      </w:r>
      <w:proofErr w:type="spellStart"/>
      <w:r w:rsidRPr="00352567">
        <w:rPr>
          <w:i/>
        </w:rPr>
        <w:t>Burðarþolsmat</w:t>
      </w:r>
      <w:proofErr w:type="spellEnd"/>
      <w:r w:rsidRPr="00352567">
        <w:rPr>
          <w:i/>
        </w:rPr>
        <w:t>.</w:t>
      </w:r>
    </w:p>
    <w:p w14:paraId="517905DA" w14:textId="44CAEC99" w:rsidR="000A7BA6" w:rsidRDefault="000A7BA6" w:rsidP="000A7BA6">
      <w:r>
        <w:t xml:space="preserve">Í 2. mgr.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„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sá</w:t>
      </w:r>
      <w:proofErr w:type="spellEnd"/>
      <w:r>
        <w:t xml:space="preserve"> </w:t>
      </w:r>
      <w:proofErr w:type="spellStart"/>
      <w:r>
        <w:t>aðili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ráðuneytið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framkvæmi</w:t>
      </w:r>
      <w:proofErr w:type="spellEnd"/>
      <w:r w:rsidR="00AA06A9">
        <w:t xml:space="preserve"> </w:t>
      </w:r>
      <w:proofErr w:type="spellStart"/>
      <w:r>
        <w:t>burðarþolsmat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22. </w:t>
      </w:r>
      <w:proofErr w:type="spellStart"/>
      <w:proofErr w:type="gramStart"/>
      <w:r>
        <w:t>gr.skuli</w:t>
      </w:r>
      <w:proofErr w:type="spellEnd"/>
      <w:proofErr w:type="gramEnd"/>
      <w:r>
        <w:t xml:space="preserve"> </w:t>
      </w:r>
      <w:proofErr w:type="spellStart"/>
      <w:r>
        <w:t>vakta</w:t>
      </w:r>
      <w:proofErr w:type="spellEnd"/>
      <w:r>
        <w:t xml:space="preserve"> </w:t>
      </w:r>
      <w:proofErr w:type="spellStart"/>
      <w:r>
        <w:t>lífrænt</w:t>
      </w:r>
      <w:proofErr w:type="spellEnd"/>
      <w:r>
        <w:t xml:space="preserve"> </w:t>
      </w:r>
      <w:proofErr w:type="spellStart"/>
      <w:r>
        <w:t>álag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svæða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burðarþols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endurskoða</w:t>
      </w:r>
      <w:proofErr w:type="spellEnd"/>
      <w:r>
        <w:t xml:space="preserve"> </w:t>
      </w:r>
      <w:proofErr w:type="spellStart"/>
      <w:r>
        <w:t>matið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oft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þykir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stofnunarinnar</w:t>
      </w:r>
      <w:proofErr w:type="spellEnd"/>
      <w:r>
        <w:t>.“</w:t>
      </w:r>
      <w:r w:rsidR="00AA06A9">
        <w:t xml:space="preserve"> </w:t>
      </w:r>
      <w:r w:rsidRPr="003C76D0">
        <w:rPr>
          <w:u w:val="single"/>
        </w:rPr>
        <w:t xml:space="preserve">Ekki </w:t>
      </w:r>
      <w:proofErr w:type="spellStart"/>
      <w:r w:rsidRPr="003C76D0">
        <w:rPr>
          <w:u w:val="single"/>
        </w:rPr>
        <w:t>verður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séð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að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lagaheimild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hendi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annar</w:t>
      </w:r>
      <w:proofErr w:type="spellEnd"/>
      <w:r>
        <w:t xml:space="preserve"> </w:t>
      </w:r>
      <w:proofErr w:type="spellStart"/>
      <w:r>
        <w:t>aðili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 w:rsidRPr="00966167">
        <w:rPr>
          <w:u w:val="single"/>
        </w:rPr>
        <w:t>vakti</w:t>
      </w:r>
      <w:proofErr w:type="spellEnd"/>
      <w:r w:rsidR="00AA06A9">
        <w:t xml:space="preserve"> </w:t>
      </w:r>
      <w:proofErr w:type="spellStart"/>
      <w:r w:rsidRPr="00966167">
        <w:rPr>
          <w:u w:val="single"/>
        </w:rPr>
        <w:t>lífrænt</w:t>
      </w:r>
      <w:proofErr w:type="spellEnd"/>
      <w:r w:rsidRPr="00966167">
        <w:rPr>
          <w:u w:val="single"/>
        </w:rPr>
        <w:t xml:space="preserve"> </w:t>
      </w:r>
      <w:proofErr w:type="spellStart"/>
      <w:r w:rsidRPr="00966167">
        <w:rPr>
          <w:u w:val="single"/>
        </w:rPr>
        <w:t>álag</w:t>
      </w:r>
      <w:proofErr w:type="spellEnd"/>
      <w:r>
        <w:t xml:space="preserve"> </w:t>
      </w:r>
      <w:proofErr w:type="spellStart"/>
      <w:r>
        <w:t>sbr</w:t>
      </w:r>
      <w:proofErr w:type="spellEnd"/>
      <w:r>
        <w:t xml:space="preserve">. 2.  mgr. 7. gr. b. </w:t>
      </w:r>
      <w:proofErr w:type="spellStart"/>
      <w:r>
        <w:t>laga</w:t>
      </w:r>
      <w:proofErr w:type="spellEnd"/>
      <w:r>
        <w:t xml:space="preserve"> nr. 101/2019.</w:t>
      </w:r>
    </w:p>
    <w:p w14:paraId="2AE259B5" w14:textId="77777777" w:rsidR="000A7BA6" w:rsidRDefault="000A7BA6" w:rsidP="000A7BA6"/>
    <w:p w14:paraId="4898429B" w14:textId="77777777" w:rsidR="000A7BA6" w:rsidRDefault="000A7BA6" w:rsidP="000A7BA6">
      <w:pPr>
        <w:rPr>
          <w:i/>
        </w:rPr>
      </w:pPr>
      <w:r w:rsidRPr="00966167">
        <w:rPr>
          <w:i/>
        </w:rPr>
        <w:t xml:space="preserve">6. gr. </w:t>
      </w:r>
      <w:proofErr w:type="spellStart"/>
      <w:r w:rsidRPr="00966167">
        <w:rPr>
          <w:i/>
        </w:rPr>
        <w:t>Skipting</w:t>
      </w:r>
      <w:proofErr w:type="spellEnd"/>
      <w:r w:rsidRPr="00966167">
        <w:rPr>
          <w:i/>
        </w:rPr>
        <w:t xml:space="preserve"> </w:t>
      </w:r>
      <w:proofErr w:type="spellStart"/>
      <w:r w:rsidRPr="00966167">
        <w:rPr>
          <w:i/>
        </w:rPr>
        <w:t>hafsvæða</w:t>
      </w:r>
      <w:proofErr w:type="spellEnd"/>
      <w:r w:rsidRPr="00966167">
        <w:rPr>
          <w:i/>
        </w:rPr>
        <w:t xml:space="preserve"> í </w:t>
      </w:r>
      <w:proofErr w:type="spellStart"/>
      <w:r w:rsidRPr="00966167">
        <w:rPr>
          <w:i/>
        </w:rPr>
        <w:t>eldissvæði</w:t>
      </w:r>
      <w:proofErr w:type="spellEnd"/>
      <w:r w:rsidRPr="00966167">
        <w:rPr>
          <w:i/>
        </w:rPr>
        <w:t>.</w:t>
      </w:r>
    </w:p>
    <w:p w14:paraId="2C663F97" w14:textId="77777777" w:rsidR="00FA0484" w:rsidRDefault="000A7BA6" w:rsidP="000A7BA6">
      <w:r w:rsidRPr="003C76D0">
        <w:rPr>
          <w:u w:val="single"/>
        </w:rPr>
        <w:t xml:space="preserve">Ekki </w:t>
      </w:r>
      <w:proofErr w:type="spellStart"/>
      <w:r w:rsidRPr="003C76D0">
        <w:rPr>
          <w:u w:val="single"/>
        </w:rPr>
        <w:t>verður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séð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að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lagaheimild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í 2. mgr. 6. gr. </w:t>
      </w:r>
      <w:proofErr w:type="spellStart"/>
      <w:r>
        <w:t>að</w:t>
      </w:r>
      <w:proofErr w:type="spellEnd"/>
      <w:r>
        <w:t xml:space="preserve"> </w:t>
      </w:r>
    </w:p>
    <w:p w14:paraId="1122D32E" w14:textId="77777777" w:rsidR="00FA0484" w:rsidRDefault="00FA0484" w:rsidP="000A7BA6"/>
    <w:p w14:paraId="29D838EF" w14:textId="77777777" w:rsidR="00FA0484" w:rsidRDefault="000A7BA6" w:rsidP="00FA0484">
      <w:pPr>
        <w:ind w:left="720"/>
      </w:pPr>
      <w:proofErr w:type="spellStart"/>
      <w:r>
        <w:t>Við</w:t>
      </w:r>
      <w:proofErr w:type="spellEnd"/>
      <w:r>
        <w:t xml:space="preserve"> </w:t>
      </w:r>
      <w:proofErr w:type="spellStart"/>
      <w:r>
        <w:t>afmörkun</w:t>
      </w:r>
      <w:proofErr w:type="spellEnd"/>
      <w:r>
        <w:t xml:space="preserve"> </w:t>
      </w:r>
      <w:proofErr w:type="spellStart"/>
      <w:r>
        <w:t>eldissvæða</w:t>
      </w:r>
      <w:proofErr w:type="spellEnd"/>
      <w:r>
        <w:t xml:space="preserve"> </w:t>
      </w:r>
      <w:proofErr w:type="spellStart"/>
      <w:r>
        <w:t>skal</w:t>
      </w:r>
      <w:proofErr w:type="spellEnd"/>
      <w:r w:rsidR="00AA06A9">
        <w:t xml:space="preserve"> </w:t>
      </w:r>
      <w:proofErr w:type="spellStart"/>
      <w:r>
        <w:t>miða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rekstraraðili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starfsemi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hvers</w:t>
      </w:r>
      <w:proofErr w:type="spellEnd"/>
      <w:r>
        <w:t xml:space="preserve"> </w:t>
      </w:r>
      <w:proofErr w:type="spellStart"/>
      <w:r>
        <w:t>eldissvæðis</w:t>
      </w:r>
      <w:proofErr w:type="spellEnd"/>
      <w:r>
        <w:t>.</w:t>
      </w:r>
      <w:r w:rsidR="00AA06A9">
        <w:t xml:space="preserve"> </w:t>
      </w:r>
    </w:p>
    <w:p w14:paraId="73DF4278" w14:textId="77777777" w:rsidR="00FA0484" w:rsidRDefault="00FA0484" w:rsidP="000A7BA6"/>
    <w:p w14:paraId="2F7A86B2" w14:textId="670CDF4C" w:rsidR="000A7BA6" w:rsidRDefault="000A7BA6" w:rsidP="000A7BA6">
      <w:proofErr w:type="spellStart"/>
      <w:r>
        <w:t>Þetta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felur</w:t>
      </w:r>
      <w:proofErr w:type="spellEnd"/>
      <w:r>
        <w:t xml:space="preserve"> í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einokun</w:t>
      </w:r>
      <w:proofErr w:type="spellEnd"/>
      <w:r>
        <w:t xml:space="preserve"> </w:t>
      </w:r>
      <w:proofErr w:type="spellStart"/>
      <w:r>
        <w:t>eldissvæða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útgefin</w:t>
      </w:r>
      <w:proofErr w:type="spellEnd"/>
      <w:r>
        <w:t xml:space="preserve"> </w:t>
      </w:r>
      <w:proofErr w:type="spellStart"/>
      <w:r>
        <w:t>leyfi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sjókvíaeldis</w:t>
      </w:r>
      <w:proofErr w:type="spellEnd"/>
      <w:r>
        <w:t>,</w:t>
      </w:r>
      <w:r w:rsidR="00AA06A9"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stenst</w:t>
      </w:r>
      <w:proofErr w:type="spellEnd"/>
      <w:r>
        <w:t xml:space="preserve"> ekki </w:t>
      </w:r>
      <w:proofErr w:type="spellStart"/>
      <w:r>
        <w:t>samkeppnislög</w:t>
      </w:r>
      <w:proofErr w:type="spellEnd"/>
      <w:r>
        <w:t xml:space="preserve">. 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flest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svæði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stunda</w:t>
      </w:r>
      <w:proofErr w:type="spellEnd"/>
      <w:r>
        <w:t xml:space="preserve"> </w:t>
      </w:r>
      <w:proofErr w:type="spellStart"/>
      <w:r>
        <w:t>sjókvíaeldi</w:t>
      </w:r>
      <w:proofErr w:type="spellEnd"/>
      <w:r>
        <w:t xml:space="preserve">. 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röng</w:t>
      </w:r>
      <w:proofErr w:type="spellEnd"/>
      <w:r>
        <w:t xml:space="preserve"> </w:t>
      </w:r>
      <w:proofErr w:type="spellStart"/>
      <w:r>
        <w:t>tilvísun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6. mgr. 16. gr. í </w:t>
      </w:r>
      <w:proofErr w:type="spellStart"/>
      <w:r>
        <w:t>lok</w:t>
      </w:r>
      <w:proofErr w:type="spellEnd"/>
      <w:r>
        <w:t xml:space="preserve"> 6. </w:t>
      </w:r>
      <w:proofErr w:type="spellStart"/>
      <w:r>
        <w:t>greinar</w:t>
      </w:r>
      <w:proofErr w:type="spellEnd"/>
      <w:r>
        <w:t>.</w:t>
      </w:r>
    </w:p>
    <w:p w14:paraId="0A8E1C61" w14:textId="77777777" w:rsidR="000A7BA6" w:rsidRDefault="000A7BA6" w:rsidP="000A7BA6"/>
    <w:p w14:paraId="08E3742F" w14:textId="77777777" w:rsidR="000A7BA6" w:rsidRDefault="000A7BA6" w:rsidP="000A7BA6">
      <w:pPr>
        <w:rPr>
          <w:i/>
        </w:rPr>
      </w:pPr>
      <w:r w:rsidRPr="00537B38">
        <w:rPr>
          <w:i/>
        </w:rPr>
        <w:t xml:space="preserve">7. gr. </w:t>
      </w:r>
      <w:proofErr w:type="spellStart"/>
      <w:r w:rsidRPr="00537B38">
        <w:rPr>
          <w:i/>
        </w:rPr>
        <w:t>Tillaga</w:t>
      </w:r>
      <w:proofErr w:type="spellEnd"/>
      <w:r w:rsidRPr="00537B38">
        <w:rPr>
          <w:i/>
        </w:rPr>
        <w:t xml:space="preserve"> </w:t>
      </w:r>
      <w:proofErr w:type="spellStart"/>
      <w:r w:rsidRPr="00537B38">
        <w:rPr>
          <w:i/>
        </w:rPr>
        <w:t>að</w:t>
      </w:r>
      <w:proofErr w:type="spellEnd"/>
      <w:r w:rsidRPr="00537B38">
        <w:rPr>
          <w:i/>
        </w:rPr>
        <w:t xml:space="preserve"> </w:t>
      </w:r>
      <w:proofErr w:type="spellStart"/>
      <w:r w:rsidRPr="00537B38">
        <w:rPr>
          <w:i/>
        </w:rPr>
        <w:t>áhættumati</w:t>
      </w:r>
      <w:proofErr w:type="spellEnd"/>
      <w:r w:rsidRPr="00537B38">
        <w:rPr>
          <w:i/>
        </w:rPr>
        <w:t xml:space="preserve"> </w:t>
      </w:r>
      <w:proofErr w:type="spellStart"/>
      <w:r w:rsidRPr="00537B38">
        <w:rPr>
          <w:i/>
        </w:rPr>
        <w:t>erfðablöndunar</w:t>
      </w:r>
      <w:proofErr w:type="spellEnd"/>
      <w:r w:rsidRPr="00537B38">
        <w:rPr>
          <w:i/>
        </w:rPr>
        <w:t>.</w:t>
      </w:r>
    </w:p>
    <w:p w14:paraId="719F248E" w14:textId="200894F7" w:rsidR="000A7BA6" w:rsidRDefault="000A7BA6" w:rsidP="000A7BA6">
      <w:r>
        <w:t xml:space="preserve">Í 2. mgr. </w:t>
      </w:r>
      <w:proofErr w:type="spellStart"/>
      <w:r>
        <w:t>er</w:t>
      </w:r>
      <w:proofErr w:type="spellEnd"/>
      <w:r>
        <w:t xml:space="preserve"> </w:t>
      </w:r>
      <w:proofErr w:type="spellStart"/>
      <w:r>
        <w:t>ofaukið</w:t>
      </w:r>
      <w:proofErr w:type="spellEnd"/>
      <w:r>
        <w:t xml:space="preserve"> </w:t>
      </w:r>
      <w:proofErr w:type="spellStart"/>
      <w:r>
        <w:t>orðunum</w:t>
      </w:r>
      <w:proofErr w:type="spellEnd"/>
      <w:r>
        <w:t xml:space="preserve"> „</w:t>
      </w:r>
      <w:proofErr w:type="spellStart"/>
      <w:r>
        <w:t>líkum</w:t>
      </w:r>
      <w:proofErr w:type="spellEnd"/>
      <w:r>
        <w:t xml:space="preserve"> </w:t>
      </w:r>
      <w:proofErr w:type="gramStart"/>
      <w:r>
        <w:t>á“</w:t>
      </w:r>
      <w:proofErr w:type="gram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r w:rsidR="00FA0484">
        <w:t>„…</w:t>
      </w:r>
      <w:r>
        <w:t xml:space="preserve">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líkum</w:t>
      </w:r>
      <w:proofErr w:type="spellEnd"/>
      <w:r>
        <w:t xml:space="preserve"> á </w:t>
      </w:r>
      <w:proofErr w:type="spellStart"/>
      <w:r>
        <w:t>mögulegri</w:t>
      </w:r>
      <w:proofErr w:type="spellEnd"/>
      <w:r>
        <w:t xml:space="preserve"> </w:t>
      </w:r>
      <w:proofErr w:type="spellStart"/>
      <w:r>
        <w:t>erfðablöndun</w:t>
      </w:r>
      <w:proofErr w:type="spellEnd"/>
      <w:r>
        <w:t>...</w:t>
      </w:r>
      <w:proofErr w:type="spellStart"/>
      <w:r>
        <w:t>sbr</w:t>
      </w:r>
      <w:proofErr w:type="spellEnd"/>
      <w:r>
        <w:t xml:space="preserve">. </w:t>
      </w:r>
      <w:proofErr w:type="spellStart"/>
      <w:r>
        <w:t>orðalag</w:t>
      </w:r>
      <w:proofErr w:type="spellEnd"/>
      <w:r>
        <w:t xml:space="preserve"> 2. mgr. 7. gr. a. </w:t>
      </w:r>
      <w:proofErr w:type="spellStart"/>
      <w:r>
        <w:t>laga</w:t>
      </w:r>
      <w:proofErr w:type="spellEnd"/>
      <w:r>
        <w:t xml:space="preserve"> nr. 101/2019.</w:t>
      </w:r>
      <w:r w:rsidR="00FA0484">
        <w:t>”</w:t>
      </w:r>
      <w:r w:rsidR="00AA06A9"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ofaukið</w:t>
      </w:r>
      <w:proofErr w:type="spellEnd"/>
      <w:r>
        <w:t xml:space="preserve"> </w:t>
      </w:r>
      <w:proofErr w:type="spellStart"/>
      <w:r>
        <w:t>orðunum</w:t>
      </w:r>
      <w:proofErr w:type="spellEnd"/>
      <w:r>
        <w:t xml:space="preserve"> „</w:t>
      </w:r>
      <w:proofErr w:type="spellStart"/>
      <w:r>
        <w:t>auknu</w:t>
      </w:r>
      <w:proofErr w:type="spellEnd"/>
      <w:r>
        <w:t xml:space="preserve"> </w:t>
      </w:r>
      <w:proofErr w:type="spellStart"/>
      <w:r>
        <w:t>innra</w:t>
      </w:r>
      <w:proofErr w:type="spellEnd"/>
      <w:r>
        <w:t xml:space="preserve"> </w:t>
      </w:r>
      <w:proofErr w:type="spellStart"/>
      <w:proofErr w:type="gramStart"/>
      <w:r>
        <w:t>eftirliti</w:t>
      </w:r>
      <w:proofErr w:type="spellEnd"/>
      <w:r>
        <w:t>“ í</w:t>
      </w:r>
      <w:proofErr w:type="gram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málsgrein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slíkt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ekki </w:t>
      </w:r>
      <w:proofErr w:type="spellStart"/>
      <w:r>
        <w:t>talist</w:t>
      </w:r>
      <w:proofErr w:type="spellEnd"/>
      <w:r>
        <w:t xml:space="preserve"> </w:t>
      </w:r>
      <w:proofErr w:type="spellStart"/>
      <w:r>
        <w:t>til</w:t>
      </w:r>
      <w:proofErr w:type="spellEnd"/>
      <w:r w:rsidR="00AA06A9">
        <w:t xml:space="preserve"> </w:t>
      </w:r>
      <w:proofErr w:type="spellStart"/>
      <w:r>
        <w:t>mótvægisaðgerða</w:t>
      </w:r>
      <w:proofErr w:type="spellEnd"/>
      <w:r>
        <w:t xml:space="preserve">,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orða</w:t>
      </w:r>
      <w:proofErr w:type="spellEnd"/>
      <w:r>
        <w:t xml:space="preserve"> ekki </w:t>
      </w:r>
      <w:proofErr w:type="spellStart"/>
      <w:r>
        <w:t>getið</w:t>
      </w:r>
      <w:proofErr w:type="spellEnd"/>
      <w:r>
        <w:t xml:space="preserve"> í 2. mgr. 8. gr. a. </w:t>
      </w:r>
      <w:proofErr w:type="spellStart"/>
      <w:r>
        <w:t>laga</w:t>
      </w:r>
      <w:proofErr w:type="spellEnd"/>
      <w:r>
        <w:t xml:space="preserve"> nr. 101/2019. </w:t>
      </w:r>
    </w:p>
    <w:p w14:paraId="014A471D" w14:textId="77777777" w:rsidR="000A7BA6" w:rsidRDefault="000A7BA6" w:rsidP="000A7BA6"/>
    <w:p w14:paraId="18123857" w14:textId="77777777" w:rsidR="0087571D" w:rsidRDefault="0087571D" w:rsidP="000A7BA6">
      <w:pPr>
        <w:rPr>
          <w:i/>
        </w:rPr>
      </w:pPr>
    </w:p>
    <w:p w14:paraId="6B9B6491" w14:textId="77777777" w:rsidR="0087571D" w:rsidRDefault="0087571D" w:rsidP="000A7BA6">
      <w:pPr>
        <w:rPr>
          <w:i/>
        </w:rPr>
      </w:pPr>
    </w:p>
    <w:p w14:paraId="705A5E30" w14:textId="77777777" w:rsidR="0087571D" w:rsidRDefault="0087571D" w:rsidP="000A7BA6">
      <w:pPr>
        <w:rPr>
          <w:i/>
        </w:rPr>
      </w:pPr>
    </w:p>
    <w:p w14:paraId="2D06821B" w14:textId="436E0FA1" w:rsidR="0087571D" w:rsidRDefault="000A7BA6" w:rsidP="000A7BA6">
      <w:pPr>
        <w:rPr>
          <w:i/>
        </w:rPr>
      </w:pPr>
      <w:r w:rsidRPr="007373E1">
        <w:rPr>
          <w:i/>
        </w:rPr>
        <w:lastRenderedPageBreak/>
        <w:t xml:space="preserve">10. gr. </w:t>
      </w:r>
      <w:proofErr w:type="spellStart"/>
      <w:r w:rsidRPr="007373E1">
        <w:rPr>
          <w:i/>
        </w:rPr>
        <w:t>Breyting</w:t>
      </w:r>
      <w:proofErr w:type="spellEnd"/>
      <w:r w:rsidRPr="007373E1">
        <w:rPr>
          <w:i/>
        </w:rPr>
        <w:t xml:space="preserve"> á </w:t>
      </w:r>
      <w:proofErr w:type="spellStart"/>
      <w:r w:rsidRPr="007373E1">
        <w:rPr>
          <w:i/>
        </w:rPr>
        <w:t>rekstrarleyfum</w:t>
      </w:r>
      <w:proofErr w:type="spellEnd"/>
      <w:r w:rsidRPr="007373E1">
        <w:rPr>
          <w:i/>
        </w:rPr>
        <w:t xml:space="preserve"> </w:t>
      </w:r>
      <w:proofErr w:type="spellStart"/>
      <w:r w:rsidRPr="007373E1">
        <w:rPr>
          <w:i/>
        </w:rPr>
        <w:t>vegna</w:t>
      </w:r>
      <w:proofErr w:type="spellEnd"/>
      <w:r w:rsidRPr="007373E1">
        <w:rPr>
          <w:i/>
        </w:rPr>
        <w:t xml:space="preserve"> </w:t>
      </w:r>
      <w:proofErr w:type="spellStart"/>
      <w:r w:rsidRPr="007373E1">
        <w:rPr>
          <w:i/>
        </w:rPr>
        <w:t>áhættumats</w:t>
      </w:r>
      <w:proofErr w:type="spellEnd"/>
      <w:r w:rsidRPr="007373E1">
        <w:rPr>
          <w:i/>
        </w:rPr>
        <w:t xml:space="preserve"> </w:t>
      </w:r>
      <w:proofErr w:type="spellStart"/>
      <w:r w:rsidRPr="007373E1">
        <w:rPr>
          <w:i/>
        </w:rPr>
        <w:t>erfðablöndunar</w:t>
      </w:r>
      <w:proofErr w:type="spellEnd"/>
      <w:r w:rsidRPr="007373E1">
        <w:rPr>
          <w:i/>
        </w:rPr>
        <w:t>.</w:t>
      </w:r>
    </w:p>
    <w:p w14:paraId="73D4D3F9" w14:textId="6D63E9A0" w:rsidR="000A7BA6" w:rsidRPr="0087571D" w:rsidRDefault="000A7BA6" w:rsidP="000A7BA6">
      <w:pPr>
        <w:rPr>
          <w:i/>
        </w:rPr>
      </w:pPr>
      <w:proofErr w:type="spellStart"/>
      <w:r>
        <w:t>Ofaukið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orðunum</w:t>
      </w:r>
      <w:proofErr w:type="spellEnd"/>
      <w:r>
        <w:t xml:space="preserve"> „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eldi</w:t>
      </w:r>
      <w:proofErr w:type="spellEnd"/>
      <w:r>
        <w:t xml:space="preserve"> </w:t>
      </w:r>
      <w:proofErr w:type="spellStart"/>
      <w:r>
        <w:t>frjórra</w:t>
      </w:r>
      <w:proofErr w:type="spellEnd"/>
      <w:r>
        <w:t xml:space="preserve"> </w:t>
      </w:r>
      <w:proofErr w:type="spellStart"/>
      <w:proofErr w:type="gramStart"/>
      <w:r>
        <w:t>laxa</w:t>
      </w:r>
      <w:proofErr w:type="spellEnd"/>
      <w:r>
        <w:t xml:space="preserve">“ </w:t>
      </w:r>
      <w:proofErr w:type="spellStart"/>
      <w:r>
        <w:t>enda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ekki </w:t>
      </w:r>
      <w:proofErr w:type="spellStart"/>
      <w:r>
        <w:t>getið</w:t>
      </w:r>
      <w:proofErr w:type="spellEnd"/>
      <w:r>
        <w:t xml:space="preserve"> í 25. </w:t>
      </w:r>
      <w:proofErr w:type="spellStart"/>
      <w:r>
        <w:t>greininni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vísað</w:t>
      </w:r>
      <w:proofErr w:type="spellEnd"/>
      <w:r w:rsidR="00AA06A9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í 10. gr. 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athugasemd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22. gr. </w:t>
      </w:r>
      <w:proofErr w:type="spellStart"/>
      <w:r>
        <w:t>draganna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sérkennilegar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óeðlilegar</w:t>
      </w:r>
      <w:proofErr w:type="spellEnd"/>
      <w:r>
        <w:t xml:space="preserve"> </w:t>
      </w:r>
      <w:proofErr w:type="spellStart"/>
      <w:r>
        <w:t>heimildir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í 25. gr. </w:t>
      </w:r>
      <w:proofErr w:type="spellStart"/>
      <w:r>
        <w:t>draganna</w:t>
      </w:r>
      <w:proofErr w:type="spellEnd"/>
      <w:r>
        <w:t>.</w:t>
      </w:r>
    </w:p>
    <w:p w14:paraId="46D4DF28" w14:textId="77777777" w:rsidR="000A7BA6" w:rsidRDefault="000A7BA6" w:rsidP="000A7BA6"/>
    <w:p w14:paraId="6F81EA5A" w14:textId="77777777" w:rsidR="000A7BA6" w:rsidRDefault="000A7BA6" w:rsidP="000A7BA6">
      <w:pPr>
        <w:rPr>
          <w:i/>
        </w:rPr>
      </w:pPr>
      <w:r w:rsidRPr="007248A0">
        <w:rPr>
          <w:i/>
        </w:rPr>
        <w:t xml:space="preserve">11. gr. </w:t>
      </w:r>
      <w:proofErr w:type="spellStart"/>
      <w:r w:rsidRPr="007248A0">
        <w:rPr>
          <w:i/>
        </w:rPr>
        <w:t>Móttaka</w:t>
      </w:r>
      <w:proofErr w:type="spellEnd"/>
      <w:r w:rsidRPr="007248A0">
        <w:rPr>
          <w:i/>
        </w:rPr>
        <w:t xml:space="preserve"> </w:t>
      </w:r>
      <w:proofErr w:type="spellStart"/>
      <w:r w:rsidRPr="007248A0">
        <w:rPr>
          <w:i/>
        </w:rPr>
        <w:t>umsókna</w:t>
      </w:r>
      <w:proofErr w:type="spellEnd"/>
      <w:r w:rsidRPr="007248A0">
        <w:rPr>
          <w:i/>
        </w:rPr>
        <w:t>.</w:t>
      </w:r>
    </w:p>
    <w:p w14:paraId="4E0A24C0" w14:textId="5A6109EA" w:rsidR="000A7BA6" w:rsidRPr="00AA06A9" w:rsidRDefault="000A7BA6" w:rsidP="000A7BA6">
      <w:r>
        <w:t xml:space="preserve">Í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fyrirskipað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umsóknir</w:t>
      </w:r>
      <w:proofErr w:type="spellEnd"/>
      <w:r>
        <w:t xml:space="preserve"> um </w:t>
      </w:r>
      <w:proofErr w:type="spellStart"/>
      <w:r>
        <w:t>starfsleyfi</w:t>
      </w:r>
      <w:proofErr w:type="spellEnd"/>
      <w:r>
        <w:t xml:space="preserve"> </w:t>
      </w:r>
      <w:proofErr w:type="spellStart"/>
      <w:r>
        <w:t>Umhverfisstofnunar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afhendast</w:t>
      </w:r>
      <w:proofErr w:type="spellEnd"/>
      <w:r>
        <w:t xml:space="preserve"> </w:t>
      </w:r>
      <w:proofErr w:type="spellStart"/>
      <w:r>
        <w:t>samhliða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afgreiddar</w:t>
      </w:r>
      <w:proofErr w:type="spellEnd"/>
      <w:r>
        <w:t xml:space="preserve"> </w:t>
      </w:r>
      <w:proofErr w:type="spellStart"/>
      <w:r>
        <w:t>samhliða</w:t>
      </w:r>
      <w:proofErr w:type="spellEnd"/>
      <w:r>
        <w:t>.</w:t>
      </w:r>
      <w:r w:rsidR="00AA06A9"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lagaskyldu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stofnana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rannsaka</w:t>
      </w:r>
      <w:proofErr w:type="spellEnd"/>
      <w:r>
        <w:t xml:space="preserve"> </w:t>
      </w:r>
      <w:proofErr w:type="spellStart"/>
      <w:r>
        <w:t>eldisframkvæmd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um sig á </w:t>
      </w:r>
      <w:proofErr w:type="spellStart"/>
      <w:r>
        <w:t>sjálfstæðan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óháðan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rökstyðja</w:t>
      </w:r>
      <w:proofErr w:type="spellEnd"/>
      <w:r>
        <w:t xml:space="preserve"> </w:t>
      </w:r>
      <w:proofErr w:type="spellStart"/>
      <w:r>
        <w:t>síðan</w:t>
      </w:r>
      <w:proofErr w:type="spellEnd"/>
      <w:r>
        <w:t xml:space="preserve"> </w:t>
      </w:r>
      <w:proofErr w:type="spellStart"/>
      <w:r>
        <w:t>niðurstöður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ámælisvert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andstætt</w:t>
      </w:r>
      <w:proofErr w:type="spellEnd"/>
      <w:r>
        <w:t xml:space="preserve"> </w:t>
      </w:r>
      <w:proofErr w:type="spellStart"/>
      <w:r>
        <w:t>grundvallarreglum</w:t>
      </w:r>
      <w:proofErr w:type="spellEnd"/>
      <w:r>
        <w:t xml:space="preserve"> um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stofnana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fyrirskipa</w:t>
      </w:r>
      <w:proofErr w:type="spellEnd"/>
      <w:r>
        <w:t xml:space="preserve"> </w:t>
      </w:r>
      <w:proofErr w:type="spellStart"/>
      <w:r>
        <w:t>samhliða</w:t>
      </w:r>
      <w:proofErr w:type="spellEnd"/>
      <w:r>
        <w:t xml:space="preserve"> </w:t>
      </w:r>
      <w:proofErr w:type="spellStart"/>
      <w:r>
        <w:t>afgreiðslu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einnar</w:t>
      </w:r>
      <w:proofErr w:type="spellEnd"/>
      <w:r>
        <w:t>.</w:t>
      </w:r>
      <w:r w:rsidR="00AA06A9">
        <w:t xml:space="preserve"> </w:t>
      </w:r>
      <w:proofErr w:type="spellStart"/>
      <w:r>
        <w:t>Slíkt</w:t>
      </w:r>
      <w:proofErr w:type="spellEnd"/>
      <w:r>
        <w:t xml:space="preserve"> </w:t>
      </w:r>
      <w:proofErr w:type="spellStart"/>
      <w:r w:rsidR="00FA0484">
        <w:t>gæti</w:t>
      </w:r>
      <w:proofErr w:type="spellEnd"/>
      <w:r w:rsidR="00FA0484">
        <w:t xml:space="preserve"> </w:t>
      </w:r>
      <w:proofErr w:type="spellStart"/>
      <w:r w:rsidR="00FA0484">
        <w:t>torveldað</w:t>
      </w:r>
      <w:proofErr w:type="spellEnd"/>
      <w:r w:rsidR="00FA0484">
        <w:t xml:space="preserve"> </w:t>
      </w:r>
      <w:proofErr w:type="spellStart"/>
      <w:r w:rsidR="00FA0484">
        <w:t>þessum</w:t>
      </w:r>
      <w:proofErr w:type="spellEnd"/>
      <w:r w:rsidR="00FA0484">
        <w:t xml:space="preserve"> </w:t>
      </w:r>
      <w:proofErr w:type="spellStart"/>
      <w:r w:rsidR="00FA0484">
        <w:t>stofnunum</w:t>
      </w:r>
      <w:proofErr w:type="spellEnd"/>
      <w:r w:rsidR="00FA0484">
        <w:t xml:space="preserve"> </w:t>
      </w:r>
      <w:proofErr w:type="spellStart"/>
      <w:r w:rsidR="00FA0484">
        <w:t>að</w:t>
      </w:r>
      <w:proofErr w:type="spellEnd"/>
      <w:r w:rsidR="00FA0484">
        <w:t xml:space="preserve"> </w:t>
      </w:r>
      <w:proofErr w:type="spellStart"/>
      <w:r w:rsidR="00FA0484">
        <w:t>vanda</w:t>
      </w:r>
      <w:proofErr w:type="spellEnd"/>
      <w:r w:rsidR="00FA0484">
        <w:t xml:space="preserve"> </w:t>
      </w:r>
      <w:proofErr w:type="spellStart"/>
      <w:r w:rsidR="00FA0484">
        <w:t>til</w:t>
      </w:r>
      <w:proofErr w:type="spellEnd"/>
      <w:r w:rsidR="00FA0484">
        <w:t xml:space="preserve"> </w:t>
      </w:r>
      <w:proofErr w:type="spellStart"/>
      <w:r w:rsidR="00FA0484">
        <w:t>verka</w:t>
      </w:r>
      <w:proofErr w:type="spellEnd"/>
      <w:r w:rsidR="00FA0484">
        <w:t xml:space="preserve"> </w:t>
      </w:r>
      <w:proofErr w:type="spellStart"/>
      <w:r w:rsidR="00FA0484">
        <w:t>og</w:t>
      </w:r>
      <w:proofErr w:type="spellEnd"/>
      <w:r w:rsidR="00FA0484">
        <w:t xml:space="preserve"> </w:t>
      </w:r>
      <w:proofErr w:type="spellStart"/>
      <w:r w:rsidR="00FA0484">
        <w:t>að</w:t>
      </w:r>
      <w:proofErr w:type="spellEnd"/>
      <w:r w:rsidR="00FA0484">
        <w:t xml:space="preserve"> </w:t>
      </w:r>
      <w:proofErr w:type="spellStart"/>
      <w:r w:rsidR="00FA0484">
        <w:t>rannsóknir</w:t>
      </w:r>
      <w:proofErr w:type="spellEnd"/>
      <w:r w:rsidR="00FA0484">
        <w:t xml:space="preserve"> </w:t>
      </w:r>
      <w:proofErr w:type="spellStart"/>
      <w:r w:rsidR="00FA0484">
        <w:t>hvorrar</w:t>
      </w:r>
      <w:proofErr w:type="spellEnd"/>
      <w:r w:rsidR="00FA0484">
        <w:t xml:space="preserve"> um sig </w:t>
      </w:r>
      <w:proofErr w:type="spellStart"/>
      <w:r w:rsidR="00FA0484">
        <w:t>verði</w:t>
      </w:r>
      <w:proofErr w:type="spellEnd"/>
      <w:r w:rsidR="00FA0484">
        <w:t xml:space="preserve"> </w:t>
      </w:r>
      <w:proofErr w:type="spellStart"/>
      <w:r w:rsidR="00FA0484">
        <w:t>sjálfstæðar</w:t>
      </w:r>
      <w:proofErr w:type="spellEnd"/>
      <w:r w:rsidR="00FA0484">
        <w:t>.</w:t>
      </w:r>
      <w:r>
        <w:t xml:space="preserve">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þrátt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4. </w:t>
      </w:r>
      <w:proofErr w:type="spellStart"/>
      <w:r>
        <w:t>og</w:t>
      </w:r>
      <w:proofErr w:type="spellEnd"/>
      <w:r>
        <w:t xml:space="preserve"> 12. gr. </w:t>
      </w:r>
      <w:proofErr w:type="spellStart"/>
      <w:r>
        <w:t>laga</w:t>
      </w:r>
      <w:proofErr w:type="spellEnd"/>
      <w:r>
        <w:t xml:space="preserve"> nr. 101/2019 um </w:t>
      </w:r>
      <w:proofErr w:type="spellStart"/>
      <w:r>
        <w:t>samtímis</w:t>
      </w:r>
      <w:proofErr w:type="spellEnd"/>
      <w:r>
        <w:t xml:space="preserve"> </w:t>
      </w:r>
      <w:proofErr w:type="spellStart"/>
      <w:r>
        <w:t>afhendingu</w:t>
      </w:r>
      <w:proofErr w:type="spellEnd"/>
      <w:r>
        <w:t xml:space="preserve"> </w:t>
      </w:r>
      <w:proofErr w:type="spellStart"/>
      <w:r>
        <w:t>umsókna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auglýsingu</w:t>
      </w:r>
      <w:proofErr w:type="spellEnd"/>
      <w:r>
        <w:t xml:space="preserve"> </w:t>
      </w:r>
      <w:proofErr w:type="spellStart"/>
      <w:r>
        <w:t>leyfanna</w:t>
      </w:r>
      <w:proofErr w:type="spellEnd"/>
      <w:r>
        <w:t xml:space="preserve"> á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tíma</w:t>
      </w:r>
      <w:proofErr w:type="spellEnd"/>
      <w:r w:rsidRPr="003C76D0">
        <w:t xml:space="preserve">.  </w:t>
      </w:r>
      <w:proofErr w:type="spellStart"/>
      <w:r w:rsidRPr="003C76D0">
        <w:rPr>
          <w:u w:val="single"/>
        </w:rPr>
        <w:t>Þau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lagaákvæði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orka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tvímælis</w:t>
      </w:r>
      <w:proofErr w:type="spellEnd"/>
      <w:r w:rsidRPr="003C76D0">
        <w:rPr>
          <w:u w:val="single"/>
        </w:rPr>
        <w:t>.</w:t>
      </w:r>
    </w:p>
    <w:p w14:paraId="7630B5FC" w14:textId="77777777" w:rsidR="000A7BA6" w:rsidRPr="003C76D0" w:rsidRDefault="000A7BA6" w:rsidP="000A7BA6"/>
    <w:p w14:paraId="45C27564" w14:textId="77777777" w:rsidR="000A7BA6" w:rsidRDefault="000A7BA6" w:rsidP="000A7BA6">
      <w:pPr>
        <w:rPr>
          <w:i/>
        </w:rPr>
      </w:pPr>
      <w:r w:rsidRPr="00AA72BA">
        <w:rPr>
          <w:i/>
        </w:rPr>
        <w:t xml:space="preserve">12. gr. </w:t>
      </w:r>
      <w:proofErr w:type="spellStart"/>
      <w:r w:rsidRPr="00AA72BA">
        <w:rPr>
          <w:i/>
        </w:rPr>
        <w:t>Umsókn</w:t>
      </w:r>
      <w:proofErr w:type="spellEnd"/>
      <w:r w:rsidRPr="00AA72BA">
        <w:rPr>
          <w:i/>
        </w:rPr>
        <w:t xml:space="preserve"> um </w:t>
      </w:r>
      <w:proofErr w:type="spellStart"/>
      <w:r w:rsidRPr="00AA72BA">
        <w:rPr>
          <w:i/>
        </w:rPr>
        <w:t>nýtt</w:t>
      </w:r>
      <w:proofErr w:type="spellEnd"/>
      <w:r w:rsidRPr="00AA72BA">
        <w:rPr>
          <w:i/>
        </w:rPr>
        <w:t xml:space="preserve"> </w:t>
      </w:r>
      <w:proofErr w:type="spellStart"/>
      <w:r w:rsidRPr="00AA72BA">
        <w:rPr>
          <w:i/>
        </w:rPr>
        <w:t>rekstrarleyfi</w:t>
      </w:r>
      <w:proofErr w:type="spellEnd"/>
      <w:r w:rsidRPr="00AA72BA">
        <w:rPr>
          <w:i/>
        </w:rPr>
        <w:t>.</w:t>
      </w:r>
    </w:p>
    <w:p w14:paraId="34737BC8" w14:textId="4E869190" w:rsidR="000A7BA6" w:rsidRDefault="000A7BA6" w:rsidP="000A7BA6">
      <w:r>
        <w:t xml:space="preserve">Í 3. </w:t>
      </w:r>
      <w:proofErr w:type="spellStart"/>
      <w:r>
        <w:t>tl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orðað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umsækjandi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fullnægjandi</w:t>
      </w:r>
      <w:proofErr w:type="spellEnd"/>
      <w:r>
        <w:t xml:space="preserve"> </w:t>
      </w:r>
      <w:proofErr w:type="spellStart"/>
      <w:r>
        <w:t>fagþekkingu</w:t>
      </w:r>
      <w:proofErr w:type="spellEnd"/>
      <w:r>
        <w:t xml:space="preserve"> á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sviði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aðgang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.  </w:t>
      </w:r>
      <w:proofErr w:type="spellStart"/>
      <w:r>
        <w:t>Orðunum</w:t>
      </w:r>
      <w:proofErr w:type="spellEnd"/>
      <w:r>
        <w:t xml:space="preserve"> „</w:t>
      </w:r>
      <w:proofErr w:type="spellStart"/>
      <w:r>
        <w:t>eða</w:t>
      </w:r>
      <w:proofErr w:type="spellEnd"/>
      <w:r>
        <w:t xml:space="preserve"> </w:t>
      </w:r>
      <w:proofErr w:type="spellStart"/>
      <w:r>
        <w:t>aðgang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>
        <w:t>henni</w:t>
      </w:r>
      <w:proofErr w:type="spellEnd"/>
      <w:r>
        <w:t xml:space="preserve">“ </w:t>
      </w:r>
      <w:proofErr w:type="spellStart"/>
      <w:r>
        <w:t>er</w:t>
      </w:r>
      <w:proofErr w:type="spellEnd"/>
      <w:proofErr w:type="gramEnd"/>
      <w:r>
        <w:t xml:space="preserve"> </w:t>
      </w:r>
      <w:proofErr w:type="spellStart"/>
      <w:r>
        <w:t>ofaukið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 w:rsidRPr="003C76D0">
        <w:rPr>
          <w:u w:val="single"/>
        </w:rPr>
        <w:t>lagaheimild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er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hér</w:t>
      </w:r>
      <w:proofErr w:type="spellEnd"/>
      <w:r w:rsidRPr="003C76D0">
        <w:rPr>
          <w:u w:val="single"/>
        </w:rPr>
        <w:t xml:space="preserve"> ekki </w:t>
      </w:r>
      <w:proofErr w:type="spellStart"/>
      <w:r w:rsidRPr="003C76D0">
        <w:rPr>
          <w:u w:val="single"/>
        </w:rPr>
        <w:t>fyrir</w:t>
      </w:r>
      <w:proofErr w:type="spellEnd"/>
      <w:r w:rsidRPr="003C76D0">
        <w:rPr>
          <w:u w:val="single"/>
        </w:rPr>
        <w:t xml:space="preserve"> </w:t>
      </w:r>
      <w:proofErr w:type="spellStart"/>
      <w:r w:rsidRPr="003C76D0">
        <w:rPr>
          <w:u w:val="single"/>
        </w:rPr>
        <w:t>hendi</w:t>
      </w:r>
      <w:proofErr w:type="spellEnd"/>
      <w:r w:rsidRPr="003C76D0">
        <w:rPr>
          <w:u w:val="single"/>
        </w:rPr>
        <w:t xml:space="preserve"> </w:t>
      </w:r>
      <w:r w:rsidR="00AA06A9">
        <w:t xml:space="preserve"> </w:t>
      </w:r>
      <w:proofErr w:type="spellStart"/>
      <w:r>
        <w:t>sbr</w:t>
      </w:r>
      <w:proofErr w:type="spellEnd"/>
      <w:r>
        <w:t xml:space="preserve">. 9. gr. </w:t>
      </w:r>
      <w:proofErr w:type="spellStart"/>
      <w:r>
        <w:t>laga</w:t>
      </w:r>
      <w:proofErr w:type="spellEnd"/>
      <w:r>
        <w:t xml:space="preserve"> nr. 101/2019.       </w:t>
      </w:r>
    </w:p>
    <w:p w14:paraId="4D606D90" w14:textId="77777777" w:rsidR="000A7BA6" w:rsidRPr="00DE791B" w:rsidRDefault="000A7BA6" w:rsidP="000A7BA6">
      <w:pPr>
        <w:rPr>
          <w:i/>
        </w:rPr>
      </w:pPr>
    </w:p>
    <w:p w14:paraId="07581937" w14:textId="77777777" w:rsidR="000A7BA6" w:rsidRDefault="000A7BA6" w:rsidP="000A7BA6">
      <w:pPr>
        <w:rPr>
          <w:i/>
        </w:rPr>
      </w:pPr>
      <w:r w:rsidRPr="00DE791B">
        <w:rPr>
          <w:i/>
        </w:rPr>
        <w:t xml:space="preserve">13. gr. </w:t>
      </w:r>
      <w:proofErr w:type="spellStart"/>
      <w:r w:rsidRPr="00DE791B">
        <w:rPr>
          <w:i/>
        </w:rPr>
        <w:t>Umsókn</w:t>
      </w:r>
      <w:proofErr w:type="spellEnd"/>
      <w:r w:rsidRPr="00DE791B">
        <w:rPr>
          <w:i/>
        </w:rPr>
        <w:t xml:space="preserve"> um </w:t>
      </w:r>
      <w:proofErr w:type="spellStart"/>
      <w:r w:rsidRPr="00DE791B">
        <w:rPr>
          <w:i/>
        </w:rPr>
        <w:t>breytingar</w:t>
      </w:r>
      <w:proofErr w:type="spellEnd"/>
      <w:r w:rsidRPr="00DE791B">
        <w:rPr>
          <w:i/>
        </w:rPr>
        <w:t xml:space="preserve"> á </w:t>
      </w:r>
      <w:proofErr w:type="spellStart"/>
      <w:r w:rsidRPr="00DE791B">
        <w:rPr>
          <w:i/>
        </w:rPr>
        <w:t>gildandi</w:t>
      </w:r>
      <w:proofErr w:type="spellEnd"/>
      <w:r w:rsidRPr="00DE791B">
        <w:rPr>
          <w:i/>
        </w:rPr>
        <w:t xml:space="preserve"> </w:t>
      </w:r>
      <w:proofErr w:type="spellStart"/>
      <w:r w:rsidRPr="00DE791B">
        <w:rPr>
          <w:i/>
        </w:rPr>
        <w:t>rekstrarleyfi</w:t>
      </w:r>
      <w:proofErr w:type="spellEnd"/>
      <w:r w:rsidRPr="00DE791B">
        <w:rPr>
          <w:i/>
        </w:rPr>
        <w:t xml:space="preserve">.  </w:t>
      </w:r>
    </w:p>
    <w:p w14:paraId="1478583B" w14:textId="49F64786" w:rsidR="000A7BA6" w:rsidRDefault="000A7BA6" w:rsidP="000A7BA6">
      <w:proofErr w:type="spellStart"/>
      <w:r>
        <w:t>Vakin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því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um </w:t>
      </w:r>
      <w:proofErr w:type="spellStart"/>
      <w:r>
        <w:t>breytingu</w:t>
      </w:r>
      <w:proofErr w:type="spellEnd"/>
      <w:r>
        <w:t xml:space="preserve"> á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hlýtur</w:t>
      </w:r>
      <w:proofErr w:type="spellEnd"/>
      <w:r>
        <w:t xml:space="preserve"> </w:t>
      </w:r>
      <w:proofErr w:type="spellStart"/>
      <w:r>
        <w:t>eðli</w:t>
      </w:r>
      <w:proofErr w:type="spellEnd"/>
      <w:r>
        <w:t xml:space="preserve"> </w:t>
      </w:r>
      <w:proofErr w:type="spellStart"/>
      <w:r>
        <w:t>málsins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jafngilda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um </w:t>
      </w:r>
      <w:proofErr w:type="spellStart"/>
      <w:r>
        <w:t>nýtt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ákvæði</w:t>
      </w:r>
      <w:proofErr w:type="spellEnd"/>
      <w:r>
        <w:t xml:space="preserve"> í </w:t>
      </w:r>
      <w:proofErr w:type="spellStart"/>
      <w:r>
        <w:t>lokamálsgrein</w:t>
      </w:r>
      <w:proofErr w:type="spellEnd"/>
      <w:r>
        <w:t xml:space="preserve"> 12. gr. </w:t>
      </w:r>
      <w:proofErr w:type="spellStart"/>
      <w:r>
        <w:t>núgildandi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nr. 1170/2015,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umsækjandi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breytingum</w:t>
      </w:r>
      <w:proofErr w:type="spellEnd"/>
      <w:r>
        <w:t xml:space="preserve"> á </w:t>
      </w:r>
      <w:proofErr w:type="spellStart"/>
      <w:r>
        <w:t>gildandi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nýja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um </w:t>
      </w:r>
      <w:proofErr w:type="spellStart"/>
      <w:r>
        <w:t>rekstrarleyfi</w:t>
      </w:r>
      <w:proofErr w:type="spellEnd"/>
      <w:r>
        <w:t>.</w:t>
      </w:r>
      <w:r w:rsidR="00AA06A9"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fessa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texta</w:t>
      </w:r>
      <w:proofErr w:type="spellEnd"/>
      <w:r>
        <w:t xml:space="preserve"> 13. </w:t>
      </w:r>
      <w:proofErr w:type="spellStart"/>
      <w:r>
        <w:t>greinar</w:t>
      </w:r>
      <w:proofErr w:type="spellEnd"/>
      <w:r>
        <w:t xml:space="preserve"> </w:t>
      </w:r>
      <w:proofErr w:type="spellStart"/>
      <w:r>
        <w:t>heimild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rekstrarleyfum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spýtur</w:t>
      </w:r>
      <w:proofErr w:type="spellEnd"/>
      <w:r>
        <w:t>.</w:t>
      </w:r>
    </w:p>
    <w:p w14:paraId="67DD9677" w14:textId="77777777" w:rsidR="000A7BA6" w:rsidRDefault="000A7BA6" w:rsidP="000A7BA6"/>
    <w:p w14:paraId="3AE24010" w14:textId="77777777" w:rsidR="000A7BA6" w:rsidRPr="00D670F8" w:rsidRDefault="000A7BA6" w:rsidP="000A7BA6">
      <w:r w:rsidRPr="00744FC1">
        <w:rPr>
          <w:i/>
        </w:rPr>
        <w:t xml:space="preserve">16. gr. </w:t>
      </w:r>
      <w:proofErr w:type="spellStart"/>
      <w:r w:rsidRPr="00744FC1">
        <w:rPr>
          <w:i/>
        </w:rPr>
        <w:t>Fra</w:t>
      </w:r>
      <w:r>
        <w:rPr>
          <w:i/>
        </w:rPr>
        <w:t>msending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umsókna</w:t>
      </w:r>
      <w:proofErr w:type="spellEnd"/>
      <w:r>
        <w:rPr>
          <w:i/>
        </w:rPr>
        <w:t xml:space="preserve"> um </w:t>
      </w:r>
      <w:proofErr w:type="spellStart"/>
      <w:r>
        <w:rPr>
          <w:i/>
        </w:rPr>
        <w:t>starfsleyfi</w:t>
      </w:r>
      <w:proofErr w:type="spellEnd"/>
      <w:r>
        <w:rPr>
          <w:i/>
        </w:rPr>
        <w:t>,</w:t>
      </w:r>
    </w:p>
    <w:p w14:paraId="14C08C78" w14:textId="77777777" w:rsidR="000A7BA6" w:rsidRDefault="000A7BA6" w:rsidP="000A7BA6">
      <w:pPr>
        <w:rPr>
          <w:i/>
        </w:rPr>
      </w:pPr>
      <w:r>
        <w:rPr>
          <w:i/>
        </w:rPr>
        <w:t xml:space="preserve">17. gr. </w:t>
      </w:r>
      <w:proofErr w:type="spellStart"/>
      <w:r>
        <w:rPr>
          <w:i/>
        </w:rPr>
        <w:t>Afhending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leyfa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</w:t>
      </w:r>
      <w:proofErr w:type="spellEnd"/>
    </w:p>
    <w:p w14:paraId="39D9853A" w14:textId="77777777" w:rsidR="000A7BA6" w:rsidRPr="00744FC1" w:rsidRDefault="000A7BA6" w:rsidP="000A7BA6">
      <w:pPr>
        <w:rPr>
          <w:i/>
        </w:rPr>
      </w:pPr>
      <w:r>
        <w:rPr>
          <w:i/>
        </w:rPr>
        <w:t xml:space="preserve">21. gr. </w:t>
      </w:r>
      <w:proofErr w:type="spellStart"/>
      <w:r>
        <w:rPr>
          <w:i/>
        </w:rPr>
        <w:t>Auglýsing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tillögu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rekstrarleyfi</w:t>
      </w:r>
      <w:proofErr w:type="spellEnd"/>
      <w:r>
        <w:rPr>
          <w:i/>
        </w:rPr>
        <w:t>.</w:t>
      </w:r>
    </w:p>
    <w:p w14:paraId="36A71B53" w14:textId="77777777" w:rsidR="00AA06A9" w:rsidRDefault="00AA06A9" w:rsidP="000A7BA6"/>
    <w:p w14:paraId="68D8CD4C" w14:textId="0822B5DA" w:rsidR="000A7BA6" w:rsidRDefault="000A7BA6" w:rsidP="000A7BA6">
      <w:proofErr w:type="spellStart"/>
      <w:r>
        <w:t>Hér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gerðar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11. gr.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ofan</w:t>
      </w:r>
      <w:proofErr w:type="spellEnd"/>
      <w:r>
        <w:t>.</w:t>
      </w:r>
    </w:p>
    <w:p w14:paraId="6048C489" w14:textId="77777777" w:rsidR="000A7BA6" w:rsidRDefault="000A7BA6" w:rsidP="000A7BA6"/>
    <w:p w14:paraId="3AC3FAD1" w14:textId="77777777" w:rsidR="00331B7C" w:rsidRDefault="000A7BA6" w:rsidP="000A7BA6">
      <w:pPr>
        <w:rPr>
          <w:i/>
        </w:rPr>
      </w:pPr>
      <w:r w:rsidRPr="00744FC1">
        <w:rPr>
          <w:i/>
        </w:rPr>
        <w:t xml:space="preserve">18. gr. </w:t>
      </w:r>
      <w:proofErr w:type="spellStart"/>
      <w:r w:rsidRPr="00744FC1">
        <w:rPr>
          <w:i/>
        </w:rPr>
        <w:t>Málsmeðferð</w:t>
      </w:r>
      <w:proofErr w:type="spellEnd"/>
      <w:r w:rsidRPr="00744FC1">
        <w:rPr>
          <w:i/>
        </w:rPr>
        <w:t xml:space="preserve"> </w:t>
      </w:r>
      <w:proofErr w:type="spellStart"/>
      <w:r w:rsidRPr="00744FC1">
        <w:rPr>
          <w:i/>
        </w:rPr>
        <w:t>umsóknar.</w:t>
      </w:r>
      <w:proofErr w:type="spellEnd"/>
    </w:p>
    <w:p w14:paraId="46EC73E1" w14:textId="6931E8FC" w:rsidR="000A7BA6" w:rsidRPr="00331B7C" w:rsidRDefault="000A7BA6" w:rsidP="000A7BA6">
      <w:pPr>
        <w:rPr>
          <w:i/>
        </w:rPr>
      </w:pPr>
      <w:r>
        <w:t>Í 3. mgr.</w:t>
      </w:r>
      <w:r w:rsidRPr="00DE791B">
        <w:rPr>
          <w:i/>
        </w:rP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mat á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samrýmist</w:t>
      </w:r>
      <w:proofErr w:type="spellEnd"/>
      <w:r>
        <w:t xml:space="preserve"> </w:t>
      </w:r>
      <w:proofErr w:type="spellStart"/>
      <w:r>
        <w:t>áhættumati</w:t>
      </w:r>
      <w:proofErr w:type="spellEnd"/>
      <w:r>
        <w:t xml:space="preserve"> </w:t>
      </w:r>
      <w:proofErr w:type="spellStart"/>
      <w:r>
        <w:t>erfðablöndunar</w:t>
      </w:r>
      <w:proofErr w:type="spellEnd"/>
      <w:r>
        <w:t xml:space="preserve">. 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matsheimild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 w:rsidRPr="00BA575E">
        <w:rPr>
          <w:u w:val="single"/>
        </w:rPr>
        <w:t>skortir</w:t>
      </w:r>
      <w:proofErr w:type="spellEnd"/>
      <w:r w:rsidRPr="00BA575E">
        <w:rPr>
          <w:u w:val="single"/>
        </w:rPr>
        <w:t xml:space="preserve"> </w:t>
      </w:r>
      <w:proofErr w:type="spellStart"/>
      <w:r w:rsidRPr="00BA575E">
        <w:rPr>
          <w:u w:val="single"/>
        </w:rPr>
        <w:t>laga</w:t>
      </w:r>
      <w:r>
        <w:rPr>
          <w:u w:val="single"/>
        </w:rPr>
        <w:t>stoð</w:t>
      </w:r>
      <w:proofErr w:type="spellEnd"/>
      <w:r>
        <w:t xml:space="preserve">. 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, </w:t>
      </w:r>
      <w:proofErr w:type="spellStart"/>
      <w:r>
        <w:t>ef</w:t>
      </w:r>
      <w:proofErr w:type="spellEnd"/>
      <w:r>
        <w:t xml:space="preserve"> á </w:t>
      </w:r>
      <w:proofErr w:type="spellStart"/>
      <w:r>
        <w:t>þarf</w:t>
      </w:r>
      <w:proofErr w:type="spellEnd"/>
      <w:r w:rsidR="00AA06A9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>
        <w:t>sæi</w:t>
      </w:r>
      <w:proofErr w:type="spellEnd"/>
      <w:r>
        <w:t xml:space="preserve"> um </w:t>
      </w:r>
      <w:proofErr w:type="spellStart"/>
      <w:r>
        <w:t>þetta</w:t>
      </w:r>
      <w:proofErr w:type="spellEnd"/>
      <w:r>
        <w:t xml:space="preserve"> mat,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áhættumat</w:t>
      </w:r>
      <w:proofErr w:type="spellEnd"/>
      <w:r>
        <w:t xml:space="preserve"> </w:t>
      </w:r>
      <w:proofErr w:type="spellStart"/>
      <w:r>
        <w:t>erfðablöndunar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</w:t>
      </w:r>
      <w:proofErr w:type="spellStart"/>
      <w:r>
        <w:t>þeirrar</w:t>
      </w:r>
      <w:proofErr w:type="spellEnd"/>
      <w:r>
        <w:t xml:space="preserve"> </w:t>
      </w:r>
      <w:proofErr w:type="spellStart"/>
      <w:r>
        <w:t>stofnunar</w:t>
      </w:r>
      <w:proofErr w:type="spellEnd"/>
      <w:r>
        <w:t>.</w:t>
      </w:r>
      <w:r w:rsidR="00AA06A9">
        <w:t xml:space="preserve"> </w:t>
      </w:r>
      <w:r>
        <w:t xml:space="preserve">4. mgr. </w:t>
      </w:r>
      <w:proofErr w:type="spellStart"/>
      <w:r>
        <w:t>mælir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fyrirhuguð</w:t>
      </w:r>
      <w:proofErr w:type="spellEnd"/>
      <w:r>
        <w:t xml:space="preserve"> </w:t>
      </w:r>
      <w:proofErr w:type="spellStart"/>
      <w:r>
        <w:t>starfsemi</w:t>
      </w:r>
      <w:proofErr w:type="spellEnd"/>
      <w:r>
        <w:t xml:space="preserve"> </w:t>
      </w:r>
      <w:proofErr w:type="spellStart"/>
      <w:r>
        <w:t>samrýmist</w:t>
      </w:r>
      <w:proofErr w:type="spellEnd"/>
      <w:r>
        <w:t xml:space="preserve"> </w:t>
      </w:r>
      <w:proofErr w:type="spellStart"/>
      <w:r>
        <w:t>skipulagi</w:t>
      </w:r>
      <w:proofErr w:type="spellEnd"/>
      <w:r>
        <w:t xml:space="preserve"> á </w:t>
      </w:r>
      <w:proofErr w:type="spellStart"/>
      <w:r>
        <w:t>svæðinu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skipulagslögum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um </w:t>
      </w:r>
      <w:proofErr w:type="spellStart"/>
      <w:r>
        <w:t>skipulag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strandsvæða</w:t>
      </w:r>
      <w:proofErr w:type="spellEnd"/>
      <w:r>
        <w:t>.</w:t>
      </w:r>
      <w:r w:rsidR="00AA06A9">
        <w:t xml:space="preserve"> </w:t>
      </w:r>
      <w:proofErr w:type="spellStart"/>
      <w:r>
        <w:t>Nærtækara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Skipulagsstofnun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um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atriði</w:t>
      </w:r>
      <w:proofErr w:type="spellEnd"/>
      <w:r>
        <w:t xml:space="preserve">. 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einhverja</w:t>
      </w:r>
      <w:proofErr w:type="spellEnd"/>
      <w:r>
        <w:t xml:space="preserve"> </w:t>
      </w:r>
      <w:proofErr w:type="spellStart"/>
      <w:r>
        <w:t>skipulagssérfræðinga</w:t>
      </w:r>
      <w:proofErr w:type="spellEnd"/>
      <w:r>
        <w:t xml:space="preserve"> á </w:t>
      </w:r>
      <w:proofErr w:type="spellStart"/>
      <w:r>
        <w:t>sínum</w:t>
      </w:r>
      <w:proofErr w:type="spellEnd"/>
      <w:r>
        <w:t xml:space="preserve"> </w:t>
      </w:r>
      <w:proofErr w:type="spellStart"/>
      <w:r>
        <w:t>snærum</w:t>
      </w:r>
      <w:proofErr w:type="spellEnd"/>
      <w:r>
        <w:t>?</w:t>
      </w:r>
    </w:p>
    <w:p w14:paraId="6D600212" w14:textId="77777777" w:rsidR="00EA6B1B" w:rsidRDefault="00EA6B1B" w:rsidP="000A7BA6"/>
    <w:p w14:paraId="2F9440C7" w14:textId="77777777" w:rsidR="008418B2" w:rsidRDefault="000A7BA6" w:rsidP="000A7BA6">
      <w:r>
        <w:lastRenderedPageBreak/>
        <w:t xml:space="preserve">Í 5. mgr.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höfðu</w:t>
      </w:r>
      <w:proofErr w:type="spellEnd"/>
      <w:r>
        <w:t xml:space="preserve"> </w:t>
      </w:r>
      <w:proofErr w:type="spellStart"/>
      <w:r>
        <w:t>samráði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>
        <w:t>heimilað</w:t>
      </w:r>
      <w:proofErr w:type="spellEnd"/>
      <w:r>
        <w:t xml:space="preserve"> </w:t>
      </w:r>
      <w:proofErr w:type="spellStart"/>
      <w:r>
        <w:t>styttri</w:t>
      </w:r>
      <w:proofErr w:type="spellEnd"/>
      <w:r>
        <w:t xml:space="preserve"> </w:t>
      </w:r>
      <w:proofErr w:type="spellStart"/>
      <w:r>
        <w:t>fjarlægðir</w:t>
      </w:r>
      <w:proofErr w:type="spellEnd"/>
      <w:r>
        <w:t xml:space="preserve"> milli </w:t>
      </w:r>
      <w:proofErr w:type="spellStart"/>
      <w:r>
        <w:t>fiskeldisstöðva</w:t>
      </w:r>
      <w:proofErr w:type="spellEnd"/>
      <w:r>
        <w:t xml:space="preserve"> </w:t>
      </w:r>
      <w:proofErr w:type="spellStart"/>
      <w:r>
        <w:t>ótengdra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.  Í </w:t>
      </w:r>
      <w:proofErr w:type="spellStart"/>
      <w:r>
        <w:t>núgildandi</w:t>
      </w:r>
      <w:proofErr w:type="spellEnd"/>
      <w:r>
        <w:t xml:space="preserve"> </w:t>
      </w:r>
      <w:proofErr w:type="spellStart"/>
      <w:r>
        <w:t>fiskeldisreglugerð</w:t>
      </w:r>
      <w:proofErr w:type="spellEnd"/>
      <w:r>
        <w:t xml:space="preserve"> nr. 1170/2015 </w:t>
      </w:r>
      <w:proofErr w:type="spellStart"/>
      <w:r>
        <w:t>er</w:t>
      </w:r>
      <w:proofErr w:type="spellEnd"/>
      <w:r w:rsidR="00AA06A9">
        <w:t xml:space="preserve"> </w:t>
      </w:r>
      <w:proofErr w:type="spellStart"/>
      <w:r>
        <w:t>ákvæði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heimila</w:t>
      </w:r>
      <w:proofErr w:type="spellEnd"/>
      <w:r>
        <w:t xml:space="preserve"> </w:t>
      </w:r>
      <w:proofErr w:type="spellStart"/>
      <w:r>
        <w:t>styttri</w:t>
      </w:r>
      <w:proofErr w:type="spellEnd"/>
      <w:r>
        <w:t xml:space="preserve"> </w:t>
      </w:r>
      <w:proofErr w:type="spellStart"/>
      <w:r w:rsidRPr="00683E2F">
        <w:rPr>
          <w:u w:val="single"/>
        </w:rPr>
        <w:t>eða</w:t>
      </w:r>
      <w:proofErr w:type="spellEnd"/>
      <w:r w:rsidRPr="00683E2F">
        <w:rPr>
          <w:u w:val="single"/>
        </w:rPr>
        <w:t xml:space="preserve"> </w:t>
      </w:r>
      <w:proofErr w:type="spellStart"/>
      <w:r w:rsidRPr="00683E2F">
        <w:rPr>
          <w:u w:val="single"/>
        </w:rPr>
        <w:t>lengri</w:t>
      </w:r>
      <w:proofErr w:type="spellEnd"/>
      <w:r>
        <w:rPr>
          <w:i/>
        </w:rPr>
        <w:t xml:space="preserve"> </w:t>
      </w:r>
      <w:proofErr w:type="spellStart"/>
      <w:r>
        <w:t>fjarlægðir</w:t>
      </w:r>
      <w:proofErr w:type="spellEnd"/>
      <w:r>
        <w:t xml:space="preserve">. 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einhver</w:t>
      </w:r>
      <w:proofErr w:type="spellEnd"/>
      <w:r>
        <w:t xml:space="preserve"> </w:t>
      </w:r>
      <w:proofErr w:type="spellStart"/>
      <w:r>
        <w:t>ástæða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því</w:t>
      </w:r>
      <w:proofErr w:type="spellEnd"/>
      <w:r>
        <w:t>?</w:t>
      </w:r>
      <w:r w:rsidR="00AA06A9">
        <w:t xml:space="preserve"> </w:t>
      </w:r>
    </w:p>
    <w:p w14:paraId="599BF5BE" w14:textId="77777777" w:rsidR="008418B2" w:rsidRDefault="008418B2" w:rsidP="000A7BA6"/>
    <w:p w14:paraId="7B8EDC47" w14:textId="6585D07B" w:rsidR="000A7BA6" w:rsidRDefault="000A7BA6" w:rsidP="000A7BA6">
      <w:r>
        <w:t xml:space="preserve">Í 6. mgr. </w:t>
      </w:r>
      <w:proofErr w:type="spellStart"/>
      <w:r>
        <w:t>er</w:t>
      </w:r>
      <w:proofErr w:type="spellEnd"/>
      <w:r>
        <w:t xml:space="preserve"> </w:t>
      </w:r>
      <w:proofErr w:type="spellStart"/>
      <w:r>
        <w:t>mælt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kanni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staðsetning</w:t>
      </w:r>
      <w:proofErr w:type="spellEnd"/>
      <w:r>
        <w:t xml:space="preserve"> </w:t>
      </w:r>
      <w:proofErr w:type="spellStart"/>
      <w:r>
        <w:t>sjókvíaeldisstöðvar</w:t>
      </w:r>
      <w:proofErr w:type="spellEnd"/>
      <w:r>
        <w:t xml:space="preserve"> </w:t>
      </w:r>
      <w:proofErr w:type="spellStart"/>
      <w:r>
        <w:t>trufli</w:t>
      </w:r>
      <w:proofErr w:type="spellEnd"/>
      <w:r w:rsidR="00AA06A9">
        <w:t xml:space="preserve"> </w:t>
      </w:r>
      <w:proofErr w:type="spellStart"/>
      <w:r>
        <w:t>siglingar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valdi</w:t>
      </w:r>
      <w:proofErr w:type="spellEnd"/>
      <w:r>
        <w:t xml:space="preserve"> </w:t>
      </w:r>
      <w:proofErr w:type="spellStart"/>
      <w:r>
        <w:t>siglingahættu</w:t>
      </w:r>
      <w:proofErr w:type="spellEnd"/>
      <w:r>
        <w:t xml:space="preserve">.  </w:t>
      </w:r>
      <w:proofErr w:type="spellStart"/>
      <w:r>
        <w:t>Er</w:t>
      </w:r>
      <w:proofErr w:type="spellEnd"/>
      <w:r>
        <w:t xml:space="preserve"> ekki </w:t>
      </w:r>
      <w:proofErr w:type="spellStart"/>
      <w:r>
        <w:t>nærtækara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Samgöngustofa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slíka</w:t>
      </w:r>
      <w:proofErr w:type="spellEnd"/>
      <w:r>
        <w:t xml:space="preserve"> </w:t>
      </w:r>
      <w:proofErr w:type="spellStart"/>
      <w:r>
        <w:t>könnun</w:t>
      </w:r>
      <w:proofErr w:type="spellEnd"/>
      <w:r>
        <w:t>?</w:t>
      </w:r>
    </w:p>
    <w:p w14:paraId="2C22267C" w14:textId="77777777" w:rsidR="00AA06A9" w:rsidRDefault="00AA06A9" w:rsidP="000A7BA6"/>
    <w:p w14:paraId="74FC6C64" w14:textId="76A3AC38" w:rsidR="000A7BA6" w:rsidRDefault="000A7BA6" w:rsidP="000A7BA6">
      <w:r>
        <w:t xml:space="preserve">Í 7. mgr.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aflað</w:t>
      </w:r>
      <w:proofErr w:type="spellEnd"/>
      <w:r>
        <w:t xml:space="preserve"> </w:t>
      </w:r>
      <w:proofErr w:type="spellStart"/>
      <w:r>
        <w:t>umsagnar</w:t>
      </w:r>
      <w:proofErr w:type="spellEnd"/>
      <w:r>
        <w:t xml:space="preserve"> </w:t>
      </w:r>
      <w:proofErr w:type="spellStart"/>
      <w:r>
        <w:t>Fiskistofu</w:t>
      </w:r>
      <w:proofErr w:type="spellEnd"/>
      <w:r>
        <w:t xml:space="preserve">, </w:t>
      </w:r>
      <w:proofErr w:type="spellStart"/>
      <w:r>
        <w:t>Hafrannsóknastofnunar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sveitarstjórnar</w:t>
      </w:r>
      <w:proofErr w:type="spellEnd"/>
      <w:r>
        <w:t xml:space="preserve"> um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náttúrulegar</w:t>
      </w:r>
      <w:proofErr w:type="spellEnd"/>
      <w:r>
        <w:t xml:space="preserve"> </w:t>
      </w:r>
      <w:proofErr w:type="spellStart"/>
      <w:r>
        <w:t>aðstæður</w:t>
      </w:r>
      <w:proofErr w:type="spellEnd"/>
      <w:r>
        <w:t xml:space="preserve"> á </w:t>
      </w:r>
      <w:proofErr w:type="spellStart"/>
      <w:r>
        <w:t>fyrirhuguðu</w:t>
      </w:r>
      <w:proofErr w:type="spellEnd"/>
      <w:r>
        <w:t xml:space="preserve"> </w:t>
      </w:r>
      <w:proofErr w:type="spellStart"/>
      <w:r>
        <w:t>starfssvæði</w:t>
      </w:r>
      <w:proofErr w:type="spellEnd"/>
      <w:r>
        <w:t xml:space="preserve"> </w:t>
      </w:r>
      <w:proofErr w:type="spellStart"/>
      <w:r>
        <w:t>fiskeldisstöðvar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fyrirhugaðar</w:t>
      </w:r>
      <w:proofErr w:type="spellEnd"/>
      <w:r>
        <w:t xml:space="preserve"> </w:t>
      </w:r>
      <w:proofErr w:type="spellStart"/>
      <w:r>
        <w:t>eldistegundir</w:t>
      </w:r>
      <w:proofErr w:type="spellEnd"/>
      <w:r>
        <w:t xml:space="preserve">, </w:t>
      </w:r>
      <w:proofErr w:type="spellStart"/>
      <w:r>
        <w:t>eldisstofnar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eldisaðferðir</w:t>
      </w:r>
      <w:proofErr w:type="spellEnd"/>
      <w:r>
        <w:t xml:space="preserve"> </w:t>
      </w:r>
      <w:proofErr w:type="spellStart"/>
      <w:r>
        <w:t>gefi</w:t>
      </w:r>
      <w:proofErr w:type="spellEnd"/>
      <w:r>
        <w:t xml:space="preserve"> </w:t>
      </w:r>
      <w:proofErr w:type="spellStart"/>
      <w:r>
        <w:t>tilefni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neikvæðra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-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erfðafræðiáhrifa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leitt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leyfisskyldri</w:t>
      </w:r>
      <w:proofErr w:type="spellEnd"/>
      <w:r>
        <w:t xml:space="preserve"> </w:t>
      </w:r>
      <w:proofErr w:type="spellStart"/>
      <w:r>
        <w:t>starfsemi</w:t>
      </w:r>
      <w:proofErr w:type="spellEnd"/>
      <w:r>
        <w:t>.</w:t>
      </w:r>
      <w:r w:rsidR="00EA6B1B"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málefni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Skipulagsstofnun</w:t>
      </w:r>
      <w:proofErr w:type="spellEnd"/>
      <w:r>
        <w:t xml:space="preserve">, </w:t>
      </w:r>
      <w:proofErr w:type="spellStart"/>
      <w:r>
        <w:t>Umhverfisstofnun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ættu</w:t>
      </w:r>
      <w:proofErr w:type="spellEnd"/>
      <w:r w:rsidR="00AA06A9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fullkönnuð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umhverfismati</w:t>
      </w:r>
      <w:proofErr w:type="spellEnd"/>
      <w:r>
        <w:t xml:space="preserve"> </w:t>
      </w:r>
      <w:proofErr w:type="spellStart"/>
      <w:r>
        <w:t>framkvæmdarinnar</w:t>
      </w:r>
      <w:proofErr w:type="spellEnd"/>
      <w:r>
        <w:t>.</w:t>
      </w:r>
      <w:r w:rsidR="00AA06A9"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sveitarstjórn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venjulega</w:t>
      </w:r>
      <w:proofErr w:type="spellEnd"/>
      <w:r>
        <w:t xml:space="preserve"> </w:t>
      </w:r>
      <w:proofErr w:type="spellStart"/>
      <w:r>
        <w:t>enga</w:t>
      </w:r>
      <w:proofErr w:type="spellEnd"/>
      <w:r>
        <w:t xml:space="preserve"> </w:t>
      </w:r>
      <w:proofErr w:type="spellStart"/>
      <w:r>
        <w:t>sérþekkingu</w:t>
      </w:r>
      <w:proofErr w:type="spellEnd"/>
      <w:r>
        <w:t xml:space="preserve"> um </w:t>
      </w:r>
      <w:proofErr w:type="spellStart"/>
      <w:r>
        <w:t>greind</w:t>
      </w:r>
      <w:proofErr w:type="spellEnd"/>
      <w:r>
        <w:t xml:space="preserve"> </w:t>
      </w:r>
      <w:proofErr w:type="spellStart"/>
      <w:r>
        <w:t>atriði</w:t>
      </w:r>
      <w:proofErr w:type="spellEnd"/>
      <w:r>
        <w:t>.</w:t>
      </w:r>
    </w:p>
    <w:p w14:paraId="12D7334A" w14:textId="77777777" w:rsidR="000A7BA6" w:rsidRDefault="000A7BA6" w:rsidP="000A7BA6">
      <w:pPr>
        <w:rPr>
          <w:i/>
        </w:rPr>
      </w:pPr>
    </w:p>
    <w:p w14:paraId="64D75434" w14:textId="77777777" w:rsidR="000A7BA6" w:rsidRDefault="000A7BA6" w:rsidP="000A7BA6">
      <w:r w:rsidRPr="00E9738F">
        <w:rPr>
          <w:i/>
        </w:rPr>
        <w:t xml:space="preserve">20. gr. </w:t>
      </w:r>
      <w:proofErr w:type="spellStart"/>
      <w:r w:rsidRPr="00E9738F">
        <w:rPr>
          <w:i/>
        </w:rPr>
        <w:t>Efni</w:t>
      </w:r>
      <w:proofErr w:type="spellEnd"/>
      <w:r w:rsidRPr="00E9738F">
        <w:rPr>
          <w:i/>
        </w:rPr>
        <w:t xml:space="preserve"> </w:t>
      </w:r>
      <w:proofErr w:type="spellStart"/>
      <w:r w:rsidRPr="00E9738F">
        <w:rPr>
          <w:i/>
        </w:rPr>
        <w:t>rekstrarleyfis</w:t>
      </w:r>
      <w:proofErr w:type="spellEnd"/>
      <w:r>
        <w:t>.</w:t>
      </w:r>
    </w:p>
    <w:p w14:paraId="33C6432E" w14:textId="448EC8FC" w:rsidR="000A7BA6" w:rsidRDefault="000A7BA6" w:rsidP="000A7BA6">
      <w:r>
        <w:t xml:space="preserve">Í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nokkur</w:t>
      </w:r>
      <w:proofErr w:type="spellEnd"/>
      <w:r>
        <w:t xml:space="preserve"> </w:t>
      </w:r>
      <w:proofErr w:type="spellStart"/>
      <w:r>
        <w:t>atriði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skylt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tiltaka</w:t>
      </w:r>
      <w:proofErr w:type="spellEnd"/>
      <w:r>
        <w:t xml:space="preserve"> í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</w:t>
      </w:r>
      <w:proofErr w:type="spellStart"/>
      <w:r>
        <w:t>reglugerð</w:t>
      </w:r>
      <w:proofErr w:type="spellEnd"/>
      <w:r>
        <w:t xml:space="preserve"> nr. 1170/2015 </w:t>
      </w:r>
      <w:proofErr w:type="spellStart"/>
      <w:r>
        <w:t>sbr</w:t>
      </w:r>
      <w:proofErr w:type="spellEnd"/>
      <w:r>
        <w:t xml:space="preserve">. 14. </w:t>
      </w:r>
      <w:proofErr w:type="spellStart"/>
      <w:r>
        <w:t>og</w:t>
      </w:r>
      <w:proofErr w:type="spellEnd"/>
      <w:r>
        <w:t xml:space="preserve"> 49. gr.  </w:t>
      </w:r>
      <w:proofErr w:type="spellStart"/>
      <w:r>
        <w:t>Ákvæðin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þessi</w:t>
      </w:r>
      <w:proofErr w:type="spellEnd"/>
      <w:r>
        <w:t>:</w:t>
      </w:r>
    </w:p>
    <w:p w14:paraId="67407EBA" w14:textId="77777777" w:rsidR="00AA06A9" w:rsidRDefault="00AA06A9" w:rsidP="000A7BA6">
      <w:pPr>
        <w:rPr>
          <w:u w:val="single"/>
        </w:rPr>
      </w:pPr>
    </w:p>
    <w:p w14:paraId="580C11F4" w14:textId="57014853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varúðarráðstafanir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í veg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fiskur</w:t>
      </w:r>
      <w:proofErr w:type="spellEnd"/>
      <w:r>
        <w:t xml:space="preserve"> </w:t>
      </w:r>
      <w:proofErr w:type="spellStart"/>
      <w:r>
        <w:t>sleppi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eldis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flutnings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um </w:t>
      </w:r>
      <w:proofErr w:type="spellStart"/>
      <w:r>
        <w:t>viðbragðsáætlun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endurheimta</w:t>
      </w:r>
      <w:proofErr w:type="spellEnd"/>
      <w:r>
        <w:t xml:space="preserve"> </w:t>
      </w:r>
      <w:proofErr w:type="spellStart"/>
      <w:r>
        <w:t>fisk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sleppur</w:t>
      </w:r>
      <w:proofErr w:type="spellEnd"/>
      <w:r>
        <w:t>.</w:t>
      </w:r>
    </w:p>
    <w:p w14:paraId="62199A1A" w14:textId="77777777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sem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kveður</w:t>
      </w:r>
      <w:proofErr w:type="spellEnd"/>
      <w:r w:rsidRPr="00EA6B1B">
        <w:rPr>
          <w:u w:val="single"/>
        </w:rPr>
        <w:t xml:space="preserve"> á um </w:t>
      </w:r>
      <w:proofErr w:type="spellStart"/>
      <w:r w:rsidRPr="00EA6B1B">
        <w:rPr>
          <w:u w:val="single"/>
        </w:rPr>
        <w:t>skyldu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til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notkunar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erfðavísa</w:t>
      </w:r>
      <w:proofErr w:type="spellEnd"/>
      <w:r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unnt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rekja</w:t>
      </w:r>
      <w:proofErr w:type="spellEnd"/>
      <w:r>
        <w:t xml:space="preserve"> </w:t>
      </w:r>
      <w:proofErr w:type="spellStart"/>
      <w:r>
        <w:t>uppruna</w:t>
      </w:r>
      <w:proofErr w:type="spellEnd"/>
      <w:r>
        <w:t xml:space="preserve"> </w:t>
      </w:r>
      <w:proofErr w:type="spellStart"/>
      <w:r>
        <w:t>eldislaxa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ákveðinna</w:t>
      </w:r>
      <w:proofErr w:type="spellEnd"/>
      <w:r>
        <w:t xml:space="preserve"> </w:t>
      </w:r>
      <w:proofErr w:type="spellStart"/>
      <w:r>
        <w:t>sjókvíaeldisstöðva</w:t>
      </w:r>
      <w:proofErr w:type="spellEnd"/>
      <w:r>
        <w:t>. (</w:t>
      </w:r>
      <w:proofErr w:type="spellStart"/>
      <w:r>
        <w:t>Ákvæði</w:t>
      </w:r>
      <w:proofErr w:type="spellEnd"/>
      <w:r>
        <w:t xml:space="preserve"> 58. gr. </w:t>
      </w:r>
      <w:proofErr w:type="spellStart"/>
      <w:r>
        <w:t>fjallar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um </w:t>
      </w:r>
      <w:proofErr w:type="spellStart"/>
      <w:r>
        <w:t>skyldu</w:t>
      </w:r>
      <w:proofErr w:type="spellEnd"/>
      <w:r>
        <w:t xml:space="preserve"> </w:t>
      </w:r>
      <w:proofErr w:type="spellStart"/>
      <w:r>
        <w:t>framleiðenda</w:t>
      </w:r>
      <w:proofErr w:type="spellEnd"/>
      <w:r>
        <w:t xml:space="preserve"> </w:t>
      </w:r>
      <w:proofErr w:type="spellStart"/>
      <w:r>
        <w:t>laxahrogna</w:t>
      </w:r>
      <w:proofErr w:type="spellEnd"/>
      <w:r>
        <w:t>.)</w:t>
      </w:r>
    </w:p>
    <w:p w14:paraId="50D54019" w14:textId="4F5D95CB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þar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sem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kveðið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er</w:t>
      </w:r>
      <w:proofErr w:type="spellEnd"/>
      <w:r w:rsidRPr="00EA6B1B">
        <w:rPr>
          <w:u w:val="single"/>
        </w:rPr>
        <w:t xml:space="preserve"> á um </w:t>
      </w:r>
      <w:proofErr w:type="spellStart"/>
      <w:r w:rsidRPr="00EA6B1B">
        <w:rPr>
          <w:u w:val="single"/>
        </w:rPr>
        <w:t>skyldu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til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notkunar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utanáliggjandi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merkinga</w:t>
      </w:r>
      <w:proofErr w:type="spellEnd"/>
      <w:r w:rsidRPr="00EA6B1B">
        <w:rPr>
          <w:u w:val="single"/>
        </w:rPr>
        <w:t xml:space="preserve"> á </w:t>
      </w:r>
      <w:proofErr w:type="spellStart"/>
      <w:r w:rsidRPr="00EA6B1B">
        <w:rPr>
          <w:u w:val="single"/>
        </w:rPr>
        <w:t>eldislaxi</w:t>
      </w:r>
      <w:proofErr w:type="spellEnd"/>
      <w:r w:rsidRPr="00EA6B1B">
        <w:rPr>
          <w:u w:val="single"/>
        </w:rPr>
        <w:t xml:space="preserve"> í </w:t>
      </w:r>
      <w:proofErr w:type="spellStart"/>
      <w:r w:rsidRPr="00EA6B1B">
        <w:rPr>
          <w:u w:val="single"/>
        </w:rPr>
        <w:t>sjókvíaeldi</w:t>
      </w:r>
      <w:proofErr w:type="spellEnd"/>
      <w:r>
        <w:t>,</w:t>
      </w:r>
      <w:r w:rsidR="00AA06A9"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10% </w:t>
      </w:r>
      <w:proofErr w:type="spellStart"/>
      <w:r>
        <w:t>af</w:t>
      </w:r>
      <w:proofErr w:type="spellEnd"/>
      <w:r>
        <w:t xml:space="preserve"> </w:t>
      </w:r>
      <w:proofErr w:type="spellStart"/>
      <w:r>
        <w:t>útsettum</w:t>
      </w:r>
      <w:proofErr w:type="spellEnd"/>
      <w:r>
        <w:t xml:space="preserve"> </w:t>
      </w:r>
      <w:proofErr w:type="spellStart"/>
      <w:r>
        <w:t>seiðum</w:t>
      </w:r>
      <w:proofErr w:type="spellEnd"/>
      <w:r>
        <w:t xml:space="preserve"> í </w:t>
      </w:r>
      <w:proofErr w:type="spellStart"/>
      <w:r>
        <w:t>sjókvíar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uggaklippt</w:t>
      </w:r>
      <w:proofErr w:type="spellEnd"/>
      <w:r>
        <w:t xml:space="preserve">. 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brýn</w:t>
      </w:r>
      <w:proofErr w:type="spellEnd"/>
      <w:r>
        <w:t xml:space="preserve"> </w:t>
      </w:r>
      <w:proofErr w:type="spellStart"/>
      <w:r>
        <w:t>nauðsyn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ekki</w:t>
      </w:r>
      <w:r w:rsidR="00AA06A9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sjóngreina</w:t>
      </w:r>
      <w:proofErr w:type="spellEnd"/>
      <w:r>
        <w:t xml:space="preserve"> </w:t>
      </w:r>
      <w:proofErr w:type="spellStart"/>
      <w:r>
        <w:t>eldislax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sleppur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seiði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snemma</w:t>
      </w:r>
      <w:proofErr w:type="spellEnd"/>
      <w:r>
        <w:t xml:space="preserve"> á </w:t>
      </w:r>
      <w:proofErr w:type="spellStart"/>
      <w:r>
        <w:t>eldistíma</w:t>
      </w:r>
      <w:proofErr w:type="spellEnd"/>
      <w:r>
        <w:t xml:space="preserve">,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laxi</w:t>
      </w:r>
      <w:proofErr w:type="spellEnd"/>
      <w:r>
        <w:t>.</w:t>
      </w:r>
    </w:p>
    <w:p w14:paraId="10E0AB9B" w14:textId="7A7A244E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lágmarksfjarlægð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hafbeitar</w:t>
      </w:r>
      <w:proofErr w:type="spellEnd"/>
      <w:r w:rsidRPr="00EA6B1B">
        <w:rPr>
          <w:u w:val="single"/>
        </w:rPr>
        <w:t xml:space="preserve">- </w:t>
      </w:r>
      <w:proofErr w:type="spellStart"/>
      <w:r w:rsidRPr="00EA6B1B">
        <w:rPr>
          <w:u w:val="single"/>
        </w:rPr>
        <w:t>og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sjókvíaeldisstöðvar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miða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ekki </w:t>
      </w:r>
      <w:proofErr w:type="spellStart"/>
      <w:r>
        <w:t>nær</w:t>
      </w:r>
      <w:proofErr w:type="spellEnd"/>
      <w:r w:rsidR="00AA06A9">
        <w:t xml:space="preserve"> </w:t>
      </w:r>
      <w:proofErr w:type="spellStart"/>
      <w:r>
        <w:t>laxveiðiám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100 </w:t>
      </w:r>
      <w:proofErr w:type="spellStart"/>
      <w:r>
        <w:t>laxa</w:t>
      </w:r>
      <w:proofErr w:type="spellEnd"/>
      <w:r>
        <w:t xml:space="preserve"> </w:t>
      </w:r>
      <w:proofErr w:type="spellStart"/>
      <w:r>
        <w:t>meðalveiði</w:t>
      </w:r>
      <w:proofErr w:type="spellEnd"/>
      <w:r>
        <w:t xml:space="preserve"> sl. 10 </w:t>
      </w:r>
      <w:proofErr w:type="spellStart"/>
      <w:r>
        <w:t>ár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5 km.  </w:t>
      </w:r>
      <w:proofErr w:type="spellStart"/>
      <w:r>
        <w:t>Sé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500 </w:t>
      </w:r>
      <w:proofErr w:type="spellStart"/>
      <w:r>
        <w:t>laxa</w:t>
      </w:r>
      <w:proofErr w:type="spellEnd"/>
      <w:r>
        <w:t xml:space="preserve"> </w:t>
      </w:r>
      <w:proofErr w:type="spellStart"/>
      <w:r>
        <w:t>meðalveiði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fjarlægðin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15 km,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notaðir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stofnar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nægliggjandi</w:t>
      </w:r>
      <w:proofErr w:type="spellEnd"/>
      <w:r>
        <w:t xml:space="preserve"> </w:t>
      </w:r>
      <w:proofErr w:type="spellStart"/>
      <w:r>
        <w:t>vatnasvæði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geldstofnar</w:t>
      </w:r>
      <w:proofErr w:type="spellEnd"/>
      <w:r>
        <w:t xml:space="preserve">,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stytta</w:t>
      </w:r>
      <w:proofErr w:type="spellEnd"/>
      <w:r>
        <w:t xml:space="preserve"> </w:t>
      </w:r>
      <w:proofErr w:type="spellStart"/>
      <w:r>
        <w:t>fjarlægðina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í 5 km. (</w:t>
      </w:r>
      <w:proofErr w:type="spellStart"/>
      <w:r>
        <w:t>Sjá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nr. 54/2019).</w:t>
      </w:r>
    </w:p>
    <w:p w14:paraId="162408AB" w14:textId="77777777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að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gildistaka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rekstrarleyfis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sé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háð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úttekt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Matvælastofnunar</w:t>
      </w:r>
      <w:proofErr w:type="spellEnd"/>
      <w:r>
        <w:t>.</w:t>
      </w:r>
    </w:p>
    <w:p w14:paraId="2F244886" w14:textId="07BC14D8" w:rsidR="000A7BA6" w:rsidRDefault="000A7BA6" w:rsidP="00EA6B1B">
      <w:pPr>
        <w:pStyle w:val="ListParagraph"/>
        <w:numPr>
          <w:ilvl w:val="0"/>
          <w:numId w:val="17"/>
        </w:numPr>
      </w:pPr>
      <w:proofErr w:type="spellStart"/>
      <w:r w:rsidRPr="00EA6B1B">
        <w:rPr>
          <w:u w:val="single"/>
        </w:rPr>
        <w:t>Ákvæði</w:t>
      </w:r>
      <w:proofErr w:type="spellEnd"/>
      <w:r w:rsidRPr="00EA6B1B">
        <w:rPr>
          <w:u w:val="single"/>
        </w:rPr>
        <w:t xml:space="preserve"> um </w:t>
      </w:r>
      <w:proofErr w:type="spellStart"/>
      <w:r w:rsidRPr="00EA6B1B">
        <w:rPr>
          <w:u w:val="single"/>
        </w:rPr>
        <w:t>sönnun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þess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að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umsækjandi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hafi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keypt</w:t>
      </w:r>
      <w:proofErr w:type="spellEnd"/>
      <w:r w:rsidRPr="00EA6B1B">
        <w:rPr>
          <w:u w:val="single"/>
        </w:rPr>
        <w:t xml:space="preserve"> </w:t>
      </w:r>
      <w:proofErr w:type="spellStart"/>
      <w:r w:rsidRPr="00EA6B1B">
        <w:rPr>
          <w:u w:val="single"/>
        </w:rPr>
        <w:t>tryggingu</w:t>
      </w:r>
      <w:proofErr w:type="spellEnd"/>
      <w:r w:rsidRPr="00EA6B1B">
        <w:rPr>
          <w:u w:val="single"/>
        </w:rPr>
        <w:t>,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fullnægjandi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greiðslu</w:t>
      </w:r>
      <w:proofErr w:type="spellEnd"/>
      <w:r w:rsidR="00AA06A9"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kostnaðar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fjarlægja</w:t>
      </w:r>
      <w:proofErr w:type="spellEnd"/>
      <w:r>
        <w:t xml:space="preserve"> </w:t>
      </w:r>
      <w:proofErr w:type="spellStart"/>
      <w:r>
        <w:t>búnað</w:t>
      </w:r>
      <w:proofErr w:type="spellEnd"/>
      <w:r>
        <w:t xml:space="preserve"> </w:t>
      </w:r>
      <w:proofErr w:type="spellStart"/>
      <w:r>
        <w:t>sjókvíaeldisstövar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hætt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rekstri</w:t>
      </w:r>
      <w:proofErr w:type="spellEnd"/>
      <w:r>
        <w:t xml:space="preserve">, </w:t>
      </w:r>
      <w:proofErr w:type="spellStart"/>
      <w:r>
        <w:t>viðgerð</w:t>
      </w:r>
      <w:proofErr w:type="spellEnd"/>
      <w:r>
        <w:t xml:space="preserve"> á </w:t>
      </w:r>
      <w:proofErr w:type="spellStart"/>
      <w:r>
        <w:t>búnaði</w:t>
      </w:r>
      <w:proofErr w:type="spellEnd"/>
      <w:r>
        <w:t xml:space="preserve">, </w:t>
      </w:r>
      <w:proofErr w:type="spellStart"/>
      <w:r>
        <w:t>hreinsun</w:t>
      </w:r>
      <w:proofErr w:type="spellEnd"/>
      <w:r>
        <w:t xml:space="preserve"> </w:t>
      </w:r>
      <w:proofErr w:type="spellStart"/>
      <w:r>
        <w:t>eldissvæðis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nauðsynlegar</w:t>
      </w:r>
      <w:proofErr w:type="spellEnd"/>
      <w:r>
        <w:t xml:space="preserve"> </w:t>
      </w:r>
      <w:proofErr w:type="spellStart"/>
      <w:r>
        <w:t>ráðstafanir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sjúkdómahættu</w:t>
      </w:r>
      <w:proofErr w:type="spellEnd"/>
      <w:r>
        <w:t>.</w:t>
      </w:r>
      <w:r w:rsidR="00AA06A9">
        <w:t xml:space="preserve"> </w:t>
      </w:r>
      <w:proofErr w:type="spellStart"/>
      <w:r>
        <w:t>Tryggingin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gilda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gildistíma</w:t>
      </w:r>
      <w:proofErr w:type="spellEnd"/>
      <w:r>
        <w:t xml:space="preserve"> </w:t>
      </w:r>
      <w:proofErr w:type="spellStart"/>
      <w:r>
        <w:t>rekstrarleyfis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2 </w:t>
      </w:r>
      <w:proofErr w:type="spellStart"/>
      <w:r>
        <w:t>ár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gildistíma</w:t>
      </w:r>
      <w:proofErr w:type="spellEnd"/>
      <w:r>
        <w:t xml:space="preserve"> </w:t>
      </w:r>
      <w:proofErr w:type="spellStart"/>
      <w:r>
        <w:t>loknum</w:t>
      </w:r>
      <w:proofErr w:type="spellEnd"/>
      <w:r>
        <w:t xml:space="preserve">. </w:t>
      </w:r>
      <w:proofErr w:type="spellStart"/>
      <w:r>
        <w:t>Sbr</w:t>
      </w:r>
      <w:proofErr w:type="spellEnd"/>
      <w:r>
        <w:t xml:space="preserve">. 61. gr. </w:t>
      </w:r>
      <w:proofErr w:type="spellStart"/>
      <w:r>
        <w:t>draganna</w:t>
      </w:r>
      <w:proofErr w:type="spellEnd"/>
      <w:r>
        <w:t>.</w:t>
      </w:r>
    </w:p>
    <w:p w14:paraId="1DFF183F" w14:textId="77777777" w:rsidR="000A7BA6" w:rsidRDefault="000A7BA6" w:rsidP="000A7BA6"/>
    <w:p w14:paraId="5E51DB03" w14:textId="77777777" w:rsidR="000A7BA6" w:rsidRPr="003223A7" w:rsidRDefault="000A7BA6" w:rsidP="000A7BA6">
      <w:pPr>
        <w:rPr>
          <w:i/>
        </w:rPr>
      </w:pPr>
      <w:r w:rsidRPr="003223A7">
        <w:rPr>
          <w:i/>
        </w:rPr>
        <w:t xml:space="preserve">22. gr. </w:t>
      </w:r>
      <w:proofErr w:type="spellStart"/>
      <w:r w:rsidRPr="003223A7">
        <w:rPr>
          <w:i/>
        </w:rPr>
        <w:t>Ákvörðun</w:t>
      </w:r>
      <w:proofErr w:type="spellEnd"/>
      <w:r w:rsidRPr="003223A7">
        <w:rPr>
          <w:i/>
        </w:rPr>
        <w:t xml:space="preserve"> um </w:t>
      </w:r>
      <w:proofErr w:type="spellStart"/>
      <w:r w:rsidRPr="003223A7">
        <w:rPr>
          <w:i/>
        </w:rPr>
        <w:t>útgáfu</w:t>
      </w:r>
      <w:proofErr w:type="spellEnd"/>
      <w:r w:rsidRPr="003223A7">
        <w:rPr>
          <w:i/>
        </w:rPr>
        <w:t xml:space="preserve"> </w:t>
      </w:r>
      <w:proofErr w:type="spellStart"/>
      <w:r w:rsidRPr="003223A7">
        <w:rPr>
          <w:i/>
        </w:rPr>
        <w:t>rekstrarleyfis</w:t>
      </w:r>
      <w:proofErr w:type="spellEnd"/>
      <w:r w:rsidRPr="003223A7">
        <w:rPr>
          <w:i/>
        </w:rPr>
        <w:t>.</w:t>
      </w:r>
    </w:p>
    <w:p w14:paraId="4D3AC8DC" w14:textId="0723B875" w:rsidR="000A7BA6" w:rsidRDefault="000A7BA6" w:rsidP="000A7BA6">
      <w:proofErr w:type="spellStart"/>
      <w:r>
        <w:lastRenderedPageBreak/>
        <w:t>Ákvæði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5. mgr.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samræmist</w:t>
      </w:r>
      <w:proofErr w:type="spellEnd"/>
      <w:r>
        <w:t xml:space="preserve"> </w:t>
      </w:r>
      <w:proofErr w:type="spellStart"/>
      <w:r>
        <w:t>burðarþolsmati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6. gr. b.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samræmist</w:t>
      </w:r>
      <w:proofErr w:type="spellEnd"/>
      <w:r>
        <w:t xml:space="preserve"> </w:t>
      </w:r>
      <w:proofErr w:type="spellStart"/>
      <w:r>
        <w:t>staðfestu</w:t>
      </w:r>
      <w:proofErr w:type="spellEnd"/>
      <w:r w:rsidR="00AA06A9">
        <w:t xml:space="preserve"> </w:t>
      </w:r>
      <w:proofErr w:type="spellStart"/>
      <w:r>
        <w:t>áhættumati</w:t>
      </w:r>
      <w:proofErr w:type="spellEnd"/>
      <w:r>
        <w:t xml:space="preserve"> </w:t>
      </w:r>
      <w:proofErr w:type="spellStart"/>
      <w:r>
        <w:t>erfðablöndunar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6. gr. a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.  </w:t>
      </w:r>
      <w:proofErr w:type="spellStart"/>
      <w:r>
        <w:t>Vafasamt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óeðlilegt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heimild</w:t>
      </w:r>
      <w:proofErr w:type="spellEnd"/>
      <w:r>
        <w:t xml:space="preserve">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athugasemd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13. gr.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ákvæði</w:t>
      </w:r>
      <w:proofErr w:type="spellEnd"/>
      <w:r>
        <w:t xml:space="preserve"> 6. gr. a.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. </w:t>
      </w:r>
      <w:proofErr w:type="spellStart"/>
      <w:r>
        <w:t>Áhættumat</w:t>
      </w:r>
      <w:proofErr w:type="spellEnd"/>
      <w:r>
        <w:t xml:space="preserve"> </w:t>
      </w:r>
      <w:proofErr w:type="spellStart"/>
      <w:r>
        <w:t>erfðablöndunar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burðarþolsmat</w:t>
      </w:r>
      <w:proofErr w:type="spellEnd"/>
      <w:r>
        <w:t xml:space="preserve"> á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Hafrannsóknastofnun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ekki </w:t>
      </w:r>
      <w:proofErr w:type="spellStart"/>
      <w:r>
        <w:t>Matvælastofnun</w:t>
      </w:r>
      <w:proofErr w:type="spellEnd"/>
      <w:r>
        <w:t>.</w:t>
      </w:r>
    </w:p>
    <w:p w14:paraId="7F942C27" w14:textId="77777777" w:rsidR="00EA6B1B" w:rsidRDefault="00EA6B1B" w:rsidP="000A7BA6"/>
    <w:p w14:paraId="63388DC4" w14:textId="49B9FFB9" w:rsidR="000A7BA6" w:rsidRDefault="000A7BA6" w:rsidP="000A7BA6">
      <w:r>
        <w:t xml:space="preserve">Í 7. mgr.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Matvælastofnun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krefja</w:t>
      </w:r>
      <w:proofErr w:type="spellEnd"/>
      <w:r>
        <w:t xml:space="preserve"> </w:t>
      </w:r>
      <w:proofErr w:type="spellStart"/>
      <w:r>
        <w:t>umsækjanda</w:t>
      </w:r>
      <w:proofErr w:type="spellEnd"/>
      <w:r>
        <w:t xml:space="preserve"> um </w:t>
      </w:r>
      <w:proofErr w:type="spellStart"/>
      <w:r>
        <w:t>sönnun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keypt</w:t>
      </w:r>
      <w:proofErr w:type="spellEnd"/>
      <w:r>
        <w:t xml:space="preserve"> </w:t>
      </w:r>
      <w:proofErr w:type="spellStart"/>
      <w:r>
        <w:t>tryggingu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fjárhæð</w:t>
      </w:r>
      <w:proofErr w:type="spellEnd"/>
      <w:r>
        <w:t xml:space="preserve"> kr. 3.000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tonn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lífmassa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umsækjandi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heimild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rekstrarleyfi</w:t>
      </w:r>
      <w:proofErr w:type="spellEnd"/>
      <w:r>
        <w:t xml:space="preserve">.  </w:t>
      </w:r>
      <w:r>
        <w:rPr>
          <w:u w:val="single"/>
        </w:rPr>
        <w:t xml:space="preserve">Ekki </w:t>
      </w:r>
      <w:proofErr w:type="spellStart"/>
      <w:r>
        <w:rPr>
          <w:u w:val="single"/>
        </w:rPr>
        <w:t>verður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séð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að</w:t>
      </w:r>
      <w:proofErr w:type="spellEnd"/>
      <w:r w:rsidRPr="00077914">
        <w:rPr>
          <w:u w:val="single"/>
        </w:rPr>
        <w:t xml:space="preserve"> </w:t>
      </w:r>
      <w:proofErr w:type="spellStart"/>
      <w:r w:rsidRPr="00077914">
        <w:rPr>
          <w:u w:val="single"/>
        </w:rPr>
        <w:t>lagheimild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upphæð</w:t>
      </w:r>
      <w:proofErr w:type="spellEnd"/>
      <w:r>
        <w:t xml:space="preserve"> </w:t>
      </w:r>
      <w:proofErr w:type="spellStart"/>
      <w:r>
        <w:t>tryggingar</w:t>
      </w:r>
      <w:proofErr w:type="spellEnd"/>
      <w:r>
        <w:t>.</w:t>
      </w:r>
    </w:p>
    <w:p w14:paraId="1FBF3EE1" w14:textId="77777777" w:rsidR="00EA6B1B" w:rsidRDefault="00EA6B1B" w:rsidP="000A7BA6"/>
    <w:p w14:paraId="0BA37CFC" w14:textId="726ECD19" w:rsidR="000A7BA6" w:rsidRDefault="000A7BA6" w:rsidP="000A7BA6">
      <w:proofErr w:type="spellStart"/>
      <w:r>
        <w:t>Vísast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texta</w:t>
      </w:r>
      <w:proofErr w:type="spellEnd"/>
      <w:r>
        <w:t xml:space="preserve"> í 3. mgr. 14. gr.  </w:t>
      </w:r>
      <w:proofErr w:type="spellStart"/>
      <w:r>
        <w:t>reglugerðar</w:t>
      </w:r>
      <w:proofErr w:type="spellEnd"/>
      <w:r>
        <w:t xml:space="preserve"> nr. 1170/2015.</w:t>
      </w:r>
    </w:p>
    <w:p w14:paraId="19FE8ECA" w14:textId="77777777" w:rsidR="000A7BA6" w:rsidRPr="00077914" w:rsidRDefault="000A7BA6" w:rsidP="000A7BA6">
      <w:pPr>
        <w:rPr>
          <w:i/>
        </w:rPr>
      </w:pPr>
    </w:p>
    <w:p w14:paraId="55B89A8C" w14:textId="77777777" w:rsidR="000A7BA6" w:rsidRDefault="000A7BA6" w:rsidP="000A7BA6">
      <w:pPr>
        <w:rPr>
          <w:i/>
        </w:rPr>
      </w:pPr>
      <w:r w:rsidRPr="00077914">
        <w:rPr>
          <w:i/>
        </w:rPr>
        <w:t xml:space="preserve">23. gr. </w:t>
      </w:r>
      <w:proofErr w:type="spellStart"/>
      <w:r w:rsidRPr="00077914">
        <w:rPr>
          <w:i/>
        </w:rPr>
        <w:t>Birting</w:t>
      </w:r>
      <w:proofErr w:type="spellEnd"/>
      <w:r w:rsidRPr="00077914">
        <w:rPr>
          <w:i/>
        </w:rPr>
        <w:t xml:space="preserve"> </w:t>
      </w:r>
      <w:proofErr w:type="spellStart"/>
      <w:r w:rsidRPr="00077914">
        <w:rPr>
          <w:i/>
        </w:rPr>
        <w:t>rekstrarleyfis</w:t>
      </w:r>
      <w:proofErr w:type="spellEnd"/>
      <w:r w:rsidRPr="00077914">
        <w:rPr>
          <w:i/>
        </w:rPr>
        <w:t>.</w:t>
      </w:r>
    </w:p>
    <w:p w14:paraId="7A41AA8C" w14:textId="4049DC62" w:rsidR="000A7BA6" w:rsidRDefault="000A7BA6" w:rsidP="000A7BA6">
      <w:proofErr w:type="spellStart"/>
      <w:r>
        <w:t>Ákvæðið</w:t>
      </w:r>
      <w:proofErr w:type="spellEnd"/>
      <w:r>
        <w:t xml:space="preserve"> </w:t>
      </w:r>
      <w:proofErr w:type="spellStart"/>
      <w:r>
        <w:t>tiltekur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birting</w:t>
      </w:r>
      <w:proofErr w:type="spellEnd"/>
      <w:r>
        <w:t xml:space="preserve"> á </w:t>
      </w:r>
      <w:proofErr w:type="spellStart"/>
      <w:r>
        <w:t>vefsíðu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teljist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opinber</w:t>
      </w:r>
      <w:proofErr w:type="spellEnd"/>
      <w:r>
        <w:t xml:space="preserve"> </w:t>
      </w:r>
      <w:proofErr w:type="spellStart"/>
      <w:r>
        <w:t>birting</w:t>
      </w:r>
      <w:proofErr w:type="spellEnd"/>
      <w:r>
        <w:t>.</w:t>
      </w:r>
      <w:r w:rsidR="008418B2"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 w:rsidR="008418B2">
        <w:t>að</w:t>
      </w:r>
      <w:proofErr w:type="spellEnd"/>
      <w:r w:rsidR="008418B2">
        <w:t xml:space="preserve"> </w:t>
      </w:r>
      <w:proofErr w:type="spellStart"/>
      <w:r w:rsidR="008418B2">
        <w:t>vefsíða</w:t>
      </w:r>
      <w:proofErr w:type="spellEnd"/>
      <w:r w:rsidR="008418B2">
        <w:t xml:space="preserve"> </w:t>
      </w:r>
      <w:proofErr w:type="spellStart"/>
      <w:r w:rsidR="008418B2">
        <w:t>stofnunarinnar</w:t>
      </w:r>
      <w:proofErr w:type="spellEnd"/>
      <w:r w:rsidR="008418B2">
        <w:t xml:space="preserve"> </w:t>
      </w:r>
      <w:proofErr w:type="spellStart"/>
      <w:r w:rsidR="008418B2">
        <w:t>er</w:t>
      </w:r>
      <w:proofErr w:type="spellEnd"/>
      <w:r w:rsidR="008418B2">
        <w:t xml:space="preserve"> </w:t>
      </w:r>
      <w:proofErr w:type="spellStart"/>
      <w:r w:rsidR="008418B2">
        <w:t>fremur</w:t>
      </w:r>
      <w:proofErr w:type="spellEnd"/>
      <w:r w:rsidR="008418B2">
        <w:t xml:space="preserve"> </w:t>
      </w:r>
      <w:proofErr w:type="spellStart"/>
      <w:r w:rsidR="008418B2">
        <w:t>óaðgengileg</w:t>
      </w:r>
      <w:proofErr w:type="spellEnd"/>
      <w:r w:rsidR="008418B2">
        <w:t xml:space="preserve"> </w:t>
      </w:r>
      <w:proofErr w:type="spellStart"/>
      <w:r w:rsidR="008418B2">
        <w:t>væri</w:t>
      </w:r>
      <w:proofErr w:type="spellEnd"/>
      <w:r w:rsidR="008418B2">
        <w:t xml:space="preserve"> </w:t>
      </w:r>
      <w:proofErr w:type="spellStart"/>
      <w:r w:rsidR="008418B2">
        <w:t>til</w:t>
      </w:r>
      <w:proofErr w:type="spellEnd"/>
      <w:r w:rsidR="008418B2">
        <w:t xml:space="preserve"> </w:t>
      </w:r>
      <w:proofErr w:type="spellStart"/>
      <w:r w:rsidR="008418B2">
        <w:t>bóta</w:t>
      </w:r>
      <w:proofErr w:type="spellEnd"/>
      <w:r w:rsidR="008418B2">
        <w:t xml:space="preserve"> </w:t>
      </w:r>
      <w:proofErr w:type="spellStart"/>
      <w:r w:rsidR="008418B2">
        <w:t>að</w:t>
      </w:r>
      <w:proofErr w:type="spellEnd"/>
      <w:r w:rsidR="008418B2"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birta</w:t>
      </w:r>
      <w:proofErr w:type="spellEnd"/>
      <w:r>
        <w:t xml:space="preserve"> í </w:t>
      </w:r>
      <w:proofErr w:type="spellStart"/>
      <w:r>
        <w:t>dagblaði</w:t>
      </w:r>
      <w:proofErr w:type="spellEnd"/>
      <w:r>
        <w:t xml:space="preserve"> </w:t>
      </w:r>
      <w:proofErr w:type="spellStart"/>
      <w:r>
        <w:t>tilkynningu</w:t>
      </w:r>
      <w:proofErr w:type="spellEnd"/>
      <w:r>
        <w:t xml:space="preserve"> um </w:t>
      </w:r>
      <w:proofErr w:type="spellStart"/>
      <w:r>
        <w:t>útgáfu</w:t>
      </w:r>
      <w:proofErr w:type="spellEnd"/>
      <w:r>
        <w:t xml:space="preserve"> </w:t>
      </w:r>
      <w:proofErr w:type="spellStart"/>
      <w:r>
        <w:t>rekstrarleyfa</w:t>
      </w:r>
      <w:proofErr w:type="spellEnd"/>
      <w:r>
        <w:t>.</w:t>
      </w:r>
    </w:p>
    <w:p w14:paraId="4438C587" w14:textId="77777777" w:rsidR="000A7BA6" w:rsidRDefault="000A7BA6" w:rsidP="000A7BA6"/>
    <w:p w14:paraId="50FEB1DF" w14:textId="77777777" w:rsidR="000A7BA6" w:rsidRPr="000A4279" w:rsidRDefault="000A7BA6" w:rsidP="000A7BA6">
      <w:pPr>
        <w:rPr>
          <w:i/>
        </w:rPr>
      </w:pPr>
      <w:r w:rsidRPr="000A4279">
        <w:rPr>
          <w:i/>
        </w:rPr>
        <w:t xml:space="preserve">36. gr. </w:t>
      </w:r>
      <w:proofErr w:type="spellStart"/>
      <w:r w:rsidRPr="000A4279">
        <w:rPr>
          <w:i/>
        </w:rPr>
        <w:t>Merkingar</w:t>
      </w:r>
      <w:proofErr w:type="spellEnd"/>
      <w:r w:rsidRPr="000A4279">
        <w:rPr>
          <w:i/>
        </w:rPr>
        <w:t xml:space="preserve"> </w:t>
      </w:r>
      <w:proofErr w:type="spellStart"/>
      <w:r w:rsidRPr="000A4279">
        <w:rPr>
          <w:i/>
        </w:rPr>
        <w:t>sjókvíaeldisstöðva</w:t>
      </w:r>
      <w:proofErr w:type="spellEnd"/>
      <w:r w:rsidRPr="000A4279">
        <w:rPr>
          <w:i/>
        </w:rPr>
        <w:t>.</w:t>
      </w:r>
    </w:p>
    <w:p w14:paraId="55FA8C15" w14:textId="77777777" w:rsidR="000A7BA6" w:rsidRDefault="000A7BA6" w:rsidP="000A7BA6">
      <w:proofErr w:type="spellStart"/>
      <w:r>
        <w:t>Ákvæði</w:t>
      </w:r>
      <w:proofErr w:type="spellEnd"/>
      <w:r>
        <w:t xml:space="preserve"> í 2. mgr.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óheimilt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stunda</w:t>
      </w:r>
      <w:proofErr w:type="spellEnd"/>
      <w:r>
        <w:t xml:space="preserve"> </w:t>
      </w:r>
      <w:proofErr w:type="spellStart"/>
      <w:r>
        <w:t>veiðar</w:t>
      </w:r>
      <w:proofErr w:type="spellEnd"/>
      <w:r>
        <w:t xml:space="preserve"> </w:t>
      </w:r>
      <w:proofErr w:type="spellStart"/>
      <w:r>
        <w:t>nær</w:t>
      </w:r>
      <w:proofErr w:type="spellEnd"/>
      <w:r>
        <w:t xml:space="preserve"> </w:t>
      </w:r>
      <w:proofErr w:type="spellStart"/>
      <w:r>
        <w:t>jaðri</w:t>
      </w:r>
      <w:proofErr w:type="spellEnd"/>
      <w:r>
        <w:t xml:space="preserve"> </w:t>
      </w:r>
      <w:proofErr w:type="spellStart"/>
      <w:r>
        <w:t>sjókvíaeldisstöðvar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150 m </w:t>
      </w:r>
      <w:proofErr w:type="spellStart"/>
      <w:r>
        <w:t>eða</w:t>
      </w:r>
      <w:proofErr w:type="spellEnd"/>
      <w:r>
        <w:t xml:space="preserve"> sigla </w:t>
      </w:r>
      <w:proofErr w:type="spellStart"/>
      <w:r>
        <w:t>nær</w:t>
      </w:r>
      <w:proofErr w:type="spellEnd"/>
      <w:r>
        <w:t xml:space="preserve"> </w:t>
      </w:r>
      <w:proofErr w:type="spellStart"/>
      <w:r>
        <w:t>jaðri</w:t>
      </w:r>
      <w:proofErr w:type="spellEnd"/>
      <w:r>
        <w:t xml:space="preserve"> </w:t>
      </w:r>
      <w:proofErr w:type="spellStart"/>
      <w:r>
        <w:t>sjókvíaeldisstöðvar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50 m </w:t>
      </w:r>
      <w:proofErr w:type="spellStart"/>
      <w:r w:rsidRPr="00962C73">
        <w:rPr>
          <w:u w:val="single"/>
        </w:rPr>
        <w:t>skortir</w:t>
      </w:r>
      <w:proofErr w:type="spellEnd"/>
      <w:r w:rsidRPr="00962C73">
        <w:rPr>
          <w:u w:val="single"/>
        </w:rPr>
        <w:t xml:space="preserve"> </w:t>
      </w:r>
      <w:proofErr w:type="spellStart"/>
      <w:r w:rsidRPr="00962C73">
        <w:rPr>
          <w:u w:val="single"/>
        </w:rPr>
        <w:t>laga</w:t>
      </w:r>
      <w:r>
        <w:rPr>
          <w:u w:val="single"/>
        </w:rPr>
        <w:t>stoð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gildislaus</w:t>
      </w:r>
      <w:proofErr w:type="spellEnd"/>
      <w:r>
        <w:t>.</w:t>
      </w:r>
    </w:p>
    <w:p w14:paraId="07DCD3D4" w14:textId="77777777" w:rsidR="000A7BA6" w:rsidRDefault="000A7BA6" w:rsidP="000A7BA6"/>
    <w:p w14:paraId="3DB72975" w14:textId="77777777" w:rsidR="000A7BA6" w:rsidRDefault="000A7BA6" w:rsidP="000A7BA6">
      <w:pPr>
        <w:rPr>
          <w:i/>
        </w:rPr>
      </w:pPr>
      <w:r w:rsidRPr="000A4279">
        <w:rPr>
          <w:i/>
        </w:rPr>
        <w:t xml:space="preserve">38. gr. </w:t>
      </w:r>
      <w:proofErr w:type="spellStart"/>
      <w:r w:rsidRPr="000A4279">
        <w:rPr>
          <w:i/>
        </w:rPr>
        <w:t>Innflutningur</w:t>
      </w:r>
      <w:proofErr w:type="spellEnd"/>
      <w:r w:rsidRPr="000A4279">
        <w:rPr>
          <w:i/>
        </w:rPr>
        <w:t xml:space="preserve"> á </w:t>
      </w:r>
      <w:proofErr w:type="spellStart"/>
      <w:r w:rsidRPr="000A4279">
        <w:rPr>
          <w:i/>
        </w:rPr>
        <w:t>notuðum</w:t>
      </w:r>
      <w:proofErr w:type="spellEnd"/>
      <w:r w:rsidRPr="000A4279">
        <w:rPr>
          <w:i/>
        </w:rPr>
        <w:t xml:space="preserve"> </w:t>
      </w:r>
      <w:proofErr w:type="spellStart"/>
      <w:r w:rsidRPr="000A4279">
        <w:rPr>
          <w:i/>
        </w:rPr>
        <w:t>eldisbúnaði</w:t>
      </w:r>
      <w:proofErr w:type="spellEnd"/>
      <w:r w:rsidRPr="000A4279">
        <w:rPr>
          <w:i/>
        </w:rPr>
        <w:t xml:space="preserve">. </w:t>
      </w:r>
    </w:p>
    <w:p w14:paraId="7DC96735" w14:textId="502A6D77" w:rsidR="000A7BA6" w:rsidRDefault="000A7BA6" w:rsidP="000A7BA6">
      <w:proofErr w:type="spellStart"/>
      <w:r>
        <w:t>Ákvæðið</w:t>
      </w:r>
      <w:proofErr w:type="spellEnd"/>
      <w:r>
        <w:t xml:space="preserve"> </w:t>
      </w:r>
      <w:proofErr w:type="spellStart"/>
      <w:r>
        <w:t>bannar</w:t>
      </w:r>
      <w:proofErr w:type="spellEnd"/>
      <w:r>
        <w:t xml:space="preserve"> </w:t>
      </w:r>
      <w:proofErr w:type="spellStart"/>
      <w:r>
        <w:t>innflutning</w:t>
      </w:r>
      <w:proofErr w:type="spellEnd"/>
      <w:r>
        <w:t xml:space="preserve"> á </w:t>
      </w:r>
      <w:proofErr w:type="spellStart"/>
      <w:r>
        <w:t>notuðum</w:t>
      </w:r>
      <w:proofErr w:type="spellEnd"/>
      <w:r>
        <w:t xml:space="preserve"> </w:t>
      </w:r>
      <w:proofErr w:type="spellStart"/>
      <w:r>
        <w:t>eldisbúnaði</w:t>
      </w:r>
      <w:proofErr w:type="spellEnd"/>
      <w:r>
        <w:t xml:space="preserve">.  Í </w:t>
      </w:r>
      <w:proofErr w:type="spellStart"/>
      <w:r>
        <w:t>upptalningu</w:t>
      </w:r>
      <w:proofErr w:type="spellEnd"/>
      <w:r>
        <w:t xml:space="preserve"> </w:t>
      </w:r>
      <w:proofErr w:type="spellStart"/>
      <w:r>
        <w:t>slíks</w:t>
      </w:r>
      <w:proofErr w:type="spellEnd"/>
      <w:r>
        <w:t xml:space="preserve"> </w:t>
      </w:r>
      <w:proofErr w:type="spellStart"/>
      <w:r>
        <w:t>búnaðar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nefna</w:t>
      </w:r>
      <w:proofErr w:type="spellEnd"/>
      <w:r w:rsidR="00EA6B1B">
        <w:t xml:space="preserve"> </w:t>
      </w:r>
      <w:proofErr w:type="spellStart"/>
      <w:r>
        <w:t>brunnbáta</w:t>
      </w:r>
      <w:proofErr w:type="spellEnd"/>
      <w:r>
        <w:t xml:space="preserve">. 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heimild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veitingar</w:t>
      </w:r>
      <w:proofErr w:type="spellEnd"/>
      <w:r>
        <w:t xml:space="preserve"> </w:t>
      </w:r>
      <w:proofErr w:type="spellStart"/>
      <w:r>
        <w:t>undanþágu</w:t>
      </w:r>
      <w:proofErr w:type="spellEnd"/>
      <w:r>
        <w:t xml:space="preserve">,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sannanlega</w:t>
      </w:r>
      <w:proofErr w:type="spellEnd"/>
      <w:r w:rsidR="00EA6B1B">
        <w:t xml:space="preserve"> </w:t>
      </w:r>
      <w:proofErr w:type="spellStart"/>
      <w:r w:rsidRPr="00687542">
        <w:rPr>
          <w:u w:val="single"/>
        </w:rPr>
        <w:t>er</w:t>
      </w:r>
      <w:proofErr w:type="spellEnd"/>
      <w:r w:rsidRPr="00687542">
        <w:rPr>
          <w:u w:val="single"/>
        </w:rPr>
        <w:t xml:space="preserve"> </w:t>
      </w:r>
      <w:proofErr w:type="spellStart"/>
      <w:r w:rsidRPr="00687542">
        <w:rPr>
          <w:u w:val="single"/>
        </w:rP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sótthreinsa</w:t>
      </w:r>
      <w:proofErr w:type="spellEnd"/>
      <w:r>
        <w:t xml:space="preserve"> </w:t>
      </w:r>
      <w:proofErr w:type="spellStart"/>
      <w:r>
        <w:rPr>
          <w:u w:val="single"/>
        </w:rPr>
        <w:t>að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Matvælastofnunar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 w:rsidRPr="00687542">
        <w:rPr>
          <w:u w:val="single"/>
        </w:rPr>
        <w:t>þyki</w:t>
      </w:r>
      <w:proofErr w:type="spellEnd"/>
      <w:r w:rsidRPr="00687542">
        <w:rPr>
          <w:u w:val="single"/>
        </w:rPr>
        <w:t xml:space="preserve"> </w:t>
      </w:r>
      <w:proofErr w:type="spellStart"/>
      <w:r w:rsidRPr="00687542">
        <w:rPr>
          <w:u w:val="single"/>
        </w:rPr>
        <w:t>sannað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berist</w:t>
      </w:r>
      <w:proofErr w:type="spellEnd"/>
      <w:r>
        <w:t xml:space="preserve"> </w:t>
      </w:r>
      <w:proofErr w:type="spellStart"/>
      <w:r>
        <w:t>smitefni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búnaðinum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dýrasjúkdómum</w:t>
      </w:r>
      <w:proofErr w:type="spellEnd"/>
      <w:r>
        <w:t xml:space="preserve">. 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fortakslaust</w:t>
      </w:r>
      <w:proofErr w:type="spellEnd"/>
      <w:r>
        <w:t xml:space="preserve"> </w:t>
      </w:r>
      <w:proofErr w:type="spellStart"/>
      <w:r>
        <w:t>ákvæði</w:t>
      </w:r>
      <w:proofErr w:type="spellEnd"/>
      <w:r w:rsidR="00EA6B1B">
        <w:t xml:space="preserve"> </w:t>
      </w:r>
      <w:r>
        <w:t xml:space="preserve">um </w:t>
      </w:r>
      <w:proofErr w:type="spellStart"/>
      <w:r>
        <w:t>sótthreinsun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innflutningur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óheimill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ekki </w:t>
      </w:r>
      <w:proofErr w:type="spellStart"/>
      <w:r>
        <w:t>fullstaðfest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búnaður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ekki</w:t>
      </w:r>
      <w:r w:rsidR="00EA6B1B">
        <w:t xml:space="preserve"> </w:t>
      </w:r>
      <w:proofErr w:type="spellStart"/>
      <w:r>
        <w:t>smitefni</w:t>
      </w:r>
      <w:proofErr w:type="spellEnd"/>
      <w:r>
        <w:t>.</w:t>
      </w:r>
    </w:p>
    <w:p w14:paraId="32895018" w14:textId="77777777" w:rsidR="000A7BA6" w:rsidRDefault="000A7BA6" w:rsidP="000A7BA6"/>
    <w:p w14:paraId="58D27BAA" w14:textId="77777777" w:rsidR="000A7BA6" w:rsidRPr="00687542" w:rsidRDefault="000A7BA6" w:rsidP="000A7BA6">
      <w:pPr>
        <w:rPr>
          <w:i/>
        </w:rPr>
      </w:pPr>
      <w:r w:rsidRPr="00687542">
        <w:rPr>
          <w:i/>
        </w:rPr>
        <w:t xml:space="preserve">45 gr. </w:t>
      </w:r>
      <w:proofErr w:type="spellStart"/>
      <w:r w:rsidRPr="00687542">
        <w:rPr>
          <w:i/>
        </w:rPr>
        <w:t>Umhirða</w:t>
      </w:r>
      <w:proofErr w:type="spellEnd"/>
      <w:r w:rsidRPr="00687542">
        <w:rPr>
          <w:i/>
        </w:rPr>
        <w:t xml:space="preserve"> </w:t>
      </w:r>
      <w:proofErr w:type="spellStart"/>
      <w:r w:rsidRPr="00687542">
        <w:rPr>
          <w:i/>
        </w:rPr>
        <w:t>fiska</w:t>
      </w:r>
      <w:proofErr w:type="spellEnd"/>
      <w:r w:rsidRPr="00687542">
        <w:rPr>
          <w:i/>
        </w:rPr>
        <w:t>.</w:t>
      </w:r>
    </w:p>
    <w:p w14:paraId="0FE39437" w14:textId="6C986F12" w:rsidR="000A7BA6" w:rsidRDefault="000A7BA6" w:rsidP="000A7BA6">
      <w:proofErr w:type="spellStart"/>
      <w:r>
        <w:t>Heimild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undanþágu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sýktan</w:t>
      </w:r>
      <w:proofErr w:type="spellEnd"/>
      <w:r>
        <w:t xml:space="preserve"> </w:t>
      </w:r>
      <w:proofErr w:type="spellStart"/>
      <w:r>
        <w:t>fisk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ótæk</w:t>
      </w:r>
      <w:proofErr w:type="spellEnd"/>
      <w:r w:rsidR="00EA6B1B"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Pr="00687542">
        <w:rPr>
          <w:u w:val="single"/>
        </w:rPr>
        <w:t>skortir</w:t>
      </w:r>
      <w:proofErr w:type="spellEnd"/>
      <w:r w:rsidRPr="00687542">
        <w:rPr>
          <w:u w:val="single"/>
        </w:rPr>
        <w:t xml:space="preserve"> </w:t>
      </w:r>
      <w:proofErr w:type="spellStart"/>
      <w:r w:rsidRPr="00687542">
        <w:rPr>
          <w:u w:val="single"/>
        </w:rPr>
        <w:t>laga</w:t>
      </w:r>
      <w:r>
        <w:rPr>
          <w:u w:val="single"/>
        </w:rPr>
        <w:t>stoð</w:t>
      </w:r>
      <w:proofErr w:type="spellEnd"/>
      <w:r>
        <w:t>.</w:t>
      </w:r>
    </w:p>
    <w:p w14:paraId="28B9ADBE" w14:textId="77777777" w:rsidR="000A7BA6" w:rsidRDefault="000A7BA6" w:rsidP="000A7BA6"/>
    <w:p w14:paraId="764B087E" w14:textId="77777777" w:rsidR="000A7BA6" w:rsidRDefault="000A7BA6" w:rsidP="000A7BA6">
      <w:pPr>
        <w:rPr>
          <w:i/>
        </w:rPr>
      </w:pPr>
      <w:r w:rsidRPr="007E2A36">
        <w:rPr>
          <w:i/>
        </w:rPr>
        <w:t xml:space="preserve">50. gr. </w:t>
      </w:r>
      <w:proofErr w:type="spellStart"/>
      <w:r w:rsidRPr="007E2A36">
        <w:rPr>
          <w:i/>
        </w:rPr>
        <w:t>Viðbótarreglur</w:t>
      </w:r>
      <w:proofErr w:type="spellEnd"/>
      <w:r w:rsidRPr="007E2A36">
        <w:rPr>
          <w:i/>
        </w:rPr>
        <w:t xml:space="preserve"> um </w:t>
      </w:r>
      <w:proofErr w:type="spellStart"/>
      <w:r w:rsidRPr="007E2A36">
        <w:rPr>
          <w:i/>
        </w:rPr>
        <w:t>innra</w:t>
      </w:r>
      <w:proofErr w:type="spellEnd"/>
      <w:r w:rsidRPr="007E2A36">
        <w:rPr>
          <w:i/>
        </w:rPr>
        <w:t xml:space="preserve"> </w:t>
      </w:r>
      <w:proofErr w:type="spellStart"/>
      <w:r w:rsidRPr="007E2A36">
        <w:rPr>
          <w:i/>
        </w:rPr>
        <w:t>eftirlit</w:t>
      </w:r>
      <w:proofErr w:type="spellEnd"/>
      <w:r w:rsidRPr="007E2A36">
        <w:rPr>
          <w:i/>
        </w:rPr>
        <w:t xml:space="preserve"> </w:t>
      </w:r>
      <w:proofErr w:type="spellStart"/>
      <w:r w:rsidRPr="007E2A36">
        <w:rPr>
          <w:i/>
        </w:rPr>
        <w:t>sjókvíaeldisstöðva</w:t>
      </w:r>
      <w:proofErr w:type="spellEnd"/>
      <w:r w:rsidRPr="007E2A36">
        <w:rPr>
          <w:i/>
        </w:rPr>
        <w:t>.</w:t>
      </w:r>
    </w:p>
    <w:p w14:paraId="4E629EF4" w14:textId="73F54DD5" w:rsidR="000A7BA6" w:rsidRDefault="000A7BA6" w:rsidP="000A7BA6">
      <w:proofErr w:type="spellStart"/>
      <w:r w:rsidRPr="007E2A36">
        <w:t>Ákvæðið</w:t>
      </w:r>
      <w:proofErr w:type="spellEnd"/>
      <w:r w:rsidRPr="007E2A36">
        <w:t xml:space="preserve"> </w:t>
      </w:r>
      <w:proofErr w:type="spellStart"/>
      <w:r w:rsidRPr="007E2A36">
        <w:t>fjallar</w:t>
      </w:r>
      <w:proofErr w:type="spellEnd"/>
      <w:r w:rsidRPr="007E2A36">
        <w:t xml:space="preserve"> um </w:t>
      </w:r>
      <w:proofErr w:type="spellStart"/>
      <w:r w:rsidRPr="007E2A36">
        <w:t>vöktun</w:t>
      </w:r>
      <w:proofErr w:type="spellEnd"/>
      <w:r w:rsidRPr="007E2A36">
        <w:t xml:space="preserve"> á </w:t>
      </w:r>
      <w:proofErr w:type="spellStart"/>
      <w:r w:rsidRPr="007E2A36">
        <w:t>viðkomu</w:t>
      </w:r>
      <w:proofErr w:type="spellEnd"/>
      <w:r w:rsidRPr="007E2A36">
        <w:t xml:space="preserve"> </w:t>
      </w:r>
      <w:proofErr w:type="spellStart"/>
      <w:r w:rsidRPr="007E2A36">
        <w:t>sníkjudýra</w:t>
      </w:r>
      <w:proofErr w:type="spellEnd"/>
      <w:r w:rsidRPr="007E2A36">
        <w:t xml:space="preserve">, </w:t>
      </w:r>
      <w:proofErr w:type="spellStart"/>
      <w:r w:rsidRPr="007E2A36">
        <w:t>svo</w:t>
      </w:r>
      <w:proofErr w:type="spellEnd"/>
      <w:r w:rsidRPr="007E2A36">
        <w:t xml:space="preserve"> </w:t>
      </w:r>
      <w:proofErr w:type="spellStart"/>
      <w:r w:rsidRPr="007E2A36">
        <w:t>sem</w:t>
      </w:r>
      <w:proofErr w:type="spellEnd"/>
      <w:r w:rsidRPr="007E2A36">
        <w:t xml:space="preserve"> </w:t>
      </w:r>
      <w:proofErr w:type="spellStart"/>
      <w:r w:rsidRPr="007E2A36">
        <w:t>laxalúsar</w:t>
      </w:r>
      <w:proofErr w:type="spellEnd"/>
      <w:r w:rsidRPr="007E2A36">
        <w:t>.</w:t>
      </w:r>
      <w:r>
        <w:t xml:space="preserve"> 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VI. </w:t>
      </w:r>
      <w:proofErr w:type="spellStart"/>
      <w:r>
        <w:t>viðauka</w:t>
      </w:r>
      <w:proofErr w:type="spellEnd"/>
      <w:r>
        <w:t>.</w:t>
      </w:r>
      <w:r w:rsidR="00EA6B1B"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um </w:t>
      </w:r>
      <w:proofErr w:type="spellStart"/>
      <w:r>
        <w:t>ásættanlegan</w:t>
      </w:r>
      <w:proofErr w:type="spellEnd"/>
      <w:r>
        <w:t xml:space="preserve"> </w:t>
      </w:r>
      <w:proofErr w:type="spellStart"/>
      <w:r>
        <w:t>viðmiðunarfjölda</w:t>
      </w:r>
      <w:proofErr w:type="spellEnd"/>
      <w:r>
        <w:t xml:space="preserve"> </w:t>
      </w:r>
      <w:proofErr w:type="spellStart"/>
      <w:r>
        <w:t>lúsa</w:t>
      </w:r>
      <w:proofErr w:type="spellEnd"/>
      <w:r>
        <w:t xml:space="preserve"> á </w:t>
      </w:r>
      <w:proofErr w:type="spellStart"/>
      <w:r>
        <w:t>hverjum</w:t>
      </w:r>
      <w:proofErr w:type="spellEnd"/>
      <w:r>
        <w:t xml:space="preserve"> </w:t>
      </w:r>
      <w:proofErr w:type="spellStart"/>
      <w:r>
        <w:t>fiski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meðaltali</w:t>
      </w:r>
      <w:proofErr w:type="spellEnd"/>
      <w:r>
        <w:t>.</w:t>
      </w:r>
      <w:r w:rsidR="00EA6B1B">
        <w:t xml:space="preserve"> </w:t>
      </w:r>
      <w:proofErr w:type="spellStart"/>
      <w:r>
        <w:t>Slíkt</w:t>
      </w:r>
      <w:proofErr w:type="spellEnd"/>
      <w:r>
        <w:t xml:space="preserve"> </w:t>
      </w:r>
      <w:proofErr w:type="spellStart"/>
      <w:r>
        <w:t>viðmiðunarákvæði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gildandi</w:t>
      </w:r>
      <w:proofErr w:type="spellEnd"/>
      <w:r>
        <w:t xml:space="preserve"> í </w:t>
      </w:r>
      <w:proofErr w:type="spellStart"/>
      <w:r>
        <w:t>norsku</w:t>
      </w:r>
      <w:proofErr w:type="spellEnd"/>
      <w:r>
        <w:t xml:space="preserve"> </w:t>
      </w:r>
      <w:proofErr w:type="spellStart"/>
      <w:r>
        <w:t>sjókvíaeldi</w:t>
      </w:r>
      <w:proofErr w:type="spellEnd"/>
      <w:r>
        <w:t xml:space="preserve">. 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hámarksfjöldinn</w:t>
      </w:r>
      <w:proofErr w:type="spellEnd"/>
      <w:r>
        <w:t xml:space="preserve"> </w:t>
      </w:r>
      <w:proofErr w:type="spellStart"/>
      <w:r>
        <w:t>settur</w:t>
      </w:r>
      <w:proofErr w:type="spellEnd"/>
      <w:r>
        <w:t xml:space="preserve"> 0,2 </w:t>
      </w:r>
      <w:proofErr w:type="spellStart"/>
      <w:r>
        <w:t>lýs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meðaltali</w:t>
      </w:r>
      <w:proofErr w:type="spellEnd"/>
      <w:r>
        <w:t xml:space="preserve"> á </w:t>
      </w:r>
      <w:proofErr w:type="spellStart"/>
      <w:r>
        <w:t>hverjum</w:t>
      </w:r>
      <w:proofErr w:type="spellEnd"/>
      <w:r>
        <w:t xml:space="preserve"> </w:t>
      </w:r>
      <w:proofErr w:type="spellStart"/>
      <w:r>
        <w:t>fiski</w:t>
      </w:r>
      <w:proofErr w:type="spellEnd"/>
      <w:r>
        <w:t xml:space="preserve">. 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56. gr. um </w:t>
      </w:r>
      <w:proofErr w:type="spellStart"/>
      <w:r>
        <w:t>skilaskyldu</w:t>
      </w:r>
      <w:proofErr w:type="spellEnd"/>
      <w:r>
        <w:t xml:space="preserve"> </w:t>
      </w:r>
      <w:proofErr w:type="spellStart"/>
      <w:r>
        <w:t>skýrslu</w:t>
      </w:r>
      <w:proofErr w:type="spellEnd"/>
      <w:r>
        <w:t xml:space="preserve"> um </w:t>
      </w:r>
      <w:proofErr w:type="spellStart"/>
      <w:r>
        <w:t>niðurstöður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vöktun</w:t>
      </w:r>
      <w:proofErr w:type="spellEnd"/>
      <w:r>
        <w:t xml:space="preserve"> á </w:t>
      </w:r>
      <w:proofErr w:type="spellStart"/>
      <w:r>
        <w:t>viðkomu</w:t>
      </w:r>
      <w:proofErr w:type="spellEnd"/>
      <w:r>
        <w:t xml:space="preserve"> </w:t>
      </w:r>
      <w:proofErr w:type="spellStart"/>
      <w:r>
        <w:t>snýkjudýra</w:t>
      </w:r>
      <w:proofErr w:type="spellEnd"/>
      <w:r>
        <w:t xml:space="preserve"> í </w:t>
      </w:r>
      <w:proofErr w:type="spellStart"/>
      <w:r>
        <w:t>eldi</w:t>
      </w:r>
      <w:proofErr w:type="spellEnd"/>
      <w:r>
        <w:t>.</w:t>
      </w:r>
    </w:p>
    <w:p w14:paraId="3878C6E4" w14:textId="77777777" w:rsidR="000A7BA6" w:rsidRDefault="000A7BA6" w:rsidP="000A7BA6"/>
    <w:p w14:paraId="01A7D9EB" w14:textId="77777777" w:rsidR="0087571D" w:rsidRDefault="0087571D" w:rsidP="000A7BA6">
      <w:pPr>
        <w:rPr>
          <w:i/>
        </w:rPr>
      </w:pPr>
    </w:p>
    <w:p w14:paraId="35BA6BBE" w14:textId="77777777" w:rsidR="0087571D" w:rsidRDefault="0087571D" w:rsidP="000A7BA6">
      <w:pPr>
        <w:rPr>
          <w:i/>
        </w:rPr>
      </w:pPr>
    </w:p>
    <w:p w14:paraId="0C72E0EA" w14:textId="1F5FB549" w:rsidR="000A7BA6" w:rsidRDefault="000A7BA6" w:rsidP="000A7BA6">
      <w:r w:rsidRPr="007E2A36">
        <w:rPr>
          <w:i/>
        </w:rPr>
        <w:lastRenderedPageBreak/>
        <w:t xml:space="preserve">58. gr. </w:t>
      </w:r>
      <w:proofErr w:type="spellStart"/>
      <w:r w:rsidRPr="007E2A36">
        <w:rPr>
          <w:i/>
        </w:rPr>
        <w:t>Erfðavísar</w:t>
      </w:r>
      <w:proofErr w:type="spellEnd"/>
      <w:r w:rsidRPr="007E2A36">
        <w:rPr>
          <w:i/>
        </w:rPr>
        <w:t xml:space="preserve"> </w:t>
      </w:r>
      <w:proofErr w:type="spellStart"/>
      <w:r w:rsidRPr="007E2A36">
        <w:rPr>
          <w:i/>
        </w:rPr>
        <w:t>eldislaxa</w:t>
      </w:r>
      <w:proofErr w:type="spellEnd"/>
      <w:r>
        <w:t>.</w:t>
      </w:r>
    </w:p>
    <w:p w14:paraId="19C7D6DB" w14:textId="786D0DC6" w:rsidR="000A7BA6" w:rsidRDefault="000A7BA6" w:rsidP="000A7BA6">
      <w:proofErr w:type="spellStart"/>
      <w:r>
        <w:t>Hér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lífsýni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 w:rsidRPr="0003403D">
        <w:rPr>
          <w:u w:val="single"/>
        </w:rPr>
        <w:t>merktum</w:t>
      </w:r>
      <w:proofErr w:type="spellEnd"/>
      <w:r w:rsidRPr="0003403D">
        <w:rPr>
          <w:u w:val="single"/>
        </w:rPr>
        <w:t xml:space="preserve"> </w:t>
      </w:r>
      <w:proofErr w:type="spellStart"/>
      <w:r w:rsidRPr="0003403D">
        <w:rPr>
          <w:u w:val="single"/>
        </w:rPr>
        <w:t>eldislöxum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send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Matvælastofnunar</w:t>
      </w:r>
      <w:proofErr w:type="spellEnd"/>
      <w:r>
        <w:t>.</w:t>
      </w:r>
      <w:r w:rsidR="00EA6B1B">
        <w:t xml:space="preserve"> </w:t>
      </w:r>
      <w:proofErr w:type="spellStart"/>
      <w:r w:rsidR="00EA6B1B">
        <w:t>Til</w:t>
      </w:r>
      <w:proofErr w:type="spellEnd"/>
      <w:r w:rsidR="00EA6B1B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uppfylla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kröfu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inn </w:t>
      </w:r>
      <w:proofErr w:type="spellStart"/>
      <w:r>
        <w:t>ákvæði</w:t>
      </w:r>
      <w:proofErr w:type="spellEnd"/>
      <w:r>
        <w:t xml:space="preserve"> í 20. gr. um </w:t>
      </w:r>
      <w:proofErr w:type="spellStart"/>
      <w:r>
        <w:t>merkingarskyldu</w:t>
      </w:r>
      <w:proofErr w:type="spellEnd"/>
      <w:r w:rsidR="00EA6B1B"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í 2. mgr. 14. gr.  </w:t>
      </w:r>
      <w:proofErr w:type="spellStart"/>
      <w:r>
        <w:t>reglugerðar</w:t>
      </w:r>
      <w:proofErr w:type="spellEnd"/>
      <w:r>
        <w:t xml:space="preserve"> nr. 1170/2015.</w:t>
      </w:r>
      <w:r w:rsidR="00EA6B1B"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á </w:t>
      </w:r>
      <w:proofErr w:type="spellStart"/>
      <w:r>
        <w:t>undan</w:t>
      </w:r>
      <w:proofErr w:type="spellEnd"/>
      <w:r>
        <w:t xml:space="preserve"> um </w:t>
      </w:r>
      <w:proofErr w:type="spellStart"/>
      <w:r>
        <w:t>efni</w:t>
      </w:r>
      <w:proofErr w:type="spellEnd"/>
      <w:r>
        <w:t xml:space="preserve"> 20. gr.</w:t>
      </w:r>
    </w:p>
    <w:p w14:paraId="228A407D" w14:textId="77777777" w:rsidR="000A7BA6" w:rsidRDefault="000A7BA6" w:rsidP="000A7BA6"/>
    <w:p w14:paraId="2CD8C657" w14:textId="77777777" w:rsidR="000A7BA6" w:rsidRPr="0003403D" w:rsidRDefault="000A7BA6" w:rsidP="000A7BA6">
      <w:pPr>
        <w:rPr>
          <w:i/>
        </w:rPr>
      </w:pPr>
      <w:r w:rsidRPr="0003403D">
        <w:rPr>
          <w:i/>
        </w:rPr>
        <w:t xml:space="preserve">64. gr. um </w:t>
      </w:r>
      <w:proofErr w:type="spellStart"/>
      <w:r w:rsidRPr="0003403D">
        <w:rPr>
          <w:i/>
        </w:rPr>
        <w:t>gildistöku</w:t>
      </w:r>
      <w:proofErr w:type="spellEnd"/>
      <w:r w:rsidRPr="0003403D">
        <w:rPr>
          <w:i/>
        </w:rPr>
        <w:t>.</w:t>
      </w:r>
    </w:p>
    <w:p w14:paraId="4387EBE2" w14:textId="10E86B66" w:rsidR="000A7BA6" w:rsidRDefault="000A7BA6" w:rsidP="000A7BA6">
      <w:proofErr w:type="spellStart"/>
      <w:r>
        <w:t>Hér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nr. 401/2012 </w:t>
      </w:r>
      <w:proofErr w:type="spellStart"/>
      <w:r>
        <w:t>haldi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sínu</w:t>
      </w:r>
      <w:proofErr w:type="spellEnd"/>
      <w:r>
        <w:t xml:space="preserve"> </w:t>
      </w:r>
      <w:proofErr w:type="spellStart"/>
      <w:r>
        <w:t>gagnvart</w:t>
      </w:r>
      <w:proofErr w:type="spellEnd"/>
      <w:r>
        <w:t xml:space="preserve"> </w:t>
      </w:r>
      <w:proofErr w:type="spellStart"/>
      <w:r>
        <w:t>rekstrarleyfum</w:t>
      </w:r>
      <w:proofErr w:type="spellEnd"/>
      <w:r>
        <w:t xml:space="preserve"> </w:t>
      </w:r>
      <w:proofErr w:type="spellStart"/>
      <w:r>
        <w:t>gefnum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gildistöku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</w:t>
      </w:r>
      <w:proofErr w:type="spellStart"/>
      <w:r>
        <w:t>þessarar</w:t>
      </w:r>
      <w:proofErr w:type="spellEnd"/>
      <w:r>
        <w:t xml:space="preserve">.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augljóslega</w:t>
      </w:r>
      <w:proofErr w:type="spellEnd"/>
      <w:r>
        <w:t xml:space="preserve"> um </w:t>
      </w:r>
      <w:proofErr w:type="spellStart"/>
      <w:r>
        <w:t>villu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,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nánast</w:t>
      </w:r>
      <w:proofErr w:type="spellEnd"/>
      <w:r>
        <w:t xml:space="preserve">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sjókvíaeldi</w:t>
      </w:r>
      <w:proofErr w:type="spellEnd"/>
      <w:r>
        <w:t xml:space="preserve"> í </w:t>
      </w:r>
      <w:proofErr w:type="spellStart"/>
      <w:r>
        <w:t>gangi</w:t>
      </w:r>
      <w:proofErr w:type="spellEnd"/>
      <w:r>
        <w:t xml:space="preserve"> né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gefin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gildistöku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nr. 401/2012.</w:t>
      </w:r>
      <w:r w:rsidR="00EA6B1B">
        <w:t xml:space="preserve"> </w:t>
      </w:r>
      <w:proofErr w:type="spellStart"/>
      <w:r>
        <w:t>Hlýtur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vísa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nr. 1170/2015, </w:t>
      </w:r>
      <w:proofErr w:type="spellStart"/>
      <w:r>
        <w:t>en</w:t>
      </w:r>
      <w:proofErr w:type="spellEnd"/>
      <w:r>
        <w:t xml:space="preserve"> ekki </w:t>
      </w:r>
      <w:proofErr w:type="spellStart"/>
      <w:r>
        <w:t>reglugerðar</w:t>
      </w:r>
      <w:proofErr w:type="spellEnd"/>
      <w:r>
        <w:t xml:space="preserve"> nr. 401/2012. </w:t>
      </w:r>
    </w:p>
    <w:p w14:paraId="50710D80" w14:textId="77777777" w:rsidR="000A7BA6" w:rsidRDefault="000A7BA6" w:rsidP="000A7BA6"/>
    <w:p w14:paraId="1C1FBD85" w14:textId="77777777" w:rsidR="000A7BA6" w:rsidRDefault="000A7BA6" w:rsidP="000A7BA6">
      <w:pPr>
        <w:rPr>
          <w:i/>
        </w:rPr>
      </w:pPr>
      <w:proofErr w:type="spellStart"/>
      <w:r w:rsidRPr="0003403D">
        <w:rPr>
          <w:i/>
        </w:rPr>
        <w:t>Bráðabirgðaákvæði</w:t>
      </w:r>
      <w:proofErr w:type="spellEnd"/>
      <w:r w:rsidRPr="0003403D">
        <w:rPr>
          <w:i/>
        </w:rPr>
        <w:t xml:space="preserve"> II.  </w:t>
      </w:r>
      <w:proofErr w:type="spellStart"/>
      <w:r w:rsidRPr="0003403D">
        <w:rPr>
          <w:i/>
        </w:rPr>
        <w:t>Uppfærsla</w:t>
      </w:r>
      <w:proofErr w:type="spellEnd"/>
      <w:r w:rsidRPr="0003403D">
        <w:rPr>
          <w:i/>
        </w:rPr>
        <w:t xml:space="preserve"> </w:t>
      </w:r>
      <w:proofErr w:type="spellStart"/>
      <w:r w:rsidRPr="0003403D">
        <w:rPr>
          <w:i/>
        </w:rPr>
        <w:t>eldri</w:t>
      </w:r>
      <w:proofErr w:type="spellEnd"/>
      <w:r w:rsidRPr="0003403D">
        <w:rPr>
          <w:i/>
        </w:rPr>
        <w:t xml:space="preserve"> </w:t>
      </w:r>
      <w:proofErr w:type="spellStart"/>
      <w:r w:rsidRPr="0003403D">
        <w:rPr>
          <w:i/>
        </w:rPr>
        <w:t>rekstrarleyfa</w:t>
      </w:r>
      <w:proofErr w:type="spellEnd"/>
      <w:r w:rsidRPr="0003403D">
        <w:rPr>
          <w:i/>
        </w:rPr>
        <w:t>.</w:t>
      </w:r>
    </w:p>
    <w:p w14:paraId="08B65EE0" w14:textId="77777777" w:rsidR="000A7BA6" w:rsidRDefault="000A7BA6" w:rsidP="000A7BA6">
      <w:proofErr w:type="spellStart"/>
      <w:r>
        <w:t>Bráðabirgðaákvæði</w:t>
      </w:r>
      <w:proofErr w:type="spellEnd"/>
      <w:r>
        <w:t xml:space="preserve"> </w:t>
      </w:r>
      <w:proofErr w:type="spellStart"/>
      <w:proofErr w:type="gramStart"/>
      <w:r>
        <w:t>þetta</w:t>
      </w:r>
      <w:proofErr w:type="spellEnd"/>
      <w:r>
        <w:t xml:space="preserve">  </w:t>
      </w:r>
      <w:proofErr w:type="spellStart"/>
      <w:r w:rsidRPr="00E6488B">
        <w:rPr>
          <w:u w:val="single"/>
        </w:rPr>
        <w:t>skort</w:t>
      </w:r>
      <w:r>
        <w:rPr>
          <w:u w:val="single"/>
        </w:rPr>
        <w:t>ir</w:t>
      </w:r>
      <w:proofErr w:type="spellEnd"/>
      <w:proofErr w:type="gramEnd"/>
      <w:r w:rsidRPr="00E6488B">
        <w:rPr>
          <w:u w:val="single"/>
        </w:rPr>
        <w:t xml:space="preserve"> </w:t>
      </w:r>
      <w:proofErr w:type="spellStart"/>
      <w:r w:rsidRPr="00E6488B">
        <w:rPr>
          <w:u w:val="single"/>
        </w:rPr>
        <w:t>lag</w:t>
      </w:r>
      <w:r>
        <w:rPr>
          <w:u w:val="single"/>
        </w:rPr>
        <w:t>astoð</w:t>
      </w:r>
      <w:proofErr w:type="spellEnd"/>
      <w:r>
        <w:t>.</w:t>
      </w:r>
    </w:p>
    <w:p w14:paraId="57627CC2" w14:textId="77777777" w:rsidR="000A7BA6" w:rsidRDefault="000A7BA6" w:rsidP="000A7BA6"/>
    <w:p w14:paraId="7858FFF5" w14:textId="77777777" w:rsidR="000A7BA6" w:rsidRPr="00E6488B" w:rsidRDefault="000A7BA6" w:rsidP="000A7BA6">
      <w:pPr>
        <w:rPr>
          <w:i/>
        </w:rPr>
      </w:pPr>
      <w:proofErr w:type="spellStart"/>
      <w:r w:rsidRPr="00E6488B">
        <w:rPr>
          <w:i/>
        </w:rPr>
        <w:t>Ákvæði</w:t>
      </w:r>
      <w:proofErr w:type="spellEnd"/>
      <w:r w:rsidRPr="00E6488B">
        <w:rPr>
          <w:i/>
        </w:rPr>
        <w:t xml:space="preserve"> </w:t>
      </w:r>
      <w:proofErr w:type="spellStart"/>
      <w:r w:rsidRPr="00E6488B">
        <w:rPr>
          <w:i/>
        </w:rPr>
        <w:t>sem</w:t>
      </w:r>
      <w:proofErr w:type="spellEnd"/>
      <w:r w:rsidRPr="00E6488B">
        <w:rPr>
          <w:i/>
        </w:rPr>
        <w:t xml:space="preserve"> </w:t>
      </w:r>
      <w:proofErr w:type="spellStart"/>
      <w:r w:rsidRPr="00E6488B">
        <w:rPr>
          <w:i/>
        </w:rPr>
        <w:t>vantar</w:t>
      </w:r>
      <w:proofErr w:type="spellEnd"/>
      <w:r w:rsidRPr="00E6488B">
        <w:rPr>
          <w:i/>
        </w:rPr>
        <w:t>.</w:t>
      </w:r>
    </w:p>
    <w:p w14:paraId="09603FE9" w14:textId="77777777" w:rsidR="000A7BA6" w:rsidRDefault="000A7BA6" w:rsidP="000A7BA6">
      <w:r>
        <w:t xml:space="preserve">Í </w:t>
      </w:r>
      <w:proofErr w:type="spellStart"/>
      <w:r>
        <w:t>reglugerðardrögin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reglugerð</w:t>
      </w:r>
      <w:proofErr w:type="spellEnd"/>
      <w:r>
        <w:t xml:space="preserve"> nr. 1170/2015:</w:t>
      </w:r>
    </w:p>
    <w:p w14:paraId="4C7CB59B" w14:textId="77777777" w:rsidR="00EA6B1B" w:rsidRDefault="00EA6B1B" w:rsidP="000A7BA6"/>
    <w:p w14:paraId="4C808252" w14:textId="3F6CD037" w:rsidR="000A7BA6" w:rsidRDefault="000A7BA6" w:rsidP="00EA6B1B">
      <w:pPr>
        <w:pStyle w:val="ListParagraph"/>
        <w:numPr>
          <w:ilvl w:val="0"/>
          <w:numId w:val="16"/>
        </w:numPr>
      </w:pPr>
      <w:proofErr w:type="spellStart"/>
      <w:r>
        <w:t>Ákvæði</w:t>
      </w:r>
      <w:proofErr w:type="spellEnd"/>
      <w:r>
        <w:t xml:space="preserve"> 16. gr. um </w:t>
      </w:r>
      <w:proofErr w:type="spellStart"/>
      <w:r>
        <w:t>forsendubrest</w:t>
      </w:r>
      <w:proofErr w:type="spellEnd"/>
      <w:r>
        <w:t xml:space="preserve">.  </w:t>
      </w:r>
      <w:proofErr w:type="spellStart"/>
      <w:r>
        <w:t>Ef</w:t>
      </w:r>
      <w:proofErr w:type="spellEnd"/>
      <w:r>
        <w:t xml:space="preserve"> </w:t>
      </w:r>
      <w:proofErr w:type="spellStart"/>
      <w:r>
        <w:t>fiskeldisstöð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ekki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þriggja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útgáfu</w:t>
      </w:r>
      <w:proofErr w:type="spellEnd"/>
      <w:r>
        <w:t xml:space="preserve"> </w:t>
      </w:r>
      <w:proofErr w:type="spellStart"/>
      <w:r>
        <w:t>rekstrarleyfis</w:t>
      </w:r>
      <w:proofErr w:type="spellEnd"/>
      <w:r>
        <w:t xml:space="preserve"> </w:t>
      </w:r>
      <w:proofErr w:type="spellStart"/>
      <w:r>
        <w:t>hafið</w:t>
      </w:r>
      <w:proofErr w:type="spellEnd"/>
      <w:r>
        <w:t xml:space="preserve"> </w:t>
      </w:r>
      <w:proofErr w:type="spellStart"/>
      <w:r>
        <w:t>starfsemi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rekstraráætlun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fylgdi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o. fl.</w:t>
      </w:r>
    </w:p>
    <w:p w14:paraId="791451DC" w14:textId="77777777" w:rsidR="000A7BA6" w:rsidRDefault="000A7BA6" w:rsidP="00EA6B1B">
      <w:pPr>
        <w:pStyle w:val="ListParagraph"/>
        <w:numPr>
          <w:ilvl w:val="0"/>
          <w:numId w:val="16"/>
        </w:numPr>
      </w:pPr>
      <w:proofErr w:type="spellStart"/>
      <w:r>
        <w:t>Ákvæði</w:t>
      </w:r>
      <w:proofErr w:type="spellEnd"/>
      <w:r>
        <w:t xml:space="preserve"> 17. gr. um </w:t>
      </w:r>
      <w:proofErr w:type="spellStart"/>
      <w:r>
        <w:t>afturköllun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skil</w:t>
      </w:r>
      <w:proofErr w:type="spellEnd"/>
      <w:r>
        <w:t xml:space="preserve"> á </w:t>
      </w:r>
      <w:proofErr w:type="spellStart"/>
      <w:r>
        <w:t>rekstrarleyfi</w:t>
      </w:r>
      <w:proofErr w:type="spellEnd"/>
      <w:r>
        <w:t xml:space="preserve">.  </w:t>
      </w:r>
      <w:proofErr w:type="spellStart"/>
      <w:r>
        <w:t>Ef</w:t>
      </w:r>
      <w:proofErr w:type="spellEnd"/>
      <w:r>
        <w:t xml:space="preserve"> </w:t>
      </w:r>
      <w:proofErr w:type="spellStart"/>
      <w:r>
        <w:t>leyfishafi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brjóta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ákvæðum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</w:t>
      </w:r>
      <w:proofErr w:type="spellStart"/>
      <w:r>
        <w:t>þessarar</w:t>
      </w:r>
      <w:proofErr w:type="spellEnd"/>
      <w:r>
        <w:t xml:space="preserve"> o. fl.</w:t>
      </w:r>
    </w:p>
    <w:p w14:paraId="1B956F78" w14:textId="77777777" w:rsidR="000A7BA6" w:rsidRDefault="000A7BA6" w:rsidP="00EA6B1B">
      <w:pPr>
        <w:pStyle w:val="ListParagraph"/>
        <w:numPr>
          <w:ilvl w:val="0"/>
          <w:numId w:val="16"/>
        </w:numPr>
      </w:pPr>
      <w:proofErr w:type="spellStart"/>
      <w:r>
        <w:t>Ákvæði</w:t>
      </w:r>
      <w:proofErr w:type="spellEnd"/>
      <w:r>
        <w:t xml:space="preserve"> 18. gr. um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</w:t>
      </w:r>
      <w:proofErr w:type="spellStart"/>
      <w:r>
        <w:t>rekstrarleyfi</w:t>
      </w:r>
      <w:proofErr w:type="spellEnd"/>
      <w:r>
        <w:t xml:space="preserve"> </w:t>
      </w:r>
      <w:proofErr w:type="spellStart"/>
      <w:r>
        <w:t>minni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40% </w:t>
      </w:r>
      <w:proofErr w:type="spellStart"/>
      <w:r>
        <w:t>af</w:t>
      </w:r>
      <w:proofErr w:type="spellEnd"/>
      <w:r>
        <w:t xml:space="preserve"> </w:t>
      </w:r>
      <w:proofErr w:type="spellStart"/>
      <w:r>
        <w:t>burðarþoli</w:t>
      </w:r>
      <w:proofErr w:type="spellEnd"/>
      <w:r>
        <w:t xml:space="preserve"> </w:t>
      </w:r>
      <w:proofErr w:type="spellStart"/>
      <w:r>
        <w:t>sjókvíaeldissvæðis</w:t>
      </w:r>
      <w:proofErr w:type="spellEnd"/>
      <w:r>
        <w:t>.</w:t>
      </w:r>
    </w:p>
    <w:p w14:paraId="4EE1FC86" w14:textId="77777777" w:rsidR="000A7BA6" w:rsidRDefault="000A7BA6" w:rsidP="000A7BA6"/>
    <w:p w14:paraId="4EA187C8" w14:textId="77777777" w:rsidR="000A7BA6" w:rsidRPr="00613638" w:rsidRDefault="000A7BA6" w:rsidP="000A7BA6">
      <w:pPr>
        <w:rPr>
          <w:b/>
          <w:i/>
          <w:u w:val="single"/>
        </w:rPr>
      </w:pPr>
      <w:proofErr w:type="spellStart"/>
      <w:r w:rsidRPr="00613638">
        <w:rPr>
          <w:b/>
          <w:i/>
          <w:u w:val="single"/>
        </w:rPr>
        <w:t>Niðurstaða</w:t>
      </w:r>
      <w:proofErr w:type="spellEnd"/>
      <w:r w:rsidRPr="00613638">
        <w:rPr>
          <w:b/>
          <w:i/>
          <w:u w:val="single"/>
        </w:rPr>
        <w:t>:</w:t>
      </w:r>
    </w:p>
    <w:p w14:paraId="0AFC26F3" w14:textId="5B2DF545" w:rsidR="000A7BA6" w:rsidRDefault="000A7BA6" w:rsidP="000A7BA6">
      <w:proofErr w:type="spellStart"/>
      <w:r>
        <w:t>Með</w:t>
      </w:r>
      <w:proofErr w:type="spellEnd"/>
      <w:r>
        <w:t xml:space="preserve"> </w:t>
      </w:r>
      <w:proofErr w:type="spellStart"/>
      <w:r>
        <w:t>vísan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framangreindrar</w:t>
      </w:r>
      <w:proofErr w:type="spellEnd"/>
      <w:r>
        <w:t xml:space="preserve"> </w:t>
      </w:r>
      <w:proofErr w:type="spellStart"/>
      <w:r>
        <w:t>umfjöllunar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augljóst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fyrirliggjandi</w:t>
      </w:r>
      <w:proofErr w:type="spellEnd"/>
      <w:r>
        <w:t xml:space="preserve"> </w:t>
      </w:r>
      <w:proofErr w:type="spellStart"/>
      <w:r>
        <w:t>drög</w:t>
      </w:r>
      <w:proofErr w:type="spellEnd"/>
      <w:r>
        <w:t xml:space="preserve"> </w:t>
      </w:r>
      <w:proofErr w:type="spellStart"/>
      <w:r>
        <w:t>að</w:t>
      </w:r>
      <w:proofErr w:type="spellEnd"/>
      <w:r w:rsidR="00EA6B1B">
        <w:t xml:space="preserve"> </w:t>
      </w:r>
      <w:proofErr w:type="spellStart"/>
      <w:r>
        <w:t>nýrri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um </w:t>
      </w:r>
      <w:proofErr w:type="spellStart"/>
      <w:r>
        <w:t>fiskeldi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ótæk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stórfelldra</w:t>
      </w:r>
      <w:proofErr w:type="spellEnd"/>
      <w:r>
        <w:t xml:space="preserve"> </w:t>
      </w:r>
      <w:proofErr w:type="spellStart"/>
      <w:r>
        <w:t>breytinga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endurbóta</w:t>
      </w:r>
      <w:proofErr w:type="spellEnd"/>
      <w:r>
        <w:t xml:space="preserve"> </w:t>
      </w:r>
      <w:proofErr w:type="spellStart"/>
      <w:r>
        <w:t>við</w:t>
      </w:r>
      <w:proofErr w:type="spellEnd"/>
      <w:r>
        <w:t>.</w:t>
      </w:r>
    </w:p>
    <w:p w14:paraId="6318A4B8" w14:textId="77777777" w:rsidR="00EA6B1B" w:rsidRDefault="00EA6B1B" w:rsidP="000A7BA6"/>
    <w:p w14:paraId="4995EAA6" w14:textId="5F2B06F7" w:rsidR="000A7BA6" w:rsidRDefault="000A7BA6" w:rsidP="000A7BA6">
      <w:proofErr w:type="spellStart"/>
      <w:r>
        <w:t>Ákvæði</w:t>
      </w:r>
      <w:proofErr w:type="spellEnd"/>
      <w:r>
        <w:t xml:space="preserve"> í </w:t>
      </w:r>
      <w:proofErr w:type="spellStart"/>
      <w:r>
        <w:t>a.m.k</w:t>
      </w:r>
      <w:proofErr w:type="spellEnd"/>
      <w:r>
        <w:t xml:space="preserve">. 9 </w:t>
      </w:r>
      <w:proofErr w:type="spellStart"/>
      <w:r>
        <w:t>greinum</w:t>
      </w:r>
      <w:proofErr w:type="spellEnd"/>
      <w:r>
        <w:t xml:space="preserve"> </w:t>
      </w:r>
      <w:proofErr w:type="spellStart"/>
      <w:r>
        <w:t>draganna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ekki </w:t>
      </w:r>
      <w:proofErr w:type="spellStart"/>
      <w:r>
        <w:t>lagastoð</w:t>
      </w:r>
      <w:proofErr w:type="spellEnd"/>
      <w:r>
        <w:t xml:space="preserve">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brýnt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haft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samráð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Landssamband</w:t>
      </w:r>
      <w:proofErr w:type="spellEnd"/>
      <w:r>
        <w:t xml:space="preserve"> </w:t>
      </w:r>
      <w:proofErr w:type="spellStart"/>
      <w:proofErr w:type="gramStart"/>
      <w:r>
        <w:t>veiðifélaga</w:t>
      </w:r>
      <w:proofErr w:type="spellEnd"/>
      <w:r>
        <w:t xml:space="preserve">,  </w:t>
      </w:r>
      <w:proofErr w:type="spellStart"/>
      <w:r>
        <w:t>Náttúruverndarsamtök</w:t>
      </w:r>
      <w:proofErr w:type="spellEnd"/>
      <w:proofErr w:type="gramEnd"/>
      <w:r w:rsidR="00EA6B1B">
        <w:t xml:space="preserve"> </w:t>
      </w:r>
      <w:proofErr w:type="spellStart"/>
      <w:r>
        <w:t>Íslands</w:t>
      </w:r>
      <w:proofErr w:type="spellEnd"/>
      <w:r>
        <w:t xml:space="preserve">, </w:t>
      </w:r>
      <w:proofErr w:type="spellStart"/>
      <w:r w:rsidR="008418B2">
        <w:t>V</w:t>
      </w:r>
      <w:r>
        <w:t>erndarsamtök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laxastofna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samráðsnefnd</w:t>
      </w:r>
      <w:proofErr w:type="spellEnd"/>
      <w:r>
        <w:t xml:space="preserve"> </w:t>
      </w:r>
      <w:proofErr w:type="spellStart"/>
      <w:r>
        <w:t>fiskeldis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2. gr. </w:t>
      </w:r>
      <w:proofErr w:type="spellStart"/>
      <w:proofErr w:type="gramStart"/>
      <w:r>
        <w:t>laga</w:t>
      </w:r>
      <w:proofErr w:type="spellEnd"/>
      <w:r>
        <w:t xml:space="preserve"> </w:t>
      </w:r>
      <w:r w:rsidR="00EA6B1B">
        <w:t xml:space="preserve"> </w:t>
      </w:r>
      <w:r>
        <w:t>nr</w:t>
      </w:r>
      <w:proofErr w:type="gramEnd"/>
      <w:r>
        <w:t xml:space="preserve">. 101/2019 um </w:t>
      </w:r>
      <w:proofErr w:type="spellStart"/>
      <w:r>
        <w:t>lagfæringar</w:t>
      </w:r>
      <w:proofErr w:type="spellEnd"/>
      <w:r>
        <w:t xml:space="preserve">, </w:t>
      </w:r>
      <w:proofErr w:type="spellStart"/>
      <w:r>
        <w:t>leiðréttingar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texta</w:t>
      </w:r>
      <w:proofErr w:type="spellEnd"/>
      <w:r>
        <w:t xml:space="preserve"> </w:t>
      </w:r>
      <w:proofErr w:type="spellStart"/>
      <w:r>
        <w:t>nýrrar</w:t>
      </w:r>
      <w:proofErr w:type="spellEnd"/>
      <w:r>
        <w:t xml:space="preserve"> </w:t>
      </w:r>
      <w:proofErr w:type="spellStart"/>
      <w:r>
        <w:t>fiskeldisreglugerðar</w:t>
      </w:r>
      <w:proofErr w:type="spellEnd"/>
      <w:r>
        <w:t xml:space="preserve">. </w:t>
      </w:r>
      <w:bookmarkStart w:id="0" w:name="_GoBack"/>
      <w:bookmarkEnd w:id="0"/>
    </w:p>
    <w:p w14:paraId="772B7820" w14:textId="59AC49E7" w:rsidR="00116A80" w:rsidRDefault="00116A80" w:rsidP="003E54F4">
      <w:pPr>
        <w:rPr>
          <w:color w:val="000000" w:themeColor="text1"/>
        </w:rPr>
      </w:pPr>
    </w:p>
    <w:sectPr w:rsidR="00116A80" w:rsidSect="00513F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97" w:bottom="1843" w:left="1797" w:header="708" w:footer="3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23A1" w14:textId="77777777" w:rsidR="00BF1086" w:rsidRDefault="00BF1086" w:rsidP="005F3383">
      <w:r>
        <w:separator/>
      </w:r>
    </w:p>
  </w:endnote>
  <w:endnote w:type="continuationSeparator" w:id="0">
    <w:p w14:paraId="612CE916" w14:textId="77777777" w:rsidR="00BF1086" w:rsidRDefault="00BF1086" w:rsidP="005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8C4B" w14:textId="77777777" w:rsidR="003D2370" w:rsidRDefault="00A05CEF" w:rsidP="007D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FD39D" w14:textId="77777777" w:rsidR="003D2370" w:rsidRDefault="00BF1086" w:rsidP="007D7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ED11" w14:textId="77777777" w:rsidR="003D2370" w:rsidRDefault="00A05CEF" w:rsidP="007D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6495DD" w14:textId="77777777" w:rsidR="003D2370" w:rsidRDefault="00BF1086" w:rsidP="007D7A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EC45" w14:textId="77777777" w:rsidR="003D2370" w:rsidRDefault="00A05CEF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52596A" wp14:editId="433CDF5F">
              <wp:simplePos x="0" y="0"/>
              <wp:positionH relativeFrom="column">
                <wp:posOffset>-43815</wp:posOffset>
              </wp:positionH>
              <wp:positionV relativeFrom="paragraph">
                <wp:posOffset>-19050</wp:posOffset>
              </wp:positionV>
              <wp:extent cx="5577840" cy="0"/>
              <wp:effectExtent l="6985" t="6350" r="2857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667E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5pt" to="435.75pt,-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" o:allowincell="f"/>
          </w:pict>
        </mc:Fallback>
      </mc:AlternateContent>
    </w:r>
    <w:r>
      <w:rPr>
        <w:rFonts w:ascii="Arial Narrow" w:hAnsi="Arial Narrow"/>
        <w:sz w:val="22"/>
      </w:rPr>
      <w:t>Þórunnartún 2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Sími/Fax: 551 2279</w:t>
    </w:r>
  </w:p>
  <w:p w14:paraId="7290C651" w14:textId="77777777" w:rsidR="003D2370" w:rsidRDefault="00A05CEF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105 Reykjavík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Netfang: natturuvernd@natturuvernd.is</w:t>
    </w:r>
  </w:p>
  <w:p w14:paraId="3714F48F" w14:textId="77777777" w:rsidR="003D2370" w:rsidRDefault="00A05CEF">
    <w:pPr>
      <w:pStyle w:val="Footer"/>
      <w:tabs>
        <w:tab w:val="clear" w:pos="8306"/>
        <w:tab w:val="right" w:pos="8647"/>
      </w:tabs>
      <w:rPr>
        <w:sz w:val="22"/>
      </w:rPr>
    </w:pPr>
    <w:r>
      <w:rPr>
        <w:rFonts w:ascii="Arial Narrow" w:hAnsi="Arial Narrow"/>
        <w:sz w:val="22"/>
      </w:rPr>
      <w:t>Kt: 460697-2049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Veffang</w:t>
    </w:r>
    <w:r>
      <w:rPr>
        <w:rFonts w:ascii="Arial Narrow" w:hAnsi="Arial Narrow"/>
        <w:color w:val="000000"/>
        <w:sz w:val="22"/>
      </w:rPr>
      <w:t xml:space="preserve">: </w:t>
    </w:r>
    <w:hyperlink r:id="rId1" w:history="1">
      <w:r>
        <w:rPr>
          <w:rStyle w:val="Hyperlink"/>
          <w:rFonts w:ascii="Arial Narrow" w:hAnsi="Arial Narrow"/>
          <w:color w:val="000000"/>
          <w:sz w:val="22"/>
        </w:rPr>
        <w:t>www.</w:t>
      </w:r>
    </w:hyperlink>
    <w:r>
      <w:rPr>
        <w:rFonts w:ascii="Arial Narrow" w:hAnsi="Arial Narrow"/>
        <w:color w:val="000000"/>
        <w:sz w:val="22"/>
      </w:rPr>
      <w:t>natturuvernd.is</w:t>
    </w:r>
  </w:p>
  <w:p w14:paraId="39F6D16A" w14:textId="77777777" w:rsidR="003D2370" w:rsidRDefault="00BF1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77F8" w14:textId="77777777" w:rsidR="00BF1086" w:rsidRDefault="00BF1086" w:rsidP="005F3383">
      <w:r>
        <w:separator/>
      </w:r>
    </w:p>
  </w:footnote>
  <w:footnote w:type="continuationSeparator" w:id="0">
    <w:p w14:paraId="1D32424F" w14:textId="77777777" w:rsidR="00BF1086" w:rsidRDefault="00BF1086" w:rsidP="005F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D4CB" w14:textId="77777777" w:rsidR="003D2370" w:rsidRDefault="00BF1086">
    <w:pPr>
      <w:pStyle w:val="Header"/>
      <w:framePr w:wrap="auto" w:vAnchor="text" w:hAnchor="margin" w:xAlign="right" w:y="1"/>
      <w:rPr>
        <w:rStyle w:val="PageNumber"/>
      </w:rPr>
    </w:pPr>
  </w:p>
  <w:p w14:paraId="6A265AAB" w14:textId="77777777" w:rsidR="003D2370" w:rsidRDefault="00BF1086">
    <w:pPr>
      <w:pStyle w:val="Header"/>
      <w:framePr w:wrap="auto" w:vAnchor="text" w:hAnchor="margin" w:xAlign="right" w:y="1"/>
      <w:ind w:right="360"/>
      <w:jc w:val="right"/>
      <w:rPr>
        <w:rStyle w:val="PageNumber"/>
      </w:rPr>
    </w:pPr>
  </w:p>
  <w:p w14:paraId="5C7133AD" w14:textId="77777777" w:rsidR="003D2370" w:rsidRDefault="00BF1086">
    <w:pPr>
      <w:pStyle w:val="Header"/>
      <w:framePr w:wrap="auto" w:vAnchor="text" w:hAnchor="margin" w:xAlign="right" w:y="1"/>
      <w:ind w:right="360"/>
      <w:rPr>
        <w:rStyle w:val="PageNumber"/>
      </w:rPr>
    </w:pPr>
  </w:p>
  <w:p w14:paraId="7DD860B7" w14:textId="77777777" w:rsidR="003D2370" w:rsidRDefault="00BF1086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63BE" w14:textId="77777777" w:rsidR="003D2370" w:rsidRDefault="00A05CEF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C36F6" wp14:editId="26C55F2C">
              <wp:simplePos x="0" y="0"/>
              <wp:positionH relativeFrom="column">
                <wp:posOffset>1771438</wp:posOffset>
              </wp:positionH>
              <wp:positionV relativeFrom="paragraph">
                <wp:posOffset>354753</wp:posOffset>
              </wp:positionV>
              <wp:extent cx="3654002" cy="226907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002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745F7" w14:textId="77777777" w:rsidR="00FB2ABC" w:rsidRDefault="00A05CEF" w:rsidP="00FB2A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</w:rPr>
                            <w:t>Iceland Nature Conservation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C36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5pt;margin-top:27.95pt;width:287.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" filled="f" stroked="f">
              <v:textbox>
                <w:txbxContent>
                  <w:p w14:paraId="5F4745F7" w14:textId="77777777" w:rsidR="00FB2ABC" w:rsidRDefault="00A05CEF" w:rsidP="00FB2A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808080"/>
                      </w:rPr>
                      <w:t>Iceland Nature Conservation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7CE0F2B9" wp14:editId="5CCC97F2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8250" cy="1238250"/>
          <wp:effectExtent l="0" t="0" r="635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2FEDF8C1" wp14:editId="576CD5C9">
          <wp:simplePos x="0" y="0"/>
          <wp:positionH relativeFrom="column">
            <wp:posOffset>1327785</wp:posOffset>
          </wp:positionH>
          <wp:positionV relativeFrom="paragraph">
            <wp:posOffset>6985</wp:posOffset>
          </wp:positionV>
          <wp:extent cx="4123690" cy="3594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94477" w14:textId="77777777" w:rsidR="003D2370" w:rsidRDefault="00BF1086" w:rsidP="00FB2ABC">
    <w:pPr>
      <w:pStyle w:val="Header"/>
      <w:tabs>
        <w:tab w:val="clear" w:pos="8306"/>
        <w:tab w:val="right" w:pos="8505"/>
      </w:tabs>
      <w:ind w:right="282"/>
      <w:jc w:val="center"/>
      <w:rPr>
        <w:rFonts w:ascii="Arial" w:hAnsi="Arial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932"/>
    <w:multiLevelType w:val="hybridMultilevel"/>
    <w:tmpl w:val="D7C8A374"/>
    <w:lvl w:ilvl="0" w:tplc="C5D86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970"/>
    <w:multiLevelType w:val="hybridMultilevel"/>
    <w:tmpl w:val="6B4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991"/>
    <w:multiLevelType w:val="hybridMultilevel"/>
    <w:tmpl w:val="6DB4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78B"/>
    <w:multiLevelType w:val="hybridMultilevel"/>
    <w:tmpl w:val="FC4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7AB"/>
    <w:multiLevelType w:val="hybridMultilevel"/>
    <w:tmpl w:val="3702C458"/>
    <w:lvl w:ilvl="0" w:tplc="76982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C27"/>
    <w:multiLevelType w:val="hybridMultilevel"/>
    <w:tmpl w:val="10F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6E7"/>
    <w:multiLevelType w:val="multilevel"/>
    <w:tmpl w:val="DA5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A0D5D"/>
    <w:multiLevelType w:val="hybridMultilevel"/>
    <w:tmpl w:val="DFB0E68A"/>
    <w:lvl w:ilvl="0" w:tplc="17F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74AE"/>
    <w:multiLevelType w:val="hybridMultilevel"/>
    <w:tmpl w:val="36C6D594"/>
    <w:lvl w:ilvl="0" w:tplc="0788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B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A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209EE"/>
    <w:multiLevelType w:val="hybridMultilevel"/>
    <w:tmpl w:val="6486EB62"/>
    <w:lvl w:ilvl="0" w:tplc="B0F6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6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9D481C"/>
    <w:multiLevelType w:val="hybridMultilevel"/>
    <w:tmpl w:val="622E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F7BCB"/>
    <w:multiLevelType w:val="hybridMultilevel"/>
    <w:tmpl w:val="E616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056A9"/>
    <w:multiLevelType w:val="hybridMultilevel"/>
    <w:tmpl w:val="C56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2E06"/>
    <w:multiLevelType w:val="hybridMultilevel"/>
    <w:tmpl w:val="AEB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7446"/>
    <w:multiLevelType w:val="hybridMultilevel"/>
    <w:tmpl w:val="E42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6E0"/>
    <w:multiLevelType w:val="multilevel"/>
    <w:tmpl w:val="117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88379A"/>
    <w:multiLevelType w:val="hybridMultilevel"/>
    <w:tmpl w:val="8B6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83"/>
    <w:rsid w:val="000A7BA6"/>
    <w:rsid w:val="000C6AAC"/>
    <w:rsid w:val="000E1CC2"/>
    <w:rsid w:val="00103747"/>
    <w:rsid w:val="0011104C"/>
    <w:rsid w:val="00116A80"/>
    <w:rsid w:val="00121FAF"/>
    <w:rsid w:val="001435CD"/>
    <w:rsid w:val="001D078D"/>
    <w:rsid w:val="002476CD"/>
    <w:rsid w:val="0026687D"/>
    <w:rsid w:val="002B7ED9"/>
    <w:rsid w:val="002C2DE0"/>
    <w:rsid w:val="00331B7C"/>
    <w:rsid w:val="00334190"/>
    <w:rsid w:val="0038071F"/>
    <w:rsid w:val="003968F3"/>
    <w:rsid w:val="003E0290"/>
    <w:rsid w:val="003E54F4"/>
    <w:rsid w:val="004E0A1F"/>
    <w:rsid w:val="004E7227"/>
    <w:rsid w:val="00514E7A"/>
    <w:rsid w:val="005703A6"/>
    <w:rsid w:val="00593E2B"/>
    <w:rsid w:val="005B6107"/>
    <w:rsid w:val="005D3C5A"/>
    <w:rsid w:val="005F3383"/>
    <w:rsid w:val="006B0FC8"/>
    <w:rsid w:val="00707510"/>
    <w:rsid w:val="0072205C"/>
    <w:rsid w:val="00750035"/>
    <w:rsid w:val="00786789"/>
    <w:rsid w:val="007B66D3"/>
    <w:rsid w:val="007C2155"/>
    <w:rsid w:val="007F27A8"/>
    <w:rsid w:val="008418B2"/>
    <w:rsid w:val="0087571D"/>
    <w:rsid w:val="00896ACF"/>
    <w:rsid w:val="008B3DB3"/>
    <w:rsid w:val="008B57C0"/>
    <w:rsid w:val="008B7BB6"/>
    <w:rsid w:val="00942725"/>
    <w:rsid w:val="0096370A"/>
    <w:rsid w:val="00972E00"/>
    <w:rsid w:val="009762F0"/>
    <w:rsid w:val="00984315"/>
    <w:rsid w:val="009B23C2"/>
    <w:rsid w:val="009F14A5"/>
    <w:rsid w:val="00A05CEF"/>
    <w:rsid w:val="00AA06A9"/>
    <w:rsid w:val="00AE3DD8"/>
    <w:rsid w:val="00BA1F31"/>
    <w:rsid w:val="00BE7C3C"/>
    <w:rsid w:val="00BF1086"/>
    <w:rsid w:val="00C125C2"/>
    <w:rsid w:val="00CD0332"/>
    <w:rsid w:val="00CE0918"/>
    <w:rsid w:val="00D33030"/>
    <w:rsid w:val="00D92AF5"/>
    <w:rsid w:val="00DA7EB6"/>
    <w:rsid w:val="00DC64A1"/>
    <w:rsid w:val="00E2081D"/>
    <w:rsid w:val="00E56D4C"/>
    <w:rsid w:val="00E5727D"/>
    <w:rsid w:val="00EA2DC4"/>
    <w:rsid w:val="00EA6B1B"/>
    <w:rsid w:val="00EA7771"/>
    <w:rsid w:val="00EE47A7"/>
    <w:rsid w:val="00EF7032"/>
    <w:rsid w:val="00F8328F"/>
    <w:rsid w:val="00F96D56"/>
    <w:rsid w:val="00FA0484"/>
    <w:rsid w:val="00FA2481"/>
    <w:rsid w:val="00FA5C56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18CB5"/>
  <w15:chartTrackingRefBased/>
  <w15:docId w15:val="{53C55DB3-89B5-544F-B2B2-BEC3EA1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3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3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3383"/>
    <w:rPr>
      <w:i/>
      <w:iCs/>
    </w:rPr>
  </w:style>
  <w:style w:type="character" w:styleId="Hyperlink">
    <w:name w:val="Hyperlink"/>
    <w:uiPriority w:val="99"/>
    <w:rsid w:val="005F3383"/>
    <w:rPr>
      <w:color w:val="0000FF"/>
      <w:u w:val="single"/>
    </w:rPr>
  </w:style>
  <w:style w:type="paragraph" w:styleId="Header">
    <w:name w:val="header"/>
    <w:basedOn w:val="Normal"/>
    <w:link w:val="HeaderChar"/>
    <w:rsid w:val="005F3383"/>
    <w:pPr>
      <w:tabs>
        <w:tab w:val="center" w:pos="4153"/>
        <w:tab w:val="right" w:pos="8306"/>
      </w:tabs>
    </w:pPr>
    <w:rPr>
      <w:sz w:val="20"/>
      <w:szCs w:val="20"/>
      <w:lang w:val="is-IS"/>
    </w:rPr>
  </w:style>
  <w:style w:type="character" w:customStyle="1" w:styleId="HeaderChar">
    <w:name w:val="Header Char"/>
    <w:basedOn w:val="DefaultParagraphFont"/>
    <w:link w:val="Header"/>
    <w:rsid w:val="005F3383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Footer">
    <w:name w:val="footer"/>
    <w:basedOn w:val="Normal"/>
    <w:link w:val="FooterChar"/>
    <w:rsid w:val="005F3383"/>
    <w:pPr>
      <w:tabs>
        <w:tab w:val="center" w:pos="4153"/>
        <w:tab w:val="right" w:pos="8306"/>
      </w:tabs>
    </w:pPr>
    <w:rPr>
      <w:sz w:val="20"/>
      <w:szCs w:val="20"/>
      <w:lang w:val="is-IS"/>
    </w:rPr>
  </w:style>
  <w:style w:type="character" w:customStyle="1" w:styleId="FooterChar">
    <w:name w:val="Footer Char"/>
    <w:basedOn w:val="DefaultParagraphFont"/>
    <w:link w:val="Footer"/>
    <w:rsid w:val="005F3383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PageNumber">
    <w:name w:val="page number"/>
    <w:basedOn w:val="DefaultParagraphFont"/>
    <w:rsid w:val="005F3383"/>
  </w:style>
  <w:style w:type="paragraph" w:customStyle="1" w:styleId="css-exrw3m">
    <w:name w:val="css-exrw3m"/>
    <w:basedOn w:val="Normal"/>
    <w:rsid w:val="005F33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3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3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3383"/>
    <w:pPr>
      <w:ind w:left="720"/>
      <w:contextualSpacing/>
    </w:pPr>
    <w:rPr>
      <w:rFonts w:eastAsiaTheme="minorEastAsia"/>
      <w:noProof/>
      <w:lang w:val="is-IS"/>
    </w:rPr>
  </w:style>
  <w:style w:type="paragraph" w:styleId="FootnoteText">
    <w:name w:val="footnote text"/>
    <w:basedOn w:val="Normal"/>
    <w:link w:val="FootnoteTextChar"/>
    <w:uiPriority w:val="99"/>
    <w:unhideWhenUsed/>
    <w:rsid w:val="005F3383"/>
  </w:style>
  <w:style w:type="character" w:customStyle="1" w:styleId="FootnoteTextChar">
    <w:name w:val="Footnote Text Char"/>
    <w:basedOn w:val="DefaultParagraphFont"/>
    <w:link w:val="FootnoteText"/>
    <w:uiPriority w:val="99"/>
    <w:rsid w:val="005F338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F33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33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ff-screen">
    <w:name w:val="off-screen"/>
    <w:basedOn w:val="DefaultParagraphFont"/>
    <w:rsid w:val="005F3383"/>
  </w:style>
  <w:style w:type="character" w:customStyle="1" w:styleId="media-captiontext">
    <w:name w:val="media-caption__text"/>
    <w:basedOn w:val="DefaultParagraphFont"/>
    <w:rsid w:val="005F3383"/>
  </w:style>
  <w:style w:type="character" w:styleId="FollowedHyperlink">
    <w:name w:val="FollowedHyperlink"/>
    <w:basedOn w:val="DefaultParagraphFont"/>
    <w:uiPriority w:val="99"/>
    <w:semiHidden/>
    <w:unhideWhenUsed/>
    <w:rsid w:val="005F33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92AF5"/>
  </w:style>
  <w:style w:type="character" w:styleId="UnresolvedMention">
    <w:name w:val="Unresolved Mention"/>
    <w:basedOn w:val="DefaultParagraphFont"/>
    <w:uiPriority w:val="99"/>
    <w:semiHidden/>
    <w:unhideWhenUsed/>
    <w:rsid w:val="00D92AF5"/>
    <w:rPr>
      <w:color w:val="605E5C"/>
      <w:shd w:val="clear" w:color="auto" w:fill="E1DFDD"/>
    </w:rPr>
  </w:style>
  <w:style w:type="paragraph" w:customStyle="1" w:styleId="css-1b7pxeo">
    <w:name w:val="css-1b7pxeo"/>
    <w:basedOn w:val="Normal"/>
    <w:rsid w:val="00121F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7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a.is/n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2810</Words>
  <Characters>16106</Characters>
  <Application>Microsoft Office Word</Application>
  <DocSecurity>0</DocSecurity>
  <Lines>357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Finnsson</dc:creator>
  <cp:keywords/>
  <dc:description/>
  <cp:lastModifiedBy>Arni Finnsson</cp:lastModifiedBy>
  <cp:revision>4</cp:revision>
  <dcterms:created xsi:type="dcterms:W3CDTF">2020-01-16T16:48:00Z</dcterms:created>
  <dcterms:modified xsi:type="dcterms:W3CDTF">2020-01-17T14:10:00Z</dcterms:modified>
  <cp:category/>
</cp:coreProperties>
</file>