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8A1D" w14:textId="0779A5BE" w:rsidR="00CF4665" w:rsidRPr="0088519A" w:rsidRDefault="00CF4665" w:rsidP="00E67548">
      <w:pPr>
        <w:spacing w:line="276" w:lineRule="auto"/>
        <w:jc w:val="right"/>
        <w:rPr>
          <w:rFonts w:ascii="Times New Roman" w:hAnsi="Times New Roman" w:cs="Times New Roman"/>
        </w:rPr>
      </w:pPr>
      <w:r w:rsidRPr="0088519A">
        <w:rPr>
          <w:rFonts w:ascii="Times New Roman" w:hAnsi="Times New Roman" w:cs="Times New Roman"/>
        </w:rPr>
        <w:t>H</w:t>
      </w:r>
      <w:r w:rsidR="009D4218" w:rsidRPr="0088519A">
        <w:rPr>
          <w:rFonts w:ascii="Times New Roman" w:hAnsi="Times New Roman" w:cs="Times New Roman"/>
        </w:rPr>
        <w:t>elsinki, Finnland</w:t>
      </w:r>
      <w:r w:rsidRPr="0088519A">
        <w:rPr>
          <w:rFonts w:ascii="Times New Roman" w:hAnsi="Times New Roman" w:cs="Times New Roman"/>
        </w:rPr>
        <w:t>, 26. ágúst, 2019</w:t>
      </w:r>
    </w:p>
    <w:p w14:paraId="4ABBABE8" w14:textId="77777777" w:rsidR="00CF4665" w:rsidRPr="0088519A" w:rsidRDefault="00CF4665" w:rsidP="00E67548">
      <w:pPr>
        <w:spacing w:line="276" w:lineRule="auto"/>
        <w:rPr>
          <w:rFonts w:ascii="Times New Roman" w:hAnsi="Times New Roman" w:cs="Times New Roman"/>
        </w:rPr>
      </w:pPr>
    </w:p>
    <w:p w14:paraId="256BB94F" w14:textId="51218CCE" w:rsidR="00DC6CE0" w:rsidRPr="0088519A" w:rsidRDefault="00DC6CE0" w:rsidP="00E67548">
      <w:pPr>
        <w:spacing w:line="276" w:lineRule="auto"/>
        <w:rPr>
          <w:rFonts w:ascii="Times New Roman" w:hAnsi="Times New Roman" w:cs="Times New Roman"/>
        </w:rPr>
      </w:pPr>
      <w:r w:rsidRPr="0088519A">
        <w:rPr>
          <w:rFonts w:ascii="Times New Roman" w:hAnsi="Times New Roman" w:cs="Times New Roman"/>
        </w:rPr>
        <w:t>Fjármála- og efnahagsmálaráðuneytið</w:t>
      </w:r>
    </w:p>
    <w:p w14:paraId="30B0DC9F" w14:textId="2E3B73B2" w:rsidR="00DC6CE0" w:rsidRPr="0088519A" w:rsidRDefault="00DC6CE0" w:rsidP="00E67548">
      <w:pPr>
        <w:spacing w:line="276" w:lineRule="auto"/>
        <w:rPr>
          <w:rFonts w:ascii="Times New Roman" w:hAnsi="Times New Roman" w:cs="Times New Roman"/>
        </w:rPr>
      </w:pPr>
      <w:r w:rsidRPr="0088519A">
        <w:rPr>
          <w:rFonts w:ascii="Times New Roman" w:hAnsi="Times New Roman" w:cs="Times New Roman"/>
        </w:rPr>
        <w:t>101 Reykjavík</w:t>
      </w:r>
    </w:p>
    <w:p w14:paraId="39D250CD" w14:textId="42D8853D" w:rsidR="00CF4665" w:rsidRPr="0088519A" w:rsidRDefault="00CF4665" w:rsidP="00E67548">
      <w:pPr>
        <w:spacing w:line="276" w:lineRule="auto"/>
        <w:rPr>
          <w:rFonts w:ascii="Times New Roman" w:hAnsi="Times New Roman" w:cs="Times New Roman"/>
        </w:rPr>
      </w:pPr>
      <w:r w:rsidRPr="0088519A">
        <w:rPr>
          <w:rFonts w:ascii="Times New Roman" w:hAnsi="Times New Roman" w:cs="Times New Roman"/>
        </w:rPr>
        <w:t>Sendandi: Dr. Már Wolfgang Mixa, fjármálafræðingur</w:t>
      </w:r>
    </w:p>
    <w:p w14:paraId="0C0CA033" w14:textId="585952BE" w:rsidR="00DC6CE0" w:rsidRPr="0088519A" w:rsidRDefault="00DC6CE0" w:rsidP="00E67548">
      <w:pPr>
        <w:spacing w:line="276" w:lineRule="auto"/>
        <w:rPr>
          <w:rFonts w:ascii="Times New Roman" w:hAnsi="Times New Roman" w:cs="Times New Roman"/>
        </w:rPr>
      </w:pPr>
      <w:r w:rsidRPr="0088519A">
        <w:rPr>
          <w:rFonts w:ascii="Times New Roman" w:hAnsi="Times New Roman" w:cs="Times New Roman"/>
        </w:rPr>
        <w:tab/>
      </w:r>
      <w:r w:rsidRPr="0088519A">
        <w:rPr>
          <w:rFonts w:ascii="Times New Roman" w:hAnsi="Times New Roman" w:cs="Times New Roman"/>
        </w:rPr>
        <w:tab/>
      </w:r>
      <w:r w:rsidRPr="0088519A">
        <w:rPr>
          <w:rFonts w:ascii="Times New Roman" w:hAnsi="Times New Roman" w:cs="Times New Roman"/>
        </w:rPr>
        <w:tab/>
      </w:r>
      <w:r w:rsidRPr="0088519A">
        <w:rPr>
          <w:rFonts w:ascii="Times New Roman" w:hAnsi="Times New Roman" w:cs="Times New Roman"/>
        </w:rPr>
        <w:tab/>
      </w:r>
      <w:r w:rsidRPr="0088519A">
        <w:rPr>
          <w:rFonts w:ascii="Times New Roman" w:hAnsi="Times New Roman" w:cs="Times New Roman"/>
        </w:rPr>
        <w:tab/>
      </w:r>
      <w:r w:rsidRPr="0088519A">
        <w:rPr>
          <w:rFonts w:ascii="Times New Roman" w:hAnsi="Times New Roman" w:cs="Times New Roman"/>
        </w:rPr>
        <w:tab/>
      </w:r>
      <w:r w:rsidRPr="0088519A">
        <w:rPr>
          <w:rFonts w:ascii="Times New Roman" w:hAnsi="Times New Roman" w:cs="Times New Roman"/>
        </w:rPr>
        <w:tab/>
      </w:r>
      <w:r w:rsidRPr="0088519A">
        <w:rPr>
          <w:rFonts w:ascii="Times New Roman" w:hAnsi="Times New Roman" w:cs="Times New Roman"/>
        </w:rPr>
        <w:tab/>
      </w:r>
    </w:p>
    <w:p w14:paraId="5B6A6F3C" w14:textId="77777777" w:rsidR="00DC6CE0" w:rsidRPr="0088519A" w:rsidRDefault="00DC6CE0" w:rsidP="00E67548">
      <w:pPr>
        <w:spacing w:line="276" w:lineRule="auto"/>
        <w:rPr>
          <w:rFonts w:ascii="Times New Roman" w:hAnsi="Times New Roman" w:cs="Times New Roman"/>
        </w:rPr>
      </w:pPr>
      <w:r w:rsidRPr="0088519A">
        <w:rPr>
          <w:rFonts w:ascii="Times New Roman" w:hAnsi="Times New Roman" w:cs="Times New Roman"/>
        </w:rPr>
        <w:t xml:space="preserve">Efni: </w:t>
      </w:r>
      <w:sdt>
        <w:sdtPr>
          <w:rPr>
            <w:rFonts w:ascii="Times New Roman" w:hAnsi="Times New Roman" w:cs="Times New Roman"/>
          </w:rPr>
          <w:id w:val="764192880"/>
          <w:placeholder>
            <w:docPart w:val="EF8DE9EDCB5544A682A6B0190E0A3310"/>
          </w:placeholder>
        </w:sdtPr>
        <w:sdtContent>
          <w:r w:rsidRPr="0088519A">
            <w:rPr>
              <w:rFonts w:ascii="Times New Roman" w:hAnsi="Times New Roman" w:cs="Times New Roman"/>
            </w:rPr>
            <w:t>Frumvarp til laga um breytingu á lögum um fjármálafyrirtæki, nr. 161/2002 (varnarlína um hlutfall fjárfestingarbankastarfsemi) / FJR19030103</w:t>
          </w:r>
        </w:sdtContent>
      </w:sdt>
    </w:p>
    <w:p w14:paraId="4A5417C1" w14:textId="07CC951C" w:rsidR="009D5E06" w:rsidRPr="0088519A" w:rsidRDefault="00296BCD" w:rsidP="00E67548">
      <w:pPr>
        <w:spacing w:line="276" w:lineRule="auto"/>
        <w:rPr>
          <w:rFonts w:ascii="Times New Roman" w:hAnsi="Times New Roman" w:cs="Times New Roman"/>
        </w:rPr>
      </w:pPr>
      <w:r>
        <w:rPr>
          <w:rFonts w:ascii="Times New Roman" w:hAnsi="Times New Roman" w:cs="Times New Roman"/>
        </w:rPr>
        <w:t>Á</w:t>
      </w:r>
      <w:r w:rsidR="009D4218" w:rsidRPr="0088519A">
        <w:rPr>
          <w:rFonts w:ascii="Times New Roman" w:hAnsi="Times New Roman" w:cs="Times New Roman"/>
        </w:rPr>
        <w:t>form</w:t>
      </w:r>
      <w:r w:rsidR="00A42BBF" w:rsidRPr="0088519A">
        <w:rPr>
          <w:rFonts w:ascii="Times New Roman" w:hAnsi="Times New Roman" w:cs="Times New Roman"/>
        </w:rPr>
        <w:t xml:space="preserve"> </w:t>
      </w:r>
      <w:r w:rsidR="00635B93" w:rsidRPr="0088519A">
        <w:rPr>
          <w:rFonts w:ascii="Times New Roman" w:hAnsi="Times New Roman" w:cs="Times New Roman"/>
        </w:rPr>
        <w:t>um lagasetningu</w:t>
      </w:r>
      <w:r w:rsidR="00A42BBF" w:rsidRPr="0088519A">
        <w:rPr>
          <w:rFonts w:ascii="Times New Roman" w:hAnsi="Times New Roman" w:cs="Times New Roman"/>
        </w:rPr>
        <w:t xml:space="preserve"> sem á a</w:t>
      </w:r>
      <w:r w:rsidR="009D5E06" w:rsidRPr="0088519A">
        <w:rPr>
          <w:rFonts w:ascii="Times New Roman" w:hAnsi="Times New Roman" w:cs="Times New Roman"/>
        </w:rPr>
        <w:t>ð leggja fram</w:t>
      </w:r>
      <w:r w:rsidR="00A42BBF" w:rsidRPr="0088519A">
        <w:rPr>
          <w:rFonts w:ascii="Times New Roman" w:hAnsi="Times New Roman" w:cs="Times New Roman"/>
        </w:rPr>
        <w:t xml:space="preserve"> í</w:t>
      </w:r>
      <w:r w:rsidR="009D5E06" w:rsidRPr="0088519A">
        <w:rPr>
          <w:rFonts w:ascii="Times New Roman" w:hAnsi="Times New Roman" w:cs="Times New Roman"/>
        </w:rPr>
        <w:t xml:space="preserve"> frumvarp</w:t>
      </w:r>
      <w:r w:rsidR="00A42BBF" w:rsidRPr="0088519A">
        <w:rPr>
          <w:rFonts w:ascii="Times New Roman" w:hAnsi="Times New Roman" w:cs="Times New Roman"/>
        </w:rPr>
        <w:t>i</w:t>
      </w:r>
      <w:r w:rsidR="009D5E06" w:rsidRPr="0088519A">
        <w:rPr>
          <w:rFonts w:ascii="Times New Roman" w:hAnsi="Times New Roman" w:cs="Times New Roman"/>
        </w:rPr>
        <w:t xml:space="preserve"> í nóvember 2019 </w:t>
      </w:r>
      <w:r>
        <w:rPr>
          <w:rFonts w:ascii="Times New Roman" w:hAnsi="Times New Roman" w:cs="Times New Roman"/>
        </w:rPr>
        <w:t>eiga að stuðla að því að</w:t>
      </w:r>
      <w:r w:rsidR="009D5E06" w:rsidRPr="0088519A">
        <w:rPr>
          <w:rFonts w:ascii="Times New Roman" w:hAnsi="Times New Roman" w:cs="Times New Roman"/>
        </w:rPr>
        <w:t xml:space="preserve"> skapa svokallaða varnarlínu um hlutfall fjárfestingarbankastarfsemi innan viðskiptabanka á Íslandi. Samkvæmt væntu frumvarpi á að takmarka beina og óbeina stöðutöku íslenskra viðskiptabanka sem skilgreindir séu sem kerfislega mikilvægir. </w:t>
      </w:r>
      <w:r w:rsidR="009D5E06" w:rsidRPr="0088519A">
        <w:rPr>
          <w:rFonts w:ascii="Times New Roman" w:hAnsi="Times New Roman" w:cs="Times New Roman"/>
        </w:rPr>
        <w:t xml:space="preserve">Fyrirhugað er að </w:t>
      </w:r>
      <w:r w:rsidR="00F250E4" w:rsidRPr="0088519A">
        <w:rPr>
          <w:rFonts w:ascii="Times New Roman" w:hAnsi="Times New Roman" w:cs="Times New Roman"/>
        </w:rPr>
        <w:t>samanlagðar ofangreindar</w:t>
      </w:r>
      <w:r w:rsidR="009D5E06" w:rsidRPr="0088519A">
        <w:rPr>
          <w:rFonts w:ascii="Times New Roman" w:hAnsi="Times New Roman" w:cs="Times New Roman"/>
        </w:rPr>
        <w:t xml:space="preserve"> stöðutöku</w:t>
      </w:r>
      <w:r w:rsidR="00F250E4" w:rsidRPr="0088519A">
        <w:rPr>
          <w:rFonts w:ascii="Times New Roman" w:hAnsi="Times New Roman" w:cs="Times New Roman"/>
        </w:rPr>
        <w:t>r</w:t>
      </w:r>
      <w:r w:rsidR="009D5E06" w:rsidRPr="0088519A">
        <w:rPr>
          <w:rFonts w:ascii="Times New Roman" w:hAnsi="Times New Roman" w:cs="Times New Roman"/>
        </w:rPr>
        <w:t xml:space="preserve"> </w:t>
      </w:r>
      <w:r w:rsidR="00635B93" w:rsidRPr="0088519A">
        <w:rPr>
          <w:rFonts w:ascii="Times New Roman" w:hAnsi="Times New Roman" w:cs="Times New Roman"/>
        </w:rPr>
        <w:t>megi vera í mesta lagi</w:t>
      </w:r>
      <w:r w:rsidR="009D5E06" w:rsidRPr="0088519A">
        <w:rPr>
          <w:rFonts w:ascii="Times New Roman" w:hAnsi="Times New Roman" w:cs="Times New Roman"/>
        </w:rPr>
        <w:t xml:space="preserve"> 15%</w:t>
      </w:r>
      <w:r w:rsidR="009D5E06" w:rsidRPr="0088519A">
        <w:rPr>
          <w:rFonts w:ascii="Times New Roman" w:hAnsi="Times New Roman" w:cs="Times New Roman"/>
        </w:rPr>
        <w:t xml:space="preserve"> sem</w:t>
      </w:r>
      <w:r w:rsidR="009D5E06" w:rsidRPr="0088519A">
        <w:rPr>
          <w:rFonts w:ascii="Times New Roman" w:hAnsi="Times New Roman" w:cs="Times New Roman"/>
        </w:rPr>
        <w:t xml:space="preserve"> hlutfall</w:t>
      </w:r>
      <w:r w:rsidR="009D5E06" w:rsidRPr="0088519A">
        <w:rPr>
          <w:rFonts w:ascii="Times New Roman" w:hAnsi="Times New Roman" w:cs="Times New Roman"/>
        </w:rPr>
        <w:t xml:space="preserve"> </w:t>
      </w:r>
      <w:r w:rsidR="009D5E06" w:rsidRPr="0088519A">
        <w:rPr>
          <w:rFonts w:ascii="Times New Roman" w:hAnsi="Times New Roman" w:cs="Times New Roman"/>
        </w:rPr>
        <w:t>af eiginfjárgrunni</w:t>
      </w:r>
      <w:r w:rsidR="009D5E06" w:rsidRPr="0088519A">
        <w:rPr>
          <w:rFonts w:ascii="Times New Roman" w:hAnsi="Times New Roman" w:cs="Times New Roman"/>
        </w:rPr>
        <w:t xml:space="preserve"> hvers banka.</w:t>
      </w:r>
      <w:r w:rsidR="00635B93" w:rsidRPr="0088519A">
        <w:rPr>
          <w:rFonts w:ascii="Times New Roman" w:hAnsi="Times New Roman" w:cs="Times New Roman"/>
        </w:rPr>
        <w:t xml:space="preserve"> Fari slíkar stöðutökur umfram þeirri prósentu þá beri að flytja fjárfestingar yfir í annað félag, </w:t>
      </w:r>
      <w:r>
        <w:rPr>
          <w:rFonts w:ascii="Times New Roman" w:hAnsi="Times New Roman" w:cs="Times New Roman"/>
        </w:rPr>
        <w:t>sem</w:t>
      </w:r>
      <w:r w:rsidR="00635B93" w:rsidRPr="0088519A">
        <w:rPr>
          <w:rFonts w:ascii="Times New Roman" w:hAnsi="Times New Roman" w:cs="Times New Roman"/>
        </w:rPr>
        <w:t xml:space="preserve"> mætti þó vera hluti af samstæðunni.</w:t>
      </w:r>
    </w:p>
    <w:p w14:paraId="744E2F1F" w14:textId="6F719F2E" w:rsidR="00F250E4" w:rsidRDefault="00296BCD" w:rsidP="00E67548">
      <w:pPr>
        <w:spacing w:line="276" w:lineRule="auto"/>
        <w:rPr>
          <w:rFonts w:ascii="Times New Roman" w:hAnsi="Times New Roman" w:cs="Times New Roman"/>
        </w:rPr>
      </w:pPr>
      <w:r>
        <w:rPr>
          <w:rFonts w:ascii="Times New Roman" w:hAnsi="Times New Roman" w:cs="Times New Roman"/>
        </w:rPr>
        <w:t>Þetta</w:t>
      </w:r>
      <w:r w:rsidR="00F250E4" w:rsidRPr="0088519A">
        <w:rPr>
          <w:rFonts w:ascii="Times New Roman" w:hAnsi="Times New Roman" w:cs="Times New Roman"/>
        </w:rPr>
        <w:t xml:space="preserve"> er í mínum huga einungis eitt lítið skref í rétta átt og auk þess tímabundið, því frekari umbætur eru nauðsynlegar og þyrfti í því sambandi að líta til lengri </w:t>
      </w:r>
      <w:r>
        <w:rPr>
          <w:rFonts w:ascii="Times New Roman" w:hAnsi="Times New Roman" w:cs="Times New Roman"/>
        </w:rPr>
        <w:t xml:space="preserve">og víðsýnni </w:t>
      </w:r>
      <w:r w:rsidR="00F250E4" w:rsidRPr="0088519A">
        <w:rPr>
          <w:rFonts w:ascii="Times New Roman" w:hAnsi="Times New Roman" w:cs="Times New Roman"/>
        </w:rPr>
        <w:t>vegar. Ég vísa töluvert í ritgerð sem Andri Ingason og Rebekka Bjarnadóttir skrifuðu undir minni leiðsögn árið 2017 auk eldri skrifa minna.</w:t>
      </w:r>
    </w:p>
    <w:p w14:paraId="74F4A54A" w14:textId="77777777" w:rsidR="00296BCD" w:rsidRPr="0088519A" w:rsidRDefault="00296BCD" w:rsidP="00E67548">
      <w:pPr>
        <w:spacing w:line="276" w:lineRule="auto"/>
        <w:rPr>
          <w:rFonts w:ascii="Times New Roman" w:hAnsi="Times New Roman" w:cs="Times New Roman"/>
        </w:rPr>
      </w:pPr>
    </w:p>
    <w:p w14:paraId="26A3BB09" w14:textId="6B2C5674" w:rsidR="00F250E4" w:rsidRPr="0088519A" w:rsidRDefault="00F250E4" w:rsidP="0088519A">
      <w:pPr>
        <w:pStyle w:val="Heading2"/>
      </w:pPr>
      <w:r w:rsidRPr="0088519A">
        <w:t>Kerfislega mikilvægir bankar</w:t>
      </w:r>
    </w:p>
    <w:p w14:paraId="486980F1" w14:textId="60A5C521" w:rsidR="00A42BBF" w:rsidRPr="0088519A" w:rsidRDefault="00A42BBF" w:rsidP="00E67548">
      <w:pPr>
        <w:spacing w:before="60" w:after="60" w:line="276" w:lineRule="auto"/>
        <w:jc w:val="both"/>
        <w:rPr>
          <w:rFonts w:ascii="Times New Roman" w:hAnsi="Times New Roman" w:cs="Times New Roman"/>
        </w:rPr>
      </w:pPr>
      <w:r w:rsidRPr="0088519A">
        <w:rPr>
          <w:rFonts w:ascii="Times New Roman" w:hAnsi="Times New Roman" w:cs="Times New Roman"/>
        </w:rPr>
        <w:t xml:space="preserve">Í umræðu um til hverra takmarkanirnar eigi að ná kemur </w:t>
      </w:r>
      <w:r w:rsidR="009D4218" w:rsidRPr="0088519A">
        <w:rPr>
          <w:rFonts w:ascii="Times New Roman" w:hAnsi="Times New Roman" w:cs="Times New Roman"/>
        </w:rPr>
        <w:t>e</w:t>
      </w:r>
      <w:r w:rsidR="00F250E4" w:rsidRPr="0088519A">
        <w:rPr>
          <w:rFonts w:ascii="Times New Roman" w:hAnsi="Times New Roman" w:cs="Times New Roman"/>
        </w:rPr>
        <w:t xml:space="preserve">ftirfarandi fram: </w:t>
      </w:r>
    </w:p>
    <w:p w14:paraId="7E105E08" w14:textId="77777777" w:rsidR="00A42BBF" w:rsidRPr="0088519A" w:rsidRDefault="00A42BBF" w:rsidP="00E67548">
      <w:pPr>
        <w:pStyle w:val="ListParagraph"/>
        <w:spacing w:before="60" w:after="60"/>
        <w:jc w:val="both"/>
        <w:rPr>
          <w:rFonts w:ascii="Times New Roman" w:hAnsi="Times New Roman" w:cs="Times New Roman"/>
        </w:rPr>
      </w:pPr>
    </w:p>
    <w:p w14:paraId="31A0CA72" w14:textId="54F44EB1" w:rsidR="00A42BBF" w:rsidRPr="0088519A" w:rsidRDefault="00A42BBF" w:rsidP="00E67548">
      <w:pPr>
        <w:pStyle w:val="ListParagraph"/>
        <w:spacing w:before="60" w:after="60"/>
        <w:jc w:val="both"/>
        <w:rPr>
          <w:rFonts w:ascii="Times New Roman" w:hAnsi="Times New Roman" w:cs="Times New Roman"/>
          <w:i/>
          <w:lang w:val="is-IS"/>
        </w:rPr>
      </w:pPr>
      <w:r w:rsidRPr="0088519A">
        <w:rPr>
          <w:rFonts w:ascii="Times New Roman" w:hAnsi="Times New Roman" w:cs="Times New Roman"/>
          <w:i/>
          <w:lang w:val="is-IS"/>
        </w:rPr>
        <w:t xml:space="preserve">Til samræmis við tillögu hvítbókarinnar er fyrirhugað er að láta takmörkunina ná til innlánsstofnana sem fjármálastöðugleikaráð hefur skilgreint sem kerfislega mikilvægar samkvæmt </w:t>
      </w:r>
      <w:hyperlink r:id="rId8" w:history="1">
        <w:r w:rsidRPr="0088519A">
          <w:rPr>
            <w:rStyle w:val="Hyperlink"/>
            <w:rFonts w:ascii="Times New Roman" w:hAnsi="Times New Roman" w:cs="Times New Roman"/>
            <w:i/>
            <w:lang w:val="is-IS"/>
          </w:rPr>
          <w:t>lögum um fjármálastöðugleikaráð, nr. 66/2014</w:t>
        </w:r>
      </w:hyperlink>
      <w:r w:rsidRPr="0088519A">
        <w:rPr>
          <w:rFonts w:ascii="Times New Roman" w:hAnsi="Times New Roman" w:cs="Times New Roman"/>
          <w:i/>
          <w:lang w:val="is-IS"/>
        </w:rPr>
        <w:t xml:space="preserve">. </w:t>
      </w:r>
      <w:r w:rsidRPr="0088519A">
        <w:rPr>
          <w:rFonts w:ascii="Times New Roman" w:eastAsia="Calibri" w:hAnsi="Times New Roman" w:cs="Times New Roman"/>
          <w:i/>
          <w:lang w:val="is-IS"/>
        </w:rPr>
        <w:t xml:space="preserve">Sem stendur eru Arion banki hf., Íslandsbanki hf. og Landsbankinn hf. </w:t>
      </w:r>
      <w:hyperlink r:id="rId9" w:history="1">
        <w:r w:rsidRPr="0088519A">
          <w:rPr>
            <w:rFonts w:ascii="Times New Roman" w:eastAsia="Calibri" w:hAnsi="Times New Roman" w:cs="Times New Roman"/>
            <w:i/>
            <w:color w:val="0563C1"/>
            <w:u w:val="single"/>
            <w:lang w:val="is-IS"/>
          </w:rPr>
          <w:t>skilgreindir</w:t>
        </w:r>
      </w:hyperlink>
      <w:r w:rsidRPr="0088519A">
        <w:rPr>
          <w:rFonts w:ascii="Times New Roman" w:eastAsia="Calibri" w:hAnsi="Times New Roman" w:cs="Times New Roman"/>
          <w:i/>
          <w:lang w:val="is-IS"/>
        </w:rPr>
        <w:t xml:space="preserve"> svo. </w:t>
      </w:r>
      <w:r w:rsidRPr="0088519A">
        <w:rPr>
          <w:rFonts w:ascii="Times New Roman" w:hAnsi="Times New Roman" w:cs="Times New Roman"/>
          <w:i/>
          <w:lang w:val="is-IS"/>
        </w:rPr>
        <w:t>Viðhald fjármálastöðugleika er ekki talið kalla á að takmörkunin nái til innlánsstofnana sem eru ekki kerfislega mikilvægar.</w:t>
      </w:r>
    </w:p>
    <w:p w14:paraId="3B7BCAD2" w14:textId="01F83C65" w:rsidR="00A42BBF" w:rsidRPr="0088519A" w:rsidRDefault="00A42BBF" w:rsidP="00E67548">
      <w:pPr>
        <w:pStyle w:val="ListParagraph"/>
        <w:spacing w:before="60" w:after="60"/>
        <w:jc w:val="both"/>
        <w:rPr>
          <w:rFonts w:ascii="Times New Roman" w:hAnsi="Times New Roman" w:cs="Times New Roman"/>
          <w:i/>
          <w:lang w:val="is-IS"/>
        </w:rPr>
      </w:pPr>
    </w:p>
    <w:p w14:paraId="2B31A923" w14:textId="5613724E" w:rsidR="00A42BBF" w:rsidRPr="0088519A" w:rsidRDefault="00A42BBF" w:rsidP="00E67548">
      <w:pPr>
        <w:spacing w:before="60" w:after="60" w:line="276" w:lineRule="auto"/>
        <w:rPr>
          <w:rFonts w:ascii="Times New Roman" w:hAnsi="Times New Roman" w:cs="Times New Roman"/>
        </w:rPr>
      </w:pPr>
      <w:r w:rsidRPr="0088519A">
        <w:rPr>
          <w:rFonts w:ascii="Times New Roman" w:hAnsi="Times New Roman" w:cs="Times New Roman"/>
        </w:rPr>
        <w:t xml:space="preserve">Reynslan sýnir að banki eða sparisjóður þarf ekki að vera kerfislega mikilvægur til þess að skapa aðstæður sem leiða til þess að skattborgarar verði ekki fyrir miklu tjóni. Í því sambandi má til dæmis rifja upp </w:t>
      </w:r>
      <w:r w:rsidR="009D4218" w:rsidRPr="0088519A">
        <w:rPr>
          <w:rFonts w:ascii="Times New Roman" w:hAnsi="Times New Roman" w:cs="Times New Roman"/>
        </w:rPr>
        <w:t xml:space="preserve">hið mikla tap hjá </w:t>
      </w:r>
      <w:r w:rsidRPr="0088519A">
        <w:rPr>
          <w:rFonts w:ascii="Times New Roman" w:hAnsi="Times New Roman" w:cs="Times New Roman"/>
        </w:rPr>
        <w:t>Sparisjóð</w:t>
      </w:r>
      <w:r w:rsidR="009D4218" w:rsidRPr="0088519A">
        <w:rPr>
          <w:rFonts w:ascii="Times New Roman" w:hAnsi="Times New Roman" w:cs="Times New Roman"/>
        </w:rPr>
        <w:t>i</w:t>
      </w:r>
      <w:r w:rsidRPr="0088519A">
        <w:rPr>
          <w:rFonts w:ascii="Times New Roman" w:hAnsi="Times New Roman" w:cs="Times New Roman"/>
        </w:rPr>
        <w:t xml:space="preserve"> Keflavíkur fyrir um það bil 10 árum síðan</w:t>
      </w:r>
      <w:r w:rsidR="009D4218" w:rsidRPr="0088519A">
        <w:rPr>
          <w:rFonts w:ascii="Times New Roman" w:hAnsi="Times New Roman" w:cs="Times New Roman"/>
        </w:rPr>
        <w:t xml:space="preserve"> sem féll að stórum hluta í fang íslenskra skattborgara</w:t>
      </w:r>
      <w:r w:rsidRPr="0088519A">
        <w:rPr>
          <w:rFonts w:ascii="Times New Roman" w:hAnsi="Times New Roman" w:cs="Times New Roman"/>
        </w:rPr>
        <w:t>.</w:t>
      </w:r>
    </w:p>
    <w:p w14:paraId="294F6E0B" w14:textId="6BD39C85" w:rsidR="009D4218" w:rsidRDefault="009D4218" w:rsidP="00E67548">
      <w:pPr>
        <w:spacing w:before="60" w:after="60" w:line="276" w:lineRule="auto"/>
        <w:rPr>
          <w:rFonts w:ascii="Times New Roman" w:hAnsi="Times New Roman" w:cs="Times New Roman"/>
        </w:rPr>
      </w:pPr>
      <w:r w:rsidRPr="0088519A">
        <w:rPr>
          <w:rFonts w:ascii="Times New Roman" w:hAnsi="Times New Roman" w:cs="Times New Roman"/>
        </w:rPr>
        <w:t>Því til viðbótar má koma með rök um að með því að aðgreina fjármálastofnanir sem annaðhvort kerfislega mikilvægar eða ekki í þessu sambandi þá sé verið að skekkja samkeppnisstöðu slíkra stofnanna. Það myndi jafnvel auka freistnivanda þeirra sem fá með þessu undanþágu á væntum lögum og verði litlar miðstöðvar áhættufjárfestinga í boði íslenskra skattgreiðenda.</w:t>
      </w:r>
    </w:p>
    <w:p w14:paraId="302879A0" w14:textId="77777777" w:rsidR="00296BCD" w:rsidRPr="0088519A" w:rsidRDefault="00296BCD" w:rsidP="00E67548">
      <w:pPr>
        <w:spacing w:before="60" w:after="60" w:line="276" w:lineRule="auto"/>
        <w:rPr>
          <w:rFonts w:ascii="Times New Roman" w:hAnsi="Times New Roman" w:cs="Times New Roman"/>
        </w:rPr>
      </w:pPr>
    </w:p>
    <w:p w14:paraId="4AA39425" w14:textId="79EC4093" w:rsidR="009D4218" w:rsidRPr="0088519A" w:rsidRDefault="009D4218" w:rsidP="0088519A">
      <w:pPr>
        <w:pStyle w:val="Heading2"/>
      </w:pPr>
      <w:r w:rsidRPr="0088519A">
        <w:lastRenderedPageBreak/>
        <w:t>Aðskilnaður, en ekki aðskilnaður</w:t>
      </w:r>
    </w:p>
    <w:p w14:paraId="7AE6E924" w14:textId="6604ED97" w:rsidR="00635B93" w:rsidRDefault="00635B93" w:rsidP="00E67548">
      <w:pPr>
        <w:spacing w:before="60" w:after="60" w:line="276" w:lineRule="auto"/>
        <w:rPr>
          <w:rFonts w:ascii="Times New Roman" w:hAnsi="Times New Roman" w:cs="Times New Roman"/>
        </w:rPr>
      </w:pPr>
      <w:r w:rsidRPr="0088519A">
        <w:rPr>
          <w:rFonts w:ascii="Times New Roman" w:hAnsi="Times New Roman" w:cs="Times New Roman"/>
        </w:rPr>
        <w:t>Fram kemur að ef hlutfall af stöðutökum fari yfir 15% af eiginfjárgrunni þá þyrfti að „þyrfti að stofna sérstakt félag utan um stöðutökuna. Félagið mætti tilheyra sömu samstæðu og bankinn en þyrfti að vera með óháða stjórn, stjórnendur og fjárhag.“ Þetta er afar veikburða aðskilnaður. Vandsé</w:t>
      </w:r>
      <w:r w:rsidR="00C52CC2">
        <w:rPr>
          <w:rFonts w:ascii="Times New Roman" w:hAnsi="Times New Roman" w:cs="Times New Roman"/>
        </w:rPr>
        <w:t>ð er hvernig slí</w:t>
      </w:r>
      <w:r w:rsidRPr="0088519A">
        <w:rPr>
          <w:rFonts w:ascii="Times New Roman" w:hAnsi="Times New Roman" w:cs="Times New Roman"/>
        </w:rPr>
        <w:t xml:space="preserve">k ráðstöfun takmarki áhættu innstæðueigenda með slíkri aðgerð. Slík ráðstöfun væri í raun ekkert annað en að bein fjárfesting breyttist í óbeina fjárfestingu. </w:t>
      </w:r>
      <w:r w:rsidR="00296BCD">
        <w:rPr>
          <w:rFonts w:ascii="Times New Roman" w:hAnsi="Times New Roman" w:cs="Times New Roman"/>
        </w:rPr>
        <w:t xml:space="preserve">Að mínu mati </w:t>
      </w:r>
      <w:r w:rsidR="00296BCD" w:rsidRPr="0088519A">
        <w:rPr>
          <w:rFonts w:ascii="Times New Roman" w:hAnsi="Times New Roman" w:cs="Times New Roman"/>
        </w:rPr>
        <w:t xml:space="preserve">þyrftu </w:t>
      </w:r>
      <w:r w:rsidR="00296BCD">
        <w:rPr>
          <w:rFonts w:ascii="Times New Roman" w:hAnsi="Times New Roman" w:cs="Times New Roman"/>
        </w:rPr>
        <w:t>s</w:t>
      </w:r>
      <w:r w:rsidRPr="0088519A">
        <w:rPr>
          <w:rFonts w:ascii="Times New Roman" w:hAnsi="Times New Roman" w:cs="Times New Roman"/>
        </w:rPr>
        <w:t xml:space="preserve">líkar eignir einfaldlega að vera seldar inn í annað félag eða að fjármálaeftirlitið </w:t>
      </w:r>
      <w:r w:rsidR="00296BCD">
        <w:rPr>
          <w:rFonts w:ascii="Times New Roman" w:hAnsi="Times New Roman" w:cs="Times New Roman"/>
        </w:rPr>
        <w:t>grípi</w:t>
      </w:r>
      <w:r w:rsidRPr="0088519A">
        <w:rPr>
          <w:rFonts w:ascii="Times New Roman" w:hAnsi="Times New Roman" w:cs="Times New Roman"/>
        </w:rPr>
        <w:t xml:space="preserve"> í taumanna.</w:t>
      </w:r>
    </w:p>
    <w:p w14:paraId="591652DB" w14:textId="4363FFE8" w:rsidR="00C41CED" w:rsidRPr="0088519A" w:rsidRDefault="00C41CED" w:rsidP="00E67548">
      <w:pPr>
        <w:spacing w:before="60" w:after="60" w:line="276" w:lineRule="auto"/>
        <w:rPr>
          <w:rFonts w:ascii="Times New Roman" w:hAnsi="Times New Roman" w:cs="Times New Roman"/>
        </w:rPr>
      </w:pPr>
      <w:r>
        <w:rPr>
          <w:rFonts w:ascii="Times New Roman" w:hAnsi="Times New Roman" w:cs="Times New Roman"/>
        </w:rPr>
        <w:t>Í raun tengist þetta umræðu að neðan varðandi skilgreiningu á fjármálafyrirtækjum, sem virðist í ofangreindum orðum áformanna vera afar óskýr.</w:t>
      </w:r>
    </w:p>
    <w:p w14:paraId="754369F4" w14:textId="3644B252" w:rsidR="00635B93" w:rsidRPr="0088519A" w:rsidRDefault="00635B93" w:rsidP="00E67548">
      <w:pPr>
        <w:spacing w:before="60" w:after="60" w:line="276" w:lineRule="auto"/>
        <w:rPr>
          <w:rFonts w:ascii="Times New Roman" w:hAnsi="Times New Roman" w:cs="Times New Roman"/>
        </w:rPr>
      </w:pPr>
    </w:p>
    <w:p w14:paraId="0479D739" w14:textId="0CA07284" w:rsidR="00635B93" w:rsidRPr="0088519A" w:rsidRDefault="00635B93" w:rsidP="0088519A">
      <w:pPr>
        <w:pStyle w:val="Heading2"/>
      </w:pPr>
      <w:r w:rsidRPr="0088519A">
        <w:t>Skilgreining á fjármálafyrirtæki</w:t>
      </w:r>
    </w:p>
    <w:p w14:paraId="375AEC0B" w14:textId="4278C8D0" w:rsidR="00635B93" w:rsidRPr="0088519A" w:rsidRDefault="00635B93" w:rsidP="00E67548">
      <w:pPr>
        <w:spacing w:before="60" w:after="60" w:line="276" w:lineRule="auto"/>
        <w:rPr>
          <w:rFonts w:ascii="Times New Roman" w:hAnsi="Times New Roman" w:cs="Times New Roman"/>
        </w:rPr>
      </w:pPr>
      <w:r w:rsidRPr="0088519A">
        <w:rPr>
          <w:rFonts w:ascii="Times New Roman" w:hAnsi="Times New Roman" w:cs="Times New Roman"/>
        </w:rPr>
        <w:t>Í textanum kemur orðrétt fram:</w:t>
      </w:r>
    </w:p>
    <w:p w14:paraId="2EBCA96F" w14:textId="58C2888E" w:rsidR="00635B93" w:rsidRPr="0088519A" w:rsidRDefault="00635B93" w:rsidP="00E67548">
      <w:pPr>
        <w:spacing w:before="60" w:after="60" w:line="276" w:lineRule="auto"/>
        <w:rPr>
          <w:rFonts w:ascii="Times New Roman" w:hAnsi="Times New Roman" w:cs="Times New Roman"/>
        </w:rPr>
      </w:pPr>
    </w:p>
    <w:p w14:paraId="4F96605F" w14:textId="77777777" w:rsidR="00635B93" w:rsidRPr="0088519A" w:rsidRDefault="00635B93" w:rsidP="00E67548">
      <w:pPr>
        <w:pStyle w:val="ListParagraph"/>
        <w:numPr>
          <w:ilvl w:val="0"/>
          <w:numId w:val="1"/>
        </w:numPr>
        <w:spacing w:before="60" w:after="60"/>
        <w:jc w:val="both"/>
        <w:rPr>
          <w:rFonts w:ascii="Times New Roman" w:hAnsi="Times New Roman" w:cs="Times New Roman"/>
          <w:lang w:val="is-IS"/>
        </w:rPr>
      </w:pPr>
      <w:r w:rsidRPr="0088519A">
        <w:rPr>
          <w:rFonts w:ascii="Times New Roman" w:hAnsi="Times New Roman" w:cs="Times New Roman"/>
          <w:i/>
          <w:lang w:val="is-IS"/>
        </w:rPr>
        <w:t xml:space="preserve">Hvaða starfsemi á að takmarka? </w:t>
      </w:r>
    </w:p>
    <w:p w14:paraId="56FBFA65" w14:textId="77777777" w:rsidR="00635B93" w:rsidRPr="0088519A" w:rsidRDefault="00635B93" w:rsidP="00E67548">
      <w:pPr>
        <w:pStyle w:val="ListParagraph"/>
        <w:spacing w:before="60" w:after="60"/>
        <w:jc w:val="both"/>
        <w:rPr>
          <w:rFonts w:ascii="Times New Roman" w:hAnsi="Times New Roman" w:cs="Times New Roman"/>
          <w:lang w:val="is-IS"/>
        </w:rPr>
      </w:pPr>
      <w:r w:rsidRPr="0088519A">
        <w:rPr>
          <w:rFonts w:ascii="Times New Roman" w:hAnsi="Times New Roman" w:cs="Times New Roman"/>
          <w:lang w:val="is-IS"/>
        </w:rPr>
        <w:t>Fjárfestingarbankastarfsemi er af margvíslegum toga. Til hennar má meðal annars telja fyrirtækjaráðgjöf, eignastýringu, fjárfestingarráðgjöf, rekstur sjóða, milligöngu með viðskipti á verðbréfum,</w:t>
      </w:r>
      <w:r w:rsidRPr="0088519A">
        <w:rPr>
          <w:rFonts w:ascii="Times New Roman" w:hAnsi="Times New Roman" w:cs="Times New Roman"/>
        </w:rPr>
        <w:t xml:space="preserve"> </w:t>
      </w:r>
      <w:r w:rsidRPr="0088519A">
        <w:rPr>
          <w:rFonts w:ascii="Times New Roman" w:hAnsi="Times New Roman" w:cs="Times New Roman"/>
          <w:lang w:val="is-IS"/>
        </w:rPr>
        <w:t>eigin viðskipti með verðbréf, viðskiptavakt, sölutryggingu verðbréfa og afleiðuviðskipti. Afmarka þarf hvaða starfsemi eigi að takmarka.</w:t>
      </w:r>
    </w:p>
    <w:p w14:paraId="39FD9052" w14:textId="7889C1A1" w:rsidR="00635B93" w:rsidRPr="0088519A" w:rsidRDefault="00635B93" w:rsidP="00E67548">
      <w:pPr>
        <w:spacing w:before="60" w:after="60" w:line="276" w:lineRule="auto"/>
        <w:rPr>
          <w:rFonts w:ascii="Times New Roman" w:hAnsi="Times New Roman" w:cs="Times New Roman"/>
        </w:rPr>
      </w:pPr>
    </w:p>
    <w:p w14:paraId="5126856F" w14:textId="1A55D6D8" w:rsidR="00C13211" w:rsidRPr="0088519A" w:rsidRDefault="00C3299D" w:rsidP="00E67548">
      <w:pPr>
        <w:spacing w:before="60" w:after="60" w:line="276" w:lineRule="auto"/>
        <w:rPr>
          <w:rFonts w:ascii="Times New Roman" w:hAnsi="Times New Roman" w:cs="Times New Roman"/>
        </w:rPr>
      </w:pPr>
      <w:r w:rsidRPr="0088519A">
        <w:rPr>
          <w:rFonts w:ascii="Times New Roman" w:hAnsi="Times New Roman" w:cs="Times New Roman"/>
        </w:rPr>
        <w:t xml:space="preserve">Hér er verið að byrja á öfugum enda. Í umræðukafla og niðurstöðum ritgerðar Andra Ingasonar og Rebekku Bjarnadóttir, Aðskilnaður viðskipta- og fjárfestingarbankastarfsemi, </w:t>
      </w:r>
      <w:r w:rsidR="007035D1" w:rsidRPr="0088519A">
        <w:rPr>
          <w:rFonts w:ascii="Times New Roman" w:hAnsi="Times New Roman" w:cs="Times New Roman"/>
        </w:rPr>
        <w:t>kemur fram að fjárfestingabankastarfsemi var ekki eina ástæða fjármálahrunsins 2008, hel</w:t>
      </w:r>
      <w:r w:rsidR="00E67548" w:rsidRPr="0088519A">
        <w:rPr>
          <w:rFonts w:ascii="Times New Roman" w:hAnsi="Times New Roman" w:cs="Times New Roman"/>
        </w:rPr>
        <w:t xml:space="preserve">dur einnig aðrir þættir svo sem húsbréfavafningar í Bandaríkjunum. </w:t>
      </w:r>
      <w:r w:rsidR="00C13211" w:rsidRPr="0088519A">
        <w:rPr>
          <w:rFonts w:ascii="Times New Roman" w:hAnsi="Times New Roman" w:cs="Times New Roman"/>
        </w:rPr>
        <w:t>Að einhverju leyti megi því kenna áhættusækni hjá viðskiptabönkum.</w:t>
      </w:r>
      <w:r w:rsidR="00296BCD">
        <w:rPr>
          <w:rFonts w:ascii="Times New Roman" w:hAnsi="Times New Roman" w:cs="Times New Roman"/>
        </w:rPr>
        <w:t xml:space="preserve"> Nauðsynlegt sé því að regluverk slíkra stofnanna sé strangt og umfram regluverki annarra fyrirtækja.</w:t>
      </w:r>
    </w:p>
    <w:p w14:paraId="3E7D819D" w14:textId="55A36997" w:rsidR="00C13211" w:rsidRPr="0088519A" w:rsidRDefault="00E67548" w:rsidP="00E67548">
      <w:pPr>
        <w:spacing w:before="60" w:after="60" w:line="276" w:lineRule="auto"/>
        <w:rPr>
          <w:rFonts w:ascii="Times New Roman" w:hAnsi="Times New Roman" w:cs="Times New Roman"/>
        </w:rPr>
      </w:pPr>
      <w:r w:rsidRPr="0088519A">
        <w:rPr>
          <w:rFonts w:ascii="Times New Roman" w:hAnsi="Times New Roman" w:cs="Times New Roman"/>
        </w:rPr>
        <w:t>Fram kom í rannsókn þeirra að afar mismunandi skoðanir ríki varðandi það hvernig skilgreina eigi fjárfestingabanka.</w:t>
      </w:r>
      <w:r w:rsidR="00C13211" w:rsidRPr="0088519A">
        <w:rPr>
          <w:rFonts w:ascii="Times New Roman" w:hAnsi="Times New Roman" w:cs="Times New Roman"/>
        </w:rPr>
        <w:t xml:space="preserve"> Telja þau nærtækara að byrja á hinum endanum. Þau segja: „Nær væri að þrengja skilgreiningu viðskiptabanka í lögum, þ.e. hvaða starfsemi viðskiptabanki ætti einungis að stunda. Öll önnur fjármálastarfsemi myndi því falla undir skilgreiningu fjárfestingarbanka sem væri víðara túlkuð.“</w:t>
      </w:r>
    </w:p>
    <w:p w14:paraId="7916BA4A" w14:textId="5A988A7B" w:rsidR="00C13211" w:rsidRPr="0088519A" w:rsidRDefault="00C13211" w:rsidP="00E67548">
      <w:pPr>
        <w:spacing w:before="60" w:after="60" w:line="276" w:lineRule="auto"/>
        <w:rPr>
          <w:rFonts w:ascii="Times New Roman" w:hAnsi="Times New Roman" w:cs="Times New Roman"/>
        </w:rPr>
      </w:pPr>
      <w:r w:rsidRPr="0088519A">
        <w:rPr>
          <w:rFonts w:ascii="Times New Roman" w:hAnsi="Times New Roman" w:cs="Times New Roman"/>
        </w:rPr>
        <w:t>Þau segja í framhaldi af þessu:</w:t>
      </w:r>
    </w:p>
    <w:p w14:paraId="290569A0" w14:textId="184BFAEA" w:rsidR="00C13211" w:rsidRPr="0088519A" w:rsidRDefault="00C13211" w:rsidP="00C13211">
      <w:pPr>
        <w:pStyle w:val="ListParagraph"/>
        <w:spacing w:before="60" w:after="60"/>
        <w:jc w:val="both"/>
        <w:rPr>
          <w:rFonts w:ascii="Times New Roman" w:hAnsi="Times New Roman" w:cs="Times New Roman"/>
          <w:lang w:val="is-IS"/>
        </w:rPr>
      </w:pPr>
      <w:r w:rsidRPr="0088519A">
        <w:rPr>
          <w:rFonts w:ascii="Times New Roman" w:hAnsi="Times New Roman" w:cs="Times New Roman"/>
          <w:lang w:val="is-IS"/>
        </w:rPr>
        <w:t xml:space="preserve">Búið er að flækja umræðuna hér á landi um aðskilnað viðskipta- og fjárfestingarbankastarfsemi og greiningu milli þessarar starfsemi. Það er mikið talað um mikilvægi þess að skilgreina fjárfestingarbankastarfsemi, hvað teljist í raun og veru til hennar og hvað felist í henni. Einfaldara væri að hugsa skilgreiningarvandann út frá viðskiptabankastarfseminni fremur en fjárfestingarbankastarfseminni. Flestir vita í hverju starfsemi viðskiptabanka felst og væri mikið nær að stjórnvöld gerðu það upp við sig hvaða starfsemi viðskiptabankar ættu að stunda. </w:t>
      </w:r>
    </w:p>
    <w:p w14:paraId="637331D3" w14:textId="620E600A" w:rsidR="00296BCD" w:rsidRDefault="0088519A" w:rsidP="00C13211">
      <w:pPr>
        <w:spacing w:before="60" w:after="60"/>
        <w:jc w:val="both"/>
        <w:rPr>
          <w:rFonts w:ascii="Times New Roman" w:hAnsi="Times New Roman" w:cs="Times New Roman"/>
        </w:rPr>
      </w:pPr>
      <w:r w:rsidRPr="0088519A">
        <w:rPr>
          <w:rFonts w:ascii="Times New Roman" w:hAnsi="Times New Roman" w:cs="Times New Roman"/>
        </w:rPr>
        <w:t xml:space="preserve">Því ættu lög sem miða að því að vernda íslenska innstæðueigendur og ríkis vegna kerfislegra mikilvægra banka að einblína á viðskiptabankastarfsemi og setja þeim þröngar skorður hvað regluverk varðar. </w:t>
      </w:r>
      <w:r w:rsidR="00296BCD">
        <w:rPr>
          <w:rFonts w:ascii="Times New Roman" w:hAnsi="Times New Roman" w:cs="Times New Roman"/>
        </w:rPr>
        <w:t>Segja má að slíkar stofnanir njóti góðs af óbeinni ríkisábyrgð á starfsemi þeirra en á móti séu kröfurnar meiri hvað regluverk varðar.</w:t>
      </w:r>
    </w:p>
    <w:p w14:paraId="465F706B" w14:textId="6A1FDD21" w:rsidR="0088519A" w:rsidRPr="0088519A" w:rsidRDefault="0088519A" w:rsidP="00C13211">
      <w:pPr>
        <w:spacing w:before="60" w:after="60"/>
        <w:jc w:val="both"/>
        <w:rPr>
          <w:rFonts w:ascii="Times New Roman" w:hAnsi="Times New Roman" w:cs="Times New Roman"/>
        </w:rPr>
      </w:pPr>
      <w:r w:rsidRPr="0088519A">
        <w:rPr>
          <w:rFonts w:ascii="Times New Roman" w:hAnsi="Times New Roman" w:cs="Times New Roman"/>
        </w:rPr>
        <w:t>Þessu verður ekki breytt, hvort sem að ríkisábyrgð sé fyrir hendi eða ekki á innstæ</w:t>
      </w:r>
      <w:r w:rsidR="00C30A22">
        <w:rPr>
          <w:rFonts w:ascii="Times New Roman" w:hAnsi="Times New Roman" w:cs="Times New Roman"/>
        </w:rPr>
        <w:t>ð</w:t>
      </w:r>
      <w:r w:rsidRPr="0088519A">
        <w:rPr>
          <w:rFonts w:ascii="Times New Roman" w:hAnsi="Times New Roman" w:cs="Times New Roman"/>
        </w:rPr>
        <w:t>um fólks.</w:t>
      </w:r>
      <w:r w:rsidR="00C30A22">
        <w:rPr>
          <w:rFonts w:ascii="Times New Roman" w:hAnsi="Times New Roman" w:cs="Times New Roman"/>
        </w:rPr>
        <w:t xml:space="preserve"> Ef viðskiptabankar lenda í hremmingum, þá þarf almenningur með einum eða öðrum hætti að súpa seyðið af slíku.</w:t>
      </w:r>
    </w:p>
    <w:p w14:paraId="04FC3FDA" w14:textId="5797A4E4" w:rsidR="0088519A" w:rsidRDefault="0088519A" w:rsidP="00C13211">
      <w:pPr>
        <w:spacing w:before="60" w:after="60"/>
        <w:jc w:val="both"/>
        <w:rPr>
          <w:rFonts w:ascii="Times New Roman" w:hAnsi="Times New Roman" w:cs="Times New Roman"/>
        </w:rPr>
      </w:pPr>
    </w:p>
    <w:p w14:paraId="6F9DAA1F" w14:textId="68DA8D0C" w:rsidR="0088519A" w:rsidRPr="0088519A" w:rsidRDefault="0088519A" w:rsidP="0088519A">
      <w:pPr>
        <w:pStyle w:val="Heading2"/>
      </w:pPr>
      <w:r>
        <w:lastRenderedPageBreak/>
        <w:t>Regluverk</w:t>
      </w:r>
    </w:p>
    <w:p w14:paraId="2F10D80E" w14:textId="48F35299" w:rsidR="0088519A" w:rsidRPr="0088519A" w:rsidRDefault="00C30A22" w:rsidP="00C13211">
      <w:pPr>
        <w:spacing w:before="60" w:after="60"/>
        <w:jc w:val="both"/>
        <w:rPr>
          <w:rFonts w:ascii="Times New Roman" w:hAnsi="Times New Roman" w:cs="Times New Roman"/>
        </w:rPr>
      </w:pPr>
      <w:r>
        <w:rPr>
          <w:rFonts w:ascii="Times New Roman" w:hAnsi="Times New Roman" w:cs="Times New Roman"/>
        </w:rPr>
        <w:t>Skilgreining á því hvað séu viðskiptabankar</w:t>
      </w:r>
      <w:r w:rsidR="0088519A" w:rsidRPr="0088519A">
        <w:rPr>
          <w:rFonts w:ascii="Times New Roman" w:hAnsi="Times New Roman" w:cs="Times New Roman"/>
        </w:rPr>
        <w:t xml:space="preserve"> myndi einnig opna dyrnar fyrir því að aðrir bankar sem ekki </w:t>
      </w:r>
      <w:r>
        <w:rPr>
          <w:rFonts w:ascii="Times New Roman" w:hAnsi="Times New Roman" w:cs="Times New Roman"/>
        </w:rPr>
        <w:t>séu</w:t>
      </w:r>
      <w:r w:rsidR="0088519A" w:rsidRPr="0088519A">
        <w:rPr>
          <w:rFonts w:ascii="Times New Roman" w:hAnsi="Times New Roman" w:cs="Times New Roman"/>
        </w:rPr>
        <w:t xml:space="preserve"> skilgreindir sem </w:t>
      </w:r>
      <w:r>
        <w:rPr>
          <w:rFonts w:ascii="Times New Roman" w:hAnsi="Times New Roman" w:cs="Times New Roman"/>
        </w:rPr>
        <w:t>slíkir</w:t>
      </w:r>
      <w:r w:rsidR="0088519A" w:rsidRPr="0088519A">
        <w:rPr>
          <w:rFonts w:ascii="Times New Roman" w:hAnsi="Times New Roman" w:cs="Times New Roman"/>
        </w:rPr>
        <w:t xml:space="preserve"> </w:t>
      </w:r>
      <w:r>
        <w:rPr>
          <w:rFonts w:ascii="Times New Roman" w:hAnsi="Times New Roman" w:cs="Times New Roman"/>
        </w:rPr>
        <w:t>væru</w:t>
      </w:r>
      <w:r w:rsidR="0088519A" w:rsidRPr="0088519A">
        <w:rPr>
          <w:rFonts w:ascii="Times New Roman" w:hAnsi="Times New Roman" w:cs="Times New Roman"/>
        </w:rPr>
        <w:t xml:space="preserve"> ekki undir sömu kvöðum regluverks, enda eru þeir </w:t>
      </w:r>
      <w:r>
        <w:rPr>
          <w:rFonts w:ascii="Times New Roman" w:hAnsi="Times New Roman" w:cs="Times New Roman"/>
        </w:rPr>
        <w:t xml:space="preserve">þá </w:t>
      </w:r>
      <w:r w:rsidR="0088519A" w:rsidRPr="0088519A">
        <w:rPr>
          <w:rFonts w:ascii="Times New Roman" w:hAnsi="Times New Roman" w:cs="Times New Roman"/>
        </w:rPr>
        <w:t xml:space="preserve">eins og önnur fyrirtæki að því leytinu til að þau geta hæglega orðið gjaldþrota. </w:t>
      </w:r>
      <w:r>
        <w:rPr>
          <w:rFonts w:ascii="Times New Roman" w:hAnsi="Times New Roman" w:cs="Times New Roman"/>
        </w:rPr>
        <w:t xml:space="preserve">Innstæður slíkra stofnanna takmörkuðust þannig við stofnannafjárfesta. Það er einnig óeðlilegt að fyrirtæki séu njóti ríkisábyrgðar nema að rík ástæða sé fyrir hendi. </w:t>
      </w:r>
      <w:r w:rsidR="0088519A" w:rsidRPr="0088519A">
        <w:rPr>
          <w:rFonts w:ascii="Times New Roman" w:hAnsi="Times New Roman" w:cs="Times New Roman"/>
        </w:rPr>
        <w:t xml:space="preserve">Heiðar Guðjónsson orðar þetta vel í rannsókn Andra og Rebekku þar sem að hann segir að það sé </w:t>
      </w:r>
      <w:r w:rsidR="0088519A" w:rsidRPr="0088519A">
        <w:rPr>
          <w:rFonts w:ascii="Times New Roman" w:hAnsi="Times New Roman" w:cs="Times New Roman"/>
        </w:rPr>
        <w:t xml:space="preserve">„...ekkert sanngjarnt að einhver ein atvinnugrein hafi bara aðgang að pyngju almennings umfram aðrar atvinnugreinar.“ </w:t>
      </w:r>
      <w:r w:rsidR="0088519A" w:rsidRPr="0088519A">
        <w:rPr>
          <w:rFonts w:ascii="Times New Roman" w:hAnsi="Times New Roman" w:cs="Times New Roman"/>
        </w:rPr>
        <w:t xml:space="preserve"> </w:t>
      </w:r>
    </w:p>
    <w:p w14:paraId="35E59B48" w14:textId="7F3981DD" w:rsidR="00C13211" w:rsidRDefault="0088519A" w:rsidP="00C13211">
      <w:pPr>
        <w:spacing w:before="60" w:after="60"/>
        <w:jc w:val="both"/>
        <w:rPr>
          <w:rFonts w:ascii="Times New Roman" w:hAnsi="Times New Roman" w:cs="Times New Roman"/>
        </w:rPr>
      </w:pPr>
      <w:r w:rsidRPr="0088519A">
        <w:rPr>
          <w:rFonts w:ascii="Times New Roman" w:hAnsi="Times New Roman" w:cs="Times New Roman"/>
        </w:rPr>
        <w:t xml:space="preserve">Slíkt regluverk á vart eftir að minnka á næstunni. Nýleg grein í The Economist, </w:t>
      </w:r>
      <w:r w:rsidRPr="0088519A">
        <w:rPr>
          <w:rFonts w:ascii="Times New Roman" w:hAnsi="Times New Roman" w:cs="Times New Roman"/>
          <w:i/>
        </w:rPr>
        <w:t>The past decade has brought a compliance boom in banking</w:t>
      </w:r>
      <w:r w:rsidRPr="0088519A">
        <w:rPr>
          <w:rFonts w:ascii="Times New Roman" w:hAnsi="Times New Roman" w:cs="Times New Roman"/>
        </w:rPr>
        <w:t>, bendir á að umræða banka við að fylgja eftir stöðlum regluverka hefur margfaldast síðas</w:t>
      </w:r>
      <w:r w:rsidR="0053201E">
        <w:rPr>
          <w:rFonts w:ascii="Times New Roman" w:hAnsi="Times New Roman" w:cs="Times New Roman"/>
        </w:rPr>
        <w:t>tliðinn áratug</w:t>
      </w:r>
      <w:r w:rsidRPr="0088519A">
        <w:rPr>
          <w:rFonts w:ascii="Times New Roman" w:hAnsi="Times New Roman" w:cs="Times New Roman"/>
        </w:rPr>
        <w:t xml:space="preserve">. Regluverk í tengslum við íslenska fjármálakerfið gæti þá takmarkast </w:t>
      </w:r>
      <w:r w:rsidR="0053201E">
        <w:rPr>
          <w:rFonts w:ascii="Times New Roman" w:hAnsi="Times New Roman" w:cs="Times New Roman"/>
        </w:rPr>
        <w:t xml:space="preserve">frekar </w:t>
      </w:r>
      <w:r w:rsidRPr="0088519A">
        <w:rPr>
          <w:rFonts w:ascii="Times New Roman" w:hAnsi="Times New Roman" w:cs="Times New Roman"/>
        </w:rPr>
        <w:t>við þær fjármálastofnanir sem teljast vera viðskiptabankar</w:t>
      </w:r>
      <w:r w:rsidR="0053201E">
        <w:rPr>
          <w:rFonts w:ascii="Times New Roman" w:hAnsi="Times New Roman" w:cs="Times New Roman"/>
        </w:rPr>
        <w:t xml:space="preserve"> en í minna mæli hjá öðrum fjármálastofnunum</w:t>
      </w:r>
      <w:r w:rsidRPr="0088519A">
        <w:rPr>
          <w:rFonts w:ascii="Times New Roman" w:hAnsi="Times New Roman" w:cs="Times New Roman"/>
        </w:rPr>
        <w:t xml:space="preserve">. </w:t>
      </w:r>
    </w:p>
    <w:p w14:paraId="54A524ED" w14:textId="248582EE" w:rsidR="00C30A22" w:rsidRDefault="00C30A22" w:rsidP="00C13211">
      <w:pPr>
        <w:spacing w:before="60" w:after="60"/>
        <w:jc w:val="both"/>
        <w:rPr>
          <w:rFonts w:ascii="Times New Roman" w:hAnsi="Times New Roman" w:cs="Times New Roman"/>
        </w:rPr>
      </w:pPr>
      <w:r>
        <w:rPr>
          <w:rFonts w:ascii="Times New Roman" w:hAnsi="Times New Roman" w:cs="Times New Roman"/>
        </w:rPr>
        <w:t xml:space="preserve">Ég hef fjallað um þetta atriði áður. Í grein minni, </w:t>
      </w:r>
      <w:r w:rsidR="0053201E">
        <w:rPr>
          <w:rFonts w:ascii="Times New Roman" w:hAnsi="Times New Roman" w:cs="Times New Roman"/>
          <w:i/>
        </w:rPr>
        <w:t>A</w:t>
      </w:r>
      <w:r w:rsidRPr="00C41CED">
        <w:rPr>
          <w:rFonts w:ascii="Times New Roman" w:hAnsi="Times New Roman" w:cs="Times New Roman"/>
          <w:i/>
        </w:rPr>
        <w:t>ðskilnaður banka – núna er rétti tíminn</w:t>
      </w:r>
      <w:r>
        <w:rPr>
          <w:rFonts w:ascii="Times New Roman" w:hAnsi="Times New Roman" w:cs="Times New Roman"/>
        </w:rPr>
        <w:t xml:space="preserve">, kemur </w:t>
      </w:r>
      <w:r w:rsidR="0053201E">
        <w:rPr>
          <w:rFonts w:ascii="Times New Roman" w:hAnsi="Times New Roman" w:cs="Times New Roman"/>
        </w:rPr>
        <w:t xml:space="preserve">fram </w:t>
      </w:r>
      <w:r>
        <w:rPr>
          <w:rFonts w:ascii="Times New Roman" w:hAnsi="Times New Roman" w:cs="Times New Roman"/>
        </w:rPr>
        <w:t xml:space="preserve">að </w:t>
      </w:r>
      <w:r w:rsidRPr="00C30A22">
        <w:rPr>
          <w:rFonts w:ascii="Times New Roman" w:hAnsi="Times New Roman" w:cs="Times New Roman"/>
        </w:rPr>
        <w:t>Sebastian Mallaby fjall</w:t>
      </w:r>
      <w:r>
        <w:rPr>
          <w:rFonts w:ascii="Times New Roman" w:hAnsi="Times New Roman" w:cs="Times New Roman"/>
        </w:rPr>
        <w:t>i</w:t>
      </w:r>
      <w:r w:rsidRPr="00C30A22">
        <w:rPr>
          <w:rFonts w:ascii="Times New Roman" w:hAnsi="Times New Roman" w:cs="Times New Roman"/>
        </w:rPr>
        <w:t xml:space="preserve"> til dæmis um þetta í bók sinni</w:t>
      </w:r>
      <w:r w:rsidR="0053201E">
        <w:rPr>
          <w:rFonts w:ascii="Times New Roman" w:hAnsi="Times New Roman" w:cs="Times New Roman"/>
        </w:rPr>
        <w:t>,</w:t>
      </w:r>
      <w:r w:rsidRPr="00C30A22">
        <w:rPr>
          <w:rFonts w:ascii="Times New Roman" w:hAnsi="Times New Roman" w:cs="Times New Roman"/>
        </w:rPr>
        <w:t xml:space="preserve"> </w:t>
      </w:r>
      <w:r w:rsidRPr="00C30A22">
        <w:rPr>
          <w:rFonts w:ascii="Times New Roman" w:hAnsi="Times New Roman" w:cs="Times New Roman"/>
          <w:i/>
          <w:iCs/>
        </w:rPr>
        <w:t>More Money than God</w:t>
      </w:r>
      <w:r w:rsidR="0053201E">
        <w:rPr>
          <w:rFonts w:ascii="Times New Roman" w:hAnsi="Times New Roman" w:cs="Times New Roman"/>
          <w:i/>
          <w:iCs/>
        </w:rPr>
        <w:t>,</w:t>
      </w:r>
      <w:r w:rsidRPr="00C30A22">
        <w:rPr>
          <w:rFonts w:ascii="Times New Roman" w:hAnsi="Times New Roman" w:cs="Times New Roman"/>
        </w:rPr>
        <w:t>  þar sem að hann færir rök fyrir því að aðskilnaður væri nauðsynlegur, meðal annars af því að þannig væri hægt að skapa fjárfestingabönkum meira lagalegt rými sem aðskildar einingar þar sem að lagaramminn þyrfti ekki að taka tillit til jafn mikilla kerfisbundina áhættur sem stærri bankar skapa samfélaginu.</w:t>
      </w:r>
    </w:p>
    <w:p w14:paraId="67FBA847" w14:textId="77777777" w:rsidR="00C30A22" w:rsidRPr="0088519A" w:rsidRDefault="00C30A22" w:rsidP="00C13211">
      <w:pPr>
        <w:spacing w:before="60" w:after="60"/>
        <w:jc w:val="both"/>
        <w:rPr>
          <w:rFonts w:ascii="Times New Roman" w:hAnsi="Times New Roman" w:cs="Times New Roman"/>
        </w:rPr>
      </w:pPr>
    </w:p>
    <w:p w14:paraId="2EF2FF47" w14:textId="42920400" w:rsidR="00C30A22" w:rsidRDefault="00C30A22" w:rsidP="00C41CED">
      <w:pPr>
        <w:pStyle w:val="Heading2"/>
      </w:pPr>
      <w:r>
        <w:t>Samantekt</w:t>
      </w:r>
    </w:p>
    <w:p w14:paraId="684BE21A" w14:textId="237281C3" w:rsidR="0053201E" w:rsidRDefault="00C52CC2" w:rsidP="00C30A22">
      <w:pPr>
        <w:spacing w:before="60" w:after="60" w:line="276" w:lineRule="auto"/>
        <w:rPr>
          <w:rFonts w:ascii="Times New Roman" w:hAnsi="Times New Roman" w:cs="Times New Roman"/>
        </w:rPr>
      </w:pPr>
      <w:r>
        <w:rPr>
          <w:rFonts w:ascii="Times New Roman" w:hAnsi="Times New Roman" w:cs="Times New Roman"/>
        </w:rPr>
        <w:t>Áf</w:t>
      </w:r>
      <w:r w:rsidR="00C30A22">
        <w:rPr>
          <w:rFonts w:ascii="Times New Roman" w:hAnsi="Times New Roman" w:cs="Times New Roman"/>
        </w:rPr>
        <w:t>o</w:t>
      </w:r>
      <w:r>
        <w:rPr>
          <w:rFonts w:ascii="Times New Roman" w:hAnsi="Times New Roman" w:cs="Times New Roman"/>
        </w:rPr>
        <w:t>r</w:t>
      </w:r>
      <w:r w:rsidR="00C30A22">
        <w:rPr>
          <w:rFonts w:ascii="Times New Roman" w:hAnsi="Times New Roman" w:cs="Times New Roman"/>
        </w:rPr>
        <w:t xml:space="preserve">m um lagasetningu varðandi varnarlínu um hlutfall fjárfestingarbankastarfsemi eru skref </w:t>
      </w:r>
      <w:r w:rsidR="00C41CED">
        <w:rPr>
          <w:rFonts w:ascii="Times New Roman" w:hAnsi="Times New Roman" w:cs="Times New Roman"/>
        </w:rPr>
        <w:t xml:space="preserve">í rétta átt en aðeins tímabundið, ganga ekki nægilega langt og vantar skilgreiningu á því hvað teljist til  viðskiptabankastarfsemi. Án slíkrar skilgreiningar er hætt við að bönkum sé mismunað, regluverk banka sé alltof viðamikið hjá mörgum einingum þeirra sem ekki tilheyra einfaldri viðskiptabankstarfsemi og dregur þannig úr samkeppnishæfni þeirra. </w:t>
      </w:r>
    </w:p>
    <w:p w14:paraId="13D92013" w14:textId="7373BBF3" w:rsidR="00C41CED" w:rsidRDefault="00C41CED" w:rsidP="00C30A22">
      <w:pPr>
        <w:spacing w:before="60" w:after="60" w:line="276" w:lineRule="auto"/>
        <w:rPr>
          <w:rFonts w:ascii="Times New Roman" w:hAnsi="Times New Roman" w:cs="Times New Roman"/>
        </w:rPr>
      </w:pPr>
      <w:r>
        <w:rPr>
          <w:rFonts w:ascii="Times New Roman" w:hAnsi="Times New Roman" w:cs="Times New Roman"/>
        </w:rPr>
        <w:t>Því ætti að endurvinna þessi áform til að auka s</w:t>
      </w:r>
      <w:bookmarkStart w:id="0" w:name="_GoBack"/>
      <w:bookmarkEnd w:id="0"/>
      <w:r>
        <w:rPr>
          <w:rFonts w:ascii="Times New Roman" w:hAnsi="Times New Roman" w:cs="Times New Roman"/>
        </w:rPr>
        <w:t>amkeppnishæfni íslensks fjármálalífs gagnvart umheiminum en jafnframt standa vörð um viðskiptabankastarfsemi landsins</w:t>
      </w:r>
      <w:r w:rsidR="0053201E">
        <w:rPr>
          <w:rFonts w:ascii="Times New Roman" w:hAnsi="Times New Roman" w:cs="Times New Roman"/>
        </w:rPr>
        <w:t xml:space="preserve"> og því áhættur íslenskra innstæðueigenda og skattborgara</w:t>
      </w:r>
      <w:r>
        <w:rPr>
          <w:rFonts w:ascii="Times New Roman" w:hAnsi="Times New Roman" w:cs="Times New Roman"/>
        </w:rPr>
        <w:t>.</w:t>
      </w:r>
    </w:p>
    <w:p w14:paraId="0055BA68" w14:textId="77777777" w:rsidR="00C41CED" w:rsidRDefault="00C41CED" w:rsidP="00C30A22">
      <w:pPr>
        <w:spacing w:before="60" w:after="60" w:line="276" w:lineRule="auto"/>
        <w:rPr>
          <w:rFonts w:ascii="Times New Roman" w:hAnsi="Times New Roman" w:cs="Times New Roman"/>
        </w:rPr>
      </w:pPr>
    </w:p>
    <w:p w14:paraId="66699BE0" w14:textId="77777777" w:rsidR="00C41CED" w:rsidRDefault="00C41CED" w:rsidP="00C30A22">
      <w:pPr>
        <w:spacing w:before="60" w:after="60" w:line="276" w:lineRule="auto"/>
        <w:rPr>
          <w:rFonts w:ascii="Times New Roman" w:hAnsi="Times New Roman" w:cs="Times New Roman"/>
        </w:rPr>
      </w:pPr>
      <w:r>
        <w:rPr>
          <w:rFonts w:ascii="Times New Roman" w:hAnsi="Times New Roman" w:cs="Times New Roman"/>
        </w:rPr>
        <w:t>Heimildir:</w:t>
      </w:r>
    </w:p>
    <w:p w14:paraId="17393F49" w14:textId="0EDBC6DB" w:rsidR="00C41CED" w:rsidRDefault="00C41CED" w:rsidP="00C30A22">
      <w:pPr>
        <w:spacing w:before="60" w:after="60" w:line="276" w:lineRule="auto"/>
      </w:pPr>
      <w:r>
        <w:rPr>
          <w:rFonts w:ascii="Times New Roman" w:hAnsi="Times New Roman" w:cs="Times New Roman"/>
        </w:rPr>
        <w:t xml:space="preserve">Andri Ingason og Rebekka Bjarnadóttir (2017). Aðskilnaður viðskipta- og fjárfestingabankastarfsemi. </w:t>
      </w:r>
      <w:hyperlink r:id="rId10" w:history="1">
        <w:r>
          <w:rPr>
            <w:rStyle w:val="Hyperlink"/>
          </w:rPr>
          <w:t>https://skemman.is/bitstream/1946/28400/1/A%c3%b0skilna%c3%b0ur_vi%c3%b0skipta-_og_fja%cc%81rfestingarbankastarfsemi_Andri_Ingason_og_Rebekka_Bjarnado%cc%81ttir.pdf</w:t>
        </w:r>
      </w:hyperlink>
    </w:p>
    <w:p w14:paraId="206882EC" w14:textId="09B3EDC4" w:rsidR="00296BCD" w:rsidRDefault="00296BCD" w:rsidP="00C30A22">
      <w:pPr>
        <w:spacing w:before="60" w:after="60" w:line="276" w:lineRule="auto"/>
      </w:pPr>
    </w:p>
    <w:p w14:paraId="56B53246" w14:textId="513548C6" w:rsidR="00296BCD" w:rsidRDefault="00296BCD" w:rsidP="00C30A22">
      <w:pPr>
        <w:spacing w:before="60" w:after="60" w:line="276" w:lineRule="auto"/>
      </w:pPr>
      <w:r>
        <w:t xml:space="preserve">The Economist (2019). </w:t>
      </w:r>
      <w:r w:rsidRPr="00296BCD">
        <w:t>The past decade has brought a compliance boom in banking</w:t>
      </w:r>
      <w:r>
        <w:t xml:space="preserve">. </w:t>
      </w:r>
      <w:hyperlink r:id="rId11" w:history="1">
        <w:r>
          <w:rPr>
            <w:rStyle w:val="Hyperlink"/>
          </w:rPr>
          <w:t>https://www.economist.com/finance-and-economics/2019/05/02/the-past-decade-has-brought-a-compliance-boom-in-banking</w:t>
        </w:r>
      </w:hyperlink>
    </w:p>
    <w:p w14:paraId="6956E4F4" w14:textId="77777777" w:rsidR="00C41CED" w:rsidRDefault="00C41CED" w:rsidP="00C30A22">
      <w:pPr>
        <w:spacing w:before="60" w:after="60" w:line="276" w:lineRule="auto"/>
      </w:pPr>
    </w:p>
    <w:p w14:paraId="46888E2B" w14:textId="459A5C27" w:rsidR="00C41CED" w:rsidRDefault="00C41CED" w:rsidP="00C41CED">
      <w:pPr>
        <w:pStyle w:val="Heading2"/>
        <w:shd w:val="clear" w:color="auto" w:fill="FFFFFF"/>
        <w:spacing w:before="0" w:after="75"/>
      </w:pPr>
      <w:r w:rsidRPr="00C41CED">
        <w:rPr>
          <w:rFonts w:ascii="Times New Roman" w:eastAsiaTheme="minorHAnsi" w:hAnsi="Times New Roman" w:cs="Times New Roman"/>
          <w:color w:val="auto"/>
          <w:sz w:val="22"/>
          <w:szCs w:val="22"/>
        </w:rPr>
        <w:t>Már Wolfgang Mixa (2015).</w:t>
      </w:r>
      <w:r>
        <w:t xml:space="preserve"> </w:t>
      </w:r>
      <w:r w:rsidR="00C30A22">
        <w:rPr>
          <w:rFonts w:ascii="Times New Roman" w:hAnsi="Times New Roman" w:cs="Times New Roman"/>
        </w:rPr>
        <w:t xml:space="preserve"> </w:t>
      </w:r>
      <w:r w:rsidRPr="00C41CED">
        <w:rPr>
          <w:rFonts w:ascii="Times New Roman" w:eastAsiaTheme="minorHAnsi" w:hAnsi="Times New Roman" w:cs="Times New Roman"/>
          <w:color w:val="auto"/>
          <w:sz w:val="22"/>
          <w:szCs w:val="22"/>
        </w:rPr>
        <w:t>Aðskilnaður banka - núna er rétti tíminn</w:t>
      </w:r>
      <w:r>
        <w:rPr>
          <w:rFonts w:ascii="Times New Roman" w:hAnsi="Times New Roman" w:cs="Times New Roman"/>
        </w:rPr>
        <w:t xml:space="preserve">. </w:t>
      </w:r>
      <w:hyperlink r:id="rId12" w:history="1">
        <w:r>
          <w:rPr>
            <w:rStyle w:val="Hyperlink"/>
          </w:rPr>
          <w:t>https://www.mbl.is/vidskipti/pistlar/marmixa/2159988/</w:t>
        </w:r>
      </w:hyperlink>
    </w:p>
    <w:p w14:paraId="4DCE1324" w14:textId="77777777" w:rsidR="00C41CED" w:rsidRPr="00C41CED" w:rsidRDefault="00C41CED" w:rsidP="00C41CED"/>
    <w:p w14:paraId="5225C7E6" w14:textId="26112B00" w:rsidR="00C41CED" w:rsidRDefault="00C41CED" w:rsidP="00C41CED">
      <w:pPr>
        <w:spacing w:before="60" w:after="60" w:line="276" w:lineRule="auto"/>
      </w:pPr>
      <w:r w:rsidRPr="00C41CED">
        <w:t>Sebastian Mallaby</w:t>
      </w:r>
      <w:r>
        <w:t xml:space="preserve">(2015). </w:t>
      </w:r>
      <w:r w:rsidRPr="00C41CED">
        <w:t>More Money Than God: Hedge Funds and the Making of a New Elite</w:t>
      </w:r>
      <w:r>
        <w:t xml:space="preserve">. </w:t>
      </w:r>
      <w:hyperlink r:id="rId13" w:history="1">
        <w:r>
          <w:rPr>
            <w:rStyle w:val="Hyperlink"/>
          </w:rPr>
          <w:t>https://www.amazon.com/More-Money-Than-God-Making-ebook/dp/B003SNJZ3Y</w:t>
        </w:r>
      </w:hyperlink>
    </w:p>
    <w:sectPr w:rsidR="00C41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3DE2"/>
    <w:multiLevelType w:val="hybridMultilevel"/>
    <w:tmpl w:val="7994812C"/>
    <w:lvl w:ilvl="0" w:tplc="0F58DEA4">
      <w:start w:val="1"/>
      <w:numFmt w:val="lowerRoman"/>
      <w:lvlText w:val="%1."/>
      <w:lvlJc w:val="right"/>
      <w:pPr>
        <w:ind w:left="720" w:hanging="360"/>
      </w:pPr>
      <w:rPr>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E0"/>
    <w:rsid w:val="00296BCD"/>
    <w:rsid w:val="0053201E"/>
    <w:rsid w:val="005D2201"/>
    <w:rsid w:val="00635B93"/>
    <w:rsid w:val="007035D1"/>
    <w:rsid w:val="0088519A"/>
    <w:rsid w:val="009D4218"/>
    <w:rsid w:val="009D5E06"/>
    <w:rsid w:val="00A42BBF"/>
    <w:rsid w:val="00C13211"/>
    <w:rsid w:val="00C30A22"/>
    <w:rsid w:val="00C3299D"/>
    <w:rsid w:val="00C41CED"/>
    <w:rsid w:val="00C52CC2"/>
    <w:rsid w:val="00C869A5"/>
    <w:rsid w:val="00CF4665"/>
    <w:rsid w:val="00DC6CE0"/>
    <w:rsid w:val="00E67548"/>
    <w:rsid w:val="00F250E4"/>
    <w:rsid w:val="00FF389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35E0"/>
  <w15:chartTrackingRefBased/>
  <w15:docId w15:val="{C119A5EC-E9E7-4C08-B4F5-D2340D39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2B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BBF"/>
    <w:rPr>
      <w:rFonts w:eastAsiaTheme="minorEastAsia"/>
      <w:color w:val="5A5A5A" w:themeColor="text1" w:themeTint="A5"/>
      <w:spacing w:val="15"/>
    </w:rPr>
  </w:style>
  <w:style w:type="paragraph" w:styleId="ListParagraph">
    <w:name w:val="List Paragraph"/>
    <w:basedOn w:val="Normal"/>
    <w:uiPriority w:val="34"/>
    <w:qFormat/>
    <w:rsid w:val="00A42BBF"/>
    <w:pPr>
      <w:spacing w:after="200" w:line="276" w:lineRule="auto"/>
      <w:ind w:left="720"/>
      <w:contextualSpacing/>
    </w:pPr>
    <w:rPr>
      <w:lang w:val="en-GB"/>
    </w:rPr>
  </w:style>
  <w:style w:type="character" w:styleId="Hyperlink">
    <w:name w:val="Hyperlink"/>
    <w:basedOn w:val="DefaultParagraphFont"/>
    <w:uiPriority w:val="99"/>
    <w:unhideWhenUsed/>
    <w:rsid w:val="00A42BBF"/>
    <w:rPr>
      <w:color w:val="5B9BD5" w:themeColor="accent1"/>
      <w:u w:val="single"/>
    </w:rPr>
  </w:style>
  <w:style w:type="character" w:customStyle="1" w:styleId="Heading2Char">
    <w:name w:val="Heading 2 Char"/>
    <w:basedOn w:val="DefaultParagraphFont"/>
    <w:link w:val="Heading2"/>
    <w:uiPriority w:val="9"/>
    <w:rsid w:val="0088519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1C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4805">
      <w:bodyDiv w:val="1"/>
      <w:marLeft w:val="0"/>
      <w:marRight w:val="0"/>
      <w:marTop w:val="0"/>
      <w:marBottom w:val="0"/>
      <w:divBdr>
        <w:top w:val="none" w:sz="0" w:space="0" w:color="auto"/>
        <w:left w:val="none" w:sz="0" w:space="0" w:color="auto"/>
        <w:bottom w:val="none" w:sz="0" w:space="0" w:color="auto"/>
        <w:right w:val="none" w:sz="0" w:space="0" w:color="auto"/>
      </w:divBdr>
    </w:div>
    <w:div w:id="1551501912">
      <w:bodyDiv w:val="1"/>
      <w:marLeft w:val="0"/>
      <w:marRight w:val="0"/>
      <w:marTop w:val="0"/>
      <w:marBottom w:val="0"/>
      <w:divBdr>
        <w:top w:val="none" w:sz="0" w:space="0" w:color="auto"/>
        <w:left w:val="none" w:sz="0" w:space="0" w:color="auto"/>
        <w:bottom w:val="none" w:sz="0" w:space="0" w:color="auto"/>
        <w:right w:val="none" w:sz="0" w:space="0" w:color="auto"/>
      </w:divBdr>
    </w:div>
    <w:div w:id="1736010624">
      <w:bodyDiv w:val="1"/>
      <w:marLeft w:val="0"/>
      <w:marRight w:val="0"/>
      <w:marTop w:val="0"/>
      <w:marBottom w:val="0"/>
      <w:divBdr>
        <w:top w:val="none" w:sz="0" w:space="0" w:color="auto"/>
        <w:left w:val="none" w:sz="0" w:space="0" w:color="auto"/>
        <w:bottom w:val="none" w:sz="0" w:space="0" w:color="auto"/>
        <w:right w:val="none" w:sz="0" w:space="0" w:color="auto"/>
      </w:divBdr>
    </w:div>
    <w:div w:id="20616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14066.html" TargetMode="External"/><Relationship Id="rId13" Type="http://schemas.openxmlformats.org/officeDocument/2006/relationships/hyperlink" Target="https://www.amazon.com/More-Money-Than-God-Making-ebook/dp/B003SNJZ3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bl.is/vidskipti/pistlar/marmixa/215998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onomist.com/finance-and-economics/2019/05/02/the-past-decade-has-brought-a-compliance-boom-in-bank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kemman.is/bitstream/1946/28400/1/A%c3%b0skilna%c3%b0ur_vi%c3%b0skipta-_og_fja%cc%81rfestingarbankastarfsemi_Andri_Ingason_og_Rebekka_Bjarnado%cc%81ttir.pdf" TargetMode="External"/><Relationship Id="rId4" Type="http://schemas.openxmlformats.org/officeDocument/2006/relationships/numbering" Target="numbering.xml"/><Relationship Id="rId9" Type="http://schemas.openxmlformats.org/officeDocument/2006/relationships/hyperlink" Target="https://www.stjornarradid.is/verkefni/efnahagsmal-og-opinber-fjarmal/efnahagsmal/fjarmalastodugleikar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DE9EDCB5544A682A6B0190E0A3310"/>
        <w:category>
          <w:name w:val="General"/>
          <w:gallery w:val="placeholder"/>
        </w:category>
        <w:types>
          <w:type w:val="bbPlcHdr"/>
        </w:types>
        <w:behaviors>
          <w:behavior w:val="content"/>
        </w:behaviors>
        <w:guid w:val="{F9E0F1B9-2FEE-4B5F-8B91-B2703B0DC5D0}"/>
      </w:docPartPr>
      <w:docPartBody>
        <w:p w:rsidR="00000000" w:rsidRDefault="00B8306E" w:rsidP="00B8306E">
          <w:pPr>
            <w:pStyle w:val="EF8DE9EDCB5544A682A6B0190E0A3310"/>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6E"/>
    <w:rsid w:val="00B830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DE9EDCB5544A682A6B0190E0A3310">
    <w:name w:val="EF8DE9EDCB5544A682A6B0190E0A3310"/>
    <w:rsid w:val="00B83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CD83C47977046BE39D8103EDF9B0E" ma:contentTypeVersion="2" ma:contentTypeDescription="Create a new document." ma:contentTypeScope="" ma:versionID="af664be68daa92c8c05d1fb06e45862b">
  <xsd:schema xmlns:xsd="http://www.w3.org/2001/XMLSchema" xmlns:xs="http://www.w3.org/2001/XMLSchema" xmlns:p="http://schemas.microsoft.com/office/2006/metadata/properties" xmlns:ns3="3ef2b431-51cc-4d75-aa12-98a5f74acdfc" targetNamespace="http://schemas.microsoft.com/office/2006/metadata/properties" ma:root="true" ma:fieldsID="49a6377960656759af8bb67bdc79cf52" ns3:_="">
    <xsd:import namespace="3ef2b431-51cc-4d75-aa12-98a5f74acd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2b431-51cc-4d75-aa12-98a5f74ac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70EBB-50EF-47AA-B451-5E25E7AA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2b431-51cc-4d75-aa12-98a5f74ac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7E052-E382-4DC3-92B4-020265AEAD48}">
  <ds:schemaRefs>
    <ds:schemaRef ds:uri="http://schemas.microsoft.com/sharepoint/v3/contenttype/forms"/>
  </ds:schemaRefs>
</ds:datastoreItem>
</file>

<file path=customXml/itemProps3.xml><?xml version="1.0" encoding="utf-8"?>
<ds:datastoreItem xmlns:ds="http://schemas.openxmlformats.org/officeDocument/2006/customXml" ds:itemID="{88EC4CCB-D460-41DA-B4E5-247717B6E7E9}">
  <ds:schemaRefs>
    <ds:schemaRef ds:uri="http://purl.org/dc/terms/"/>
    <ds:schemaRef ds:uri="3ef2b431-51cc-4d75-aa12-98a5f74acdf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Reykjavik University</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 Wolfgang Mixa</dc:creator>
  <cp:keywords/>
  <dc:description/>
  <cp:lastModifiedBy>Már Wolfgang Mixa</cp:lastModifiedBy>
  <cp:revision>2</cp:revision>
  <dcterms:created xsi:type="dcterms:W3CDTF">2019-08-26T13:29:00Z</dcterms:created>
  <dcterms:modified xsi:type="dcterms:W3CDTF">2019-08-26T13:29:00Z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0x010100224CD83C47977046BE39D8103EDF9B0E</vt:lpwstr>
  </property>
</Properties>
</file>