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97354" w14:textId="7F862695" w:rsidR="00D97DA0" w:rsidRDefault="00D97DA0" w:rsidP="00D97DA0">
      <w:pPr>
        <w:jc w:val="right"/>
      </w:pPr>
      <w:r>
        <w:t xml:space="preserve">Kópavogi </w:t>
      </w:r>
      <w:r>
        <w:t xml:space="preserve">12. </w:t>
      </w:r>
      <w:r>
        <w:t>maí 2020</w:t>
      </w:r>
    </w:p>
    <w:p w14:paraId="399AEAB2" w14:textId="77777777" w:rsidR="00D97DA0" w:rsidRDefault="00D97DA0" w:rsidP="00D97DA0">
      <w:pPr>
        <w:rPr>
          <w:sz w:val="24"/>
          <w:szCs w:val="24"/>
        </w:rPr>
      </w:pPr>
    </w:p>
    <w:p w14:paraId="051FB5E9" w14:textId="005D479B" w:rsidR="00D97DA0" w:rsidRPr="00B824E7" w:rsidRDefault="00D97DA0" w:rsidP="00B824E7">
      <w:pPr>
        <w:rPr>
          <w:b/>
          <w:bCs/>
          <w:sz w:val="24"/>
          <w:szCs w:val="24"/>
        </w:rPr>
      </w:pPr>
      <w:r w:rsidRPr="00D97DA0">
        <w:rPr>
          <w:b/>
          <w:bCs/>
          <w:sz w:val="24"/>
          <w:szCs w:val="24"/>
        </w:rPr>
        <w:t xml:space="preserve">Umsögn Greiningar- og ráðgjafarstöðvar </w:t>
      </w:r>
      <w:r w:rsidR="005B4DD4">
        <w:rPr>
          <w:b/>
          <w:bCs/>
          <w:sz w:val="24"/>
          <w:szCs w:val="24"/>
        </w:rPr>
        <w:t xml:space="preserve">ríkisins </w:t>
      </w:r>
      <w:r w:rsidR="00825A97">
        <w:rPr>
          <w:b/>
          <w:bCs/>
          <w:sz w:val="24"/>
          <w:szCs w:val="24"/>
        </w:rPr>
        <w:t xml:space="preserve">(GRR) </w:t>
      </w:r>
      <w:r w:rsidRPr="00D97DA0">
        <w:rPr>
          <w:b/>
          <w:bCs/>
          <w:sz w:val="24"/>
          <w:szCs w:val="24"/>
        </w:rPr>
        <w:t>um</w:t>
      </w:r>
      <w:r w:rsidR="005B4DD4">
        <w:rPr>
          <w:b/>
          <w:bCs/>
          <w:sz w:val="24"/>
          <w:szCs w:val="24"/>
        </w:rPr>
        <w:t xml:space="preserve"> T</w:t>
      </w:r>
      <w:r w:rsidRPr="00D97DA0">
        <w:rPr>
          <w:b/>
          <w:bCs/>
          <w:sz w:val="24"/>
          <w:szCs w:val="24"/>
        </w:rPr>
        <w:t>illögu</w:t>
      </w:r>
      <w:r w:rsidR="005B4DD4">
        <w:rPr>
          <w:b/>
          <w:bCs/>
          <w:sz w:val="24"/>
          <w:szCs w:val="24"/>
        </w:rPr>
        <w:t>r</w:t>
      </w:r>
      <w:r w:rsidRPr="00D97DA0">
        <w:rPr>
          <w:b/>
          <w:bCs/>
          <w:sz w:val="24"/>
          <w:szCs w:val="24"/>
        </w:rPr>
        <w:t xml:space="preserve"> að endurhæfingarstefnu. </w:t>
      </w:r>
    </w:p>
    <w:p w14:paraId="1D375E33" w14:textId="072A843C" w:rsidR="00D97DA0" w:rsidRDefault="00D97DA0" w:rsidP="00D97DA0">
      <w:pPr>
        <w:jc w:val="both"/>
      </w:pPr>
      <w:r>
        <w:t xml:space="preserve">Skýrslan fjallar aðallega um endurhæfingu fyrir fullorðna. Telur GRR að það væri skýrara að fjalla um endurhæfingu fyrir börn í sérstökum kafla skýrslunnar þar sem gerð yrði grein fyrir þjónustu fyrir þennan aldurshóp á sama hátt og fyrir fullorðna t.d. varðandi flæði sjúklinga að þjónustu, forgangsröðun, eyður í endurhæfingarþjónustu, verkaskiptingu og þörf fyrir aukna samfellu. Þar ættu þá einnig að koma fram tillögur að endurhæfingarstefnu fyrir börn en slík þjónusta getur stuðlað að forvörnum og hugsanlega dregið úr þjónustuþörf á fullorðinsárum. </w:t>
      </w:r>
    </w:p>
    <w:p w14:paraId="70259E72" w14:textId="77777777" w:rsidR="00D97DA0" w:rsidRDefault="00D97DA0" w:rsidP="00D97DA0">
      <w:pPr>
        <w:jc w:val="both"/>
        <w:rPr>
          <w:color w:val="242424"/>
          <w:shd w:val="clear" w:color="auto" w:fill="FFFFFF"/>
        </w:rPr>
      </w:pPr>
      <w:r>
        <w:t xml:space="preserve">Eins og fram kemur í skýrslunni kemur hvorki orðið hæfing né endurhæfing fyrir í </w:t>
      </w:r>
      <w:hyperlink r:id="rId5" w:history="1">
        <w:r>
          <w:rPr>
            <w:rStyle w:val="Hyperlink"/>
          </w:rPr>
          <w:t>lögum</w:t>
        </w:r>
      </w:hyperlink>
      <w:r>
        <w:t xml:space="preserve"> um Greiningar- og ráðgjafarstöð ríkisins sem eru frá árinu 2003. Þar kemur fram að h</w:t>
      </w:r>
      <w:r>
        <w:rPr>
          <w:color w:val="242424"/>
          <w:shd w:val="clear" w:color="auto" w:fill="FFFFFF"/>
        </w:rPr>
        <w:t>lutverk GRR sé m.a. „ ..að annast eftirfarandi:</w:t>
      </w:r>
    </w:p>
    <w:p w14:paraId="6E3C6609" w14:textId="25E42AC4" w:rsidR="00D97DA0" w:rsidRDefault="00D97DA0" w:rsidP="00D97DA0">
      <w:pPr>
        <w:pStyle w:val="ListParagraph"/>
        <w:numPr>
          <w:ilvl w:val="0"/>
          <w:numId w:val="1"/>
        </w:numPr>
        <w:jc w:val="both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Greiningu barna og ungmenna með alvarlegar þroskaraskanir sem er vísað til athugunar að lokinni frumgreiningu.</w:t>
      </w:r>
    </w:p>
    <w:p w14:paraId="1E235365" w14:textId="77777777" w:rsidR="00D97DA0" w:rsidRDefault="00D97DA0" w:rsidP="00D97DA0">
      <w:pPr>
        <w:pStyle w:val="ListParagraph"/>
        <w:numPr>
          <w:ilvl w:val="0"/>
          <w:numId w:val="1"/>
        </w:numPr>
        <w:jc w:val="both"/>
        <w:rPr>
          <w:color w:val="242424"/>
          <w:shd w:val="clear" w:color="auto" w:fill="FFFFFF"/>
        </w:rPr>
      </w:pPr>
      <w:r>
        <w:rPr>
          <w:b/>
          <w:bCs/>
          <w:color w:val="242424"/>
          <w:shd w:val="clear" w:color="auto" w:fill="FFFFFF"/>
        </w:rPr>
        <w:t>Ráðgjöf og fræðslu</w:t>
      </w:r>
      <w:r>
        <w:rPr>
          <w:color w:val="242424"/>
          <w:shd w:val="clear" w:color="auto" w:fill="FFFFFF"/>
        </w:rPr>
        <w:t xml:space="preserve"> til einstaklingsins, foreldra eða annarra aðstandenda og þjónustuaðila varðandi viðeigandi meðferð, þjálfun og önnur úrræði sem þörf er á.</w:t>
      </w:r>
    </w:p>
    <w:p w14:paraId="4C43015D" w14:textId="77777777" w:rsidR="00D97DA0" w:rsidRDefault="00D97DA0" w:rsidP="00D97DA0">
      <w:pPr>
        <w:pStyle w:val="ListParagraph"/>
        <w:numPr>
          <w:ilvl w:val="0"/>
          <w:numId w:val="1"/>
        </w:numPr>
        <w:jc w:val="both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Tilvísanir til annarra meðferðaraðila og stofnana í því skyni að hlutaðeigandi njóti þar þeirrar þjónustu sem þörf er á hverju sinni.</w:t>
      </w:r>
    </w:p>
    <w:p w14:paraId="4198250D" w14:textId="77777777" w:rsidR="00D97DA0" w:rsidRDefault="00D97DA0" w:rsidP="00D97DA0">
      <w:pPr>
        <w:pStyle w:val="ListParagraph"/>
        <w:numPr>
          <w:ilvl w:val="0"/>
          <w:numId w:val="1"/>
        </w:numPr>
        <w:jc w:val="both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Langtímaeftirfylgd vegna þeirra einstaklinga sem búa við óvenjuflóknar eða sjaldgæfar þroskaraskanir.</w:t>
      </w:r>
    </w:p>
    <w:p w14:paraId="04D23C84" w14:textId="77777777" w:rsidR="00D97DA0" w:rsidRDefault="00D97DA0" w:rsidP="00D97DA0">
      <w:pPr>
        <w:pStyle w:val="ListParagraph"/>
        <w:numPr>
          <w:ilvl w:val="0"/>
          <w:numId w:val="1"/>
        </w:numPr>
        <w:jc w:val="both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Faglega aðstoð og ráðgjöf til samstarfsaðila ..</w:t>
      </w:r>
      <w:r>
        <w:t xml:space="preserve">“. </w:t>
      </w:r>
    </w:p>
    <w:p w14:paraId="106850CC" w14:textId="0896FE02" w:rsidR="00D97DA0" w:rsidRDefault="00D97DA0" w:rsidP="00D97DA0">
      <w:pPr>
        <w:jc w:val="both"/>
      </w:pPr>
      <w:r>
        <w:t>GRR þjónar landinu öllu. Á stofnuninni er fötluðum smábörnum (yngri en 2ja ára) veitt reglubundin íhlutun sem flokkast undir hæfingu/endurhæfingu og börnum</w:t>
      </w:r>
      <w:r>
        <w:t>/ungmennum</w:t>
      </w:r>
      <w:r>
        <w:t xml:space="preserve"> með fjölþættan vanda býðst þverfagleg eftirfylgdarþjónusta (langtímaeftirfylgd) sem einnig getur flokkast sem hæfing/endurhæfing. </w:t>
      </w:r>
    </w:p>
    <w:p w14:paraId="0CF06878" w14:textId="0D60DD5A" w:rsidR="00D97DA0" w:rsidRDefault="00D97DA0" w:rsidP="00D97DA0">
      <w:pPr>
        <w:jc w:val="both"/>
        <w:rPr>
          <w:color w:val="242424"/>
          <w:shd w:val="clear" w:color="auto" w:fill="FFFFFF"/>
        </w:rPr>
      </w:pPr>
      <w:r>
        <w:t xml:space="preserve">Stofnun veitir umfangsmikla </w:t>
      </w:r>
      <w:r w:rsidRPr="00E96766">
        <w:rPr>
          <w:b/>
          <w:bCs/>
        </w:rPr>
        <w:t>ráðgjöf</w:t>
      </w:r>
      <w:r w:rsidR="00E96766">
        <w:t xml:space="preserve"> </w:t>
      </w:r>
      <w:r>
        <w:t xml:space="preserve">varðandi íhlutun, kennslu og meðferð á sviði félags-, skóla- og heilbrigðisþjónustu en samkvæmt lögum fer </w:t>
      </w:r>
      <w:r>
        <w:rPr>
          <w:b/>
          <w:bCs/>
        </w:rPr>
        <w:t>meðferðin/íhlutun</w:t>
      </w:r>
      <w:r w:rsidR="00E96766">
        <w:rPr>
          <w:b/>
          <w:bCs/>
        </w:rPr>
        <w:t>in</w:t>
      </w:r>
      <w:r>
        <w:t xml:space="preserve"> að langmestu leyti fram í heimabyggð barnanna undir handleiðslu sérfræðinga á viðkomandi svæði, sjá</w:t>
      </w:r>
      <w:r w:rsidR="00E96766">
        <w:t xml:space="preserve"> m.a.</w:t>
      </w:r>
      <w:r>
        <w:t xml:space="preserve"> lög um </w:t>
      </w:r>
      <w:hyperlink r:id="rId6" w:history="1">
        <w:r>
          <w:rPr>
            <w:rStyle w:val="Hyperlink"/>
          </w:rPr>
          <w:t>leikskóla</w:t>
        </w:r>
      </w:hyperlink>
      <w:r>
        <w:t xml:space="preserve"> og </w:t>
      </w:r>
      <w:hyperlink r:id="rId7" w:history="1">
        <w:r>
          <w:rPr>
            <w:rStyle w:val="Hyperlink"/>
          </w:rPr>
          <w:t>grunnskóla</w:t>
        </w:r>
      </w:hyperlink>
      <w:r>
        <w:t xml:space="preserve">.   </w:t>
      </w:r>
      <w:r>
        <w:rPr>
          <w:color w:val="242424"/>
          <w:shd w:val="clear" w:color="auto" w:fill="FFFFFF"/>
        </w:rPr>
        <w:t xml:space="preserve"> </w:t>
      </w:r>
    </w:p>
    <w:p w14:paraId="7DE48C92" w14:textId="0DD2CBB9" w:rsidR="00D97DA0" w:rsidRDefault="00D97DA0" w:rsidP="00D97DA0">
      <w:pPr>
        <w:jc w:val="both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 xml:space="preserve">Í skýrslunni er sett fram hugmynd um endurhæfingarmiðstöð fyrir börn sem þjóni öllu landinu. Þar er nefnt að æskilegt sé að auka hlutverk GRR þannig að </w:t>
      </w:r>
      <w:r w:rsidR="00E96766">
        <w:rPr>
          <w:color w:val="242424"/>
          <w:shd w:val="clear" w:color="auto" w:fill="FFFFFF"/>
        </w:rPr>
        <w:t>stofnunin verði</w:t>
      </w:r>
      <w:r>
        <w:rPr>
          <w:color w:val="242424"/>
          <w:shd w:val="clear" w:color="auto" w:fill="FFFFFF"/>
        </w:rPr>
        <w:t xml:space="preserve"> bakhjarl barna á landsvísu sem eru í þörf fyrir endurhæfingu m.a. barna sem ekki hafa fötlunargreiningu. GRR telur þessa hugmynd óraunhæfa. Eins og fram kemur hér að ofan á lögum samkvæmt að veita börnum þjónustu í sinni heimabyggð. Fjöldamörg börn njóta endurhæfingar í styttri eða lengri tíma fyrir 18 ára aldur og er óraunhæft að hugsa sér að ein miðlæg ríkisstofnun sé bakhjarl fyrir alla endurhæfingu barna. </w:t>
      </w:r>
    </w:p>
    <w:p w14:paraId="43F1BA18" w14:textId="1F7A94C4" w:rsidR="00D97DA0" w:rsidRDefault="00D97DA0" w:rsidP="00D97DA0">
      <w:pPr>
        <w:jc w:val="both"/>
      </w:pPr>
      <w:r>
        <w:t xml:space="preserve">Í </w:t>
      </w:r>
      <w:r w:rsidR="00E96766">
        <w:t>F</w:t>
      </w:r>
      <w:r>
        <w:t xml:space="preserve">ramkvæmdaáætlun í málefnum fatlaðs fólks og </w:t>
      </w:r>
      <w:r w:rsidR="00E96766">
        <w:t>S</w:t>
      </w:r>
      <w:r>
        <w:t>tefnumótandi byggðaáætlun er gerð grein fyrir hlutverkum landshlutateyma. Þar er lögð áhersla á að samþætta þjónustu við fötluð börn í heimabyggð þeirra og auka heildstæða þjónustu við fólk á öllum aldri í þeirra heimabyggð, sjá meðfylgjandi ítarefni.</w:t>
      </w:r>
    </w:p>
    <w:p w14:paraId="2B7D0AB4" w14:textId="020E1C09" w:rsidR="00D97DA0" w:rsidRDefault="00D97DA0" w:rsidP="00D97DA0">
      <w:pPr>
        <w:jc w:val="both"/>
      </w:pPr>
      <w:r>
        <w:t>GRR leggur til að í stað miðlægrar endurhæfingarmiðstöðvar verði þverfagleg</w:t>
      </w:r>
      <w:r>
        <w:t>um</w:t>
      </w:r>
      <w:r>
        <w:t xml:space="preserve"> landshlutateym</w:t>
      </w:r>
      <w:r>
        <w:t>um</w:t>
      </w:r>
      <w:r>
        <w:t xml:space="preserve"> falið að hafa yfirumsjón með endurhæfingu fyrir börn á viðkomandi svæð</w:t>
      </w:r>
      <w:r w:rsidR="00CA2B9B">
        <w:t>i</w:t>
      </w:r>
      <w:r>
        <w:t xml:space="preserve">, þá einkum þjónustu fyrir börn með flóknari vanda. </w:t>
      </w:r>
    </w:p>
    <w:p w14:paraId="77106903" w14:textId="77777777" w:rsidR="00D97DA0" w:rsidRDefault="00D97DA0" w:rsidP="00D97DA0">
      <w:pPr>
        <w:jc w:val="both"/>
      </w:pPr>
    </w:p>
    <w:p w14:paraId="4B999F2F" w14:textId="77777777" w:rsidR="00D97DA0" w:rsidRDefault="00D97DA0" w:rsidP="00D97DA0">
      <w:pPr>
        <w:jc w:val="both"/>
      </w:pPr>
    </w:p>
    <w:p w14:paraId="5F7CBB18" w14:textId="77777777" w:rsidR="00D97DA0" w:rsidRDefault="00D97DA0" w:rsidP="00D97DA0">
      <w:pPr>
        <w:jc w:val="both"/>
      </w:pPr>
      <w:r>
        <w:lastRenderedPageBreak/>
        <w:t>Í skýrslunni er gerð grein fyrir þjónustu GRR en stofnuninni er hins vegar ekki fundinn staður í tillögu að endurhæfingarþjónustu á bls. 17 og 18. GRR telur að þjónustu stöðvarinnar megi fella bæði undir 3. og 4. stig þess líkans.</w:t>
      </w:r>
    </w:p>
    <w:p w14:paraId="74DBA1C5" w14:textId="4F91E6C3" w:rsidR="005B4DD4" w:rsidRDefault="00D97DA0" w:rsidP="005B4DD4">
      <w:pPr>
        <w:jc w:val="both"/>
      </w:pPr>
      <w:r>
        <w:t xml:space="preserve">Mynd á bls. 36 er ekki með númeri og ekki virðist beint vera vísað í hana í textanum. Hún virðist þó eiga að sýna hugmyndir að leiðum notenda í endurhæfingarþjónustu innan heilbrigðiskerfis. Myndin er ekki lýsandi fyrir leiðir að þjónustu fyrir börn en þar gegna m.a. leikskólar/skólar og heilbrigðisstofnanir í héraði mikilvægu hlutverki. Skýrara væri að gera sérstaka mynd af leiðum að þjónustu fyrir börn að 18 ára aldri og hvernig sú þjónusta tengist endurhæfingartilboðum fyrir fullorðna. Oft myndast gat í þjónustunni við þessi tímamót og því full ástæða til að gera sérstaka grein fyrir tengingu milli barna- og fullorðinsþjónustu í þessari skýrslu. </w:t>
      </w:r>
    </w:p>
    <w:p w14:paraId="4D8F9EF3" w14:textId="77777777" w:rsidR="005B4DD4" w:rsidRDefault="005B4DD4" w:rsidP="005B4DD4">
      <w:pPr>
        <w:spacing w:after="0"/>
      </w:pPr>
    </w:p>
    <w:p w14:paraId="346DCE70" w14:textId="699328C3" w:rsidR="005B4DD4" w:rsidRDefault="005B4DD4" w:rsidP="005B4DD4">
      <w:pPr>
        <w:spacing w:after="0"/>
      </w:pPr>
      <w:r>
        <w:t>Soffía Lárusdóttir, forstöðumaður</w:t>
      </w:r>
    </w:p>
    <w:p w14:paraId="2578DB49" w14:textId="28DA08D7" w:rsidR="005B4DD4" w:rsidRPr="005B4DD4" w:rsidRDefault="005B4DD4" w:rsidP="005B4DD4">
      <w:pPr>
        <w:spacing w:after="0"/>
      </w:pPr>
      <w:r>
        <w:t>Solveig Sigurðardóttir, staðgengill forstöðumanns</w:t>
      </w:r>
    </w:p>
    <w:p w14:paraId="041D91E0" w14:textId="77777777" w:rsidR="005B4DD4" w:rsidRDefault="005B4DD4" w:rsidP="005B4DD4">
      <w:pPr>
        <w:spacing w:after="0"/>
        <w:rPr>
          <w:b/>
          <w:bCs/>
        </w:rPr>
      </w:pPr>
    </w:p>
    <w:p w14:paraId="701BB78D" w14:textId="77777777" w:rsidR="005B4DD4" w:rsidRDefault="005B4DD4" w:rsidP="005B4DD4">
      <w:pPr>
        <w:spacing w:after="0"/>
        <w:rPr>
          <w:b/>
          <w:bCs/>
        </w:rPr>
      </w:pPr>
    </w:p>
    <w:p w14:paraId="76AC099B" w14:textId="32FEB2BC" w:rsidR="00D97DA0" w:rsidRPr="00D97DA0" w:rsidRDefault="00D97DA0" w:rsidP="005B4DD4">
      <w:pPr>
        <w:spacing w:after="0"/>
        <w:rPr>
          <w:b/>
          <w:bCs/>
        </w:rPr>
      </w:pPr>
      <w:r w:rsidRPr="00D97DA0">
        <w:rPr>
          <w:b/>
          <w:bCs/>
        </w:rPr>
        <w:t>Ítarefni</w:t>
      </w:r>
    </w:p>
    <w:p w14:paraId="463FC099" w14:textId="77777777" w:rsidR="005B4DD4" w:rsidRDefault="005B4DD4" w:rsidP="005B4DD4">
      <w:pPr>
        <w:spacing w:after="0"/>
        <w:rPr>
          <w:b/>
          <w:bCs/>
          <w:sz w:val="20"/>
          <w:szCs w:val="20"/>
        </w:rPr>
      </w:pPr>
    </w:p>
    <w:p w14:paraId="40F98714" w14:textId="771D9DE8" w:rsidR="00D97DA0" w:rsidRPr="005B4DD4" w:rsidRDefault="00D97DA0" w:rsidP="005B4DD4">
      <w:pPr>
        <w:spacing w:after="0"/>
        <w:rPr>
          <w:sz w:val="20"/>
          <w:szCs w:val="20"/>
        </w:rPr>
      </w:pPr>
      <w:r w:rsidRPr="005B4DD4">
        <w:rPr>
          <w:b/>
          <w:bCs/>
          <w:sz w:val="20"/>
          <w:szCs w:val="20"/>
        </w:rPr>
        <w:t xml:space="preserve">Framkvæmdaáætlun í málefnum fatlaðs fólks, </w:t>
      </w:r>
      <w:hyperlink r:id="rId8" w:history="1">
        <w:r w:rsidRPr="005B4DD4">
          <w:rPr>
            <w:rStyle w:val="Hyperlink"/>
            <w:b/>
            <w:bCs/>
            <w:sz w:val="20"/>
            <w:szCs w:val="20"/>
          </w:rPr>
          <w:t>2017-2021</w:t>
        </w:r>
      </w:hyperlink>
      <w:r w:rsidRPr="005B4DD4">
        <w:rPr>
          <w:sz w:val="20"/>
          <w:szCs w:val="20"/>
        </w:rPr>
        <w:t>.</w:t>
      </w:r>
    </w:p>
    <w:p w14:paraId="3FBFE933" w14:textId="3731E311" w:rsidR="00D97DA0" w:rsidRPr="005B4DD4" w:rsidRDefault="00D97DA0" w:rsidP="00D97DA0">
      <w:pPr>
        <w:rPr>
          <w:color w:val="242424"/>
          <w:sz w:val="20"/>
          <w:szCs w:val="20"/>
          <w:shd w:val="clear" w:color="auto" w:fill="FFFFFF"/>
        </w:rPr>
      </w:pPr>
      <w:r w:rsidRPr="005B4DD4">
        <w:rPr>
          <w:b/>
          <w:bCs/>
          <w:color w:val="242424"/>
          <w:sz w:val="20"/>
          <w:szCs w:val="20"/>
          <w:shd w:val="clear" w:color="auto" w:fill="FFFFFF"/>
        </w:rPr>
        <w:t>G.3. Þjónusta við fötluð börn með sértækar þarfir verði veitt í nærumhverfi þeirra.</w:t>
      </w:r>
      <w:r w:rsidRPr="005B4DD4">
        <w:rPr>
          <w:b/>
          <w:bCs/>
          <w:color w:val="242424"/>
          <w:sz w:val="20"/>
          <w:szCs w:val="20"/>
          <w:shd w:val="clear" w:color="auto" w:fill="FFFFFF"/>
        </w:rPr>
        <w:br/>
      </w:r>
      <w:r w:rsidRPr="005B4DD4">
        <w:rPr>
          <w:i/>
          <w:iCs/>
          <w:color w:val="242424"/>
          <w:sz w:val="20"/>
          <w:szCs w:val="20"/>
          <w:shd w:val="clear" w:color="auto" w:fill="FFFFFF"/>
        </w:rPr>
        <w:t>Markmið:</w:t>
      </w:r>
      <w:r w:rsidRPr="005B4DD4">
        <w:rPr>
          <w:color w:val="242424"/>
          <w:sz w:val="20"/>
          <w:szCs w:val="20"/>
          <w:shd w:val="clear" w:color="auto" w:fill="FFFFFF"/>
        </w:rPr>
        <w:t> Að styrkja grunnþjónustu í héraði.</w:t>
      </w:r>
      <w:r w:rsidRPr="005B4DD4">
        <w:rPr>
          <w:color w:val="242424"/>
          <w:sz w:val="20"/>
          <w:szCs w:val="20"/>
        </w:rPr>
        <w:br/>
      </w:r>
      <w:r w:rsidRPr="005B4DD4">
        <w:rPr>
          <w:i/>
          <w:iCs/>
          <w:color w:val="242424"/>
          <w:sz w:val="20"/>
          <w:szCs w:val="20"/>
          <w:shd w:val="clear" w:color="auto" w:fill="FFFFFF"/>
        </w:rPr>
        <w:t>Lýsing:</w:t>
      </w:r>
      <w:r w:rsidRPr="005B4DD4">
        <w:rPr>
          <w:color w:val="242424"/>
          <w:sz w:val="20"/>
          <w:szCs w:val="20"/>
          <w:shd w:val="clear" w:color="auto" w:fill="FFFFFF"/>
        </w:rPr>
        <w:t> Landshlutateymi verði mynduð í því skyni að auka þekkingu og efla og samþætta þjónustu við börn í heimabyggð. Teymi geti einnig starfað innan hverfa í stærri sveitarfélögum. Um tilraunaverkefni verði að ræða en stefnt verði að því að teymin festi sig í sessi og starfsemi þeirra verði viðvarandi.</w:t>
      </w:r>
      <w:r w:rsidRPr="005B4DD4">
        <w:rPr>
          <w:color w:val="242424"/>
          <w:sz w:val="20"/>
          <w:szCs w:val="20"/>
        </w:rPr>
        <w:br/>
      </w:r>
      <w:r w:rsidRPr="005B4DD4">
        <w:rPr>
          <w:i/>
          <w:iCs/>
          <w:color w:val="242424"/>
          <w:sz w:val="20"/>
          <w:szCs w:val="20"/>
          <w:shd w:val="clear" w:color="auto" w:fill="FFFFFF"/>
        </w:rPr>
        <w:t>Ábyrgð:</w:t>
      </w:r>
      <w:r w:rsidRPr="005B4DD4">
        <w:rPr>
          <w:color w:val="242424"/>
          <w:sz w:val="20"/>
          <w:szCs w:val="20"/>
          <w:shd w:val="clear" w:color="auto" w:fill="FFFFFF"/>
        </w:rPr>
        <w:t> Greiningar- og ráðgjafarstöð ríkisins.</w:t>
      </w:r>
      <w:r w:rsidRPr="005B4DD4">
        <w:rPr>
          <w:color w:val="242424"/>
          <w:sz w:val="20"/>
          <w:szCs w:val="20"/>
        </w:rPr>
        <w:br/>
      </w:r>
      <w:r w:rsidRPr="005B4DD4">
        <w:rPr>
          <w:i/>
          <w:iCs/>
          <w:color w:val="242424"/>
          <w:sz w:val="20"/>
          <w:szCs w:val="20"/>
          <w:shd w:val="clear" w:color="auto" w:fill="FFFFFF"/>
        </w:rPr>
        <w:t>Dæmi um samstarfsaðila:</w:t>
      </w:r>
      <w:r w:rsidRPr="005B4DD4">
        <w:rPr>
          <w:color w:val="242424"/>
          <w:sz w:val="20"/>
          <w:szCs w:val="20"/>
          <w:shd w:val="clear" w:color="auto" w:fill="FFFFFF"/>
        </w:rPr>
        <w:t> Skólaþjónusta sveitarfélaga, BUGL, Reykjavíkurborg, félagsþjónusta sveitarfélaga, heilsugæslan og skólar.</w:t>
      </w:r>
      <w:r w:rsidRPr="005B4DD4">
        <w:rPr>
          <w:color w:val="242424"/>
          <w:sz w:val="20"/>
          <w:szCs w:val="20"/>
        </w:rPr>
        <w:br/>
      </w:r>
      <w:r w:rsidRPr="005B4DD4">
        <w:rPr>
          <w:i/>
          <w:iCs/>
          <w:color w:val="242424"/>
          <w:sz w:val="20"/>
          <w:szCs w:val="20"/>
          <w:shd w:val="clear" w:color="auto" w:fill="FFFFFF"/>
        </w:rPr>
        <w:t>Tímabil:</w:t>
      </w:r>
      <w:r w:rsidRPr="005B4DD4">
        <w:rPr>
          <w:color w:val="242424"/>
          <w:sz w:val="20"/>
          <w:szCs w:val="20"/>
          <w:shd w:val="clear" w:color="auto" w:fill="FFFFFF"/>
        </w:rPr>
        <w:t> Tilraunaverkefni í tvö ár.</w:t>
      </w:r>
      <w:r w:rsidRPr="005B4DD4">
        <w:rPr>
          <w:color w:val="242424"/>
          <w:sz w:val="20"/>
          <w:szCs w:val="20"/>
        </w:rPr>
        <w:br/>
      </w:r>
      <w:r w:rsidRPr="005B4DD4">
        <w:rPr>
          <w:i/>
          <w:iCs/>
          <w:color w:val="242424"/>
          <w:sz w:val="20"/>
          <w:szCs w:val="20"/>
          <w:shd w:val="clear" w:color="auto" w:fill="FFFFFF"/>
        </w:rPr>
        <w:t>Kostnaður:</w:t>
      </w:r>
      <w:r w:rsidRPr="005B4DD4">
        <w:rPr>
          <w:color w:val="242424"/>
          <w:sz w:val="20"/>
          <w:szCs w:val="20"/>
          <w:shd w:val="clear" w:color="auto" w:fill="FFFFFF"/>
        </w:rPr>
        <w:t> 5 millj. kr. á ári.</w:t>
      </w:r>
      <w:r w:rsidRPr="005B4DD4">
        <w:rPr>
          <w:color w:val="242424"/>
          <w:sz w:val="20"/>
          <w:szCs w:val="20"/>
        </w:rPr>
        <w:br/>
      </w:r>
      <w:r w:rsidRPr="005B4DD4">
        <w:rPr>
          <w:i/>
          <w:iCs/>
          <w:color w:val="242424"/>
          <w:sz w:val="20"/>
          <w:szCs w:val="20"/>
          <w:shd w:val="clear" w:color="auto" w:fill="FFFFFF"/>
        </w:rPr>
        <w:t>Mælanlegt markmið:</w:t>
      </w:r>
      <w:r w:rsidRPr="005B4DD4">
        <w:rPr>
          <w:color w:val="242424"/>
          <w:sz w:val="20"/>
          <w:szCs w:val="20"/>
          <w:shd w:val="clear" w:color="auto" w:fill="FFFFFF"/>
        </w:rPr>
        <w:t> Tvö teymi starfi árin 2018 og 2019.</w:t>
      </w:r>
    </w:p>
    <w:p w14:paraId="406228B0" w14:textId="77777777" w:rsidR="00D97DA0" w:rsidRPr="005B4DD4" w:rsidRDefault="00D97DA0" w:rsidP="005B4DD4">
      <w:pPr>
        <w:spacing w:after="0"/>
        <w:rPr>
          <w:b/>
          <w:bCs/>
          <w:color w:val="242424"/>
          <w:sz w:val="20"/>
          <w:szCs w:val="20"/>
          <w:shd w:val="clear" w:color="auto" w:fill="FFFFFF"/>
        </w:rPr>
      </w:pPr>
      <w:r w:rsidRPr="005B4DD4">
        <w:rPr>
          <w:b/>
          <w:bCs/>
          <w:color w:val="242424"/>
          <w:sz w:val="20"/>
          <w:szCs w:val="20"/>
          <w:shd w:val="clear" w:color="auto" w:fill="FFFFFF"/>
        </w:rPr>
        <w:t xml:space="preserve">Stefnumótandi byggðaáætlun, </w:t>
      </w:r>
      <w:hyperlink r:id="rId9" w:history="1">
        <w:r w:rsidRPr="005B4DD4">
          <w:rPr>
            <w:rStyle w:val="Hyperlink"/>
            <w:b/>
            <w:bCs/>
            <w:sz w:val="20"/>
            <w:szCs w:val="20"/>
            <w:shd w:val="clear" w:color="auto" w:fill="FFFFFF"/>
          </w:rPr>
          <w:t>2018-2024</w:t>
        </w:r>
      </w:hyperlink>
      <w:r w:rsidRPr="005B4DD4">
        <w:rPr>
          <w:b/>
          <w:bCs/>
          <w:color w:val="242424"/>
          <w:sz w:val="20"/>
          <w:szCs w:val="20"/>
          <w:shd w:val="clear" w:color="auto" w:fill="FFFFFF"/>
        </w:rPr>
        <w:t xml:space="preserve">. </w:t>
      </w:r>
    </w:p>
    <w:p w14:paraId="10BFB5A4" w14:textId="77777777" w:rsidR="00D97DA0" w:rsidRPr="005B4DD4" w:rsidRDefault="00D97DA0" w:rsidP="005B4DD4">
      <w:pPr>
        <w:spacing w:after="0"/>
        <w:rPr>
          <w:color w:val="242424"/>
          <w:sz w:val="20"/>
          <w:szCs w:val="20"/>
          <w:shd w:val="clear" w:color="auto" w:fill="FFFFFF"/>
        </w:rPr>
      </w:pPr>
      <w:r w:rsidRPr="005B4DD4">
        <w:rPr>
          <w:b/>
          <w:bCs/>
          <w:color w:val="242424"/>
          <w:sz w:val="20"/>
          <w:szCs w:val="20"/>
          <w:shd w:val="clear" w:color="auto" w:fill="FFFFFF"/>
        </w:rPr>
        <w:t>A.4. Þverfagleg landshlutateymi.</w:t>
      </w:r>
      <w:r w:rsidRPr="005B4DD4">
        <w:rPr>
          <w:b/>
          <w:bCs/>
          <w:color w:val="242424"/>
          <w:sz w:val="20"/>
          <w:szCs w:val="20"/>
          <w:shd w:val="clear" w:color="auto" w:fill="FFFFFF"/>
        </w:rPr>
        <w:br/>
      </w:r>
      <w:r w:rsidRPr="005B4DD4">
        <w:rPr>
          <w:i/>
          <w:iCs/>
          <w:color w:val="242424"/>
          <w:sz w:val="20"/>
          <w:szCs w:val="20"/>
          <w:shd w:val="clear" w:color="auto" w:fill="FFFFFF"/>
        </w:rPr>
        <w:t>Verkefnismarkmið:</w:t>
      </w:r>
      <w:r w:rsidRPr="005B4DD4">
        <w:rPr>
          <w:color w:val="242424"/>
          <w:sz w:val="20"/>
          <w:szCs w:val="20"/>
          <w:shd w:val="clear" w:color="auto" w:fill="FFFFFF"/>
        </w:rPr>
        <w:t> Að styrkja og auka heildstæða þjónustu á sviði félags-, heilbrigðis- og menntamála.</w:t>
      </w:r>
      <w:r w:rsidRPr="005B4DD4">
        <w:rPr>
          <w:color w:val="242424"/>
          <w:sz w:val="20"/>
          <w:szCs w:val="20"/>
        </w:rPr>
        <w:br/>
      </w:r>
      <w:r w:rsidRPr="005B4DD4">
        <w:rPr>
          <w:color w:val="242424"/>
          <w:sz w:val="20"/>
          <w:szCs w:val="20"/>
          <w:shd w:val="clear" w:color="auto" w:fill="FFFFFF"/>
        </w:rPr>
        <w:t>Ráðist verði í tilraunaverkefni sem miði að því að koma á fót þverfaglegum landshlutateymum sem sinni samhæfingu, ráðgjöf, gæðamálum og fleiru á sviði félags-, heilbrigðis- og menntamála. Um gæti verið að ræða miðstöðvar sem verði hluti af heildstæðri þjónustukeðju sveitarfélaga og ríkis á umræddum sviðum. Þar gæti t.d. byggst upp kunnátta til að veita starfsfólki sveitarfélaga og foreldrum sérhæfða stað- og fjarbundna ráðgjöf sem miði m.a. að því að fyrr megi beita snemmtæku og fyrirbyggjandi inngripi. Þá verði hægt að vinna að verkefnum sem miði að því að styðja notendur í dreifðum byggðum til sjálfshjálpar þar sem ekki er auðveldur aðgangur að sérfræðingum. Þetta verði gert með þróun nýrra tæknilausna sem geri þeim mögulegt að eiga samskipti við starfsmenn félagsþjónustu á sviði barnaverndar og þjónustu við fatlað fólk og aldraða auk innflytjenda. Stefnt verði að því koma á fót a.m.k. tveimur landshlutateymum á þessum forsendum.</w:t>
      </w:r>
      <w:r w:rsidRPr="005B4DD4">
        <w:rPr>
          <w:color w:val="242424"/>
          <w:sz w:val="20"/>
          <w:szCs w:val="20"/>
        </w:rPr>
        <w:br/>
      </w:r>
      <w:r w:rsidRPr="005B4DD4">
        <w:rPr>
          <w:i/>
          <w:iCs/>
          <w:color w:val="242424"/>
          <w:sz w:val="20"/>
          <w:szCs w:val="20"/>
          <w:shd w:val="clear" w:color="auto" w:fill="FFFFFF"/>
        </w:rPr>
        <w:t>Ábyrgð:</w:t>
      </w:r>
      <w:r w:rsidRPr="005B4DD4">
        <w:rPr>
          <w:color w:val="242424"/>
          <w:sz w:val="20"/>
          <w:szCs w:val="20"/>
          <w:shd w:val="clear" w:color="auto" w:fill="FFFFFF"/>
        </w:rPr>
        <w:t> Samgöngu- og sveitarstjórnarráðuneyti, velferðarráðuneyti og mennta- og menningarmálaráðuneyti.</w:t>
      </w:r>
      <w:r w:rsidRPr="005B4DD4">
        <w:rPr>
          <w:color w:val="242424"/>
          <w:sz w:val="20"/>
          <w:szCs w:val="20"/>
        </w:rPr>
        <w:br/>
      </w:r>
      <w:r w:rsidRPr="005B4DD4">
        <w:rPr>
          <w:color w:val="242424"/>
          <w:sz w:val="20"/>
          <w:szCs w:val="20"/>
          <w:shd w:val="clear" w:color="auto" w:fill="FFFFFF"/>
        </w:rPr>
        <w:t> </w:t>
      </w:r>
      <w:r w:rsidRPr="005B4DD4">
        <w:rPr>
          <w:i/>
          <w:iCs/>
          <w:color w:val="242424"/>
          <w:sz w:val="20"/>
          <w:szCs w:val="20"/>
          <w:shd w:val="clear" w:color="auto" w:fill="FFFFFF"/>
        </w:rPr>
        <w:t>Framkvæmdaraðili:</w:t>
      </w:r>
      <w:r w:rsidRPr="005B4DD4">
        <w:rPr>
          <w:color w:val="242424"/>
          <w:sz w:val="20"/>
          <w:szCs w:val="20"/>
          <w:shd w:val="clear" w:color="auto" w:fill="FFFFFF"/>
        </w:rPr>
        <w:t> Ýmsir.</w:t>
      </w:r>
      <w:r w:rsidRPr="005B4DD4">
        <w:rPr>
          <w:color w:val="242424"/>
          <w:sz w:val="20"/>
          <w:szCs w:val="20"/>
        </w:rPr>
        <w:br/>
      </w:r>
      <w:r w:rsidRPr="005B4DD4">
        <w:rPr>
          <w:i/>
          <w:iCs/>
          <w:color w:val="242424"/>
          <w:sz w:val="20"/>
          <w:szCs w:val="20"/>
          <w:shd w:val="clear" w:color="auto" w:fill="FFFFFF"/>
        </w:rPr>
        <w:t>Dæmi um samstarfsaðila:</w:t>
      </w:r>
      <w:r w:rsidRPr="005B4DD4">
        <w:rPr>
          <w:color w:val="242424"/>
          <w:sz w:val="20"/>
          <w:szCs w:val="20"/>
          <w:shd w:val="clear" w:color="auto" w:fill="FFFFFF"/>
        </w:rPr>
        <w:t> Stofnanir á sviði félags-, heilbrigðis- og menntamála, sveitarfélög, landshlutasamtök sveitarfélaga og Samband íslenskra sveitarfélaga.</w:t>
      </w:r>
      <w:r w:rsidRPr="005B4DD4">
        <w:rPr>
          <w:color w:val="242424"/>
          <w:sz w:val="20"/>
          <w:szCs w:val="20"/>
        </w:rPr>
        <w:br/>
      </w:r>
      <w:r w:rsidRPr="005B4DD4">
        <w:rPr>
          <w:i/>
          <w:iCs/>
          <w:color w:val="242424"/>
          <w:sz w:val="20"/>
          <w:szCs w:val="20"/>
          <w:shd w:val="clear" w:color="auto" w:fill="FFFFFF"/>
        </w:rPr>
        <w:t>Tímabil:</w:t>
      </w:r>
      <w:r w:rsidRPr="005B4DD4">
        <w:rPr>
          <w:color w:val="242424"/>
          <w:sz w:val="20"/>
          <w:szCs w:val="20"/>
          <w:shd w:val="clear" w:color="auto" w:fill="FFFFFF"/>
        </w:rPr>
        <w:t> 2019–2024.</w:t>
      </w:r>
      <w:r w:rsidRPr="005B4DD4">
        <w:rPr>
          <w:color w:val="242424"/>
          <w:sz w:val="20"/>
          <w:szCs w:val="20"/>
        </w:rPr>
        <w:br/>
      </w:r>
      <w:r w:rsidRPr="005B4DD4">
        <w:rPr>
          <w:i/>
          <w:iCs/>
          <w:color w:val="242424"/>
          <w:sz w:val="20"/>
          <w:szCs w:val="20"/>
          <w:shd w:val="clear" w:color="auto" w:fill="FFFFFF"/>
        </w:rPr>
        <w:t>Tillaga að fjármögnun: </w:t>
      </w:r>
      <w:r w:rsidRPr="005B4DD4">
        <w:rPr>
          <w:color w:val="242424"/>
          <w:sz w:val="20"/>
          <w:szCs w:val="20"/>
          <w:shd w:val="clear" w:color="auto" w:fill="FFFFFF"/>
        </w:rPr>
        <w:t>60 millj. kr. úr byggðaáætlun.</w:t>
      </w:r>
    </w:p>
    <w:p w14:paraId="25A815EB" w14:textId="0FE0E5B6" w:rsidR="00D97DA0" w:rsidRDefault="00D97DA0" w:rsidP="00D97DA0"/>
    <w:sectPr w:rsidR="00D97DA0" w:rsidSect="005B4D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C5C41"/>
    <w:multiLevelType w:val="hybridMultilevel"/>
    <w:tmpl w:val="C7C8DE4C"/>
    <w:lvl w:ilvl="0" w:tplc="040F000F">
      <w:start w:val="1"/>
      <w:numFmt w:val="decimal"/>
      <w:lvlText w:val="%1."/>
      <w:lvlJc w:val="left"/>
      <w:pPr>
        <w:ind w:left="919" w:hanging="360"/>
      </w:pPr>
    </w:lvl>
    <w:lvl w:ilvl="1" w:tplc="040F0019">
      <w:start w:val="1"/>
      <w:numFmt w:val="lowerLetter"/>
      <w:lvlText w:val="%2."/>
      <w:lvlJc w:val="left"/>
      <w:pPr>
        <w:ind w:left="1639" w:hanging="360"/>
      </w:pPr>
    </w:lvl>
    <w:lvl w:ilvl="2" w:tplc="040F001B">
      <w:start w:val="1"/>
      <w:numFmt w:val="lowerRoman"/>
      <w:lvlText w:val="%3."/>
      <w:lvlJc w:val="right"/>
      <w:pPr>
        <w:ind w:left="2359" w:hanging="180"/>
      </w:pPr>
    </w:lvl>
    <w:lvl w:ilvl="3" w:tplc="040F000F">
      <w:start w:val="1"/>
      <w:numFmt w:val="decimal"/>
      <w:lvlText w:val="%4."/>
      <w:lvlJc w:val="left"/>
      <w:pPr>
        <w:ind w:left="3079" w:hanging="360"/>
      </w:pPr>
    </w:lvl>
    <w:lvl w:ilvl="4" w:tplc="040F0019">
      <w:start w:val="1"/>
      <w:numFmt w:val="lowerLetter"/>
      <w:lvlText w:val="%5."/>
      <w:lvlJc w:val="left"/>
      <w:pPr>
        <w:ind w:left="3799" w:hanging="360"/>
      </w:pPr>
    </w:lvl>
    <w:lvl w:ilvl="5" w:tplc="040F001B">
      <w:start w:val="1"/>
      <w:numFmt w:val="lowerRoman"/>
      <w:lvlText w:val="%6."/>
      <w:lvlJc w:val="right"/>
      <w:pPr>
        <w:ind w:left="4519" w:hanging="180"/>
      </w:pPr>
    </w:lvl>
    <w:lvl w:ilvl="6" w:tplc="040F000F">
      <w:start w:val="1"/>
      <w:numFmt w:val="decimal"/>
      <w:lvlText w:val="%7."/>
      <w:lvlJc w:val="left"/>
      <w:pPr>
        <w:ind w:left="5239" w:hanging="360"/>
      </w:pPr>
    </w:lvl>
    <w:lvl w:ilvl="7" w:tplc="040F0019">
      <w:start w:val="1"/>
      <w:numFmt w:val="lowerLetter"/>
      <w:lvlText w:val="%8."/>
      <w:lvlJc w:val="left"/>
      <w:pPr>
        <w:ind w:left="5959" w:hanging="360"/>
      </w:pPr>
    </w:lvl>
    <w:lvl w:ilvl="8" w:tplc="040F001B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A0"/>
    <w:rsid w:val="002B52B8"/>
    <w:rsid w:val="005B4DD4"/>
    <w:rsid w:val="006E7FB9"/>
    <w:rsid w:val="00825A97"/>
    <w:rsid w:val="009469FF"/>
    <w:rsid w:val="00B824E7"/>
    <w:rsid w:val="00C92C36"/>
    <w:rsid w:val="00CA2B9B"/>
    <w:rsid w:val="00D23140"/>
    <w:rsid w:val="00D97DA0"/>
    <w:rsid w:val="00E9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5CAC"/>
  <w15:chartTrackingRefBased/>
  <w15:docId w15:val="{53432B21-53EA-4EFB-9D5D-E2777A41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D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D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hingi.is/altext/146/s/10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thingi.is/lagas/nuna/200809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thingi.is/lagas/nuna/200809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thingi.is/lagas/nuna/200308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thingi.is/altext/148/s/124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Sigurðardóttir</dc:creator>
  <cp:keywords/>
  <dc:description/>
  <cp:lastModifiedBy>Solveig Sigurðardóttir</cp:lastModifiedBy>
  <cp:revision>8</cp:revision>
  <dcterms:created xsi:type="dcterms:W3CDTF">2020-05-12T11:58:00Z</dcterms:created>
  <dcterms:modified xsi:type="dcterms:W3CDTF">2020-05-12T12:34:00Z</dcterms:modified>
</cp:coreProperties>
</file>