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05D1C" w14:textId="6ABE90FA" w:rsidR="009A6F1B" w:rsidRPr="00753C60" w:rsidRDefault="002D1DF9" w:rsidP="009A6F1B">
      <w:pPr>
        <w:rPr>
          <w:rFonts w:asciiTheme="minorHAnsi" w:hAnsiTheme="minorHAnsi"/>
          <w:sz w:val="22"/>
          <w:szCs w:val="22"/>
          <w:lang w:val="en-US"/>
        </w:rPr>
      </w:pPr>
      <w:r w:rsidRPr="00753C60">
        <w:rPr>
          <w:rFonts w:asciiTheme="minorHAnsi" w:hAnsiTheme="minorHAnsi"/>
          <w:noProof/>
          <w:lang w:eastAsia="is-IS"/>
        </w:rPr>
        <w:drawing>
          <wp:anchor distT="0" distB="0" distL="114300" distR="114300" simplePos="0" relativeHeight="251658240" behindDoc="1" locked="0" layoutInCell="1" allowOverlap="1" wp14:anchorId="2BCCB411" wp14:editId="44366045">
            <wp:simplePos x="0" y="0"/>
            <wp:positionH relativeFrom="column">
              <wp:posOffset>4660900</wp:posOffset>
            </wp:positionH>
            <wp:positionV relativeFrom="paragraph">
              <wp:posOffset>-342900</wp:posOffset>
            </wp:positionV>
            <wp:extent cx="1092200" cy="63957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iginal on 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2200" cy="639579"/>
                    </a:xfrm>
                    <a:prstGeom prst="rect">
                      <a:avLst/>
                    </a:prstGeom>
                  </pic:spPr>
                </pic:pic>
              </a:graphicData>
            </a:graphic>
            <wp14:sizeRelH relativeFrom="page">
              <wp14:pctWidth>0</wp14:pctWidth>
            </wp14:sizeRelH>
            <wp14:sizeRelV relativeFrom="page">
              <wp14:pctHeight>0</wp14:pctHeight>
            </wp14:sizeRelV>
          </wp:anchor>
        </w:drawing>
      </w:r>
    </w:p>
    <w:p w14:paraId="25867515" w14:textId="77777777" w:rsidR="002D1DF9" w:rsidRPr="00753C60" w:rsidRDefault="002D1DF9" w:rsidP="009A6F1B">
      <w:pPr>
        <w:rPr>
          <w:rFonts w:asciiTheme="minorHAnsi" w:hAnsiTheme="minorHAnsi"/>
          <w:lang w:val="en-US"/>
        </w:rPr>
      </w:pPr>
    </w:p>
    <w:p w14:paraId="54C6F842" w14:textId="77777777" w:rsidR="002D1DF9" w:rsidRPr="00753C60" w:rsidRDefault="002D1DF9" w:rsidP="009A6F1B">
      <w:pPr>
        <w:rPr>
          <w:rFonts w:asciiTheme="minorHAnsi" w:hAnsiTheme="minorHAnsi"/>
          <w:lang w:val="en-US"/>
        </w:rPr>
      </w:pPr>
    </w:p>
    <w:p w14:paraId="570D72D5" w14:textId="505F0E31" w:rsidR="009A6F1B" w:rsidRPr="00753C60" w:rsidRDefault="009A6F1B" w:rsidP="009A6F1B">
      <w:pPr>
        <w:rPr>
          <w:rFonts w:asciiTheme="minorHAnsi" w:hAnsiTheme="minorHAnsi"/>
          <w:lang w:val="en-US"/>
        </w:rPr>
      </w:pPr>
      <w:proofErr w:type="spellStart"/>
      <w:r w:rsidRPr="00753C60">
        <w:rPr>
          <w:rFonts w:asciiTheme="minorHAnsi" w:hAnsiTheme="minorHAnsi"/>
          <w:lang w:val="en-US"/>
        </w:rPr>
        <w:t>Atvinnuvega</w:t>
      </w:r>
      <w:proofErr w:type="spellEnd"/>
      <w:r w:rsidRPr="00753C60">
        <w:rPr>
          <w:rFonts w:asciiTheme="minorHAnsi" w:hAnsiTheme="minorHAnsi"/>
          <w:lang w:val="en-US"/>
        </w:rPr>
        <w:t xml:space="preserve">- </w:t>
      </w:r>
      <w:proofErr w:type="spellStart"/>
      <w:r w:rsidRPr="00753C60">
        <w:rPr>
          <w:rFonts w:asciiTheme="minorHAnsi" w:hAnsiTheme="minorHAnsi"/>
          <w:lang w:val="en-US"/>
        </w:rPr>
        <w:t>og</w:t>
      </w:r>
      <w:proofErr w:type="spellEnd"/>
      <w:r w:rsidRPr="00753C60">
        <w:rPr>
          <w:rFonts w:asciiTheme="minorHAnsi" w:hAnsiTheme="minorHAnsi"/>
          <w:lang w:val="en-US"/>
        </w:rPr>
        <w:t xml:space="preserve"> </w:t>
      </w:r>
      <w:proofErr w:type="spellStart"/>
      <w:r w:rsidRPr="00753C60">
        <w:rPr>
          <w:rFonts w:asciiTheme="minorHAnsi" w:hAnsiTheme="minorHAnsi"/>
          <w:lang w:val="en-US"/>
        </w:rPr>
        <w:t>nýsköpunarráðuneyti</w:t>
      </w:r>
      <w:r w:rsidR="002D1DF9" w:rsidRPr="00753C60">
        <w:rPr>
          <w:rFonts w:asciiTheme="minorHAnsi" w:hAnsiTheme="minorHAnsi"/>
          <w:lang w:val="en-US"/>
        </w:rPr>
        <w:t>ð</w:t>
      </w:r>
      <w:proofErr w:type="spellEnd"/>
    </w:p>
    <w:p w14:paraId="24CE5C08" w14:textId="77777777" w:rsidR="002D1DF9" w:rsidRPr="00753C60" w:rsidRDefault="002D1DF9" w:rsidP="002D1DF9">
      <w:pPr>
        <w:rPr>
          <w:rFonts w:asciiTheme="minorHAnsi" w:hAnsiTheme="minorHAnsi"/>
          <w:lang w:val="en-US"/>
        </w:rPr>
      </w:pPr>
      <w:proofErr w:type="spellStart"/>
      <w:r w:rsidRPr="00753C60">
        <w:rPr>
          <w:rFonts w:asciiTheme="minorHAnsi" w:hAnsiTheme="minorHAnsi"/>
          <w:lang w:val="en-US"/>
        </w:rPr>
        <w:t>Skúlagata</w:t>
      </w:r>
      <w:proofErr w:type="spellEnd"/>
      <w:r w:rsidRPr="00753C60">
        <w:rPr>
          <w:rFonts w:asciiTheme="minorHAnsi" w:hAnsiTheme="minorHAnsi"/>
          <w:lang w:val="en-US"/>
        </w:rPr>
        <w:t xml:space="preserve"> 4</w:t>
      </w:r>
    </w:p>
    <w:p w14:paraId="22F7D5EE" w14:textId="4379701A" w:rsidR="002D1DF9" w:rsidRPr="00753C60" w:rsidRDefault="002D1DF9" w:rsidP="002D1DF9">
      <w:pPr>
        <w:rPr>
          <w:rFonts w:asciiTheme="minorHAnsi" w:hAnsiTheme="minorHAnsi"/>
          <w:lang w:val="en-US"/>
        </w:rPr>
      </w:pPr>
      <w:r w:rsidRPr="00753C60">
        <w:rPr>
          <w:rFonts w:asciiTheme="minorHAnsi" w:hAnsiTheme="minorHAnsi"/>
          <w:lang w:val="en-US"/>
        </w:rPr>
        <w:t>101 Reykjavík</w:t>
      </w:r>
    </w:p>
    <w:p w14:paraId="2B28DA51" w14:textId="77777777" w:rsidR="009A6F1B" w:rsidRPr="00753C60" w:rsidRDefault="009A6F1B" w:rsidP="009A6F1B">
      <w:pPr>
        <w:rPr>
          <w:rFonts w:asciiTheme="minorHAnsi" w:hAnsiTheme="minorHAnsi"/>
          <w:lang w:val="en-US"/>
        </w:rPr>
      </w:pPr>
    </w:p>
    <w:p w14:paraId="657B8A84" w14:textId="77777777" w:rsidR="009A6F1B" w:rsidRPr="00753C60" w:rsidRDefault="009A6F1B" w:rsidP="009A6F1B">
      <w:pPr>
        <w:jc w:val="right"/>
        <w:rPr>
          <w:rFonts w:asciiTheme="minorHAnsi" w:hAnsiTheme="minorHAnsi"/>
          <w:lang w:val="en-US"/>
        </w:rPr>
      </w:pPr>
      <w:r w:rsidRPr="00753C60">
        <w:rPr>
          <w:rFonts w:asciiTheme="minorHAnsi" w:hAnsiTheme="minorHAnsi"/>
          <w:lang w:val="en-US"/>
        </w:rPr>
        <w:t>Reykjavik, 08.08.2019</w:t>
      </w:r>
    </w:p>
    <w:p w14:paraId="63D9844A" w14:textId="2AB4EBEB" w:rsidR="002D1DF9" w:rsidRPr="00753C60" w:rsidRDefault="002D1DF9" w:rsidP="009A6F1B">
      <w:pPr>
        <w:jc w:val="right"/>
        <w:rPr>
          <w:rFonts w:asciiTheme="minorHAnsi" w:hAnsiTheme="minorHAnsi"/>
          <w:lang w:val="en-US"/>
        </w:rPr>
      </w:pPr>
    </w:p>
    <w:p w14:paraId="79CB5276" w14:textId="77777777" w:rsidR="002D1DF9" w:rsidRPr="00753C60" w:rsidRDefault="002D1DF9" w:rsidP="009A6F1B">
      <w:pPr>
        <w:jc w:val="right"/>
        <w:rPr>
          <w:rFonts w:asciiTheme="minorHAnsi" w:hAnsiTheme="minorHAnsi"/>
          <w:lang w:val="en-US"/>
        </w:rPr>
      </w:pPr>
    </w:p>
    <w:p w14:paraId="6D2BD751" w14:textId="1BAD566E" w:rsidR="009A6F1B" w:rsidRPr="00753C60" w:rsidRDefault="009A6F1B" w:rsidP="009A6F1B">
      <w:pPr>
        <w:jc w:val="right"/>
        <w:rPr>
          <w:rFonts w:asciiTheme="minorHAnsi" w:hAnsiTheme="minorHAnsi"/>
          <w:lang w:val="en-US"/>
        </w:rPr>
      </w:pPr>
      <w:proofErr w:type="spellStart"/>
      <w:r w:rsidRPr="00753C60">
        <w:rPr>
          <w:rFonts w:asciiTheme="minorHAnsi" w:hAnsiTheme="minorHAnsi"/>
          <w:lang w:val="en-US"/>
        </w:rPr>
        <w:t>Mál</w:t>
      </w:r>
      <w:proofErr w:type="spellEnd"/>
      <w:r w:rsidRPr="00753C60">
        <w:rPr>
          <w:rFonts w:asciiTheme="minorHAnsi" w:hAnsiTheme="minorHAnsi"/>
          <w:lang w:val="en-US"/>
        </w:rPr>
        <w:t xml:space="preserve"> nr. S-186/2019 </w:t>
      </w:r>
    </w:p>
    <w:p w14:paraId="45F04333" w14:textId="77777777" w:rsidR="009A6F1B" w:rsidRPr="00753C60" w:rsidRDefault="009A6F1B" w:rsidP="009A6F1B">
      <w:pPr>
        <w:jc w:val="right"/>
        <w:rPr>
          <w:rFonts w:asciiTheme="minorHAnsi" w:hAnsiTheme="minorHAnsi"/>
          <w:lang w:val="en-US"/>
        </w:rPr>
      </w:pPr>
      <w:proofErr w:type="spellStart"/>
      <w:r w:rsidRPr="00753C60">
        <w:rPr>
          <w:rFonts w:asciiTheme="minorHAnsi" w:hAnsiTheme="minorHAnsi"/>
          <w:lang w:val="en-US"/>
        </w:rPr>
        <w:t>Birt</w:t>
      </w:r>
      <w:proofErr w:type="spellEnd"/>
      <w:r w:rsidRPr="00753C60">
        <w:rPr>
          <w:rFonts w:asciiTheme="minorHAnsi" w:hAnsiTheme="minorHAnsi"/>
          <w:lang w:val="en-US"/>
        </w:rPr>
        <w:t>: 12.07.2019</w:t>
      </w:r>
    </w:p>
    <w:p w14:paraId="7AE01F0C" w14:textId="1A050700" w:rsidR="009A6F1B" w:rsidRPr="00753C60" w:rsidRDefault="009A6F1B" w:rsidP="009A6F1B">
      <w:pPr>
        <w:rPr>
          <w:rFonts w:asciiTheme="minorHAnsi" w:hAnsiTheme="minorHAnsi"/>
          <w:lang w:val="en-US"/>
        </w:rPr>
      </w:pPr>
    </w:p>
    <w:p w14:paraId="47A3879C" w14:textId="77777777" w:rsidR="009A6F1B" w:rsidRPr="00753C60" w:rsidRDefault="009A6F1B" w:rsidP="009A6F1B">
      <w:pPr>
        <w:jc w:val="center"/>
        <w:rPr>
          <w:rFonts w:asciiTheme="minorHAnsi" w:hAnsiTheme="minorHAnsi"/>
          <w:b/>
          <w:bCs/>
          <w:sz w:val="36"/>
          <w:szCs w:val="36"/>
          <w:lang w:val="en-US"/>
        </w:rPr>
      </w:pPr>
    </w:p>
    <w:p w14:paraId="05B3F501" w14:textId="3F202973" w:rsidR="009A6F1B" w:rsidRPr="00753C60" w:rsidRDefault="009A6F1B" w:rsidP="009A6F1B">
      <w:pPr>
        <w:rPr>
          <w:rFonts w:asciiTheme="minorHAnsi" w:hAnsiTheme="minorHAnsi"/>
          <w:b/>
          <w:bCs/>
        </w:rPr>
      </w:pPr>
      <w:r w:rsidRPr="00753C60">
        <w:rPr>
          <w:rFonts w:asciiTheme="minorHAnsi" w:hAnsiTheme="minorHAnsi"/>
          <w:b/>
          <w:bCs/>
        </w:rPr>
        <w:t>Efni: Umsögn um frumvarp til laga um breytingu á búvörulögum, nr. 99/1993, með síðari breytingum (úthlutun tollkvóta).</w:t>
      </w:r>
    </w:p>
    <w:p w14:paraId="5FFE590A" w14:textId="77777777" w:rsidR="009A6F1B" w:rsidRPr="00753C60" w:rsidRDefault="009A6F1B" w:rsidP="009A6F1B">
      <w:pPr>
        <w:rPr>
          <w:rFonts w:asciiTheme="minorHAnsi" w:hAnsiTheme="minorHAnsi"/>
          <w:sz w:val="28"/>
          <w:szCs w:val="28"/>
        </w:rPr>
      </w:pPr>
    </w:p>
    <w:p w14:paraId="1F532E76" w14:textId="588594D6" w:rsidR="009A6F1B" w:rsidRPr="00753C60" w:rsidRDefault="00C606CC" w:rsidP="009A6F1B">
      <w:pPr>
        <w:spacing w:before="100" w:beforeAutospacing="1" w:after="100" w:afterAutospacing="1"/>
        <w:rPr>
          <w:rFonts w:asciiTheme="minorHAnsi" w:hAnsiTheme="minorHAnsi"/>
        </w:rPr>
      </w:pPr>
      <w:r w:rsidRPr="00753C60">
        <w:rPr>
          <w:rFonts w:asciiTheme="minorHAnsi" w:hAnsiTheme="minorHAnsi"/>
          <w:b/>
          <w:bCs/>
        </w:rPr>
        <w:t>Almennt</w:t>
      </w:r>
      <w:bookmarkStart w:id="0" w:name="_GoBack"/>
      <w:bookmarkEnd w:id="0"/>
    </w:p>
    <w:p w14:paraId="78FACA17" w14:textId="451B084E" w:rsidR="00652E95" w:rsidRPr="00753C60" w:rsidRDefault="009A6F1B" w:rsidP="00652E95">
      <w:pPr>
        <w:spacing w:before="100" w:beforeAutospacing="1" w:after="100" w:afterAutospacing="1"/>
        <w:jc w:val="both"/>
        <w:rPr>
          <w:rFonts w:asciiTheme="minorHAnsi" w:hAnsiTheme="minorHAnsi"/>
        </w:rPr>
      </w:pPr>
      <w:r w:rsidRPr="00753C60">
        <w:rPr>
          <w:rFonts w:asciiTheme="minorHAnsi" w:hAnsiTheme="minorHAnsi"/>
        </w:rPr>
        <w:t xml:space="preserve">Undirritaður er talsmaður FESK, ný stofnaðs félags Eggjabænda, Svínabænda og Kjúklingabænda. Umsögn </w:t>
      </w:r>
      <w:r w:rsidR="00C002C4" w:rsidRPr="00753C60">
        <w:rPr>
          <w:rFonts w:asciiTheme="minorHAnsi" w:hAnsiTheme="minorHAnsi"/>
        </w:rPr>
        <w:t>þessi</w:t>
      </w:r>
      <w:r w:rsidRPr="00753C60">
        <w:rPr>
          <w:rFonts w:asciiTheme="minorHAnsi" w:hAnsiTheme="minorHAnsi"/>
        </w:rPr>
        <w:t xml:space="preserve"> er samhljóma álit allra ofangreindra félag</w:t>
      </w:r>
      <w:r w:rsidR="009F7DEA" w:rsidRPr="00753C60">
        <w:rPr>
          <w:rFonts w:asciiTheme="minorHAnsi" w:hAnsiTheme="minorHAnsi"/>
        </w:rPr>
        <w:t>a.</w:t>
      </w:r>
      <w:r w:rsidRPr="00753C60">
        <w:rPr>
          <w:rFonts w:asciiTheme="minorHAnsi" w:hAnsiTheme="minorHAnsi"/>
        </w:rPr>
        <w:t xml:space="preserve"> </w:t>
      </w:r>
    </w:p>
    <w:p w14:paraId="5133F6E4" w14:textId="70FBBB6C" w:rsidR="009A6F1B" w:rsidRPr="00753C60" w:rsidRDefault="00652E95" w:rsidP="00652E95">
      <w:pPr>
        <w:spacing w:before="100" w:beforeAutospacing="1" w:after="100" w:afterAutospacing="1"/>
        <w:jc w:val="both"/>
        <w:rPr>
          <w:rFonts w:asciiTheme="minorHAnsi" w:hAnsiTheme="minorHAnsi"/>
        </w:rPr>
      </w:pPr>
      <w:r w:rsidRPr="00753C60">
        <w:rPr>
          <w:rFonts w:asciiTheme="minorHAnsi" w:hAnsiTheme="minorHAnsi"/>
        </w:rPr>
        <w:t>T</w:t>
      </w:r>
      <w:r w:rsidR="009A6F1B" w:rsidRPr="00753C60">
        <w:rPr>
          <w:rFonts w:asciiTheme="minorHAnsi" w:hAnsiTheme="minorHAnsi"/>
        </w:rPr>
        <w:t>ímabil</w:t>
      </w:r>
      <w:r w:rsidRPr="00753C60">
        <w:rPr>
          <w:rFonts w:asciiTheme="minorHAnsi" w:hAnsiTheme="minorHAnsi"/>
        </w:rPr>
        <w:t>ið sem gefið var</w:t>
      </w:r>
      <w:r w:rsidR="009A6F1B" w:rsidRPr="00753C60">
        <w:rPr>
          <w:rFonts w:asciiTheme="minorHAnsi" w:hAnsiTheme="minorHAnsi"/>
        </w:rPr>
        <w:t xml:space="preserve"> til þess að skila inn umsögn </w:t>
      </w:r>
      <w:r w:rsidRPr="00753C60">
        <w:rPr>
          <w:rFonts w:asciiTheme="minorHAnsi" w:hAnsiTheme="minorHAnsi"/>
        </w:rPr>
        <w:t xml:space="preserve">var </w:t>
      </w:r>
      <w:r w:rsidR="009A6F1B" w:rsidRPr="00753C60">
        <w:rPr>
          <w:rFonts w:asciiTheme="minorHAnsi" w:hAnsiTheme="minorHAnsi"/>
        </w:rPr>
        <w:t>verulega óheppileg</w:t>
      </w:r>
      <w:r w:rsidRPr="00753C60">
        <w:rPr>
          <w:rFonts w:asciiTheme="minorHAnsi" w:hAnsiTheme="minorHAnsi"/>
        </w:rPr>
        <w:t>t</w:t>
      </w:r>
      <w:r w:rsidR="009A6F1B" w:rsidRPr="00753C60">
        <w:rPr>
          <w:rFonts w:asciiTheme="minorHAnsi" w:hAnsiTheme="minorHAnsi"/>
        </w:rPr>
        <w:t xml:space="preserve">, enda sumartíminn einn sá annasamasti í landbúnaði. Ágætt væri að taka tillit til þess í framtíðinni, enda mikilvægt fyrir alla aðila að þeir aðilar sem lagasetningin snertir mest fái tíma til að koma með uppbyggilega og greinagóða rýni til </w:t>
      </w:r>
      <w:r w:rsidR="00723184" w:rsidRPr="00753C60">
        <w:rPr>
          <w:rFonts w:asciiTheme="minorHAnsi" w:hAnsiTheme="minorHAnsi"/>
        </w:rPr>
        <w:t>gagns</w:t>
      </w:r>
      <w:r w:rsidR="009A6F1B" w:rsidRPr="00753C60">
        <w:rPr>
          <w:rFonts w:asciiTheme="minorHAnsi" w:hAnsiTheme="minorHAnsi"/>
        </w:rPr>
        <w:t xml:space="preserve">. </w:t>
      </w:r>
      <w:r w:rsidR="00C002C4" w:rsidRPr="00753C60">
        <w:rPr>
          <w:rFonts w:asciiTheme="minorHAnsi" w:hAnsiTheme="minorHAnsi"/>
        </w:rPr>
        <w:t>Gert er ráð fyrir</w:t>
      </w:r>
      <w:r w:rsidR="009A6F1B" w:rsidRPr="00753C60">
        <w:rPr>
          <w:rFonts w:asciiTheme="minorHAnsi" w:hAnsiTheme="minorHAnsi"/>
        </w:rPr>
        <w:t xml:space="preserve"> að þingheimur og þjóðin vilji fá vandaðar og ígrundaðar umsagnir sem geta nýst við ákvarðanir og lagasetningar sem þessar.   </w:t>
      </w:r>
    </w:p>
    <w:p w14:paraId="34C102DF" w14:textId="63BC5B7F" w:rsidR="009A6F1B" w:rsidRPr="00753C60" w:rsidRDefault="009A6F1B" w:rsidP="00652E95">
      <w:pPr>
        <w:jc w:val="both"/>
        <w:rPr>
          <w:rFonts w:asciiTheme="minorHAnsi" w:hAnsiTheme="minorHAnsi"/>
        </w:rPr>
      </w:pPr>
      <w:r w:rsidRPr="00753C60">
        <w:rPr>
          <w:rFonts w:asciiTheme="minorHAnsi" w:hAnsiTheme="minorHAnsi"/>
        </w:rPr>
        <w:t xml:space="preserve">Þær breytingar sem verið er að gera  á búvörulögum, nr. 99/1993, með síðari breytingum (úthlutun tollkvóta), eru ansi óskýrar í útfærslu. </w:t>
      </w:r>
      <w:r w:rsidR="00652E95" w:rsidRPr="00753C60">
        <w:rPr>
          <w:rFonts w:asciiTheme="minorHAnsi" w:hAnsiTheme="minorHAnsi"/>
        </w:rPr>
        <w:t>Skilja</w:t>
      </w:r>
      <w:r w:rsidRPr="00753C60">
        <w:rPr>
          <w:rFonts w:asciiTheme="minorHAnsi" w:hAnsiTheme="minorHAnsi"/>
        </w:rPr>
        <w:t xml:space="preserve"> má í frumvarpinu að slaka eigi á eftirliti með skorti og að kröfur um skilgreiningu á skorti verði lækkaðar. Hvort tveggja virðist rýmka heimildir ráðherra til að gefa út „opna tollkvóta“. Slíkt umhverfi skapar mikla óvissu í ræktun. </w:t>
      </w:r>
    </w:p>
    <w:p w14:paraId="5BE3F29E" w14:textId="77777777" w:rsidR="00C606CC" w:rsidRPr="00753C60" w:rsidRDefault="00C606CC" w:rsidP="00652E95">
      <w:pPr>
        <w:jc w:val="both"/>
        <w:rPr>
          <w:rFonts w:asciiTheme="minorHAnsi" w:hAnsiTheme="minorHAnsi"/>
        </w:rPr>
      </w:pPr>
    </w:p>
    <w:p w14:paraId="18CEADA7" w14:textId="4C0EFED6" w:rsidR="009A6F1B" w:rsidRPr="00753C60" w:rsidRDefault="009A6F1B" w:rsidP="00652E95">
      <w:pPr>
        <w:jc w:val="both"/>
        <w:rPr>
          <w:rFonts w:asciiTheme="minorHAnsi" w:hAnsiTheme="minorHAnsi"/>
        </w:rPr>
      </w:pPr>
      <w:r w:rsidRPr="00753C60">
        <w:rPr>
          <w:rFonts w:asciiTheme="minorHAnsi" w:hAnsiTheme="minorHAnsi"/>
        </w:rPr>
        <w:t>Nú þegar gera tollasamningar ráð fyrir að flutt verð</w:t>
      </w:r>
      <w:r w:rsidR="00723184" w:rsidRPr="00753C60">
        <w:rPr>
          <w:rFonts w:asciiTheme="minorHAnsi" w:hAnsiTheme="minorHAnsi"/>
        </w:rPr>
        <w:t>i</w:t>
      </w:r>
      <w:r w:rsidRPr="00753C60">
        <w:rPr>
          <w:rFonts w:asciiTheme="minorHAnsi" w:hAnsiTheme="minorHAnsi"/>
        </w:rPr>
        <w:t xml:space="preserve"> inn 12% af allri innlendri neyslu af kjúklinga- og svínakjöti.  Verði skortur á vöru skilgreindur út frá sögulegu samhengi og umsögnum „fjögurra ótengdra dreifingaraðila”</w:t>
      </w:r>
      <w:r w:rsidRPr="00753C60">
        <w:rPr>
          <w:rFonts w:asciiTheme="minorHAnsi" w:hAnsiTheme="minorHAnsi"/>
          <w:lang w:val="en-US"/>
        </w:rPr>
        <w:t xml:space="preserve"> </w:t>
      </w:r>
      <w:r w:rsidRPr="00753C60">
        <w:rPr>
          <w:rFonts w:asciiTheme="minorHAnsi" w:hAnsiTheme="minorHAnsi"/>
        </w:rPr>
        <w:t xml:space="preserve"> þá eru meiri líkur á að futt verður inn hærra hlutfall en 12% innlendrar neyslu til landsins. Sem dæmi má taka nýlega samninga ESB við Mercosur-ríkin, en í þeim samningum er gert ráð fyrir að flytja </w:t>
      </w:r>
      <w:r w:rsidR="0076670C" w:rsidRPr="00753C60">
        <w:rPr>
          <w:rFonts w:asciiTheme="minorHAnsi" w:hAnsiTheme="minorHAnsi"/>
        </w:rPr>
        <w:t xml:space="preserve">eigi </w:t>
      </w:r>
      <w:r w:rsidRPr="00753C60">
        <w:rPr>
          <w:rFonts w:asciiTheme="minorHAnsi" w:hAnsiTheme="minorHAnsi"/>
        </w:rPr>
        <w:t xml:space="preserve">inn 2-4% af allri neyslu Evrópuríkja af kjúklingi frá Mercosur-ríkjunum. Landbúnaðarsambönd Evrópuríkjana hafa þegar lýst áhyggjum sínum af þessu háa hlutfalli (2-4%) innflutnings og er talið að þetta hafi gríðarleg áhrif á uppbyggingu, fjárfestingu í endurnýjun og atvinnuöryggi í kjúklingarækt. </w:t>
      </w:r>
    </w:p>
    <w:p w14:paraId="60614A55" w14:textId="77777777" w:rsidR="00C606CC" w:rsidRPr="00753C60" w:rsidRDefault="00C606CC" w:rsidP="00652E95">
      <w:pPr>
        <w:jc w:val="both"/>
        <w:rPr>
          <w:rFonts w:asciiTheme="minorHAnsi" w:hAnsiTheme="minorHAnsi"/>
        </w:rPr>
      </w:pPr>
    </w:p>
    <w:p w14:paraId="1A007205" w14:textId="5A61823B" w:rsidR="009A6F1B" w:rsidRPr="00753C60" w:rsidRDefault="00652E95" w:rsidP="00652E95">
      <w:pPr>
        <w:jc w:val="both"/>
        <w:rPr>
          <w:rFonts w:asciiTheme="minorHAnsi" w:hAnsiTheme="minorHAnsi"/>
        </w:rPr>
      </w:pPr>
      <w:r w:rsidRPr="00753C60">
        <w:rPr>
          <w:rFonts w:asciiTheme="minorHAnsi" w:hAnsiTheme="minorHAnsi"/>
        </w:rPr>
        <w:t>Þetta</w:t>
      </w:r>
      <w:r w:rsidR="009A6F1B" w:rsidRPr="00753C60">
        <w:rPr>
          <w:rFonts w:asciiTheme="minorHAnsi" w:hAnsiTheme="minorHAnsi"/>
        </w:rPr>
        <w:t xml:space="preserve"> frumvarp </w:t>
      </w:r>
      <w:r w:rsidRPr="00753C60">
        <w:rPr>
          <w:rFonts w:asciiTheme="minorHAnsi" w:hAnsiTheme="minorHAnsi"/>
        </w:rPr>
        <w:t>er</w:t>
      </w:r>
      <w:r w:rsidR="009A6F1B" w:rsidRPr="00753C60">
        <w:rPr>
          <w:rFonts w:asciiTheme="minorHAnsi" w:hAnsiTheme="minorHAnsi"/>
        </w:rPr>
        <w:t xml:space="preserve"> til þess fallið að opna e</w:t>
      </w:r>
      <w:r w:rsidR="00723184" w:rsidRPr="00753C60">
        <w:rPr>
          <w:rFonts w:asciiTheme="minorHAnsi" w:hAnsiTheme="minorHAnsi"/>
        </w:rPr>
        <w:t>n</w:t>
      </w:r>
      <w:r w:rsidR="009A6F1B" w:rsidRPr="00753C60">
        <w:rPr>
          <w:rFonts w:asciiTheme="minorHAnsi" w:hAnsiTheme="minorHAnsi"/>
        </w:rPr>
        <w:t xml:space="preserve">n frekar á innflutning umfram þá tollasamninga sem í gildi eru, með lægri kröfum í skilgreiningu á vöruskorti </w:t>
      </w:r>
      <w:r w:rsidR="009F7DEA" w:rsidRPr="00753C60">
        <w:rPr>
          <w:rFonts w:asciiTheme="minorHAnsi" w:hAnsiTheme="minorHAnsi"/>
        </w:rPr>
        <w:t xml:space="preserve">og notkun úrræðis sem kallar </w:t>
      </w:r>
      <w:r w:rsidR="009A6F1B" w:rsidRPr="00753C60">
        <w:rPr>
          <w:rFonts w:asciiTheme="minorHAnsi" w:hAnsiTheme="minorHAnsi"/>
        </w:rPr>
        <w:t xml:space="preserve">„opnir tollkvótar“. Það er, þvert á móti, gríðarlega mikilvægt að herða þær reglur, enda kveða </w:t>
      </w:r>
      <w:r w:rsidR="009A6F1B" w:rsidRPr="00753C60">
        <w:rPr>
          <w:rFonts w:asciiTheme="minorHAnsi" w:hAnsiTheme="minorHAnsi"/>
        </w:rPr>
        <w:lastRenderedPageBreak/>
        <w:t xml:space="preserve">tollasamningar nú þegar á um að flytja má inn 12% af innanlandsneyslu af kjúklinga- og svínakjöti. </w:t>
      </w:r>
    </w:p>
    <w:p w14:paraId="2322A8BC" w14:textId="03AFF3FD" w:rsidR="009A6F1B" w:rsidRPr="00753C60" w:rsidRDefault="009A6F1B" w:rsidP="009A6F1B">
      <w:pPr>
        <w:rPr>
          <w:rFonts w:asciiTheme="minorHAnsi" w:hAnsiTheme="minorHAnsi"/>
        </w:rPr>
      </w:pPr>
    </w:p>
    <w:p w14:paraId="50C4D8FC" w14:textId="0488828E" w:rsidR="009A6F1B" w:rsidRPr="00753C60" w:rsidRDefault="009A6F1B" w:rsidP="009A6F1B">
      <w:pPr>
        <w:rPr>
          <w:rFonts w:asciiTheme="minorHAnsi" w:hAnsiTheme="minorHAnsi"/>
          <w:b/>
          <w:bCs/>
        </w:rPr>
      </w:pPr>
      <w:r w:rsidRPr="00753C60">
        <w:rPr>
          <w:rFonts w:asciiTheme="minorHAnsi" w:hAnsiTheme="minorHAnsi"/>
          <w:b/>
          <w:bCs/>
        </w:rPr>
        <w:t xml:space="preserve">Athugasemdir við </w:t>
      </w:r>
      <w:r w:rsidR="00C606CC" w:rsidRPr="00753C60">
        <w:rPr>
          <w:rFonts w:asciiTheme="minorHAnsi" w:hAnsiTheme="minorHAnsi"/>
          <w:b/>
          <w:bCs/>
        </w:rPr>
        <w:t xml:space="preserve">einstakar </w:t>
      </w:r>
      <w:r w:rsidRPr="00753C60">
        <w:rPr>
          <w:rFonts w:asciiTheme="minorHAnsi" w:hAnsiTheme="minorHAnsi"/>
          <w:b/>
          <w:bCs/>
        </w:rPr>
        <w:t>greinar frumvarpsins.</w:t>
      </w:r>
    </w:p>
    <w:p w14:paraId="03BA40D2" w14:textId="77777777" w:rsidR="009A6F1B" w:rsidRPr="00753C60" w:rsidRDefault="009A6F1B" w:rsidP="009A6F1B">
      <w:pPr>
        <w:rPr>
          <w:rFonts w:asciiTheme="minorHAnsi" w:hAnsiTheme="minorHAnsi"/>
        </w:rPr>
      </w:pPr>
    </w:p>
    <w:p w14:paraId="0E8F4669" w14:textId="77777777" w:rsidR="00652E95" w:rsidRPr="00753C60" w:rsidRDefault="009A6F1B" w:rsidP="00652E95">
      <w:pPr>
        <w:pStyle w:val="ListParagraph"/>
        <w:numPr>
          <w:ilvl w:val="0"/>
          <w:numId w:val="3"/>
        </w:numPr>
        <w:jc w:val="both"/>
        <w:rPr>
          <w:rFonts w:asciiTheme="minorHAnsi" w:hAnsiTheme="minorHAnsi"/>
        </w:rPr>
      </w:pPr>
      <w:r w:rsidRPr="00753C60">
        <w:rPr>
          <w:rFonts w:asciiTheme="minorHAnsi" w:hAnsiTheme="minorHAnsi"/>
        </w:rPr>
        <w:t xml:space="preserve">Í 1. gr. Gætir ákveðinnar óvissu. Þar kemur fram eftirfarandi texti: </w:t>
      </w:r>
      <w:r w:rsidRPr="00753C60">
        <w:rPr>
          <w:rFonts w:asciiTheme="minorHAnsi" w:hAnsiTheme="minorHAnsi"/>
          <w:i/>
          <w:iCs/>
        </w:rPr>
        <w:t>“…og skulu þátttakendur greiða skráningargjald sem nemur kostnaði útboðs.”</w:t>
      </w:r>
    </w:p>
    <w:p w14:paraId="31E1F81B" w14:textId="34C89880" w:rsidR="009A6F1B" w:rsidRPr="00753C60" w:rsidRDefault="009A6F1B" w:rsidP="00652E95">
      <w:pPr>
        <w:pStyle w:val="ListParagraph"/>
        <w:jc w:val="both"/>
        <w:rPr>
          <w:rFonts w:asciiTheme="minorHAnsi" w:hAnsiTheme="minorHAnsi"/>
        </w:rPr>
      </w:pPr>
      <w:r w:rsidRPr="00753C60">
        <w:rPr>
          <w:rFonts w:asciiTheme="minorHAnsi" w:hAnsiTheme="minorHAnsi"/>
          <w:i/>
          <w:iCs/>
        </w:rPr>
        <w:t xml:space="preserve"> </w:t>
      </w:r>
      <w:r w:rsidR="00652E95" w:rsidRPr="00753C60">
        <w:rPr>
          <w:rFonts w:asciiTheme="minorHAnsi" w:hAnsiTheme="minorHAnsi"/>
        </w:rPr>
        <w:t>Orðalag ákvæðisins er óskýrt, þ.e. hvort um sé að ræða fast gjald fyrir hvern þann sem tekur þátt í útboðinu eða</w:t>
      </w:r>
      <w:r w:rsidR="00652E95" w:rsidRPr="00753C60" w:rsidDel="00652E95">
        <w:rPr>
          <w:rFonts w:asciiTheme="minorHAnsi" w:hAnsiTheme="minorHAnsi"/>
        </w:rPr>
        <w:t xml:space="preserve"> </w:t>
      </w:r>
      <w:r w:rsidR="00652E95" w:rsidRPr="00753C60">
        <w:rPr>
          <w:rFonts w:asciiTheme="minorHAnsi" w:hAnsiTheme="minorHAnsi"/>
        </w:rPr>
        <w:t>mun kostnaður deilast jafn á þá sem taka þátt. T.d. ef eingöngu einn aðili tekur þátt, ber hann þá einn allan kostnaðinn?</w:t>
      </w:r>
    </w:p>
    <w:p w14:paraId="61F06ED6" w14:textId="413F2778" w:rsidR="009A6F1B" w:rsidRPr="00753C60" w:rsidRDefault="009A6F1B" w:rsidP="00652E95">
      <w:pPr>
        <w:pStyle w:val="ListParagraph"/>
        <w:numPr>
          <w:ilvl w:val="0"/>
          <w:numId w:val="3"/>
        </w:numPr>
        <w:jc w:val="both"/>
        <w:rPr>
          <w:rFonts w:asciiTheme="minorHAnsi" w:hAnsiTheme="minorHAnsi"/>
        </w:rPr>
      </w:pPr>
      <w:r w:rsidRPr="00753C60">
        <w:rPr>
          <w:rFonts w:asciiTheme="minorHAnsi" w:hAnsiTheme="minorHAnsi"/>
        </w:rPr>
        <w:t xml:space="preserve">Í </w:t>
      </w:r>
      <w:r w:rsidR="00876341" w:rsidRPr="00753C60">
        <w:rPr>
          <w:rFonts w:asciiTheme="minorHAnsi" w:hAnsiTheme="minorHAnsi"/>
        </w:rPr>
        <w:t>sama ákvæði segir:</w:t>
      </w:r>
      <w:r w:rsidRPr="00753C60">
        <w:rPr>
          <w:rFonts w:asciiTheme="minorHAnsi" w:hAnsiTheme="minorHAnsi"/>
          <w:i/>
          <w:iCs/>
        </w:rPr>
        <w:t>„Við úthlutun tollkvóta skal miða við lægsta samþykkta tilboð og ræður það verði á því magni sem er úthlutað.”,</w:t>
      </w:r>
      <w:r w:rsidRPr="00753C60">
        <w:rPr>
          <w:rFonts w:asciiTheme="minorHAnsi" w:hAnsiTheme="minorHAnsi"/>
        </w:rPr>
        <w:t xml:space="preserve"> í greina</w:t>
      </w:r>
      <w:r w:rsidR="001F3A89" w:rsidRPr="00753C60">
        <w:rPr>
          <w:rFonts w:asciiTheme="minorHAnsi" w:hAnsiTheme="minorHAnsi"/>
        </w:rPr>
        <w:t>r</w:t>
      </w:r>
      <w:r w:rsidRPr="00753C60">
        <w:rPr>
          <w:rFonts w:asciiTheme="minorHAnsi" w:hAnsiTheme="minorHAnsi"/>
        </w:rPr>
        <w:t xml:space="preserve">gerð frumvarpsins er þessi aðferð kölluð </w:t>
      </w:r>
      <w:r w:rsidRPr="00753C60">
        <w:rPr>
          <w:rFonts w:asciiTheme="minorHAnsi" w:hAnsiTheme="minorHAnsi"/>
          <w:i/>
          <w:iCs/>
        </w:rPr>
        <w:t>“jafnvægisútboð”</w:t>
      </w:r>
      <w:r w:rsidRPr="00753C60">
        <w:rPr>
          <w:rFonts w:asciiTheme="minorHAnsi" w:hAnsiTheme="minorHAnsi"/>
        </w:rPr>
        <w:t>. Útfærslan á þessu vekur u</w:t>
      </w:r>
      <w:r w:rsidR="002D1DF9" w:rsidRPr="00753C60">
        <w:rPr>
          <w:rFonts w:asciiTheme="minorHAnsi" w:hAnsiTheme="minorHAnsi"/>
        </w:rPr>
        <w:t>pp</w:t>
      </w:r>
      <w:r w:rsidRPr="00753C60">
        <w:rPr>
          <w:rFonts w:asciiTheme="minorHAnsi" w:hAnsiTheme="minorHAnsi"/>
        </w:rPr>
        <w:t xml:space="preserve"> margar spurningar. </w:t>
      </w:r>
    </w:p>
    <w:p w14:paraId="5FD8EB52" w14:textId="77777777" w:rsidR="009A6F1B" w:rsidRPr="00753C60" w:rsidRDefault="009A6F1B" w:rsidP="009A6F1B">
      <w:pPr>
        <w:pStyle w:val="ListParagraph"/>
        <w:rPr>
          <w:rFonts w:asciiTheme="minorHAnsi" w:hAnsiTheme="minorHAnsi"/>
        </w:rPr>
      </w:pPr>
    </w:p>
    <w:p w14:paraId="0DBA761A" w14:textId="0D589496" w:rsidR="009A6F1B" w:rsidRPr="00753C60" w:rsidRDefault="009A6F1B" w:rsidP="00652E95">
      <w:pPr>
        <w:pStyle w:val="ListParagraph"/>
        <w:jc w:val="both"/>
        <w:rPr>
          <w:rFonts w:asciiTheme="minorHAnsi" w:hAnsiTheme="minorHAnsi"/>
        </w:rPr>
      </w:pPr>
      <w:r w:rsidRPr="00753C60">
        <w:rPr>
          <w:rFonts w:asciiTheme="minorHAnsi" w:hAnsiTheme="minorHAnsi"/>
        </w:rPr>
        <w:t xml:space="preserve">Ein af þessum spurningum er sú staða sem gæti komið upp að einn aðili býður hæsta verð í allan þann kvóta sem </w:t>
      </w:r>
      <w:r w:rsidR="002D1DF9" w:rsidRPr="00753C60">
        <w:rPr>
          <w:rFonts w:asciiTheme="minorHAnsi" w:hAnsiTheme="minorHAnsi"/>
        </w:rPr>
        <w:t xml:space="preserve">er í boði. </w:t>
      </w:r>
      <w:r w:rsidRPr="00753C60">
        <w:rPr>
          <w:rFonts w:asciiTheme="minorHAnsi" w:hAnsiTheme="minorHAnsi"/>
        </w:rPr>
        <w:t xml:space="preserve">Samkvæmt útskýringum </w:t>
      </w:r>
      <w:r w:rsidR="001F3A89" w:rsidRPr="00753C60">
        <w:rPr>
          <w:rFonts w:asciiTheme="minorHAnsi" w:hAnsiTheme="minorHAnsi"/>
        </w:rPr>
        <w:t xml:space="preserve">í greinargerð </w:t>
      </w:r>
      <w:r w:rsidRPr="00753C60">
        <w:rPr>
          <w:rFonts w:asciiTheme="minorHAnsi" w:hAnsiTheme="minorHAnsi"/>
        </w:rPr>
        <w:t>þá er tryggt að sá sem býður í mest</w:t>
      </w:r>
      <w:r w:rsidR="002D1DF9" w:rsidRPr="00753C60">
        <w:rPr>
          <w:rFonts w:asciiTheme="minorHAnsi" w:hAnsiTheme="minorHAnsi"/>
        </w:rPr>
        <w:t>a magnið</w:t>
      </w:r>
      <w:r w:rsidRPr="00753C60">
        <w:rPr>
          <w:rFonts w:asciiTheme="minorHAnsi" w:hAnsiTheme="minorHAnsi"/>
        </w:rPr>
        <w:t xml:space="preserve"> fær fyrst og þar með er sá hinn sami með lægsta samþykkta tilboðið</w:t>
      </w:r>
      <w:r w:rsidR="002D1DF9" w:rsidRPr="00753C60">
        <w:rPr>
          <w:rFonts w:asciiTheme="minorHAnsi" w:hAnsiTheme="minorHAnsi"/>
        </w:rPr>
        <w:t xml:space="preserve"> en samt hæsta verðið</w:t>
      </w:r>
      <w:r w:rsidRPr="00753C60">
        <w:rPr>
          <w:rFonts w:asciiTheme="minorHAnsi" w:hAnsiTheme="minorHAnsi"/>
        </w:rPr>
        <w:t xml:space="preserve">. </w:t>
      </w:r>
    </w:p>
    <w:p w14:paraId="342F6083" w14:textId="77777777" w:rsidR="00C606CC" w:rsidRPr="00753C60" w:rsidRDefault="00C606CC" w:rsidP="009A6F1B">
      <w:pPr>
        <w:pStyle w:val="ListParagraph"/>
        <w:rPr>
          <w:rFonts w:asciiTheme="minorHAnsi" w:hAnsiTheme="minorHAnsi"/>
        </w:rPr>
      </w:pPr>
    </w:p>
    <w:p w14:paraId="1468EC54" w14:textId="3FC8E2B3" w:rsidR="009A6F1B" w:rsidRPr="00753C60" w:rsidRDefault="009F7DEA" w:rsidP="00652E95">
      <w:pPr>
        <w:pStyle w:val="ListParagraph"/>
        <w:jc w:val="both"/>
        <w:rPr>
          <w:rFonts w:asciiTheme="minorHAnsi" w:hAnsiTheme="minorHAnsi" w:cstheme="minorHAnsi"/>
        </w:rPr>
      </w:pPr>
      <w:r w:rsidRPr="00753C60">
        <w:rPr>
          <w:rFonts w:asciiTheme="minorHAnsi" w:hAnsiTheme="minorHAnsi" w:cstheme="minorHAnsi"/>
        </w:rPr>
        <w:t>Önnur</w:t>
      </w:r>
      <w:r w:rsidR="009A6F1B" w:rsidRPr="00753C60">
        <w:rPr>
          <w:rFonts w:asciiTheme="minorHAnsi" w:hAnsiTheme="minorHAnsi" w:cstheme="minorHAnsi"/>
        </w:rPr>
        <w:t xml:space="preserve"> spurning er sú ef að einn aðili býður í 95% af öllum þeim kvóta sem boðinn er út á lang hæsta verðinu</w:t>
      </w:r>
      <w:r w:rsidR="002D1DF9" w:rsidRPr="00753C60">
        <w:rPr>
          <w:rFonts w:asciiTheme="minorHAnsi" w:hAnsiTheme="minorHAnsi" w:cstheme="minorHAnsi"/>
        </w:rPr>
        <w:t>,</w:t>
      </w:r>
      <w:r w:rsidR="009A6F1B" w:rsidRPr="00753C60">
        <w:rPr>
          <w:rFonts w:asciiTheme="minorHAnsi" w:hAnsiTheme="minorHAnsi" w:cstheme="minorHAnsi"/>
        </w:rPr>
        <w:t xml:space="preserve"> þá er </w:t>
      </w:r>
      <w:r w:rsidR="002D1DF9" w:rsidRPr="00753C60">
        <w:rPr>
          <w:rFonts w:asciiTheme="minorHAnsi" w:hAnsiTheme="minorHAnsi" w:cstheme="minorHAnsi"/>
        </w:rPr>
        <w:t xml:space="preserve">sá </w:t>
      </w:r>
      <w:r w:rsidR="009A6F1B" w:rsidRPr="00753C60">
        <w:rPr>
          <w:rFonts w:asciiTheme="minorHAnsi" w:hAnsiTheme="minorHAnsi" w:cstheme="minorHAnsi"/>
        </w:rPr>
        <w:t>hi</w:t>
      </w:r>
      <w:r w:rsidR="002D1DF9" w:rsidRPr="00753C60">
        <w:rPr>
          <w:rFonts w:asciiTheme="minorHAnsi" w:hAnsiTheme="minorHAnsi" w:cstheme="minorHAnsi"/>
        </w:rPr>
        <w:t>n</w:t>
      </w:r>
      <w:r w:rsidR="009A6F1B" w:rsidRPr="00753C60">
        <w:rPr>
          <w:rFonts w:asciiTheme="minorHAnsi" w:hAnsiTheme="minorHAnsi" w:cstheme="minorHAnsi"/>
        </w:rPr>
        <w:t xml:space="preserve">n sami búinn að tryggja sér sína pöntun </w:t>
      </w:r>
      <w:r w:rsidR="002D1DF9" w:rsidRPr="00753C60">
        <w:rPr>
          <w:rFonts w:asciiTheme="minorHAnsi" w:hAnsiTheme="minorHAnsi" w:cstheme="minorHAnsi"/>
        </w:rPr>
        <w:t xml:space="preserve">á grundvelli magnsins en greiðir síðan </w:t>
      </w:r>
      <w:r w:rsidR="001F3A89" w:rsidRPr="00753C60">
        <w:rPr>
          <w:rFonts w:asciiTheme="minorHAnsi" w:hAnsiTheme="minorHAnsi" w:cstheme="minorHAnsi"/>
        </w:rPr>
        <w:t xml:space="preserve">eingöngu </w:t>
      </w:r>
      <w:r w:rsidR="002D1DF9" w:rsidRPr="00753C60">
        <w:rPr>
          <w:rFonts w:asciiTheme="minorHAnsi" w:hAnsiTheme="minorHAnsi" w:cstheme="minorHAnsi"/>
        </w:rPr>
        <w:t xml:space="preserve">það verð sem samþykkt verður á þau 5% kvótans sem eftir eru. </w:t>
      </w:r>
    </w:p>
    <w:p w14:paraId="5A35E888" w14:textId="77777777" w:rsidR="00C606CC" w:rsidRPr="00753C60" w:rsidRDefault="00C606CC" w:rsidP="00652E95">
      <w:pPr>
        <w:pStyle w:val="ListParagraph"/>
        <w:jc w:val="both"/>
        <w:rPr>
          <w:rFonts w:asciiTheme="minorHAnsi" w:hAnsiTheme="minorHAnsi" w:cstheme="minorHAnsi"/>
        </w:rPr>
      </w:pPr>
    </w:p>
    <w:p w14:paraId="3A93A059" w14:textId="3CE34E62" w:rsidR="009A6F1B" w:rsidRPr="00753C60" w:rsidRDefault="00652E95" w:rsidP="00652E95">
      <w:pPr>
        <w:pStyle w:val="ListParagraph"/>
        <w:jc w:val="both"/>
        <w:rPr>
          <w:rFonts w:asciiTheme="minorHAnsi" w:hAnsiTheme="minorHAnsi" w:cstheme="minorHAnsi"/>
        </w:rPr>
      </w:pPr>
      <w:r w:rsidRPr="00753C60">
        <w:rPr>
          <w:rFonts w:asciiTheme="minorHAnsi" w:hAnsiTheme="minorHAnsi" w:cstheme="minorHAnsi"/>
        </w:rPr>
        <w:t xml:space="preserve">Þá </w:t>
      </w:r>
      <w:r w:rsidR="009F7DEA" w:rsidRPr="00753C60">
        <w:rPr>
          <w:rFonts w:asciiTheme="minorHAnsi" w:hAnsiTheme="minorHAnsi" w:cstheme="minorHAnsi"/>
        </w:rPr>
        <w:t xml:space="preserve">leikur </w:t>
      </w:r>
      <w:r w:rsidRPr="00753C60">
        <w:rPr>
          <w:rFonts w:asciiTheme="minorHAnsi" w:hAnsiTheme="minorHAnsi" w:cstheme="minorHAnsi"/>
        </w:rPr>
        <w:t xml:space="preserve"> einnig vafi á því hvernig fyrirkomulagið tekur á þeirri stöðu hvernig magnið skiptist á milli þriggja aðila sem bjóða allir sömu krónutölu í 150% þess magns sem í boði er.</w:t>
      </w:r>
      <w:r w:rsidR="001F3A89" w:rsidRPr="00753C60">
        <w:rPr>
          <w:rFonts w:asciiTheme="minorHAnsi" w:hAnsiTheme="minorHAnsi" w:cstheme="minorHAnsi"/>
        </w:rPr>
        <w:t xml:space="preserve"> Útfærslan</w:t>
      </w:r>
      <w:r w:rsidR="00745D1B" w:rsidRPr="00753C60">
        <w:rPr>
          <w:rFonts w:asciiTheme="minorHAnsi" w:hAnsiTheme="minorHAnsi" w:cstheme="minorHAnsi"/>
        </w:rPr>
        <w:t xml:space="preserve"> virðist því ekki taka tillit til magns umsókna </w:t>
      </w:r>
      <w:r w:rsidR="002D1DF9" w:rsidRPr="00753C60">
        <w:rPr>
          <w:rFonts w:asciiTheme="minorHAnsi" w:hAnsiTheme="minorHAnsi" w:cstheme="minorHAnsi"/>
        </w:rPr>
        <w:t xml:space="preserve">og </w:t>
      </w:r>
      <w:r w:rsidR="00745D1B" w:rsidRPr="00753C60">
        <w:rPr>
          <w:rFonts w:asciiTheme="minorHAnsi" w:hAnsiTheme="minorHAnsi" w:cstheme="minorHAnsi"/>
        </w:rPr>
        <w:t xml:space="preserve">með þeim hætti </w:t>
      </w:r>
      <w:r w:rsidR="002D1DF9" w:rsidRPr="00753C60">
        <w:rPr>
          <w:rFonts w:asciiTheme="minorHAnsi" w:hAnsiTheme="minorHAnsi" w:cstheme="minorHAnsi"/>
        </w:rPr>
        <w:t xml:space="preserve">mögulegri misnotkun. </w:t>
      </w:r>
      <w:r w:rsidRPr="00753C60">
        <w:rPr>
          <w:rFonts w:asciiTheme="minorHAnsi" w:hAnsiTheme="minorHAnsi" w:cstheme="minorHAnsi"/>
        </w:rPr>
        <w:t>Eðlilegra teldist</w:t>
      </w:r>
      <w:r w:rsidR="002D1DF9" w:rsidRPr="00753C60">
        <w:rPr>
          <w:rFonts w:asciiTheme="minorHAnsi" w:hAnsiTheme="minorHAnsi" w:cstheme="minorHAnsi"/>
        </w:rPr>
        <w:t xml:space="preserve"> að reyna að takmarka magn hver</w:t>
      </w:r>
      <w:r w:rsidR="001F3A89" w:rsidRPr="00753C60">
        <w:rPr>
          <w:rFonts w:asciiTheme="minorHAnsi" w:hAnsiTheme="minorHAnsi" w:cstheme="minorHAnsi"/>
        </w:rPr>
        <w:t>s</w:t>
      </w:r>
      <w:r w:rsidR="002D1DF9" w:rsidRPr="00753C60">
        <w:rPr>
          <w:rFonts w:asciiTheme="minorHAnsi" w:hAnsiTheme="minorHAnsi" w:cstheme="minorHAnsi"/>
        </w:rPr>
        <w:t xml:space="preserve"> og eins</w:t>
      </w:r>
      <w:r w:rsidR="009F7DEA" w:rsidRPr="00753C60">
        <w:rPr>
          <w:rFonts w:asciiTheme="minorHAnsi" w:hAnsiTheme="minorHAnsi" w:cstheme="minorHAnsi"/>
        </w:rPr>
        <w:t xml:space="preserve"> við ákveðið hámark af hlutfalli kvóta sem boðinn er út</w:t>
      </w:r>
      <w:r w:rsidR="002D1DF9" w:rsidRPr="00753C60">
        <w:rPr>
          <w:rFonts w:asciiTheme="minorHAnsi" w:hAnsiTheme="minorHAnsi" w:cstheme="minorHAnsi"/>
        </w:rPr>
        <w:t>, þannig að kvótinn sem boðinn er út hverju sinni dreifist á fleiri aðila til að tryggja samkeppni og hag neytenda</w:t>
      </w:r>
      <w:r w:rsidR="00C002C4" w:rsidRPr="00753C60">
        <w:rPr>
          <w:rFonts w:asciiTheme="minorHAnsi" w:hAnsiTheme="minorHAnsi" w:cstheme="minorHAnsi"/>
        </w:rPr>
        <w:t>.</w:t>
      </w:r>
    </w:p>
    <w:p w14:paraId="0D51AE88" w14:textId="11C95FDB" w:rsidR="002D1DF9" w:rsidRPr="00753C60" w:rsidRDefault="001F3A89" w:rsidP="00652E95">
      <w:pPr>
        <w:pStyle w:val="xmsonormal"/>
        <w:ind w:left="720"/>
        <w:jc w:val="both"/>
        <w:rPr>
          <w:rFonts w:asciiTheme="minorHAnsi" w:hAnsiTheme="minorHAnsi" w:cstheme="minorHAnsi"/>
          <w:lang w:val="is-IS"/>
        </w:rPr>
      </w:pPr>
      <w:r w:rsidRPr="00753C60">
        <w:rPr>
          <w:rFonts w:asciiTheme="minorHAnsi" w:hAnsiTheme="minorHAnsi" w:cstheme="minorHAnsi"/>
          <w:lang w:val="is-IS"/>
        </w:rPr>
        <w:t>Nauðsynlegt er að útfæra aðferðina</w:t>
      </w:r>
      <w:r w:rsidR="002D1DF9" w:rsidRPr="00753C60">
        <w:rPr>
          <w:rFonts w:asciiTheme="minorHAnsi" w:hAnsiTheme="minorHAnsi" w:cstheme="minorHAnsi"/>
          <w:lang w:val="is-IS"/>
        </w:rPr>
        <w:t xml:space="preserve"> mun betur</w:t>
      </w:r>
      <w:r w:rsidRPr="00753C60">
        <w:rPr>
          <w:rFonts w:asciiTheme="minorHAnsi" w:hAnsiTheme="minorHAnsi" w:cstheme="minorHAnsi"/>
          <w:lang w:val="is-IS"/>
        </w:rPr>
        <w:t>,</w:t>
      </w:r>
      <w:r w:rsidR="002D1DF9" w:rsidRPr="00753C60">
        <w:rPr>
          <w:rFonts w:asciiTheme="minorHAnsi" w:hAnsiTheme="minorHAnsi" w:cstheme="minorHAnsi"/>
          <w:lang w:val="is-IS"/>
        </w:rPr>
        <w:t xml:space="preserve"> sérstaklega í ljósi þess að </w:t>
      </w:r>
      <w:r w:rsidRPr="00753C60">
        <w:rPr>
          <w:rFonts w:asciiTheme="minorHAnsi" w:hAnsiTheme="minorHAnsi" w:cstheme="minorHAnsi"/>
          <w:lang w:val="is-IS"/>
        </w:rPr>
        <w:t xml:space="preserve">tilgangur og markmið </w:t>
      </w:r>
      <w:r w:rsidR="002D1DF9" w:rsidRPr="00753C60">
        <w:rPr>
          <w:rFonts w:asciiTheme="minorHAnsi" w:hAnsiTheme="minorHAnsi" w:cstheme="minorHAnsi"/>
          <w:lang w:val="is-IS"/>
        </w:rPr>
        <w:t xml:space="preserve">frumvarpsins er fyrst og fremst: “…að stuðla að auknum ábata neytenda og aukinni samkeppni á markaði með landbúnaðarvörur”. Ekki er hægt að sjá að </w:t>
      </w:r>
      <w:r w:rsidRPr="00753C60">
        <w:rPr>
          <w:rFonts w:asciiTheme="minorHAnsi" w:hAnsiTheme="minorHAnsi" w:cstheme="minorHAnsi"/>
          <w:lang w:val="is-IS"/>
        </w:rPr>
        <w:t>sú leið sem lögð er til</w:t>
      </w:r>
      <w:r w:rsidR="002D1DF9" w:rsidRPr="00753C60">
        <w:rPr>
          <w:rFonts w:asciiTheme="minorHAnsi" w:hAnsiTheme="minorHAnsi" w:cstheme="minorHAnsi"/>
          <w:lang w:val="is-IS"/>
        </w:rPr>
        <w:t xml:space="preserve"> tryggi það með neinum hætti</w:t>
      </w:r>
      <w:r w:rsidRPr="00753C60">
        <w:rPr>
          <w:rFonts w:asciiTheme="minorHAnsi" w:hAnsiTheme="minorHAnsi" w:cstheme="minorHAnsi"/>
          <w:lang w:val="is-IS"/>
        </w:rPr>
        <w:t>. Þvert á móti</w:t>
      </w:r>
      <w:r w:rsidR="002D1DF9" w:rsidRPr="00753C60">
        <w:rPr>
          <w:rFonts w:asciiTheme="minorHAnsi" w:hAnsiTheme="minorHAnsi" w:cstheme="minorHAnsi"/>
          <w:lang w:val="is-IS"/>
        </w:rPr>
        <w:t xml:space="preserve"> </w:t>
      </w:r>
      <w:r w:rsidRPr="00753C60">
        <w:rPr>
          <w:rFonts w:asciiTheme="minorHAnsi" w:hAnsiTheme="minorHAnsi" w:cstheme="minorHAnsi"/>
          <w:lang w:val="is-IS"/>
        </w:rPr>
        <w:t>virðast</w:t>
      </w:r>
      <w:r w:rsidR="002D1DF9" w:rsidRPr="00753C60">
        <w:rPr>
          <w:rFonts w:asciiTheme="minorHAnsi" w:hAnsiTheme="minorHAnsi" w:cstheme="minorHAnsi"/>
          <w:lang w:val="is-IS"/>
        </w:rPr>
        <w:t xml:space="preserve"> heimildir stjórnvalda til að auka innflutning umfram tollasamninga </w:t>
      </w:r>
      <w:r w:rsidRPr="00753C60">
        <w:rPr>
          <w:rFonts w:asciiTheme="minorHAnsi" w:hAnsiTheme="minorHAnsi" w:cstheme="minorHAnsi"/>
          <w:lang w:val="is-IS"/>
        </w:rPr>
        <w:t>auk</w:t>
      </w:r>
      <w:r w:rsidR="00652E95" w:rsidRPr="00753C60">
        <w:rPr>
          <w:rFonts w:asciiTheme="minorHAnsi" w:hAnsiTheme="minorHAnsi" w:cstheme="minorHAnsi"/>
          <w:lang w:val="is-IS"/>
        </w:rPr>
        <w:t>n</w:t>
      </w:r>
      <w:r w:rsidRPr="00753C60">
        <w:rPr>
          <w:rFonts w:asciiTheme="minorHAnsi" w:hAnsiTheme="minorHAnsi" w:cstheme="minorHAnsi"/>
          <w:lang w:val="is-IS"/>
        </w:rPr>
        <w:t xml:space="preserve">ar </w:t>
      </w:r>
      <w:r w:rsidR="002D1DF9" w:rsidRPr="00753C60">
        <w:rPr>
          <w:rFonts w:asciiTheme="minorHAnsi" w:hAnsiTheme="minorHAnsi" w:cstheme="minorHAnsi"/>
          <w:lang w:val="is-IS"/>
        </w:rPr>
        <w:t xml:space="preserve">og </w:t>
      </w:r>
      <w:r w:rsidRPr="00753C60">
        <w:rPr>
          <w:rFonts w:asciiTheme="minorHAnsi" w:hAnsiTheme="minorHAnsi" w:cstheme="minorHAnsi"/>
          <w:lang w:val="is-IS"/>
        </w:rPr>
        <w:t xml:space="preserve">slakað á kröfum </w:t>
      </w:r>
      <w:r w:rsidR="009F7DEA" w:rsidRPr="00753C60">
        <w:rPr>
          <w:rFonts w:asciiTheme="minorHAnsi" w:hAnsiTheme="minorHAnsi" w:cstheme="minorHAnsi"/>
          <w:lang w:val="is-IS"/>
        </w:rPr>
        <w:t>í eftirliti</w:t>
      </w:r>
      <w:r w:rsidR="002D1DF9" w:rsidRPr="00753C60">
        <w:rPr>
          <w:rFonts w:asciiTheme="minorHAnsi" w:hAnsiTheme="minorHAnsi" w:cstheme="minorHAnsi"/>
          <w:lang w:val="is-IS"/>
        </w:rPr>
        <w:t xml:space="preserve">. Einnig er hvergi tryggt </w:t>
      </w:r>
      <w:r w:rsidR="009F7DEA" w:rsidRPr="00753C60">
        <w:rPr>
          <w:rFonts w:asciiTheme="minorHAnsi" w:hAnsiTheme="minorHAnsi" w:cstheme="minorHAnsi"/>
          <w:lang w:val="is-IS"/>
        </w:rPr>
        <w:t xml:space="preserve">í þessu frumvarpi </w:t>
      </w:r>
      <w:r w:rsidR="002D1DF9" w:rsidRPr="00753C60">
        <w:rPr>
          <w:rFonts w:asciiTheme="minorHAnsi" w:hAnsiTheme="minorHAnsi" w:cstheme="minorHAnsi"/>
          <w:lang w:val="is-IS"/>
        </w:rPr>
        <w:t>að innflytjendur, heildsalar og verslanir sem stunda innflutning skili þessum ábata beint til neytenda með lægra vöruverði og sagan sýnir að slíkt hefur ekki skilað sér til þessa.</w:t>
      </w:r>
    </w:p>
    <w:p w14:paraId="3C5112F9" w14:textId="77777777" w:rsidR="002D1DF9" w:rsidRPr="00753C60" w:rsidRDefault="002D1DF9" w:rsidP="002D1DF9">
      <w:pPr>
        <w:pStyle w:val="ListParagraph"/>
        <w:rPr>
          <w:rFonts w:asciiTheme="minorHAnsi" w:hAnsiTheme="minorHAnsi"/>
        </w:rPr>
      </w:pPr>
    </w:p>
    <w:p w14:paraId="742F6777" w14:textId="77777777" w:rsidR="009A6F1B" w:rsidRPr="00753C60" w:rsidRDefault="009A6F1B" w:rsidP="009A6F1B">
      <w:pPr>
        <w:pStyle w:val="ListParagraph"/>
        <w:rPr>
          <w:rFonts w:asciiTheme="minorHAnsi" w:hAnsiTheme="minorHAnsi"/>
        </w:rPr>
      </w:pPr>
    </w:p>
    <w:p w14:paraId="10683BE5" w14:textId="3411466E" w:rsidR="00876341" w:rsidRPr="00753C60" w:rsidRDefault="009A6F1B" w:rsidP="00652E95">
      <w:pPr>
        <w:pStyle w:val="ListParagraph"/>
        <w:numPr>
          <w:ilvl w:val="0"/>
          <w:numId w:val="3"/>
        </w:numPr>
        <w:rPr>
          <w:rFonts w:asciiTheme="minorHAnsi" w:hAnsiTheme="minorHAnsi"/>
        </w:rPr>
      </w:pPr>
      <w:r w:rsidRPr="00753C60">
        <w:rPr>
          <w:rFonts w:asciiTheme="minorHAnsi" w:hAnsiTheme="minorHAnsi"/>
        </w:rPr>
        <w:t xml:space="preserve">Í 3. gr. er fjallað um viðbót við 65 gr. (65. gr. C). </w:t>
      </w:r>
    </w:p>
    <w:p w14:paraId="4F901A97" w14:textId="27F67C05" w:rsidR="002D1DF9" w:rsidRPr="00753C60" w:rsidRDefault="00652E95" w:rsidP="009A6F1B">
      <w:pPr>
        <w:ind w:left="720"/>
        <w:rPr>
          <w:rFonts w:asciiTheme="minorHAnsi" w:hAnsiTheme="minorHAnsi"/>
        </w:rPr>
      </w:pPr>
      <w:r w:rsidRPr="00753C60">
        <w:rPr>
          <w:rFonts w:asciiTheme="minorHAnsi" w:hAnsiTheme="minorHAnsi"/>
        </w:rPr>
        <w:t>Hér virðast vera</w:t>
      </w:r>
      <w:r w:rsidR="00C002C4" w:rsidRPr="00753C60">
        <w:rPr>
          <w:rFonts w:asciiTheme="minorHAnsi" w:hAnsiTheme="minorHAnsi"/>
        </w:rPr>
        <w:t xml:space="preserve"> alveg</w:t>
      </w:r>
      <w:r w:rsidR="002D1DF9" w:rsidRPr="00753C60">
        <w:rPr>
          <w:rFonts w:asciiTheme="minorHAnsi" w:hAnsiTheme="minorHAnsi"/>
        </w:rPr>
        <w:t xml:space="preserve"> nýjar skilgreiningar á vöruskorti</w:t>
      </w:r>
      <w:r w:rsidR="00C002C4" w:rsidRPr="00753C60">
        <w:rPr>
          <w:rFonts w:asciiTheme="minorHAnsi" w:hAnsiTheme="minorHAnsi"/>
        </w:rPr>
        <w:t>.</w:t>
      </w:r>
      <w:r w:rsidR="002D1DF9" w:rsidRPr="00753C60">
        <w:rPr>
          <w:rFonts w:asciiTheme="minorHAnsi" w:hAnsiTheme="minorHAnsi"/>
        </w:rPr>
        <w:t xml:space="preserve"> </w:t>
      </w:r>
    </w:p>
    <w:p w14:paraId="67E42556" w14:textId="6FDAF6AE" w:rsidR="009A6F1B" w:rsidRPr="00753C60" w:rsidRDefault="009A6F1B" w:rsidP="009A6F1B">
      <w:pPr>
        <w:ind w:left="720"/>
        <w:rPr>
          <w:rFonts w:asciiTheme="minorHAnsi" w:hAnsiTheme="minorHAnsi"/>
        </w:rPr>
      </w:pPr>
      <w:r w:rsidRPr="00753C60">
        <w:rPr>
          <w:rFonts w:asciiTheme="minorHAnsi" w:hAnsiTheme="minorHAnsi"/>
        </w:rPr>
        <w:t xml:space="preserve">Er “álíka tilvik” skilgreint með víðari hætti en </w:t>
      </w:r>
      <w:r w:rsidR="002D1DF9" w:rsidRPr="00753C60">
        <w:rPr>
          <w:rFonts w:asciiTheme="minorHAnsi" w:hAnsiTheme="minorHAnsi"/>
        </w:rPr>
        <w:t xml:space="preserve">bara </w:t>
      </w:r>
      <w:r w:rsidRPr="00753C60">
        <w:rPr>
          <w:rFonts w:asciiTheme="minorHAnsi" w:hAnsiTheme="minorHAnsi"/>
        </w:rPr>
        <w:t xml:space="preserve">náttúruhamfarir? </w:t>
      </w:r>
    </w:p>
    <w:p w14:paraId="2C72D2E2" w14:textId="1A06C42B" w:rsidR="009A6F1B" w:rsidRPr="00753C60" w:rsidRDefault="009A6F1B" w:rsidP="009A6F1B">
      <w:pPr>
        <w:ind w:left="720"/>
        <w:rPr>
          <w:rFonts w:asciiTheme="minorHAnsi" w:hAnsiTheme="minorHAnsi"/>
        </w:rPr>
      </w:pPr>
      <w:r w:rsidRPr="00753C60">
        <w:rPr>
          <w:rFonts w:asciiTheme="minorHAnsi" w:hAnsiTheme="minorHAnsi"/>
        </w:rPr>
        <w:t xml:space="preserve">Eru umsagnir </w:t>
      </w:r>
      <w:r w:rsidRPr="00753C60">
        <w:rPr>
          <w:rFonts w:asciiTheme="minorHAnsi" w:hAnsiTheme="minorHAnsi"/>
          <w:i/>
          <w:iCs/>
        </w:rPr>
        <w:t>„fjögurra ótengdra dreifingaraðila“</w:t>
      </w:r>
      <w:r w:rsidRPr="00753C60">
        <w:rPr>
          <w:rFonts w:asciiTheme="minorHAnsi" w:hAnsiTheme="minorHAnsi"/>
        </w:rPr>
        <w:t xml:space="preserve"> mögulega nóg til að skilgreina skort sem virkjar þessa lagagrein?</w:t>
      </w:r>
    </w:p>
    <w:p w14:paraId="616A8146" w14:textId="6239DA90" w:rsidR="009A6F1B" w:rsidRPr="00753C60" w:rsidRDefault="009A6F1B" w:rsidP="009A6F1B">
      <w:pPr>
        <w:ind w:left="720"/>
        <w:rPr>
          <w:rFonts w:asciiTheme="minorHAnsi" w:hAnsiTheme="minorHAnsi"/>
        </w:rPr>
      </w:pPr>
      <w:r w:rsidRPr="00753C60">
        <w:rPr>
          <w:rFonts w:asciiTheme="minorHAnsi" w:hAnsiTheme="minorHAnsi"/>
        </w:rPr>
        <w:lastRenderedPageBreak/>
        <w:t xml:space="preserve">Þegar talað er um </w:t>
      </w:r>
      <w:r w:rsidRPr="00753C60">
        <w:rPr>
          <w:rFonts w:asciiTheme="minorHAnsi" w:hAnsiTheme="minorHAnsi"/>
          <w:i/>
          <w:iCs/>
        </w:rPr>
        <w:t>„ a) Vara er ekki til stöðugrar dreifingar samkvæmt umsögn fjögurra ótengdra dreifingaraðila.“,</w:t>
      </w:r>
      <w:r w:rsidRPr="00753C60">
        <w:rPr>
          <w:rFonts w:asciiTheme="minorHAnsi" w:hAnsiTheme="minorHAnsi"/>
        </w:rPr>
        <w:t xml:space="preserve"> er þá nóg að einn af þessum fjórum aðilum bera við skorti á vöru eða þurfa allir fjórir aðilar að vera sammála um að skortur sé á viðkomandi vöru?</w:t>
      </w:r>
    </w:p>
    <w:p w14:paraId="6082B2F5" w14:textId="05B7ED67" w:rsidR="009A6F1B" w:rsidRPr="00753C60" w:rsidRDefault="009A6F1B" w:rsidP="009A6F1B">
      <w:pPr>
        <w:ind w:left="720"/>
        <w:rPr>
          <w:rFonts w:asciiTheme="minorHAnsi" w:hAnsiTheme="minorHAnsi"/>
        </w:rPr>
      </w:pPr>
      <w:r w:rsidRPr="00753C60">
        <w:rPr>
          <w:rFonts w:asciiTheme="minorHAnsi" w:hAnsiTheme="minorHAnsi"/>
        </w:rPr>
        <w:t xml:space="preserve">Þessi viðbót laganna er ansi óljós og því væri gott að skilgreina þessi atriði betur og taka af allan vafa hvaða reglur eiga við og hvernig má beita þessu ákvæði laganna. </w:t>
      </w:r>
    </w:p>
    <w:p w14:paraId="10A070DA" w14:textId="6B561B84" w:rsidR="009A6F1B" w:rsidRPr="00753C60" w:rsidRDefault="009A6F1B" w:rsidP="009A6F1B">
      <w:pPr>
        <w:ind w:left="720"/>
        <w:rPr>
          <w:rFonts w:asciiTheme="minorHAnsi" w:hAnsiTheme="minorHAnsi"/>
        </w:rPr>
      </w:pPr>
    </w:p>
    <w:p w14:paraId="0BD2DABF" w14:textId="67A68B37" w:rsidR="009A6F1B" w:rsidRPr="00753C60" w:rsidRDefault="009A6F1B" w:rsidP="009A6F1B">
      <w:pPr>
        <w:rPr>
          <w:rFonts w:asciiTheme="minorHAnsi" w:hAnsiTheme="minorHAnsi"/>
        </w:rPr>
      </w:pPr>
      <w:r w:rsidRPr="00753C60">
        <w:rPr>
          <w:rFonts w:asciiTheme="minorHAnsi" w:hAnsiTheme="minorHAnsi"/>
        </w:rPr>
        <w:tab/>
      </w:r>
    </w:p>
    <w:p w14:paraId="100C8816" w14:textId="58E54D2C" w:rsidR="00C167C9" w:rsidRPr="00753C60" w:rsidRDefault="00876341" w:rsidP="00C167C9">
      <w:pPr>
        <w:ind w:left="720"/>
        <w:jc w:val="both"/>
        <w:rPr>
          <w:rFonts w:asciiTheme="minorHAnsi" w:hAnsiTheme="minorHAnsi"/>
        </w:rPr>
      </w:pPr>
      <w:r w:rsidRPr="00753C60">
        <w:rPr>
          <w:rFonts w:asciiTheme="minorHAnsi" w:hAnsiTheme="minorHAnsi"/>
          <w:iCs/>
        </w:rPr>
        <w:t>Í 4. gr. er lagt til að ráðgjafarnefnd um inn- og útflutning landbúnaðarvara verði lögð niður. Í athugasemdum við ákvæðið í greinargerð segir að miðað við þær breytingar sem fyrirhugaðar eru á framkvæmd úthlutunar tollkvóta þyki slík nefnd óþörf.</w:t>
      </w:r>
      <w:r w:rsidR="00C167C9" w:rsidRPr="00753C60">
        <w:rPr>
          <w:rFonts w:asciiTheme="minorHAnsi" w:hAnsiTheme="minorHAnsi"/>
        </w:rPr>
        <w:t xml:space="preserve"> Í ljósi þeirra tillagna sem liggja fyrir </w:t>
      </w:r>
      <w:r w:rsidR="00652E95" w:rsidRPr="00753C60">
        <w:rPr>
          <w:rFonts w:asciiTheme="minorHAnsi" w:hAnsiTheme="minorHAnsi"/>
        </w:rPr>
        <w:t>ætti að vera</w:t>
      </w:r>
      <w:r w:rsidR="00C167C9" w:rsidRPr="00753C60">
        <w:rPr>
          <w:rFonts w:asciiTheme="minorHAnsi" w:hAnsiTheme="minorHAnsi"/>
        </w:rPr>
        <w:t xml:space="preserve"> mun meiri þörf á faglegri ráðgjafanefnd um inn- og útflutning í ljósi þeirrar aukningar sem fyrirhuguð er.</w:t>
      </w:r>
    </w:p>
    <w:p w14:paraId="78C0A6DF" w14:textId="77777777" w:rsidR="002D1DF9" w:rsidRPr="00753C60" w:rsidRDefault="002D1DF9">
      <w:pPr>
        <w:pStyle w:val="ListParagraph"/>
        <w:rPr>
          <w:rFonts w:asciiTheme="minorHAnsi" w:hAnsiTheme="minorHAnsi"/>
        </w:rPr>
      </w:pPr>
    </w:p>
    <w:p w14:paraId="3773E615" w14:textId="56B94715" w:rsidR="009A6F1B" w:rsidRPr="00753C60" w:rsidRDefault="002D1DF9" w:rsidP="002D1DF9">
      <w:pPr>
        <w:ind w:left="720"/>
        <w:rPr>
          <w:rFonts w:asciiTheme="minorHAnsi" w:hAnsiTheme="minorHAnsi"/>
        </w:rPr>
      </w:pPr>
      <w:r w:rsidRPr="00753C60">
        <w:rPr>
          <w:rFonts w:asciiTheme="minorHAnsi" w:hAnsiTheme="minorHAnsi"/>
        </w:rPr>
        <w:t>Í greina</w:t>
      </w:r>
      <w:r w:rsidR="00C167C9" w:rsidRPr="00753C60">
        <w:rPr>
          <w:rFonts w:asciiTheme="minorHAnsi" w:hAnsiTheme="minorHAnsi"/>
        </w:rPr>
        <w:t>r</w:t>
      </w:r>
      <w:r w:rsidRPr="00753C60">
        <w:rPr>
          <w:rFonts w:asciiTheme="minorHAnsi" w:hAnsiTheme="minorHAnsi"/>
        </w:rPr>
        <w:t xml:space="preserve">gerð frumvarpsins, undir </w:t>
      </w:r>
      <w:r w:rsidRPr="00753C60">
        <w:rPr>
          <w:rFonts w:asciiTheme="minorHAnsi" w:hAnsiTheme="minorHAnsi"/>
          <w:b/>
          <w:bCs/>
        </w:rPr>
        <w:t>1. Inngangur</w:t>
      </w:r>
      <w:r w:rsidRPr="00753C60">
        <w:rPr>
          <w:rFonts w:asciiTheme="minorHAnsi" w:hAnsiTheme="minorHAnsi"/>
        </w:rPr>
        <w:t xml:space="preserve">, 1. </w:t>
      </w:r>
      <w:r w:rsidR="0076670C" w:rsidRPr="00753C60">
        <w:rPr>
          <w:rFonts w:asciiTheme="minorHAnsi" w:hAnsiTheme="minorHAnsi"/>
        </w:rPr>
        <w:t>m</w:t>
      </w:r>
      <w:r w:rsidRPr="00753C60">
        <w:rPr>
          <w:rFonts w:asciiTheme="minorHAnsi" w:hAnsiTheme="minorHAnsi"/>
        </w:rPr>
        <w:t>gr.</w:t>
      </w:r>
      <w:r w:rsidR="0076670C" w:rsidRPr="00753C60">
        <w:rPr>
          <w:rFonts w:asciiTheme="minorHAnsi" w:hAnsiTheme="minorHAnsi"/>
        </w:rPr>
        <w:t>, bls. 3</w:t>
      </w:r>
      <w:r w:rsidRPr="00753C60">
        <w:rPr>
          <w:rFonts w:asciiTheme="minorHAnsi" w:hAnsiTheme="minorHAnsi"/>
        </w:rPr>
        <w:t xml:space="preserve"> segir: </w:t>
      </w:r>
    </w:p>
    <w:p w14:paraId="10F51858" w14:textId="77777777" w:rsidR="002D1DF9" w:rsidRPr="00753C60" w:rsidRDefault="002D1DF9" w:rsidP="002D1DF9">
      <w:pPr>
        <w:ind w:left="1440"/>
        <w:rPr>
          <w:rFonts w:asciiTheme="minorHAnsi" w:hAnsiTheme="minorHAnsi"/>
          <w:u w:val="single"/>
          <w:lang w:val="en-US"/>
        </w:rPr>
      </w:pPr>
      <w:r w:rsidRPr="00753C60">
        <w:rPr>
          <w:rFonts w:asciiTheme="minorHAnsi" w:hAnsiTheme="minorHAnsi"/>
          <w:i/>
          <w:iCs/>
        </w:rPr>
        <w:t xml:space="preserve">Með hliðsjón af þeim </w:t>
      </w:r>
      <w:r w:rsidRPr="00753C60">
        <w:rPr>
          <w:rFonts w:asciiTheme="minorHAnsi" w:hAnsiTheme="minorHAnsi"/>
          <w:i/>
          <w:iCs/>
          <w:u w:val="single"/>
        </w:rPr>
        <w:t>breytingum sem fylgja auknum tollkvótum</w:t>
      </w:r>
      <w:r w:rsidRPr="00753C60">
        <w:rPr>
          <w:rFonts w:asciiTheme="minorHAnsi" w:hAnsiTheme="minorHAnsi"/>
          <w:i/>
          <w:iCs/>
        </w:rPr>
        <w:t xml:space="preserve"> fyrir landbúnaðarvörur á komandi árum er talin þörf á að endurskoða regluverk sem gildir um svokallaða „opnu tollkvóta“. Er þar vísað til tollkvóta sem að ráðherra úthlutar á grundvelli 65. gr. A búvörulaga nr. 99/1993 að fengnum tillögum ráðgjafanefndar um inn—og útflutning landbúnaðarvara. Þeim tollkvótum er úthlutað þegar framboð á viðkomandi vöru telst ekki nægjanlegt á innanlandsmarkaði eða sýnt þykir að það verði ekki nægjanlegt á næstu þremur mánuðum. Framboð telst ekki nægjanlegt ef viðkomandi vara er ekki til stöðugrar dreifingar eða áætla má að hún verði það ekki í að minnsta kosti 90% magni af eftirspurn a.m.k. tveggja leiðandi ótengdra dreifingaraðila og er ekki fáanleg frá a.m.k. tveimur framleiðendum. Brýnt þykir að einfalda og skýra regluverkið sem snýr að þeirri framkvæmd</w:t>
      </w:r>
      <w:r w:rsidRPr="00753C60">
        <w:rPr>
          <w:rFonts w:asciiTheme="minorHAnsi" w:hAnsiTheme="minorHAnsi"/>
          <w:i/>
          <w:iCs/>
          <w:u w:val="single"/>
        </w:rPr>
        <w:t>. Eðli málsins samkvæmt hefur reynst erfitt í að sannreyna hvenær framboð vöru telst ekki nægjanlegt á innanlandsmarkaði.</w:t>
      </w:r>
      <w:r w:rsidRPr="00753C60">
        <w:rPr>
          <w:rFonts w:asciiTheme="minorHAnsi" w:hAnsiTheme="minorHAnsi"/>
          <w:i/>
          <w:iCs/>
        </w:rPr>
        <w:t xml:space="preserve"> Lagt er til að heimildir fyrir innflutningi á tollkvótum samkvæmt 65. gr. A verði afnumdar í núverandi mynd. Þá er lagt til að ráðgjafarnefnd um inn- og útflutning landbúnaðarvara sem starfar á grundvelli 87. gr. laganna verði lögð niður. </w:t>
      </w:r>
      <w:r w:rsidRPr="00753C60">
        <w:rPr>
          <w:rFonts w:asciiTheme="minorHAnsi" w:hAnsiTheme="minorHAnsi"/>
          <w:i/>
          <w:iCs/>
          <w:u w:val="single"/>
        </w:rPr>
        <w:t>Þess í stað verði byggt á sögulegri reynslu og tollkvótum fyrir úthlutað á þeim grundvelli</w:t>
      </w:r>
      <w:r w:rsidRPr="00753C60">
        <w:rPr>
          <w:rFonts w:asciiTheme="minorHAnsi" w:hAnsiTheme="minorHAnsi"/>
          <w:i/>
          <w:iCs/>
        </w:rPr>
        <w:t>. Með frumvarpinu er því lagt til að tollkvótum fyrir landbúnaðarvörur sem eru árstíðarbundnar, annað hvort þar sem framleiðsla og birgðastaða er árstíðarbundin eða eftirspurn er árstíðarbundin og nauðsynlegt hefur verið að flytja inn til landsins á ákveðnum tíma ársins, verði þá án tolla eða á lægri tollum sbr. 65. gr. A búvörulaga á ákveðnum tímabilum. Með þeim hætti er stefnt að því að tryggja hag neytenda hvað varðar vöruúrval og verðsamkeppni</w:t>
      </w:r>
      <w:r w:rsidRPr="00753C60">
        <w:rPr>
          <w:rFonts w:asciiTheme="minorHAnsi" w:hAnsiTheme="minorHAnsi"/>
          <w:i/>
          <w:iCs/>
          <w:u w:val="single"/>
        </w:rPr>
        <w:t>. Þó er ekki horfið frá þeirri stefnu að innlend framleiðsla njóti einnig ákveðinnar verndar gagnvart innflutningi.</w:t>
      </w:r>
      <w:r w:rsidRPr="00753C60">
        <w:rPr>
          <w:rFonts w:asciiTheme="minorHAnsi" w:hAnsiTheme="minorHAnsi"/>
          <w:u w:val="single"/>
        </w:rPr>
        <w:t xml:space="preserve"> </w:t>
      </w:r>
    </w:p>
    <w:p w14:paraId="5AD6FE46" w14:textId="77777777" w:rsidR="002D1DF9" w:rsidRPr="00753C60" w:rsidRDefault="002D1DF9" w:rsidP="002D1DF9">
      <w:pPr>
        <w:ind w:left="1440"/>
        <w:rPr>
          <w:rFonts w:asciiTheme="minorHAnsi" w:hAnsiTheme="minorHAnsi"/>
          <w:i/>
          <w:iCs/>
        </w:rPr>
      </w:pPr>
    </w:p>
    <w:p w14:paraId="7FFC929B" w14:textId="11CEB7DE" w:rsidR="002D1DF9" w:rsidRPr="00753C60" w:rsidRDefault="002D1DF9" w:rsidP="002D1DF9">
      <w:pPr>
        <w:ind w:left="720"/>
        <w:rPr>
          <w:rFonts w:asciiTheme="minorHAnsi" w:hAnsiTheme="minorHAnsi"/>
        </w:rPr>
      </w:pPr>
    </w:p>
    <w:p w14:paraId="4270870E" w14:textId="721DF8B6" w:rsidR="002D1DF9" w:rsidRPr="00753C60" w:rsidRDefault="002D1DF9" w:rsidP="00652E95">
      <w:pPr>
        <w:ind w:left="720"/>
        <w:jc w:val="both"/>
        <w:rPr>
          <w:rFonts w:asciiTheme="minorHAnsi" w:hAnsiTheme="minorHAnsi"/>
        </w:rPr>
      </w:pPr>
      <w:r w:rsidRPr="00753C60">
        <w:rPr>
          <w:rFonts w:asciiTheme="minorHAnsi" w:hAnsiTheme="minorHAnsi"/>
        </w:rPr>
        <w:t xml:space="preserve">Skilja má á þessari skýringu að í ljósi þess að tollkvótar eru að aukast og erfitt hefur verið að sannreyna til þess hvenær framboð vöru telst ekki nægjanlegt, þá sé verið að leggja niður faglega ráðgjafanefnd um inn- og útfluttning. Þess í stað verði byggt á sögulegri reynslu. </w:t>
      </w:r>
      <w:r w:rsidR="009F7DEA" w:rsidRPr="00753C60">
        <w:rPr>
          <w:rFonts w:asciiTheme="minorHAnsi" w:hAnsiTheme="minorHAnsi"/>
        </w:rPr>
        <w:t xml:space="preserve">Það er mat FESK að þvert á móti ætti að auka eftirlit og faglegt mat </w:t>
      </w:r>
      <w:r w:rsidR="009F7DEA" w:rsidRPr="00753C60">
        <w:rPr>
          <w:rFonts w:asciiTheme="minorHAnsi" w:hAnsiTheme="minorHAnsi"/>
        </w:rPr>
        <w:lastRenderedPageBreak/>
        <w:t xml:space="preserve">á stöðu markaða, sérstaklega í ljósi þess að núverandi Tollasamningar bera með sér mikla aukningu á innfluttningi með tilheyrandi óvissu á markaði. </w:t>
      </w:r>
      <w:r w:rsidR="00C002C4" w:rsidRPr="00753C60">
        <w:rPr>
          <w:rFonts w:asciiTheme="minorHAnsi" w:hAnsiTheme="minorHAnsi"/>
        </w:rPr>
        <w:t>Ekki er hægt að sjá h</w:t>
      </w:r>
      <w:r w:rsidRPr="00753C60">
        <w:rPr>
          <w:rFonts w:asciiTheme="minorHAnsi" w:hAnsiTheme="minorHAnsi"/>
        </w:rPr>
        <w:t>vaða reynsla hefur safnast saman þegar litið er til þeirrar aukningar sem Tollasamningar ESB innibera</w:t>
      </w:r>
      <w:r w:rsidR="00C002C4" w:rsidRPr="00753C60">
        <w:rPr>
          <w:rFonts w:asciiTheme="minorHAnsi" w:hAnsiTheme="minorHAnsi"/>
        </w:rPr>
        <w:t xml:space="preserve">, enda engin reynsla á það komin hvernig þessi aukning mun reynast markaðnum. </w:t>
      </w:r>
      <w:r w:rsidRPr="00753C60">
        <w:rPr>
          <w:rFonts w:asciiTheme="minorHAnsi" w:hAnsiTheme="minorHAnsi"/>
        </w:rPr>
        <w:t xml:space="preserve"> </w:t>
      </w:r>
    </w:p>
    <w:p w14:paraId="2D2D06EB" w14:textId="77777777" w:rsidR="00C167C9" w:rsidRPr="00753C60" w:rsidRDefault="00C167C9" w:rsidP="002D1DF9">
      <w:pPr>
        <w:ind w:left="720"/>
        <w:rPr>
          <w:rFonts w:asciiTheme="minorHAnsi" w:hAnsiTheme="minorHAnsi"/>
        </w:rPr>
      </w:pPr>
    </w:p>
    <w:p w14:paraId="0D6088B2" w14:textId="42DE5DCB" w:rsidR="002D1DF9" w:rsidRPr="00753C60" w:rsidRDefault="002D1DF9" w:rsidP="00652E95">
      <w:pPr>
        <w:ind w:left="720"/>
        <w:jc w:val="both"/>
        <w:rPr>
          <w:rFonts w:asciiTheme="minorHAnsi" w:hAnsiTheme="minorHAnsi"/>
        </w:rPr>
      </w:pPr>
      <w:r w:rsidRPr="00753C60">
        <w:rPr>
          <w:rFonts w:asciiTheme="minorHAnsi" w:hAnsiTheme="minorHAnsi"/>
        </w:rPr>
        <w:t>Hvernig á að bregðast við breyttum neysluvenjum, sem eru oft skarpar á jafn litlu markaðssvæði hér á landi? Það er til söguleg reynsla af skörpum neyslubreytingum sem eins og gefur að skilja er oft óútreiknanleg</w:t>
      </w:r>
      <w:r w:rsidR="00745D1B" w:rsidRPr="00753C60">
        <w:rPr>
          <w:rFonts w:asciiTheme="minorHAnsi" w:hAnsiTheme="minorHAnsi"/>
        </w:rPr>
        <w:t>ar</w:t>
      </w:r>
      <w:r w:rsidRPr="00753C60">
        <w:rPr>
          <w:rFonts w:asciiTheme="minorHAnsi" w:hAnsiTheme="minorHAnsi"/>
        </w:rPr>
        <w:t xml:space="preserve">.  </w:t>
      </w:r>
    </w:p>
    <w:p w14:paraId="67C110E8" w14:textId="77777777" w:rsidR="00C167C9" w:rsidRPr="00753C60" w:rsidRDefault="00C167C9" w:rsidP="00652E95">
      <w:pPr>
        <w:ind w:left="720"/>
        <w:jc w:val="both"/>
        <w:rPr>
          <w:rFonts w:asciiTheme="minorHAnsi" w:hAnsiTheme="minorHAnsi"/>
        </w:rPr>
      </w:pPr>
    </w:p>
    <w:p w14:paraId="5FFFE057" w14:textId="5A65D691" w:rsidR="00723184" w:rsidRPr="00753C60" w:rsidRDefault="00723184" w:rsidP="00652E95">
      <w:pPr>
        <w:ind w:left="720"/>
        <w:jc w:val="both"/>
        <w:rPr>
          <w:rFonts w:asciiTheme="minorHAnsi" w:hAnsiTheme="minorHAnsi"/>
        </w:rPr>
      </w:pPr>
      <w:r w:rsidRPr="00753C60">
        <w:rPr>
          <w:rFonts w:asciiTheme="minorHAnsi" w:hAnsiTheme="minorHAnsi"/>
        </w:rPr>
        <w:t>Hvernig á að bre</w:t>
      </w:r>
      <w:r w:rsidR="00C002C4" w:rsidRPr="00753C60">
        <w:rPr>
          <w:rFonts w:asciiTheme="minorHAnsi" w:hAnsiTheme="minorHAnsi"/>
        </w:rPr>
        <w:t>gðast</w:t>
      </w:r>
      <w:r w:rsidRPr="00753C60">
        <w:rPr>
          <w:rFonts w:asciiTheme="minorHAnsi" w:hAnsiTheme="minorHAnsi"/>
        </w:rPr>
        <w:t xml:space="preserve"> við </w:t>
      </w:r>
      <w:r w:rsidR="00745D1B" w:rsidRPr="00753C60">
        <w:rPr>
          <w:rFonts w:asciiTheme="minorHAnsi" w:hAnsiTheme="minorHAnsi"/>
        </w:rPr>
        <w:t xml:space="preserve"> breytingum</w:t>
      </w:r>
      <w:r w:rsidRPr="00753C60">
        <w:rPr>
          <w:rFonts w:asciiTheme="minorHAnsi" w:hAnsiTheme="minorHAnsi"/>
        </w:rPr>
        <w:t xml:space="preserve"> </w:t>
      </w:r>
      <w:r w:rsidR="00C002C4" w:rsidRPr="00753C60">
        <w:rPr>
          <w:rFonts w:asciiTheme="minorHAnsi" w:hAnsiTheme="minorHAnsi"/>
        </w:rPr>
        <w:t>í</w:t>
      </w:r>
      <w:r w:rsidRPr="00753C60">
        <w:rPr>
          <w:rFonts w:asciiTheme="minorHAnsi" w:hAnsiTheme="minorHAnsi"/>
        </w:rPr>
        <w:t xml:space="preserve"> innanlandsframleiðslu</w:t>
      </w:r>
      <w:r w:rsidR="00C002C4" w:rsidRPr="00753C60">
        <w:rPr>
          <w:rFonts w:asciiTheme="minorHAnsi" w:hAnsiTheme="minorHAnsi"/>
        </w:rPr>
        <w:t xml:space="preserve"> ef</w:t>
      </w:r>
      <w:r w:rsidRPr="00753C60">
        <w:rPr>
          <w:rFonts w:asciiTheme="minorHAnsi" w:hAnsiTheme="minorHAnsi"/>
        </w:rPr>
        <w:t xml:space="preserve"> söguleg reynsla segir t.d. að flytja þurfi inn 100 tonn af svínasíðum </w:t>
      </w:r>
      <w:r w:rsidR="00C002C4" w:rsidRPr="00753C60">
        <w:rPr>
          <w:rFonts w:asciiTheme="minorHAnsi" w:hAnsiTheme="minorHAnsi"/>
        </w:rPr>
        <w:t xml:space="preserve">á tímabilinu </w:t>
      </w:r>
      <w:r w:rsidR="0041487B" w:rsidRPr="00753C60">
        <w:rPr>
          <w:rFonts w:asciiTheme="minorHAnsi" w:hAnsiTheme="minorHAnsi"/>
        </w:rPr>
        <w:t xml:space="preserve">september til desember ár hvert, en innlendir </w:t>
      </w:r>
      <w:r w:rsidR="00745D1B" w:rsidRPr="00753C60">
        <w:rPr>
          <w:rFonts w:asciiTheme="minorHAnsi" w:hAnsiTheme="minorHAnsi"/>
        </w:rPr>
        <w:t xml:space="preserve">aðilar </w:t>
      </w:r>
      <w:r w:rsidR="0041487B" w:rsidRPr="00753C60">
        <w:rPr>
          <w:rFonts w:asciiTheme="minorHAnsi" w:hAnsiTheme="minorHAnsi"/>
        </w:rPr>
        <w:t>hafa aukið framleiðslu sína um 50 tonn á þessum árstíma á þá eftir sem áður að flytja inn 100 tonn út frá sögulegri reynslu?</w:t>
      </w:r>
    </w:p>
    <w:p w14:paraId="76C6B16D" w14:textId="3F91A772" w:rsidR="002D1DF9" w:rsidRPr="00753C60" w:rsidRDefault="002D1DF9" w:rsidP="002D1DF9">
      <w:pPr>
        <w:ind w:left="720"/>
        <w:rPr>
          <w:rFonts w:asciiTheme="minorHAnsi" w:hAnsiTheme="minorHAnsi"/>
        </w:rPr>
      </w:pPr>
    </w:p>
    <w:p w14:paraId="7D208C5C" w14:textId="26C6F923" w:rsidR="002D1DF9" w:rsidRPr="00753C60" w:rsidRDefault="002D1DF9" w:rsidP="00652E95">
      <w:pPr>
        <w:pStyle w:val="ListParagraph"/>
        <w:rPr>
          <w:rFonts w:asciiTheme="minorHAnsi" w:hAnsiTheme="minorHAnsi"/>
        </w:rPr>
      </w:pPr>
      <w:r w:rsidRPr="00753C60">
        <w:rPr>
          <w:rFonts w:asciiTheme="minorHAnsi" w:hAnsiTheme="minorHAnsi"/>
        </w:rPr>
        <w:t xml:space="preserve">Það er minnst á innlenda framleiðslu í greinagerð frumvarpsins, undir </w:t>
      </w:r>
      <w:r w:rsidR="0076670C" w:rsidRPr="00753C60">
        <w:rPr>
          <w:rFonts w:asciiTheme="minorHAnsi" w:hAnsiTheme="minorHAnsi"/>
          <w:b/>
          <w:bCs/>
        </w:rPr>
        <w:t>1. Inngangur</w:t>
      </w:r>
      <w:r w:rsidR="0076670C" w:rsidRPr="00753C60">
        <w:rPr>
          <w:rFonts w:asciiTheme="minorHAnsi" w:hAnsiTheme="minorHAnsi"/>
        </w:rPr>
        <w:t xml:space="preserve">, 1. mgr., bls. 3 </w:t>
      </w:r>
      <w:r w:rsidR="00C167C9" w:rsidRPr="00753C60">
        <w:rPr>
          <w:rFonts w:asciiTheme="minorHAnsi" w:hAnsiTheme="minorHAnsi"/>
        </w:rPr>
        <w:t>.</w:t>
      </w:r>
    </w:p>
    <w:p w14:paraId="2A1C3126" w14:textId="7E9E9141" w:rsidR="002D1DF9" w:rsidRPr="00753C60" w:rsidRDefault="002D1DF9" w:rsidP="002D1DF9">
      <w:pPr>
        <w:ind w:left="1440"/>
        <w:rPr>
          <w:rFonts w:asciiTheme="minorHAnsi" w:hAnsiTheme="minorHAnsi"/>
          <w:i/>
          <w:iCs/>
        </w:rPr>
      </w:pPr>
      <w:r w:rsidRPr="00753C60">
        <w:rPr>
          <w:rFonts w:asciiTheme="minorHAnsi" w:hAnsiTheme="minorHAnsi"/>
        </w:rPr>
        <w:t>„</w:t>
      </w:r>
      <w:r w:rsidRPr="00753C60">
        <w:rPr>
          <w:rFonts w:asciiTheme="minorHAnsi" w:hAnsiTheme="minorHAnsi"/>
          <w:i/>
          <w:iCs/>
        </w:rPr>
        <w:t>Þó er ekki horfið frá þeirri stefnu að innlend framleiðsla njóti einnig ákveðinnar verndar gagnvart innflutningi.“</w:t>
      </w:r>
    </w:p>
    <w:p w14:paraId="24376AD1" w14:textId="77777777" w:rsidR="00C167C9" w:rsidRPr="00753C60" w:rsidRDefault="00C167C9" w:rsidP="00652E95">
      <w:pPr>
        <w:rPr>
          <w:rFonts w:asciiTheme="minorHAnsi" w:hAnsiTheme="minorHAnsi"/>
          <w:i/>
          <w:iCs/>
        </w:rPr>
      </w:pPr>
    </w:p>
    <w:p w14:paraId="76491CDB" w14:textId="4691D2D5" w:rsidR="002D1DF9" w:rsidRPr="00753C60" w:rsidRDefault="002D1DF9" w:rsidP="00652E95">
      <w:pPr>
        <w:ind w:left="720"/>
        <w:jc w:val="both"/>
        <w:rPr>
          <w:rFonts w:asciiTheme="minorHAnsi" w:hAnsiTheme="minorHAnsi"/>
        </w:rPr>
      </w:pPr>
      <w:r w:rsidRPr="00753C60">
        <w:rPr>
          <w:rFonts w:asciiTheme="minorHAnsi" w:hAnsiTheme="minorHAnsi"/>
        </w:rPr>
        <w:t xml:space="preserve">Erfitt er að lesa út úr frumvarpinu með hvaða hætti vernda á innlenda framleiðslu gagnvart innfluttningi. Þvert á móti virðist frumvarpið lækka kröfur um skilgreiningu á vöruskorti, eftirlit ráðgjafanefndar er lagt niður og byggt á sögulegri reynslu þegar kemur að stýringu innfluttnings. </w:t>
      </w:r>
    </w:p>
    <w:p w14:paraId="20FCF101" w14:textId="77777777" w:rsidR="002D1DF9" w:rsidRPr="00753C60" w:rsidRDefault="002D1DF9" w:rsidP="002D1DF9">
      <w:pPr>
        <w:ind w:firstLine="720"/>
        <w:jc w:val="both"/>
        <w:rPr>
          <w:rFonts w:asciiTheme="minorHAnsi" w:hAnsiTheme="minorHAnsi"/>
        </w:rPr>
      </w:pPr>
    </w:p>
    <w:p w14:paraId="5DBFCD48" w14:textId="015F379B" w:rsidR="002D1DF9" w:rsidRPr="00753C60" w:rsidRDefault="002D1DF9" w:rsidP="002D1DF9">
      <w:pPr>
        <w:ind w:left="720"/>
        <w:jc w:val="both"/>
        <w:rPr>
          <w:rFonts w:asciiTheme="minorHAnsi" w:hAnsiTheme="minorHAnsi"/>
        </w:rPr>
      </w:pPr>
      <w:r w:rsidRPr="00753C60">
        <w:rPr>
          <w:rFonts w:asciiTheme="minorHAnsi" w:hAnsiTheme="minorHAnsi"/>
        </w:rPr>
        <w:t xml:space="preserve">Vandséð er hvernig veiking á tollvernd (í formi lægra gjalds við úthlutun tollkvóta) á þessum tímapunkti sé í takti við stjórnarsáttmála ríkisstjórnarinnar er varðar eflingu innlendrar matvælaframleiðslu. </w:t>
      </w:r>
    </w:p>
    <w:p w14:paraId="63520CBE" w14:textId="77777777" w:rsidR="002D1DF9" w:rsidRPr="00753C60" w:rsidRDefault="002D1DF9" w:rsidP="002D1DF9">
      <w:pPr>
        <w:ind w:left="720"/>
        <w:rPr>
          <w:rFonts w:asciiTheme="minorHAnsi" w:hAnsiTheme="minorHAnsi"/>
        </w:rPr>
      </w:pPr>
    </w:p>
    <w:p w14:paraId="73B13EC2" w14:textId="71C19E5F" w:rsidR="002D1DF9" w:rsidRPr="00753C60" w:rsidRDefault="002D1DF9" w:rsidP="002D1DF9">
      <w:pPr>
        <w:ind w:left="720"/>
        <w:rPr>
          <w:rFonts w:asciiTheme="minorHAnsi" w:hAnsiTheme="minorHAnsi"/>
        </w:rPr>
      </w:pPr>
    </w:p>
    <w:p w14:paraId="70928771" w14:textId="7A6A8FB8" w:rsidR="002D1DF9" w:rsidRPr="00753C60" w:rsidRDefault="00C167C9" w:rsidP="00C002C4">
      <w:pPr>
        <w:ind w:left="360"/>
        <w:rPr>
          <w:rFonts w:asciiTheme="minorHAnsi" w:hAnsiTheme="minorHAnsi"/>
          <w:b/>
          <w:bCs/>
        </w:rPr>
      </w:pPr>
      <w:r w:rsidRPr="00753C60">
        <w:rPr>
          <w:rFonts w:asciiTheme="minorHAnsi" w:hAnsiTheme="minorHAnsi"/>
          <w:b/>
          <w:bCs/>
        </w:rPr>
        <w:t xml:space="preserve">Áhrif </w:t>
      </w:r>
      <w:r w:rsidR="002D1DF9" w:rsidRPr="00753C60">
        <w:rPr>
          <w:rFonts w:asciiTheme="minorHAnsi" w:hAnsiTheme="minorHAnsi"/>
          <w:b/>
          <w:bCs/>
        </w:rPr>
        <w:t>Brexit</w:t>
      </w:r>
      <w:r w:rsidRPr="00753C60">
        <w:rPr>
          <w:rFonts w:asciiTheme="minorHAnsi" w:hAnsiTheme="minorHAnsi"/>
          <w:b/>
          <w:bCs/>
        </w:rPr>
        <w:t xml:space="preserve"> á tollasamning Íslands og ESB</w:t>
      </w:r>
    </w:p>
    <w:p w14:paraId="4062EE91" w14:textId="7F7A7F20" w:rsidR="002D1DF9" w:rsidRPr="00753C60" w:rsidRDefault="002D1DF9" w:rsidP="002D1DF9">
      <w:pPr>
        <w:ind w:left="720"/>
        <w:jc w:val="both"/>
        <w:rPr>
          <w:rFonts w:asciiTheme="minorHAnsi" w:hAnsiTheme="minorHAnsi"/>
        </w:rPr>
      </w:pPr>
      <w:r w:rsidRPr="00753C60">
        <w:rPr>
          <w:rFonts w:asciiTheme="minorHAnsi" w:hAnsiTheme="minorHAnsi"/>
        </w:rPr>
        <w:t>Brexit hefur áhrif á markaðssvæði ESB. Um er að ræða 66-67 milljónir manna</w:t>
      </w:r>
      <w:r w:rsidR="009F7DEA" w:rsidRPr="00753C60">
        <w:rPr>
          <w:rFonts w:asciiTheme="minorHAnsi" w:hAnsiTheme="minorHAnsi"/>
        </w:rPr>
        <w:t xml:space="preserve"> markaðssvæði</w:t>
      </w:r>
      <w:r w:rsidRPr="00753C60">
        <w:rPr>
          <w:rFonts w:asciiTheme="minorHAnsi" w:hAnsiTheme="minorHAnsi"/>
        </w:rPr>
        <w:t xml:space="preserve">. </w:t>
      </w:r>
      <w:r w:rsidR="00C002C4" w:rsidRPr="00753C60">
        <w:rPr>
          <w:rFonts w:asciiTheme="minorHAnsi" w:hAnsiTheme="minorHAnsi"/>
        </w:rPr>
        <w:t>Slíkt m</w:t>
      </w:r>
      <w:r w:rsidRPr="00753C60">
        <w:rPr>
          <w:rFonts w:asciiTheme="minorHAnsi" w:hAnsiTheme="minorHAnsi"/>
        </w:rPr>
        <w:t>un hafa áhrif á þann Tollasamning sem er í gildi milli Íslands og ESB</w:t>
      </w:r>
      <w:r w:rsidR="00C002C4" w:rsidRPr="00753C60">
        <w:rPr>
          <w:rFonts w:asciiTheme="minorHAnsi" w:hAnsiTheme="minorHAnsi"/>
        </w:rPr>
        <w:t>.</w:t>
      </w:r>
      <w:r w:rsidRPr="00753C60">
        <w:rPr>
          <w:rFonts w:asciiTheme="minorHAnsi" w:hAnsiTheme="minorHAnsi"/>
        </w:rPr>
        <w:t xml:space="preserve"> Hlutfall útflutnings landbúnaðarvara til Bretlands er á bilinu 3,5% til 6,3%, á árunum 2012 til 2016 (samkv. Skýrslu frá Utanríkisráðuneytinu í Nóv 2016: </w:t>
      </w:r>
      <w:hyperlink r:id="rId8" w:history="1">
        <w:r w:rsidRPr="00753C60">
          <w:rPr>
            <w:rFonts w:asciiTheme="minorHAnsi" w:hAnsiTheme="minorHAnsi"/>
          </w:rPr>
          <w:t>https://www.stjornarradid.is/lisalib/getfile.aspx?itemid=5e03958e-d1c9-11e7-941f-005056bc4d74</w:t>
        </w:r>
      </w:hyperlink>
      <w:r w:rsidRPr="00753C60">
        <w:rPr>
          <w:rFonts w:asciiTheme="minorHAnsi" w:hAnsiTheme="minorHAnsi"/>
        </w:rPr>
        <w:t>)</w:t>
      </w:r>
    </w:p>
    <w:p w14:paraId="06029B5F" w14:textId="220269A8" w:rsidR="0076670C" w:rsidRPr="00753C60" w:rsidRDefault="00C002C4" w:rsidP="002D1DF9">
      <w:pPr>
        <w:ind w:left="720"/>
        <w:jc w:val="both"/>
        <w:rPr>
          <w:rFonts w:asciiTheme="minorHAnsi" w:hAnsiTheme="minorHAnsi"/>
        </w:rPr>
      </w:pPr>
      <w:r w:rsidRPr="00753C60">
        <w:rPr>
          <w:rFonts w:asciiTheme="minorHAnsi" w:hAnsiTheme="minorHAnsi"/>
        </w:rPr>
        <w:t>Sá samningur sem gerður hefur verið</w:t>
      </w:r>
      <w:r w:rsidR="0076670C" w:rsidRPr="00753C60">
        <w:rPr>
          <w:rFonts w:asciiTheme="minorHAnsi" w:hAnsiTheme="minorHAnsi"/>
        </w:rPr>
        <w:t xml:space="preserve"> við Bretland í ljósi útgögnu þeirra úr ESB, </w:t>
      </w:r>
      <w:r w:rsidRPr="00753C60">
        <w:rPr>
          <w:rFonts w:asciiTheme="minorHAnsi" w:hAnsiTheme="minorHAnsi"/>
        </w:rPr>
        <w:t xml:space="preserve">mun líklega bætast ofan á </w:t>
      </w:r>
      <w:r w:rsidR="0076670C" w:rsidRPr="00753C60">
        <w:rPr>
          <w:rFonts w:asciiTheme="minorHAnsi" w:hAnsiTheme="minorHAnsi"/>
        </w:rPr>
        <w:t>það magn sem flytja má inn frá ESB</w:t>
      </w:r>
      <w:r w:rsidRPr="00753C60">
        <w:rPr>
          <w:rFonts w:asciiTheme="minorHAnsi" w:hAnsiTheme="minorHAnsi"/>
        </w:rPr>
        <w:t xml:space="preserve">. Það er því búið að auka innflutningstolla sem því nemur. </w:t>
      </w:r>
      <w:r w:rsidR="0076670C" w:rsidRPr="00753C60">
        <w:rPr>
          <w:rFonts w:asciiTheme="minorHAnsi" w:hAnsiTheme="minorHAnsi"/>
        </w:rPr>
        <w:t xml:space="preserve"> </w:t>
      </w:r>
    </w:p>
    <w:p w14:paraId="3EE65FD6" w14:textId="752D9865" w:rsidR="002D1DF9" w:rsidRPr="00753C60" w:rsidRDefault="002D1DF9" w:rsidP="002D1DF9">
      <w:pPr>
        <w:ind w:left="720"/>
        <w:rPr>
          <w:rFonts w:asciiTheme="minorHAnsi" w:hAnsiTheme="minorHAnsi"/>
          <w:b/>
          <w:bCs/>
        </w:rPr>
      </w:pPr>
    </w:p>
    <w:p w14:paraId="713C6156" w14:textId="77777777" w:rsidR="00C002C4" w:rsidRPr="00753C60" w:rsidRDefault="00C002C4" w:rsidP="002D1DF9">
      <w:pPr>
        <w:ind w:left="720"/>
        <w:rPr>
          <w:rFonts w:asciiTheme="minorHAnsi" w:hAnsiTheme="minorHAnsi"/>
          <w:b/>
          <w:bCs/>
        </w:rPr>
      </w:pPr>
    </w:p>
    <w:p w14:paraId="7DBBD766" w14:textId="39E1B524" w:rsidR="002D1DF9" w:rsidRPr="00753C60" w:rsidRDefault="00A07FF0" w:rsidP="00C002C4">
      <w:pPr>
        <w:ind w:left="360"/>
        <w:rPr>
          <w:rFonts w:asciiTheme="minorHAnsi" w:hAnsiTheme="minorHAnsi"/>
          <w:b/>
          <w:bCs/>
        </w:rPr>
      </w:pPr>
      <w:r w:rsidRPr="00753C60">
        <w:rPr>
          <w:rFonts w:asciiTheme="minorHAnsi" w:hAnsiTheme="minorHAnsi"/>
          <w:b/>
          <w:bCs/>
        </w:rPr>
        <w:t>Eftirlit</w:t>
      </w:r>
    </w:p>
    <w:p w14:paraId="63FB4D8C" w14:textId="50059393" w:rsidR="002D1DF9" w:rsidRPr="00753C60" w:rsidRDefault="002D1DF9" w:rsidP="00652E95">
      <w:pPr>
        <w:ind w:left="720"/>
        <w:jc w:val="both"/>
        <w:rPr>
          <w:rFonts w:asciiTheme="minorHAnsi" w:hAnsiTheme="minorHAnsi"/>
        </w:rPr>
      </w:pPr>
      <w:r w:rsidRPr="00753C60">
        <w:rPr>
          <w:rFonts w:asciiTheme="minorHAnsi" w:hAnsiTheme="minorHAnsi"/>
        </w:rPr>
        <w:t xml:space="preserve">Staða tollaskrárnúmera hjá Tollstjóraembættinu er gríðarlega ábótavant. Erfitt er að fá upplýsingar úr kerfum Tollstjóraembættisins um hvaða kjöt verið er að flytja inn samkvæmt skráningum. Þetta á við um innflutning og útflutning. Sérstaklega þarf að skoða þau mál ef byggja á tollkvóta á sögulegri reynslu. Telji menn tollkvóta fyrir </w:t>
      </w:r>
      <w:r w:rsidRPr="00753C60">
        <w:rPr>
          <w:rFonts w:asciiTheme="minorHAnsi" w:hAnsiTheme="minorHAnsi"/>
        </w:rPr>
        <w:lastRenderedPageBreak/>
        <w:t xml:space="preserve">beinlaust svínakjöt gefa skýra mynd af hvað verið er að flytja inn, þá er það ekki svo. Enda gríðarlegur munur á því hvort verið sé að flytja inn svínasíður eða svínalundir. Sama á við um aðrar afurðir sem falla undir Tollasamninginn. </w:t>
      </w:r>
    </w:p>
    <w:p w14:paraId="656319DA" w14:textId="46C6B963" w:rsidR="002D1DF9" w:rsidRPr="00753C60" w:rsidRDefault="00652E95" w:rsidP="002D1DF9">
      <w:pPr>
        <w:ind w:left="720"/>
        <w:rPr>
          <w:rFonts w:asciiTheme="minorHAnsi" w:hAnsiTheme="minorHAnsi"/>
          <w:b/>
          <w:bCs/>
        </w:rPr>
      </w:pPr>
      <w:r w:rsidRPr="00753C60">
        <w:rPr>
          <w:rFonts w:asciiTheme="minorHAnsi" w:hAnsiTheme="minorHAnsi"/>
        </w:rPr>
        <w:t>Miðað við núverandi ástand eru</w:t>
      </w:r>
      <w:r w:rsidR="002D1DF9" w:rsidRPr="00753C60">
        <w:rPr>
          <w:rFonts w:asciiTheme="minorHAnsi" w:hAnsiTheme="minorHAnsi"/>
        </w:rPr>
        <w:t xml:space="preserve"> eftirlitskerfin á engan hátt í stakk búin í þessa innleiðingu á tollkvótakerfinu. </w:t>
      </w:r>
    </w:p>
    <w:p w14:paraId="792E8562" w14:textId="3F437EF0" w:rsidR="002D1DF9" w:rsidRPr="00753C60" w:rsidRDefault="002D1DF9" w:rsidP="002D1DF9">
      <w:pPr>
        <w:ind w:left="720"/>
        <w:rPr>
          <w:rFonts w:asciiTheme="minorHAnsi" w:hAnsiTheme="minorHAnsi"/>
          <w:b/>
          <w:bCs/>
        </w:rPr>
      </w:pPr>
    </w:p>
    <w:p w14:paraId="6B7F4EC0" w14:textId="77777777" w:rsidR="002D1DF9" w:rsidRPr="00753C60" w:rsidRDefault="002D1DF9" w:rsidP="002D1DF9">
      <w:pPr>
        <w:ind w:left="720"/>
        <w:rPr>
          <w:rFonts w:asciiTheme="minorHAnsi" w:hAnsiTheme="minorHAnsi"/>
          <w:b/>
          <w:bCs/>
        </w:rPr>
      </w:pPr>
    </w:p>
    <w:p w14:paraId="2BE59321" w14:textId="26F77121" w:rsidR="002D1DF9" w:rsidRPr="00753C60" w:rsidRDefault="002D1DF9" w:rsidP="00C002C4">
      <w:pPr>
        <w:ind w:left="360"/>
        <w:rPr>
          <w:rFonts w:asciiTheme="minorHAnsi" w:hAnsiTheme="minorHAnsi"/>
          <w:b/>
          <w:bCs/>
        </w:rPr>
      </w:pPr>
      <w:r w:rsidRPr="00753C60">
        <w:rPr>
          <w:rFonts w:asciiTheme="minorHAnsi" w:hAnsiTheme="minorHAnsi"/>
          <w:b/>
          <w:bCs/>
        </w:rPr>
        <w:t>Lokaorð</w:t>
      </w:r>
    </w:p>
    <w:p w14:paraId="10EB80B3" w14:textId="70DE32C6" w:rsidR="002D1DF9" w:rsidRPr="00753C60" w:rsidRDefault="002D1DF9" w:rsidP="002D1DF9">
      <w:pPr>
        <w:ind w:left="720"/>
        <w:jc w:val="both"/>
        <w:rPr>
          <w:rFonts w:asciiTheme="minorHAnsi" w:hAnsiTheme="minorHAnsi"/>
        </w:rPr>
      </w:pPr>
      <w:r w:rsidRPr="00753C60">
        <w:rPr>
          <w:rFonts w:asciiTheme="minorHAnsi" w:hAnsiTheme="minorHAnsi"/>
        </w:rPr>
        <w:t xml:space="preserve">Staða bænda og innlendra afurðastöðva er gríðarlega viðkvæm.  Með tollasamningi Íslands og ESB um viðskipti með landbúnaðarvörur munu tollkvótar stigvaxa næstu þrjú árin. Nýjar aðbúnaðarreglugerðir síðustu ára kalla einnig á miklar fjárfestingar hjá bændum og hleypur kostnaður framkvæmda á tugum milljarða króna. Á sama tíma er verið að rýmka reglur og eftirlit með innflutningi til landsins í þessu frumvarpi. </w:t>
      </w:r>
    </w:p>
    <w:p w14:paraId="27AD1092" w14:textId="5BE03A4E" w:rsidR="002D1DF9" w:rsidRPr="00753C60" w:rsidRDefault="002D1DF9" w:rsidP="002D1DF9">
      <w:pPr>
        <w:ind w:left="720"/>
        <w:jc w:val="both"/>
        <w:rPr>
          <w:rFonts w:asciiTheme="minorHAnsi" w:hAnsiTheme="minorHAnsi"/>
        </w:rPr>
      </w:pPr>
      <w:r w:rsidRPr="00753C60">
        <w:rPr>
          <w:rFonts w:asciiTheme="minorHAnsi" w:hAnsiTheme="minorHAnsi"/>
        </w:rPr>
        <w:t xml:space="preserve">Ekkert hefur komið fram um það með hvaða hætti á að vernda innlenda framleiðslu samhliða þessum miklu breytingum og innleiðingu frá ESB. </w:t>
      </w:r>
    </w:p>
    <w:p w14:paraId="22A858EB" w14:textId="4116649B" w:rsidR="00BC1FAA" w:rsidRPr="00753C60" w:rsidRDefault="002D1DF9" w:rsidP="002D1DF9">
      <w:pPr>
        <w:ind w:left="720"/>
        <w:jc w:val="both"/>
        <w:rPr>
          <w:rFonts w:asciiTheme="minorHAnsi" w:hAnsiTheme="minorHAnsi"/>
        </w:rPr>
      </w:pPr>
      <w:r w:rsidRPr="00753C60">
        <w:rPr>
          <w:rFonts w:asciiTheme="minorHAnsi" w:hAnsiTheme="minorHAnsi"/>
        </w:rPr>
        <w:t>Samkvæmt stjórnarsáttmála ríkisstjórnarinnar á að efla innlenda matvælaframleiðslu og það er vandséð að þetta frumvarp</w:t>
      </w:r>
      <w:r w:rsidR="009F7DEA" w:rsidRPr="00753C60">
        <w:rPr>
          <w:rFonts w:asciiTheme="minorHAnsi" w:hAnsiTheme="minorHAnsi"/>
        </w:rPr>
        <w:t xml:space="preserve">, eins og það stendur nú, </w:t>
      </w:r>
      <w:r w:rsidRPr="00753C60">
        <w:rPr>
          <w:rFonts w:asciiTheme="minorHAnsi" w:hAnsiTheme="minorHAnsi"/>
        </w:rPr>
        <w:t xml:space="preserve">sé liður í þeim sáttmála, þvert á móti. </w:t>
      </w:r>
    </w:p>
    <w:p w14:paraId="6B852FB0" w14:textId="6F836A4C" w:rsidR="002D1DF9" w:rsidRPr="00753C60" w:rsidRDefault="002D1DF9" w:rsidP="002D1DF9">
      <w:pPr>
        <w:ind w:left="720"/>
        <w:jc w:val="both"/>
        <w:rPr>
          <w:rFonts w:asciiTheme="minorHAnsi" w:hAnsiTheme="minorHAnsi"/>
        </w:rPr>
      </w:pPr>
    </w:p>
    <w:p w14:paraId="1F91CD16" w14:textId="3C850D58" w:rsidR="002D1DF9" w:rsidRPr="00753C60" w:rsidRDefault="002D1DF9" w:rsidP="002D1DF9">
      <w:pPr>
        <w:ind w:left="720"/>
        <w:jc w:val="both"/>
        <w:rPr>
          <w:rFonts w:asciiTheme="minorHAnsi" w:hAnsiTheme="minorHAnsi"/>
        </w:rPr>
      </w:pPr>
    </w:p>
    <w:p w14:paraId="575DB791" w14:textId="41582445" w:rsidR="002D1DF9" w:rsidRPr="00753C60" w:rsidRDefault="002D1DF9" w:rsidP="002D1DF9">
      <w:pPr>
        <w:ind w:left="720"/>
        <w:jc w:val="both"/>
        <w:rPr>
          <w:rFonts w:asciiTheme="minorHAnsi" w:hAnsiTheme="minorHAnsi"/>
        </w:rPr>
      </w:pPr>
    </w:p>
    <w:p w14:paraId="6D7448CD" w14:textId="33C82775" w:rsidR="002D1DF9" w:rsidRPr="00753C60" w:rsidRDefault="002D1DF9" w:rsidP="002D1DF9">
      <w:pPr>
        <w:ind w:left="720"/>
        <w:jc w:val="both"/>
        <w:rPr>
          <w:rFonts w:asciiTheme="minorHAnsi" w:hAnsiTheme="minorHAnsi"/>
        </w:rPr>
      </w:pPr>
      <w:r w:rsidRPr="00753C60">
        <w:rPr>
          <w:rFonts w:asciiTheme="minorHAnsi" w:hAnsiTheme="minorHAnsi"/>
          <w:i/>
          <w:iCs/>
          <w:noProof/>
          <w:lang w:eastAsia="is-IS"/>
        </w:rPr>
        <w:drawing>
          <wp:anchor distT="0" distB="0" distL="114300" distR="114300" simplePos="0" relativeHeight="251659264" behindDoc="1" locked="0" layoutInCell="1" allowOverlap="1" wp14:anchorId="7E22E36E" wp14:editId="739ECF9B">
            <wp:simplePos x="0" y="0"/>
            <wp:positionH relativeFrom="column">
              <wp:posOffset>-24635</wp:posOffset>
            </wp:positionH>
            <wp:positionV relativeFrom="paragraph">
              <wp:posOffset>172085</wp:posOffset>
            </wp:positionV>
            <wp:extent cx="2070100" cy="933795"/>
            <wp:effectExtent l="0" t="0" r="0" b="6350"/>
            <wp:wrapNone/>
            <wp:docPr id="4" name="Picture 4" descr="A picture containing object,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dirritun SV.png"/>
                    <pic:cNvPicPr/>
                  </pic:nvPicPr>
                  <pic:blipFill>
                    <a:blip r:embed="rId9">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070100" cy="933795"/>
                    </a:xfrm>
                    <a:prstGeom prst="rect">
                      <a:avLst/>
                    </a:prstGeom>
                  </pic:spPr>
                </pic:pic>
              </a:graphicData>
            </a:graphic>
            <wp14:sizeRelH relativeFrom="page">
              <wp14:pctWidth>0</wp14:pctWidth>
            </wp14:sizeRelH>
            <wp14:sizeRelV relativeFrom="page">
              <wp14:pctHeight>0</wp14:pctHeight>
            </wp14:sizeRelV>
          </wp:anchor>
        </w:drawing>
      </w:r>
      <w:r w:rsidRPr="00753C60">
        <w:rPr>
          <w:rFonts w:asciiTheme="minorHAnsi" w:hAnsiTheme="minorHAnsi"/>
        </w:rPr>
        <w:t xml:space="preserve">Virðingarfyllst, </w:t>
      </w:r>
    </w:p>
    <w:p w14:paraId="4D6BB2E1" w14:textId="37BA422C" w:rsidR="002D1DF9" w:rsidRPr="00753C60" w:rsidRDefault="002D1DF9" w:rsidP="002D1DF9">
      <w:pPr>
        <w:ind w:left="720"/>
        <w:jc w:val="both"/>
        <w:rPr>
          <w:rFonts w:asciiTheme="minorHAnsi" w:hAnsiTheme="minorHAnsi"/>
        </w:rPr>
      </w:pPr>
    </w:p>
    <w:p w14:paraId="7F89630E" w14:textId="54A9FE74" w:rsidR="002D1DF9" w:rsidRPr="00753C60" w:rsidRDefault="002D1DF9" w:rsidP="002D1DF9">
      <w:pPr>
        <w:ind w:left="720"/>
        <w:jc w:val="both"/>
        <w:rPr>
          <w:rFonts w:asciiTheme="minorHAnsi" w:hAnsiTheme="minorHAnsi"/>
        </w:rPr>
      </w:pPr>
    </w:p>
    <w:p w14:paraId="18939769" w14:textId="712466DE" w:rsidR="002D1DF9" w:rsidRPr="00753C60" w:rsidRDefault="002D1DF9" w:rsidP="002D1DF9">
      <w:pPr>
        <w:ind w:left="720"/>
        <w:jc w:val="both"/>
        <w:rPr>
          <w:rFonts w:asciiTheme="minorHAnsi" w:hAnsiTheme="minorHAnsi"/>
        </w:rPr>
      </w:pPr>
    </w:p>
    <w:p w14:paraId="1C8B36AE" w14:textId="23BD7792" w:rsidR="002D1DF9" w:rsidRPr="00753C60" w:rsidRDefault="002D1DF9" w:rsidP="002D1DF9">
      <w:pPr>
        <w:ind w:left="720"/>
        <w:jc w:val="both"/>
        <w:rPr>
          <w:rFonts w:asciiTheme="minorHAnsi" w:hAnsiTheme="minorHAnsi"/>
        </w:rPr>
      </w:pPr>
    </w:p>
    <w:p w14:paraId="390F9200" w14:textId="77777777" w:rsidR="002D1DF9" w:rsidRPr="00753C60" w:rsidRDefault="002D1DF9" w:rsidP="002D1DF9">
      <w:pPr>
        <w:ind w:left="720"/>
        <w:jc w:val="both"/>
        <w:rPr>
          <w:rFonts w:asciiTheme="minorHAnsi" w:hAnsiTheme="minorHAnsi"/>
        </w:rPr>
      </w:pPr>
    </w:p>
    <w:p w14:paraId="36A0E505" w14:textId="6841A2CD" w:rsidR="002D1DF9" w:rsidRPr="00753C60" w:rsidRDefault="002D1DF9" w:rsidP="002D1DF9">
      <w:pPr>
        <w:ind w:left="720"/>
        <w:jc w:val="both"/>
        <w:rPr>
          <w:rFonts w:asciiTheme="minorHAnsi" w:hAnsiTheme="minorHAnsi"/>
        </w:rPr>
      </w:pPr>
      <w:r w:rsidRPr="00753C60">
        <w:rPr>
          <w:rFonts w:asciiTheme="minorHAnsi" w:hAnsiTheme="minorHAnsi"/>
        </w:rPr>
        <w:t>Sigmar Vilhjálmsson</w:t>
      </w:r>
    </w:p>
    <w:p w14:paraId="402289CB" w14:textId="16D7A3FD" w:rsidR="002D1DF9" w:rsidRPr="00753C60" w:rsidRDefault="002D1DF9" w:rsidP="002D1DF9">
      <w:pPr>
        <w:ind w:left="720"/>
        <w:jc w:val="both"/>
        <w:rPr>
          <w:rFonts w:asciiTheme="minorHAnsi" w:hAnsiTheme="minorHAnsi"/>
        </w:rPr>
      </w:pPr>
      <w:r w:rsidRPr="00753C60">
        <w:rPr>
          <w:rFonts w:asciiTheme="minorHAnsi" w:hAnsiTheme="minorHAnsi"/>
        </w:rPr>
        <w:t>Talsmaður FESK</w:t>
      </w:r>
    </w:p>
    <w:p w14:paraId="69BAF1AE" w14:textId="11F1B6B1" w:rsidR="002D1DF9" w:rsidRPr="00753C60" w:rsidRDefault="002D1DF9" w:rsidP="002D1DF9">
      <w:pPr>
        <w:ind w:left="720"/>
        <w:jc w:val="both"/>
        <w:rPr>
          <w:rFonts w:asciiTheme="minorHAnsi" w:hAnsiTheme="minorHAnsi"/>
          <w:i/>
          <w:iCs/>
        </w:rPr>
      </w:pPr>
      <w:r w:rsidRPr="00753C60">
        <w:rPr>
          <w:rFonts w:asciiTheme="minorHAnsi" w:hAnsiTheme="minorHAnsi"/>
          <w:i/>
          <w:iCs/>
        </w:rPr>
        <w:t xml:space="preserve">Félags Eggjabænda, Svínabænda og Kjúklingabænda á Íslandi. </w:t>
      </w:r>
    </w:p>
    <w:p w14:paraId="2F1A3FCC" w14:textId="77777777" w:rsidR="002D1DF9" w:rsidRPr="00753C60" w:rsidRDefault="002D1DF9" w:rsidP="002D1DF9">
      <w:pPr>
        <w:ind w:left="720"/>
        <w:jc w:val="both"/>
        <w:rPr>
          <w:rFonts w:asciiTheme="minorHAnsi" w:hAnsiTheme="minorHAnsi"/>
        </w:rPr>
      </w:pPr>
    </w:p>
    <w:p w14:paraId="00FA6F29" w14:textId="0706E8B6" w:rsidR="002D1DF9" w:rsidRPr="00753C60" w:rsidRDefault="002D1DF9" w:rsidP="002D1DF9">
      <w:pPr>
        <w:ind w:left="720"/>
        <w:jc w:val="both"/>
        <w:rPr>
          <w:rFonts w:asciiTheme="minorHAnsi" w:hAnsiTheme="minorHAnsi"/>
        </w:rPr>
      </w:pPr>
      <w:r w:rsidRPr="00753C60">
        <w:rPr>
          <w:rFonts w:asciiTheme="minorHAnsi" w:hAnsiTheme="minorHAnsi"/>
        </w:rPr>
        <w:t xml:space="preserve">Tölvupóstur: </w:t>
      </w:r>
      <w:hyperlink r:id="rId10" w:history="1">
        <w:r w:rsidRPr="00753C60">
          <w:rPr>
            <w:rStyle w:val="Hyperlink"/>
            <w:rFonts w:asciiTheme="minorHAnsi" w:hAnsiTheme="minorHAnsi"/>
          </w:rPr>
          <w:t>simmi@immis.is</w:t>
        </w:r>
      </w:hyperlink>
    </w:p>
    <w:p w14:paraId="50213170" w14:textId="6D30DFCF" w:rsidR="002D1DF9" w:rsidRPr="00753C60" w:rsidRDefault="002D1DF9" w:rsidP="002D1DF9">
      <w:pPr>
        <w:ind w:left="720"/>
        <w:jc w:val="both"/>
        <w:rPr>
          <w:rFonts w:asciiTheme="minorHAnsi" w:hAnsiTheme="minorHAnsi"/>
        </w:rPr>
      </w:pPr>
      <w:r w:rsidRPr="00753C60">
        <w:rPr>
          <w:rFonts w:asciiTheme="minorHAnsi" w:hAnsiTheme="minorHAnsi"/>
        </w:rPr>
        <w:t>Gsm: 698-6987</w:t>
      </w:r>
    </w:p>
    <w:sectPr w:rsidR="002D1DF9" w:rsidRPr="00753C60" w:rsidSect="00FE0B26">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AEC33" w14:textId="77777777" w:rsidR="00857BB6" w:rsidRDefault="00857BB6" w:rsidP="002D1DF9">
      <w:r>
        <w:separator/>
      </w:r>
    </w:p>
  </w:endnote>
  <w:endnote w:type="continuationSeparator" w:id="0">
    <w:p w14:paraId="477852F7" w14:textId="77777777" w:rsidR="00857BB6" w:rsidRDefault="00857BB6" w:rsidP="002D1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D9D2F" w14:textId="5080D171" w:rsidR="00C002C4" w:rsidRPr="00C002C4" w:rsidRDefault="00C002C4" w:rsidP="00C002C4">
    <w:pPr>
      <w:pStyle w:val="Footer"/>
      <w:jc w:val="center"/>
      <w:rPr>
        <w:rFonts w:asciiTheme="minorHAnsi" w:hAnsiTheme="minorHAnsi"/>
        <w:sz w:val="20"/>
        <w:szCs w:val="20"/>
      </w:rPr>
    </w:pPr>
    <w:r>
      <w:rPr>
        <w:rFonts w:asciiTheme="minorHAnsi" w:hAnsiTheme="minorHAnsi"/>
        <w:sz w:val="20"/>
        <w:szCs w:val="20"/>
      </w:rPr>
      <w:t>FESK – Bændahöllinni v. Hagatorg – 107 Reykjavík – Sími: 698-6987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40F5B" w14:textId="77777777" w:rsidR="00857BB6" w:rsidRDefault="00857BB6" w:rsidP="002D1DF9">
      <w:r>
        <w:separator/>
      </w:r>
    </w:p>
  </w:footnote>
  <w:footnote w:type="continuationSeparator" w:id="0">
    <w:p w14:paraId="798A915C" w14:textId="77777777" w:rsidR="00857BB6" w:rsidRDefault="00857BB6" w:rsidP="002D1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754B2"/>
    <w:multiLevelType w:val="hybridMultilevel"/>
    <w:tmpl w:val="00225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5D3FA7"/>
    <w:multiLevelType w:val="multilevel"/>
    <w:tmpl w:val="475E4D92"/>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2B70AA"/>
    <w:multiLevelType w:val="hybridMultilevel"/>
    <w:tmpl w:val="FB2C844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44D0595"/>
    <w:multiLevelType w:val="hybridMultilevel"/>
    <w:tmpl w:val="0E88C4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F1B"/>
    <w:rsid w:val="000B7EED"/>
    <w:rsid w:val="001F3A89"/>
    <w:rsid w:val="00206AC6"/>
    <w:rsid w:val="002D1DF9"/>
    <w:rsid w:val="00365357"/>
    <w:rsid w:val="0041487B"/>
    <w:rsid w:val="004C2553"/>
    <w:rsid w:val="00572EC0"/>
    <w:rsid w:val="005909F0"/>
    <w:rsid w:val="00652E95"/>
    <w:rsid w:val="00723184"/>
    <w:rsid w:val="00745D1B"/>
    <w:rsid w:val="00753C60"/>
    <w:rsid w:val="0076670C"/>
    <w:rsid w:val="00833E29"/>
    <w:rsid w:val="00857BB6"/>
    <w:rsid w:val="00876341"/>
    <w:rsid w:val="008F44B4"/>
    <w:rsid w:val="008F5701"/>
    <w:rsid w:val="00965409"/>
    <w:rsid w:val="009A6F1B"/>
    <w:rsid w:val="009F7DEA"/>
    <w:rsid w:val="00A06B5E"/>
    <w:rsid w:val="00A07FF0"/>
    <w:rsid w:val="00BC1FAA"/>
    <w:rsid w:val="00C002C4"/>
    <w:rsid w:val="00C167C9"/>
    <w:rsid w:val="00C606CC"/>
    <w:rsid w:val="00C77585"/>
    <w:rsid w:val="00F3153C"/>
    <w:rsid w:val="00FE0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10C09"/>
  <w15:chartTrackingRefBased/>
  <w15:docId w15:val="{A469A4EA-4310-D344-BF3B-8529E54D9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DF9"/>
    <w:rPr>
      <w:rFonts w:ascii="Times New Roman" w:eastAsia="Times New Roman" w:hAnsi="Times New Roman" w:cs="Times New Roman"/>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title-sub--item-first">
    <w:name w:val="page-title-sub--item-first"/>
    <w:basedOn w:val="DefaultParagraphFont"/>
    <w:rsid w:val="009A6F1B"/>
  </w:style>
  <w:style w:type="character" w:customStyle="1" w:styleId="page-title-sub--item">
    <w:name w:val="page-title-sub--item"/>
    <w:basedOn w:val="DefaultParagraphFont"/>
    <w:rsid w:val="009A6F1B"/>
  </w:style>
  <w:style w:type="character" w:styleId="Emphasis">
    <w:name w:val="Emphasis"/>
    <w:basedOn w:val="DefaultParagraphFont"/>
    <w:uiPriority w:val="20"/>
    <w:qFormat/>
    <w:rsid w:val="009A6F1B"/>
    <w:rPr>
      <w:i/>
      <w:iCs/>
    </w:rPr>
  </w:style>
  <w:style w:type="paragraph" w:styleId="ListParagraph">
    <w:name w:val="List Paragraph"/>
    <w:basedOn w:val="Normal"/>
    <w:uiPriority w:val="34"/>
    <w:qFormat/>
    <w:rsid w:val="009A6F1B"/>
    <w:pPr>
      <w:ind w:left="720"/>
      <w:contextualSpacing/>
    </w:pPr>
  </w:style>
  <w:style w:type="paragraph" w:customStyle="1" w:styleId="xmsonormal">
    <w:name w:val="xmsonormal"/>
    <w:basedOn w:val="Normal"/>
    <w:rsid w:val="002D1DF9"/>
    <w:pPr>
      <w:spacing w:before="100" w:beforeAutospacing="1" w:after="100" w:afterAutospacing="1"/>
    </w:pPr>
    <w:rPr>
      <w:lang w:val="en-US"/>
    </w:rPr>
  </w:style>
  <w:style w:type="character" w:styleId="Hyperlink">
    <w:name w:val="Hyperlink"/>
    <w:basedOn w:val="DefaultParagraphFont"/>
    <w:uiPriority w:val="99"/>
    <w:unhideWhenUsed/>
    <w:rsid w:val="002D1DF9"/>
    <w:rPr>
      <w:color w:val="0000FF"/>
      <w:u w:val="single"/>
    </w:rPr>
  </w:style>
  <w:style w:type="paragraph" w:styleId="Header">
    <w:name w:val="header"/>
    <w:basedOn w:val="Normal"/>
    <w:link w:val="HeaderChar"/>
    <w:uiPriority w:val="99"/>
    <w:unhideWhenUsed/>
    <w:rsid w:val="002D1DF9"/>
    <w:pPr>
      <w:tabs>
        <w:tab w:val="center" w:pos="4680"/>
        <w:tab w:val="right" w:pos="9360"/>
      </w:tabs>
    </w:pPr>
  </w:style>
  <w:style w:type="character" w:customStyle="1" w:styleId="HeaderChar">
    <w:name w:val="Header Char"/>
    <w:basedOn w:val="DefaultParagraphFont"/>
    <w:link w:val="Header"/>
    <w:uiPriority w:val="99"/>
    <w:rsid w:val="002D1DF9"/>
    <w:rPr>
      <w:rFonts w:ascii="Times New Roman" w:eastAsia="Times New Roman" w:hAnsi="Times New Roman" w:cs="Times New Roman"/>
      <w:lang w:val="is-IS"/>
    </w:rPr>
  </w:style>
  <w:style w:type="paragraph" w:styleId="Footer">
    <w:name w:val="footer"/>
    <w:basedOn w:val="Normal"/>
    <w:link w:val="FooterChar"/>
    <w:uiPriority w:val="99"/>
    <w:unhideWhenUsed/>
    <w:rsid w:val="002D1DF9"/>
    <w:pPr>
      <w:tabs>
        <w:tab w:val="center" w:pos="4680"/>
        <w:tab w:val="right" w:pos="9360"/>
      </w:tabs>
    </w:pPr>
  </w:style>
  <w:style w:type="character" w:customStyle="1" w:styleId="FooterChar">
    <w:name w:val="Footer Char"/>
    <w:basedOn w:val="DefaultParagraphFont"/>
    <w:link w:val="Footer"/>
    <w:uiPriority w:val="99"/>
    <w:rsid w:val="002D1DF9"/>
    <w:rPr>
      <w:rFonts w:ascii="Times New Roman" w:eastAsia="Times New Roman" w:hAnsi="Times New Roman" w:cs="Times New Roman"/>
      <w:lang w:val="is-IS"/>
    </w:rPr>
  </w:style>
  <w:style w:type="paragraph" w:styleId="BalloonText">
    <w:name w:val="Balloon Text"/>
    <w:basedOn w:val="Normal"/>
    <w:link w:val="BalloonTextChar"/>
    <w:uiPriority w:val="99"/>
    <w:semiHidden/>
    <w:unhideWhenUsed/>
    <w:rsid w:val="002D1DF9"/>
    <w:rPr>
      <w:sz w:val="18"/>
      <w:szCs w:val="18"/>
    </w:rPr>
  </w:style>
  <w:style w:type="character" w:customStyle="1" w:styleId="BalloonTextChar">
    <w:name w:val="Balloon Text Char"/>
    <w:basedOn w:val="DefaultParagraphFont"/>
    <w:link w:val="BalloonText"/>
    <w:uiPriority w:val="99"/>
    <w:semiHidden/>
    <w:rsid w:val="002D1DF9"/>
    <w:rPr>
      <w:rFonts w:ascii="Times New Roman" w:eastAsia="Times New Roman" w:hAnsi="Times New Roman" w:cs="Times New Roman"/>
      <w:sz w:val="18"/>
      <w:szCs w:val="18"/>
      <w:lang w:val="is-IS"/>
    </w:rPr>
  </w:style>
  <w:style w:type="character" w:customStyle="1" w:styleId="UnresolvedMention1">
    <w:name w:val="Unresolved Mention1"/>
    <w:basedOn w:val="DefaultParagraphFont"/>
    <w:uiPriority w:val="99"/>
    <w:semiHidden/>
    <w:unhideWhenUsed/>
    <w:rsid w:val="002D1DF9"/>
    <w:rPr>
      <w:color w:val="605E5C"/>
      <w:shd w:val="clear" w:color="auto" w:fill="E1DFDD"/>
    </w:rPr>
  </w:style>
  <w:style w:type="character" w:styleId="FollowedHyperlink">
    <w:name w:val="FollowedHyperlink"/>
    <w:basedOn w:val="DefaultParagraphFont"/>
    <w:uiPriority w:val="99"/>
    <w:semiHidden/>
    <w:unhideWhenUsed/>
    <w:rsid w:val="002D1DF9"/>
    <w:rPr>
      <w:color w:val="954F72" w:themeColor="followedHyperlink"/>
      <w:u w:val="single"/>
    </w:rPr>
  </w:style>
  <w:style w:type="character" w:styleId="CommentReference">
    <w:name w:val="annotation reference"/>
    <w:basedOn w:val="DefaultParagraphFont"/>
    <w:uiPriority w:val="99"/>
    <w:semiHidden/>
    <w:unhideWhenUsed/>
    <w:rsid w:val="00C606CC"/>
    <w:rPr>
      <w:sz w:val="16"/>
      <w:szCs w:val="16"/>
    </w:rPr>
  </w:style>
  <w:style w:type="paragraph" w:styleId="CommentText">
    <w:name w:val="annotation text"/>
    <w:basedOn w:val="Normal"/>
    <w:link w:val="CommentTextChar"/>
    <w:uiPriority w:val="99"/>
    <w:semiHidden/>
    <w:unhideWhenUsed/>
    <w:rsid w:val="00C606CC"/>
    <w:rPr>
      <w:sz w:val="20"/>
      <w:szCs w:val="20"/>
    </w:rPr>
  </w:style>
  <w:style w:type="character" w:customStyle="1" w:styleId="CommentTextChar">
    <w:name w:val="Comment Text Char"/>
    <w:basedOn w:val="DefaultParagraphFont"/>
    <w:link w:val="CommentText"/>
    <w:uiPriority w:val="99"/>
    <w:semiHidden/>
    <w:rsid w:val="00C606CC"/>
    <w:rPr>
      <w:rFonts w:ascii="Times New Roman" w:eastAsia="Times New Roman" w:hAnsi="Times New Roman" w:cs="Times New Roman"/>
      <w:sz w:val="20"/>
      <w:szCs w:val="20"/>
      <w:lang w:val="is-IS"/>
    </w:rPr>
  </w:style>
  <w:style w:type="paragraph" w:styleId="CommentSubject">
    <w:name w:val="annotation subject"/>
    <w:basedOn w:val="CommentText"/>
    <w:next w:val="CommentText"/>
    <w:link w:val="CommentSubjectChar"/>
    <w:uiPriority w:val="99"/>
    <w:semiHidden/>
    <w:unhideWhenUsed/>
    <w:rsid w:val="00C606CC"/>
    <w:rPr>
      <w:b/>
      <w:bCs/>
    </w:rPr>
  </w:style>
  <w:style w:type="character" w:customStyle="1" w:styleId="CommentSubjectChar">
    <w:name w:val="Comment Subject Char"/>
    <w:basedOn w:val="CommentTextChar"/>
    <w:link w:val="CommentSubject"/>
    <w:uiPriority w:val="99"/>
    <w:semiHidden/>
    <w:rsid w:val="00C606CC"/>
    <w:rPr>
      <w:rFonts w:ascii="Times New Roman" w:eastAsia="Times New Roman" w:hAnsi="Times New Roman" w:cs="Times New Roman"/>
      <w:b/>
      <w:bCs/>
      <w:sz w:val="20"/>
      <w:szCs w:val="20"/>
      <w:lang w:val="is-IS"/>
    </w:rPr>
  </w:style>
  <w:style w:type="paragraph" w:styleId="Revision">
    <w:name w:val="Revision"/>
    <w:hidden/>
    <w:uiPriority w:val="99"/>
    <w:semiHidden/>
    <w:rsid w:val="00652E95"/>
    <w:rPr>
      <w:rFonts w:ascii="Times New Roman" w:eastAsia="Times New Roman" w:hAnsi="Times New Roman" w:cs="Times New Roman"/>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6290">
      <w:bodyDiv w:val="1"/>
      <w:marLeft w:val="0"/>
      <w:marRight w:val="0"/>
      <w:marTop w:val="0"/>
      <w:marBottom w:val="0"/>
      <w:divBdr>
        <w:top w:val="none" w:sz="0" w:space="0" w:color="auto"/>
        <w:left w:val="none" w:sz="0" w:space="0" w:color="auto"/>
        <w:bottom w:val="none" w:sz="0" w:space="0" w:color="auto"/>
        <w:right w:val="none" w:sz="0" w:space="0" w:color="auto"/>
      </w:divBdr>
    </w:div>
    <w:div w:id="11611046">
      <w:bodyDiv w:val="1"/>
      <w:marLeft w:val="0"/>
      <w:marRight w:val="0"/>
      <w:marTop w:val="0"/>
      <w:marBottom w:val="0"/>
      <w:divBdr>
        <w:top w:val="none" w:sz="0" w:space="0" w:color="auto"/>
        <w:left w:val="none" w:sz="0" w:space="0" w:color="auto"/>
        <w:bottom w:val="none" w:sz="0" w:space="0" w:color="auto"/>
        <w:right w:val="none" w:sz="0" w:space="0" w:color="auto"/>
      </w:divBdr>
    </w:div>
    <w:div w:id="298613256">
      <w:bodyDiv w:val="1"/>
      <w:marLeft w:val="0"/>
      <w:marRight w:val="0"/>
      <w:marTop w:val="0"/>
      <w:marBottom w:val="0"/>
      <w:divBdr>
        <w:top w:val="none" w:sz="0" w:space="0" w:color="auto"/>
        <w:left w:val="none" w:sz="0" w:space="0" w:color="auto"/>
        <w:bottom w:val="none" w:sz="0" w:space="0" w:color="auto"/>
        <w:right w:val="none" w:sz="0" w:space="0" w:color="auto"/>
      </w:divBdr>
    </w:div>
    <w:div w:id="314456467">
      <w:bodyDiv w:val="1"/>
      <w:marLeft w:val="0"/>
      <w:marRight w:val="0"/>
      <w:marTop w:val="0"/>
      <w:marBottom w:val="0"/>
      <w:divBdr>
        <w:top w:val="none" w:sz="0" w:space="0" w:color="auto"/>
        <w:left w:val="none" w:sz="0" w:space="0" w:color="auto"/>
        <w:bottom w:val="none" w:sz="0" w:space="0" w:color="auto"/>
        <w:right w:val="none" w:sz="0" w:space="0" w:color="auto"/>
      </w:divBdr>
    </w:div>
    <w:div w:id="339309095">
      <w:bodyDiv w:val="1"/>
      <w:marLeft w:val="0"/>
      <w:marRight w:val="0"/>
      <w:marTop w:val="0"/>
      <w:marBottom w:val="0"/>
      <w:divBdr>
        <w:top w:val="none" w:sz="0" w:space="0" w:color="auto"/>
        <w:left w:val="none" w:sz="0" w:space="0" w:color="auto"/>
        <w:bottom w:val="none" w:sz="0" w:space="0" w:color="auto"/>
        <w:right w:val="none" w:sz="0" w:space="0" w:color="auto"/>
      </w:divBdr>
    </w:div>
    <w:div w:id="403069760">
      <w:bodyDiv w:val="1"/>
      <w:marLeft w:val="0"/>
      <w:marRight w:val="0"/>
      <w:marTop w:val="0"/>
      <w:marBottom w:val="0"/>
      <w:divBdr>
        <w:top w:val="none" w:sz="0" w:space="0" w:color="auto"/>
        <w:left w:val="none" w:sz="0" w:space="0" w:color="auto"/>
        <w:bottom w:val="none" w:sz="0" w:space="0" w:color="auto"/>
        <w:right w:val="none" w:sz="0" w:space="0" w:color="auto"/>
      </w:divBdr>
    </w:div>
    <w:div w:id="542326486">
      <w:bodyDiv w:val="1"/>
      <w:marLeft w:val="0"/>
      <w:marRight w:val="0"/>
      <w:marTop w:val="0"/>
      <w:marBottom w:val="0"/>
      <w:divBdr>
        <w:top w:val="none" w:sz="0" w:space="0" w:color="auto"/>
        <w:left w:val="none" w:sz="0" w:space="0" w:color="auto"/>
        <w:bottom w:val="none" w:sz="0" w:space="0" w:color="auto"/>
        <w:right w:val="none" w:sz="0" w:space="0" w:color="auto"/>
      </w:divBdr>
    </w:div>
    <w:div w:id="635306184">
      <w:bodyDiv w:val="1"/>
      <w:marLeft w:val="0"/>
      <w:marRight w:val="0"/>
      <w:marTop w:val="0"/>
      <w:marBottom w:val="0"/>
      <w:divBdr>
        <w:top w:val="none" w:sz="0" w:space="0" w:color="auto"/>
        <w:left w:val="none" w:sz="0" w:space="0" w:color="auto"/>
        <w:bottom w:val="none" w:sz="0" w:space="0" w:color="auto"/>
        <w:right w:val="none" w:sz="0" w:space="0" w:color="auto"/>
      </w:divBdr>
    </w:div>
    <w:div w:id="741877480">
      <w:bodyDiv w:val="1"/>
      <w:marLeft w:val="0"/>
      <w:marRight w:val="0"/>
      <w:marTop w:val="0"/>
      <w:marBottom w:val="0"/>
      <w:divBdr>
        <w:top w:val="none" w:sz="0" w:space="0" w:color="auto"/>
        <w:left w:val="none" w:sz="0" w:space="0" w:color="auto"/>
        <w:bottom w:val="none" w:sz="0" w:space="0" w:color="auto"/>
        <w:right w:val="none" w:sz="0" w:space="0" w:color="auto"/>
      </w:divBdr>
    </w:div>
    <w:div w:id="999313047">
      <w:bodyDiv w:val="1"/>
      <w:marLeft w:val="0"/>
      <w:marRight w:val="0"/>
      <w:marTop w:val="0"/>
      <w:marBottom w:val="0"/>
      <w:divBdr>
        <w:top w:val="none" w:sz="0" w:space="0" w:color="auto"/>
        <w:left w:val="none" w:sz="0" w:space="0" w:color="auto"/>
        <w:bottom w:val="none" w:sz="0" w:space="0" w:color="auto"/>
        <w:right w:val="none" w:sz="0" w:space="0" w:color="auto"/>
      </w:divBdr>
    </w:div>
    <w:div w:id="1063604304">
      <w:bodyDiv w:val="1"/>
      <w:marLeft w:val="0"/>
      <w:marRight w:val="0"/>
      <w:marTop w:val="0"/>
      <w:marBottom w:val="0"/>
      <w:divBdr>
        <w:top w:val="none" w:sz="0" w:space="0" w:color="auto"/>
        <w:left w:val="none" w:sz="0" w:space="0" w:color="auto"/>
        <w:bottom w:val="none" w:sz="0" w:space="0" w:color="auto"/>
        <w:right w:val="none" w:sz="0" w:space="0" w:color="auto"/>
      </w:divBdr>
    </w:div>
    <w:div w:id="1189292378">
      <w:bodyDiv w:val="1"/>
      <w:marLeft w:val="0"/>
      <w:marRight w:val="0"/>
      <w:marTop w:val="0"/>
      <w:marBottom w:val="0"/>
      <w:divBdr>
        <w:top w:val="none" w:sz="0" w:space="0" w:color="auto"/>
        <w:left w:val="none" w:sz="0" w:space="0" w:color="auto"/>
        <w:bottom w:val="none" w:sz="0" w:space="0" w:color="auto"/>
        <w:right w:val="none" w:sz="0" w:space="0" w:color="auto"/>
      </w:divBdr>
    </w:div>
    <w:div w:id="1247573270">
      <w:bodyDiv w:val="1"/>
      <w:marLeft w:val="0"/>
      <w:marRight w:val="0"/>
      <w:marTop w:val="0"/>
      <w:marBottom w:val="0"/>
      <w:divBdr>
        <w:top w:val="none" w:sz="0" w:space="0" w:color="auto"/>
        <w:left w:val="none" w:sz="0" w:space="0" w:color="auto"/>
        <w:bottom w:val="none" w:sz="0" w:space="0" w:color="auto"/>
        <w:right w:val="none" w:sz="0" w:space="0" w:color="auto"/>
      </w:divBdr>
    </w:div>
    <w:div w:id="1259563403">
      <w:bodyDiv w:val="1"/>
      <w:marLeft w:val="0"/>
      <w:marRight w:val="0"/>
      <w:marTop w:val="0"/>
      <w:marBottom w:val="0"/>
      <w:divBdr>
        <w:top w:val="none" w:sz="0" w:space="0" w:color="auto"/>
        <w:left w:val="none" w:sz="0" w:space="0" w:color="auto"/>
        <w:bottom w:val="none" w:sz="0" w:space="0" w:color="auto"/>
        <w:right w:val="none" w:sz="0" w:space="0" w:color="auto"/>
      </w:divBdr>
    </w:div>
    <w:div w:id="1455097913">
      <w:bodyDiv w:val="1"/>
      <w:marLeft w:val="0"/>
      <w:marRight w:val="0"/>
      <w:marTop w:val="0"/>
      <w:marBottom w:val="0"/>
      <w:divBdr>
        <w:top w:val="none" w:sz="0" w:space="0" w:color="auto"/>
        <w:left w:val="none" w:sz="0" w:space="0" w:color="auto"/>
        <w:bottom w:val="none" w:sz="0" w:space="0" w:color="auto"/>
        <w:right w:val="none" w:sz="0" w:space="0" w:color="auto"/>
      </w:divBdr>
    </w:div>
    <w:div w:id="1475945083">
      <w:bodyDiv w:val="1"/>
      <w:marLeft w:val="0"/>
      <w:marRight w:val="0"/>
      <w:marTop w:val="0"/>
      <w:marBottom w:val="0"/>
      <w:divBdr>
        <w:top w:val="none" w:sz="0" w:space="0" w:color="auto"/>
        <w:left w:val="none" w:sz="0" w:space="0" w:color="auto"/>
        <w:bottom w:val="none" w:sz="0" w:space="0" w:color="auto"/>
        <w:right w:val="none" w:sz="0" w:space="0" w:color="auto"/>
      </w:divBdr>
    </w:div>
    <w:div w:id="1631395667">
      <w:bodyDiv w:val="1"/>
      <w:marLeft w:val="0"/>
      <w:marRight w:val="0"/>
      <w:marTop w:val="0"/>
      <w:marBottom w:val="0"/>
      <w:divBdr>
        <w:top w:val="none" w:sz="0" w:space="0" w:color="auto"/>
        <w:left w:val="none" w:sz="0" w:space="0" w:color="auto"/>
        <w:bottom w:val="none" w:sz="0" w:space="0" w:color="auto"/>
        <w:right w:val="none" w:sz="0" w:space="0" w:color="auto"/>
      </w:divBdr>
    </w:div>
    <w:div w:id="1770733848">
      <w:bodyDiv w:val="1"/>
      <w:marLeft w:val="0"/>
      <w:marRight w:val="0"/>
      <w:marTop w:val="0"/>
      <w:marBottom w:val="0"/>
      <w:divBdr>
        <w:top w:val="none" w:sz="0" w:space="0" w:color="auto"/>
        <w:left w:val="none" w:sz="0" w:space="0" w:color="auto"/>
        <w:bottom w:val="none" w:sz="0" w:space="0" w:color="auto"/>
        <w:right w:val="none" w:sz="0" w:space="0" w:color="auto"/>
      </w:divBdr>
    </w:div>
    <w:div w:id="1860123913">
      <w:bodyDiv w:val="1"/>
      <w:marLeft w:val="0"/>
      <w:marRight w:val="0"/>
      <w:marTop w:val="0"/>
      <w:marBottom w:val="0"/>
      <w:divBdr>
        <w:top w:val="none" w:sz="0" w:space="0" w:color="auto"/>
        <w:left w:val="none" w:sz="0" w:space="0" w:color="auto"/>
        <w:bottom w:val="none" w:sz="0" w:space="0" w:color="auto"/>
        <w:right w:val="none" w:sz="0" w:space="0" w:color="auto"/>
      </w:divBdr>
    </w:div>
    <w:div w:id="1893930401">
      <w:bodyDiv w:val="1"/>
      <w:marLeft w:val="0"/>
      <w:marRight w:val="0"/>
      <w:marTop w:val="0"/>
      <w:marBottom w:val="0"/>
      <w:divBdr>
        <w:top w:val="none" w:sz="0" w:space="0" w:color="auto"/>
        <w:left w:val="none" w:sz="0" w:space="0" w:color="auto"/>
        <w:bottom w:val="none" w:sz="0" w:space="0" w:color="auto"/>
        <w:right w:val="none" w:sz="0" w:space="0" w:color="auto"/>
      </w:divBdr>
    </w:div>
    <w:div w:id="1918511113">
      <w:bodyDiv w:val="1"/>
      <w:marLeft w:val="0"/>
      <w:marRight w:val="0"/>
      <w:marTop w:val="0"/>
      <w:marBottom w:val="0"/>
      <w:divBdr>
        <w:top w:val="none" w:sz="0" w:space="0" w:color="auto"/>
        <w:left w:val="none" w:sz="0" w:space="0" w:color="auto"/>
        <w:bottom w:val="none" w:sz="0" w:space="0" w:color="auto"/>
        <w:right w:val="none" w:sz="0" w:space="0" w:color="auto"/>
      </w:divBdr>
    </w:div>
    <w:div w:id="2000688404">
      <w:bodyDiv w:val="1"/>
      <w:marLeft w:val="0"/>
      <w:marRight w:val="0"/>
      <w:marTop w:val="0"/>
      <w:marBottom w:val="0"/>
      <w:divBdr>
        <w:top w:val="none" w:sz="0" w:space="0" w:color="auto"/>
        <w:left w:val="none" w:sz="0" w:space="0" w:color="auto"/>
        <w:bottom w:val="none" w:sz="0" w:space="0" w:color="auto"/>
        <w:right w:val="none" w:sz="0" w:space="0" w:color="auto"/>
      </w:divBdr>
    </w:div>
    <w:div w:id="205384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jornarradid.is/lisalib/getfile.aspx?itemid=5e03958e-d1c9-11e7-941f-005056bc4d7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immi@immis.is"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1826</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Sigmar Vilhjalmsson</dc:creator>
  <cp:keywords/>
  <dc:description/>
  <cp:lastModifiedBy>Sigmar Vilhjalmsson</cp:lastModifiedBy>
  <cp:revision>4</cp:revision>
  <dcterms:created xsi:type="dcterms:W3CDTF">2019-08-08T10:43:00Z</dcterms:created>
  <dcterms:modified xsi:type="dcterms:W3CDTF">2019-08-08T12:15:00Z</dcterms:modified>
</cp:coreProperties>
</file>