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F46E" w14:textId="77777777" w:rsidR="00053ECD" w:rsidRDefault="00053ECD">
      <w:pPr>
        <w:rPr>
          <w:rFonts w:cstheme="minorHAnsi"/>
          <w:sz w:val="30"/>
          <w:szCs w:val="30"/>
          <w:lang w:val="is-IS"/>
        </w:rPr>
      </w:pPr>
    </w:p>
    <w:p w14:paraId="1713170E" w14:textId="77777777" w:rsidR="00053ECD" w:rsidRDefault="00053ECD">
      <w:pPr>
        <w:rPr>
          <w:rFonts w:cstheme="minorHAnsi"/>
          <w:sz w:val="30"/>
          <w:szCs w:val="30"/>
          <w:lang w:val="is-IS"/>
        </w:rPr>
      </w:pPr>
    </w:p>
    <w:p w14:paraId="2E977A2D" w14:textId="35CD1107" w:rsidR="00053ECD" w:rsidRPr="00053ECD" w:rsidRDefault="00053ECD">
      <w:pPr>
        <w:rPr>
          <w:rFonts w:cstheme="minorHAnsi"/>
          <w:lang w:val="is-IS"/>
        </w:rPr>
      </w:pPr>
      <w:r w:rsidRPr="00053ECD">
        <w:rPr>
          <w:rFonts w:cstheme="minorHAnsi"/>
          <w:lang w:val="is-IS"/>
        </w:rPr>
        <w:t>Fjármála- og efnahagsráðuneytið</w:t>
      </w:r>
    </w:p>
    <w:p w14:paraId="2D845C41" w14:textId="1B7F1DA1" w:rsidR="00053ECD" w:rsidRPr="00053ECD" w:rsidRDefault="00053ECD">
      <w:pPr>
        <w:rPr>
          <w:rFonts w:cstheme="minorHAnsi"/>
          <w:lang w:val="is-IS"/>
        </w:rPr>
      </w:pPr>
      <w:r w:rsidRPr="00053ECD">
        <w:rPr>
          <w:rFonts w:cstheme="minorHAnsi"/>
          <w:lang w:val="is-IS"/>
        </w:rPr>
        <w:t>Skatta-, eigna- og fjármálaumsýsla</w:t>
      </w:r>
    </w:p>
    <w:p w14:paraId="76A0571E" w14:textId="4C23406B" w:rsidR="00053ECD" w:rsidRPr="00053ECD" w:rsidRDefault="001D78B5">
      <w:pPr>
        <w:rPr>
          <w:rFonts w:cstheme="minorHAnsi"/>
          <w:lang w:val="is-IS"/>
        </w:rPr>
      </w:pPr>
      <w:hyperlink r:id="rId6" w:history="1">
        <w:r w:rsidR="00053ECD" w:rsidRPr="00053ECD">
          <w:rPr>
            <w:rStyle w:val="Hyperlink"/>
            <w:rFonts w:cstheme="minorHAnsi"/>
            <w:lang w:val="is-IS"/>
          </w:rPr>
          <w:t>postur@fjr.is</w:t>
        </w:r>
      </w:hyperlink>
    </w:p>
    <w:p w14:paraId="19D8F692" w14:textId="77777777" w:rsidR="00053ECD" w:rsidRPr="00053ECD" w:rsidRDefault="00053ECD">
      <w:pPr>
        <w:rPr>
          <w:rFonts w:cstheme="minorHAnsi"/>
          <w:lang w:val="is-IS"/>
        </w:rPr>
      </w:pPr>
    </w:p>
    <w:p w14:paraId="4533F99E" w14:textId="526841F0" w:rsidR="00053ECD" w:rsidRPr="00053ECD" w:rsidRDefault="00053ECD">
      <w:pPr>
        <w:rPr>
          <w:rFonts w:cstheme="minorHAnsi"/>
          <w:b/>
          <w:bCs/>
          <w:u w:val="single"/>
          <w:lang w:val="is-IS"/>
        </w:rPr>
      </w:pPr>
    </w:p>
    <w:p w14:paraId="04B66377" w14:textId="744B5615" w:rsidR="00053ECD" w:rsidRDefault="00053ECD">
      <w:pPr>
        <w:rPr>
          <w:rFonts w:cstheme="minorHAnsi"/>
          <w:lang w:val="is-IS"/>
        </w:rPr>
      </w:pPr>
      <w:r w:rsidRPr="00053ECD">
        <w:rPr>
          <w:rFonts w:cstheme="minorHAnsi"/>
          <w:lang w:val="is-IS"/>
        </w:rPr>
        <w:tab/>
      </w:r>
      <w:r w:rsidRPr="00053ECD">
        <w:rPr>
          <w:rFonts w:cstheme="minorHAnsi"/>
          <w:lang w:val="is-IS"/>
        </w:rPr>
        <w:tab/>
      </w:r>
      <w:r w:rsidRPr="00053ECD">
        <w:rPr>
          <w:rFonts w:cstheme="minorHAnsi"/>
          <w:lang w:val="is-IS"/>
        </w:rPr>
        <w:tab/>
      </w:r>
      <w:r w:rsidRPr="00053ECD">
        <w:rPr>
          <w:rFonts w:cstheme="minorHAnsi"/>
          <w:lang w:val="is-IS"/>
        </w:rPr>
        <w:tab/>
      </w:r>
      <w:r w:rsidRPr="00053ECD">
        <w:rPr>
          <w:rFonts w:cstheme="minorHAnsi"/>
          <w:lang w:val="is-IS"/>
        </w:rPr>
        <w:tab/>
      </w:r>
      <w:r w:rsidRPr="00053ECD">
        <w:rPr>
          <w:rFonts w:cstheme="minorHAnsi"/>
          <w:lang w:val="is-IS"/>
        </w:rPr>
        <w:tab/>
      </w:r>
      <w:r w:rsidRPr="00053ECD">
        <w:rPr>
          <w:rFonts w:cstheme="minorHAnsi"/>
          <w:lang w:val="is-IS"/>
        </w:rPr>
        <w:tab/>
        <w:t>Egilsstöðum, 9. nóvember 2021</w:t>
      </w:r>
    </w:p>
    <w:p w14:paraId="093267BB" w14:textId="6DC22D66" w:rsidR="00053ECD" w:rsidRDefault="00053ECD">
      <w:pPr>
        <w:rPr>
          <w:rFonts w:cstheme="minorHAnsi"/>
          <w:lang w:val="is-IS"/>
        </w:rPr>
      </w:pPr>
    </w:p>
    <w:p w14:paraId="4D54924C" w14:textId="77777777" w:rsidR="00053ECD" w:rsidRPr="00053ECD" w:rsidRDefault="00053ECD">
      <w:pPr>
        <w:rPr>
          <w:rFonts w:cstheme="minorHAnsi"/>
          <w:lang w:val="is-IS"/>
        </w:rPr>
      </w:pPr>
    </w:p>
    <w:p w14:paraId="2C531361" w14:textId="41416792" w:rsidR="00DB4DF0" w:rsidRDefault="00053ECD" w:rsidP="007D3AB9">
      <w:pPr>
        <w:jc w:val="center"/>
        <w:rPr>
          <w:rFonts w:cstheme="minorHAnsi"/>
          <w:b/>
          <w:bCs/>
          <w:sz w:val="30"/>
          <w:szCs w:val="30"/>
          <w:u w:val="single"/>
          <w:lang w:val="is-IS"/>
        </w:rPr>
      </w:pPr>
      <w:r>
        <w:rPr>
          <w:rFonts w:cstheme="minorHAnsi"/>
          <w:b/>
          <w:bCs/>
          <w:sz w:val="30"/>
          <w:szCs w:val="30"/>
          <w:u w:val="single"/>
          <w:lang w:val="is-IS"/>
        </w:rPr>
        <w:t xml:space="preserve">Umsögn um drög að </w:t>
      </w:r>
      <w:r w:rsidR="00DB4DF0" w:rsidRPr="00DB4DF0">
        <w:rPr>
          <w:rFonts w:cstheme="minorHAnsi"/>
          <w:b/>
          <w:bCs/>
          <w:sz w:val="30"/>
          <w:szCs w:val="30"/>
          <w:u w:val="single"/>
          <w:lang w:val="is-IS"/>
        </w:rPr>
        <w:t>reglugerð</w:t>
      </w:r>
      <w:r>
        <w:rPr>
          <w:rFonts w:cstheme="minorHAnsi"/>
          <w:b/>
          <w:bCs/>
          <w:sz w:val="30"/>
          <w:szCs w:val="30"/>
          <w:u w:val="single"/>
          <w:lang w:val="is-IS"/>
        </w:rPr>
        <w:t xml:space="preserve"> um frádrátt frá tekjum af atvinnurekstri eða sjálfstæðri starfsemi.</w:t>
      </w:r>
    </w:p>
    <w:p w14:paraId="2F90B883" w14:textId="769B5CBB" w:rsidR="007D3AB9" w:rsidRPr="007D3AB9" w:rsidRDefault="007D3AB9" w:rsidP="007D3AB9">
      <w:pPr>
        <w:jc w:val="center"/>
        <w:rPr>
          <w:rFonts w:cstheme="minorHAnsi"/>
          <w:lang w:val="is-IS"/>
        </w:rPr>
      </w:pPr>
      <w:r>
        <w:rPr>
          <w:rFonts w:cstheme="minorHAnsi"/>
          <w:lang w:val="is-IS"/>
        </w:rPr>
        <w:t>Mál 209/2021</w:t>
      </w:r>
    </w:p>
    <w:p w14:paraId="4F07CBB6" w14:textId="4E9F1D03" w:rsidR="00DB4DF0" w:rsidRDefault="00DB4DF0">
      <w:pPr>
        <w:rPr>
          <w:rFonts w:cstheme="minorHAnsi"/>
          <w:lang w:val="is-IS"/>
        </w:rPr>
      </w:pPr>
    </w:p>
    <w:p w14:paraId="4928DFE5" w14:textId="00FE70CD" w:rsidR="00002A48" w:rsidRDefault="00002A48" w:rsidP="00002A48">
      <w:pPr>
        <w:jc w:val="both"/>
        <w:rPr>
          <w:rFonts w:cstheme="minorHAnsi"/>
          <w:lang w:val="is-IS"/>
        </w:rPr>
      </w:pPr>
      <w:bookmarkStart w:id="0" w:name="_GoBack"/>
      <w:r>
        <w:rPr>
          <w:rFonts w:cstheme="minorHAnsi"/>
          <w:lang w:val="is-IS"/>
        </w:rPr>
        <w:t xml:space="preserve">Yggdrasill Carbon ehf. er fyrirtæki sem einbeitir sér að þátttöku í verkefnum sem stuðla að minnkun losunar eða bindingu kolefnis. Fyrirtækið hyggst eingöngu taka þátt í verkefnum þar sem hafið er yfir vafa að um raunverulegan ávinning er að ræða, að undangenginni vottun í samræmi við viðurkennda aðferðarfræði og staðla. Félagið hefur verið þátttakandi í mikilvægri vinnu á vegum Staðlaráðs Íslands og Loftslagsráðs um þetta efni og vinnur að verkefnum í samvinnu við Skógarkolefni og Loftslagsskrá, VERRA (sjá verra.org) og Gold Standard (sjá goldstandard.org). </w:t>
      </w:r>
    </w:p>
    <w:p w14:paraId="439448C6" w14:textId="77777777" w:rsidR="00002A48" w:rsidRDefault="00002A48" w:rsidP="00002A48">
      <w:pPr>
        <w:jc w:val="both"/>
        <w:rPr>
          <w:rFonts w:cstheme="minorHAnsi"/>
          <w:lang w:val="is-IS"/>
        </w:rPr>
      </w:pPr>
    </w:p>
    <w:p w14:paraId="16140224" w14:textId="776F677B" w:rsidR="00DA102C" w:rsidRDefault="00002A48" w:rsidP="00A20B18">
      <w:pPr>
        <w:jc w:val="both"/>
        <w:rPr>
          <w:rFonts w:cstheme="minorHAnsi"/>
          <w:lang w:val="is-IS"/>
        </w:rPr>
      </w:pPr>
      <w:r>
        <w:rPr>
          <w:rFonts w:cstheme="minorHAnsi"/>
          <w:lang w:val="is-IS"/>
        </w:rPr>
        <w:t xml:space="preserve">Að okkar mati er það forsenda raunverulegrar </w:t>
      </w:r>
      <w:r w:rsidR="00DA102C" w:rsidRPr="00DB4DF0">
        <w:rPr>
          <w:rFonts w:cstheme="minorHAnsi"/>
          <w:lang w:val="is-IS"/>
        </w:rPr>
        <w:t>kolefnisjöfnun</w:t>
      </w:r>
      <w:r>
        <w:rPr>
          <w:rFonts w:cstheme="minorHAnsi"/>
          <w:lang w:val="is-IS"/>
        </w:rPr>
        <w:t>ar</w:t>
      </w:r>
      <w:r w:rsidR="00DA102C" w:rsidRPr="00DB4DF0">
        <w:rPr>
          <w:rFonts w:cstheme="minorHAnsi"/>
          <w:lang w:val="is-IS"/>
        </w:rPr>
        <w:t xml:space="preserve"> að um vottaðar einingar </w:t>
      </w:r>
      <w:r>
        <w:rPr>
          <w:rFonts w:cstheme="minorHAnsi"/>
          <w:lang w:val="is-IS"/>
        </w:rPr>
        <w:t xml:space="preserve">sé </w:t>
      </w:r>
      <w:r w:rsidR="00DA102C" w:rsidRPr="00DB4DF0">
        <w:rPr>
          <w:rFonts w:cstheme="minorHAnsi"/>
          <w:lang w:val="is-IS"/>
        </w:rPr>
        <w:t>að ræða</w:t>
      </w:r>
      <w:r>
        <w:rPr>
          <w:rFonts w:cstheme="minorHAnsi"/>
          <w:lang w:val="is-IS"/>
        </w:rPr>
        <w:t xml:space="preserve"> þegar kemur að bindingu eða öðrum ávinningi</w:t>
      </w:r>
      <w:r w:rsidR="00DA102C" w:rsidRPr="00DB4DF0">
        <w:rPr>
          <w:rFonts w:cstheme="minorHAnsi"/>
          <w:lang w:val="is-IS"/>
        </w:rPr>
        <w:t>.</w:t>
      </w:r>
      <w:r w:rsidR="007A1CDD" w:rsidRPr="00DB4DF0">
        <w:rPr>
          <w:rFonts w:cstheme="minorHAnsi"/>
          <w:lang w:val="is-IS"/>
        </w:rPr>
        <w:t xml:space="preserve"> </w:t>
      </w:r>
      <w:r>
        <w:rPr>
          <w:rFonts w:cstheme="minorHAnsi"/>
          <w:lang w:val="is-IS"/>
        </w:rPr>
        <w:t>Mæling á kolefnislosun er mjög mikilvæg, en hið sama gildir um mælingu á bindingu. Hún þarf að vera raunveruleg</w:t>
      </w:r>
      <w:r w:rsidR="00A20B18">
        <w:rPr>
          <w:rFonts w:cstheme="minorHAnsi"/>
          <w:lang w:val="is-IS"/>
        </w:rPr>
        <w:t>. Telja verður allar líkur á því, að ef</w:t>
      </w:r>
      <w:r w:rsidR="00705882" w:rsidRPr="00DB4DF0">
        <w:rPr>
          <w:rFonts w:cstheme="minorHAnsi"/>
          <w:lang w:val="is-IS"/>
        </w:rPr>
        <w:t xml:space="preserve"> kolefnisbinding </w:t>
      </w:r>
      <w:r w:rsidR="00A20B18">
        <w:rPr>
          <w:rFonts w:cstheme="minorHAnsi"/>
          <w:lang w:val="is-IS"/>
        </w:rPr>
        <w:t>v</w:t>
      </w:r>
      <w:r w:rsidR="00705882" w:rsidRPr="00DB4DF0">
        <w:rPr>
          <w:rFonts w:cstheme="minorHAnsi"/>
          <w:lang w:val="is-IS"/>
        </w:rPr>
        <w:t>er</w:t>
      </w:r>
      <w:r w:rsidR="00A20B18">
        <w:rPr>
          <w:rFonts w:cstheme="minorHAnsi"/>
          <w:lang w:val="is-IS"/>
        </w:rPr>
        <w:t>ður</w:t>
      </w:r>
      <w:r w:rsidR="00705882" w:rsidRPr="00DB4DF0">
        <w:rPr>
          <w:rFonts w:cstheme="minorHAnsi"/>
          <w:lang w:val="is-IS"/>
        </w:rPr>
        <w:t xml:space="preserve"> ekki vottuð</w:t>
      </w:r>
      <w:r w:rsidR="00BE5B17" w:rsidRPr="00DB4DF0">
        <w:rPr>
          <w:rFonts w:cstheme="minorHAnsi"/>
          <w:lang w:val="is-IS"/>
        </w:rPr>
        <w:t xml:space="preserve"> </w:t>
      </w:r>
      <w:r w:rsidR="00A20B18">
        <w:rPr>
          <w:rFonts w:cstheme="minorHAnsi"/>
          <w:lang w:val="is-IS"/>
        </w:rPr>
        <w:t xml:space="preserve">þá fáist hún ekki viðurkennd við mat á því hvort </w:t>
      </w:r>
      <w:r w:rsidR="00705882" w:rsidRPr="00DB4DF0">
        <w:rPr>
          <w:rFonts w:cstheme="minorHAnsi"/>
          <w:lang w:val="is-IS"/>
        </w:rPr>
        <w:t>markmiðum</w:t>
      </w:r>
      <w:r w:rsidR="00BE5B17" w:rsidRPr="00DB4DF0">
        <w:rPr>
          <w:rFonts w:cstheme="minorHAnsi"/>
          <w:lang w:val="is-IS"/>
        </w:rPr>
        <w:t xml:space="preserve"> Íslands</w:t>
      </w:r>
      <w:r w:rsidR="00705882" w:rsidRPr="00DB4DF0">
        <w:rPr>
          <w:rFonts w:cstheme="minorHAnsi"/>
          <w:lang w:val="is-IS"/>
        </w:rPr>
        <w:t xml:space="preserve"> </w:t>
      </w:r>
      <w:r w:rsidR="00265594" w:rsidRPr="00DB4DF0">
        <w:rPr>
          <w:rFonts w:cstheme="minorHAnsi"/>
          <w:lang w:val="is-IS"/>
        </w:rPr>
        <w:t>um kolefnishlutleysi</w:t>
      </w:r>
      <w:r w:rsidR="00A20B18">
        <w:rPr>
          <w:rFonts w:cstheme="minorHAnsi"/>
          <w:lang w:val="is-IS"/>
        </w:rPr>
        <w:t xml:space="preserve"> sé náð</w:t>
      </w:r>
      <w:r w:rsidR="00265594" w:rsidRPr="00DB4DF0">
        <w:rPr>
          <w:rFonts w:cstheme="minorHAnsi"/>
          <w:lang w:val="is-IS"/>
        </w:rPr>
        <w:t>.</w:t>
      </w:r>
      <w:r w:rsidR="00BE5B17" w:rsidRPr="00DB4DF0">
        <w:rPr>
          <w:rFonts w:cstheme="minorHAnsi"/>
          <w:lang w:val="is-IS"/>
        </w:rPr>
        <w:t xml:space="preserve"> </w:t>
      </w:r>
    </w:p>
    <w:p w14:paraId="07E1CCDA" w14:textId="7C7C81B6" w:rsidR="00A20B18" w:rsidRDefault="00A20B18" w:rsidP="00A20B18">
      <w:pPr>
        <w:jc w:val="both"/>
        <w:rPr>
          <w:rFonts w:cstheme="minorHAnsi"/>
          <w:lang w:val="is-IS"/>
        </w:rPr>
      </w:pPr>
    </w:p>
    <w:p w14:paraId="4F891E00" w14:textId="77387432" w:rsidR="00A20B18" w:rsidRDefault="00A20B18" w:rsidP="00A20B18">
      <w:pPr>
        <w:jc w:val="both"/>
        <w:rPr>
          <w:rFonts w:cstheme="minorHAnsi"/>
          <w:lang w:val="is-IS"/>
        </w:rPr>
      </w:pPr>
      <w:r>
        <w:rPr>
          <w:rFonts w:cstheme="minorHAnsi"/>
          <w:lang w:val="is-IS"/>
        </w:rPr>
        <w:t xml:space="preserve">Umhverfisstofnun hefur skýrt hugtakið grænþvott að það sé þegar fyrirtæki setur fram rangar eða villandi upplýsingar um umhverfiságæti eigin vöru. Grænþvottur er græn markaðssetning sem gefur til kynna að frammistaða seljandans sé betri eða ágæti vörunnar eða þjónustunnar meira frá sjónarhóli sjálfbærrar þróunar en „innistæða er fyrir“. Telja verður líklegt, að þegar starfsemi á sviði minnkunar á losun kolefnis og/eða bindingu kolefnis hefur þroskast meira, þá verði staðhæfingar sem ekki byggja á viðurkenndum aðferðarfræðum og úttektum/ vottunum um raunverulega bindingu taldar fela í sér grænþvott, jafnvel þó fyrirtæki hafi í góðri trú greitt fyrir meinta bindingu eða minnkun á losun. </w:t>
      </w:r>
    </w:p>
    <w:p w14:paraId="4BCE8931" w14:textId="4D71ED59" w:rsidR="00A20B18" w:rsidRDefault="00A20B18" w:rsidP="00A20B18">
      <w:pPr>
        <w:jc w:val="both"/>
        <w:rPr>
          <w:rFonts w:cstheme="minorHAnsi"/>
          <w:lang w:val="is-IS"/>
        </w:rPr>
      </w:pPr>
    </w:p>
    <w:p w14:paraId="26AB534A" w14:textId="665BA652" w:rsidR="00A20B18" w:rsidRDefault="00A20B18" w:rsidP="00A20B18">
      <w:pPr>
        <w:jc w:val="both"/>
        <w:rPr>
          <w:rFonts w:cstheme="minorHAnsi"/>
          <w:lang w:val="is-IS"/>
        </w:rPr>
      </w:pPr>
      <w:r>
        <w:rPr>
          <w:rFonts w:cstheme="minorHAnsi"/>
          <w:lang w:val="is-IS"/>
        </w:rPr>
        <w:t xml:space="preserve">Það er því afar mikilvægt að ekki verði gefinn afsláttur um raunveruleika þeirrar bindingar eða minnkunar á losun og að stuðst verði við viðurkennda staðla og aðferðarfræði, hvort sem það eru íslenskir staðlar eða viðurkenndir alþjóðlegir staðlar. Slík krafa nýtur stuðnings í lögfestum markmiðum Íslands og getur að okkar mati verið sett fram í reglugerð sem ætlað er að gera aðilum kleift að stuðla að því að markmiðum löggjafans verði náð. </w:t>
      </w:r>
    </w:p>
    <w:p w14:paraId="65088841" w14:textId="1360181B" w:rsidR="00A20B18" w:rsidRDefault="00A20B18" w:rsidP="00A20B18">
      <w:pPr>
        <w:jc w:val="both"/>
        <w:rPr>
          <w:rFonts w:cstheme="minorHAnsi"/>
          <w:lang w:val="is-IS"/>
        </w:rPr>
      </w:pPr>
    </w:p>
    <w:p w14:paraId="58AD6F4B" w14:textId="77777777" w:rsidR="00FF7594" w:rsidRDefault="00A20B18" w:rsidP="00A20B18">
      <w:pPr>
        <w:jc w:val="both"/>
        <w:rPr>
          <w:rFonts w:cstheme="minorHAnsi"/>
          <w:lang w:val="is-IS"/>
        </w:rPr>
      </w:pPr>
      <w:r>
        <w:rPr>
          <w:rFonts w:cstheme="minorHAnsi"/>
          <w:lang w:val="is-IS"/>
        </w:rPr>
        <w:t xml:space="preserve">En að sama skapi er mikilvægt að íslenskar reglur taki tillit til íslenskra hagsmuna og geri þeim sem það vilja ekki óþarflega erfitt fyrir að fjármagna og stuðla að verkefnum sem falla að markmiðum um kolefnishlutleysi. Því eigi ekki að binda í reglugerð ákvæði sem útiloki ákveðna </w:t>
      </w:r>
      <w:r>
        <w:rPr>
          <w:rFonts w:cstheme="minorHAnsi"/>
          <w:lang w:val="is-IS"/>
        </w:rPr>
        <w:lastRenderedPageBreak/>
        <w:t xml:space="preserve">starfsemi, sem mögulega getur </w:t>
      </w:r>
      <w:r w:rsidR="00FF7594">
        <w:rPr>
          <w:rFonts w:cstheme="minorHAnsi"/>
          <w:lang w:val="is-IS"/>
        </w:rPr>
        <w:t xml:space="preserve">fullnægt ströngum viðmiðum staðla og vottunaraðila um minnkun á losun eða bindingu kolefnis. Því sé nægjanlegt að reglugerðin tilgreini í 2. mgr. 15. gr. draganna, auk þeirra skilyrða sem fram koma í 1. mgr. 15. gr., það skilyrði að kolefnisjöfnun sé vottuð, en því sé sleppt að skapa óvissu með viðbótartilgreiningu. </w:t>
      </w:r>
    </w:p>
    <w:p w14:paraId="042B4AB8" w14:textId="77777777" w:rsidR="00FF7594" w:rsidRDefault="00FF7594" w:rsidP="00A20B18">
      <w:pPr>
        <w:jc w:val="both"/>
        <w:rPr>
          <w:rFonts w:cstheme="minorHAnsi"/>
          <w:lang w:val="is-IS"/>
        </w:rPr>
      </w:pPr>
    </w:p>
    <w:p w14:paraId="68898C43" w14:textId="77F9C88E" w:rsidR="00A20B18" w:rsidRDefault="002E2971" w:rsidP="00A20B18">
      <w:pPr>
        <w:jc w:val="both"/>
        <w:rPr>
          <w:rFonts w:cstheme="minorHAnsi"/>
          <w:lang w:val="is-IS"/>
        </w:rPr>
      </w:pPr>
      <w:r>
        <w:rPr>
          <w:rFonts w:cstheme="minorHAnsi"/>
          <w:lang w:val="is-IS"/>
        </w:rPr>
        <w:t xml:space="preserve">Við teljum skógrækt mjög góðan kost við bindingu kolefnis. </w:t>
      </w:r>
      <w:r w:rsidR="00FF7594">
        <w:rPr>
          <w:rFonts w:cstheme="minorHAnsi"/>
          <w:lang w:val="is-IS"/>
        </w:rPr>
        <w:t xml:space="preserve">Við fyrstu sýn kann sú tillaga að telja skógrækt með, en þó ekki nytjaskógrækt í atvinnuskyni, að hljóma eðlileg, enda um að ræða framlög til aðila sem hafa með höndum óhagnaðardrifna starfsemi. Við teljum viðbúið að hugtakið „nytjaskógrækt í atvinnuskyni“ verði túlkað með sama hætti, hvort sem um er að ræða starfsemi sem fyrirtæki í atvinnuskyni standi að, eða óhagnaðardrifin félög. Viðmiðið verði samningur við Skógrækt um kostnaðarþátttöku í verkefninu. Miklu eðlilegra er að sleppa þessari tilvísun og láta það ráða för, hvort umrædd </w:t>
      </w:r>
      <w:r>
        <w:rPr>
          <w:rFonts w:cstheme="minorHAnsi"/>
          <w:lang w:val="is-IS"/>
        </w:rPr>
        <w:t xml:space="preserve">skógrækt fái viðurkenndar vottaðar kolefniseiningar eður ei. Vel má vera að það leiði til sömu niðurstöðu, en óheppilegt er að okkar mati að skrifa sérstaka takmörkun í reglugerð sem er óþörf, ef unnið er eftir viðurkenndum aðferðum og stöðlum. </w:t>
      </w:r>
    </w:p>
    <w:p w14:paraId="448FE36D" w14:textId="5F149F8B" w:rsidR="002E2971" w:rsidRDefault="002E2971" w:rsidP="00A20B18">
      <w:pPr>
        <w:jc w:val="both"/>
        <w:rPr>
          <w:rFonts w:cstheme="minorHAnsi"/>
          <w:lang w:val="is-IS"/>
        </w:rPr>
      </w:pPr>
    </w:p>
    <w:p w14:paraId="35397442" w14:textId="221BAB5C" w:rsidR="002E2971" w:rsidRDefault="002E2971" w:rsidP="00A20B18">
      <w:pPr>
        <w:jc w:val="both"/>
        <w:rPr>
          <w:rFonts w:cstheme="minorHAnsi"/>
          <w:lang w:val="is-IS"/>
        </w:rPr>
      </w:pPr>
      <w:r>
        <w:rPr>
          <w:rFonts w:cstheme="minorHAnsi"/>
          <w:lang w:val="is-IS"/>
        </w:rPr>
        <w:t xml:space="preserve">Við leggjum því til að tillaga merkt A hér í viðhengi verði notuð í reglugerðinni, en til vara tillaga merkt B. </w:t>
      </w:r>
    </w:p>
    <w:bookmarkEnd w:id="0"/>
    <w:p w14:paraId="1A89B1EE" w14:textId="2F7BB235" w:rsidR="002E2971" w:rsidRDefault="002E2971" w:rsidP="00A20B18">
      <w:pPr>
        <w:jc w:val="both"/>
        <w:rPr>
          <w:rFonts w:cstheme="minorHAnsi"/>
          <w:lang w:val="is-IS"/>
        </w:rPr>
      </w:pPr>
    </w:p>
    <w:p w14:paraId="0601B6D8" w14:textId="77777777" w:rsidR="0054554F" w:rsidRDefault="002E2971" w:rsidP="0054554F">
      <w:pPr>
        <w:jc w:val="right"/>
        <w:rPr>
          <w:rFonts w:cstheme="minorHAnsi"/>
          <w:i/>
          <w:lang w:val="is-IS"/>
        </w:rPr>
      </w:pPr>
      <w:r w:rsidRPr="0054554F">
        <w:rPr>
          <w:rFonts w:cstheme="minorHAnsi"/>
          <w:i/>
          <w:lang w:val="is-IS"/>
        </w:rPr>
        <w:t>f.h. Yggdrasils Carbons ehf.</w:t>
      </w:r>
    </w:p>
    <w:p w14:paraId="6CC77650" w14:textId="480F1767" w:rsidR="002E2971" w:rsidRPr="0054554F" w:rsidRDefault="0054554F" w:rsidP="0054554F">
      <w:pPr>
        <w:jc w:val="right"/>
        <w:rPr>
          <w:rFonts w:cstheme="minorHAnsi"/>
          <w:i/>
          <w:lang w:val="is-IS"/>
        </w:rPr>
      </w:pPr>
      <w:r w:rsidRPr="0054554F">
        <w:rPr>
          <w:rFonts w:cstheme="minorHAnsi"/>
          <w:i/>
          <w:lang w:val="is-IS"/>
        </w:rPr>
        <w:t xml:space="preserve"> </w:t>
      </w:r>
      <w:r w:rsidR="002E2971" w:rsidRPr="0054554F">
        <w:rPr>
          <w:rFonts w:cstheme="minorHAnsi"/>
          <w:i/>
          <w:lang w:val="is-IS"/>
        </w:rPr>
        <w:t>Björgvin Stefán Pétursson framkvæmdastjóri</w:t>
      </w:r>
    </w:p>
    <w:p w14:paraId="2C98DD01" w14:textId="7F634BBF" w:rsidR="00705882" w:rsidRPr="00DB4DF0" w:rsidRDefault="00705882">
      <w:pPr>
        <w:rPr>
          <w:rFonts w:cstheme="minorHAnsi"/>
          <w:lang w:val="is-IS"/>
        </w:rPr>
      </w:pPr>
    </w:p>
    <w:p w14:paraId="0F3E5937" w14:textId="77777777" w:rsidR="00053ECD" w:rsidRDefault="00053ECD">
      <w:pPr>
        <w:rPr>
          <w:rFonts w:eastAsia="Times New Roman" w:cstheme="minorHAnsi"/>
          <w:b/>
          <w:bCs/>
          <w:color w:val="222222"/>
          <w:sz w:val="26"/>
          <w:szCs w:val="26"/>
          <w:u w:val="single"/>
          <w:lang w:val="is-IS" w:eastAsia="en-GB"/>
        </w:rPr>
      </w:pPr>
      <w:r>
        <w:rPr>
          <w:rFonts w:eastAsia="Times New Roman" w:cstheme="minorHAnsi"/>
          <w:b/>
          <w:bCs/>
          <w:color w:val="222222"/>
          <w:sz w:val="26"/>
          <w:szCs w:val="26"/>
          <w:u w:val="single"/>
          <w:lang w:val="is-IS" w:eastAsia="en-GB"/>
        </w:rPr>
        <w:br w:type="page"/>
      </w:r>
    </w:p>
    <w:p w14:paraId="1ADAFFF7" w14:textId="77777777" w:rsidR="00053ECD" w:rsidRDefault="00053ECD" w:rsidP="00DA102C">
      <w:pPr>
        <w:shd w:val="clear" w:color="auto" w:fill="FFFFFF"/>
        <w:rPr>
          <w:rFonts w:eastAsia="Times New Roman" w:cstheme="minorHAnsi"/>
          <w:b/>
          <w:bCs/>
          <w:color w:val="222222"/>
          <w:sz w:val="26"/>
          <w:szCs w:val="26"/>
          <w:u w:val="single"/>
          <w:lang w:val="is-IS" w:eastAsia="en-GB"/>
        </w:rPr>
      </w:pPr>
    </w:p>
    <w:p w14:paraId="112A7516" w14:textId="36594C90" w:rsidR="00DA102C" w:rsidRPr="00DB4DF0" w:rsidRDefault="00AD1262" w:rsidP="00DA102C">
      <w:pPr>
        <w:shd w:val="clear" w:color="auto" w:fill="FFFFFF"/>
        <w:rPr>
          <w:rFonts w:eastAsia="Times New Roman" w:cstheme="minorHAnsi"/>
          <w:strike/>
          <w:color w:val="222222"/>
          <w:lang w:eastAsia="en-GB"/>
        </w:rPr>
      </w:pPr>
      <w:r w:rsidRPr="00DB4DF0">
        <w:rPr>
          <w:rFonts w:eastAsia="Times New Roman" w:cstheme="minorHAnsi"/>
          <w:b/>
          <w:bCs/>
          <w:color w:val="222222"/>
          <w:sz w:val="26"/>
          <w:szCs w:val="26"/>
          <w:u w:val="single"/>
          <w:lang w:val="is-IS" w:eastAsia="en-GB"/>
        </w:rPr>
        <w:t>Tillaga A:</w:t>
      </w:r>
      <w:r w:rsidRPr="00DB4DF0">
        <w:rPr>
          <w:rFonts w:eastAsia="Times New Roman" w:cstheme="minorHAnsi"/>
          <w:color w:val="222222"/>
          <w:lang w:eastAsia="en-GB"/>
        </w:rPr>
        <w:br/>
      </w:r>
      <w:r w:rsidR="00DA102C" w:rsidRPr="00DA102C">
        <w:rPr>
          <w:rFonts w:eastAsia="Times New Roman" w:cstheme="minorHAnsi"/>
          <w:color w:val="222222"/>
          <w:lang w:eastAsia="en-GB"/>
        </w:rPr>
        <w:t>„Skilyrði fyrir frádrætti skv. b-lið 15. gr. er að þær aðgerðir lögaðila sem veitir viðtöku gjöfum og/eða framlögum stuðli að</w:t>
      </w:r>
      <w:r w:rsidR="00DA102C" w:rsidRPr="00DB4DF0">
        <w:rPr>
          <w:rFonts w:eastAsia="Times New Roman" w:cstheme="minorHAnsi"/>
          <w:color w:val="222222"/>
          <w:lang w:val="is-IS" w:eastAsia="en-GB"/>
        </w:rPr>
        <w:t xml:space="preserve"> </w:t>
      </w:r>
      <w:r w:rsidR="00DA102C" w:rsidRPr="00DB4DF0">
        <w:rPr>
          <w:rFonts w:eastAsia="Times New Roman" w:cstheme="minorHAnsi"/>
          <w:color w:val="FF0000"/>
          <w:lang w:val="is-IS" w:eastAsia="en-GB"/>
        </w:rPr>
        <w:t>vottaðri</w:t>
      </w:r>
      <w:r w:rsidR="00DA102C" w:rsidRPr="00DA102C">
        <w:rPr>
          <w:rFonts w:eastAsia="Times New Roman" w:cstheme="minorHAnsi"/>
          <w:color w:val="222222"/>
          <w:lang w:eastAsia="en-GB"/>
        </w:rPr>
        <w:t xml:space="preserve"> kolefnisjöfnun, sbr. 6. tölul. 3. gr. laga nr. 70/2012, um loftslagsmál. </w:t>
      </w:r>
      <w:r w:rsidR="00DA102C" w:rsidRPr="00DA102C">
        <w:rPr>
          <w:rFonts w:eastAsia="Times New Roman" w:cstheme="minorHAnsi"/>
          <w:strike/>
          <w:color w:val="222222"/>
          <w:lang w:eastAsia="en-GB"/>
        </w:rPr>
        <w:t>Hér undir fellur uppgræðsla auðna og illa farins gróðurlendis, sandgræðsla, endurheimt votlendis og landgæða og aðrar hliðstæðar aðgerðir, t.a.m. skógrækt þó ekki nytjaskógrækt í atvinnuskyni og bætt landnotkun. Jafnframt fellur hér undir niðurdæling koldíoxíðs í berggrunn til myndunar steinda, sbr. 24. mgr. 3. gr. laga nr. 7/1998, um hollustuhætti og mengunarvarnir, og verkefni sem fela í sér föngun og förgun gróðurhúsalofttegunda, sbr. 4. tölul. 3. gr. laga nr. 70/2012, um loftslagsmál.</w:t>
      </w:r>
    </w:p>
    <w:p w14:paraId="10E7D0CC" w14:textId="77777777" w:rsidR="00AD1262" w:rsidRPr="00DB4DF0" w:rsidRDefault="00AD1262" w:rsidP="00AD1262">
      <w:pPr>
        <w:shd w:val="clear" w:color="auto" w:fill="FFFFFF"/>
        <w:rPr>
          <w:rFonts w:eastAsia="Times New Roman" w:cstheme="minorHAnsi"/>
          <w:color w:val="222222"/>
          <w:lang w:eastAsia="en-GB"/>
        </w:rPr>
      </w:pPr>
    </w:p>
    <w:p w14:paraId="7631FF64" w14:textId="1089B2AC" w:rsidR="00AD1262" w:rsidRPr="00DB4DF0" w:rsidRDefault="00AD1262" w:rsidP="00AD1262">
      <w:pPr>
        <w:shd w:val="clear" w:color="auto" w:fill="FFFFFF"/>
        <w:rPr>
          <w:rFonts w:eastAsia="Times New Roman" w:cstheme="minorHAnsi"/>
          <w:color w:val="222222"/>
          <w:lang w:eastAsia="en-GB"/>
        </w:rPr>
      </w:pPr>
      <w:r w:rsidRPr="00DA102C">
        <w:rPr>
          <w:rFonts w:eastAsia="Times New Roman" w:cstheme="minorHAnsi"/>
          <w:color w:val="222222"/>
          <w:lang w:eastAsia="en-GB"/>
        </w:rPr>
        <w:t>Frekari skilyrði fyrir frádrætti skv. 1. og 2. mgr. er að móttakandi gjafa og/eða framlaga hafi gefið út staðfestingu til gefanda og sýni fram á með sannanlegum hætti að sú aðgerð sem um ræðir stuðli að</w:t>
      </w:r>
      <w:r w:rsidRPr="00DB4DF0">
        <w:rPr>
          <w:rFonts w:eastAsia="Times New Roman" w:cstheme="minorHAnsi"/>
          <w:color w:val="222222"/>
          <w:lang w:val="is-IS" w:eastAsia="en-GB"/>
        </w:rPr>
        <w:t xml:space="preserve"> </w:t>
      </w:r>
      <w:r w:rsidRPr="00DB4DF0">
        <w:rPr>
          <w:rFonts w:eastAsia="Times New Roman" w:cstheme="minorHAnsi"/>
          <w:color w:val="FF0000"/>
          <w:lang w:val="is-IS" w:eastAsia="en-GB"/>
        </w:rPr>
        <w:t>vottaðri</w:t>
      </w:r>
      <w:r w:rsidRPr="00DA102C">
        <w:rPr>
          <w:rFonts w:eastAsia="Times New Roman" w:cstheme="minorHAnsi"/>
          <w:color w:val="FF0000"/>
          <w:lang w:eastAsia="en-GB"/>
        </w:rPr>
        <w:t xml:space="preserve"> </w:t>
      </w:r>
      <w:r w:rsidRPr="00DA102C">
        <w:rPr>
          <w:rFonts w:eastAsia="Times New Roman" w:cstheme="minorHAnsi"/>
          <w:color w:val="222222"/>
          <w:lang w:eastAsia="en-GB"/>
        </w:rPr>
        <w:t>kolefnisjöfnun,</w:t>
      </w:r>
      <w:r w:rsidRPr="00DB4DF0">
        <w:rPr>
          <w:rFonts w:eastAsia="Times New Roman" w:cstheme="minorHAnsi"/>
          <w:color w:val="222222"/>
          <w:lang w:val="is-IS" w:eastAsia="en-GB"/>
        </w:rPr>
        <w:t xml:space="preserve"> </w:t>
      </w:r>
      <w:r w:rsidRPr="00DA102C">
        <w:rPr>
          <w:rFonts w:eastAsia="Times New Roman" w:cstheme="minorHAnsi"/>
          <w:color w:val="222222"/>
          <w:lang w:eastAsia="en-GB"/>
        </w:rPr>
        <w:t>sbr. 6. tölul. 3. gr. laga nr. 70/2012, um loftslagsmál</w:t>
      </w:r>
      <w:r w:rsidR="002E2971">
        <w:rPr>
          <w:rFonts w:eastAsia="Times New Roman" w:cstheme="minorHAnsi"/>
          <w:color w:val="222222"/>
          <w:lang w:val="is-IS" w:eastAsia="en-GB"/>
        </w:rPr>
        <w:t>,</w:t>
      </w:r>
      <w:r w:rsidR="002E2971" w:rsidRPr="00DA102C">
        <w:rPr>
          <w:rFonts w:eastAsia="Times New Roman" w:cstheme="minorHAnsi"/>
          <w:color w:val="222222"/>
          <w:lang w:eastAsia="en-GB"/>
        </w:rPr>
        <w:t xml:space="preserve"> </w:t>
      </w:r>
      <w:r w:rsidR="002E2971" w:rsidRPr="00DB4DF0">
        <w:rPr>
          <w:rFonts w:eastAsia="Times New Roman" w:cstheme="minorHAnsi"/>
          <w:color w:val="FF0000"/>
          <w:lang w:val="is-IS" w:eastAsia="en-GB"/>
        </w:rPr>
        <w:t>svo sem með staðfestingu á raðnúmeri kolefniseininga,</w:t>
      </w:r>
      <w:r w:rsidRPr="00DA102C">
        <w:rPr>
          <w:rFonts w:eastAsia="Times New Roman" w:cstheme="minorHAnsi"/>
          <w:color w:val="222222"/>
          <w:lang w:eastAsia="en-GB"/>
        </w:rPr>
        <w:t xml:space="preserve"> </w:t>
      </w:r>
      <w:r w:rsidRPr="002E2971">
        <w:rPr>
          <w:rFonts w:eastAsia="Times New Roman" w:cstheme="minorHAnsi"/>
          <w:strike/>
          <w:color w:val="222222"/>
          <w:lang w:eastAsia="en-GB"/>
        </w:rPr>
        <w:t>eða</w:t>
      </w:r>
      <w:r w:rsidRPr="00DA102C">
        <w:rPr>
          <w:rFonts w:eastAsia="Times New Roman" w:cstheme="minorHAnsi"/>
          <w:color w:val="222222"/>
          <w:lang w:eastAsia="en-GB"/>
        </w:rPr>
        <w:t xml:space="preserve"> </w:t>
      </w:r>
      <w:r w:rsidR="002E2971">
        <w:rPr>
          <w:rFonts w:eastAsia="Times New Roman" w:cstheme="minorHAnsi"/>
          <w:color w:val="FF0000"/>
          <w:lang w:val="is-IS" w:eastAsia="en-GB"/>
        </w:rPr>
        <w:t xml:space="preserve">og móttakandi </w:t>
      </w:r>
      <w:r w:rsidRPr="00DA102C">
        <w:rPr>
          <w:rFonts w:eastAsia="Times New Roman" w:cstheme="minorHAnsi"/>
          <w:color w:val="222222"/>
          <w:lang w:eastAsia="en-GB"/>
        </w:rPr>
        <w:t>falli undir a-g lið 17. gr.</w:t>
      </w:r>
      <w:r w:rsidR="002E2971" w:rsidRPr="00DA102C">
        <w:rPr>
          <w:rFonts w:eastAsia="Times New Roman" w:cstheme="minorHAnsi"/>
          <w:color w:val="222222"/>
          <w:lang w:eastAsia="en-GB"/>
        </w:rPr>
        <w:t xml:space="preserve"> </w:t>
      </w:r>
      <w:r w:rsidRPr="00DA102C">
        <w:rPr>
          <w:rFonts w:eastAsia="Times New Roman" w:cstheme="minorHAnsi"/>
          <w:color w:val="222222"/>
          <w:lang w:eastAsia="en-GB"/>
        </w:rPr>
        <w:t>Staðfestingu og önnur gögn skv. 1. málsl. skal varðveita í bókhaldi móttakanda og gefanda sé hann bókhaldsskyldur skv. lögum um bókhald, nr. 145/1994. Framangreindum aðilum er skylt að láta skattyfirvöldum í té ókeypis og í því formi, sem óskað er, allar nauðsynlegar upplýsingar og gögn er þau beiðast og varða þær aðgerðir sem um ræðir í þessari grein. Rekstur og efnahagur vegna starfsemi sem fram kemur í 1. og 2. mgr. skal að fullu aðgreindur bókhaldslega frá annarri starfsemi félaganna.“</w:t>
      </w:r>
    </w:p>
    <w:p w14:paraId="08DE2769" w14:textId="4D9AA782" w:rsidR="00AD1262" w:rsidRPr="00DB4DF0" w:rsidRDefault="00AD1262" w:rsidP="00DA102C">
      <w:pPr>
        <w:shd w:val="clear" w:color="auto" w:fill="FFFFFF"/>
        <w:rPr>
          <w:rFonts w:eastAsia="Times New Roman" w:cstheme="minorHAnsi"/>
          <w:strike/>
          <w:color w:val="222222"/>
          <w:lang w:eastAsia="en-GB"/>
        </w:rPr>
      </w:pPr>
    </w:p>
    <w:p w14:paraId="08A97BF6" w14:textId="77777777" w:rsidR="00053ECD" w:rsidRDefault="00053ECD">
      <w:pPr>
        <w:rPr>
          <w:rFonts w:eastAsia="Times New Roman" w:cstheme="minorHAnsi"/>
          <w:b/>
          <w:bCs/>
          <w:color w:val="222222"/>
          <w:sz w:val="26"/>
          <w:szCs w:val="26"/>
          <w:u w:val="single"/>
          <w:lang w:val="is-IS" w:eastAsia="en-GB"/>
        </w:rPr>
      </w:pPr>
      <w:r>
        <w:rPr>
          <w:rFonts w:eastAsia="Times New Roman" w:cstheme="minorHAnsi"/>
          <w:b/>
          <w:bCs/>
          <w:color w:val="222222"/>
          <w:sz w:val="26"/>
          <w:szCs w:val="26"/>
          <w:u w:val="single"/>
          <w:lang w:val="is-IS" w:eastAsia="en-GB"/>
        </w:rPr>
        <w:br w:type="page"/>
      </w:r>
    </w:p>
    <w:p w14:paraId="41190131" w14:textId="46F03837" w:rsidR="00AD1262" w:rsidRPr="00DB4DF0" w:rsidRDefault="00AD1262" w:rsidP="00DA102C">
      <w:pPr>
        <w:shd w:val="clear" w:color="auto" w:fill="FFFFFF"/>
        <w:rPr>
          <w:rFonts w:eastAsia="Times New Roman" w:cstheme="minorHAnsi"/>
          <w:b/>
          <w:bCs/>
          <w:color w:val="222222"/>
          <w:sz w:val="26"/>
          <w:szCs w:val="26"/>
          <w:u w:val="single"/>
          <w:lang w:val="is-IS" w:eastAsia="en-GB"/>
        </w:rPr>
      </w:pPr>
      <w:r w:rsidRPr="00DB4DF0">
        <w:rPr>
          <w:rFonts w:eastAsia="Times New Roman" w:cstheme="minorHAnsi"/>
          <w:b/>
          <w:bCs/>
          <w:color w:val="222222"/>
          <w:sz w:val="26"/>
          <w:szCs w:val="26"/>
          <w:u w:val="single"/>
          <w:lang w:val="is-IS" w:eastAsia="en-GB"/>
        </w:rPr>
        <w:lastRenderedPageBreak/>
        <w:t>Tillaga B:</w:t>
      </w:r>
    </w:p>
    <w:p w14:paraId="5FE53B68" w14:textId="3AD35C0B" w:rsidR="00AD1262" w:rsidRPr="00DB4DF0" w:rsidRDefault="00AD1262" w:rsidP="00DA102C">
      <w:pPr>
        <w:shd w:val="clear" w:color="auto" w:fill="FFFFFF"/>
        <w:rPr>
          <w:rFonts w:eastAsia="Times New Roman" w:cstheme="minorHAnsi"/>
          <w:color w:val="222222"/>
          <w:lang w:val="is-IS" w:eastAsia="en-GB"/>
        </w:rPr>
      </w:pPr>
      <w:r w:rsidRPr="00DA102C">
        <w:rPr>
          <w:rFonts w:eastAsia="Times New Roman" w:cstheme="minorHAnsi"/>
          <w:color w:val="222222"/>
          <w:lang w:eastAsia="en-GB"/>
        </w:rPr>
        <w:t>„Skilyrði fyrir frádrætti skv. b-lið 15. gr. er að þær aðgerðir lögaðila sem veitir viðtöku gjöfum og/eða framlögum stuðli að</w:t>
      </w:r>
      <w:r w:rsidRPr="00DB4DF0">
        <w:rPr>
          <w:rFonts w:eastAsia="Times New Roman" w:cstheme="minorHAnsi"/>
          <w:color w:val="222222"/>
          <w:lang w:val="is-IS" w:eastAsia="en-GB"/>
        </w:rPr>
        <w:t xml:space="preserve"> </w:t>
      </w:r>
      <w:r w:rsidRPr="00DB4DF0">
        <w:rPr>
          <w:rFonts w:eastAsia="Times New Roman" w:cstheme="minorHAnsi"/>
          <w:color w:val="FF0000"/>
          <w:lang w:val="is-IS" w:eastAsia="en-GB"/>
        </w:rPr>
        <w:t>vottaðri</w:t>
      </w:r>
      <w:r w:rsidRPr="00DA102C">
        <w:rPr>
          <w:rFonts w:eastAsia="Times New Roman" w:cstheme="minorHAnsi"/>
          <w:color w:val="222222"/>
          <w:lang w:eastAsia="en-GB"/>
        </w:rPr>
        <w:t xml:space="preserve"> kolefnisjöfnun, sbr. 6. tölul. 3. gr. laga nr. 70/2012, um loftslagsmál. Hér undir fellur uppgræðsla auðna og illa farins gróðurlendis, sandgræðsla, endurheimt votlendis og landgæða og aðrar hliðstæðar aðgerðir, t.a.m. skógrækt </w:t>
      </w:r>
      <w:r w:rsidRPr="00DA102C">
        <w:rPr>
          <w:rFonts w:eastAsia="Times New Roman" w:cstheme="minorHAnsi"/>
          <w:strike/>
          <w:color w:val="222222"/>
          <w:lang w:eastAsia="en-GB"/>
        </w:rPr>
        <w:t>þó ekki nytjaskógrækt í atvinnuskyni</w:t>
      </w:r>
      <w:r w:rsidRPr="00DA102C">
        <w:rPr>
          <w:rFonts w:eastAsia="Times New Roman" w:cstheme="minorHAnsi"/>
          <w:color w:val="222222"/>
          <w:lang w:eastAsia="en-GB"/>
        </w:rPr>
        <w:t xml:space="preserve"> og bætt landnotkun. Jafnframt fellur hér undir niðurdæling koldíoxíðs í berggrunn til myndunar steinda, sbr. 24. mgr. 3. gr. laga nr. 7/1998, um hollustuhætti og mengunarvarnir, og verkefni sem fela í sér föngun og förgun gróðurhúsalofttegunda, sbr. 4. tölul. 3. gr. laga nr. 70/2012, um loftslagsmál.</w:t>
      </w:r>
    </w:p>
    <w:p w14:paraId="55143F8A" w14:textId="77777777" w:rsidR="00DA102C" w:rsidRPr="00DA102C" w:rsidRDefault="00DA102C" w:rsidP="00DA102C">
      <w:pPr>
        <w:shd w:val="clear" w:color="auto" w:fill="FFFFFF"/>
        <w:rPr>
          <w:rFonts w:eastAsia="Times New Roman" w:cstheme="minorHAnsi"/>
          <w:color w:val="222222"/>
          <w:lang w:eastAsia="en-GB"/>
        </w:rPr>
      </w:pPr>
    </w:p>
    <w:p w14:paraId="24DA935A" w14:textId="50F06606" w:rsidR="00DA102C" w:rsidRPr="00DB4DF0" w:rsidRDefault="00E8164F" w:rsidP="00DA102C">
      <w:pPr>
        <w:shd w:val="clear" w:color="auto" w:fill="FFFFFF"/>
        <w:rPr>
          <w:rFonts w:eastAsia="Times New Roman" w:cstheme="minorHAnsi"/>
          <w:color w:val="222222"/>
          <w:lang w:eastAsia="en-GB"/>
        </w:rPr>
      </w:pPr>
      <w:r w:rsidRPr="00DA102C">
        <w:rPr>
          <w:rFonts w:eastAsia="Times New Roman" w:cstheme="minorHAnsi"/>
          <w:color w:val="222222"/>
          <w:lang w:eastAsia="en-GB"/>
        </w:rPr>
        <w:t>Frekari skilyrði fyrir frádrætti skv. 1. og 2. mgr. er að móttakandi gjafa og/eða framlaga hafi gefið út staðfestingu til gefanda og sýni fram á með sannanlegum hætti að sú aðgerð sem um ræðir stuðli að</w:t>
      </w:r>
      <w:r w:rsidRPr="00DB4DF0">
        <w:rPr>
          <w:rFonts w:eastAsia="Times New Roman" w:cstheme="minorHAnsi"/>
          <w:color w:val="222222"/>
          <w:lang w:val="is-IS" w:eastAsia="en-GB"/>
        </w:rPr>
        <w:t xml:space="preserve"> </w:t>
      </w:r>
      <w:r w:rsidRPr="00DB4DF0">
        <w:rPr>
          <w:rFonts w:eastAsia="Times New Roman" w:cstheme="minorHAnsi"/>
          <w:color w:val="FF0000"/>
          <w:lang w:val="is-IS" w:eastAsia="en-GB"/>
        </w:rPr>
        <w:t>vottaðri</w:t>
      </w:r>
      <w:r w:rsidRPr="00DA102C">
        <w:rPr>
          <w:rFonts w:eastAsia="Times New Roman" w:cstheme="minorHAnsi"/>
          <w:color w:val="FF0000"/>
          <w:lang w:eastAsia="en-GB"/>
        </w:rPr>
        <w:t xml:space="preserve"> </w:t>
      </w:r>
      <w:r w:rsidRPr="00DA102C">
        <w:rPr>
          <w:rFonts w:eastAsia="Times New Roman" w:cstheme="minorHAnsi"/>
          <w:color w:val="222222"/>
          <w:lang w:eastAsia="en-GB"/>
        </w:rPr>
        <w:t>kolefnisjöfnun,</w:t>
      </w:r>
      <w:r w:rsidRPr="00DB4DF0">
        <w:rPr>
          <w:rFonts w:eastAsia="Times New Roman" w:cstheme="minorHAnsi"/>
          <w:color w:val="222222"/>
          <w:lang w:val="is-IS" w:eastAsia="en-GB"/>
        </w:rPr>
        <w:t xml:space="preserve"> </w:t>
      </w:r>
      <w:r w:rsidRPr="00DA102C">
        <w:rPr>
          <w:rFonts w:eastAsia="Times New Roman" w:cstheme="minorHAnsi"/>
          <w:color w:val="222222"/>
          <w:lang w:eastAsia="en-GB"/>
        </w:rPr>
        <w:t>sbr. 6. tölul. 3. gr. laga nr. 70/2012, um loftslagsmál</w:t>
      </w:r>
      <w:r>
        <w:rPr>
          <w:rFonts w:eastAsia="Times New Roman" w:cstheme="minorHAnsi"/>
          <w:color w:val="222222"/>
          <w:lang w:val="is-IS" w:eastAsia="en-GB"/>
        </w:rPr>
        <w:t>,</w:t>
      </w:r>
      <w:r w:rsidRPr="00DA102C">
        <w:rPr>
          <w:rFonts w:eastAsia="Times New Roman" w:cstheme="minorHAnsi"/>
          <w:color w:val="222222"/>
          <w:lang w:eastAsia="en-GB"/>
        </w:rPr>
        <w:t xml:space="preserve"> </w:t>
      </w:r>
      <w:r w:rsidRPr="00DB4DF0">
        <w:rPr>
          <w:rFonts w:eastAsia="Times New Roman" w:cstheme="minorHAnsi"/>
          <w:color w:val="FF0000"/>
          <w:lang w:val="is-IS" w:eastAsia="en-GB"/>
        </w:rPr>
        <w:t>svo sem með staðfestingu á raðnúmeri kolefniseininga,</w:t>
      </w:r>
      <w:r w:rsidRPr="00DA102C">
        <w:rPr>
          <w:rFonts w:eastAsia="Times New Roman" w:cstheme="minorHAnsi"/>
          <w:color w:val="222222"/>
          <w:lang w:eastAsia="en-GB"/>
        </w:rPr>
        <w:t xml:space="preserve"> </w:t>
      </w:r>
      <w:r w:rsidRPr="002E2971">
        <w:rPr>
          <w:rFonts w:eastAsia="Times New Roman" w:cstheme="minorHAnsi"/>
          <w:strike/>
          <w:color w:val="222222"/>
          <w:lang w:eastAsia="en-GB"/>
        </w:rPr>
        <w:t>eða</w:t>
      </w:r>
      <w:r w:rsidRPr="00DA102C">
        <w:rPr>
          <w:rFonts w:eastAsia="Times New Roman" w:cstheme="minorHAnsi"/>
          <w:color w:val="222222"/>
          <w:lang w:eastAsia="en-GB"/>
        </w:rPr>
        <w:t xml:space="preserve"> </w:t>
      </w:r>
      <w:r>
        <w:rPr>
          <w:rFonts w:eastAsia="Times New Roman" w:cstheme="minorHAnsi"/>
          <w:color w:val="FF0000"/>
          <w:lang w:val="is-IS" w:eastAsia="en-GB"/>
        </w:rPr>
        <w:t xml:space="preserve">og móttakandi </w:t>
      </w:r>
      <w:r w:rsidRPr="00DA102C">
        <w:rPr>
          <w:rFonts w:eastAsia="Times New Roman" w:cstheme="minorHAnsi"/>
          <w:color w:val="222222"/>
          <w:lang w:eastAsia="en-GB"/>
        </w:rPr>
        <w:t xml:space="preserve">falli undir a-g lið 17. gr. Staðfestingu og önnur gögn skv. 1. málsl. skal varðveita í bókhaldi móttakanda og gefanda sé hann bókhaldsskyldur skv. lögum um bókhald, nr. 145/1994. </w:t>
      </w:r>
      <w:r w:rsidR="00DA102C" w:rsidRPr="00DA102C">
        <w:rPr>
          <w:rFonts w:eastAsia="Times New Roman" w:cstheme="minorHAnsi"/>
          <w:color w:val="222222"/>
          <w:lang w:eastAsia="en-GB"/>
        </w:rPr>
        <w:t xml:space="preserve"> Framangreindum aðilum er skylt að láta skattyfirvöldum í té ókeypis og í því formi, sem óskað er, allar nauðsynlegar upplýsingar og gögn er þau beiðast og varða þær aðgerðir sem um ræðir í þessari grein. Rekstur og efnahagur vegna starfsemi sem fram kemur í 1. og 2. mgr. skal að fullu aðgreindur bókhaldslega frá annarri starfsemi félaganna.“</w:t>
      </w:r>
    </w:p>
    <w:p w14:paraId="29C5050D" w14:textId="065F8CDB" w:rsidR="00DA102C" w:rsidRPr="00DB4DF0" w:rsidRDefault="00DA102C" w:rsidP="00DA102C">
      <w:pPr>
        <w:shd w:val="clear" w:color="auto" w:fill="FFFFFF"/>
        <w:rPr>
          <w:rFonts w:eastAsia="Times New Roman" w:cstheme="minorHAnsi"/>
          <w:color w:val="222222"/>
          <w:lang w:eastAsia="en-GB"/>
        </w:rPr>
      </w:pPr>
    </w:p>
    <w:p w14:paraId="1AAB6BD4" w14:textId="77777777" w:rsidR="00DA102C" w:rsidRPr="00DA102C" w:rsidRDefault="00DA102C" w:rsidP="00DA102C">
      <w:pPr>
        <w:shd w:val="clear" w:color="auto" w:fill="FFFFFF"/>
        <w:rPr>
          <w:rFonts w:eastAsia="Times New Roman" w:cstheme="minorHAnsi"/>
          <w:color w:val="222222"/>
          <w:lang w:eastAsia="en-GB"/>
        </w:rPr>
      </w:pPr>
    </w:p>
    <w:p w14:paraId="08C3E4A3" w14:textId="77777777" w:rsidR="00DA102C" w:rsidRPr="00DA102C" w:rsidRDefault="00DA102C">
      <w:pPr>
        <w:rPr>
          <w:lang w:val="is-IS"/>
        </w:rPr>
      </w:pPr>
    </w:p>
    <w:sectPr w:rsidR="00DA102C" w:rsidRPr="00DA10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BA53" w14:textId="77777777" w:rsidR="001D78B5" w:rsidRDefault="001D78B5" w:rsidP="00053ECD">
      <w:r>
        <w:separator/>
      </w:r>
    </w:p>
  </w:endnote>
  <w:endnote w:type="continuationSeparator" w:id="0">
    <w:p w14:paraId="723A6DBA" w14:textId="77777777" w:rsidR="001D78B5" w:rsidRDefault="001D78B5" w:rsidP="0005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C7CF" w14:textId="77777777" w:rsidR="001D78B5" w:rsidRDefault="001D78B5" w:rsidP="00053ECD">
      <w:r>
        <w:separator/>
      </w:r>
    </w:p>
  </w:footnote>
  <w:footnote w:type="continuationSeparator" w:id="0">
    <w:p w14:paraId="344B6EDF" w14:textId="77777777" w:rsidR="001D78B5" w:rsidRDefault="001D78B5" w:rsidP="0005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E8C5" w14:textId="64415956" w:rsidR="00053ECD" w:rsidRPr="00053ECD" w:rsidRDefault="00053ECD">
    <w:pPr>
      <w:pStyle w:val="Header"/>
      <w:rPr>
        <w:lang w:val="is-IS"/>
      </w:rPr>
    </w:pPr>
    <w:r>
      <w:rPr>
        <w:lang w:val="is-IS"/>
      </w:rPr>
      <w:t>Yggdrasill Carbon ehf.</w:t>
    </w:r>
    <w:r>
      <w:rPr>
        <w:lang w:val="is-IS"/>
      </w:rPr>
      <w:tab/>
      <w:t>Umsögn um reglugerð um frádrátt frá tekjum</w:t>
    </w:r>
    <w:r w:rsidR="00A60564">
      <w:rPr>
        <w:lang w:val="is-I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2C"/>
    <w:rsid w:val="00002A48"/>
    <w:rsid w:val="00053ECD"/>
    <w:rsid w:val="001D78B5"/>
    <w:rsid w:val="00265594"/>
    <w:rsid w:val="002E2971"/>
    <w:rsid w:val="0054554F"/>
    <w:rsid w:val="00575525"/>
    <w:rsid w:val="00705882"/>
    <w:rsid w:val="00791B0D"/>
    <w:rsid w:val="007A1CDD"/>
    <w:rsid w:val="007D3AB9"/>
    <w:rsid w:val="007F6454"/>
    <w:rsid w:val="00A20B18"/>
    <w:rsid w:val="00A60564"/>
    <w:rsid w:val="00AD1262"/>
    <w:rsid w:val="00BE5B17"/>
    <w:rsid w:val="00D97DF8"/>
    <w:rsid w:val="00DA102C"/>
    <w:rsid w:val="00DB4DF0"/>
    <w:rsid w:val="00E8164F"/>
    <w:rsid w:val="00FF75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6CAB94FF"/>
  <w15:chartTrackingRefBased/>
  <w15:docId w15:val="{978C4383-8C3F-D94A-9967-B2860611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ECD"/>
    <w:pPr>
      <w:tabs>
        <w:tab w:val="center" w:pos="4513"/>
        <w:tab w:val="right" w:pos="9026"/>
      </w:tabs>
    </w:pPr>
  </w:style>
  <w:style w:type="character" w:customStyle="1" w:styleId="HeaderChar">
    <w:name w:val="Header Char"/>
    <w:basedOn w:val="DefaultParagraphFont"/>
    <w:link w:val="Header"/>
    <w:uiPriority w:val="99"/>
    <w:rsid w:val="00053ECD"/>
  </w:style>
  <w:style w:type="paragraph" w:styleId="Footer">
    <w:name w:val="footer"/>
    <w:basedOn w:val="Normal"/>
    <w:link w:val="FooterChar"/>
    <w:uiPriority w:val="99"/>
    <w:unhideWhenUsed/>
    <w:rsid w:val="00053ECD"/>
    <w:pPr>
      <w:tabs>
        <w:tab w:val="center" w:pos="4513"/>
        <w:tab w:val="right" w:pos="9026"/>
      </w:tabs>
    </w:pPr>
  </w:style>
  <w:style w:type="character" w:customStyle="1" w:styleId="FooterChar">
    <w:name w:val="Footer Char"/>
    <w:basedOn w:val="DefaultParagraphFont"/>
    <w:link w:val="Footer"/>
    <w:uiPriority w:val="99"/>
    <w:rsid w:val="00053ECD"/>
  </w:style>
  <w:style w:type="character" w:styleId="Hyperlink">
    <w:name w:val="Hyperlink"/>
    <w:basedOn w:val="DefaultParagraphFont"/>
    <w:uiPriority w:val="99"/>
    <w:unhideWhenUsed/>
    <w:rsid w:val="00053ECD"/>
    <w:rPr>
      <w:color w:val="0563C1" w:themeColor="hyperlink"/>
      <w:u w:val="single"/>
    </w:rPr>
  </w:style>
  <w:style w:type="character" w:styleId="UnresolvedMention">
    <w:name w:val="Unresolved Mention"/>
    <w:basedOn w:val="DefaultParagraphFont"/>
    <w:uiPriority w:val="99"/>
    <w:semiHidden/>
    <w:unhideWhenUsed/>
    <w:rsid w:val="0005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ur@fjr.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Björgvin Pétursson</dc:creator>
  <cp:keywords/>
  <dc:description/>
  <cp:lastModifiedBy>Björgvin Stefán Pétursson</cp:lastModifiedBy>
  <cp:revision>7</cp:revision>
  <dcterms:created xsi:type="dcterms:W3CDTF">2021-11-09T11:38:00Z</dcterms:created>
  <dcterms:modified xsi:type="dcterms:W3CDTF">2021-11-10T15:52:00Z</dcterms:modified>
</cp:coreProperties>
</file>