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87" w:rsidRPr="001B46DE" w:rsidRDefault="005E6687" w:rsidP="005E6687">
      <w:pPr>
        <w:pStyle w:val="NormalWeb"/>
        <w:spacing w:before="0" w:beforeAutospacing="0" w:after="150" w:afterAutospacing="0" w:line="375" w:lineRule="atLeast"/>
        <w:rPr>
          <w:color w:val="333333"/>
        </w:rPr>
      </w:pPr>
      <w:r w:rsidRPr="001B46DE">
        <w:rPr>
          <w:color w:val="333333"/>
        </w:rPr>
        <w:t>Samgöngu- og sveitarstjórnarráðuneyti</w:t>
      </w:r>
    </w:p>
    <w:p w:rsidR="005E6687" w:rsidRPr="001B46DE" w:rsidRDefault="005E6687" w:rsidP="005E6687">
      <w:pPr>
        <w:pStyle w:val="NormalWeb"/>
        <w:spacing w:before="0" w:beforeAutospacing="0" w:after="150" w:afterAutospacing="0" w:line="375" w:lineRule="atLeast"/>
        <w:rPr>
          <w:color w:val="333333"/>
        </w:rPr>
      </w:pPr>
      <w:r w:rsidRPr="001B46DE">
        <w:rPr>
          <w:color w:val="333333"/>
        </w:rPr>
        <w:t>Sölvhólsgötu 7</w:t>
      </w:r>
    </w:p>
    <w:p w:rsidR="005E6687" w:rsidRPr="001B46DE" w:rsidRDefault="005E6687" w:rsidP="005E6687">
      <w:pPr>
        <w:pStyle w:val="NormalWeb"/>
        <w:spacing w:before="0" w:beforeAutospacing="0" w:after="150" w:afterAutospacing="0" w:line="375" w:lineRule="atLeast"/>
        <w:rPr>
          <w:color w:val="333333"/>
        </w:rPr>
      </w:pPr>
      <w:r w:rsidRPr="001B46DE">
        <w:rPr>
          <w:color w:val="333333"/>
        </w:rPr>
        <w:t>101 Reykjavík</w:t>
      </w:r>
    </w:p>
    <w:p w:rsidR="005E6687" w:rsidRPr="001B46DE" w:rsidRDefault="005E6687" w:rsidP="00037C2C">
      <w:pPr>
        <w:pStyle w:val="Default"/>
      </w:pPr>
    </w:p>
    <w:p w:rsidR="005E6687" w:rsidRPr="001B46DE" w:rsidRDefault="005E6687" w:rsidP="00037C2C">
      <w:pPr>
        <w:pStyle w:val="Default"/>
      </w:pPr>
      <w:r w:rsidRPr="001B46DE">
        <w:t>Reykjavík 21. mars 2018</w:t>
      </w:r>
    </w:p>
    <w:p w:rsidR="005E6687" w:rsidRPr="001B46DE" w:rsidRDefault="005E6687" w:rsidP="00037C2C">
      <w:pPr>
        <w:pStyle w:val="Default"/>
      </w:pPr>
    </w:p>
    <w:p w:rsidR="005E6687" w:rsidRPr="001B46DE" w:rsidRDefault="005E6687" w:rsidP="00037C2C">
      <w:pPr>
        <w:pStyle w:val="Default"/>
      </w:pPr>
      <w:r w:rsidRPr="001B46DE">
        <w:t>Bændasamtök Íslands vilja koma eftirfarandi</w:t>
      </w:r>
      <w:r w:rsidR="00B91A82" w:rsidRPr="001B46DE">
        <w:t xml:space="preserve"> á framfæri vegna tillögu </w:t>
      </w:r>
      <w:r w:rsidRPr="001B46DE">
        <w:t>að nýrri byggðaáætlun.</w:t>
      </w:r>
    </w:p>
    <w:p w:rsidR="005E6687" w:rsidRPr="001B46DE" w:rsidRDefault="005E6687" w:rsidP="00037C2C">
      <w:pPr>
        <w:pStyle w:val="Default"/>
      </w:pPr>
    </w:p>
    <w:p w:rsidR="005E6687" w:rsidRPr="001B46DE" w:rsidRDefault="005E6687" w:rsidP="00037C2C">
      <w:pPr>
        <w:pStyle w:val="Default"/>
      </w:pPr>
      <w:r w:rsidRPr="001B46DE">
        <w:t>Fyrst ber að geta þess að tillagan sem slík er metnaðarfull og er að mati BÍ á heildina litið ný og jákvæð nálgun fyrir íslenska byggðastefnu.</w:t>
      </w:r>
    </w:p>
    <w:p w:rsidR="005E6687" w:rsidRPr="001B46DE" w:rsidRDefault="005E6687" w:rsidP="00037C2C">
      <w:pPr>
        <w:pStyle w:val="Default"/>
      </w:pPr>
    </w:p>
    <w:p w:rsidR="00B91A82" w:rsidRPr="001B46DE" w:rsidRDefault="00B91A82" w:rsidP="00037C2C">
      <w:pPr>
        <w:pStyle w:val="Default"/>
      </w:pPr>
      <w:r w:rsidRPr="001B46DE">
        <w:t xml:space="preserve">Það hefur þó vitanlega úrslitaþýðingu fyrir framgang málsins hvort að nauðsynleg fjármögnun fæst á þau verkefni sem lögð eru til.  BÍ leggja því þunga áherslu á að samhliða afgreiðslu málsins verði nauðsynleg fjármögnun </w:t>
      </w:r>
      <w:r w:rsidR="00952CBF" w:rsidRPr="001B46DE">
        <w:t xml:space="preserve">tryggð um leið í fjármálaáætlun og upphæðir til einstakra verkefna komi skýrt fram í byggðaáætluninni sjálfri.  </w:t>
      </w:r>
    </w:p>
    <w:p w:rsidR="00B91A82" w:rsidRPr="001B46DE" w:rsidRDefault="00B91A82" w:rsidP="00037C2C">
      <w:pPr>
        <w:pStyle w:val="Default"/>
      </w:pPr>
      <w:r w:rsidRPr="001B46DE">
        <w:t>Víða í tillögunni eru árangursmælikvarðar sem er mjög jákvætt.  BÍ telja þó að fara verði nánar yfir tillöguna og bæta við mælikvörðum allsstaðar þar sem það er kostur.  Það skiptir miklu máli að hægt sé meta árangur einstakra verkefni með skilgreindum mælikvörðum og þar með stefnunnar í heild.</w:t>
      </w:r>
    </w:p>
    <w:p w:rsidR="00B91A82" w:rsidRPr="001B46DE" w:rsidRDefault="00B91A82" w:rsidP="00037C2C">
      <w:pPr>
        <w:pStyle w:val="Default"/>
      </w:pPr>
    </w:p>
    <w:p w:rsidR="00B91A82" w:rsidRPr="001B46DE" w:rsidRDefault="00B91A82" w:rsidP="00037C2C">
      <w:pPr>
        <w:pStyle w:val="Default"/>
      </w:pPr>
      <w:r w:rsidRPr="001B46DE">
        <w:t xml:space="preserve">BÍ vilja auk þess benda á eftirfarandi þætti varðandi einstaka kafla </w:t>
      </w:r>
      <w:r w:rsidR="00952CBF" w:rsidRPr="001B46DE">
        <w:t xml:space="preserve">og verkefni </w:t>
      </w:r>
      <w:r w:rsidRPr="001B46DE">
        <w:t>tillögunnar.</w:t>
      </w:r>
    </w:p>
    <w:p w:rsidR="00B91A82" w:rsidRPr="001B46DE" w:rsidRDefault="00B91A82" w:rsidP="00037C2C">
      <w:pPr>
        <w:pStyle w:val="Default"/>
      </w:pPr>
    </w:p>
    <w:p w:rsidR="00793E79" w:rsidRPr="001B46DE" w:rsidRDefault="00793E79" w:rsidP="00037C2C">
      <w:pPr>
        <w:pStyle w:val="Default"/>
      </w:pPr>
      <w:r w:rsidRPr="001B46DE">
        <w:t>Í fyrstu málsgrein kafla um framtí</w:t>
      </w:r>
      <w:r w:rsidR="00037C2C" w:rsidRPr="001B46DE">
        <w:t xml:space="preserve">ðarsýn og áskoranir </w:t>
      </w:r>
      <w:r w:rsidRPr="001B46DE">
        <w:t xml:space="preserve">á bls. 1 </w:t>
      </w:r>
      <w:r w:rsidR="00037C2C" w:rsidRPr="001B46DE">
        <w:t xml:space="preserve">mætti leggja meiri áherslu á sjálfsákvörðunarrétt sveitarfélaga.  </w:t>
      </w:r>
    </w:p>
    <w:p w:rsidR="00793E79" w:rsidRPr="001B46DE" w:rsidRDefault="00793E79" w:rsidP="00037C2C">
      <w:pPr>
        <w:pStyle w:val="Default"/>
      </w:pPr>
    </w:p>
    <w:p w:rsidR="00037C2C" w:rsidRPr="001B46DE" w:rsidRDefault="00952CBF" w:rsidP="00793E79">
      <w:pPr>
        <w:pStyle w:val="Default"/>
      </w:pPr>
      <w:r w:rsidRPr="001B46DE">
        <w:t xml:space="preserve">BÍ telja að það þurfi að koma fram sem </w:t>
      </w:r>
      <w:r w:rsidR="00037C2C" w:rsidRPr="001B46DE">
        <w:t xml:space="preserve">áskorun </w:t>
      </w:r>
      <w:r w:rsidR="00426645" w:rsidRPr="001B46DE">
        <w:t xml:space="preserve">í sama kafla </w:t>
      </w:r>
      <w:r w:rsidR="00037C2C" w:rsidRPr="001B46DE">
        <w:t>að viðhalda matvælaframleiðslu sem víðast um landið, til samræmi</w:t>
      </w:r>
      <w:r w:rsidR="004852D4" w:rsidRPr="001B46DE">
        <w:t>s</w:t>
      </w:r>
      <w:r w:rsidR="00037C2C" w:rsidRPr="001B46DE">
        <w:t xml:space="preserve"> við </w:t>
      </w:r>
      <w:r w:rsidR="00793E79" w:rsidRPr="001B46DE">
        <w:t xml:space="preserve">yfirmarkmið kafla C um </w:t>
      </w:r>
      <w:r w:rsidRPr="001B46DE">
        <w:t>„</w:t>
      </w:r>
      <w:r w:rsidR="00793E79" w:rsidRPr="001B46DE">
        <w:t>að stuðla að sjálfbærri þróun byggða um allt land.</w:t>
      </w:r>
      <w:r w:rsidRPr="001B46DE">
        <w:t>“</w:t>
      </w:r>
      <w:r w:rsidR="00037C2C" w:rsidRPr="001B46DE">
        <w:t xml:space="preserve"> </w:t>
      </w:r>
    </w:p>
    <w:p w:rsidR="00426645" w:rsidRPr="001B46DE" w:rsidRDefault="00426645" w:rsidP="00793E79">
      <w:pPr>
        <w:pStyle w:val="Default"/>
      </w:pPr>
    </w:p>
    <w:p w:rsidR="00426645" w:rsidRPr="001B46DE" w:rsidRDefault="00426645" w:rsidP="00793E79">
      <w:pPr>
        <w:pStyle w:val="Default"/>
      </w:pPr>
      <w:r w:rsidRPr="001B46DE">
        <w:t>Kafli C</w:t>
      </w:r>
    </w:p>
    <w:p w:rsidR="00426645" w:rsidRPr="001B46DE" w:rsidRDefault="00426645" w:rsidP="00426645">
      <w:pPr>
        <w:pStyle w:val="Default"/>
      </w:pPr>
      <w:r w:rsidRPr="001B46DE">
        <w:t>Efla þarf verkefnið „Brothættar byggðir“ – ekki einungis halda því áfram.</w:t>
      </w:r>
    </w:p>
    <w:p w:rsidR="00426645" w:rsidRPr="001B46DE" w:rsidRDefault="00426645" w:rsidP="00426645">
      <w:pPr>
        <w:pStyle w:val="Default"/>
      </w:pPr>
    </w:p>
    <w:p w:rsidR="00426645" w:rsidRPr="001B46DE" w:rsidRDefault="00426645" w:rsidP="00426645">
      <w:pPr>
        <w:rPr>
          <w:rFonts w:ascii="Times New Roman" w:hAnsi="Times New Roman" w:cs="Times New Roman"/>
          <w:sz w:val="24"/>
          <w:szCs w:val="24"/>
        </w:rPr>
      </w:pPr>
      <w:r w:rsidRPr="001B46DE">
        <w:rPr>
          <w:rFonts w:ascii="Times New Roman" w:hAnsi="Times New Roman" w:cs="Times New Roman"/>
          <w:sz w:val="24"/>
          <w:szCs w:val="24"/>
        </w:rPr>
        <w:t xml:space="preserve">Vegna punkts um loftslagsbreytingar þá hvetja BÍ stjórnvöld til að horfa einnig til þeirrar skaðsemi sem gengdarlausir flutningar heimshorna á milli hafa á umhverfið, enda þó veikleiki Parísarsáttmálans sé einna helstur að taka ekki á þeim ört vaxandi vanda.  Áætlanir um endurheimt votlendis, </w:t>
      </w:r>
      <w:r w:rsidR="004852D4" w:rsidRPr="001B46DE">
        <w:rPr>
          <w:rFonts w:ascii="Times New Roman" w:hAnsi="Times New Roman" w:cs="Times New Roman"/>
          <w:sz w:val="24"/>
          <w:szCs w:val="24"/>
        </w:rPr>
        <w:t>(</w:t>
      </w:r>
      <w:r w:rsidRPr="001B46DE">
        <w:rPr>
          <w:rFonts w:ascii="Times New Roman" w:hAnsi="Times New Roman" w:cs="Times New Roman"/>
          <w:sz w:val="24"/>
          <w:szCs w:val="24"/>
        </w:rPr>
        <w:t xml:space="preserve">sem reyndar er a.m.k. ekki enn </w:t>
      </w:r>
      <w:r w:rsidR="004852D4" w:rsidRPr="001B46DE">
        <w:rPr>
          <w:rFonts w:ascii="Times New Roman" w:hAnsi="Times New Roman" w:cs="Times New Roman"/>
          <w:sz w:val="24"/>
          <w:szCs w:val="24"/>
        </w:rPr>
        <w:t xml:space="preserve">framtalsbært </w:t>
      </w:r>
      <w:r w:rsidRPr="001B46DE">
        <w:rPr>
          <w:rFonts w:ascii="Times New Roman" w:hAnsi="Times New Roman" w:cs="Times New Roman"/>
          <w:sz w:val="24"/>
          <w:szCs w:val="24"/>
        </w:rPr>
        <w:t>í bókhaldi Parísarsáttmálans</w:t>
      </w:r>
      <w:r w:rsidR="004852D4" w:rsidRPr="001B46DE">
        <w:rPr>
          <w:rFonts w:ascii="Times New Roman" w:hAnsi="Times New Roman" w:cs="Times New Roman"/>
          <w:sz w:val="24"/>
          <w:szCs w:val="24"/>
        </w:rPr>
        <w:t>)</w:t>
      </w:r>
      <w:r w:rsidRPr="001B46DE">
        <w:rPr>
          <w:rFonts w:ascii="Times New Roman" w:hAnsi="Times New Roman" w:cs="Times New Roman"/>
          <w:sz w:val="24"/>
          <w:szCs w:val="24"/>
        </w:rPr>
        <w:t xml:space="preserve"> þurfa auk heldur að byggja á mikið betri grunni en nú er fyrir hendi og t</w:t>
      </w:r>
      <w:r w:rsidR="004852D4" w:rsidRPr="001B46DE">
        <w:rPr>
          <w:rFonts w:ascii="Times New Roman" w:hAnsi="Times New Roman" w:cs="Times New Roman"/>
          <w:sz w:val="24"/>
          <w:szCs w:val="24"/>
        </w:rPr>
        <w:t>a</w:t>
      </w:r>
      <w:r w:rsidRPr="001B46DE">
        <w:rPr>
          <w:rFonts w:ascii="Times New Roman" w:hAnsi="Times New Roman" w:cs="Times New Roman"/>
          <w:sz w:val="24"/>
          <w:szCs w:val="24"/>
        </w:rPr>
        <w:t>ka mið af öðrum markmiðum um sjálfbærni sem m.a. eru nefnd í þessum kafla.</w:t>
      </w:r>
    </w:p>
    <w:p w:rsidR="00426645" w:rsidRPr="001B46DE" w:rsidRDefault="00426645" w:rsidP="00426645">
      <w:pPr>
        <w:pStyle w:val="Default"/>
      </w:pPr>
    </w:p>
    <w:p w:rsidR="00952CBF" w:rsidRPr="001B46DE" w:rsidRDefault="00952CBF" w:rsidP="00037C2C">
      <w:pPr>
        <w:pStyle w:val="Default"/>
        <w:rPr>
          <w:b/>
          <w:bCs/>
        </w:rPr>
      </w:pPr>
      <w:r w:rsidRPr="001B46DE">
        <w:rPr>
          <w:b/>
          <w:bCs/>
        </w:rPr>
        <w:t>Um einstök verkefni</w:t>
      </w:r>
    </w:p>
    <w:p w:rsidR="00B16949" w:rsidRPr="001B46DE" w:rsidRDefault="00B16949" w:rsidP="00B16949">
      <w:pPr>
        <w:rPr>
          <w:rFonts w:ascii="Times New Roman" w:hAnsi="Times New Roman" w:cs="Times New Roman"/>
          <w:b/>
          <w:bCs/>
          <w:sz w:val="24"/>
          <w:szCs w:val="24"/>
        </w:rPr>
      </w:pPr>
      <w:r w:rsidRPr="001B46DE">
        <w:rPr>
          <w:rFonts w:ascii="Times New Roman" w:hAnsi="Times New Roman" w:cs="Times New Roman"/>
          <w:b/>
          <w:bCs/>
          <w:sz w:val="24"/>
          <w:szCs w:val="24"/>
        </w:rPr>
        <w:t>A.3 Efling rannsókna og vísindastarfsemi</w:t>
      </w:r>
    </w:p>
    <w:p w:rsidR="00B16949" w:rsidRPr="001B46DE" w:rsidRDefault="00B16949" w:rsidP="00B16949">
      <w:pPr>
        <w:rPr>
          <w:rFonts w:ascii="Times New Roman" w:hAnsi="Times New Roman" w:cs="Times New Roman"/>
          <w:bCs/>
          <w:sz w:val="24"/>
          <w:szCs w:val="24"/>
        </w:rPr>
      </w:pPr>
      <w:r w:rsidRPr="001B46DE">
        <w:rPr>
          <w:rFonts w:ascii="Times New Roman" w:hAnsi="Times New Roman" w:cs="Times New Roman"/>
          <w:bCs/>
          <w:sz w:val="24"/>
          <w:szCs w:val="24"/>
        </w:rPr>
        <w:t xml:space="preserve">Auk þess að taka undir þau sjónamið sem þarna koma fram þá vísa BÍ til nýsamþykktrar ályktunar Búnaðarþings um málefnið, </w:t>
      </w:r>
      <w:hyperlink r:id="rId4" w:history="1">
        <w:r w:rsidRPr="001B46DE">
          <w:rPr>
            <w:rStyle w:val="Hyperlink"/>
            <w:rFonts w:ascii="Times New Roman" w:hAnsi="Times New Roman" w:cs="Times New Roman"/>
            <w:sz w:val="24"/>
            <w:szCs w:val="24"/>
          </w:rPr>
          <w:t>http://www.bondi.is/um-bi/bunadarthing/2018/alyktanir/</w:t>
        </w:r>
      </w:hyperlink>
      <w:r w:rsidRPr="001B46DE">
        <w:rPr>
          <w:rFonts w:ascii="Times New Roman" w:hAnsi="Times New Roman" w:cs="Times New Roman"/>
          <w:bCs/>
          <w:sz w:val="24"/>
          <w:szCs w:val="24"/>
        </w:rPr>
        <w:t xml:space="preserve"> þar sem lagðar eru fram tillögur um nálgun hvað varðar vísindastarf í landbúnaði.</w:t>
      </w:r>
      <w:bookmarkStart w:id="0" w:name="_GoBack"/>
      <w:bookmarkEnd w:id="0"/>
    </w:p>
    <w:p w:rsidR="00952CBF" w:rsidRPr="001B46DE" w:rsidRDefault="00952CBF" w:rsidP="00037C2C">
      <w:pPr>
        <w:pStyle w:val="Default"/>
        <w:rPr>
          <w:b/>
          <w:bCs/>
        </w:rPr>
      </w:pPr>
    </w:p>
    <w:p w:rsidR="00952CBF" w:rsidRPr="001B46DE" w:rsidRDefault="00952CBF" w:rsidP="00037C2C">
      <w:pPr>
        <w:pStyle w:val="Default"/>
        <w:rPr>
          <w:b/>
          <w:bCs/>
        </w:rPr>
      </w:pPr>
      <w:r w:rsidRPr="001B46DE">
        <w:rPr>
          <w:b/>
          <w:bCs/>
        </w:rPr>
        <w:t>B.1 Hraða þrífösun rafmagns</w:t>
      </w:r>
    </w:p>
    <w:p w:rsidR="00952CBF" w:rsidRPr="001B46DE" w:rsidRDefault="00952CBF" w:rsidP="00037C2C">
      <w:pPr>
        <w:pStyle w:val="Default"/>
        <w:rPr>
          <w:bCs/>
        </w:rPr>
      </w:pPr>
      <w:r w:rsidRPr="001B46DE">
        <w:rPr>
          <w:bCs/>
        </w:rPr>
        <w:t>Hér þarf skýrari markmið og hvernig eigi að ná þeim.</w:t>
      </w:r>
    </w:p>
    <w:p w:rsidR="00952CBF" w:rsidRPr="001B46DE" w:rsidRDefault="00952CBF" w:rsidP="00037C2C">
      <w:pPr>
        <w:pStyle w:val="Default"/>
        <w:rPr>
          <w:b/>
          <w:bCs/>
        </w:rPr>
      </w:pPr>
    </w:p>
    <w:p w:rsidR="000514CF" w:rsidRPr="001B46DE" w:rsidRDefault="000514CF" w:rsidP="00037C2C">
      <w:pPr>
        <w:pStyle w:val="Default"/>
      </w:pPr>
      <w:r w:rsidRPr="001B46DE">
        <w:rPr>
          <w:b/>
          <w:bCs/>
        </w:rPr>
        <w:t>B.2 Flutningskerfi raforku og bætt orkuöryggi</w:t>
      </w:r>
    </w:p>
    <w:p w:rsidR="004852D4" w:rsidRPr="001B46DE" w:rsidRDefault="00426645" w:rsidP="004852D4">
      <w:pPr>
        <w:rPr>
          <w:rFonts w:ascii="Times New Roman" w:hAnsi="Times New Roman" w:cs="Times New Roman"/>
          <w:sz w:val="24"/>
          <w:szCs w:val="24"/>
        </w:rPr>
      </w:pPr>
      <w:r w:rsidRPr="001B46DE">
        <w:rPr>
          <w:rFonts w:ascii="Times New Roman" w:hAnsi="Times New Roman" w:cs="Times New Roman"/>
          <w:sz w:val="24"/>
          <w:szCs w:val="24"/>
        </w:rPr>
        <w:t xml:space="preserve">Bent er á það </w:t>
      </w:r>
      <w:r w:rsidR="00037C2C" w:rsidRPr="001B46DE">
        <w:rPr>
          <w:rFonts w:ascii="Times New Roman" w:hAnsi="Times New Roman" w:cs="Times New Roman"/>
          <w:sz w:val="24"/>
          <w:szCs w:val="24"/>
        </w:rPr>
        <w:t>grundvallaratriði að möguleiki sé á tengingu yfir hálendið, það er besta leiðin til þess að tryggja raforkuöryggi og takmarka ónauðsynleg inngrip í búsetusamfélögunum. Það má ekki vanmeta mikilvægi þess að með línulögn yfir hálendið er raforkuflutningskerfið stytt til muna og þar af leiðandi minnkar umhverfisáhrif á menningar- og búsetulandslag verulega allt um kring um landið okkar fagra. Það er mikilvægt að huga að ásýnd menningar- og búsetulandslags þar sem fólkið býr og dvelur allt árið um kring og fram fer uppbygging meðal annars á þjónustu við ferðamenn.</w:t>
      </w:r>
      <w:r w:rsidR="004852D4" w:rsidRPr="001B46DE">
        <w:rPr>
          <w:rFonts w:ascii="Times New Roman" w:hAnsi="Times New Roman" w:cs="Times New Roman"/>
          <w:sz w:val="24"/>
          <w:szCs w:val="24"/>
        </w:rPr>
        <w:t xml:space="preserve">  BÍ vísa í þessu samhengi til umsagnar sinnar um stefnu stjórnvalda um uppbyggingu flutningskerfis raforku (179. mál, þingsályktunartillaga</w:t>
      </w:r>
      <w:r w:rsidR="001B46DE">
        <w:rPr>
          <w:rFonts w:ascii="Times New Roman" w:hAnsi="Times New Roman" w:cs="Times New Roman"/>
          <w:sz w:val="24"/>
          <w:szCs w:val="24"/>
        </w:rPr>
        <w:t xml:space="preserve"> </w:t>
      </w:r>
      <w:r w:rsidR="004852D4" w:rsidRPr="001B46DE">
        <w:rPr>
          <w:rFonts w:ascii="Times New Roman" w:hAnsi="Times New Roman" w:cs="Times New Roman"/>
          <w:sz w:val="24"/>
          <w:szCs w:val="24"/>
        </w:rPr>
        <w:t>148. löggjafarþing 2017–2018.)</w:t>
      </w:r>
    </w:p>
    <w:p w:rsidR="004852D4" w:rsidRDefault="001B46DE">
      <w:pPr>
        <w:rPr>
          <w:rFonts w:ascii="Times New Roman" w:hAnsi="Times New Roman" w:cs="Times New Roman"/>
          <w:sz w:val="24"/>
          <w:szCs w:val="24"/>
        </w:rPr>
      </w:pPr>
      <w:hyperlink r:id="rId5" w:history="1">
        <w:r w:rsidRPr="00E44962">
          <w:rPr>
            <w:rStyle w:val="Hyperlink"/>
            <w:rFonts w:ascii="Times New Roman" w:hAnsi="Times New Roman" w:cs="Times New Roman"/>
            <w:sz w:val="24"/>
            <w:szCs w:val="24"/>
          </w:rPr>
          <w:t>https://www.althingi.is/altext/erindi/148/148-723.pdf</w:t>
        </w:r>
      </w:hyperlink>
    </w:p>
    <w:p w:rsidR="009B6D6E" w:rsidRPr="001B46DE" w:rsidRDefault="009B6D6E" w:rsidP="009B6D6E">
      <w:pPr>
        <w:rPr>
          <w:rFonts w:ascii="Times New Roman" w:hAnsi="Times New Roman" w:cs="Times New Roman"/>
          <w:b/>
          <w:bCs/>
          <w:sz w:val="24"/>
          <w:szCs w:val="24"/>
        </w:rPr>
      </w:pPr>
      <w:r w:rsidRPr="001B46DE">
        <w:rPr>
          <w:rFonts w:ascii="Times New Roman" w:hAnsi="Times New Roman" w:cs="Times New Roman"/>
          <w:b/>
          <w:bCs/>
          <w:sz w:val="24"/>
          <w:szCs w:val="24"/>
        </w:rPr>
        <w:t>B.14 Fjármagn til nýsköpunar</w:t>
      </w:r>
      <w:r w:rsidRPr="001B46DE">
        <w:rPr>
          <w:rFonts w:ascii="Times New Roman" w:hAnsi="Times New Roman" w:cs="Times New Roman"/>
          <w:b/>
          <w:bCs/>
          <w:sz w:val="24"/>
          <w:szCs w:val="24"/>
        </w:rPr>
        <w:br/>
      </w:r>
      <w:r w:rsidRPr="001B46DE">
        <w:rPr>
          <w:rFonts w:ascii="Times New Roman" w:hAnsi="Times New Roman" w:cs="Times New Roman"/>
          <w:bCs/>
          <w:sz w:val="24"/>
          <w:szCs w:val="24"/>
        </w:rPr>
        <w:t xml:space="preserve">Þessum tillögum er fagnað. BÍ benda á möguleika þess að nýta Framleiðnisjóð landbúnaðarins við framgang þessara verkefna og hvetja stjórnvöld til að skoða sérstaklega hvernig mætti nýta sjóðinn til verkefna í byggðamálum. </w:t>
      </w:r>
    </w:p>
    <w:p w:rsidR="009B6D6E" w:rsidRPr="001B46DE" w:rsidRDefault="009B6D6E" w:rsidP="009B6D6E">
      <w:pPr>
        <w:rPr>
          <w:rFonts w:ascii="Times New Roman" w:hAnsi="Times New Roman" w:cs="Times New Roman"/>
          <w:b/>
          <w:bCs/>
          <w:sz w:val="24"/>
          <w:szCs w:val="24"/>
        </w:rPr>
      </w:pPr>
      <w:r w:rsidRPr="001B46DE">
        <w:rPr>
          <w:rFonts w:ascii="Times New Roman" w:hAnsi="Times New Roman" w:cs="Times New Roman"/>
          <w:b/>
          <w:bCs/>
          <w:sz w:val="24"/>
          <w:szCs w:val="24"/>
        </w:rPr>
        <w:t>B.17 Bújarðir í eigu ríkisins</w:t>
      </w:r>
      <w:r w:rsidRPr="001B46DE">
        <w:rPr>
          <w:rFonts w:ascii="Times New Roman" w:hAnsi="Times New Roman" w:cs="Times New Roman"/>
          <w:b/>
          <w:bCs/>
          <w:sz w:val="24"/>
          <w:szCs w:val="24"/>
        </w:rPr>
        <w:br/>
      </w:r>
      <w:r w:rsidRPr="001B46DE">
        <w:rPr>
          <w:rFonts w:ascii="Times New Roman" w:hAnsi="Times New Roman" w:cs="Times New Roman"/>
          <w:bCs/>
          <w:sz w:val="24"/>
          <w:szCs w:val="24"/>
        </w:rPr>
        <w:t>Afar jákvæðar tillögur sem BÍ telja að þurfi að komast í framkvæmd sem fyrst.  Búnaðarþing 2016 ályktaði sérstaklega um málið.</w:t>
      </w:r>
    </w:p>
    <w:p w:rsidR="00E15390" w:rsidRPr="001B46DE" w:rsidRDefault="00C61814">
      <w:pPr>
        <w:rPr>
          <w:rFonts w:ascii="Times New Roman" w:hAnsi="Times New Roman" w:cs="Times New Roman"/>
          <w:bCs/>
          <w:sz w:val="24"/>
          <w:szCs w:val="24"/>
        </w:rPr>
      </w:pPr>
      <w:r w:rsidRPr="001B46DE">
        <w:rPr>
          <w:rFonts w:ascii="Times New Roman" w:hAnsi="Times New Roman" w:cs="Times New Roman"/>
          <w:b/>
          <w:bCs/>
          <w:sz w:val="24"/>
          <w:szCs w:val="24"/>
        </w:rPr>
        <w:t>C.3 Stuðningur við einstaklinga – námslán</w:t>
      </w:r>
      <w:r w:rsidR="00E15390" w:rsidRPr="001B46DE">
        <w:rPr>
          <w:rFonts w:ascii="Times New Roman" w:hAnsi="Times New Roman" w:cs="Times New Roman"/>
          <w:b/>
          <w:bCs/>
          <w:sz w:val="24"/>
          <w:szCs w:val="24"/>
        </w:rPr>
        <w:br/>
      </w:r>
      <w:r w:rsidR="00E15390" w:rsidRPr="001B46DE">
        <w:rPr>
          <w:rFonts w:ascii="Times New Roman" w:hAnsi="Times New Roman" w:cs="Times New Roman"/>
          <w:bCs/>
          <w:sz w:val="24"/>
          <w:szCs w:val="24"/>
        </w:rPr>
        <w:t xml:space="preserve">Þessum tillögum er fagnað. </w:t>
      </w:r>
      <w:r w:rsidRPr="001B46DE">
        <w:rPr>
          <w:rFonts w:ascii="Times New Roman" w:hAnsi="Times New Roman" w:cs="Times New Roman"/>
          <w:bCs/>
          <w:sz w:val="24"/>
          <w:szCs w:val="24"/>
        </w:rPr>
        <w:t xml:space="preserve">BÍ benda einnig á að fleiri möguleikar eru til þess að ívilna þeim sem hafa fasta búsetu í dreifðum byggðum.   </w:t>
      </w:r>
      <w:r w:rsidR="00E15390" w:rsidRPr="001B46DE">
        <w:rPr>
          <w:rFonts w:ascii="Times New Roman" w:hAnsi="Times New Roman" w:cs="Times New Roman"/>
          <w:bCs/>
          <w:sz w:val="24"/>
          <w:szCs w:val="24"/>
        </w:rPr>
        <w:t>Það er lykilatriði í þessu að  þeir íbúar dreifðu byggðanna sem hafa fasta búsetu fái metið það framlag sem þeir leggja til samfélagsins eins og þeir eiga skilið.</w:t>
      </w:r>
    </w:p>
    <w:p w:rsidR="00C61814" w:rsidRPr="001B46DE" w:rsidRDefault="00E15390">
      <w:pPr>
        <w:rPr>
          <w:rFonts w:ascii="Times New Roman" w:hAnsi="Times New Roman" w:cs="Times New Roman"/>
          <w:bCs/>
          <w:sz w:val="24"/>
          <w:szCs w:val="24"/>
        </w:rPr>
      </w:pPr>
      <w:r w:rsidRPr="001B46DE">
        <w:rPr>
          <w:rFonts w:ascii="Times New Roman" w:hAnsi="Times New Roman" w:cs="Times New Roman"/>
          <w:bCs/>
          <w:sz w:val="24"/>
          <w:szCs w:val="24"/>
        </w:rPr>
        <w:t>Bent er á skýrslu starfshóps sjávarútvegs- og landbúnaðarráðherra hér:</w:t>
      </w:r>
    </w:p>
    <w:p w:rsidR="00C61814" w:rsidRPr="001B46DE" w:rsidRDefault="001B46DE">
      <w:pPr>
        <w:rPr>
          <w:rFonts w:ascii="Times New Roman" w:hAnsi="Times New Roman" w:cs="Times New Roman"/>
          <w:color w:val="006621"/>
          <w:sz w:val="24"/>
          <w:szCs w:val="24"/>
          <w:shd w:val="clear" w:color="auto" w:fill="FFFFFF"/>
        </w:rPr>
      </w:pPr>
      <w:hyperlink r:id="rId6" w:history="1">
        <w:r w:rsidR="00C61814" w:rsidRPr="001B46DE">
          <w:rPr>
            <w:rStyle w:val="Hyperlink"/>
            <w:rFonts w:ascii="Times New Roman" w:hAnsi="Times New Roman" w:cs="Times New Roman"/>
            <w:sz w:val="24"/>
            <w:szCs w:val="24"/>
            <w:shd w:val="clear" w:color="auto" w:fill="FFFFFF"/>
          </w:rPr>
          <w:t>https://www.stjornarradid.is/.../161021-Skyrsla-um-innvidi-og-busetu-i-sveitum.pdf</w:t>
        </w:r>
      </w:hyperlink>
    </w:p>
    <w:p w:rsidR="00C61814" w:rsidRPr="001B46DE" w:rsidRDefault="00E15390">
      <w:pPr>
        <w:rPr>
          <w:rFonts w:ascii="Times New Roman" w:hAnsi="Times New Roman" w:cs="Times New Roman"/>
          <w:bCs/>
          <w:sz w:val="24"/>
          <w:szCs w:val="24"/>
        </w:rPr>
      </w:pPr>
      <w:r w:rsidRPr="001B46DE">
        <w:rPr>
          <w:rFonts w:ascii="Times New Roman" w:hAnsi="Times New Roman" w:cs="Times New Roman"/>
          <w:bCs/>
          <w:sz w:val="24"/>
          <w:szCs w:val="24"/>
        </w:rPr>
        <w:t>Lagt er til að skýrsla þessi verði tekin til skoðunar og farið yfir hvort þær tillögur sem þar eru geti ekki fallið að verkefnum þessa kafla.</w:t>
      </w:r>
    </w:p>
    <w:p w:rsidR="00037C2C" w:rsidRPr="001B46DE" w:rsidRDefault="00054145">
      <w:pPr>
        <w:rPr>
          <w:rFonts w:ascii="Times New Roman" w:hAnsi="Times New Roman" w:cs="Times New Roman"/>
          <w:bCs/>
          <w:sz w:val="24"/>
          <w:szCs w:val="24"/>
        </w:rPr>
      </w:pPr>
      <w:r w:rsidRPr="001B46DE">
        <w:rPr>
          <w:rFonts w:ascii="Times New Roman" w:hAnsi="Times New Roman" w:cs="Times New Roman"/>
          <w:b/>
          <w:bCs/>
          <w:sz w:val="24"/>
          <w:szCs w:val="24"/>
        </w:rPr>
        <w:t>C.9 Náttúruvernd og efling byggða</w:t>
      </w:r>
      <w:r w:rsidR="00E15390" w:rsidRPr="001B46DE">
        <w:rPr>
          <w:rFonts w:ascii="Times New Roman" w:hAnsi="Times New Roman" w:cs="Times New Roman"/>
          <w:b/>
          <w:bCs/>
          <w:sz w:val="24"/>
          <w:szCs w:val="24"/>
        </w:rPr>
        <w:br/>
      </w:r>
      <w:r w:rsidR="00E15390" w:rsidRPr="001B46DE">
        <w:rPr>
          <w:rFonts w:ascii="Times New Roman" w:hAnsi="Times New Roman" w:cs="Times New Roman"/>
          <w:bCs/>
          <w:sz w:val="24"/>
          <w:szCs w:val="24"/>
        </w:rPr>
        <w:t xml:space="preserve">Tekið er undir að þarna séu heimamenn framkvæmdaaðilar og leggja </w:t>
      </w:r>
      <w:r w:rsidR="00E35EEF" w:rsidRPr="001B46DE">
        <w:rPr>
          <w:rFonts w:ascii="Times New Roman" w:hAnsi="Times New Roman" w:cs="Times New Roman"/>
          <w:bCs/>
          <w:sz w:val="24"/>
          <w:szCs w:val="24"/>
        </w:rPr>
        <w:t xml:space="preserve">BÍ </w:t>
      </w:r>
      <w:r w:rsidR="00E15390" w:rsidRPr="001B46DE">
        <w:rPr>
          <w:rFonts w:ascii="Times New Roman" w:hAnsi="Times New Roman" w:cs="Times New Roman"/>
          <w:bCs/>
          <w:sz w:val="24"/>
          <w:szCs w:val="24"/>
        </w:rPr>
        <w:t>áherslu á sjálfsákvörðunar rétt sveitarfélaga í þessum efnum.</w:t>
      </w:r>
    </w:p>
    <w:p w:rsidR="00E15390" w:rsidRPr="001B46DE" w:rsidRDefault="00E15390">
      <w:pPr>
        <w:rPr>
          <w:rFonts w:ascii="Times New Roman" w:hAnsi="Times New Roman" w:cs="Times New Roman"/>
          <w:bCs/>
          <w:sz w:val="24"/>
          <w:szCs w:val="24"/>
        </w:rPr>
      </w:pPr>
      <w:r w:rsidRPr="001B46DE">
        <w:rPr>
          <w:rFonts w:ascii="Times New Roman" w:hAnsi="Times New Roman" w:cs="Times New Roman"/>
          <w:bCs/>
          <w:sz w:val="24"/>
          <w:szCs w:val="24"/>
        </w:rPr>
        <w:t>Bændasamtökin áskilja sér rétt til að koma að frekari ábendingum við frekari afgreiðslu málsins.</w:t>
      </w:r>
    </w:p>
    <w:p w:rsidR="00E15390" w:rsidRPr="001B46DE" w:rsidRDefault="00E15390">
      <w:pPr>
        <w:rPr>
          <w:rFonts w:ascii="Times New Roman" w:hAnsi="Times New Roman" w:cs="Times New Roman"/>
          <w:bCs/>
          <w:sz w:val="24"/>
          <w:szCs w:val="24"/>
        </w:rPr>
      </w:pPr>
      <w:r w:rsidRPr="001B46DE">
        <w:rPr>
          <w:rFonts w:ascii="Times New Roman" w:hAnsi="Times New Roman" w:cs="Times New Roman"/>
          <w:bCs/>
          <w:sz w:val="24"/>
          <w:szCs w:val="24"/>
        </w:rPr>
        <w:t>F.h. BÍ</w:t>
      </w:r>
    </w:p>
    <w:p w:rsidR="00E15390" w:rsidRPr="001B46DE" w:rsidRDefault="00E15390">
      <w:pPr>
        <w:rPr>
          <w:rFonts w:ascii="Times New Roman" w:hAnsi="Times New Roman" w:cs="Times New Roman"/>
          <w:bCs/>
          <w:sz w:val="24"/>
          <w:szCs w:val="24"/>
        </w:rPr>
      </w:pPr>
      <w:r w:rsidRPr="001B46DE">
        <w:rPr>
          <w:rFonts w:ascii="Times New Roman" w:hAnsi="Times New Roman" w:cs="Times New Roman"/>
          <w:bCs/>
          <w:sz w:val="24"/>
          <w:szCs w:val="24"/>
        </w:rPr>
        <w:t>Sigurður Eyþórsson</w:t>
      </w:r>
      <w:r w:rsidRPr="001B46DE">
        <w:rPr>
          <w:rFonts w:ascii="Times New Roman" w:hAnsi="Times New Roman" w:cs="Times New Roman"/>
          <w:bCs/>
          <w:sz w:val="24"/>
          <w:szCs w:val="24"/>
        </w:rPr>
        <w:br/>
        <w:t>Framkvæmdastjóri.</w:t>
      </w:r>
    </w:p>
    <w:sectPr w:rsidR="00E15390" w:rsidRPr="001B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2C"/>
    <w:rsid w:val="00037C2C"/>
    <w:rsid w:val="000514CF"/>
    <w:rsid w:val="00054145"/>
    <w:rsid w:val="001B46DE"/>
    <w:rsid w:val="003741B5"/>
    <w:rsid w:val="00426645"/>
    <w:rsid w:val="004852D4"/>
    <w:rsid w:val="004E4A77"/>
    <w:rsid w:val="005E6687"/>
    <w:rsid w:val="00793E79"/>
    <w:rsid w:val="00952CBF"/>
    <w:rsid w:val="009B6D6E"/>
    <w:rsid w:val="00B16949"/>
    <w:rsid w:val="00B91A82"/>
    <w:rsid w:val="00C61814"/>
    <w:rsid w:val="00E15390"/>
    <w:rsid w:val="00E35EE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644AC-A63A-4A8C-B6E3-E1DC72C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C2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61814"/>
    <w:rPr>
      <w:color w:val="0563C1" w:themeColor="hyperlink"/>
      <w:u w:val="single"/>
    </w:rPr>
  </w:style>
  <w:style w:type="character" w:customStyle="1" w:styleId="UnresolvedMention1">
    <w:name w:val="Unresolved Mention1"/>
    <w:basedOn w:val="DefaultParagraphFont"/>
    <w:uiPriority w:val="99"/>
    <w:semiHidden/>
    <w:unhideWhenUsed/>
    <w:rsid w:val="00C61814"/>
    <w:rPr>
      <w:color w:val="808080"/>
      <w:shd w:val="clear" w:color="auto" w:fill="E6E6E6"/>
    </w:rPr>
  </w:style>
  <w:style w:type="paragraph" w:styleId="NormalWeb">
    <w:name w:val="Normal (Web)"/>
    <w:basedOn w:val="Normal"/>
    <w:uiPriority w:val="99"/>
    <w:semiHidden/>
    <w:unhideWhenUsed/>
    <w:rsid w:val="005E6687"/>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UnresolvedMention">
    <w:name w:val="Unresolved Mention"/>
    <w:basedOn w:val="DefaultParagraphFont"/>
    <w:uiPriority w:val="99"/>
    <w:semiHidden/>
    <w:unhideWhenUsed/>
    <w:rsid w:val="00B169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00798">
      <w:bodyDiv w:val="1"/>
      <w:marLeft w:val="0"/>
      <w:marRight w:val="0"/>
      <w:marTop w:val="0"/>
      <w:marBottom w:val="0"/>
      <w:divBdr>
        <w:top w:val="none" w:sz="0" w:space="0" w:color="auto"/>
        <w:left w:val="none" w:sz="0" w:space="0" w:color="auto"/>
        <w:bottom w:val="none" w:sz="0" w:space="0" w:color="auto"/>
        <w:right w:val="none" w:sz="0" w:space="0" w:color="auto"/>
      </w:divBdr>
    </w:div>
    <w:div w:id="1019164860">
      <w:bodyDiv w:val="1"/>
      <w:marLeft w:val="0"/>
      <w:marRight w:val="0"/>
      <w:marTop w:val="0"/>
      <w:marBottom w:val="0"/>
      <w:divBdr>
        <w:top w:val="none" w:sz="0" w:space="0" w:color="auto"/>
        <w:left w:val="none" w:sz="0" w:space="0" w:color="auto"/>
        <w:bottom w:val="none" w:sz="0" w:space="0" w:color="auto"/>
        <w:right w:val="none" w:sz="0" w:space="0" w:color="auto"/>
      </w:divBdr>
    </w:div>
    <w:div w:id="21414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jornarradid.is/.../161021-Skyrsla-um-innvidi-og-busetu-i-sveitum.pdf" TargetMode="External"/><Relationship Id="rId5" Type="http://schemas.openxmlformats.org/officeDocument/2006/relationships/hyperlink" Target="https://www.althingi.is/altext/erindi/148/148-723.pdf" TargetMode="External"/><Relationship Id="rId4" Type="http://schemas.openxmlformats.org/officeDocument/2006/relationships/hyperlink" Target="http://www.bondi.is/um-bi/bunadarthing/2018/alykta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Jaðar</dc:creator>
  <cp:keywords/>
  <dc:description/>
  <cp:lastModifiedBy>Sigurður Eyþórsson</cp:lastModifiedBy>
  <cp:revision>2</cp:revision>
  <dcterms:created xsi:type="dcterms:W3CDTF">2018-03-21T15:49:00Z</dcterms:created>
  <dcterms:modified xsi:type="dcterms:W3CDTF">2018-03-21T15:49:00Z</dcterms:modified>
</cp:coreProperties>
</file>