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40BA17E" w:rsidR="00E71F27" w:rsidRPr="00E36306" w:rsidRDefault="00E71F27" w:rsidP="00E71F27">
      <w:pPr>
        <w:pStyle w:val="Nmeringsskjalsmls"/>
      </w:pPr>
      <w:bookmarkStart w:id="0" w:name="_Toc303616026"/>
      <w:bookmarkStart w:id="1" w:name="_Toc303616027"/>
      <w:bookmarkStart w:id="2" w:name="_Hlk76458583"/>
      <w:r w:rsidRPr="00E36306">
        <w:t>1</w:t>
      </w:r>
      <w:r w:rsidR="00301215" w:rsidRPr="00E36306">
        <w:t>5</w:t>
      </w:r>
      <w:r w:rsidR="00845F09" w:rsidRPr="00E36306">
        <w:t>2</w:t>
      </w:r>
      <w:r w:rsidRPr="00E36306">
        <w:t>. löggjafarþing 20</w:t>
      </w:r>
      <w:bookmarkEnd w:id="0"/>
      <w:r w:rsidR="004B088E" w:rsidRPr="00E36306">
        <w:t>2</w:t>
      </w:r>
      <w:r w:rsidR="00845F09" w:rsidRPr="00E36306">
        <w:t>1</w:t>
      </w:r>
      <w:r w:rsidRPr="00E36306">
        <w:t>–20</w:t>
      </w:r>
      <w:r w:rsidR="00301215" w:rsidRPr="00E36306">
        <w:t>2</w:t>
      </w:r>
      <w:r w:rsidR="00845F09" w:rsidRPr="00E36306">
        <w:t>2</w:t>
      </w:r>
      <w:r w:rsidRPr="00E36306">
        <w:t xml:space="preserve">. </w:t>
      </w:r>
    </w:p>
    <w:p w14:paraId="5BBE5CF6" w14:textId="77777777" w:rsidR="00E71F27" w:rsidRPr="00E36306" w:rsidRDefault="00E71F27" w:rsidP="00E71F27">
      <w:pPr>
        <w:pStyle w:val="Nmeringsskjalsmls"/>
      </w:pPr>
      <w:r w:rsidRPr="00E36306">
        <w:t>Þingskjal x — x. mál</w:t>
      </w:r>
      <w:bookmarkEnd w:id="1"/>
      <w:r w:rsidRPr="00E36306">
        <w:t>.</w:t>
      </w:r>
    </w:p>
    <w:p w14:paraId="31012B73" w14:textId="77777777" w:rsidR="00E71F27" w:rsidRPr="00E36306" w:rsidRDefault="00E71F27" w:rsidP="00E71F27">
      <w:pPr>
        <w:pStyle w:val="Nmeringsskjalsmls"/>
      </w:pPr>
      <w:r w:rsidRPr="00E36306">
        <w:t xml:space="preserve">Stjórnarfrumvarp. </w:t>
      </w:r>
    </w:p>
    <w:p w14:paraId="14ECABB4" w14:textId="77777777" w:rsidR="00E71F27" w:rsidRPr="00E36306" w:rsidRDefault="00E71F27" w:rsidP="002675EE">
      <w:pPr>
        <w:pStyle w:val="Fyrirsgn-skjalategund"/>
      </w:pPr>
      <w:r w:rsidRPr="00E36306">
        <w:t>Frumvarp til laga</w:t>
      </w:r>
    </w:p>
    <w:p w14:paraId="5683D276" w14:textId="54E2DB7B" w:rsidR="00E71F27" w:rsidRPr="00E36306" w:rsidRDefault="00E71F27" w:rsidP="002675EE">
      <w:pPr>
        <w:pStyle w:val="Fyrirsgn-undirfyrirsgn"/>
      </w:pPr>
      <w:r w:rsidRPr="00E36306">
        <w:t>um</w:t>
      </w:r>
      <w:r w:rsidR="00694BF7" w:rsidRPr="00E36306">
        <w:t xml:space="preserve"> breytingu á </w:t>
      </w:r>
      <w:r w:rsidR="003B1BA1" w:rsidRPr="00E36306">
        <w:t>lögum</w:t>
      </w:r>
      <w:r w:rsidR="00694BF7" w:rsidRPr="00E36306">
        <w:t xml:space="preserve"> um fjárhagslegar viðmiðanir</w:t>
      </w:r>
      <w:r w:rsidR="003B1BA1" w:rsidRPr="00E36306">
        <w:t>, nr. 7/2021</w:t>
      </w:r>
      <w:r w:rsidR="00694BF7" w:rsidRPr="00E36306">
        <w:t xml:space="preserve"> (innleiðing).</w:t>
      </w:r>
    </w:p>
    <w:p w14:paraId="1A2DC9F1" w14:textId="77777777" w:rsidR="005D5AEE" w:rsidRPr="00E36306" w:rsidRDefault="005D5AEE" w:rsidP="005D5AEE"/>
    <w:p w14:paraId="69A8EA8E" w14:textId="3E918CDB" w:rsidR="00E71F27" w:rsidRPr="00E36306" w:rsidRDefault="00E71F27" w:rsidP="00E71F27">
      <w:pPr>
        <w:pStyle w:val="Frrherra"/>
      </w:pPr>
      <w:r w:rsidRPr="00E36306">
        <w:t xml:space="preserve">Frá </w:t>
      </w:r>
      <w:r w:rsidR="00694BF7" w:rsidRPr="00E36306">
        <w:t>fjármála- og efnahagsráðherra</w:t>
      </w:r>
      <w:r w:rsidRPr="00E36306">
        <w:t xml:space="preserve">. </w:t>
      </w:r>
    </w:p>
    <w:p w14:paraId="5ED77F89" w14:textId="77777777" w:rsidR="003B1BA1" w:rsidRPr="00E36306" w:rsidRDefault="003B1BA1" w:rsidP="00EF0D0C">
      <w:pPr>
        <w:ind w:left="284"/>
      </w:pPr>
    </w:p>
    <w:p w14:paraId="690CD9D9" w14:textId="3EA989FC" w:rsidR="00C35574" w:rsidRPr="00E36306" w:rsidRDefault="000464E6" w:rsidP="00EF0D0C">
      <w:pPr>
        <w:pStyle w:val="Greinarnmer"/>
        <w:ind w:left="284"/>
      </w:pPr>
      <w:r w:rsidRPr="00E36306">
        <w:t>1</w:t>
      </w:r>
      <w:r w:rsidR="00C35574" w:rsidRPr="00E36306">
        <w:t>. gr.</w:t>
      </w:r>
    </w:p>
    <w:p w14:paraId="181CF9EA" w14:textId="36905EB3" w:rsidR="00C35574" w:rsidRPr="00E36306" w:rsidRDefault="00A062AC" w:rsidP="00EF0D0C">
      <w:pPr>
        <w:ind w:left="284"/>
      </w:pPr>
      <w:r w:rsidRPr="00E36306">
        <w:t>Eftirfarandi breytingar verða á 1. gr. laganna:</w:t>
      </w:r>
    </w:p>
    <w:p w14:paraId="5B8DD005" w14:textId="0B7D25FA" w:rsidR="00A062AC" w:rsidRPr="00E36306" w:rsidRDefault="00A062AC" w:rsidP="00EF0D0C">
      <w:pPr>
        <w:ind w:left="284"/>
        <w:rPr>
          <w:color w:val="242424"/>
          <w:shd w:val="clear" w:color="auto" w:fill="FFFFFF"/>
        </w:rPr>
      </w:pPr>
      <w:r w:rsidRPr="00E36306">
        <w:t>a. Á eftir orðunum „</w:t>
      </w:r>
      <w:r w:rsidRPr="00E36306">
        <w:rPr>
          <w:color w:val="242424"/>
          <w:shd w:val="clear" w:color="auto" w:fill="FFFFFF"/>
        </w:rPr>
        <w:t xml:space="preserve">sjálfbærni fyrir viðmiðanir“ í 1. mgr. kemur: og </w:t>
      </w:r>
      <w:r w:rsidR="003623A1" w:rsidRPr="00E36306">
        <w:rPr>
          <w:color w:val="242424"/>
          <w:shd w:val="clear" w:color="auto" w:fill="FFFFFF"/>
        </w:rPr>
        <w:t xml:space="preserve">1. gr. </w:t>
      </w:r>
      <w:r w:rsidRPr="00E36306">
        <w:rPr>
          <w:color w:val="242424"/>
          <w:shd w:val="clear" w:color="auto" w:fill="FFFFFF"/>
        </w:rPr>
        <w:t>reglugerð</w:t>
      </w:r>
      <w:r w:rsidR="003623A1" w:rsidRPr="00E36306">
        <w:rPr>
          <w:color w:val="242424"/>
          <w:shd w:val="clear" w:color="auto" w:fill="FFFFFF"/>
        </w:rPr>
        <w:t>ar</w:t>
      </w:r>
      <w:r w:rsidRPr="00E36306">
        <w:rPr>
          <w:color w:val="242424"/>
          <w:shd w:val="clear" w:color="auto" w:fill="FFFFFF"/>
        </w:rPr>
        <w:t xml:space="preserve"> Evrópuþingsins og ráðsins (ESB) 2021/168 frá 10. febrúar 2021 um breytingu á reglugerð (ESB) 2016/1011 að því er varðar undanþágu fyrir tilteknar viðmiðanir fyrir stundargengi gjaldmiðla þriðju landa og tilnefningu viðmiðana í stað viðmiðana sem verður hætt með, og um breytingu á reglugerð (ESB) nr. 648/2012.</w:t>
      </w:r>
    </w:p>
    <w:p w14:paraId="6803BBDA" w14:textId="0F9DE633" w:rsidR="00251950" w:rsidRPr="00E36306" w:rsidRDefault="00A062AC" w:rsidP="00EF0D0C">
      <w:pPr>
        <w:ind w:left="284"/>
      </w:pPr>
      <w:r w:rsidRPr="00E36306">
        <w:t>b. Á eftir 2. málsl. 2. mgr. kemur nýr málsliður, svohljóðandi: Reglugerð (ESB) 2021/168 er birt á bls. [</w:t>
      </w:r>
      <w:r w:rsidR="00BB6578" w:rsidRPr="00E36306">
        <w:t>bls.</w:t>
      </w:r>
      <w:r w:rsidRPr="00E36306">
        <w:t>] í EES-viðbæti við Stjórnartíðindi Evrópusambandsins nr. [</w:t>
      </w:r>
      <w:r w:rsidR="00BB6578" w:rsidRPr="00E36306">
        <w:t>nr.</w:t>
      </w:r>
      <w:r w:rsidRPr="00E36306">
        <w:t>] frá [</w:t>
      </w:r>
      <w:r w:rsidR="00BB6578" w:rsidRPr="00E36306">
        <w:t>dags.</w:t>
      </w:r>
      <w:r w:rsidRPr="00E36306">
        <w:t>].</w:t>
      </w:r>
    </w:p>
    <w:p w14:paraId="2AAC3B6F" w14:textId="41FE6AA7" w:rsidR="00C35574" w:rsidRPr="00E36306" w:rsidRDefault="00C35574" w:rsidP="00943B67"/>
    <w:p w14:paraId="52C9BF87" w14:textId="12425655" w:rsidR="002E5BB6" w:rsidRPr="00E36306" w:rsidRDefault="000464E6" w:rsidP="002E5BB6">
      <w:pPr>
        <w:pStyle w:val="Greinarnmer"/>
        <w:ind w:left="284"/>
      </w:pPr>
      <w:bookmarkStart w:id="3" w:name="_Hlk76478042"/>
      <w:r w:rsidRPr="00E36306">
        <w:t>2</w:t>
      </w:r>
      <w:r w:rsidR="002E5BB6" w:rsidRPr="00E36306">
        <w:t>. gr.</w:t>
      </w:r>
    </w:p>
    <w:p w14:paraId="0D883DE4" w14:textId="123979E2" w:rsidR="002E5BB6" w:rsidRPr="00E36306" w:rsidRDefault="002E5BB6" w:rsidP="002E5BB6">
      <w:pPr>
        <w:ind w:left="284"/>
      </w:pPr>
      <w:r w:rsidRPr="00E36306">
        <w:t>Eftirfarandi breytingar verða á 1. mgr. 13. gr. laganna:</w:t>
      </w:r>
    </w:p>
    <w:p w14:paraId="36B86B7D" w14:textId="6B606640" w:rsidR="002E5BB6" w:rsidRPr="00E36306" w:rsidRDefault="002E5BB6" w:rsidP="002E5BB6">
      <w:pPr>
        <w:ind w:left="284"/>
      </w:pPr>
      <w:r w:rsidRPr="00E36306">
        <w:t xml:space="preserve">a. Á eftir </w:t>
      </w:r>
      <w:r w:rsidR="00C64531" w:rsidRPr="00E36306">
        <w:t>c</w:t>
      </w:r>
      <w:r w:rsidRPr="00E36306">
        <w:t xml:space="preserve">-lið málsgreinarinnar kemur nýr stafliður, </w:t>
      </w:r>
      <w:r w:rsidR="00612E3E" w:rsidRPr="00E36306">
        <w:t>er</w:t>
      </w:r>
      <w:r w:rsidRPr="00E36306">
        <w:t xml:space="preserve"> verður </w:t>
      </w:r>
      <w:r w:rsidR="007A002A" w:rsidRPr="00E36306">
        <w:t>d</w:t>
      </w:r>
      <w:r w:rsidRPr="00E36306">
        <w:t>-liður, svohljóðandi: 3. mgr. 18. gr. a um lista yfir viðmiðanir fyrir stundargengi gjaldmiðla</w:t>
      </w:r>
      <w:r w:rsidR="0085333A" w:rsidRPr="00E36306">
        <w:t xml:space="preserve"> sem falla ekki undir reglugerðina</w:t>
      </w:r>
      <w:r w:rsidRPr="00E36306">
        <w:t>.</w:t>
      </w:r>
    </w:p>
    <w:p w14:paraId="3C0EB0E9" w14:textId="56724D1F" w:rsidR="002E5BB6" w:rsidRPr="00E36306" w:rsidRDefault="002E5BB6" w:rsidP="002E5BB6">
      <w:pPr>
        <w:ind w:left="284"/>
      </w:pPr>
      <w:r w:rsidRPr="00E36306">
        <w:t xml:space="preserve">b. Á eftir h-lið málsgreinarinnar kemur nýr stafliður, </w:t>
      </w:r>
      <w:r w:rsidR="00612E3E" w:rsidRPr="00E36306">
        <w:t>er</w:t>
      </w:r>
      <w:r w:rsidRPr="00E36306">
        <w:t xml:space="preserve"> verður </w:t>
      </w:r>
      <w:r w:rsidR="007A002A" w:rsidRPr="00E36306">
        <w:t>j</w:t>
      </w:r>
      <w:r w:rsidRPr="00E36306">
        <w:t xml:space="preserve">-liður, svohljóðandi: 8. mgr. 23. gr. b um </w:t>
      </w:r>
      <w:r w:rsidR="00612E3E" w:rsidRPr="00E36306">
        <w:t>tilnefningu viðmiðana í stað annarra viðmiðana.</w:t>
      </w:r>
    </w:p>
    <w:p w14:paraId="12BFB397" w14:textId="41A62F0B" w:rsidR="00612E3E" w:rsidRPr="00E36306" w:rsidRDefault="00612E3E" w:rsidP="002E5BB6">
      <w:pPr>
        <w:ind w:left="284"/>
      </w:pPr>
      <w:r w:rsidRPr="00E36306">
        <w:t xml:space="preserve">c. Á eftir m-lið málsgreinarinnar kemur nýr stafliður, er verður </w:t>
      </w:r>
      <w:r w:rsidR="007A002A" w:rsidRPr="00E36306">
        <w:t>p</w:t>
      </w:r>
      <w:r w:rsidRPr="00E36306">
        <w:t xml:space="preserve">-liður, svohljóðandi: 7. mgr. 54. gr. </w:t>
      </w:r>
      <w:r w:rsidR="007A002A" w:rsidRPr="00E36306">
        <w:t>um framlengingu umbreytingartímabils vegna viðmiðana þriðju ríkja</w:t>
      </w:r>
      <w:r w:rsidR="00B37965" w:rsidRPr="00E36306">
        <w:t>.</w:t>
      </w:r>
    </w:p>
    <w:bookmarkEnd w:id="3"/>
    <w:p w14:paraId="288AC0E1" w14:textId="77777777" w:rsidR="002E5BB6" w:rsidRPr="00E36306" w:rsidRDefault="002E5BB6" w:rsidP="00B37965">
      <w:pPr>
        <w:ind w:firstLine="0"/>
      </w:pPr>
    </w:p>
    <w:p w14:paraId="0DB82291" w14:textId="348E5F18" w:rsidR="00694BF7" w:rsidRPr="00E36306" w:rsidRDefault="000464E6" w:rsidP="00694BF7">
      <w:pPr>
        <w:pStyle w:val="Greinarnmer"/>
      </w:pPr>
      <w:r w:rsidRPr="00E36306">
        <w:t>3</w:t>
      </w:r>
      <w:r w:rsidR="00694BF7" w:rsidRPr="00E36306">
        <w:t>. gr.</w:t>
      </w:r>
    </w:p>
    <w:p w14:paraId="6C12D2A4" w14:textId="058FBE5E" w:rsidR="00694BF7" w:rsidRPr="00E36306" w:rsidRDefault="00694BF7" w:rsidP="00694BF7">
      <w:r w:rsidRPr="00E36306">
        <w:t>Lög þessi öðlast gildi</w:t>
      </w:r>
      <w:r w:rsidR="00922651" w:rsidRPr="00E36306">
        <w:t xml:space="preserve"> [dags.]</w:t>
      </w:r>
      <w:r w:rsidRPr="00E36306">
        <w:t>.</w:t>
      </w:r>
    </w:p>
    <w:p w14:paraId="6EC4C4A0" w14:textId="77777777" w:rsidR="00694BF7" w:rsidRPr="00E36306" w:rsidRDefault="00694BF7" w:rsidP="00943B67"/>
    <w:p w14:paraId="2C70D85C" w14:textId="77777777" w:rsidR="00E71F27" w:rsidRPr="00E36306" w:rsidRDefault="00E71F27" w:rsidP="00E71F27">
      <w:pPr>
        <w:pStyle w:val="Fyrirsgn-greinarger"/>
      </w:pPr>
      <w:r w:rsidRPr="00E36306">
        <w:t>Greinargerð.</w:t>
      </w:r>
    </w:p>
    <w:p w14:paraId="7508D08A" w14:textId="77777777" w:rsidR="00D0740D" w:rsidRPr="00E36306" w:rsidRDefault="00E71F27" w:rsidP="00D0740D">
      <w:pPr>
        <w:pStyle w:val="Millifyrirsgn1"/>
      </w:pPr>
      <w:r w:rsidRPr="00E36306">
        <w:t>1</w:t>
      </w:r>
      <w:r w:rsidR="00D0740D" w:rsidRPr="00E36306">
        <w:t xml:space="preserve">. Inngangur. </w:t>
      </w:r>
    </w:p>
    <w:p w14:paraId="6E352395" w14:textId="0FC23F2E" w:rsidR="00D0740D" w:rsidRPr="00E36306" w:rsidRDefault="00A062AC" w:rsidP="00D0740D">
      <w:r w:rsidRPr="00E36306">
        <w:t>Frumvarp þetta er samið í fjármála- og efnahagsráðuneytinu</w:t>
      </w:r>
      <w:r w:rsidR="0092372F" w:rsidRPr="00E36306">
        <w:t>.</w:t>
      </w:r>
    </w:p>
    <w:p w14:paraId="07A3093D" w14:textId="77777777" w:rsidR="00D0740D" w:rsidRPr="00E36306" w:rsidRDefault="00D0740D" w:rsidP="00D0740D"/>
    <w:p w14:paraId="14A61140" w14:textId="77777777" w:rsidR="00D0740D" w:rsidRPr="00E36306" w:rsidRDefault="00E71F27" w:rsidP="00D0740D">
      <w:pPr>
        <w:pStyle w:val="Millifyrirsgn1"/>
      </w:pPr>
      <w:r w:rsidRPr="00E36306">
        <w:t>2</w:t>
      </w:r>
      <w:r w:rsidR="00D0740D" w:rsidRPr="00E36306">
        <w:t xml:space="preserve">. Tilefni og nauðsyn lagasetningar. </w:t>
      </w:r>
    </w:p>
    <w:p w14:paraId="5CA9690E" w14:textId="715FAD06" w:rsidR="00183BF7" w:rsidRPr="00E36306" w:rsidRDefault="001E5948" w:rsidP="00183BF7">
      <w:r w:rsidRPr="00E36306">
        <w:t>Með lögum um fjárhagslegar viðmiðanir</w:t>
      </w:r>
      <w:r w:rsidR="000F4095" w:rsidRPr="00E36306">
        <w:t>, nr. 7/2021,</w:t>
      </w:r>
      <w:r w:rsidR="00183BF7" w:rsidRPr="00E36306">
        <w:t xml:space="preserve"> </w:t>
      </w:r>
      <w:r w:rsidRPr="00E36306">
        <w:t>var reglugerð (ESB) 2016/1011</w:t>
      </w:r>
      <w:r w:rsidR="000F4095" w:rsidRPr="00E36306">
        <w:t>, um vísitölur sem notaðar eru sem viðmiðanir í fjármálagerningum og fjárhagslegum samningum eða til að mæla árangur fjárfestingarsjóða,</w:t>
      </w:r>
      <w:r w:rsidR="00183BF7" w:rsidRPr="00E36306">
        <w:t xml:space="preserve"> veitt lagagildi hér á landi.</w:t>
      </w:r>
      <w:r w:rsidRPr="00E36306">
        <w:t xml:space="preserve"> </w:t>
      </w:r>
      <w:r w:rsidR="003323B0" w:rsidRPr="00E36306">
        <w:t>Hún</w:t>
      </w:r>
      <w:r w:rsidR="00183BF7" w:rsidRPr="00E36306">
        <w:t xml:space="preserve"> hefur að geyma reglur um gerð og notkun viðmiðunarvísitalna á borð við Libor-vexti sem liggja til grundvallar ýmsum samningum á sviði fjármálamarkaðar. Meðal annars er mælt fyrir um starfshætti aðila sem taka saman viðmiðanir, starfsleyfi, aðferðafræði við vinnslu viðmiðana og eftirlit.</w:t>
      </w:r>
    </w:p>
    <w:p w14:paraId="19F85536" w14:textId="293323D5" w:rsidR="006F391B" w:rsidRPr="00E36306" w:rsidRDefault="001E5948" w:rsidP="00400416">
      <w:r w:rsidRPr="00E36306">
        <w:lastRenderedPageBreak/>
        <w:t xml:space="preserve">Evrópusambandið samþykkti í febrúar 2021 að breyta </w:t>
      </w:r>
      <w:r w:rsidR="000F4095" w:rsidRPr="00E36306">
        <w:t xml:space="preserve">reglugerð (ESB) 2016/1011 </w:t>
      </w:r>
      <w:r w:rsidR="00183BF7" w:rsidRPr="00E36306">
        <w:t>með reglugerð (ESB) 2021/168.</w:t>
      </w:r>
      <w:r w:rsidR="007F5152" w:rsidRPr="00E36306">
        <w:t xml:space="preserve"> Síðarnefnda reglugerðin var</w:t>
      </w:r>
      <w:r w:rsidR="007E5A23" w:rsidRPr="00E36306">
        <w:t>, að einni grein frátalinni,</w:t>
      </w:r>
      <w:r w:rsidR="007F5152" w:rsidRPr="00E36306">
        <w:t xml:space="preserve"> tekin upp í samninginn um Evrópska efnahagssvæðið (EES-samninginn) með ákvörðun sameiginlegu EES-nefndarinnar nr. [nr.] frá [dags.].</w:t>
      </w:r>
      <w:r w:rsidR="00183BF7" w:rsidRPr="00E36306">
        <w:t xml:space="preserve"> Helstu breytingar </w:t>
      </w:r>
      <w:r w:rsidR="007F5152" w:rsidRPr="00E36306">
        <w:t xml:space="preserve">á reglugerð (ESB) 2016/1011 </w:t>
      </w:r>
      <w:r w:rsidR="00183BF7" w:rsidRPr="00E36306">
        <w:t xml:space="preserve">eru annars vegar að undanþiggja viðmiðanir fyrir stundargengi gjaldmiðla </w:t>
      </w:r>
      <w:r w:rsidR="00B72E29">
        <w:t xml:space="preserve">á lista </w:t>
      </w:r>
      <w:r w:rsidR="00183BF7" w:rsidRPr="00E36306">
        <w:t xml:space="preserve">sem framkvæmdastjórn Evrópusambandsins </w:t>
      </w:r>
      <w:r w:rsidR="00B72E29">
        <w:t>tekur saman</w:t>
      </w:r>
      <w:r w:rsidR="00183BF7" w:rsidRPr="00E36306">
        <w:t xml:space="preserve"> gildissviði reglugerðarinnar og hins vegar að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 til að styðjast við.</w:t>
      </w:r>
    </w:p>
    <w:p w14:paraId="7F145753" w14:textId="77777777" w:rsidR="001E5948" w:rsidRPr="00E36306" w:rsidRDefault="001E5948" w:rsidP="001E5948"/>
    <w:p w14:paraId="553E7221" w14:textId="77777777" w:rsidR="00D0740D" w:rsidRPr="00E36306" w:rsidRDefault="00E71F27" w:rsidP="00D0740D">
      <w:pPr>
        <w:pStyle w:val="Millifyrirsgn1"/>
      </w:pPr>
      <w:r w:rsidRPr="00E36306">
        <w:t>3</w:t>
      </w:r>
      <w:r w:rsidR="00D0740D" w:rsidRPr="00E36306">
        <w:t xml:space="preserve">. Meginefni frumvarpsins. </w:t>
      </w:r>
    </w:p>
    <w:p w14:paraId="11C6B917" w14:textId="33C1799B" w:rsidR="007F5152" w:rsidRPr="00E36306" w:rsidRDefault="007F5152" w:rsidP="007F5152">
      <w:r w:rsidRPr="00E36306">
        <w:t>Lagt er til að vísun í reglugerð (ESB) 2021/168 verði bætt við 1. gr. laga um fjárhagslegar viðmiðanir til að ljá breytingum á reglugerð (ESB) 2016/1011 gildi hér á landi. Jafnframt er lagt til að ráðherra verði heimilað að innleiða</w:t>
      </w:r>
      <w:r w:rsidR="003E448F" w:rsidRPr="00E36306">
        <w:t xml:space="preserve"> með reglugerð</w:t>
      </w:r>
      <w:r w:rsidRPr="00E36306">
        <w:t xml:space="preserve"> undirgerðir sem framkvæmdastjórn Evrópusambandsins samþykkir á grundvelli nýrra ákvæða í reglugerð (ESB) 2021/168</w:t>
      </w:r>
      <w:r w:rsidR="007A1878">
        <w:t xml:space="preserve"> og verða teknar upp í EES-samninginn</w:t>
      </w:r>
      <w:r w:rsidRPr="00E36306">
        <w:t>.</w:t>
      </w:r>
    </w:p>
    <w:p w14:paraId="19FAB002" w14:textId="77777777" w:rsidR="00D0740D" w:rsidRPr="00E36306" w:rsidRDefault="00D0740D" w:rsidP="00D0740D"/>
    <w:p w14:paraId="413EE9C2" w14:textId="77777777" w:rsidR="00D0740D" w:rsidRPr="00E36306" w:rsidRDefault="00E71F27" w:rsidP="00D0740D">
      <w:pPr>
        <w:pStyle w:val="Millifyrirsgn1"/>
      </w:pPr>
      <w:r w:rsidRPr="00E36306">
        <w:t>4</w:t>
      </w:r>
      <w:r w:rsidR="00D0740D" w:rsidRPr="00E36306">
        <w:t xml:space="preserve">. Samræmi við stjórnarskrá og alþjóðlegar skuldbindingar. </w:t>
      </w:r>
    </w:p>
    <w:p w14:paraId="0C891CE6" w14:textId="39F2109E" w:rsidR="0092372F" w:rsidRPr="00E36306" w:rsidRDefault="0092372F" w:rsidP="00D0740D">
      <w:r w:rsidRPr="00E36306">
        <w:t>Frumvarpið var ekki talið gefa tilefni til að skoða samræmi við stjórnarskrá.</w:t>
      </w:r>
    </w:p>
    <w:p w14:paraId="5D2602E6" w14:textId="77777777" w:rsidR="001A5CBD" w:rsidRDefault="00BA0BB8" w:rsidP="0092372F">
      <w:r w:rsidRPr="00E36306">
        <w:t xml:space="preserve">Íslandi ber skv. a-lið 7. gr. EES-samningsins að taka gerðir sem samsvara reglugerðum Evrópusambandsins og eru teknar upp í EES-samninginn sem slíkar upp í landsrétt. </w:t>
      </w:r>
      <w:r w:rsidR="0092372F" w:rsidRPr="00E36306">
        <w:t xml:space="preserve">Reglugerð (ESB) 2021/168 var </w:t>
      </w:r>
      <w:r w:rsidR="00DC12E3" w:rsidRPr="00E36306">
        <w:t xml:space="preserve">sem fyrr segir </w:t>
      </w:r>
      <w:r w:rsidR="0092372F" w:rsidRPr="00E36306">
        <w:t>tekin upp í EES-samninginn með ákvörðun sameiginlegu EES-nefndarinnar nr. [</w:t>
      </w:r>
      <w:r w:rsidRPr="00E36306">
        <w:t>nr.</w:t>
      </w:r>
      <w:r w:rsidR="0092372F" w:rsidRPr="00E36306">
        <w:t>] frá [</w:t>
      </w:r>
      <w:r w:rsidRPr="00E36306">
        <w:t>dags.</w:t>
      </w:r>
      <w:r w:rsidR="0092372F" w:rsidRPr="00E36306">
        <w:t>]</w:t>
      </w:r>
      <w:r w:rsidR="000464E6" w:rsidRPr="00E36306">
        <w:t>, að frátalinni 2. gr. reglugerðarinnar</w:t>
      </w:r>
      <w:r w:rsidR="0092372F" w:rsidRPr="00E36306">
        <w:t xml:space="preserve">. Ísland er því skuldbundið til að taka </w:t>
      </w:r>
      <w:r w:rsidRPr="00E36306">
        <w:t>reglugerðina</w:t>
      </w:r>
      <w:r w:rsidR="0092372F" w:rsidRPr="00E36306">
        <w:t xml:space="preserve"> upp í landsrétt í heild sinni</w:t>
      </w:r>
      <w:r w:rsidR="000464E6" w:rsidRPr="00E36306">
        <w:t>, að frátalinni 2. gr</w:t>
      </w:r>
      <w:r w:rsidR="0092372F" w:rsidRPr="00E36306">
        <w:t>.</w:t>
      </w:r>
      <w:r w:rsidR="00AD7112">
        <w:t xml:space="preserve"> </w:t>
      </w:r>
    </w:p>
    <w:p w14:paraId="1455640A" w14:textId="1081C317" w:rsidR="0092372F" w:rsidRPr="00E36306" w:rsidRDefault="00AD7112" w:rsidP="0092372F">
      <w:r>
        <w:t>Ákvæði 2. gr. reglugerðarinnar var ekki tekið upp í EES-samninginn með ákvörðun s</w:t>
      </w:r>
      <w:r w:rsidRPr="00E36306">
        <w:t>ameiginlegu EES-nefndarinnar</w:t>
      </w:r>
      <w:r>
        <w:t xml:space="preserve"> nr. [nr.] því að hún breytir ákvæði sem var bætt við reglugerð (ESB) nr. 648/2012, </w:t>
      </w:r>
      <w:r w:rsidRPr="00AD7112">
        <w:t>um OTC-afleiður</w:t>
      </w:r>
      <w:r>
        <w:t>,</w:t>
      </w:r>
      <w:r w:rsidRPr="00AD7112">
        <w:t xml:space="preserve"> miðlæga mótaðila og afleiðuviðskiptaskrár</w:t>
      </w:r>
      <w:r>
        <w:t xml:space="preserve">, með reglugerð (ESB) 2021/23, um ramma um endurreisn og skilameðferð miðlægra mótaðila, en hún hefur enn ekki verið tekin upp í EES-samninginn. Gert er ráð fyrir því að 2. gr. reglugerðar </w:t>
      </w:r>
      <w:r w:rsidRPr="00E36306">
        <w:t>(ESB) 2021/168</w:t>
      </w:r>
      <w:r>
        <w:t xml:space="preserve"> verði tekin upp í samninginn samhliða reglugerð (ESB) 2021/23.</w:t>
      </w:r>
    </w:p>
    <w:p w14:paraId="36B9F71B" w14:textId="77777777" w:rsidR="00D0740D" w:rsidRPr="00E36306" w:rsidRDefault="00D0740D" w:rsidP="0092372F">
      <w:pPr>
        <w:ind w:firstLine="0"/>
      </w:pPr>
    </w:p>
    <w:p w14:paraId="17499B2E" w14:textId="77777777" w:rsidR="00D0740D" w:rsidRPr="00E36306" w:rsidRDefault="00E71F27" w:rsidP="00D0740D">
      <w:pPr>
        <w:pStyle w:val="Millifyrirsgn1"/>
      </w:pPr>
      <w:r w:rsidRPr="00E36306">
        <w:t>5</w:t>
      </w:r>
      <w:r w:rsidR="00D0740D" w:rsidRPr="00E36306">
        <w:t xml:space="preserve">. Samráð. </w:t>
      </w:r>
    </w:p>
    <w:p w14:paraId="453E65E6" w14:textId="301F8670" w:rsidR="00EE5583" w:rsidRPr="00E36306" w:rsidRDefault="00EE5583" w:rsidP="00EE5583">
      <w:r w:rsidRPr="00E36306">
        <w:t>Frumvarpið snertir einkum aðila sem gera og nota fjárhagslegar viðmiðanir, þar á meðal Kauphöll Íslands hf., fjármálafyrirtæki, lántaka og fjárfesta.</w:t>
      </w:r>
    </w:p>
    <w:p w14:paraId="44754C68" w14:textId="7345FB62" w:rsidR="00EE5583" w:rsidRPr="00E36306" w:rsidRDefault="00EE5583" w:rsidP="00EE5583">
      <w:r w:rsidRPr="00E36306">
        <w:t xml:space="preserve">Haft var samráð við Fjármálaeftirlitið við gerð áformaskjals og frummats á áhrifum lagasetningar. </w:t>
      </w:r>
      <w:r w:rsidR="008702E1" w:rsidRPr="00E36306">
        <w:t>Skjölin</w:t>
      </w:r>
      <w:r w:rsidRPr="00E36306">
        <w:t xml:space="preserve"> voru send öðrum ráðuneytum til umsagnar í m</w:t>
      </w:r>
      <w:r w:rsidR="008702E1" w:rsidRPr="00E36306">
        <w:t>aí</w:t>
      </w:r>
      <w:r w:rsidRPr="00E36306">
        <w:t xml:space="preserve"> 2021 en </w:t>
      </w:r>
      <w:r w:rsidR="00245676" w:rsidRPr="00E36306">
        <w:t>engar athugasemdir bárust. Skjölin voru birt í samráðsgátt stjórnvalda sama mánuð (mál nr. 112/2021) en engar umsagnir bárust.</w:t>
      </w:r>
    </w:p>
    <w:p w14:paraId="0F96641F" w14:textId="05A57F45" w:rsidR="00245676" w:rsidRPr="00E36306" w:rsidRDefault="00245676" w:rsidP="00EE5583">
      <w:r w:rsidRPr="00E36306">
        <w:t xml:space="preserve">Haft var samráð við Fjármálaeftirlitið við gerð </w:t>
      </w:r>
      <w:r w:rsidR="00C70C55" w:rsidRPr="00E36306">
        <w:t>draga að frumvarpi þessu</w:t>
      </w:r>
      <w:r w:rsidR="006812D5" w:rsidRPr="00E36306">
        <w:t xml:space="preserve"> og endanlegs mats á áhrifum</w:t>
      </w:r>
      <w:r w:rsidRPr="00E36306">
        <w:t xml:space="preserve">. </w:t>
      </w:r>
      <w:r w:rsidR="006812D5" w:rsidRPr="00E36306">
        <w:t>Skjölin</w:t>
      </w:r>
      <w:r w:rsidRPr="00E36306">
        <w:t xml:space="preserve"> voru birt í samráðsgátt stjórnvalda í ágúst 2021</w:t>
      </w:r>
      <w:r w:rsidR="008702E1" w:rsidRPr="00E36306">
        <w:t xml:space="preserve"> (mál nr. [nr.])</w:t>
      </w:r>
      <w:r w:rsidRPr="00E36306">
        <w:t>. [Umfjöllun um umsagnir</w:t>
      </w:r>
      <w:r w:rsidR="00250B15">
        <w:t xml:space="preserve"> og viðbrögð við þeim</w:t>
      </w:r>
      <w:r w:rsidRPr="00E36306">
        <w:t>]</w:t>
      </w:r>
    </w:p>
    <w:p w14:paraId="302A8284" w14:textId="77777777" w:rsidR="00D0740D" w:rsidRPr="00E36306" w:rsidRDefault="00D0740D" w:rsidP="00D0740D"/>
    <w:p w14:paraId="69DDCD2E" w14:textId="77777777" w:rsidR="00D0740D" w:rsidRPr="00E36306" w:rsidRDefault="00E71F27" w:rsidP="00D0740D">
      <w:pPr>
        <w:pStyle w:val="Millifyrirsgn1"/>
      </w:pPr>
      <w:r w:rsidRPr="00E36306">
        <w:t>6</w:t>
      </w:r>
      <w:r w:rsidR="00D0740D" w:rsidRPr="00E36306">
        <w:t xml:space="preserve">. Mat á áhrifum. </w:t>
      </w:r>
    </w:p>
    <w:p w14:paraId="39D57429" w14:textId="40D61613" w:rsidR="002F0686" w:rsidRPr="00E36306" w:rsidRDefault="002F0686" w:rsidP="002F0686">
      <w:r w:rsidRPr="00E36306">
        <w:t xml:space="preserve">Reglugerð (ESB) 2021/168 miðar annars vegar að því að undanþiggja viðmiðanir fyrir stundargengi gjaldmiðla </w:t>
      </w:r>
      <w:r w:rsidR="00B95C5D">
        <w:t>á lista sem</w:t>
      </w:r>
      <w:r w:rsidRPr="00E36306">
        <w:t xml:space="preserve"> framkvæmdastjórn Evrópusambandsins </w:t>
      </w:r>
      <w:r w:rsidR="00B95C5D">
        <w:t>tekur saman</w:t>
      </w:r>
      <w:r w:rsidRPr="00E36306">
        <w:t xml:space="preserve"> gildissviði reglugerðar (ESB) 2016/1011. Breytingunni er ætlað að gera fjármálafyrirtækjum </w:t>
      </w:r>
      <w:r w:rsidRPr="00E36306">
        <w:lastRenderedPageBreak/>
        <w:t xml:space="preserve">og öðrum aðilum undir eftirliti á Evrópska efnahagssvæðinu kleift að notast áfram við viðmiðanir fyrir stundargengi gjaldmiðla þriðju ríkja þótt umsjónaraðilar þeirra geti ekki hlotið viðurkenningu framkvæmdastjórnar Evrópusambandsins eða lögbærra yfirvalda á Evrópska efnahagssvæðinu því þeir falla ekki undir hliðstætt regluverk og gildir á Evrópska efnahagssvæðinu. Það auðveldar fjármálafyrirtækjum að veita út- og innflytjendum og öðrum fyrirtækjum fjármálaafurðir til að verjast sveiflum í gengi gjaldmiðla þriðju ríkja. </w:t>
      </w:r>
    </w:p>
    <w:p w14:paraId="678934F3" w14:textId="09D219D4" w:rsidR="0092372F" w:rsidRPr="00E36306" w:rsidRDefault="002F0686" w:rsidP="002F0686">
      <w:r w:rsidRPr="00E36306">
        <w:t xml:space="preserve">Reglugerðin miðar hins vegar að því að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 Tillagan tekur m.a. mið af því að fjármálaeftirlit Bretlands hefur tilkynnt að eftir 2021 verði líklega hætt að birta Libor-vexti, sem eiga að endurspegla millibankavexti í London. Fjöldi lána og annarra fjárhagslegra samninga í Evrópu vísar til Libor-vaxta og talið er líklegt að samningsaðilar muni í mörgum tilvikum ekki hafa komið sér saman um aðra viðmiðun </w:t>
      </w:r>
      <w:r w:rsidR="0071741E">
        <w:t>áður en hætt verður að birta Libor-vexti</w:t>
      </w:r>
      <w:r w:rsidRPr="00E36306">
        <w:t>. Það að fyrir liggi viðmiðanir sem megi notast við þeirra í stað ætti að draga úr röskun af völdum þessa.</w:t>
      </w:r>
    </w:p>
    <w:p w14:paraId="56FB135A" w14:textId="058315CC" w:rsidR="0034172E" w:rsidRPr="00E36306" w:rsidRDefault="0034172E" w:rsidP="0034172E">
      <w:r w:rsidRPr="00E36306">
        <w:t>Fjármálaeftirlitið telur lögfestingu reglugerðar (ESB) 2021/168 ekki kalla á aukin verkefni eða kostnað. Ekki er gert ráð fyrir því að lögfestingin hafi áhrif á fjárhag ríkisins.</w:t>
      </w:r>
    </w:p>
    <w:p w14:paraId="72CB60F6" w14:textId="77777777" w:rsidR="00D0740D" w:rsidRPr="00E36306" w:rsidRDefault="00D0740D" w:rsidP="00943B67"/>
    <w:p w14:paraId="7F53B15A" w14:textId="77777777" w:rsidR="00E71F27" w:rsidRPr="00E36306" w:rsidRDefault="00E71F27" w:rsidP="00E71F27">
      <w:pPr>
        <w:pStyle w:val="Greinarfyrirsgn"/>
      </w:pPr>
      <w:r w:rsidRPr="00E36306">
        <w:t>Um einstakar greinar frumvarpsins.</w:t>
      </w:r>
    </w:p>
    <w:p w14:paraId="51389AE3" w14:textId="49C8F791" w:rsidR="00564708" w:rsidRPr="00E36306" w:rsidRDefault="00564708" w:rsidP="00564708">
      <w:pPr>
        <w:pStyle w:val="Greinarnmer"/>
      </w:pPr>
      <w:r w:rsidRPr="00E36306">
        <w:t xml:space="preserve">Um </w:t>
      </w:r>
      <w:r w:rsidR="00465276" w:rsidRPr="00E36306">
        <w:t>1</w:t>
      </w:r>
      <w:r w:rsidRPr="00E36306">
        <w:t>. gr.</w:t>
      </w:r>
    </w:p>
    <w:p w14:paraId="039AE6B6" w14:textId="215B4901" w:rsidR="00564708" w:rsidRPr="00E36306" w:rsidRDefault="00564708" w:rsidP="00564708">
      <w:r w:rsidRPr="00E36306">
        <w:t xml:space="preserve">Með 1. gr. laga um fjárhagslegar viðmiðanir var reglugerð (ESB) 2016/1011, eins og hún var aðlöguð við upptöku í EES-samninginn, veitt lagagildi hér á landi. Með </w:t>
      </w:r>
      <w:r w:rsidR="00465276" w:rsidRPr="00E36306">
        <w:t>1</w:t>
      </w:r>
      <w:r w:rsidRPr="00E36306">
        <w:t>. gr. frumvarpsins er lagt til að breytingum á reglugerðinni með 1. gr. reglugerðar (ESB) 2021/168 verði veitt gildi</w:t>
      </w:r>
      <w:r w:rsidR="00EF0D0C" w:rsidRPr="00E36306">
        <w:t xml:space="preserve"> hér á landi</w:t>
      </w:r>
      <w:r w:rsidRPr="00E36306">
        <w:t xml:space="preserve">. </w:t>
      </w:r>
      <w:r w:rsidR="00EF0D0C" w:rsidRPr="00E36306">
        <w:t>Breytingunum er</w:t>
      </w:r>
      <w:r w:rsidRPr="00E36306">
        <w:t xml:space="preserve"> annars vegar</w:t>
      </w:r>
      <w:r w:rsidR="00EF0D0C" w:rsidRPr="00E36306">
        <w:t xml:space="preserve"> ætlað</w:t>
      </w:r>
      <w:r w:rsidRPr="00E36306">
        <w:t xml:space="preserve"> að undanþiggja viðmiðanir fyrir stundargengi gjaldmiðla </w:t>
      </w:r>
      <w:r w:rsidR="00220C67">
        <w:t xml:space="preserve">á lista </w:t>
      </w:r>
      <w:r w:rsidRPr="00E36306">
        <w:t xml:space="preserve">sem framkvæmdastjórn Evrópusambandsins </w:t>
      </w:r>
      <w:r w:rsidR="00220C67">
        <w:t>tekur saman</w:t>
      </w:r>
      <w:r w:rsidRPr="00E36306">
        <w:t xml:space="preserve"> gildissviði reglugerðarinnar og hins vegar að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 til að styðjast við.</w:t>
      </w:r>
    </w:p>
    <w:p w14:paraId="68918B56" w14:textId="17B12EA4" w:rsidR="00564708" w:rsidRPr="00E36306" w:rsidRDefault="00564708" w:rsidP="00564708">
      <w:r w:rsidRPr="00E36306">
        <w:t>Reglugerð (ESB) 2021/168 var tekin upp í EES-samninginn með ákvörðun sameiginlegu EES-nefndarinnar nr. [</w:t>
      </w:r>
      <w:r w:rsidR="006812D5" w:rsidRPr="00E36306">
        <w:t>nr.</w:t>
      </w:r>
      <w:r w:rsidRPr="00E36306">
        <w:t>] frá [</w:t>
      </w:r>
      <w:r w:rsidR="006812D5" w:rsidRPr="00E36306">
        <w:t>dags.</w:t>
      </w:r>
      <w:r w:rsidRPr="00E36306">
        <w:t xml:space="preserve">]. Í </w:t>
      </w:r>
      <w:r w:rsidR="006812D5" w:rsidRPr="00E36306">
        <w:t xml:space="preserve">ákvörðuninni </w:t>
      </w:r>
      <w:r w:rsidRPr="00E36306">
        <w:t xml:space="preserve">eru engar aðlaganir </w:t>
      </w:r>
      <w:r w:rsidR="006812D5" w:rsidRPr="00E36306">
        <w:t xml:space="preserve">sem veita þarf gildi hér á landi </w:t>
      </w:r>
      <w:r w:rsidRPr="00E36306">
        <w:t>og því ekki lagt til að vísað verði til hennar í lögunum.</w:t>
      </w:r>
    </w:p>
    <w:p w14:paraId="21C13FD5" w14:textId="4EDFE377" w:rsidR="00564708" w:rsidRPr="00E36306" w:rsidRDefault="00564708" w:rsidP="00564708"/>
    <w:p w14:paraId="1A38BF13" w14:textId="2393F7CA" w:rsidR="000F4095" w:rsidRPr="00E36306" w:rsidRDefault="000F4095" w:rsidP="000F4095">
      <w:pPr>
        <w:pStyle w:val="Greinarnmer"/>
      </w:pPr>
      <w:r w:rsidRPr="00E36306">
        <w:t>Um 2. gr.</w:t>
      </w:r>
    </w:p>
    <w:p w14:paraId="39F98CE0" w14:textId="5A9EA12C" w:rsidR="00BF157A" w:rsidRPr="00E36306" w:rsidRDefault="000F4095" w:rsidP="000F4095">
      <w:r w:rsidRPr="00E36306">
        <w:t xml:space="preserve">Í 1. mgr. 13. gr. laga um </w:t>
      </w:r>
      <w:r w:rsidR="00BF157A" w:rsidRPr="00E36306">
        <w:t xml:space="preserve">fjárhagslegar viðmiðanir er ráðherra heimilað að innleiða </w:t>
      </w:r>
      <w:r w:rsidR="00B750E2">
        <w:t xml:space="preserve">með reglugerð </w:t>
      </w:r>
      <w:r w:rsidR="00BF157A" w:rsidRPr="00E36306">
        <w:t xml:space="preserve">undirgerðir sem framkvæmdastjórn Evrópusambandsins samþykkir til að útfæra nánar viss atriði reglugerðar (ESB) 2016/1011 og ekki byggjast á tæknistöðlum frá Evrópsku verðbréfamarkaðseftirlitsstofnuninni. Með reglugerð </w:t>
      </w:r>
      <w:r w:rsidR="00BF157A" w:rsidRPr="00E36306">
        <w:rPr>
          <w:color w:val="242424"/>
          <w:shd w:val="clear" w:color="auto" w:fill="FFFFFF"/>
        </w:rPr>
        <w:t xml:space="preserve">(ESB) 2021/168 </w:t>
      </w:r>
      <w:r w:rsidR="00A92371" w:rsidRPr="00E36306">
        <w:rPr>
          <w:color w:val="242424"/>
          <w:shd w:val="clear" w:color="auto" w:fill="FFFFFF"/>
        </w:rPr>
        <w:t>er</w:t>
      </w:r>
      <w:r w:rsidR="00BF157A" w:rsidRPr="00E36306">
        <w:rPr>
          <w:color w:val="242424"/>
          <w:shd w:val="clear" w:color="auto" w:fill="FFFFFF"/>
        </w:rPr>
        <w:t xml:space="preserve"> þremur ákvæðum sem heimila framkvæmdastjórninni að samþykkja undirgerðir til að útfæra </w:t>
      </w:r>
      <w:r w:rsidR="00A92371" w:rsidRPr="00E36306">
        <w:rPr>
          <w:color w:val="242424"/>
          <w:shd w:val="clear" w:color="auto" w:fill="FFFFFF"/>
        </w:rPr>
        <w:t>tiltekin</w:t>
      </w:r>
      <w:r w:rsidR="00BF157A" w:rsidRPr="00E36306">
        <w:rPr>
          <w:color w:val="242424"/>
          <w:shd w:val="clear" w:color="auto" w:fill="FFFFFF"/>
        </w:rPr>
        <w:t xml:space="preserve"> atriði bætt við reglugerð </w:t>
      </w:r>
      <w:r w:rsidR="00BF157A" w:rsidRPr="00E36306">
        <w:t>(ESB) 2016/1011.</w:t>
      </w:r>
      <w:r w:rsidR="00BF157A" w:rsidRPr="00E36306">
        <w:rPr>
          <w:color w:val="242424"/>
          <w:shd w:val="clear" w:color="auto" w:fill="FFFFFF"/>
        </w:rPr>
        <w:t xml:space="preserve"> Með 2. gr. frumvarpsins er lagt til að ráðherra verði heimilað að innleiða með reglugerð undirgerðir sem framkvæmdastjórnin samþykkir á þessum grundvelli</w:t>
      </w:r>
      <w:r w:rsidR="00A92371" w:rsidRPr="00E36306">
        <w:rPr>
          <w:color w:val="242424"/>
          <w:shd w:val="clear" w:color="auto" w:fill="FFFFFF"/>
        </w:rPr>
        <w:t xml:space="preserve"> og verða teknar upp í EES-samninginn</w:t>
      </w:r>
      <w:r w:rsidR="00BF157A" w:rsidRPr="00E36306">
        <w:rPr>
          <w:color w:val="242424"/>
          <w:shd w:val="clear" w:color="auto" w:fill="FFFFFF"/>
        </w:rPr>
        <w:t>.</w:t>
      </w:r>
    </w:p>
    <w:p w14:paraId="1F2E88B6" w14:textId="3794DD63" w:rsidR="00BF157A" w:rsidRPr="00E36306" w:rsidRDefault="00BF157A" w:rsidP="000F4095">
      <w:r w:rsidRPr="00E36306">
        <w:rPr>
          <w:color w:val="242424"/>
          <w:shd w:val="clear" w:color="auto" w:fill="FFFFFF"/>
        </w:rPr>
        <w:t xml:space="preserve">Nýju heimildirnar lúta að lista yfir </w:t>
      </w:r>
      <w:r w:rsidRPr="00E36306">
        <w:t xml:space="preserve">viðmiðanir fyrir stundargengi gjaldmiðla sem uppfylla skilyrði fyrir því að vera undanþegnar gildissviði </w:t>
      </w:r>
      <w:r w:rsidR="00E612D6" w:rsidRPr="00E36306">
        <w:t>reglugerðar (ESB) 2016/1011</w:t>
      </w:r>
      <w:r w:rsidRPr="00E36306">
        <w:t>, sbr. 3. mgr. 18. gr. a reglugerðar</w:t>
      </w:r>
      <w:r w:rsidR="00E612D6" w:rsidRPr="00E36306">
        <w:t>innar</w:t>
      </w:r>
      <w:r w:rsidRPr="00E36306">
        <w:t xml:space="preserve">, </w:t>
      </w:r>
      <w:r w:rsidR="00AC6D7A" w:rsidRPr="00E36306">
        <w:t xml:space="preserve">tilnefningu viðmiðana sem skuli notast við ef hætt er að gera viðmiðanir sem samningar eða aðrir fjárhagslegir gerningar vísa í eða þær verða ónothæfar og </w:t>
      </w:r>
      <w:r w:rsidR="00AC6D7A" w:rsidRPr="00E36306">
        <w:lastRenderedPageBreak/>
        <w:t xml:space="preserve">aðilar að gerningunum hafa ekki komið sér saman um aðrar viðmiðanir til að styðjast við, sbr. 8. mgr. 23. gr. b reglugerðarinnar, og </w:t>
      </w:r>
      <w:r w:rsidR="006E11E0" w:rsidRPr="00E36306">
        <w:t>mögulegri framlengingu heimildar í 5. mgr. 51. gr. reglugerðarinnar til að notast við viðmiðanir þriðju ríkja til ársloka 2025, sbr. 7. mgr. 54. gr. reglugerðarinnar. Framkvæmdastjórnin hefur enn sem komið er ekki samþykkt undirgerðir á þessum grundvelli.</w:t>
      </w:r>
    </w:p>
    <w:p w14:paraId="6A72BAF8" w14:textId="77777777" w:rsidR="000F4095" w:rsidRPr="00E36306" w:rsidRDefault="000F4095" w:rsidP="00564708"/>
    <w:p w14:paraId="6A9C62D7" w14:textId="7DA511B1" w:rsidR="00564708" w:rsidRPr="00E36306" w:rsidRDefault="00564708" w:rsidP="00564708">
      <w:pPr>
        <w:pStyle w:val="Greinarnmer"/>
      </w:pPr>
      <w:r w:rsidRPr="00E36306">
        <w:t xml:space="preserve">Um </w:t>
      </w:r>
      <w:r w:rsidR="00465276" w:rsidRPr="00E36306">
        <w:t>3</w:t>
      </w:r>
      <w:r w:rsidRPr="00E36306">
        <w:t>. gr.</w:t>
      </w:r>
    </w:p>
    <w:p w14:paraId="47E656CA" w14:textId="183BAC6F" w:rsidR="00564708" w:rsidRPr="00E36306" w:rsidRDefault="00922651" w:rsidP="00564708">
      <w:r w:rsidRPr="00E36306">
        <w:t>Lagt er til að lögin öðlist gildi sama dag og ákvörðun sameiginlegu EES-nefndarinnar nr. [</w:t>
      </w:r>
      <w:r w:rsidR="00EF0D0C" w:rsidRPr="00E36306">
        <w:t>nr.</w:t>
      </w:r>
      <w:r w:rsidRPr="00E36306">
        <w:t>] frá [</w:t>
      </w:r>
      <w:r w:rsidR="00EF0D0C" w:rsidRPr="00E36306">
        <w:t>dags.</w:t>
      </w:r>
      <w:r w:rsidRPr="00E36306">
        <w:t>] um upptöku reglugerðar (ESB) 2021/168 í EES-samninginn, það er [dags.].</w:t>
      </w:r>
    </w:p>
    <w:p w14:paraId="37EB195B" w14:textId="77777777" w:rsidR="00564708" w:rsidRPr="00E36306" w:rsidRDefault="00564708" w:rsidP="00943B67"/>
    <w:p w14:paraId="312B25F4" w14:textId="77777777" w:rsidR="003C43E0" w:rsidRPr="00E36306" w:rsidRDefault="003C43E0">
      <w:pPr>
        <w:ind w:firstLine="0"/>
        <w:jc w:val="left"/>
        <w:rPr>
          <w:b/>
          <w:u w:val="single"/>
        </w:rPr>
      </w:pPr>
      <w:r w:rsidRPr="00E36306">
        <w:rPr>
          <w:b/>
          <w:u w:val="single"/>
        </w:rPr>
        <w:br w:type="page"/>
      </w:r>
    </w:p>
    <w:p w14:paraId="2F7DF30E" w14:textId="51973DC1" w:rsidR="003B1BA1" w:rsidRPr="00E36306" w:rsidRDefault="003B1BA1" w:rsidP="003B1BA1">
      <w:pPr>
        <w:ind w:firstLine="0"/>
        <w:jc w:val="left"/>
        <w:rPr>
          <w:b/>
          <w:i/>
          <w:sz w:val="22"/>
          <w:u w:val="single"/>
        </w:rPr>
      </w:pPr>
      <w:r w:rsidRPr="00E36306">
        <w:rPr>
          <w:b/>
          <w:u w:val="single"/>
        </w:rPr>
        <w:lastRenderedPageBreak/>
        <w:t>Fylgiskjal.</w:t>
      </w:r>
    </w:p>
    <w:p w14:paraId="0DE21DD5" w14:textId="77777777" w:rsidR="003B1BA1" w:rsidRPr="00E36306" w:rsidRDefault="003B1BA1" w:rsidP="003B1BA1">
      <w:pPr>
        <w:spacing w:after="160" w:line="259" w:lineRule="auto"/>
        <w:ind w:firstLine="0"/>
        <w:jc w:val="left"/>
        <w:rPr>
          <w:rFonts w:ascii="FiraGO Light" w:eastAsia="FiraGO Light" w:hAnsi="FiraGO Light"/>
          <w:sz w:val="22"/>
        </w:rPr>
      </w:pPr>
    </w:p>
    <w:p w14:paraId="369F1B45" w14:textId="103E6BC2" w:rsidR="003B1BA1" w:rsidRPr="00E36306" w:rsidRDefault="003B1BA1" w:rsidP="003B1BA1">
      <w:pPr>
        <w:ind w:firstLine="0"/>
        <w:jc w:val="center"/>
        <w:rPr>
          <w:b/>
          <w:bCs/>
        </w:rPr>
      </w:pPr>
      <w:r w:rsidRPr="00E36306">
        <w:rPr>
          <w:b/>
          <w:bCs/>
        </w:rPr>
        <w:t>Samanburður á ákvæðum frumvarpsins og gildandi laga</w:t>
      </w:r>
      <w:r w:rsidR="002212F6" w:rsidRPr="00E36306">
        <w:rPr>
          <w:b/>
          <w:bCs/>
        </w:rPr>
        <w:t>.</w:t>
      </w:r>
    </w:p>
    <w:p w14:paraId="69E07956" w14:textId="77777777" w:rsidR="003B1BA1" w:rsidRPr="00E36306" w:rsidRDefault="003B1BA1" w:rsidP="003B1BA1">
      <w:pPr>
        <w:spacing w:after="160" w:line="259" w:lineRule="auto"/>
        <w:ind w:firstLine="0"/>
        <w:jc w:val="left"/>
        <w:rPr>
          <w:rFonts w:ascii="FiraGO Light" w:eastAsia="FiraGO Light" w:hAnsi="FiraGO Light"/>
          <w:sz w:val="22"/>
        </w:rPr>
      </w:pPr>
    </w:p>
    <w:tbl>
      <w:tblPr>
        <w:tblW w:w="0" w:type="auto"/>
        <w:tblBorders>
          <w:insideV w:val="single" w:sz="4" w:space="0" w:color="auto"/>
        </w:tblBorders>
        <w:tblLook w:val="01E0" w:firstRow="1" w:lastRow="1" w:firstColumn="1" w:lastColumn="1" w:noHBand="0" w:noVBand="0"/>
      </w:tblPr>
      <w:tblGrid>
        <w:gridCol w:w="3912"/>
        <w:gridCol w:w="3912"/>
      </w:tblGrid>
      <w:tr w:rsidR="003B1BA1" w:rsidRPr="00E36306" w14:paraId="56BBA24C" w14:textId="77777777" w:rsidTr="00761955">
        <w:tc>
          <w:tcPr>
            <w:tcW w:w="4152" w:type="dxa"/>
            <w:shd w:val="clear" w:color="auto" w:fill="auto"/>
          </w:tcPr>
          <w:p w14:paraId="6C73BBF5" w14:textId="487BB3E1" w:rsidR="003B1BA1" w:rsidRPr="00E36306" w:rsidRDefault="003B1BA1" w:rsidP="00761955">
            <w:pPr>
              <w:ind w:firstLine="0"/>
              <w:jc w:val="center"/>
              <w:rPr>
                <w:b/>
                <w:szCs w:val="21"/>
              </w:rPr>
            </w:pPr>
            <w:r w:rsidRPr="00E36306">
              <w:rPr>
                <w:b/>
                <w:szCs w:val="21"/>
              </w:rPr>
              <w:t>LÖG UM FJÁRHAGSLEGAR VIÐMIÐANIR, NR. 7/2021</w:t>
            </w:r>
          </w:p>
        </w:tc>
        <w:tc>
          <w:tcPr>
            <w:tcW w:w="4153" w:type="dxa"/>
            <w:shd w:val="clear" w:color="auto" w:fill="auto"/>
          </w:tcPr>
          <w:p w14:paraId="2EFEA84E" w14:textId="77777777" w:rsidR="003B1BA1" w:rsidRPr="00E36306" w:rsidRDefault="003B1BA1" w:rsidP="00761955">
            <w:pPr>
              <w:ind w:firstLine="0"/>
              <w:jc w:val="center"/>
              <w:rPr>
                <w:b/>
                <w:szCs w:val="21"/>
              </w:rPr>
            </w:pPr>
            <w:r w:rsidRPr="00E36306">
              <w:rPr>
                <w:b/>
                <w:szCs w:val="21"/>
              </w:rPr>
              <w:t>BREYTING, VERÐI FRUMVARPIÐ</w:t>
            </w:r>
          </w:p>
          <w:p w14:paraId="7A8B8D60" w14:textId="77777777" w:rsidR="003B1BA1" w:rsidRPr="00E36306" w:rsidRDefault="003B1BA1" w:rsidP="00761955">
            <w:pPr>
              <w:ind w:firstLine="0"/>
              <w:jc w:val="center"/>
              <w:rPr>
                <w:b/>
                <w:szCs w:val="21"/>
              </w:rPr>
            </w:pPr>
            <w:r w:rsidRPr="00E36306">
              <w:rPr>
                <w:b/>
                <w:szCs w:val="21"/>
              </w:rPr>
              <w:t>AÐ LÖGUM</w:t>
            </w:r>
          </w:p>
        </w:tc>
      </w:tr>
      <w:tr w:rsidR="003B1BA1" w:rsidRPr="00E36306" w14:paraId="7C385745" w14:textId="77777777" w:rsidTr="00761955">
        <w:tc>
          <w:tcPr>
            <w:tcW w:w="4152" w:type="dxa"/>
            <w:shd w:val="clear" w:color="auto" w:fill="auto"/>
          </w:tcPr>
          <w:p w14:paraId="774E125A" w14:textId="77777777" w:rsidR="003B1BA1" w:rsidRPr="00E36306" w:rsidRDefault="003B1BA1" w:rsidP="00761955">
            <w:pPr>
              <w:spacing w:after="160" w:line="259" w:lineRule="auto"/>
              <w:ind w:firstLine="0"/>
              <w:jc w:val="left"/>
              <w:rPr>
                <w:rFonts w:ascii="FiraGO Light" w:eastAsia="FiraGO Light" w:hAnsi="FiraGO Light"/>
                <w:sz w:val="18"/>
              </w:rPr>
            </w:pPr>
          </w:p>
          <w:p w14:paraId="0922F13F" w14:textId="07743D8F" w:rsidR="003B1BA1" w:rsidRPr="00E36306" w:rsidRDefault="003B1BA1" w:rsidP="00761955">
            <w:pPr>
              <w:spacing w:after="160" w:line="259" w:lineRule="auto"/>
              <w:ind w:firstLine="0"/>
              <w:jc w:val="left"/>
              <w:rPr>
                <w:rFonts w:ascii="FiraGO Light" w:eastAsia="FiraGO Light" w:hAnsi="FiraGO Light"/>
                <w:sz w:val="18"/>
              </w:rPr>
            </w:pPr>
            <w:bookmarkStart w:id="4" w:name="_Hlk76457245"/>
            <w:r w:rsidRPr="00E36306">
              <w:rPr>
                <w:noProof/>
              </w:rPr>
              <w:drawing>
                <wp:inline distT="0" distB="0" distL="0" distR="0" wp14:anchorId="3AA012C2" wp14:editId="29FC63A9">
                  <wp:extent cx="101600" cy="10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w:t>
            </w:r>
            <w:r w:rsidRPr="00E36306">
              <w:rPr>
                <w:b/>
                <w:bCs/>
                <w:color w:val="242424"/>
                <w:shd w:val="clear" w:color="auto" w:fill="FFFFFF"/>
              </w:rPr>
              <w:t>1. gr.</w:t>
            </w:r>
            <w:r w:rsidRPr="00E36306">
              <w:rPr>
                <w:color w:val="242424"/>
                <w:shd w:val="clear" w:color="auto" w:fill="FFFFFF"/>
              </w:rPr>
              <w:t> </w:t>
            </w:r>
            <w:r w:rsidRPr="00E36306">
              <w:rPr>
                <w:i/>
                <w:iCs/>
                <w:color w:val="242424"/>
                <w:shd w:val="clear" w:color="auto" w:fill="FFFFFF"/>
              </w:rPr>
              <w:t>Lögfesting.</w:t>
            </w:r>
            <w:r w:rsidRPr="00E36306">
              <w:rPr>
                <w:color w:val="242424"/>
              </w:rPr>
              <w:br/>
            </w:r>
            <w:bookmarkStart w:id="5" w:name="_Hlk76457368"/>
            <w:r w:rsidRPr="00E36306">
              <w:rPr>
                <w:noProof/>
              </w:rPr>
              <w:drawing>
                <wp:inline distT="0" distB="0" distL="0" distR="0" wp14:anchorId="5288134D" wp14:editId="495940B2">
                  <wp:extent cx="101600" cy="101600"/>
                  <wp:effectExtent l="0" t="0" r="0" b="0"/>
                  <wp:docPr id="17"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Ákvæði reglugerðar Evrópuþingsins og ráðsins (ESB) </w:t>
            </w:r>
            <w:hyperlink r:id="rId9" w:history="1">
              <w:r w:rsidR="003C43E0" w:rsidRPr="00E36306">
                <w:rPr>
                  <w:color w:val="1C79C2"/>
                  <w:u w:val="single"/>
                  <w:shd w:val="clear" w:color="auto" w:fill="FFFFFF"/>
                </w:rPr>
                <w:t>2016/1011</w:t>
              </w:r>
            </w:hyperlink>
            <w:r w:rsidRPr="00E36306">
              <w:rPr>
                <w:color w:val="242424"/>
                <w:shd w:val="clear" w:color="auto" w:fill="FFFFFF"/>
              </w:rPr>
              <w:t> frá 8. júní 2016 um vísitölur sem notaðar eru sem viðmiðanir í fjármálagerningum og fjárhagslegum samningum eða til að mæla árangur fjárfestingarsjóða og um breytingu á tilskipunum 2008/48/EB og 2014/ 17/ESB og reglugerð (ESB) nr. 596/2014, með breytingum samkvæmt reglugerð Evrópuþingsins og ráðsins (ESB) </w:t>
            </w:r>
            <w:hyperlink r:id="rId10" w:history="1">
              <w:r w:rsidRPr="00E36306">
                <w:rPr>
                  <w:color w:val="1C79C2"/>
                  <w:shd w:val="clear" w:color="auto" w:fill="FFFFFF"/>
                </w:rPr>
                <w:t>2019/2089</w:t>
              </w:r>
            </w:hyperlink>
            <w:r w:rsidRPr="00E36306">
              <w:rPr>
                <w:color w:val="242424"/>
                <w:shd w:val="clear" w:color="auto" w:fill="FFFFFF"/>
              </w:rPr>
              <w:t> frá 27. nóvember 2019 um breytingu á reglugerð (ESB) </w:t>
            </w:r>
            <w:hyperlink r:id="rId11" w:history="1">
              <w:r w:rsidRPr="00E36306">
                <w:rPr>
                  <w:color w:val="1C79C2"/>
                  <w:shd w:val="clear" w:color="auto" w:fill="FFFFFF"/>
                </w:rPr>
                <w:t>2016/1011</w:t>
              </w:r>
            </w:hyperlink>
            <w:r w:rsidRPr="00E36306">
              <w:rPr>
                <w:color w:val="242424"/>
                <w:shd w:val="clear" w:color="auto" w:fill="FFFFFF"/>
              </w:rPr>
              <w:t> að því er varðar viðmiðanir ESB vegna loftslagstengdra umbreytinga, viðmiðanir ESB sem eru lagaðar að Parísarsamningnum og upplýsingagjöf um sjálfbærni fyrir viðmiðanir og aðlögunum samkvæmt bókun 1 við samninginn um Evrópska efnahagssvæðið, sbr. </w:t>
            </w:r>
            <w:hyperlink r:id="rId12" w:history="1">
              <w:r w:rsidRPr="00E36306">
                <w:rPr>
                  <w:color w:val="1C79C2"/>
                  <w:shd w:val="clear" w:color="auto" w:fill="FFFFFF"/>
                </w:rPr>
                <w:t>lög um Evrópska efnahagssvæðið, nr. 2/1993</w:t>
              </w:r>
            </w:hyperlink>
            <w:r w:rsidRPr="00E36306">
              <w:rPr>
                <w:color w:val="242424"/>
                <w:shd w:val="clear" w:color="auto" w:fill="FFFFFF"/>
              </w:rPr>
              <w:t>, þar sem bókunin er lögfest, og ákvörðun sameiginlegu EES-nefndarinnar nr. </w:t>
            </w:r>
            <w:hyperlink r:id="rId13" w:history="1">
              <w:r w:rsidRPr="00E36306">
                <w:rPr>
                  <w:color w:val="1C79C2"/>
                  <w:shd w:val="clear" w:color="auto" w:fill="FFFFFF"/>
                </w:rPr>
                <w:t>190/2019</w:t>
              </w:r>
            </w:hyperlink>
            <w:r w:rsidRPr="00E36306">
              <w:rPr>
                <w:color w:val="242424"/>
                <w:shd w:val="clear" w:color="auto" w:fill="FFFFFF"/>
              </w:rPr>
              <w:t> frá 10. júlí 2019, hafa lagagildi hér á landi.</w:t>
            </w:r>
            <w:r w:rsidRPr="00E36306">
              <w:rPr>
                <w:color w:val="242424"/>
              </w:rPr>
              <w:br/>
            </w:r>
            <w:r w:rsidRPr="00E36306">
              <w:rPr>
                <w:noProof/>
              </w:rPr>
              <w:drawing>
                <wp:inline distT="0" distB="0" distL="0" distR="0" wp14:anchorId="0013D0B3" wp14:editId="133A02F3">
                  <wp:extent cx="101600" cy="101600"/>
                  <wp:effectExtent l="0" t="0" r="0" b="0"/>
                  <wp:docPr id="18"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Reglugerð (ESB) </w:t>
            </w:r>
            <w:hyperlink r:id="rId14" w:history="1">
              <w:r w:rsidRPr="00E36306">
                <w:rPr>
                  <w:color w:val="1C79C2"/>
                  <w:shd w:val="clear" w:color="auto" w:fill="FFFFFF"/>
                </w:rPr>
                <w:t>2016/1011</w:t>
              </w:r>
            </w:hyperlink>
            <w:r w:rsidRPr="00E36306">
              <w:rPr>
                <w:color w:val="242424"/>
                <w:shd w:val="clear" w:color="auto" w:fill="FFFFFF"/>
              </w:rPr>
              <w:t> er birt á bls. 72 í EES-viðbæti við Stjórnartíðindi Evrópusambandsins nr. 16 frá 12. mars 2020. Reglugerð (ESB) </w:t>
            </w:r>
            <w:hyperlink r:id="rId15" w:history="1">
              <w:r w:rsidRPr="00E36306">
                <w:rPr>
                  <w:color w:val="1C79C2"/>
                  <w:shd w:val="clear" w:color="auto" w:fill="FFFFFF"/>
                </w:rPr>
                <w:t>2019/2089</w:t>
              </w:r>
            </w:hyperlink>
            <w:r w:rsidRPr="00E36306">
              <w:rPr>
                <w:color w:val="242424"/>
                <w:shd w:val="clear" w:color="auto" w:fill="FFFFFF"/>
              </w:rPr>
              <w:t> er birt á bls. 658 í EES-viðbæti við Stjórnartíðindi Evrópusambandsins nr. 26 frá 23. apríl 2020. Ákvörðun sameiginlegu EES-nefndarinnar nr. </w:t>
            </w:r>
            <w:hyperlink r:id="rId16" w:history="1">
              <w:r w:rsidRPr="00E36306">
                <w:rPr>
                  <w:color w:val="1C79C2"/>
                  <w:shd w:val="clear" w:color="auto" w:fill="FFFFFF"/>
                </w:rPr>
                <w:t>190/2019</w:t>
              </w:r>
            </w:hyperlink>
            <w:r w:rsidRPr="00E36306">
              <w:rPr>
                <w:color w:val="242424"/>
                <w:shd w:val="clear" w:color="auto" w:fill="FFFFFF"/>
              </w:rPr>
              <w:t xml:space="preserve"> er birt á bls. 5 í EES-viðbæti við Stjórnartíðindi </w:t>
            </w:r>
            <w:r w:rsidRPr="00E36306">
              <w:rPr>
                <w:color w:val="242424"/>
                <w:shd w:val="clear" w:color="auto" w:fill="FFFFFF"/>
              </w:rPr>
              <w:lastRenderedPageBreak/>
              <w:t>Evrópusambandsins nr. 73 frá 12. september 2019.</w:t>
            </w:r>
            <w:bookmarkEnd w:id="4"/>
            <w:bookmarkEnd w:id="5"/>
          </w:p>
        </w:tc>
        <w:tc>
          <w:tcPr>
            <w:tcW w:w="4153" w:type="dxa"/>
            <w:shd w:val="clear" w:color="auto" w:fill="auto"/>
          </w:tcPr>
          <w:p w14:paraId="1C8DBCC1" w14:textId="77777777" w:rsidR="003B1BA1" w:rsidRPr="00E36306" w:rsidRDefault="003B1BA1" w:rsidP="000320A3">
            <w:pPr>
              <w:spacing w:after="160" w:line="259" w:lineRule="auto"/>
              <w:ind w:firstLine="0"/>
              <w:jc w:val="left"/>
              <w:rPr>
                <w:rFonts w:ascii="FiraGO Light" w:eastAsia="FiraGO Light" w:hAnsi="FiraGO Light"/>
                <w:sz w:val="18"/>
              </w:rPr>
            </w:pPr>
          </w:p>
          <w:p w14:paraId="6E4D18CB" w14:textId="77777777" w:rsidR="000320A3" w:rsidRPr="00E36306" w:rsidRDefault="000320A3" w:rsidP="000320A3">
            <w:pPr>
              <w:ind w:firstLine="0"/>
              <w:jc w:val="left"/>
              <w:rPr>
                <w:i/>
                <w:iCs/>
                <w:color w:val="242424"/>
                <w:shd w:val="clear" w:color="auto" w:fill="FFFFFF"/>
              </w:rPr>
            </w:pPr>
            <w:bookmarkStart w:id="6" w:name="_Hlk76457262"/>
            <w:r w:rsidRPr="00E36306">
              <w:rPr>
                <w:noProof/>
              </w:rPr>
              <w:drawing>
                <wp:inline distT="0" distB="0" distL="0" distR="0" wp14:anchorId="788DD9AD" wp14:editId="74E4BD7B">
                  <wp:extent cx="101600"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w:t>
            </w:r>
            <w:r w:rsidRPr="00E36306">
              <w:rPr>
                <w:b/>
                <w:bCs/>
                <w:color w:val="242424"/>
                <w:shd w:val="clear" w:color="auto" w:fill="FFFFFF"/>
              </w:rPr>
              <w:t>1. gr.</w:t>
            </w:r>
            <w:r w:rsidRPr="00E36306">
              <w:rPr>
                <w:color w:val="242424"/>
                <w:shd w:val="clear" w:color="auto" w:fill="FFFFFF"/>
              </w:rPr>
              <w:t> </w:t>
            </w:r>
            <w:r w:rsidRPr="00E36306">
              <w:rPr>
                <w:i/>
                <w:iCs/>
                <w:color w:val="242424"/>
                <w:shd w:val="clear" w:color="auto" w:fill="FFFFFF"/>
              </w:rPr>
              <w:t>Lögfesting.</w:t>
            </w:r>
          </w:p>
          <w:p w14:paraId="73DA3340" w14:textId="3A12FBF3" w:rsidR="000320A3" w:rsidRPr="00E36306" w:rsidRDefault="000320A3" w:rsidP="000320A3">
            <w:pPr>
              <w:ind w:firstLine="0"/>
              <w:jc w:val="left"/>
              <w:rPr>
                <w:color w:val="242424"/>
                <w:shd w:val="clear" w:color="auto" w:fill="FFFFFF"/>
              </w:rPr>
            </w:pPr>
            <w:r w:rsidRPr="00E36306">
              <w:rPr>
                <w:noProof/>
              </w:rPr>
              <w:drawing>
                <wp:inline distT="0" distB="0" distL="0" distR="0" wp14:anchorId="0645FD5D" wp14:editId="46159EFE">
                  <wp:extent cx="101600" cy="101600"/>
                  <wp:effectExtent l="0" t="0" r="0" b="0"/>
                  <wp:docPr id="30" name="G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Ákvæði reglugerðar Evrópuþingsins og ráðsins (ESB) </w:t>
            </w:r>
            <w:hyperlink r:id="rId17" w:history="1">
              <w:r w:rsidRPr="00E36306">
                <w:rPr>
                  <w:color w:val="1C79C2"/>
                  <w:shd w:val="clear" w:color="auto" w:fill="FFFFFF"/>
                </w:rPr>
                <w:t>2016/1011</w:t>
              </w:r>
            </w:hyperlink>
            <w:r w:rsidRPr="00E36306">
              <w:rPr>
                <w:color w:val="242424"/>
                <w:shd w:val="clear" w:color="auto" w:fill="FFFFFF"/>
              </w:rPr>
              <w:t> frá 8. júní 2016 um vísitölur sem notaðar eru sem viðmiðanir í fjármálagerningum og fjárhagslegum samningum eða til að mæla árangur fjárfestingarsjóða og um breytingu á tilskipunum 2008/48/EB og 2014/ 17/ESB og reglugerð (ESB) nr. 596/2014, með breytingum samkvæmt reglugerð Evrópuþingsins og ráðsins (ESB) </w:t>
            </w:r>
            <w:hyperlink r:id="rId18" w:history="1">
              <w:r w:rsidRPr="00E36306">
                <w:rPr>
                  <w:color w:val="1C79C2"/>
                  <w:shd w:val="clear" w:color="auto" w:fill="FFFFFF"/>
                </w:rPr>
                <w:t>2019/2089</w:t>
              </w:r>
            </w:hyperlink>
            <w:r w:rsidRPr="00E36306">
              <w:rPr>
                <w:color w:val="242424"/>
                <w:shd w:val="clear" w:color="auto" w:fill="FFFFFF"/>
              </w:rPr>
              <w:t> frá 27. nóvember 2019 um breytingu á reglugerð (ESB) </w:t>
            </w:r>
            <w:hyperlink r:id="rId19" w:history="1">
              <w:r w:rsidRPr="00E36306">
                <w:rPr>
                  <w:color w:val="1C79C2"/>
                  <w:shd w:val="clear" w:color="auto" w:fill="FFFFFF"/>
                </w:rPr>
                <w:t>2016/1011</w:t>
              </w:r>
            </w:hyperlink>
            <w:r w:rsidRPr="00E36306">
              <w:rPr>
                <w:color w:val="242424"/>
                <w:shd w:val="clear" w:color="auto" w:fill="FFFFFF"/>
              </w:rPr>
              <w:t> að því er varðar viðmiðanir ESB vegna loftslagstengdra umbreytinga, viðmiðanir ESB sem eru lagaðar að Parísarsamningnum og upplýsingagjöf um sjálfbærni fyrir viðmiðanir</w:t>
            </w:r>
            <w:r w:rsidR="00A062AC" w:rsidRPr="00E36306">
              <w:rPr>
                <w:color w:val="242424"/>
                <w:shd w:val="clear" w:color="auto" w:fill="FFFFFF"/>
              </w:rPr>
              <w:t xml:space="preserve"> </w:t>
            </w:r>
            <w:r w:rsidR="00EF0D0C" w:rsidRPr="00E36306">
              <w:rPr>
                <w:b/>
                <w:bCs/>
                <w:color w:val="242424"/>
                <w:shd w:val="clear" w:color="auto" w:fill="FFFFFF"/>
              </w:rPr>
              <w:t>og 1. gr. reglugerðar Evrópuþingsins og ráðsins (ESB) 2021/168 frá 10. febrúar 2021 um breytingu á reglugerð (ESB) 2016/1011 að því er varðar undanþágu fyrir tilteknar viðmiðanir fyrir stundargengi gjaldmiðla þriðju landa og tilnefningu viðmiðana í stað viðmiðana sem verður hætt með, og um breytingu á reglugerð (ESB) nr. 648/2012</w:t>
            </w:r>
            <w:r w:rsidR="00BB6578" w:rsidRPr="00E36306">
              <w:rPr>
                <w:b/>
                <w:bCs/>
              </w:rPr>
              <w:t>,</w:t>
            </w:r>
            <w:r w:rsidRPr="00E36306">
              <w:rPr>
                <w:color w:val="242424"/>
                <w:shd w:val="clear" w:color="auto" w:fill="FFFFFF"/>
              </w:rPr>
              <w:t xml:space="preserve"> og aðlögunum samkvæmt bókun 1 við samninginn um Evrópska efnahagssvæðið, sbr. </w:t>
            </w:r>
            <w:hyperlink r:id="rId20" w:history="1">
              <w:r w:rsidRPr="00E36306">
                <w:rPr>
                  <w:color w:val="1C79C2"/>
                  <w:shd w:val="clear" w:color="auto" w:fill="FFFFFF"/>
                </w:rPr>
                <w:t>lög um Evrópska efnahagssvæðið, nr. 2/1993</w:t>
              </w:r>
            </w:hyperlink>
            <w:r w:rsidRPr="00E36306">
              <w:rPr>
                <w:color w:val="242424"/>
                <w:shd w:val="clear" w:color="auto" w:fill="FFFFFF"/>
              </w:rPr>
              <w:t>, þar sem bókunin er lögfest, og ákvörðun sameiginlegu EES-nefndarinnar nr. </w:t>
            </w:r>
            <w:hyperlink r:id="rId21" w:history="1">
              <w:r w:rsidRPr="00E36306">
                <w:rPr>
                  <w:color w:val="1C79C2"/>
                  <w:shd w:val="clear" w:color="auto" w:fill="FFFFFF"/>
                </w:rPr>
                <w:t>190/2019</w:t>
              </w:r>
            </w:hyperlink>
            <w:r w:rsidRPr="00E36306">
              <w:rPr>
                <w:color w:val="242424"/>
                <w:shd w:val="clear" w:color="auto" w:fill="FFFFFF"/>
              </w:rPr>
              <w:t> frá 10. júlí 2019, hafa lagagildi hér á landi.</w:t>
            </w:r>
          </w:p>
          <w:p w14:paraId="048EFACE" w14:textId="64FDF4E8" w:rsidR="003B1BA1" w:rsidRPr="00E36306" w:rsidRDefault="000320A3" w:rsidP="00A062AC">
            <w:pPr>
              <w:ind w:firstLine="0"/>
              <w:jc w:val="left"/>
              <w:rPr>
                <w:color w:val="242424"/>
                <w:shd w:val="clear" w:color="auto" w:fill="FFFFFF"/>
              </w:rPr>
            </w:pPr>
            <w:r w:rsidRPr="00E36306">
              <w:rPr>
                <w:noProof/>
              </w:rPr>
              <w:drawing>
                <wp:inline distT="0" distB="0" distL="0" distR="0" wp14:anchorId="468157AE" wp14:editId="6B0D8D25">
                  <wp:extent cx="101600" cy="101600"/>
                  <wp:effectExtent l="0" t="0" r="0" b="0"/>
                  <wp:docPr id="31"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36306">
              <w:rPr>
                <w:color w:val="242424"/>
                <w:shd w:val="clear" w:color="auto" w:fill="FFFFFF"/>
              </w:rPr>
              <w:t> Reglugerð (ESB) </w:t>
            </w:r>
            <w:hyperlink r:id="rId22" w:history="1">
              <w:r w:rsidRPr="00E36306">
                <w:rPr>
                  <w:color w:val="1C79C2"/>
                  <w:shd w:val="clear" w:color="auto" w:fill="FFFFFF"/>
                </w:rPr>
                <w:t>2016/1011</w:t>
              </w:r>
            </w:hyperlink>
            <w:r w:rsidRPr="00E36306">
              <w:rPr>
                <w:color w:val="242424"/>
                <w:shd w:val="clear" w:color="auto" w:fill="FFFFFF"/>
              </w:rPr>
              <w:t xml:space="preserve"> er birt á bls. 72 í EES-viðbæti við Stjórnartíðindi </w:t>
            </w:r>
            <w:r w:rsidRPr="00E36306">
              <w:rPr>
                <w:color w:val="242424"/>
                <w:shd w:val="clear" w:color="auto" w:fill="FFFFFF"/>
              </w:rPr>
              <w:lastRenderedPageBreak/>
              <w:t>Evrópusambandsins nr. 16 frá 12. mars 2020. Reglugerð (ESB) </w:t>
            </w:r>
            <w:hyperlink r:id="rId23" w:history="1">
              <w:r w:rsidRPr="00E36306">
                <w:rPr>
                  <w:color w:val="1C79C2"/>
                  <w:shd w:val="clear" w:color="auto" w:fill="FFFFFF"/>
                </w:rPr>
                <w:t>2019/2089</w:t>
              </w:r>
            </w:hyperlink>
            <w:r w:rsidRPr="00E36306">
              <w:rPr>
                <w:color w:val="242424"/>
                <w:shd w:val="clear" w:color="auto" w:fill="FFFFFF"/>
              </w:rPr>
              <w:t> er birt á bls. 658 í EES-viðbæti við Stjórnartíðindi Evrópusambandsins nr. 26 frá 23. apríl 2020.</w:t>
            </w:r>
            <w:r w:rsidR="00A062AC" w:rsidRPr="00E36306">
              <w:rPr>
                <w:color w:val="242424"/>
                <w:shd w:val="clear" w:color="auto" w:fill="FFFFFF"/>
              </w:rPr>
              <w:t xml:space="preserve"> </w:t>
            </w:r>
            <w:r w:rsidR="00DE0F4E" w:rsidRPr="00E36306">
              <w:rPr>
                <w:b/>
                <w:bCs/>
                <w:color w:val="242424"/>
                <w:shd w:val="clear" w:color="auto" w:fill="FFFFFF"/>
              </w:rPr>
              <w:t>Reglugerð (ESB) 2021/168 er birt á bls. [bls.] í EES-viðbæti við Stjórnartíðindi Evrópusambandsins nr. [nr.] frá [dags.]</w:t>
            </w:r>
            <w:r w:rsidR="00A062AC" w:rsidRPr="00E36306">
              <w:rPr>
                <w:b/>
                <w:bCs/>
              </w:rPr>
              <w:t>.</w:t>
            </w:r>
            <w:r w:rsidRPr="00E36306">
              <w:rPr>
                <w:color w:val="242424"/>
                <w:shd w:val="clear" w:color="auto" w:fill="FFFFFF"/>
              </w:rPr>
              <w:t xml:space="preserve"> Ákvörðun sameiginlegu EES-nefndarinnar nr. </w:t>
            </w:r>
            <w:hyperlink r:id="rId24" w:history="1">
              <w:r w:rsidRPr="00E36306">
                <w:rPr>
                  <w:color w:val="1C79C2"/>
                  <w:shd w:val="clear" w:color="auto" w:fill="FFFFFF"/>
                </w:rPr>
                <w:t>190/2019</w:t>
              </w:r>
            </w:hyperlink>
            <w:r w:rsidRPr="00E36306">
              <w:rPr>
                <w:color w:val="242424"/>
                <w:shd w:val="clear" w:color="auto" w:fill="FFFFFF"/>
              </w:rPr>
              <w:t> er birt á bls. 5 í EES-viðbæti við Stjórnartíðindi Evrópusambandsins nr. 73 frá 12. september 2019.</w:t>
            </w:r>
            <w:bookmarkEnd w:id="6"/>
          </w:p>
        </w:tc>
      </w:tr>
      <w:tr w:rsidR="00F36EB8" w:rsidRPr="00E36306" w14:paraId="11986D92" w14:textId="77777777" w:rsidTr="00761955">
        <w:tc>
          <w:tcPr>
            <w:tcW w:w="4152" w:type="dxa"/>
            <w:shd w:val="clear" w:color="auto" w:fill="auto"/>
          </w:tcPr>
          <w:p w14:paraId="3E5C0AD8" w14:textId="77777777" w:rsidR="00F36EB8" w:rsidRPr="00E36306" w:rsidRDefault="00F36EB8" w:rsidP="00761955">
            <w:pPr>
              <w:spacing w:after="160" w:line="259" w:lineRule="auto"/>
              <w:ind w:firstLine="0"/>
              <w:jc w:val="left"/>
              <w:rPr>
                <w:rFonts w:ascii="FiraGO Light" w:eastAsia="FiraGO Light" w:hAnsi="FiraGO Light"/>
                <w:sz w:val="18"/>
              </w:rPr>
            </w:pPr>
          </w:p>
        </w:tc>
        <w:tc>
          <w:tcPr>
            <w:tcW w:w="4153" w:type="dxa"/>
            <w:shd w:val="clear" w:color="auto" w:fill="auto"/>
          </w:tcPr>
          <w:p w14:paraId="6C18E1B9" w14:textId="77777777" w:rsidR="00F36EB8" w:rsidRPr="00E36306" w:rsidRDefault="00F36EB8" w:rsidP="000320A3">
            <w:pPr>
              <w:spacing w:after="160" w:line="259" w:lineRule="auto"/>
              <w:ind w:firstLine="0"/>
              <w:jc w:val="left"/>
              <w:rPr>
                <w:rFonts w:ascii="FiraGO Light" w:eastAsia="FiraGO Light" w:hAnsi="FiraGO Light"/>
                <w:sz w:val="18"/>
              </w:rPr>
            </w:pPr>
          </w:p>
        </w:tc>
      </w:tr>
      <w:tr w:rsidR="00F36EB8" w:rsidRPr="00E36306" w14:paraId="4E4C13D3" w14:textId="77777777" w:rsidTr="00761955">
        <w:tc>
          <w:tcPr>
            <w:tcW w:w="4152" w:type="dxa"/>
            <w:shd w:val="clear" w:color="auto" w:fill="auto"/>
          </w:tcPr>
          <w:p w14:paraId="29E98713" w14:textId="25A196E0" w:rsidR="00F36EB8" w:rsidRPr="00E36306" w:rsidRDefault="00F36EB8" w:rsidP="00761955">
            <w:pPr>
              <w:spacing w:after="160" w:line="259" w:lineRule="auto"/>
              <w:ind w:firstLine="0"/>
              <w:jc w:val="left"/>
              <w:rPr>
                <w:rFonts w:ascii="FiraGO Light" w:eastAsia="FiraGO Light" w:hAnsi="FiraGO Light"/>
                <w:sz w:val="18"/>
              </w:rPr>
            </w:pPr>
            <w:r w:rsidRPr="00E36306">
              <w:rPr>
                <w:noProof/>
              </w:rPr>
              <w:drawing>
                <wp:inline distT="0" distB="0" distL="0" distR="0" wp14:anchorId="7464AF7A" wp14:editId="55ACCAD0">
                  <wp:extent cx="102235" cy="102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b/>
                <w:bCs/>
                <w:color w:val="242424"/>
                <w:shd w:val="clear" w:color="auto" w:fill="FFFFFF"/>
              </w:rPr>
              <w:t xml:space="preserve"> 13. gr.</w:t>
            </w:r>
            <w:r w:rsidRPr="00E36306">
              <w:rPr>
                <w:color w:val="242424"/>
                <w:shd w:val="clear" w:color="auto" w:fill="FFFFFF"/>
              </w:rPr>
              <w:t> </w:t>
            </w:r>
            <w:r w:rsidRPr="00E36306">
              <w:rPr>
                <w:i/>
                <w:iCs/>
                <w:color w:val="242424"/>
                <w:shd w:val="clear" w:color="auto" w:fill="FFFFFF"/>
              </w:rPr>
              <w:t>Stjórnvaldsfyrirmæli.</w:t>
            </w:r>
            <w:r w:rsidRPr="00E36306">
              <w:rPr>
                <w:color w:val="242424"/>
              </w:rPr>
              <w:br/>
            </w:r>
            <w:r w:rsidRPr="00E36306">
              <w:rPr>
                <w:noProof/>
              </w:rPr>
              <w:drawing>
                <wp:inline distT="0" distB="0" distL="0" distR="0" wp14:anchorId="0605676C" wp14:editId="185D4D1D">
                  <wp:extent cx="102235" cy="102235"/>
                  <wp:effectExtent l="0" t="0" r="0" b="0"/>
                  <wp:docPr id="3"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color w:val="242424"/>
                <w:shd w:val="clear" w:color="auto" w:fill="FFFFFF"/>
              </w:rPr>
              <w:t> Ráðherra er heimilt að setja reglugerð til að innleiða undirgerðir sem framkvæmdastjórn Evrópusambandsins samþykkir með stoð í eftirtöldum ákvæðum reglugerðar (ESB) 2016/ 1011 með breytingum skv. 1. gr.:</w:t>
            </w:r>
            <w:r w:rsidRPr="00E36306">
              <w:rPr>
                <w:color w:val="242424"/>
              </w:rPr>
              <w:br/>
            </w:r>
            <w:r w:rsidRPr="00E36306">
              <w:rPr>
                <w:color w:val="242424"/>
                <w:shd w:val="clear" w:color="auto" w:fill="FFFFFF"/>
              </w:rPr>
              <w:t>    a. 2. mgr. 3. gr. um tilgreiningu á tæknilegum þáttum skilgreininga,</w:t>
            </w:r>
            <w:r w:rsidRPr="00E36306">
              <w:rPr>
                <w:color w:val="242424"/>
              </w:rPr>
              <w:br/>
            </w:r>
            <w:r w:rsidRPr="00E36306">
              <w:rPr>
                <w:color w:val="242424"/>
                <w:shd w:val="clear" w:color="auto" w:fill="FFFFFF"/>
              </w:rPr>
              <w:t>    b. 3. mgr. 3. gr. um skrá yfir opinber yfirvöld á Evrópska efnahagssvæðinu,</w:t>
            </w:r>
            <w:r w:rsidRPr="00E36306">
              <w:rPr>
                <w:color w:val="242424"/>
              </w:rPr>
              <w:br/>
            </w:r>
            <w:r w:rsidRPr="00E36306">
              <w:rPr>
                <w:color w:val="242424"/>
                <w:shd w:val="clear" w:color="auto" w:fill="FFFFFF"/>
              </w:rPr>
              <w:t>    c. 2. mgr. a 13. gr. um lágmarksinnihald útskýringar á því hvernig lykilþættir aðferðafræði endurspegli þætti varðandi umhverfi, félagslega þætti og stjórnarhætti fyrir hverja viðmiðun eða fjölskyldu viðmiðana og staðlað snið sem skal nota,</w:t>
            </w:r>
            <w:r w:rsidRPr="00E36306">
              <w:rPr>
                <w:color w:val="242424"/>
              </w:rPr>
              <w:br/>
            </w:r>
            <w:r w:rsidRPr="00E36306">
              <w:rPr>
                <w:color w:val="242424"/>
                <w:shd w:val="clear" w:color="auto" w:fill="FFFFFF"/>
              </w:rPr>
              <w:t>    d. 2. mgr. 19. gr. a um lágmarkskröfur um samræmingu aðferðafræði viðmiðana ESB vegna loftslagstengdra umbreytinga og viðmiðana ESB sem eru lagaðar að Parísarsamningnum,</w:t>
            </w:r>
            <w:r w:rsidRPr="00E36306">
              <w:rPr>
                <w:color w:val="242424"/>
              </w:rPr>
              <w:br/>
            </w:r>
            <w:r w:rsidRPr="00E36306">
              <w:rPr>
                <w:color w:val="242424"/>
                <w:shd w:val="clear" w:color="auto" w:fill="FFFFFF"/>
              </w:rPr>
              <w:t>    e. 1. mgr. 19. gr. c um geira sem skal undanskilja í viðmiðunum ESB sem eru lagaðar að Parísarsamningnum,</w:t>
            </w:r>
            <w:r w:rsidRPr="00E36306">
              <w:rPr>
                <w:color w:val="242424"/>
              </w:rPr>
              <w:br/>
            </w:r>
            <w:r w:rsidRPr="00E36306">
              <w:rPr>
                <w:color w:val="242424"/>
                <w:shd w:val="clear" w:color="auto" w:fill="FFFFFF"/>
              </w:rPr>
              <w:t>    f. 1. mgr. 20. gr. um skrá yfir mjög mikilvægar viðmiðanir,</w:t>
            </w:r>
            <w:r w:rsidRPr="00E36306">
              <w:rPr>
                <w:color w:val="242424"/>
              </w:rPr>
              <w:br/>
            </w:r>
            <w:r w:rsidRPr="00E36306">
              <w:rPr>
                <w:color w:val="242424"/>
                <w:shd w:val="clear" w:color="auto" w:fill="FFFFFF"/>
              </w:rPr>
              <w:t xml:space="preserve">    g. a-lið 6. mgr. 20. gr. um útreikning á nafnverði fjármálagerninga, grundvallarfjárhæð afleiða og verðmæti hreinnar eignar fjárfestingarsjóða sem vísa í </w:t>
            </w:r>
            <w:r w:rsidRPr="00E36306">
              <w:rPr>
                <w:color w:val="242424"/>
                <w:shd w:val="clear" w:color="auto" w:fill="FFFFFF"/>
              </w:rPr>
              <w:lastRenderedPageBreak/>
              <w:t>viðmiðun til að ákvarða hvort slík viðmiðun sé mjög mikilvæg,</w:t>
            </w:r>
            <w:r w:rsidRPr="00E36306">
              <w:rPr>
                <w:color w:val="242424"/>
              </w:rPr>
              <w:br/>
            </w:r>
            <w:r w:rsidRPr="00E36306">
              <w:rPr>
                <w:color w:val="242424"/>
                <w:shd w:val="clear" w:color="auto" w:fill="FFFFFF"/>
              </w:rPr>
              <w:t>    h. b-lið 6. mgr. 20. gr. um endurskoðun reikniaðferðarinnar sem notuð er til að ákvarða viðmiðunarmörk vegna ákvörðunar um hvort viðmiðanir séu mjög mikilvægar,</w:t>
            </w:r>
            <w:r w:rsidRPr="00E36306">
              <w:rPr>
                <w:color w:val="242424"/>
              </w:rPr>
              <w:br/>
            </w:r>
            <w:r w:rsidRPr="00E36306">
              <w:rPr>
                <w:color w:val="242424"/>
                <w:shd w:val="clear" w:color="auto" w:fill="FFFFFF"/>
              </w:rPr>
              <w:t>    i. 2. mgr. 24. gr. um endurskoðun reikniaðferðarinnar sem notuð er til að ákvarða viðmiðunarmörk vegna ákvörðunar um hvort viðmiðanir séu mikilvægar,</w:t>
            </w:r>
            <w:r w:rsidRPr="00E36306">
              <w:rPr>
                <w:color w:val="242424"/>
              </w:rPr>
              <w:br/>
            </w:r>
            <w:r w:rsidRPr="00E36306">
              <w:rPr>
                <w:color w:val="242424"/>
                <w:shd w:val="clear" w:color="auto" w:fill="FFFFFF"/>
              </w:rPr>
              <w:t>    j. 2. mgr. b 27. gr. um upplýsingagjöf um umhverfi, félagslega þætti og stjórnarhætti og staðalsniðmát,</w:t>
            </w:r>
            <w:r w:rsidRPr="00E36306">
              <w:rPr>
                <w:color w:val="242424"/>
              </w:rPr>
              <w:br/>
            </w:r>
            <w:r w:rsidRPr="00E36306">
              <w:rPr>
                <w:color w:val="242424"/>
                <w:shd w:val="clear" w:color="auto" w:fill="FFFFFF"/>
              </w:rPr>
              <w:t>    k. 7. mgr. 33. gr. um ákvörðun á hlutlægum ástæðum til að samþykkja viðmiðun eða fjölskyldu viðmiðana sem eru gerðar í þriðja landi,</w:t>
            </w:r>
            <w:r w:rsidRPr="00E36306">
              <w:rPr>
                <w:color w:val="242424"/>
              </w:rPr>
              <w:br/>
            </w:r>
            <w:r w:rsidRPr="00E36306">
              <w:rPr>
                <w:color w:val="242424"/>
                <w:shd w:val="clear" w:color="auto" w:fill="FFFFFF"/>
              </w:rPr>
              <w:t>    l. 6. mgr. 51. gr. um ákvörðun um skilyrði til að meta hvort það að hætta gerð viðmiðunar eða breyta gildandi viðmiðun sé líklegt til að hafa í för með sér óviðráðanlegt atvik, hindra eða brjóta með öðrum hætti gegn skilmálum fjárhagslegs samnings eða fjármálagernings eða reglum fjárfestingarsjóðs sem vísar í slíka viðmiðun og</w:t>
            </w:r>
            <w:r w:rsidRPr="00E36306">
              <w:rPr>
                <w:color w:val="242424"/>
              </w:rPr>
              <w:br/>
            </w:r>
            <w:r w:rsidRPr="00E36306">
              <w:rPr>
                <w:color w:val="242424"/>
                <w:shd w:val="clear" w:color="auto" w:fill="FFFFFF"/>
              </w:rPr>
              <w:t>    m. 3. mgr. 54. gr. um framlengingu tímabilsins sem fyrirhugað er fyrir skráningu í stað leyfisveitingar tiltekinna stjórnenda.</w:t>
            </w:r>
            <w:r w:rsidRPr="00E36306">
              <w:rPr>
                <w:color w:val="242424"/>
              </w:rPr>
              <w:br/>
            </w:r>
            <w:r w:rsidRPr="00E36306">
              <w:rPr>
                <w:noProof/>
              </w:rPr>
              <w:drawing>
                <wp:inline distT="0" distB="0" distL="0" distR="0" wp14:anchorId="4E6411D3" wp14:editId="700C9FA5">
                  <wp:extent cx="102235" cy="102235"/>
                  <wp:effectExtent l="0" t="0" r="0" b="0"/>
                  <wp:docPr id="4"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color w:val="242424"/>
                <w:shd w:val="clear" w:color="auto" w:fill="FFFFFF"/>
              </w:rPr>
              <w:t> [...]</w:t>
            </w:r>
          </w:p>
        </w:tc>
        <w:tc>
          <w:tcPr>
            <w:tcW w:w="4153" w:type="dxa"/>
            <w:shd w:val="clear" w:color="auto" w:fill="auto"/>
          </w:tcPr>
          <w:p w14:paraId="37671E2D" w14:textId="1B819869" w:rsidR="00C64531" w:rsidRPr="00E36306" w:rsidRDefault="00F36EB8" w:rsidP="00F36EB8">
            <w:pPr>
              <w:spacing w:line="259" w:lineRule="auto"/>
              <w:ind w:firstLine="0"/>
              <w:jc w:val="left"/>
              <w:rPr>
                <w:b/>
                <w:bCs/>
                <w:color w:val="242424"/>
                <w:shd w:val="clear" w:color="auto" w:fill="FFFFFF"/>
              </w:rPr>
            </w:pPr>
            <w:r w:rsidRPr="00E36306">
              <w:rPr>
                <w:noProof/>
              </w:rPr>
              <w:lastRenderedPageBreak/>
              <w:drawing>
                <wp:inline distT="0" distB="0" distL="0" distR="0" wp14:anchorId="1F83C779" wp14:editId="1D88380A">
                  <wp:extent cx="102235" cy="102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color w:val="242424"/>
                <w:shd w:val="clear" w:color="auto" w:fill="FFFFFF"/>
              </w:rPr>
              <w:t> </w:t>
            </w:r>
            <w:r w:rsidRPr="00E36306">
              <w:rPr>
                <w:b/>
                <w:bCs/>
                <w:color w:val="242424"/>
                <w:shd w:val="clear" w:color="auto" w:fill="FFFFFF"/>
              </w:rPr>
              <w:t>13. gr.</w:t>
            </w:r>
            <w:r w:rsidRPr="00E36306">
              <w:rPr>
                <w:color w:val="242424"/>
                <w:shd w:val="clear" w:color="auto" w:fill="FFFFFF"/>
              </w:rPr>
              <w:t> </w:t>
            </w:r>
            <w:r w:rsidRPr="00E36306">
              <w:rPr>
                <w:i/>
                <w:iCs/>
                <w:color w:val="242424"/>
                <w:shd w:val="clear" w:color="auto" w:fill="FFFFFF"/>
              </w:rPr>
              <w:t>Stjórnvaldsfyrirmæli.</w:t>
            </w:r>
            <w:r w:rsidRPr="00E36306">
              <w:rPr>
                <w:color w:val="242424"/>
              </w:rPr>
              <w:br/>
            </w:r>
            <w:r w:rsidRPr="00E36306">
              <w:rPr>
                <w:noProof/>
              </w:rPr>
              <w:drawing>
                <wp:inline distT="0" distB="0" distL="0" distR="0" wp14:anchorId="1FE12880" wp14:editId="1BDB6E40">
                  <wp:extent cx="102235" cy="102235"/>
                  <wp:effectExtent l="0" t="0" r="0" b="0"/>
                  <wp:docPr id="7" name="G1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color w:val="242424"/>
                <w:shd w:val="clear" w:color="auto" w:fill="FFFFFF"/>
              </w:rPr>
              <w:t> Ráðherra er heimilt að setja reglugerð til að innleiða undirgerðir sem framkvæmdastjórn Evrópusambandsins samþykkir með stoð í eftirtöldum ákvæðum reglugerðar (ESB) 2016/ 1011 með breytingum skv. 1. gr.:</w:t>
            </w:r>
            <w:r w:rsidRPr="00E36306">
              <w:rPr>
                <w:color w:val="242424"/>
              </w:rPr>
              <w:br/>
            </w:r>
            <w:r w:rsidRPr="00E36306">
              <w:rPr>
                <w:color w:val="242424"/>
                <w:shd w:val="clear" w:color="auto" w:fill="FFFFFF"/>
              </w:rPr>
              <w:t>    a. 2. mgr. 3. gr. um tilgreiningu á tæknilegum þáttum skilgreininga,</w:t>
            </w:r>
            <w:r w:rsidRPr="00E36306">
              <w:rPr>
                <w:color w:val="242424"/>
              </w:rPr>
              <w:br/>
            </w:r>
            <w:r w:rsidRPr="00E36306">
              <w:rPr>
                <w:color w:val="242424"/>
                <w:shd w:val="clear" w:color="auto" w:fill="FFFFFF"/>
              </w:rPr>
              <w:t>    b. 3. mgr. 3. gr. um skrá yfir opinber yfirvöld á Evrópska efnahagssvæðinu,</w:t>
            </w:r>
            <w:r w:rsidRPr="00E36306">
              <w:rPr>
                <w:color w:val="242424"/>
              </w:rPr>
              <w:br/>
            </w:r>
            <w:r w:rsidRPr="00E36306">
              <w:rPr>
                <w:color w:val="242424"/>
                <w:shd w:val="clear" w:color="auto" w:fill="FFFFFF"/>
              </w:rPr>
              <w:t>    c. 2. mgr. a 13. gr. um lágmarksinnihald útskýringar á því hvernig lykilþættir aðferðafræði endurspegli þætti varðandi umhverfi, félagslega þætti og stjórnarhætti fyrir hverja viðmiðun eða fjölskyldu viðmiðana og staðlað snið sem skal nota,</w:t>
            </w:r>
            <w:r w:rsidRPr="00E36306">
              <w:rPr>
                <w:color w:val="242424"/>
              </w:rPr>
              <w:br/>
            </w:r>
            <w:r w:rsidR="00C64531" w:rsidRPr="00E36306">
              <w:rPr>
                <w:color w:val="242424"/>
                <w:shd w:val="clear" w:color="auto" w:fill="FFFFFF"/>
              </w:rPr>
              <w:t>    </w:t>
            </w:r>
            <w:r w:rsidR="007A002A" w:rsidRPr="00E36306">
              <w:rPr>
                <w:b/>
                <w:bCs/>
                <w:color w:val="242424"/>
                <w:shd w:val="clear" w:color="auto" w:fill="FFFFFF"/>
              </w:rPr>
              <w:t>d</w:t>
            </w:r>
            <w:r w:rsidR="00C64531" w:rsidRPr="00E36306">
              <w:rPr>
                <w:b/>
                <w:bCs/>
                <w:color w:val="242424"/>
                <w:shd w:val="clear" w:color="auto" w:fill="FFFFFF"/>
              </w:rPr>
              <w:t>. 3. mgr. 18. gr. a um lista yfir viðmiðanir fyrir stundargengi gjaldmiðla</w:t>
            </w:r>
            <w:r w:rsidR="0085333A" w:rsidRPr="00E36306">
              <w:rPr>
                <w:b/>
                <w:bCs/>
                <w:color w:val="242424"/>
                <w:shd w:val="clear" w:color="auto" w:fill="FFFFFF"/>
              </w:rPr>
              <w:t xml:space="preserve"> sem falla ekki undir reglugerðina</w:t>
            </w:r>
            <w:r w:rsidR="00C64531" w:rsidRPr="00E36306">
              <w:rPr>
                <w:b/>
                <w:bCs/>
                <w:color w:val="242424"/>
                <w:shd w:val="clear" w:color="auto" w:fill="FFFFFF"/>
              </w:rPr>
              <w:t>,</w:t>
            </w:r>
          </w:p>
          <w:p w14:paraId="75BF9778" w14:textId="55B67D25" w:rsidR="00F36EB8" w:rsidRPr="00E36306" w:rsidRDefault="00F36EB8" w:rsidP="00F36EB8">
            <w:pPr>
              <w:spacing w:line="259" w:lineRule="auto"/>
              <w:ind w:firstLine="0"/>
              <w:jc w:val="left"/>
              <w:rPr>
                <w:color w:val="242424"/>
                <w:shd w:val="clear" w:color="auto" w:fill="FFFFFF"/>
              </w:rPr>
            </w:pPr>
            <w:r w:rsidRPr="00E36306">
              <w:rPr>
                <w:color w:val="242424"/>
                <w:shd w:val="clear" w:color="auto" w:fill="FFFFFF"/>
              </w:rPr>
              <w:t>    </w:t>
            </w:r>
            <w:r w:rsidRPr="00DC2DD5">
              <w:rPr>
                <w:strike/>
                <w:color w:val="242424"/>
                <w:shd w:val="clear" w:color="auto" w:fill="FFFFFF"/>
              </w:rPr>
              <w:t>d</w:t>
            </w:r>
            <w:r w:rsidR="007A002A" w:rsidRPr="00E36306">
              <w:rPr>
                <w:b/>
                <w:bCs/>
                <w:color w:val="242424"/>
                <w:shd w:val="clear" w:color="auto" w:fill="FFFFFF"/>
              </w:rPr>
              <w:t>e</w:t>
            </w:r>
            <w:r w:rsidRPr="00E36306">
              <w:rPr>
                <w:color w:val="242424"/>
                <w:shd w:val="clear" w:color="auto" w:fill="FFFFFF"/>
              </w:rPr>
              <w:t>. 2. mgr. 19. gr. a um lágmarkskröfur um samræmingu aðferðafræði viðmiðana ESB vegna loftslagstengdra umbreytinga og viðmiðana ESB sem eru lagaðar að Parísarsamningnum,</w:t>
            </w:r>
            <w:r w:rsidRPr="00E36306">
              <w:rPr>
                <w:color w:val="242424"/>
              </w:rPr>
              <w:br/>
            </w:r>
            <w:r w:rsidRPr="00E36306">
              <w:rPr>
                <w:color w:val="242424"/>
                <w:shd w:val="clear" w:color="auto" w:fill="FFFFFF"/>
              </w:rPr>
              <w:t>    </w:t>
            </w:r>
            <w:r w:rsidRPr="00DC2DD5">
              <w:rPr>
                <w:strike/>
                <w:color w:val="242424"/>
                <w:shd w:val="clear" w:color="auto" w:fill="FFFFFF"/>
              </w:rPr>
              <w:t>e</w:t>
            </w:r>
            <w:r w:rsidR="007A002A" w:rsidRPr="00E36306">
              <w:rPr>
                <w:b/>
                <w:bCs/>
                <w:color w:val="242424"/>
                <w:shd w:val="clear" w:color="auto" w:fill="FFFFFF"/>
              </w:rPr>
              <w:t>f</w:t>
            </w:r>
            <w:r w:rsidRPr="00E36306">
              <w:rPr>
                <w:color w:val="242424"/>
                <w:shd w:val="clear" w:color="auto" w:fill="FFFFFF"/>
              </w:rPr>
              <w:t>. 1. mgr. 19. gr. c um geira sem skal undanskilja í viðmiðunum ESB sem eru lagaðar að Parísarsamningnum,</w:t>
            </w:r>
            <w:r w:rsidRPr="00E36306">
              <w:rPr>
                <w:color w:val="242424"/>
              </w:rPr>
              <w:br/>
            </w:r>
            <w:r w:rsidRPr="00E36306">
              <w:rPr>
                <w:color w:val="242424"/>
                <w:shd w:val="clear" w:color="auto" w:fill="FFFFFF"/>
              </w:rPr>
              <w:t>    </w:t>
            </w:r>
            <w:r w:rsidRPr="00DC2DD5">
              <w:rPr>
                <w:strike/>
                <w:color w:val="242424"/>
                <w:shd w:val="clear" w:color="auto" w:fill="FFFFFF"/>
              </w:rPr>
              <w:t>f</w:t>
            </w:r>
            <w:r w:rsidR="007A002A" w:rsidRPr="00E36306">
              <w:rPr>
                <w:b/>
                <w:bCs/>
                <w:color w:val="242424"/>
                <w:shd w:val="clear" w:color="auto" w:fill="FFFFFF"/>
              </w:rPr>
              <w:t>g</w:t>
            </w:r>
            <w:r w:rsidRPr="00E36306">
              <w:rPr>
                <w:color w:val="242424"/>
                <w:shd w:val="clear" w:color="auto" w:fill="FFFFFF"/>
              </w:rPr>
              <w:t>. 1. mgr. 20. gr. um skrá yfir mjög mikilvægar viðmiðanir,</w:t>
            </w:r>
            <w:r w:rsidRPr="00E36306">
              <w:rPr>
                <w:color w:val="242424"/>
              </w:rPr>
              <w:br/>
            </w:r>
            <w:r w:rsidRPr="00E36306">
              <w:rPr>
                <w:color w:val="242424"/>
                <w:shd w:val="clear" w:color="auto" w:fill="FFFFFF"/>
              </w:rPr>
              <w:t>    </w:t>
            </w:r>
            <w:r w:rsidRPr="00DC2DD5">
              <w:rPr>
                <w:strike/>
                <w:color w:val="242424"/>
                <w:shd w:val="clear" w:color="auto" w:fill="FFFFFF"/>
              </w:rPr>
              <w:t>g</w:t>
            </w:r>
            <w:r w:rsidR="007A002A" w:rsidRPr="00E36306">
              <w:rPr>
                <w:b/>
                <w:bCs/>
                <w:color w:val="242424"/>
                <w:shd w:val="clear" w:color="auto" w:fill="FFFFFF"/>
              </w:rPr>
              <w:t>h</w:t>
            </w:r>
            <w:r w:rsidRPr="00E36306">
              <w:rPr>
                <w:color w:val="242424"/>
                <w:shd w:val="clear" w:color="auto" w:fill="FFFFFF"/>
              </w:rPr>
              <w:t xml:space="preserve">. a-lið 6. mgr. 20. gr. um útreikning á </w:t>
            </w:r>
            <w:r w:rsidRPr="00E36306">
              <w:rPr>
                <w:color w:val="242424"/>
                <w:shd w:val="clear" w:color="auto" w:fill="FFFFFF"/>
              </w:rPr>
              <w:lastRenderedPageBreak/>
              <w:t>nafnverði fjármálagerninga, grundvallarfjárhæð afleiða og verðmæti hreinnar eignar fjárfestingarsjóða sem vísa í viðmiðun til að ákvarða hvort slík viðmiðun sé mjög mikilvæg,</w:t>
            </w:r>
            <w:r w:rsidRPr="00E36306">
              <w:rPr>
                <w:color w:val="242424"/>
              </w:rPr>
              <w:br/>
            </w:r>
            <w:r w:rsidRPr="00E36306">
              <w:rPr>
                <w:color w:val="242424"/>
                <w:shd w:val="clear" w:color="auto" w:fill="FFFFFF"/>
              </w:rPr>
              <w:t>    </w:t>
            </w:r>
            <w:r w:rsidRPr="00DC2DD5">
              <w:rPr>
                <w:strike/>
                <w:color w:val="242424"/>
                <w:shd w:val="clear" w:color="auto" w:fill="FFFFFF"/>
              </w:rPr>
              <w:t>h</w:t>
            </w:r>
            <w:r w:rsidR="007A002A" w:rsidRPr="00E36306">
              <w:rPr>
                <w:b/>
                <w:bCs/>
                <w:color w:val="242424"/>
                <w:shd w:val="clear" w:color="auto" w:fill="FFFFFF"/>
              </w:rPr>
              <w:t>i</w:t>
            </w:r>
            <w:r w:rsidRPr="00E36306">
              <w:rPr>
                <w:color w:val="242424"/>
                <w:shd w:val="clear" w:color="auto" w:fill="FFFFFF"/>
              </w:rPr>
              <w:t>. b-lið 6. mgr. 20. gr. um endurskoðun reikniaðferðarinnar sem notuð er til að ákvarða viðmiðunarmörk vegna ákvörðunar um hvort viðmiðanir séu mjög mikilvægar,</w:t>
            </w:r>
          </w:p>
          <w:p w14:paraId="297B7599" w14:textId="029B57D1" w:rsidR="00F36EB8" w:rsidRPr="00E36306" w:rsidRDefault="00F36EB8" w:rsidP="00F36EB8">
            <w:pPr>
              <w:spacing w:line="259" w:lineRule="auto"/>
              <w:ind w:firstLine="0"/>
              <w:jc w:val="left"/>
              <w:rPr>
                <w:color w:val="242424"/>
                <w:shd w:val="clear" w:color="auto" w:fill="FFFFFF"/>
              </w:rPr>
            </w:pPr>
            <w:r w:rsidRPr="00E36306">
              <w:rPr>
                <w:b/>
                <w:bCs/>
                <w:color w:val="242424"/>
                <w:shd w:val="clear" w:color="auto" w:fill="FFFFFF"/>
              </w:rPr>
              <w:t>    </w:t>
            </w:r>
            <w:r w:rsidR="007A002A" w:rsidRPr="00E36306">
              <w:rPr>
                <w:b/>
                <w:bCs/>
                <w:color w:val="242424"/>
                <w:shd w:val="clear" w:color="auto" w:fill="FFFFFF"/>
              </w:rPr>
              <w:t>j</w:t>
            </w:r>
            <w:r w:rsidRPr="00E36306">
              <w:rPr>
                <w:b/>
                <w:bCs/>
                <w:color w:val="242424"/>
                <w:shd w:val="clear" w:color="auto" w:fill="FFFFFF"/>
              </w:rPr>
              <w:t>. 8. mgr. 23. gr. b um tilnefningu viðmiðana í stað annarra viðmiðana,</w:t>
            </w:r>
            <w:r w:rsidRPr="00E36306">
              <w:rPr>
                <w:color w:val="242424"/>
              </w:rPr>
              <w:br/>
            </w:r>
            <w:r w:rsidRPr="00E36306">
              <w:rPr>
                <w:color w:val="242424"/>
                <w:shd w:val="clear" w:color="auto" w:fill="FFFFFF"/>
              </w:rPr>
              <w:t>    </w:t>
            </w:r>
            <w:r w:rsidRPr="00DC2DD5">
              <w:rPr>
                <w:strike/>
                <w:color w:val="242424"/>
                <w:shd w:val="clear" w:color="auto" w:fill="FFFFFF"/>
              </w:rPr>
              <w:t>i</w:t>
            </w:r>
            <w:r w:rsidR="007A002A" w:rsidRPr="00E36306">
              <w:rPr>
                <w:b/>
                <w:bCs/>
                <w:color w:val="242424"/>
                <w:shd w:val="clear" w:color="auto" w:fill="FFFFFF"/>
              </w:rPr>
              <w:t>k</w:t>
            </w:r>
            <w:r w:rsidRPr="00E36306">
              <w:rPr>
                <w:color w:val="242424"/>
                <w:shd w:val="clear" w:color="auto" w:fill="FFFFFF"/>
              </w:rPr>
              <w:t>. 2. mgr. 24. gr. um endurskoðun reikniaðferðarinnar sem notuð er til að ákvarða viðmiðunarmörk vegna ákvörðunar um hvort viðmiðanir séu mikilvægar,</w:t>
            </w:r>
            <w:r w:rsidRPr="00E36306">
              <w:rPr>
                <w:color w:val="242424"/>
              </w:rPr>
              <w:br/>
            </w:r>
            <w:r w:rsidRPr="00E36306">
              <w:rPr>
                <w:color w:val="242424"/>
                <w:shd w:val="clear" w:color="auto" w:fill="FFFFFF"/>
              </w:rPr>
              <w:t>    </w:t>
            </w:r>
            <w:r w:rsidRPr="00DC2DD5">
              <w:rPr>
                <w:strike/>
                <w:color w:val="242424"/>
                <w:shd w:val="clear" w:color="auto" w:fill="FFFFFF"/>
              </w:rPr>
              <w:t>j</w:t>
            </w:r>
            <w:r w:rsidR="007A002A" w:rsidRPr="00E36306">
              <w:rPr>
                <w:b/>
                <w:bCs/>
                <w:color w:val="242424"/>
                <w:shd w:val="clear" w:color="auto" w:fill="FFFFFF"/>
              </w:rPr>
              <w:t>l</w:t>
            </w:r>
            <w:r w:rsidRPr="00E36306">
              <w:rPr>
                <w:color w:val="242424"/>
                <w:shd w:val="clear" w:color="auto" w:fill="FFFFFF"/>
              </w:rPr>
              <w:t>. 2. mgr. b 27. gr. um upplýsingagjöf um umhverfi, félagslega þætti og stjórnarhætti og staðalsniðmát,</w:t>
            </w:r>
            <w:r w:rsidRPr="00E36306">
              <w:rPr>
                <w:color w:val="242424"/>
              </w:rPr>
              <w:br/>
            </w:r>
            <w:r w:rsidRPr="00E36306">
              <w:rPr>
                <w:color w:val="242424"/>
                <w:shd w:val="clear" w:color="auto" w:fill="FFFFFF"/>
              </w:rPr>
              <w:t>    </w:t>
            </w:r>
            <w:r w:rsidRPr="00DC2DD5">
              <w:rPr>
                <w:strike/>
                <w:color w:val="242424"/>
                <w:shd w:val="clear" w:color="auto" w:fill="FFFFFF"/>
              </w:rPr>
              <w:t>k</w:t>
            </w:r>
            <w:r w:rsidR="007A002A" w:rsidRPr="00E36306">
              <w:rPr>
                <w:b/>
                <w:bCs/>
                <w:color w:val="242424"/>
                <w:shd w:val="clear" w:color="auto" w:fill="FFFFFF"/>
              </w:rPr>
              <w:t>m</w:t>
            </w:r>
            <w:r w:rsidRPr="00E36306">
              <w:rPr>
                <w:color w:val="242424"/>
                <w:shd w:val="clear" w:color="auto" w:fill="FFFFFF"/>
              </w:rPr>
              <w:t>. 7. mgr. 33. gr. um ákvörðun á hlutlægum ástæðum til að samþykkja viðmiðun eða fjölskyldu viðmiðana sem eru gerðar í þriðja landi,</w:t>
            </w:r>
            <w:r w:rsidRPr="00E36306">
              <w:rPr>
                <w:color w:val="242424"/>
              </w:rPr>
              <w:br/>
            </w:r>
            <w:r w:rsidRPr="00E36306">
              <w:rPr>
                <w:color w:val="242424"/>
                <w:shd w:val="clear" w:color="auto" w:fill="FFFFFF"/>
              </w:rPr>
              <w:t>    </w:t>
            </w:r>
            <w:r w:rsidRPr="00DC2DD5">
              <w:rPr>
                <w:strike/>
                <w:color w:val="242424"/>
                <w:shd w:val="clear" w:color="auto" w:fill="FFFFFF"/>
              </w:rPr>
              <w:t>l</w:t>
            </w:r>
            <w:r w:rsidR="007A002A" w:rsidRPr="00E36306">
              <w:rPr>
                <w:b/>
                <w:bCs/>
                <w:color w:val="242424"/>
                <w:shd w:val="clear" w:color="auto" w:fill="FFFFFF"/>
              </w:rPr>
              <w:t>n</w:t>
            </w:r>
            <w:r w:rsidRPr="00E36306">
              <w:rPr>
                <w:color w:val="242424"/>
                <w:shd w:val="clear" w:color="auto" w:fill="FFFFFF"/>
              </w:rPr>
              <w:t>. 6. mgr. 51. gr. um ákvörðun um skilyrði til að meta hvort það að hætta gerð viðmiðunar eða breyta gildandi viðmiðun sé líklegt til að hafa í för með sér óviðráðanlegt atvik, hindra eða brjóta með öðrum hætti gegn skilmálum fjárhagslegs samnings eða fjármálagernings eða reglum fjárfestingarsjóðs sem vísar í slíka viðmiðun og</w:t>
            </w:r>
            <w:r w:rsidRPr="00E36306">
              <w:rPr>
                <w:color w:val="242424"/>
              </w:rPr>
              <w:br/>
            </w:r>
            <w:r w:rsidRPr="00E36306">
              <w:rPr>
                <w:color w:val="242424"/>
                <w:shd w:val="clear" w:color="auto" w:fill="FFFFFF"/>
              </w:rPr>
              <w:t>    </w:t>
            </w:r>
            <w:r w:rsidRPr="00DC2DD5">
              <w:rPr>
                <w:strike/>
                <w:color w:val="242424"/>
                <w:shd w:val="clear" w:color="auto" w:fill="FFFFFF"/>
              </w:rPr>
              <w:t>m</w:t>
            </w:r>
            <w:r w:rsidR="007A002A" w:rsidRPr="00E36306">
              <w:rPr>
                <w:b/>
                <w:bCs/>
                <w:color w:val="242424"/>
                <w:shd w:val="clear" w:color="auto" w:fill="FFFFFF"/>
              </w:rPr>
              <w:t>o</w:t>
            </w:r>
            <w:r w:rsidRPr="00E36306">
              <w:rPr>
                <w:color w:val="242424"/>
                <w:shd w:val="clear" w:color="auto" w:fill="FFFFFF"/>
              </w:rPr>
              <w:t>. 3. mgr. 54. gr. um framlengingu tímabilsins sem fyrirhugað er fyrir skráningu í stað leyfisveitingar tiltekinna stjórnenda,</w:t>
            </w:r>
          </w:p>
          <w:p w14:paraId="7EEFBDAA" w14:textId="2560F43C" w:rsidR="00F36EB8" w:rsidRPr="00E36306" w:rsidRDefault="00F36EB8" w:rsidP="00F36EB8">
            <w:pPr>
              <w:spacing w:line="259" w:lineRule="auto"/>
              <w:ind w:firstLine="0"/>
              <w:jc w:val="left"/>
              <w:rPr>
                <w:rFonts w:ascii="FiraGO Light" w:eastAsia="FiraGO Light" w:hAnsi="FiraGO Light"/>
                <w:sz w:val="18"/>
              </w:rPr>
            </w:pPr>
            <w:r w:rsidRPr="00E36306">
              <w:rPr>
                <w:b/>
                <w:bCs/>
                <w:color w:val="242424"/>
                <w:shd w:val="clear" w:color="auto" w:fill="FFFFFF"/>
              </w:rPr>
              <w:t>    </w:t>
            </w:r>
            <w:r w:rsidR="007A002A" w:rsidRPr="00E36306">
              <w:rPr>
                <w:b/>
                <w:bCs/>
                <w:color w:val="242424"/>
                <w:shd w:val="clear" w:color="auto" w:fill="FFFFFF"/>
              </w:rPr>
              <w:t>p</w:t>
            </w:r>
            <w:r w:rsidRPr="00E36306">
              <w:rPr>
                <w:b/>
                <w:bCs/>
                <w:color w:val="242424"/>
                <w:shd w:val="clear" w:color="auto" w:fill="FFFFFF"/>
              </w:rPr>
              <w:t>. 7. mgr. 54. gr. um framlengingu umbreytingartímabils</w:t>
            </w:r>
            <w:r w:rsidR="004A226D" w:rsidRPr="00E36306">
              <w:rPr>
                <w:b/>
                <w:bCs/>
                <w:color w:val="242424"/>
                <w:shd w:val="clear" w:color="auto" w:fill="FFFFFF"/>
              </w:rPr>
              <w:t xml:space="preserve"> vegna viðmiðana þriðju ríkja</w:t>
            </w:r>
            <w:r w:rsidRPr="00E36306">
              <w:rPr>
                <w:b/>
                <w:bCs/>
                <w:color w:val="242424"/>
                <w:shd w:val="clear" w:color="auto" w:fill="FFFFFF"/>
              </w:rPr>
              <w:t>.</w:t>
            </w:r>
            <w:r w:rsidRPr="00E36306">
              <w:rPr>
                <w:color w:val="242424"/>
              </w:rPr>
              <w:br/>
            </w:r>
            <w:r w:rsidRPr="00E36306">
              <w:rPr>
                <w:noProof/>
              </w:rPr>
              <w:drawing>
                <wp:inline distT="0" distB="0" distL="0" distR="0" wp14:anchorId="4C21461F" wp14:editId="338BE7EF">
                  <wp:extent cx="102235" cy="102235"/>
                  <wp:effectExtent l="0" t="0" r="0" b="0"/>
                  <wp:docPr id="8" name="G13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E36306">
              <w:rPr>
                <w:color w:val="242424"/>
                <w:shd w:val="clear" w:color="auto" w:fill="FFFFFF"/>
              </w:rPr>
              <w:t> [...]</w:t>
            </w:r>
          </w:p>
        </w:tc>
      </w:tr>
      <w:bookmarkEnd w:id="2"/>
    </w:tbl>
    <w:p w14:paraId="3CABCE46" w14:textId="5A4A0B87" w:rsidR="00A141B9" w:rsidRPr="00E36306" w:rsidRDefault="00A141B9" w:rsidP="00943B67">
      <w:pPr>
        <w:rPr>
          <w:b/>
          <w:bCs/>
        </w:rPr>
      </w:pPr>
    </w:p>
    <w:sectPr w:rsidR="00A141B9" w:rsidRPr="00E36306" w:rsidSect="00947F0E">
      <w:headerReference w:type="even" r:id="rId26"/>
      <w:headerReference w:type="default" r:id="rId27"/>
      <w:headerReference w:type="first" r:id="rId2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7025" w14:textId="65CBE687" w:rsidR="001D3631" w:rsidRDefault="007A1878">
    <w:pPr>
      <w:pStyle w:val="Header"/>
    </w:pPr>
    <w:r>
      <w:rPr>
        <w:noProof/>
      </w:rPr>
      <w:pict w14:anchorId="72454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14126" o:spid="_x0000_s2253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B58C462" w:rsidR="00655EE3" w:rsidRDefault="007A1878" w:rsidP="006258D7">
    <w:pPr>
      <w:pStyle w:val="Header"/>
      <w:tabs>
        <w:tab w:val="clear" w:pos="4536"/>
        <w:tab w:val="clear" w:pos="9072"/>
        <w:tab w:val="center" w:pos="3969"/>
        <w:tab w:val="right" w:pos="7797"/>
      </w:tabs>
    </w:pPr>
    <w:r>
      <w:rPr>
        <w:noProof/>
      </w:rPr>
      <w:pict w14:anchorId="7761E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14127" o:spid="_x0000_s2253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655EE3">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Pr>
        <w:b/>
        <w:i/>
        <w:noProof/>
        <w:color w:val="7F7F7F"/>
        <w:sz w:val="24"/>
        <w:szCs w:val="24"/>
      </w:rPr>
      <w:t>19. ágúst 2021</w:t>
    </w:r>
    <w:r w:rsidR="002D340A">
      <w:rPr>
        <w:b/>
        <w:i/>
        <w:color w:val="7F7F7F"/>
        <w:sz w:val="24"/>
        <w:szCs w:val="24"/>
      </w:rPr>
      <w:fldChar w:fldCharType="end"/>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7251ACAF" w:rsidR="00655EE3" w:rsidRDefault="007A1878" w:rsidP="00655EE3">
    <w:pPr>
      <w:pStyle w:val="Header"/>
      <w:tabs>
        <w:tab w:val="clear" w:pos="4536"/>
        <w:tab w:val="clear" w:pos="9072"/>
        <w:tab w:val="center" w:pos="3969"/>
        <w:tab w:val="right" w:pos="7797"/>
      </w:tabs>
    </w:pPr>
    <w:r>
      <w:rPr>
        <w:noProof/>
      </w:rPr>
      <w:pict w14:anchorId="6C1E4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14125" o:spid="_x0000_s2252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Pr>
        <w:b/>
        <w:i/>
        <w:noProof/>
        <w:color w:val="7F7F7F"/>
        <w:sz w:val="24"/>
        <w:szCs w:val="24"/>
      </w:rPr>
      <w:t>19. ágúst 2021</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defaultTabStop w:val="284"/>
  <w:hyphenationZone w:val="425"/>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20A3"/>
    <w:rsid w:val="000464E6"/>
    <w:rsid w:val="00055B22"/>
    <w:rsid w:val="000A7848"/>
    <w:rsid w:val="000C0966"/>
    <w:rsid w:val="000D40D8"/>
    <w:rsid w:val="000E16E7"/>
    <w:rsid w:val="000F4095"/>
    <w:rsid w:val="000F46B1"/>
    <w:rsid w:val="00117680"/>
    <w:rsid w:val="001222CE"/>
    <w:rsid w:val="00122EE4"/>
    <w:rsid w:val="00132E7E"/>
    <w:rsid w:val="001371CD"/>
    <w:rsid w:val="0015772E"/>
    <w:rsid w:val="00165DEF"/>
    <w:rsid w:val="001661F6"/>
    <w:rsid w:val="00181038"/>
    <w:rsid w:val="00183BF7"/>
    <w:rsid w:val="001A5CBD"/>
    <w:rsid w:val="001B7495"/>
    <w:rsid w:val="001D3631"/>
    <w:rsid w:val="001D5489"/>
    <w:rsid w:val="001E5948"/>
    <w:rsid w:val="0022006D"/>
    <w:rsid w:val="00220C67"/>
    <w:rsid w:val="002212F6"/>
    <w:rsid w:val="002224E3"/>
    <w:rsid w:val="00245676"/>
    <w:rsid w:val="00250B15"/>
    <w:rsid w:val="00251950"/>
    <w:rsid w:val="00260FE0"/>
    <w:rsid w:val="002675EE"/>
    <w:rsid w:val="00270A34"/>
    <w:rsid w:val="00293FEE"/>
    <w:rsid w:val="002B3385"/>
    <w:rsid w:val="002D034E"/>
    <w:rsid w:val="002D340A"/>
    <w:rsid w:val="002E5BB6"/>
    <w:rsid w:val="002E7193"/>
    <w:rsid w:val="002F0686"/>
    <w:rsid w:val="002F3AFA"/>
    <w:rsid w:val="00301215"/>
    <w:rsid w:val="00322F35"/>
    <w:rsid w:val="0032704C"/>
    <w:rsid w:val="0033239D"/>
    <w:rsid w:val="003323B0"/>
    <w:rsid w:val="00335852"/>
    <w:rsid w:val="0034172E"/>
    <w:rsid w:val="00353436"/>
    <w:rsid w:val="003623A1"/>
    <w:rsid w:val="00381ECF"/>
    <w:rsid w:val="003917F4"/>
    <w:rsid w:val="003A0A09"/>
    <w:rsid w:val="003B1BA1"/>
    <w:rsid w:val="003B68AB"/>
    <w:rsid w:val="003B7AF5"/>
    <w:rsid w:val="003C43E0"/>
    <w:rsid w:val="003E448F"/>
    <w:rsid w:val="003F5B37"/>
    <w:rsid w:val="00400416"/>
    <w:rsid w:val="00436458"/>
    <w:rsid w:val="00444281"/>
    <w:rsid w:val="00456B8B"/>
    <w:rsid w:val="00465276"/>
    <w:rsid w:val="0049606B"/>
    <w:rsid w:val="004A226D"/>
    <w:rsid w:val="004B088E"/>
    <w:rsid w:val="004B3D9B"/>
    <w:rsid w:val="004C4D11"/>
    <w:rsid w:val="004C568E"/>
    <w:rsid w:val="004F37F2"/>
    <w:rsid w:val="0050458D"/>
    <w:rsid w:val="00507601"/>
    <w:rsid w:val="005303CF"/>
    <w:rsid w:val="005375B7"/>
    <w:rsid w:val="00564348"/>
    <w:rsid w:val="00564708"/>
    <w:rsid w:val="00570DAE"/>
    <w:rsid w:val="0057228A"/>
    <w:rsid w:val="00581042"/>
    <w:rsid w:val="005B4CD6"/>
    <w:rsid w:val="005D5AEE"/>
    <w:rsid w:val="005D7863"/>
    <w:rsid w:val="00612E3E"/>
    <w:rsid w:val="00620751"/>
    <w:rsid w:val="006258D7"/>
    <w:rsid w:val="0064507A"/>
    <w:rsid w:val="006514F9"/>
    <w:rsid w:val="00652C9A"/>
    <w:rsid w:val="00655AEA"/>
    <w:rsid w:val="00655EE3"/>
    <w:rsid w:val="0066420A"/>
    <w:rsid w:val="006812D5"/>
    <w:rsid w:val="006911B5"/>
    <w:rsid w:val="00694BF7"/>
    <w:rsid w:val="006B6B37"/>
    <w:rsid w:val="006C7E07"/>
    <w:rsid w:val="006E11E0"/>
    <w:rsid w:val="006F069F"/>
    <w:rsid w:val="006F391B"/>
    <w:rsid w:val="006F4043"/>
    <w:rsid w:val="006F4D1E"/>
    <w:rsid w:val="006F74FF"/>
    <w:rsid w:val="00706572"/>
    <w:rsid w:val="00707D37"/>
    <w:rsid w:val="0071741E"/>
    <w:rsid w:val="007176DC"/>
    <w:rsid w:val="007555E3"/>
    <w:rsid w:val="007A002A"/>
    <w:rsid w:val="007A08F8"/>
    <w:rsid w:val="007A1878"/>
    <w:rsid w:val="007A5585"/>
    <w:rsid w:val="007C3DDF"/>
    <w:rsid w:val="007D4338"/>
    <w:rsid w:val="007E5A23"/>
    <w:rsid w:val="007F3B99"/>
    <w:rsid w:val="007F5152"/>
    <w:rsid w:val="00803FAF"/>
    <w:rsid w:val="00820E82"/>
    <w:rsid w:val="00845F09"/>
    <w:rsid w:val="00852033"/>
    <w:rsid w:val="00852FF3"/>
    <w:rsid w:val="0085333A"/>
    <w:rsid w:val="0085674C"/>
    <w:rsid w:val="008577B7"/>
    <w:rsid w:val="008702E1"/>
    <w:rsid w:val="00882D45"/>
    <w:rsid w:val="00895423"/>
    <w:rsid w:val="008A1DB5"/>
    <w:rsid w:val="008D0068"/>
    <w:rsid w:val="008F049A"/>
    <w:rsid w:val="00922651"/>
    <w:rsid w:val="0092372F"/>
    <w:rsid w:val="00943B67"/>
    <w:rsid w:val="00947F0E"/>
    <w:rsid w:val="00995085"/>
    <w:rsid w:val="00A062AC"/>
    <w:rsid w:val="00A10AE9"/>
    <w:rsid w:val="00A141B9"/>
    <w:rsid w:val="00A2280D"/>
    <w:rsid w:val="00A24367"/>
    <w:rsid w:val="00A3087F"/>
    <w:rsid w:val="00A366EA"/>
    <w:rsid w:val="00A425DE"/>
    <w:rsid w:val="00A51B54"/>
    <w:rsid w:val="00A74357"/>
    <w:rsid w:val="00A84C9D"/>
    <w:rsid w:val="00A90212"/>
    <w:rsid w:val="00A92371"/>
    <w:rsid w:val="00A96651"/>
    <w:rsid w:val="00AB4DB6"/>
    <w:rsid w:val="00AC39A6"/>
    <w:rsid w:val="00AC6D7A"/>
    <w:rsid w:val="00AC7C2A"/>
    <w:rsid w:val="00AD0879"/>
    <w:rsid w:val="00AD7112"/>
    <w:rsid w:val="00AF5476"/>
    <w:rsid w:val="00AF581E"/>
    <w:rsid w:val="00AF7713"/>
    <w:rsid w:val="00B10881"/>
    <w:rsid w:val="00B128C6"/>
    <w:rsid w:val="00B203DC"/>
    <w:rsid w:val="00B20E81"/>
    <w:rsid w:val="00B37965"/>
    <w:rsid w:val="00B56947"/>
    <w:rsid w:val="00B72E29"/>
    <w:rsid w:val="00B73258"/>
    <w:rsid w:val="00B750E2"/>
    <w:rsid w:val="00B95C5D"/>
    <w:rsid w:val="00BA0BB8"/>
    <w:rsid w:val="00BA4178"/>
    <w:rsid w:val="00BB6578"/>
    <w:rsid w:val="00BC31E7"/>
    <w:rsid w:val="00BC3809"/>
    <w:rsid w:val="00BF157A"/>
    <w:rsid w:val="00BF2C1E"/>
    <w:rsid w:val="00BF3D23"/>
    <w:rsid w:val="00C31978"/>
    <w:rsid w:val="00C34A72"/>
    <w:rsid w:val="00C350BA"/>
    <w:rsid w:val="00C35574"/>
    <w:rsid w:val="00C36086"/>
    <w:rsid w:val="00C64531"/>
    <w:rsid w:val="00C70C55"/>
    <w:rsid w:val="00C710B1"/>
    <w:rsid w:val="00C77132"/>
    <w:rsid w:val="00C91B65"/>
    <w:rsid w:val="00CA31D0"/>
    <w:rsid w:val="00CB7A8E"/>
    <w:rsid w:val="00CC7ED2"/>
    <w:rsid w:val="00CD3ADD"/>
    <w:rsid w:val="00CD54BE"/>
    <w:rsid w:val="00D0740D"/>
    <w:rsid w:val="00D205B5"/>
    <w:rsid w:val="00D25E73"/>
    <w:rsid w:val="00D337AE"/>
    <w:rsid w:val="00D45F78"/>
    <w:rsid w:val="00D512A4"/>
    <w:rsid w:val="00D5679C"/>
    <w:rsid w:val="00DA0E37"/>
    <w:rsid w:val="00DC12E3"/>
    <w:rsid w:val="00DC2DD5"/>
    <w:rsid w:val="00DC3B44"/>
    <w:rsid w:val="00DD0B48"/>
    <w:rsid w:val="00DD303D"/>
    <w:rsid w:val="00DE0F4E"/>
    <w:rsid w:val="00E11B67"/>
    <w:rsid w:val="00E255CC"/>
    <w:rsid w:val="00E36306"/>
    <w:rsid w:val="00E43D2F"/>
    <w:rsid w:val="00E45CB1"/>
    <w:rsid w:val="00E612D6"/>
    <w:rsid w:val="00E61D77"/>
    <w:rsid w:val="00E71F27"/>
    <w:rsid w:val="00E7395A"/>
    <w:rsid w:val="00EA4BBC"/>
    <w:rsid w:val="00EB12F6"/>
    <w:rsid w:val="00EB3C39"/>
    <w:rsid w:val="00ED1890"/>
    <w:rsid w:val="00EE5583"/>
    <w:rsid w:val="00EE7270"/>
    <w:rsid w:val="00EF0D0C"/>
    <w:rsid w:val="00EF776B"/>
    <w:rsid w:val="00F0305D"/>
    <w:rsid w:val="00F34345"/>
    <w:rsid w:val="00F36EB8"/>
    <w:rsid w:val="00F42289"/>
    <w:rsid w:val="00F54C9A"/>
    <w:rsid w:val="00F55292"/>
    <w:rsid w:val="00F64F52"/>
    <w:rsid w:val="00F81A5F"/>
    <w:rsid w:val="00FE2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4D8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BA4178"/>
    <w:rPr>
      <w:sz w:val="16"/>
      <w:szCs w:val="16"/>
    </w:rPr>
  </w:style>
  <w:style w:type="paragraph" w:styleId="CommentText">
    <w:name w:val="annotation text"/>
    <w:basedOn w:val="Normal"/>
    <w:link w:val="CommentTextChar"/>
    <w:uiPriority w:val="99"/>
    <w:semiHidden/>
    <w:unhideWhenUsed/>
    <w:rsid w:val="00BA4178"/>
    <w:rPr>
      <w:sz w:val="20"/>
      <w:szCs w:val="20"/>
    </w:rPr>
  </w:style>
  <w:style w:type="character" w:customStyle="1" w:styleId="CommentTextChar">
    <w:name w:val="Comment Text Char"/>
    <w:basedOn w:val="DefaultParagraphFont"/>
    <w:link w:val="CommentText"/>
    <w:uiPriority w:val="99"/>
    <w:semiHidden/>
    <w:rsid w:val="00BA417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BA4178"/>
    <w:rPr>
      <w:b/>
      <w:bCs/>
    </w:rPr>
  </w:style>
  <w:style w:type="character" w:customStyle="1" w:styleId="CommentSubjectChar">
    <w:name w:val="Comment Subject Char"/>
    <w:basedOn w:val="CommentTextChar"/>
    <w:link w:val="CommentSubject"/>
    <w:uiPriority w:val="99"/>
    <w:semiHidden/>
    <w:rsid w:val="00BA4178"/>
    <w:rPr>
      <w:rFonts w:ascii="Times New Roman" w:hAnsi="Times New Roman"/>
      <w:b/>
      <w:bCs/>
      <w:lang w:val="is-IS"/>
    </w:rPr>
  </w:style>
  <w:style w:type="paragraph" w:styleId="BalloonText">
    <w:name w:val="Balloon Text"/>
    <w:basedOn w:val="Normal"/>
    <w:link w:val="BalloonTextChar"/>
    <w:uiPriority w:val="99"/>
    <w:semiHidden/>
    <w:unhideWhenUsed/>
    <w:rsid w:val="00BA4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78"/>
    <w:rPr>
      <w:rFonts w:ascii="Segoe UI" w:hAnsi="Segoe UI" w:cs="Segoe UI"/>
      <w:sz w:val="18"/>
      <w:szCs w:val="18"/>
      <w:lang w:val="is-IS"/>
    </w:rPr>
  </w:style>
  <w:style w:type="character" w:styleId="UnresolvedMention">
    <w:name w:val="Unresolved Mention"/>
    <w:basedOn w:val="DefaultParagraphFont"/>
    <w:uiPriority w:val="99"/>
    <w:semiHidden/>
    <w:unhideWhenUsed/>
    <w:rsid w:val="003B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5781">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80062163">
      <w:bodyDiv w:val="1"/>
      <w:marLeft w:val="0"/>
      <w:marRight w:val="0"/>
      <w:marTop w:val="0"/>
      <w:marBottom w:val="0"/>
      <w:divBdr>
        <w:top w:val="none" w:sz="0" w:space="0" w:color="auto"/>
        <w:left w:val="none" w:sz="0" w:space="0" w:color="auto"/>
        <w:bottom w:val="none" w:sz="0" w:space="0" w:color="auto"/>
        <w:right w:val="none" w:sz="0" w:space="0" w:color="auto"/>
      </w:divBdr>
      <w:divsChild>
        <w:div w:id="502890069">
          <w:marLeft w:val="0"/>
          <w:marRight w:val="0"/>
          <w:marTop w:val="0"/>
          <w:marBottom w:val="0"/>
          <w:divBdr>
            <w:top w:val="none" w:sz="0" w:space="0" w:color="auto"/>
            <w:left w:val="none" w:sz="0" w:space="0" w:color="auto"/>
            <w:bottom w:val="none" w:sz="0" w:space="0" w:color="auto"/>
            <w:right w:val="none" w:sz="0" w:space="0" w:color="auto"/>
          </w:divBdr>
          <w:divsChild>
            <w:div w:id="2046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104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85254677">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78663153">
      <w:bodyDiv w:val="1"/>
      <w:marLeft w:val="0"/>
      <w:marRight w:val="0"/>
      <w:marTop w:val="0"/>
      <w:marBottom w:val="0"/>
      <w:divBdr>
        <w:top w:val="none" w:sz="0" w:space="0" w:color="auto"/>
        <w:left w:val="none" w:sz="0" w:space="0" w:color="auto"/>
        <w:bottom w:val="none" w:sz="0" w:space="0" w:color="auto"/>
        <w:right w:val="none" w:sz="0" w:space="0" w:color="auto"/>
      </w:divBdr>
    </w:div>
    <w:div w:id="1238052489">
      <w:bodyDiv w:val="1"/>
      <w:marLeft w:val="0"/>
      <w:marRight w:val="0"/>
      <w:marTop w:val="0"/>
      <w:marBottom w:val="0"/>
      <w:divBdr>
        <w:top w:val="none" w:sz="0" w:space="0" w:color="auto"/>
        <w:left w:val="none" w:sz="0" w:space="0" w:color="auto"/>
        <w:bottom w:val="none" w:sz="0" w:space="0" w:color="auto"/>
        <w:right w:val="none" w:sz="0" w:space="0" w:color="auto"/>
      </w:divBdr>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
    <w:div w:id="1326736709">
      <w:bodyDiv w:val="1"/>
      <w:marLeft w:val="0"/>
      <w:marRight w:val="0"/>
      <w:marTop w:val="0"/>
      <w:marBottom w:val="0"/>
      <w:divBdr>
        <w:top w:val="none" w:sz="0" w:space="0" w:color="auto"/>
        <w:left w:val="none" w:sz="0" w:space="0" w:color="auto"/>
        <w:bottom w:val="none" w:sz="0" w:space="0" w:color="auto"/>
        <w:right w:val="none" w:sz="0" w:space="0" w:color="auto"/>
      </w:divBdr>
    </w:div>
    <w:div w:id="1580558307">
      <w:bodyDiv w:val="1"/>
      <w:marLeft w:val="0"/>
      <w:marRight w:val="0"/>
      <w:marTop w:val="0"/>
      <w:marBottom w:val="0"/>
      <w:divBdr>
        <w:top w:val="none" w:sz="0" w:space="0" w:color="auto"/>
        <w:left w:val="none" w:sz="0" w:space="0" w:color="auto"/>
        <w:bottom w:val="none" w:sz="0" w:space="0" w:color="auto"/>
        <w:right w:val="none" w:sz="0" w:space="0" w:color="auto"/>
      </w:divBdr>
    </w:div>
    <w:div w:id="1670135480">
      <w:bodyDiv w:val="1"/>
      <w:marLeft w:val="0"/>
      <w:marRight w:val="0"/>
      <w:marTop w:val="0"/>
      <w:marBottom w:val="0"/>
      <w:divBdr>
        <w:top w:val="none" w:sz="0" w:space="0" w:color="auto"/>
        <w:left w:val="none" w:sz="0" w:space="0" w:color="auto"/>
        <w:bottom w:val="none" w:sz="0" w:space="0" w:color="auto"/>
        <w:right w:val="none" w:sz="0" w:space="0" w:color="auto"/>
      </w:divBdr>
      <w:divsChild>
        <w:div w:id="1912889830">
          <w:marLeft w:val="0"/>
          <w:marRight w:val="0"/>
          <w:marTop w:val="644"/>
          <w:marBottom w:val="0"/>
          <w:divBdr>
            <w:top w:val="none" w:sz="0" w:space="0" w:color="auto"/>
            <w:left w:val="none" w:sz="0" w:space="0" w:color="auto"/>
            <w:bottom w:val="none" w:sz="0" w:space="0" w:color="auto"/>
            <w:right w:val="none" w:sz="0" w:space="0" w:color="auto"/>
          </w:divBdr>
          <w:divsChild>
            <w:div w:id="1478691914">
              <w:marLeft w:val="0"/>
              <w:marRight w:val="0"/>
              <w:marTop w:val="0"/>
              <w:marBottom w:val="0"/>
              <w:divBdr>
                <w:top w:val="none" w:sz="0" w:space="0" w:color="auto"/>
                <w:left w:val="none" w:sz="0" w:space="0" w:color="auto"/>
                <w:bottom w:val="none" w:sz="0" w:space="0" w:color="auto"/>
                <w:right w:val="none" w:sz="0" w:space="0" w:color="auto"/>
              </w:divBdr>
              <w:divsChild>
                <w:div w:id="683824046">
                  <w:marLeft w:val="0"/>
                  <w:marRight w:val="0"/>
                  <w:marTop w:val="0"/>
                  <w:marBottom w:val="0"/>
                  <w:divBdr>
                    <w:top w:val="none" w:sz="0" w:space="0" w:color="auto"/>
                    <w:left w:val="none" w:sz="0" w:space="0" w:color="auto"/>
                    <w:bottom w:val="none" w:sz="0" w:space="0" w:color="auto"/>
                    <w:right w:val="none" w:sz="0" w:space="0" w:color="auto"/>
                  </w:divBdr>
                  <w:divsChild>
                    <w:div w:id="646977031">
                      <w:marLeft w:val="0"/>
                      <w:marRight w:val="0"/>
                      <w:marTop w:val="0"/>
                      <w:marBottom w:val="0"/>
                      <w:divBdr>
                        <w:top w:val="none" w:sz="0" w:space="0" w:color="auto"/>
                        <w:left w:val="none" w:sz="0" w:space="0" w:color="auto"/>
                        <w:bottom w:val="none" w:sz="0" w:space="0" w:color="auto"/>
                        <w:right w:val="none" w:sz="0" w:space="0" w:color="auto"/>
                      </w:divBdr>
                      <w:divsChild>
                        <w:div w:id="772867804">
                          <w:marLeft w:val="0"/>
                          <w:marRight w:val="0"/>
                          <w:marTop w:val="0"/>
                          <w:marBottom w:val="0"/>
                          <w:divBdr>
                            <w:top w:val="none" w:sz="0" w:space="0" w:color="auto"/>
                            <w:left w:val="none" w:sz="0" w:space="0" w:color="auto"/>
                            <w:bottom w:val="none" w:sz="0" w:space="0" w:color="auto"/>
                            <w:right w:val="none" w:sz="0" w:space="0" w:color="auto"/>
                          </w:divBdr>
                          <w:divsChild>
                            <w:div w:id="175003929">
                              <w:marLeft w:val="0"/>
                              <w:marRight w:val="0"/>
                              <w:marTop w:val="0"/>
                              <w:marBottom w:val="0"/>
                              <w:divBdr>
                                <w:top w:val="none" w:sz="0" w:space="0" w:color="auto"/>
                                <w:left w:val="none" w:sz="0" w:space="0" w:color="auto"/>
                                <w:bottom w:val="none" w:sz="0" w:space="0" w:color="auto"/>
                                <w:right w:val="none" w:sz="0" w:space="0" w:color="auto"/>
                              </w:divBdr>
                              <w:divsChild>
                                <w:div w:id="124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09311">
      <w:bodyDiv w:val="1"/>
      <w:marLeft w:val="0"/>
      <w:marRight w:val="0"/>
      <w:marTop w:val="0"/>
      <w:marBottom w:val="0"/>
      <w:divBdr>
        <w:top w:val="none" w:sz="0" w:space="0" w:color="auto"/>
        <w:left w:val="none" w:sz="0" w:space="0" w:color="auto"/>
        <w:bottom w:val="none" w:sz="0" w:space="0" w:color="auto"/>
        <w:right w:val="none" w:sz="0" w:space="0" w:color="auto"/>
      </w:divBdr>
      <w:divsChild>
        <w:div w:id="1484538722">
          <w:marLeft w:val="0"/>
          <w:marRight w:val="0"/>
          <w:marTop w:val="644"/>
          <w:marBottom w:val="0"/>
          <w:divBdr>
            <w:top w:val="none" w:sz="0" w:space="0" w:color="auto"/>
            <w:left w:val="none" w:sz="0" w:space="0" w:color="auto"/>
            <w:bottom w:val="none" w:sz="0" w:space="0" w:color="auto"/>
            <w:right w:val="none" w:sz="0" w:space="0" w:color="auto"/>
          </w:divBdr>
          <w:divsChild>
            <w:div w:id="387917812">
              <w:marLeft w:val="0"/>
              <w:marRight w:val="0"/>
              <w:marTop w:val="0"/>
              <w:marBottom w:val="0"/>
              <w:divBdr>
                <w:top w:val="none" w:sz="0" w:space="0" w:color="auto"/>
                <w:left w:val="none" w:sz="0" w:space="0" w:color="auto"/>
                <w:bottom w:val="none" w:sz="0" w:space="0" w:color="auto"/>
                <w:right w:val="none" w:sz="0" w:space="0" w:color="auto"/>
              </w:divBdr>
              <w:divsChild>
                <w:div w:id="160462994">
                  <w:marLeft w:val="0"/>
                  <w:marRight w:val="0"/>
                  <w:marTop w:val="0"/>
                  <w:marBottom w:val="0"/>
                  <w:divBdr>
                    <w:top w:val="none" w:sz="0" w:space="0" w:color="auto"/>
                    <w:left w:val="none" w:sz="0" w:space="0" w:color="auto"/>
                    <w:bottom w:val="none" w:sz="0" w:space="0" w:color="auto"/>
                    <w:right w:val="none" w:sz="0" w:space="0" w:color="auto"/>
                  </w:divBdr>
                  <w:divsChild>
                    <w:div w:id="1144080990">
                      <w:marLeft w:val="0"/>
                      <w:marRight w:val="0"/>
                      <w:marTop w:val="0"/>
                      <w:marBottom w:val="0"/>
                      <w:divBdr>
                        <w:top w:val="none" w:sz="0" w:space="0" w:color="auto"/>
                        <w:left w:val="none" w:sz="0" w:space="0" w:color="auto"/>
                        <w:bottom w:val="none" w:sz="0" w:space="0" w:color="auto"/>
                        <w:right w:val="none" w:sz="0" w:space="0" w:color="auto"/>
                      </w:divBdr>
                      <w:divsChild>
                        <w:div w:id="19671028">
                          <w:marLeft w:val="0"/>
                          <w:marRight w:val="0"/>
                          <w:marTop w:val="0"/>
                          <w:marBottom w:val="0"/>
                          <w:divBdr>
                            <w:top w:val="none" w:sz="0" w:space="0" w:color="auto"/>
                            <w:left w:val="none" w:sz="0" w:space="0" w:color="auto"/>
                            <w:bottom w:val="none" w:sz="0" w:space="0" w:color="auto"/>
                            <w:right w:val="none" w:sz="0" w:space="0" w:color="auto"/>
                          </w:divBdr>
                          <w:divsChild>
                            <w:div w:id="557547148">
                              <w:marLeft w:val="0"/>
                              <w:marRight w:val="0"/>
                              <w:marTop w:val="0"/>
                              <w:marBottom w:val="0"/>
                              <w:divBdr>
                                <w:top w:val="none" w:sz="0" w:space="0" w:color="auto"/>
                                <w:left w:val="none" w:sz="0" w:space="0" w:color="auto"/>
                                <w:bottom w:val="none" w:sz="0" w:space="0" w:color="auto"/>
                                <w:right w:val="none" w:sz="0" w:space="0" w:color="auto"/>
                              </w:divBdr>
                              <w:divsChild>
                                <w:div w:id="2056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thingi.is/lagasafn/pdf/151b/i190-2019.pdf" TargetMode="External"/><Relationship Id="rId18" Type="http://schemas.openxmlformats.org/officeDocument/2006/relationships/hyperlink" Target="https://www.althingi.is/lagasafn/pdf/151b/i32019R2089.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lthingi.is/lagasafn/pdf/151b/i190-2019.pdf" TargetMode="External"/><Relationship Id="rId7" Type="http://schemas.openxmlformats.org/officeDocument/2006/relationships/image" Target="media/image1.jpeg"/><Relationship Id="rId12" Type="http://schemas.openxmlformats.org/officeDocument/2006/relationships/hyperlink" Target="https://www.althingi.is/lagas/151b/1993002.html" TargetMode="External"/><Relationship Id="rId17" Type="http://schemas.openxmlformats.org/officeDocument/2006/relationships/hyperlink" Target="https://www.althingi.is/lagasafn/pdf/151b/i32016R1011.pdf"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althingi.is/lagasafn/pdf/151b/i190-2019.pdf" TargetMode="External"/><Relationship Id="rId20" Type="http://schemas.openxmlformats.org/officeDocument/2006/relationships/hyperlink" Target="https://www.althingi.is/lagas/151b/199300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hingi.is/lagasafn/pdf/151b/i32016R1011.pdf" TargetMode="External"/><Relationship Id="rId24" Type="http://schemas.openxmlformats.org/officeDocument/2006/relationships/hyperlink" Target="https://www.althingi.is/lagasafn/pdf/151b/i190-2019.pdf" TargetMode="External"/><Relationship Id="rId5" Type="http://schemas.openxmlformats.org/officeDocument/2006/relationships/footnotes" Target="footnotes.xml"/><Relationship Id="rId15" Type="http://schemas.openxmlformats.org/officeDocument/2006/relationships/hyperlink" Target="https://www.althingi.is/lagasafn/pdf/151b/i32019R2089.pdf" TargetMode="External"/><Relationship Id="rId23" Type="http://schemas.openxmlformats.org/officeDocument/2006/relationships/hyperlink" Target="https://www.althingi.is/lagasafn/pdf/151b/i32019R2089.pdf" TargetMode="External"/><Relationship Id="rId28" Type="http://schemas.openxmlformats.org/officeDocument/2006/relationships/header" Target="header3.xml"/><Relationship Id="rId10" Type="http://schemas.openxmlformats.org/officeDocument/2006/relationships/hyperlink" Target="https://www.althingi.is/lagasafn/pdf/151b/i32019R2089.pdf" TargetMode="External"/><Relationship Id="rId19" Type="http://schemas.openxmlformats.org/officeDocument/2006/relationships/hyperlink" Target="https://www.althingi.is/lagasafn/pdf/151b/i32016R1011.pdf" TargetMode="External"/><Relationship Id="rId4" Type="http://schemas.openxmlformats.org/officeDocument/2006/relationships/webSettings" Target="webSettings.xml"/><Relationship Id="rId9" Type="http://schemas.openxmlformats.org/officeDocument/2006/relationships/hyperlink" Target="https://www.althingi.is/lagasafn/pdf/151b/i32016R1011.pdf" TargetMode="External"/><Relationship Id="rId14" Type="http://schemas.openxmlformats.org/officeDocument/2006/relationships/hyperlink" Target="https://www.althingi.is/lagasafn/pdf/151b/i32016R1011.pdf" TargetMode="External"/><Relationship Id="rId22" Type="http://schemas.openxmlformats.org/officeDocument/2006/relationships/hyperlink" Target="https://www.althingi.is/lagasafn/pdf/151b/i32016R1011.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16018</Characters>
  <Application>Microsoft Office Word</Application>
  <DocSecurity>0</DocSecurity>
  <Lines>133</Lines>
  <Paragraphs>37</Paragraphs>
  <ScaleCrop>false</ScaleCrop>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2021-08-19T12:48:00Z</dcterms:created>
  <dcterms:modified xsi:type="dcterms:W3CDTF">2021-08-19T13:19:00Z</dcterms:modified>
</cp:coreProperties>
</file>