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65" w:rsidRPr="00430165" w:rsidRDefault="00320332">
      <w:pPr>
        <w:pStyle w:val="Typedudocument"/>
        <w:spacing w:before="113"/>
        <w:rPr>
          <w:rFonts w:ascii="Times New Roman" w:hAnsi="Times New Roman"/>
          <w:sz w:val="18"/>
        </w:rPr>
      </w:pPr>
      <w:bookmarkStart w:id="0" w:name="_GoBack"/>
      <w:bookmarkEnd w:id="0"/>
      <w:r>
        <w:rPr>
          <w:rFonts w:ascii="Times New Roman" w:hAnsi="Times New Roman"/>
          <w:sz w:val="18"/>
        </w:rPr>
        <w:t>Reglugerð ráðsins (ESB) nr. 734/2013</w:t>
      </w:r>
    </w:p>
    <w:p w:rsidR="00430165" w:rsidRPr="00430165" w:rsidRDefault="00320332">
      <w:pPr>
        <w:pStyle w:val="Datedadoption"/>
        <w:spacing w:before="113"/>
        <w:rPr>
          <w:rFonts w:ascii="Times New Roman" w:hAnsi="Times New Roman"/>
          <w:sz w:val="18"/>
        </w:rPr>
      </w:pPr>
      <w:r>
        <w:rPr>
          <w:rFonts w:ascii="Times New Roman" w:hAnsi="Times New Roman"/>
          <w:sz w:val="18"/>
        </w:rPr>
        <w:t>frá 22. júlí 2013</w:t>
      </w:r>
    </w:p>
    <w:p w:rsidR="00430165" w:rsidRPr="00430165" w:rsidRDefault="00320332">
      <w:pPr>
        <w:pStyle w:val="Titreobjet"/>
        <w:spacing w:before="113" w:after="0"/>
        <w:ind w:left="1020" w:right="1020"/>
        <w:jc w:val="both"/>
        <w:rPr>
          <w:rFonts w:ascii="Times New Roman" w:hAnsi="Times New Roman"/>
          <w:sz w:val="18"/>
        </w:rPr>
      </w:pPr>
      <w:r>
        <w:rPr>
          <w:rFonts w:ascii="Times New Roman" w:hAnsi="Times New Roman"/>
          <w:sz w:val="18"/>
        </w:rPr>
        <w:t>um breytingu á reglugerð ráðsins (EB) nr. 659/1999 um ítarlegar reglur um beitingu 93. gr. EB-sáttmálans</w:t>
      </w:r>
    </w:p>
    <w:p w:rsidR="00430165" w:rsidRPr="00430165" w:rsidRDefault="00320332">
      <w:pPr>
        <w:pStyle w:val="Institutionquiagit"/>
        <w:spacing w:before="113" w:after="0"/>
        <w:rPr>
          <w:rFonts w:ascii="Times New Roman" w:hAnsi="Times New Roman"/>
          <w:sz w:val="18"/>
        </w:rPr>
      </w:pPr>
      <w:r>
        <w:rPr>
          <w:rFonts w:ascii="Times New Roman" w:hAnsi="Times New Roman"/>
          <w:sz w:val="18"/>
        </w:rPr>
        <w:t>RÁÐ EVRÓPUSAMBANDSINS HEFUR,</w:t>
      </w:r>
    </w:p>
    <w:p w:rsidR="00430165" w:rsidRPr="00430165" w:rsidRDefault="00320332">
      <w:pPr>
        <w:spacing w:before="680" w:after="0"/>
        <w:rPr>
          <w:rFonts w:ascii="Times New Roman" w:hAnsi="Times New Roman"/>
          <w:sz w:val="18"/>
        </w:rPr>
      </w:pPr>
      <w:r>
        <w:rPr>
          <w:rFonts w:ascii="Times New Roman" w:hAnsi="Times New Roman"/>
          <w:sz w:val="18"/>
        </w:rPr>
        <w:t>með hliðsjón af sáttmálanum um starfshætti Evrópusambandsins, einkum 109. gr.,</w:t>
      </w:r>
    </w:p>
    <w:p w:rsidR="00430165" w:rsidRPr="00430165" w:rsidRDefault="00320332">
      <w:pPr>
        <w:spacing w:before="680" w:after="0"/>
        <w:rPr>
          <w:rFonts w:ascii="Times New Roman" w:hAnsi="Times New Roman"/>
          <w:sz w:val="18"/>
        </w:rPr>
      </w:pPr>
      <w:r>
        <w:rPr>
          <w:rFonts w:ascii="Times New Roman" w:hAnsi="Times New Roman"/>
          <w:sz w:val="18"/>
        </w:rPr>
        <w:t>með hliðsjón af tillögu framkvæmdastjórnar Evrópusambandsins,</w:t>
      </w:r>
    </w:p>
    <w:p w:rsidR="00430165" w:rsidRPr="00430165" w:rsidRDefault="00320332">
      <w:pPr>
        <w:spacing w:before="680" w:after="0"/>
        <w:rPr>
          <w:rFonts w:ascii="Times New Roman" w:hAnsi="Times New Roman"/>
          <w:sz w:val="18"/>
        </w:rPr>
      </w:pPr>
      <w:r>
        <w:rPr>
          <w:rFonts w:ascii="Times New Roman" w:hAnsi="Times New Roman"/>
          <w:sz w:val="18"/>
        </w:rPr>
        <w:t>með hliðsjón af áliti Evrópuþingsins,</w:t>
      </w:r>
    </w:p>
    <w:p w:rsidR="00430165" w:rsidRPr="00430165" w:rsidRDefault="00320332">
      <w:pPr>
        <w:spacing w:before="680" w:after="0"/>
        <w:rPr>
          <w:rFonts w:ascii="Times New Roman" w:hAnsi="Times New Roman"/>
          <w:sz w:val="18"/>
        </w:rPr>
      </w:pPr>
      <w:r>
        <w:rPr>
          <w:rFonts w:ascii="Times New Roman" w:hAnsi="Times New Roman"/>
          <w:i/>
          <w:sz w:val="18"/>
        </w:rPr>
        <w:t>og að teknu tilliti til eftirfarandi</w:t>
      </w:r>
      <w:r>
        <w:rPr>
          <w:rFonts w:ascii="Times New Roman" w:hAnsi="Times New Roman"/>
          <w:sz w:val="18"/>
        </w:rPr>
        <w:t>:</w:t>
      </w:r>
    </w:p>
    <w:p w:rsidR="00430165" w:rsidRPr="00430165" w:rsidRDefault="00320332">
      <w:pPr>
        <w:pStyle w:val="ManualConsidrant"/>
        <w:spacing w:before="680" w:after="0"/>
        <w:ind w:left="397" w:hanging="397"/>
        <w:rPr>
          <w:rFonts w:ascii="Times New Roman" w:hAnsi="Times New Roman"/>
          <w:sz w:val="18"/>
        </w:rPr>
      </w:pPr>
      <w:r>
        <w:rPr>
          <w:rFonts w:ascii="Times New Roman" w:hAnsi="Times New Roman"/>
          <w:sz w:val="18"/>
        </w:rPr>
        <w:t xml:space="preserve">1) </w:t>
      </w:r>
      <w:r>
        <w:rPr>
          <w:rFonts w:ascii="Times New Roman" w:hAnsi="Times New Roman"/>
          <w:sz w:val="18"/>
        </w:rPr>
        <w:tab/>
        <w:t>Með skírskotun til nútímavæðingar reglna um ríkisaðstoð, sem bæði á að stuðla að framkvæmd stefnumörkunarinnar um hagvöxt fyrir Evrópu 2020(</w:t>
      </w:r>
      <w:r>
        <w:rPr>
          <w:rFonts w:ascii="Times New Roman" w:hAnsi="Times New Roman"/>
          <w:sz w:val="18"/>
          <w:vertAlign w:val="superscript"/>
        </w:rPr>
        <w:footnoteReference w:id="1"/>
      </w:r>
      <w:r>
        <w:rPr>
          <w:rFonts w:ascii="Times New Roman" w:hAnsi="Times New Roman"/>
          <w:sz w:val="18"/>
        </w:rPr>
        <w:t>) og styrkingu fjármálastjórnar, skal beita 107. gr. sáttmálans um starfshætti Evrópusambandsins (SUSE) á skilvirkan og samræmdan hátt alls staðar í Sambandinu. Með reglugerð (EB) nr. 659/1999(</w:t>
      </w:r>
      <w:r>
        <w:rPr>
          <w:rFonts w:ascii="Times New Roman" w:hAnsi="Times New Roman"/>
          <w:sz w:val="18"/>
          <w:vertAlign w:val="superscript"/>
        </w:rPr>
        <w:footnoteReference w:id="2"/>
      </w:r>
      <w:r>
        <w:rPr>
          <w:rFonts w:ascii="Times New Roman" w:hAnsi="Times New Roman"/>
          <w:sz w:val="18"/>
        </w:rPr>
        <w:t>) voru fyrri venjur framkvæmdastjórnarinnar kerfisbundnar og efldar til að auka réttarvissu og styðja þróun stefnunnar um ríkisaðstoð í opnu umhverfi. Í ljósi reynslunnar af beitingu hennar og í ljósi nýlegrar þróunar, s.s. stækkunar Sambandsins og efnahags- og fjármálakreppu, skal breyta tilteknum þáttum reglugerðar (EB) nr. 659/1999 til þess að framkvæmdastjórnin geti starfað af meiri skilvirkni.</w:t>
      </w:r>
    </w:p>
    <w:p w:rsidR="00430165" w:rsidRPr="00430165" w:rsidRDefault="00320332">
      <w:pPr>
        <w:pStyle w:val="ManualConsidrant"/>
        <w:spacing w:before="680" w:after="0"/>
        <w:ind w:left="397" w:hanging="397"/>
        <w:rPr>
          <w:rFonts w:ascii="Times New Roman" w:hAnsi="Times New Roman"/>
          <w:sz w:val="18"/>
        </w:rPr>
      </w:pPr>
      <w:r>
        <w:rPr>
          <w:rFonts w:ascii="Times New Roman" w:hAnsi="Times New Roman"/>
          <w:sz w:val="18"/>
        </w:rPr>
        <w:lastRenderedPageBreak/>
        <w:t xml:space="preserve">2) </w:t>
      </w:r>
      <w:r>
        <w:rPr>
          <w:rFonts w:ascii="Times New Roman" w:hAnsi="Times New Roman"/>
          <w:sz w:val="18"/>
        </w:rPr>
        <w:tab/>
        <w:t>Til þess að meta hvort tilkynntir eða ólöglegir ríkisstyrkir eru samrýmanlegir við innri markaðinn, þar sem framkvæmdastjórnin hefur óskiptar valdheimildir samkvæmt 108. gr. sáttmálans um starfshætti Evrópusambandsins, skal sjá til þess að framkvæmdastjórnin hafi heimild til að biðja um allar nauðsynlegar markaðsupplýsingar frá hvaða aðildarríki, fyrirtæki eða samtökum fyrirtækja sem er, til að geta fylgt eftir reglum um ríkisaðstoð, þegar hún hefur efasemdir um að hve miklu leyti viðkomandi ráðstafanir samrýmist reglum Sambandsins og hefur þar af leiðandi hafið formlega rannsókn. Framkvæmdastjórnin skal einkum beita þessari heimild í málum þar sem umfangsmikið efnislegt mat virðist nauðsynlegt. Þegar framkvæmdastjórnin tekur ákvörðun um að nota þessa heimild skal hún taka tilhlýðilegt tillit til þess hve lengi forathugun hefur staðið yfir.</w:t>
      </w:r>
    </w:p>
    <w:p w:rsidR="00430165" w:rsidRPr="00430165" w:rsidRDefault="00320332">
      <w:pPr>
        <w:pStyle w:val="ManualConsidrant"/>
        <w:spacing w:before="850" w:after="0"/>
        <w:ind w:left="397" w:hanging="397"/>
        <w:rPr>
          <w:rFonts w:ascii="Times New Roman" w:hAnsi="Times New Roman"/>
          <w:sz w:val="18"/>
        </w:rPr>
      </w:pPr>
      <w:r>
        <w:rPr>
          <w:rFonts w:ascii="Times New Roman" w:hAnsi="Times New Roman"/>
          <w:sz w:val="18"/>
        </w:rPr>
        <w:t xml:space="preserve">3) </w:t>
      </w:r>
      <w:r>
        <w:rPr>
          <w:rFonts w:ascii="Times New Roman" w:hAnsi="Times New Roman"/>
          <w:sz w:val="18"/>
        </w:rPr>
        <w:tab/>
        <w:t>Í þeim tilgangi að meta samrýmanleika aðstoðarráðstöfunar eftir að formleg rannsókn er hafin, einkum í tengslum við tæknilega flókin mál þar sem þörf er fyrir efnislegt mat, skal framkvæmdastjórnin, með einfaldri beiðni eða með ákvörðun, geta krafist þess að hvaða aðildarríki, fyrirtæki eða samtök fyrirtækja sem er um veiti allar markaðsupplýsingar sem hún þarf til að ljúka matinu, ef upplýsingarnar sem hlutaðeigandi aðildarríki veitir meðan forathugun stendur yfir eru ekki fullnægjandi, að teknu tilhlýðilegu tilliti til meðalhófsreglunnar, einkum að því er varðar lítil og meðalstór fyrirtæki.</w:t>
      </w:r>
    </w:p>
    <w:p w:rsidR="00430165" w:rsidRPr="00430165" w:rsidRDefault="00320332">
      <w:pPr>
        <w:pStyle w:val="ManualConsidrant"/>
        <w:spacing w:before="850" w:after="0"/>
        <w:ind w:left="397" w:hanging="397"/>
        <w:rPr>
          <w:rFonts w:ascii="Times New Roman" w:hAnsi="Times New Roman"/>
          <w:sz w:val="18"/>
        </w:rPr>
      </w:pPr>
      <w:r>
        <w:rPr>
          <w:rFonts w:ascii="Times New Roman" w:hAnsi="Times New Roman"/>
          <w:sz w:val="18"/>
        </w:rPr>
        <w:t xml:space="preserve">4) </w:t>
      </w:r>
      <w:r>
        <w:rPr>
          <w:rFonts w:ascii="Times New Roman" w:hAnsi="Times New Roman"/>
          <w:sz w:val="18"/>
        </w:rPr>
        <w:tab/>
        <w:t>Í ljósi þess sérstaka sambands sem er milli þiggjenda aðstoðar og hlutaðeigandi aðildarríkis á framkvæmdastjórnin eingöngu að geta farið fram á upplýsingar frá þiggjanda aðstoðar með samþykki hlutaðeigandi aðildarríkis. Þær upplýsingar, sem þiggjandi aðstoðarinnar veitir, að því er varðar viðkomandi aðstoðarráðstöfun, eru ekki lagagrundvöllur fyrir tvíhliða samningaviðræður milli framkvæmdastjórnarinnar og hlutaðeigandi þiggjanda.</w:t>
      </w:r>
    </w:p>
    <w:p w:rsidR="00430165" w:rsidRPr="00430165" w:rsidRDefault="00320332">
      <w:pPr>
        <w:pStyle w:val="ManualConsidrant"/>
        <w:spacing w:before="850" w:after="0"/>
        <w:ind w:left="397" w:hanging="397"/>
        <w:rPr>
          <w:rFonts w:ascii="Times New Roman" w:hAnsi="Times New Roman"/>
          <w:sz w:val="18"/>
        </w:rPr>
      </w:pPr>
      <w:r>
        <w:rPr>
          <w:rFonts w:ascii="Times New Roman" w:hAnsi="Times New Roman"/>
          <w:sz w:val="18"/>
        </w:rPr>
        <w:lastRenderedPageBreak/>
        <w:t xml:space="preserve">5) </w:t>
      </w:r>
      <w:r>
        <w:rPr>
          <w:rFonts w:ascii="Times New Roman" w:hAnsi="Times New Roman"/>
          <w:sz w:val="18"/>
        </w:rPr>
        <w:tab/>
        <w:t>Framkvæmdastjórnin skal velja viðtakendur upplýsingabeiðna á grundvelli hlutlægra viðmiðana í hverju tilviki fyrir sig og sjá jafnframt til þess, þegar beiðni er lögð fyrir úrtak fyrirtækja eða samtaka þeirra, að úrtak svarenda sé dæmigert fyrir hvern hóp. Þær upplýsingar, sem beðið er um, skulu einkum vera fyrirtækja- og markaðsupplýsingar, byggðar á staðreyndum, og greining á starfsemi markaðarins, einnig byggð á staðreyndum.</w:t>
      </w:r>
    </w:p>
    <w:p w:rsidR="00430165" w:rsidRPr="00430165" w:rsidRDefault="00320332">
      <w:pPr>
        <w:pStyle w:val="ManualConsidrant"/>
        <w:spacing w:before="850" w:after="0"/>
        <w:ind w:left="397" w:hanging="397"/>
        <w:rPr>
          <w:rFonts w:ascii="Times New Roman" w:hAnsi="Times New Roman"/>
          <w:sz w:val="18"/>
        </w:rPr>
      </w:pPr>
      <w:r>
        <w:rPr>
          <w:rFonts w:ascii="Times New Roman" w:hAnsi="Times New Roman"/>
          <w:sz w:val="18"/>
        </w:rPr>
        <w:t xml:space="preserve">6) </w:t>
      </w:r>
      <w:r>
        <w:rPr>
          <w:rFonts w:ascii="Times New Roman" w:hAnsi="Times New Roman"/>
          <w:sz w:val="18"/>
        </w:rPr>
        <w:tab/>
        <w:t>Framkvæmdastjórnin, sem á frumkvæði að málsmeðferðinni, skal bera ábyrgð á eftirliti bæði með sendingu upplýsinga frá aðildarríkjunum, fyrirtækjum eða samtökum fyrirtækja og þeirri þagnarskyldu sem gefið er til kynna að eigi við um upplýsingarnar sem látnar verða í té.</w:t>
      </w:r>
    </w:p>
    <w:p w:rsidR="00430165" w:rsidRPr="00430165" w:rsidRDefault="00320332">
      <w:pPr>
        <w:pStyle w:val="ManualConsidrant"/>
        <w:spacing w:before="113" w:after="0"/>
        <w:ind w:left="397" w:hanging="397"/>
        <w:rPr>
          <w:rFonts w:ascii="Times New Roman" w:hAnsi="Times New Roman"/>
          <w:sz w:val="18"/>
        </w:rPr>
      </w:pPr>
      <w:r>
        <w:rPr>
          <w:rFonts w:ascii="Times New Roman" w:hAnsi="Times New Roman"/>
          <w:sz w:val="18"/>
        </w:rPr>
        <w:t xml:space="preserve">7) </w:t>
      </w:r>
      <w:r>
        <w:rPr>
          <w:rFonts w:ascii="Times New Roman" w:hAnsi="Times New Roman"/>
          <w:sz w:val="18"/>
        </w:rPr>
        <w:tab/>
        <w:t>Framkvæmdastjórnin skal, eftir þörfum, geta beitt hæfilegum sektum eða févítum til að geta tryggt að hvaða fyrirtæki eða samtök fyrirtækja sem er hlíti beiðnum um upplýsingar. Við ákvörðun fjárhæðar sekta og févíta skal framkvæmdastjórnin taka tilhlýðilegt tillit til meðalhófsreglunnar og sanngirnisreglunnar, einkum að því er varðar lítil og meðalstór fyrirtæki. Vernda skal réttindi þeirra aðila, sem eru beðnir um upplýsingar, með því að gefa þeim kost á að koma sjónarmiðum sínum á framfæri áður en ákvörðun er tekin um að beita sektum eða févítum. Dómstóll Evrópusambandsins skal hafa ótakmarkað dómsvald að því er varðar slíkar sektir eða févíti í samræmi við 261. gr. sáttmálans um starfshætti Evrópusambandsins.</w:t>
      </w:r>
    </w:p>
    <w:p w:rsidR="00430165" w:rsidRPr="00430165" w:rsidRDefault="00320332">
      <w:pPr>
        <w:pStyle w:val="ManualConsidrant"/>
        <w:spacing w:before="794" w:after="0"/>
        <w:ind w:left="397" w:hanging="397"/>
        <w:rPr>
          <w:rFonts w:ascii="Times New Roman" w:hAnsi="Times New Roman"/>
          <w:sz w:val="18"/>
        </w:rPr>
      </w:pPr>
      <w:r>
        <w:rPr>
          <w:rFonts w:ascii="Times New Roman" w:hAnsi="Times New Roman"/>
          <w:sz w:val="18"/>
        </w:rPr>
        <w:t xml:space="preserve">8) </w:t>
      </w:r>
      <w:r>
        <w:rPr>
          <w:rFonts w:ascii="Times New Roman" w:hAnsi="Times New Roman"/>
          <w:sz w:val="18"/>
        </w:rPr>
        <w:tab/>
        <w:t>Framkvæmdastjórnin skal, með tilliti til meðalhófsreglunnar og sanngirnisreglunnar, eiga þess kost að lækka fjárhæð févíta eða fella þau niður þegar viðtakendur beiðna veita umbeðnar upplýsingar, jafnvel þótt frestur sé útrunninn.</w:t>
      </w:r>
    </w:p>
    <w:p w:rsidR="00430165" w:rsidRPr="00430165" w:rsidRDefault="00320332">
      <w:pPr>
        <w:pStyle w:val="ManualConsidrant"/>
        <w:spacing w:before="794" w:after="0"/>
        <w:ind w:left="397" w:hanging="397"/>
        <w:rPr>
          <w:rFonts w:ascii="Times New Roman" w:hAnsi="Times New Roman"/>
          <w:sz w:val="18"/>
        </w:rPr>
      </w:pPr>
      <w:r>
        <w:rPr>
          <w:rFonts w:ascii="Times New Roman" w:hAnsi="Times New Roman"/>
          <w:sz w:val="18"/>
        </w:rPr>
        <w:t xml:space="preserve">9) </w:t>
      </w:r>
      <w:r>
        <w:rPr>
          <w:rFonts w:ascii="Times New Roman" w:hAnsi="Times New Roman"/>
          <w:sz w:val="18"/>
        </w:rPr>
        <w:tab/>
        <w:t xml:space="preserve">Ekki er hægt að leggja sektir eða févíti á aðildarríkin þar eð þeim ber skylda til að starfa með framkvæmdastjórninni af heilindum í samræmi við 4. gr. sáttmálans um Evrópusambandið (TEU) og til að veita </w:t>
      </w:r>
      <w:r>
        <w:rPr>
          <w:rFonts w:ascii="Times New Roman" w:hAnsi="Times New Roman"/>
          <w:sz w:val="18"/>
        </w:rPr>
        <w:lastRenderedPageBreak/>
        <w:t>framkvæmdastjórninni allar upplýsingar sem nauðsynlegar eru til að hún geti sinnt verkefnum sínum samkvæmt reglugerð (EB) nr. 659/1999.</w:t>
      </w:r>
    </w:p>
    <w:p w:rsidR="00430165" w:rsidRPr="00430165" w:rsidRDefault="00320332">
      <w:pPr>
        <w:pStyle w:val="ManualConsidrant"/>
        <w:spacing w:before="794" w:after="0"/>
        <w:ind w:left="397" w:hanging="397"/>
        <w:rPr>
          <w:rFonts w:ascii="Times New Roman" w:hAnsi="Times New Roman"/>
          <w:sz w:val="18"/>
        </w:rPr>
      </w:pPr>
      <w:r>
        <w:rPr>
          <w:rFonts w:ascii="Times New Roman" w:hAnsi="Times New Roman"/>
          <w:sz w:val="18"/>
        </w:rPr>
        <w:t xml:space="preserve">10) </w:t>
      </w:r>
      <w:r>
        <w:rPr>
          <w:rFonts w:ascii="Times New Roman" w:hAnsi="Times New Roman"/>
          <w:sz w:val="18"/>
        </w:rPr>
        <w:tab/>
        <w:t>Til að vernda rétt hlutaðeigandi aðildarríkis til málsvarnar skal láta því í té eintak af þeim upplýsingabeiðnum, sem sendar eru öðrum aðildarríkjum, fyrirtækjum eða samtökum fyrirtækja, og skal það geta tjáð sig um þær athugasemdir sem berast. Það skal einnig upplýst um heiti þeirra fyrirtækja og samtaka fyrirtækja, sem eru beðin um upplýsingar, svo fremi þessir aðilar sýni ekki fram á að þeir hafi lögmæta hagsmuni af því að heiti þeirra sé haldið leyndu.</w:t>
      </w:r>
    </w:p>
    <w:p w:rsidR="00430165" w:rsidRPr="00430165" w:rsidRDefault="00320332">
      <w:pPr>
        <w:pStyle w:val="ManualConsidrant"/>
        <w:spacing w:before="794" w:after="0"/>
        <w:ind w:left="397" w:hanging="397"/>
        <w:rPr>
          <w:rFonts w:ascii="Times New Roman" w:hAnsi="Times New Roman"/>
          <w:sz w:val="18"/>
        </w:rPr>
      </w:pPr>
      <w:r>
        <w:rPr>
          <w:rFonts w:ascii="Times New Roman" w:hAnsi="Times New Roman"/>
          <w:sz w:val="18"/>
        </w:rPr>
        <w:t xml:space="preserve">11) </w:t>
      </w:r>
      <w:r>
        <w:rPr>
          <w:rFonts w:ascii="Times New Roman" w:hAnsi="Times New Roman"/>
          <w:sz w:val="18"/>
        </w:rPr>
        <w:tab/>
        <w:t>Framkvæmdastjórnin skal taka tilhlýðilegt tillit til réttmætra hagsmuna fyrirtækja sem vilja varðveita viðskiptaleyndarmál sín. Hún skal ekki í neinni ákvörðun geta notað trúnaðarupplýsingar frá svarendum, sem ekki er hægt að safna saman í heild eða halda nafnlausum á annan hátt, nema hún hafi áður fengið leyfi þeirra til að afhenda hlutaðeigandi aðildarríki þær upplýsingar.</w:t>
      </w:r>
    </w:p>
    <w:p w:rsidR="00430165" w:rsidRPr="00430165" w:rsidRDefault="00320332">
      <w:pPr>
        <w:pStyle w:val="ManualConsidrant"/>
        <w:spacing w:before="113" w:after="0"/>
        <w:ind w:left="397" w:hanging="397"/>
        <w:rPr>
          <w:rFonts w:ascii="Times New Roman" w:hAnsi="Times New Roman"/>
          <w:sz w:val="18"/>
        </w:rPr>
      </w:pPr>
      <w:r>
        <w:rPr>
          <w:rFonts w:ascii="Times New Roman" w:hAnsi="Times New Roman"/>
          <w:sz w:val="18"/>
        </w:rPr>
        <w:t xml:space="preserve">12) </w:t>
      </w:r>
      <w:r>
        <w:rPr>
          <w:rFonts w:ascii="Times New Roman" w:hAnsi="Times New Roman"/>
          <w:sz w:val="18"/>
        </w:rPr>
        <w:tab/>
        <w:t>Í þeim tilvikum þegar upplýsingar eru merktar sem trúnaðarupplýsingar en virðast ekki falla undir þagnarskyldu er rétt að koma á tilhögun sem gerir framkvæmdastjórninni kleift að ákveða í hvaða mæli megi láta slíkar upplýsingar í té. Í hverri slíkri ákvörðun um að vísa frá kröfu um að þagnarskyldu sé gætt skal tilgreina frest þangað til upplýsingarnar eru látnar í té, þannig að svarandi geti nýtt sér hverja þá réttarvernd sem honum býðst, þ.m.t. hvers konar bráðabirgðaráðstafanir.</w:t>
      </w:r>
    </w:p>
    <w:p w:rsidR="00430165" w:rsidRPr="00430165" w:rsidRDefault="00320332">
      <w:pPr>
        <w:pStyle w:val="ManualConsidrant"/>
        <w:spacing w:before="1020" w:after="0"/>
        <w:ind w:left="397" w:hanging="397"/>
        <w:rPr>
          <w:rFonts w:ascii="Times New Roman" w:hAnsi="Times New Roman"/>
          <w:sz w:val="18"/>
        </w:rPr>
      </w:pPr>
      <w:r>
        <w:rPr>
          <w:rFonts w:ascii="Times New Roman" w:hAnsi="Times New Roman"/>
          <w:sz w:val="18"/>
        </w:rPr>
        <w:t xml:space="preserve">13) </w:t>
      </w:r>
      <w:r>
        <w:rPr>
          <w:rFonts w:ascii="Times New Roman" w:hAnsi="Times New Roman"/>
          <w:sz w:val="18"/>
        </w:rPr>
        <w:tab/>
        <w:t xml:space="preserve">Framkvæmdastjórnin skal geta kannað að eigin frumkvæði upplýsingar um ólöglega aðstoð, hvaðan sem þær eru upprunnar, til að tryggja samræmi við 108. gr. sáttmálans um starfshætti Evrópusambandsins, einkum við tilkynningarskylduna og stöðvunarákvæðið í 3. mgr. 108. gr. sáttmálans um starfshætti Evrópusambandsins, og skal geta metið samrýmanleika aðstoðar við </w:t>
      </w:r>
      <w:r>
        <w:rPr>
          <w:rFonts w:ascii="Times New Roman" w:hAnsi="Times New Roman"/>
          <w:sz w:val="18"/>
        </w:rPr>
        <w:lastRenderedPageBreak/>
        <w:t>innri markaðinn. Í því samhengi eru kvartanir mikilvæg uppspretta upplýsinga þegar kanna þarf hvort reglur Sambandsins um ríkisaðstoð hafa verið brotnar.</w:t>
      </w:r>
    </w:p>
    <w:p w:rsidR="00430165" w:rsidRPr="00430165" w:rsidRDefault="00320332">
      <w:pPr>
        <w:pStyle w:val="ManualConsidrant"/>
        <w:spacing w:before="1020" w:after="0"/>
        <w:ind w:left="397" w:hanging="397"/>
        <w:rPr>
          <w:rFonts w:ascii="Times New Roman" w:hAnsi="Times New Roman"/>
          <w:sz w:val="18"/>
        </w:rPr>
      </w:pPr>
      <w:r>
        <w:rPr>
          <w:rFonts w:ascii="Times New Roman" w:hAnsi="Times New Roman"/>
          <w:sz w:val="18"/>
        </w:rPr>
        <w:t xml:space="preserve">14) </w:t>
      </w:r>
      <w:r>
        <w:rPr>
          <w:rFonts w:ascii="Times New Roman" w:hAnsi="Times New Roman"/>
          <w:sz w:val="18"/>
        </w:rPr>
        <w:tab/>
        <w:t>Til að auka gæði þeirra kvartana sem eru lagðar fyrir framkvæmdastjórnina og auka jafnframt gagnsæi og réttarvissu er rétt að ákvarða þau skilyrði, sem kvörtun þarf að uppfylla, til að tryggja að framkvæmdastjórnin ráði yfir upplýsingum um meinta ólöglega aðstoð og geti hafið forathugun. Kvartanir, sem ekki uppfylla þessi skilyrði, skal meðhöndla sem almennar markaðsupplýsingar og þær þurfa ekki endilega að leiða til rannsóknar að eigin frumkvæði.</w:t>
      </w:r>
    </w:p>
    <w:p w:rsidR="00430165" w:rsidRPr="00430165" w:rsidRDefault="00320332">
      <w:pPr>
        <w:pStyle w:val="ManualConsidrant"/>
        <w:spacing w:before="1020" w:after="0"/>
        <w:ind w:left="397" w:hanging="397"/>
        <w:rPr>
          <w:rFonts w:ascii="Times New Roman" w:hAnsi="Times New Roman"/>
          <w:sz w:val="18"/>
        </w:rPr>
      </w:pPr>
      <w:r>
        <w:rPr>
          <w:rFonts w:ascii="Times New Roman" w:hAnsi="Times New Roman"/>
          <w:sz w:val="18"/>
        </w:rPr>
        <w:t xml:space="preserve">15) </w:t>
      </w:r>
      <w:r>
        <w:rPr>
          <w:rFonts w:ascii="Times New Roman" w:hAnsi="Times New Roman"/>
          <w:sz w:val="18"/>
        </w:rPr>
        <w:tab/>
        <w:t>Kvartendur verða að sýna fram á að þeir séu hagsmunaaðilar í skilningi 2. mgr. 108. gr. sáttmálans um starfshætti Evrópusambandsins og h-liðar 1. gr. reglugerðar (EB) nr. 659/1999. Enn fremur verða þeir að veita tilteknar lágmarksupplýsingar á formi sem framkvæmdastjórnin skal hafa heimild til að fastsetja í framkvæmdarákvæði. Til þess að letja ekki mögulega kvartendur skal í framkvæmdarákvæðinu tekið tillit til þess að kröfurnar, sem eru gerðar til hagsmunaaðila í tengslum við kvartanir þeirra, megi ekki vera íþyngjandi.</w:t>
      </w:r>
    </w:p>
    <w:p w:rsidR="00430165" w:rsidRPr="00430165" w:rsidRDefault="00320332">
      <w:pPr>
        <w:pStyle w:val="ManualConsidrant"/>
        <w:spacing w:before="1020" w:after="0"/>
        <w:ind w:left="397" w:hanging="397"/>
        <w:rPr>
          <w:rFonts w:ascii="Times New Roman" w:hAnsi="Times New Roman"/>
          <w:sz w:val="18"/>
        </w:rPr>
      </w:pPr>
      <w:r>
        <w:rPr>
          <w:rFonts w:ascii="Times New Roman" w:hAnsi="Times New Roman"/>
          <w:sz w:val="18"/>
        </w:rPr>
        <w:t xml:space="preserve">16) </w:t>
      </w:r>
      <w:r>
        <w:rPr>
          <w:rFonts w:ascii="Times New Roman" w:hAnsi="Times New Roman"/>
          <w:sz w:val="18"/>
        </w:rPr>
        <w:tab/>
        <w:t>Í þágu réttarvissu er rétt að ákveða fyrningarfresti fyrir álagningu og innheimtu sekta og févíta.</w:t>
      </w:r>
    </w:p>
    <w:p w:rsidR="00430165" w:rsidRPr="00430165" w:rsidRDefault="00320332">
      <w:pPr>
        <w:pStyle w:val="ManualConsidrant"/>
        <w:spacing w:before="113" w:after="0"/>
        <w:ind w:left="397" w:hanging="397"/>
        <w:rPr>
          <w:rFonts w:ascii="Times New Roman" w:hAnsi="Times New Roman"/>
          <w:sz w:val="18"/>
        </w:rPr>
      </w:pPr>
      <w:r>
        <w:rPr>
          <w:rFonts w:ascii="Times New Roman" w:hAnsi="Times New Roman"/>
          <w:sz w:val="18"/>
        </w:rPr>
        <w:t xml:space="preserve">17) </w:t>
      </w:r>
      <w:r>
        <w:rPr>
          <w:rFonts w:ascii="Times New Roman" w:hAnsi="Times New Roman"/>
          <w:sz w:val="18"/>
        </w:rPr>
        <w:tab/>
        <w:t xml:space="preserve">Til að tryggja að framkvæmdastjórnin fjalli um lík mál á samræmdan hátt á öllum innri markaðnum skal efla gildandi heimildir framkvæmdastjórnarinnar með því að koma á sérstökum lagagrundvelli til að hefja rannsóknir á atvinnugreinum eða tilteknum aðstoðarkerfum í fleiri en einu aðildarríki. Með skírskotun til meðalhófs og í ljósi mikils stjórnsýsluálags, sem fylgir slíkum rannsóknum, skulu fyrirspurnir innan tiltekinnar greinar því aðeins gerðar að upplýsingar, sem liggja </w:t>
      </w:r>
      <w:r>
        <w:rPr>
          <w:rFonts w:ascii="Times New Roman" w:hAnsi="Times New Roman"/>
          <w:sz w:val="18"/>
        </w:rPr>
        <w:lastRenderedPageBreak/>
        <w:t>fyrir, gefi tilefni til grunsemda um að ráðstafanir sem fela í sér ríkisaðstoð í tiltekinni grein gætu takmarkað eða raskað samkeppni umtalsvert á innri markaðnum í fleiri en einu aðildarríki eða að fyrirliggjandi aðstoðarráðstafanir í tiltekinni grein í fleiri en einu aðildarríki séu ekki, eða séu ekki lengur, samrýmanlegar innri markaðnum. Slíkar fyrirspurnir gerðu framkvæmdastjórninni kleift að fjalla á skilvirkan og gagnsæjan hátt um þverlæg mál varðandi ríkisaðstoð og öðlast yfirsýn fyrirfram í viðkomandi geira.</w:t>
      </w:r>
    </w:p>
    <w:p w:rsidR="00430165" w:rsidRPr="00430165" w:rsidRDefault="00320332">
      <w:pPr>
        <w:pStyle w:val="ManualConsidrant"/>
        <w:spacing w:before="340" w:after="0"/>
        <w:ind w:left="397" w:hanging="397"/>
        <w:rPr>
          <w:rFonts w:ascii="Times New Roman" w:hAnsi="Times New Roman"/>
          <w:sz w:val="18"/>
        </w:rPr>
      </w:pPr>
      <w:r>
        <w:rPr>
          <w:rFonts w:ascii="Times New Roman" w:hAnsi="Times New Roman"/>
          <w:sz w:val="18"/>
        </w:rPr>
        <w:t xml:space="preserve">18) </w:t>
      </w:r>
      <w:r>
        <w:rPr>
          <w:rFonts w:ascii="Times New Roman" w:hAnsi="Times New Roman"/>
          <w:sz w:val="18"/>
        </w:rPr>
        <w:tab/>
        <w:t>Til þess að unnt sé að beita reglum um ríkisaðstoð með samræmdum hætti skal koma á samstarfi milli dómstóla í aðildarríkjunum og framkvæmdastjórnarinnar. Slíkt samstarf er viðeigandi að því er varðar alla dómstóla í aðildarríkjunum sem beita 1. mgr. 107. gr. og 108. gr. sáttmálans um starfshætti Evrópusambandsins. Einkum skulu landsdómstólar hafa tækifæri til að inna framkvæmdastjórnina eftir upplýsingum eða áliti á atriðum sem varða beitingu reglna um ríkisaðstoð. Framkvæmdastjórnin skal enn fremur hafa tækifæri til að leggja fram skriflegar eða munnlegar athugasemdir fyrir þá dómstóla sem ætlað er að beita 1. mgr. 107. gr. eða 108. gr. sáttmálans um starfshætti Evrópusambandsins. Þegar framkvæmdastjórnin aðstoðar landsdómstóla í þessu tilliti skal hún breyta í samræmi við starfsskyldu sína til að verja almannahagsmuni.</w:t>
      </w:r>
    </w:p>
    <w:p w:rsidR="00430165" w:rsidRPr="00430165" w:rsidRDefault="00320332">
      <w:pPr>
        <w:pStyle w:val="ManualConsidrant"/>
        <w:spacing w:before="340" w:after="0"/>
        <w:ind w:left="397" w:hanging="397"/>
        <w:rPr>
          <w:rFonts w:ascii="Times New Roman" w:hAnsi="Times New Roman"/>
          <w:sz w:val="18"/>
        </w:rPr>
      </w:pPr>
      <w:r>
        <w:rPr>
          <w:rFonts w:ascii="Times New Roman" w:hAnsi="Times New Roman"/>
          <w:sz w:val="18"/>
        </w:rPr>
        <w:t xml:space="preserve">19) </w:t>
      </w:r>
      <w:r>
        <w:rPr>
          <w:rFonts w:ascii="Times New Roman" w:hAnsi="Times New Roman"/>
          <w:sz w:val="18"/>
        </w:rPr>
        <w:tab/>
        <w:t>Athugasemdir og álit framkvæmdastjórnarinnar skulu vera með fyrirvara um 267. gr. sáttmálans um starfshætti Evrópusambandsins og ekki lagalega bindandi fyrir landsdómstóla. Þær skulu lagðar fram innan ramma landsbundinna réttarfarsreglna og -framkvæmdar, þ.m.t. þeirra sem varða gæslu réttinda málsaðila, með fullu tilliti til sjálfstæðis landsdómstólanna. Athugasemdir, sem framkvæmdastjórnin leggur fram að eigin frumkvæði, skulu takmarkaðar við mál sem eru mikilvæg fyrir samræmda beitingu á 1. mgr. 107. gr. eða 108. gr. sáttmálans um starfshætti Evrópusambandsins, einkum mál sem hafa umtalsverða þýðingu fyrir framfylgd eða frekari þróun dómaframkvæmdar Sambandsins á sviði ríkisaðstoðar.</w:t>
      </w:r>
    </w:p>
    <w:p w:rsidR="00430165" w:rsidRPr="00430165" w:rsidRDefault="00320332">
      <w:pPr>
        <w:pStyle w:val="ManualConsidrant"/>
        <w:spacing w:before="340" w:after="0"/>
        <w:ind w:left="397" w:hanging="397"/>
        <w:rPr>
          <w:rFonts w:ascii="Times New Roman" w:hAnsi="Times New Roman"/>
          <w:sz w:val="18"/>
        </w:rPr>
      </w:pPr>
      <w:r>
        <w:rPr>
          <w:rFonts w:ascii="Times New Roman" w:hAnsi="Times New Roman"/>
          <w:sz w:val="18"/>
        </w:rPr>
        <w:t xml:space="preserve">20) </w:t>
      </w:r>
      <w:r>
        <w:rPr>
          <w:rFonts w:ascii="Times New Roman" w:hAnsi="Times New Roman"/>
          <w:sz w:val="18"/>
        </w:rPr>
        <w:tab/>
        <w:t xml:space="preserve">Í þágu gagnsæis og réttarvissu skulu upplýsingar um ákvarðanir framkvæmdastjórnarinnar gerðar opinberar. Því er rétt að birta </w:t>
      </w:r>
      <w:r>
        <w:rPr>
          <w:rFonts w:ascii="Times New Roman" w:hAnsi="Times New Roman"/>
          <w:sz w:val="18"/>
        </w:rPr>
        <w:lastRenderedPageBreak/>
        <w:t>ákvarðanir um sektir eða févíti, svo framarlega sem slíkt hefur áhrif á hagsmuni hlutaðeigandi upplýsingagjafa. Þegar framkvæmdastjórnin birtir ákvarðanir sínar skal hún virða reglurnar um þagnarskyldu, þ.m.t. verndun allra trúnaðarupplýsinga og persónuupplýsinga, í samræmi við 339. gr. sáttmálans um starfshætti Evrópusambandsins.</w:t>
      </w:r>
    </w:p>
    <w:p w:rsidR="00430165" w:rsidRPr="00430165" w:rsidRDefault="00320332">
      <w:pPr>
        <w:pStyle w:val="ManualConsidrant"/>
        <w:spacing w:before="113" w:after="0"/>
        <w:ind w:left="397" w:hanging="397"/>
        <w:rPr>
          <w:rFonts w:ascii="Times New Roman" w:hAnsi="Times New Roman"/>
          <w:sz w:val="18"/>
        </w:rPr>
      </w:pPr>
      <w:r>
        <w:rPr>
          <w:rFonts w:ascii="Times New Roman" w:hAnsi="Times New Roman"/>
          <w:sz w:val="18"/>
        </w:rPr>
        <w:t xml:space="preserve">21) </w:t>
      </w:r>
      <w:r>
        <w:rPr>
          <w:rFonts w:ascii="Times New Roman" w:hAnsi="Times New Roman"/>
          <w:sz w:val="18"/>
        </w:rPr>
        <w:tab/>
        <w:t>Framkvæmdastjórninni skal, í nánu samstarfi við ráðgjafarnefndina um ríkisaðstoð, vera heimilt að samþykkja framkvæmdarákvæði um setningu ítarlegra reglna um form, efni og aðrar viðmiðanir fyrir kvartanir sem eru lagðar fram í samræmi við reglugerð (EB) nr. 659/1999.</w:t>
      </w:r>
    </w:p>
    <w:p w:rsidR="00430165" w:rsidRPr="00430165" w:rsidRDefault="00430165">
      <w:pPr>
        <w:pStyle w:val="ManualConsidrant"/>
        <w:spacing w:before="187" w:after="0"/>
        <w:ind w:left="397" w:hanging="397"/>
        <w:rPr>
          <w:rFonts w:ascii="Times New Roman" w:hAnsi="Times New Roman"/>
          <w:sz w:val="18"/>
        </w:rPr>
      </w:pPr>
    </w:p>
    <w:p w:rsidR="00430165" w:rsidRPr="00430165" w:rsidRDefault="00320332">
      <w:pPr>
        <w:pStyle w:val="ManualConsidrant"/>
        <w:spacing w:before="187" w:after="0"/>
        <w:ind w:left="397" w:hanging="397"/>
        <w:rPr>
          <w:rFonts w:ascii="Times New Roman" w:hAnsi="Times New Roman"/>
          <w:sz w:val="18"/>
        </w:rPr>
      </w:pPr>
      <w:r>
        <w:rPr>
          <w:rFonts w:ascii="Times New Roman" w:hAnsi="Times New Roman"/>
          <w:sz w:val="18"/>
        </w:rPr>
        <w:t xml:space="preserve">22) </w:t>
      </w:r>
      <w:r>
        <w:rPr>
          <w:rFonts w:ascii="Times New Roman" w:hAnsi="Times New Roman"/>
          <w:sz w:val="18"/>
        </w:rPr>
        <w:tab/>
        <w:t>Því ber að breyta reglugerð (EB) nr. 659/1999 til samræmis við það.</w:t>
      </w:r>
    </w:p>
    <w:p w:rsidR="00430165" w:rsidRPr="00430165" w:rsidRDefault="00430165">
      <w:pPr>
        <w:pStyle w:val="Formuledadoption"/>
        <w:spacing w:before="187" w:after="0"/>
        <w:rPr>
          <w:rFonts w:ascii="Times New Roman" w:hAnsi="Times New Roman"/>
          <w:sz w:val="18"/>
        </w:rPr>
      </w:pPr>
    </w:p>
    <w:p w:rsidR="00430165" w:rsidRPr="00430165" w:rsidRDefault="00320332">
      <w:pPr>
        <w:pStyle w:val="Formuledadoption"/>
        <w:spacing w:before="187" w:after="0"/>
        <w:rPr>
          <w:rFonts w:ascii="Times New Roman" w:hAnsi="Times New Roman"/>
          <w:sz w:val="18"/>
        </w:rPr>
      </w:pPr>
      <w:r>
        <w:rPr>
          <w:rFonts w:ascii="Times New Roman" w:hAnsi="Times New Roman"/>
          <w:sz w:val="18"/>
        </w:rPr>
        <w:t>SAMÞYKKT REGLUGERÐ ÞESSA:</w:t>
      </w:r>
    </w:p>
    <w:p w:rsidR="00430165" w:rsidRPr="00430165" w:rsidRDefault="00430165">
      <w:pPr>
        <w:pStyle w:val="Titrearticle"/>
        <w:spacing w:before="187" w:after="0"/>
        <w:rPr>
          <w:rFonts w:ascii="Times New Roman" w:hAnsi="Times New Roman"/>
          <w:sz w:val="18"/>
        </w:rPr>
      </w:pPr>
    </w:p>
    <w:p w:rsidR="00430165" w:rsidRPr="00430165" w:rsidRDefault="00320332">
      <w:pPr>
        <w:pStyle w:val="Titrearticle"/>
        <w:spacing w:before="113" w:after="0"/>
        <w:rPr>
          <w:rFonts w:ascii="Times New Roman" w:hAnsi="Times New Roman"/>
          <w:sz w:val="18"/>
        </w:rPr>
      </w:pPr>
      <w:r>
        <w:rPr>
          <w:rFonts w:ascii="Times New Roman" w:hAnsi="Times New Roman"/>
          <w:sz w:val="18"/>
        </w:rPr>
        <w:t>1. gr.</w:t>
      </w:r>
    </w:p>
    <w:p w:rsidR="00430165" w:rsidRPr="00430165" w:rsidRDefault="00320332">
      <w:pPr>
        <w:spacing w:before="113" w:after="0"/>
        <w:rPr>
          <w:rFonts w:ascii="Times New Roman" w:hAnsi="Times New Roman"/>
          <w:sz w:val="18"/>
        </w:rPr>
      </w:pPr>
      <w:r>
        <w:rPr>
          <w:rFonts w:ascii="Times New Roman" w:hAnsi="Times New Roman"/>
          <w:sz w:val="18"/>
        </w:rPr>
        <w:t>Reglugerð (EB) nr. 659/1999 er breytt sem hér segir:</w:t>
      </w:r>
    </w:p>
    <w:p w:rsidR="00430165" w:rsidRPr="00430165" w:rsidRDefault="00430165">
      <w:pPr>
        <w:pStyle w:val="Point0"/>
        <w:spacing w:before="170" w:after="0"/>
        <w:ind w:left="283" w:hanging="283"/>
        <w:rPr>
          <w:rFonts w:ascii="Times New Roman" w:hAnsi="Times New Roman"/>
          <w:sz w:val="18"/>
        </w:rPr>
      </w:pPr>
    </w:p>
    <w:p w:rsidR="00430165" w:rsidRPr="00430165" w:rsidRDefault="00320332">
      <w:pPr>
        <w:pStyle w:val="Point0"/>
        <w:spacing w:before="170" w:after="0"/>
        <w:ind w:left="283" w:hanging="283"/>
        <w:rPr>
          <w:rFonts w:ascii="Times New Roman" w:hAnsi="Times New Roman"/>
          <w:sz w:val="18"/>
        </w:rPr>
      </w:pPr>
      <w:r>
        <w:rPr>
          <w:rFonts w:ascii="Times New Roman" w:hAnsi="Times New Roman"/>
          <w:sz w:val="18"/>
        </w:rPr>
        <w:t xml:space="preserve">1) </w:t>
      </w:r>
      <w:r>
        <w:rPr>
          <w:rFonts w:ascii="Times New Roman" w:hAnsi="Times New Roman"/>
          <w:sz w:val="18"/>
        </w:rPr>
        <w:tab/>
        <w:t>Í stað titils reglugerðarinnar komi eftirfarandi:</w:t>
      </w:r>
    </w:p>
    <w:p w:rsidR="00430165" w:rsidRPr="00430165" w:rsidRDefault="00430165">
      <w:pPr>
        <w:pStyle w:val="Typedudocument"/>
        <w:spacing w:before="170"/>
        <w:ind w:left="283"/>
        <w:jc w:val="both"/>
        <w:rPr>
          <w:rFonts w:ascii="Times New Roman" w:hAnsi="Times New Roman"/>
          <w:sz w:val="18"/>
        </w:rPr>
      </w:pPr>
    </w:p>
    <w:p w:rsidR="00430165" w:rsidRPr="00430165" w:rsidRDefault="00320332">
      <w:pPr>
        <w:pStyle w:val="Typedudocument"/>
        <w:spacing w:before="170"/>
        <w:ind w:left="283"/>
        <w:jc w:val="both"/>
        <w:rPr>
          <w:rFonts w:ascii="Times New Roman" w:hAnsi="Times New Roman"/>
          <w:sz w:val="18"/>
        </w:rPr>
      </w:pPr>
      <w:r>
        <w:rPr>
          <w:rFonts w:ascii="Times New Roman" w:hAnsi="Times New Roman"/>
          <w:sz w:val="18"/>
        </w:rPr>
        <w:t>„REGLUGERÐ RÁÐSINS (EB) NR. 659/1999 FRÁ 22. MARS 1999 UM ÍTARLEGAR REGLUR UM BEITINGU 108. GR. SÁTTMÁLANS UM STARFSHÆTTI EVRÓPUSAMBANDSINS“.</w:t>
      </w:r>
    </w:p>
    <w:p w:rsidR="00430165" w:rsidRPr="00430165" w:rsidRDefault="00430165">
      <w:pPr>
        <w:pStyle w:val="Point0"/>
        <w:spacing w:before="170" w:after="0"/>
        <w:ind w:left="283" w:hanging="283"/>
        <w:rPr>
          <w:rFonts w:ascii="Times New Roman" w:hAnsi="Times New Roman"/>
          <w:sz w:val="18"/>
        </w:rPr>
      </w:pPr>
    </w:p>
    <w:p w:rsidR="00430165" w:rsidRPr="00430165" w:rsidRDefault="00320332">
      <w:pPr>
        <w:pStyle w:val="Point0"/>
        <w:spacing w:before="170" w:after="0"/>
        <w:ind w:left="283" w:hanging="283"/>
        <w:rPr>
          <w:rFonts w:ascii="Times New Roman" w:hAnsi="Times New Roman"/>
          <w:sz w:val="18"/>
        </w:rPr>
      </w:pPr>
      <w:r>
        <w:rPr>
          <w:rFonts w:ascii="Times New Roman" w:hAnsi="Times New Roman"/>
          <w:sz w:val="18"/>
        </w:rPr>
        <w:t xml:space="preserve">2) </w:t>
      </w:r>
      <w:r>
        <w:rPr>
          <w:rFonts w:ascii="Times New Roman" w:hAnsi="Times New Roman"/>
          <w:sz w:val="18"/>
        </w:rPr>
        <w:tab/>
        <w:t>Í stað fyrirsagnar 5. gr. komi eftirfarandi:</w:t>
      </w:r>
    </w:p>
    <w:p w:rsidR="00430165" w:rsidRPr="00430165" w:rsidRDefault="00430165">
      <w:pPr>
        <w:pStyle w:val="NormalCentered"/>
        <w:spacing w:before="170" w:after="0"/>
        <w:ind w:left="283"/>
        <w:jc w:val="both"/>
        <w:rPr>
          <w:rFonts w:ascii="Times New Roman" w:hAnsi="Times New Roman" w:cs="TimesNewRomanPS-BoldMT"/>
          <w:b/>
          <w:bCs/>
          <w:sz w:val="18"/>
        </w:rPr>
      </w:pPr>
    </w:p>
    <w:p w:rsidR="00430165" w:rsidRPr="00430165" w:rsidRDefault="00320332">
      <w:pPr>
        <w:pStyle w:val="NormalCentered"/>
        <w:spacing w:before="170" w:after="0"/>
        <w:ind w:left="283"/>
        <w:jc w:val="both"/>
        <w:rPr>
          <w:rFonts w:ascii="Times New Roman" w:hAnsi="Times New Roman" w:cs="TimesNewRomanPS-BoldMT"/>
          <w:b/>
          <w:bCs/>
          <w:sz w:val="18"/>
        </w:rPr>
      </w:pPr>
      <w:r>
        <w:rPr>
          <w:rFonts w:ascii="Times New Roman" w:hAnsi="Times New Roman"/>
          <w:b/>
          <w:sz w:val="18"/>
        </w:rPr>
        <w:t>„Beiðni um upplýsingar sem er lögð fyrir tilkynningaraðildarríki“.</w:t>
      </w:r>
    </w:p>
    <w:p w:rsidR="00430165" w:rsidRPr="00430165" w:rsidRDefault="00430165">
      <w:pPr>
        <w:pStyle w:val="Point0"/>
        <w:spacing w:before="170" w:after="0"/>
        <w:ind w:left="283" w:hanging="283"/>
        <w:rPr>
          <w:rFonts w:ascii="Times New Roman" w:hAnsi="Times New Roman"/>
          <w:sz w:val="18"/>
        </w:rPr>
      </w:pPr>
    </w:p>
    <w:p w:rsidR="00430165" w:rsidRPr="00430165" w:rsidRDefault="00320332">
      <w:pPr>
        <w:pStyle w:val="Point0"/>
        <w:spacing w:before="170" w:after="0"/>
        <w:ind w:left="283" w:hanging="283"/>
        <w:rPr>
          <w:rFonts w:ascii="Times New Roman" w:hAnsi="Times New Roman"/>
          <w:sz w:val="18"/>
        </w:rPr>
      </w:pPr>
      <w:r>
        <w:rPr>
          <w:rFonts w:ascii="Times New Roman" w:hAnsi="Times New Roman"/>
          <w:sz w:val="18"/>
        </w:rPr>
        <w:lastRenderedPageBreak/>
        <w:t xml:space="preserve">3) </w:t>
      </w:r>
      <w:r>
        <w:rPr>
          <w:rFonts w:ascii="Times New Roman" w:hAnsi="Times New Roman"/>
          <w:sz w:val="18"/>
        </w:rPr>
        <w:tab/>
        <w:t>Eftirfarandi greinar bætist við:</w:t>
      </w:r>
    </w:p>
    <w:p w:rsidR="00430165" w:rsidRPr="00430165" w:rsidRDefault="00430165">
      <w:pPr>
        <w:pStyle w:val="Titrearticle"/>
        <w:tabs>
          <w:tab w:val="left" w:pos="680"/>
        </w:tabs>
        <w:spacing w:before="170" w:after="0"/>
        <w:ind w:left="283"/>
        <w:jc w:val="both"/>
        <w:rPr>
          <w:rFonts w:ascii="Times New Roman" w:hAnsi="Times New Roman"/>
          <w:sz w:val="18"/>
        </w:rPr>
      </w:pPr>
    </w:p>
    <w:p w:rsidR="00430165" w:rsidRPr="00430165" w:rsidRDefault="00320332">
      <w:pPr>
        <w:pStyle w:val="Titrearticle"/>
        <w:tabs>
          <w:tab w:val="left" w:pos="680"/>
        </w:tabs>
        <w:spacing w:before="170" w:after="0"/>
        <w:ind w:left="283"/>
        <w:jc w:val="both"/>
        <w:rPr>
          <w:rFonts w:ascii="Times New Roman" w:hAnsi="Times New Roman"/>
          <w:sz w:val="18"/>
        </w:rPr>
      </w:pPr>
      <w:r>
        <w:rPr>
          <w:rFonts w:ascii="Times New Roman" w:hAnsi="Times New Roman"/>
          <w:sz w:val="18"/>
        </w:rPr>
        <w:t>„6. gr. a</w:t>
      </w:r>
    </w:p>
    <w:p w:rsidR="00430165" w:rsidRPr="00430165" w:rsidRDefault="00320332">
      <w:pPr>
        <w:pStyle w:val="NormalCentered"/>
        <w:tabs>
          <w:tab w:val="left" w:pos="680"/>
        </w:tabs>
        <w:spacing w:before="113" w:after="0"/>
        <w:ind w:left="283"/>
        <w:jc w:val="both"/>
        <w:rPr>
          <w:rFonts w:ascii="Times New Roman" w:hAnsi="Times New Roman"/>
          <w:sz w:val="18"/>
        </w:rPr>
      </w:pPr>
      <w:r>
        <w:rPr>
          <w:rFonts w:ascii="Times New Roman" w:hAnsi="Times New Roman"/>
          <w:b/>
          <w:sz w:val="18"/>
        </w:rPr>
        <w:t>Beiðni um upplýsingar sem er lögð fyrir aðra upplýsingagjafa</w:t>
      </w:r>
    </w:p>
    <w:p w:rsidR="00430165" w:rsidRPr="00430165" w:rsidRDefault="00320332">
      <w:pPr>
        <w:pStyle w:val="Point0"/>
        <w:tabs>
          <w:tab w:val="left" w:pos="680"/>
        </w:tabs>
        <w:spacing w:before="113" w:after="0"/>
        <w:ind w:left="283" w:firstLine="0"/>
        <w:rPr>
          <w:rFonts w:ascii="Times New Roman" w:hAnsi="Times New Roman"/>
          <w:sz w:val="18"/>
        </w:rPr>
      </w:pPr>
      <w:r>
        <w:rPr>
          <w:rFonts w:ascii="Times New Roman" w:hAnsi="Times New Roman"/>
          <w:sz w:val="18"/>
        </w:rPr>
        <w:t>1.</w:t>
      </w:r>
      <w:r>
        <w:rPr>
          <w:rFonts w:ascii="Times New Roman" w:hAnsi="Times New Roman"/>
          <w:sz w:val="18"/>
        </w:rPr>
        <w:tab/>
        <w:t>Þegar hafin er formleg rannsókn, sem kveðið er á um í 6. gr., einkum í tengslum við tæknilega flókin mál þar sem þörf er fyrir efnislegt mat, getur framkvæmdastjórnin, ef upplýsingarnar sem hlutaðeigandi aðildarríki veitir meðan forathugun stendur yfir eru ekki fullnægjandi, beðið hvaða aðildarríki, fyrirtæki eða samtök fyrirtækja sem er um að veita allar markaðsupplýsingar sem hún þarf til að ljúka mati sínu á viðkomandi ráðstöfun, að teknu tilliti tilhlýðilegu til meðalhófsreglunnar, einkum að því er varðar lítil og meðalstór fyrirtæki.</w:t>
      </w:r>
    </w:p>
    <w:p w:rsidR="00430165" w:rsidRPr="00430165" w:rsidRDefault="00320332">
      <w:pPr>
        <w:pStyle w:val="Point0"/>
        <w:tabs>
          <w:tab w:val="left" w:pos="680"/>
        </w:tabs>
        <w:spacing w:before="113" w:after="0"/>
        <w:ind w:left="283" w:firstLine="0"/>
        <w:rPr>
          <w:rFonts w:ascii="Times New Roman" w:hAnsi="Times New Roman"/>
          <w:sz w:val="18"/>
        </w:rPr>
      </w:pPr>
      <w:r>
        <w:rPr>
          <w:rFonts w:ascii="Times New Roman" w:hAnsi="Times New Roman"/>
          <w:sz w:val="18"/>
        </w:rPr>
        <w:t>2.</w:t>
      </w:r>
      <w:r>
        <w:rPr>
          <w:rFonts w:ascii="Times New Roman" w:hAnsi="Times New Roman"/>
          <w:sz w:val="18"/>
        </w:rPr>
        <w:tab/>
        <w:t>Framkvæmdastjórnin getur eingöngu beðið um upplýsingar:</w:t>
      </w:r>
    </w:p>
    <w:p w:rsidR="00430165" w:rsidRPr="00430165" w:rsidRDefault="00320332">
      <w:pPr>
        <w:pStyle w:val="Point1"/>
        <w:spacing w:before="425" w:after="0"/>
        <w:ind w:left="567" w:hanging="283"/>
        <w:rPr>
          <w:rFonts w:ascii="Times New Roman" w:hAnsi="Times New Roman"/>
          <w:sz w:val="18"/>
        </w:rPr>
      </w:pPr>
      <w:r>
        <w:rPr>
          <w:rFonts w:ascii="Times New Roman" w:hAnsi="Times New Roman"/>
          <w:sz w:val="18"/>
        </w:rPr>
        <w:t xml:space="preserve">a) </w:t>
      </w:r>
      <w:r>
        <w:rPr>
          <w:rFonts w:ascii="Times New Roman" w:hAnsi="Times New Roman"/>
          <w:sz w:val="18"/>
        </w:rPr>
        <w:tab/>
        <w:t xml:space="preserve">sem varða formlega rannsókn sem að mati framkvæmdastjórnarinnar hefur fram að því verið óskilvirk og </w:t>
      </w:r>
    </w:p>
    <w:p w:rsidR="00430165" w:rsidRPr="00430165" w:rsidRDefault="00320332">
      <w:pPr>
        <w:pStyle w:val="Point1"/>
        <w:spacing w:before="425" w:after="0"/>
        <w:ind w:left="567" w:hanging="283"/>
        <w:rPr>
          <w:rFonts w:ascii="Times New Roman" w:hAnsi="Times New Roman"/>
          <w:sz w:val="18"/>
        </w:rPr>
      </w:pPr>
      <w:r>
        <w:rPr>
          <w:rFonts w:ascii="Times New Roman" w:hAnsi="Times New Roman"/>
          <w:sz w:val="18"/>
        </w:rPr>
        <w:t xml:space="preserve">b) </w:t>
      </w:r>
      <w:r>
        <w:rPr>
          <w:rFonts w:ascii="Times New Roman" w:hAnsi="Times New Roman"/>
          <w:sz w:val="18"/>
        </w:rPr>
        <w:tab/>
        <w:t>sem varða þiggjendur aðstoðar, svo fremi hlutaðeigandi aðildarríki veitir samþykki fyrir beiðninni.</w:t>
      </w:r>
    </w:p>
    <w:p w:rsidR="00430165" w:rsidRPr="00430165" w:rsidRDefault="00320332">
      <w:pPr>
        <w:pStyle w:val="Point0"/>
        <w:tabs>
          <w:tab w:val="left" w:pos="680"/>
        </w:tabs>
        <w:spacing w:before="425" w:after="0"/>
        <w:ind w:left="283" w:firstLine="0"/>
        <w:rPr>
          <w:rFonts w:ascii="Times New Roman" w:hAnsi="Times New Roman"/>
          <w:sz w:val="18"/>
        </w:rPr>
      </w:pPr>
      <w:r>
        <w:rPr>
          <w:rFonts w:ascii="Times New Roman" w:hAnsi="Times New Roman"/>
          <w:sz w:val="18"/>
        </w:rPr>
        <w:t>3.</w:t>
      </w:r>
      <w:r>
        <w:rPr>
          <w:rFonts w:ascii="Times New Roman" w:hAnsi="Times New Roman"/>
          <w:sz w:val="18"/>
        </w:rPr>
        <w:tab/>
        <w:t>Þau fyrirtæki eða samtök fyrirtækja, sem veita upplýsingar í framhaldi af beiðni framkvæmdastjórnarinnar um markaðsupplýsingar á grundvelli 6. og 7. mgr., skulu veita framkvæmdastjórninni og hlutaðeigandi aðildarríki svar samtímis, að svo miklu leyti sem skjölin, sem lögð eru fram, innihalda ekki upplýsingar sem eru trúnaðarmál gagnvart því aðildarríki.</w:t>
      </w:r>
    </w:p>
    <w:p w:rsidR="00430165" w:rsidRPr="00430165" w:rsidRDefault="00320332">
      <w:pPr>
        <w:pStyle w:val="Point0"/>
        <w:tabs>
          <w:tab w:val="left" w:pos="680"/>
        </w:tabs>
        <w:spacing w:before="425" w:after="0"/>
        <w:ind w:left="283" w:firstLine="0"/>
        <w:rPr>
          <w:rFonts w:ascii="Times New Roman" w:hAnsi="Times New Roman"/>
          <w:sz w:val="18"/>
        </w:rPr>
      </w:pPr>
      <w:r>
        <w:rPr>
          <w:rFonts w:ascii="Times New Roman" w:hAnsi="Times New Roman"/>
          <w:sz w:val="18"/>
        </w:rPr>
        <w:tab/>
        <w:t>Framkvæmdastjórnin skal stýra og fylgjast með sendingu upplýsinga milli hlutaðeigandi aðildarríkja, fyrirtækja eða samtaka fyrirtækja og sannreyna fullyrðingar um að upplýsingar sem eru sendar falli undir þagnarskyldu.</w:t>
      </w:r>
    </w:p>
    <w:p w:rsidR="00430165" w:rsidRPr="00430165" w:rsidRDefault="00320332">
      <w:pPr>
        <w:pStyle w:val="Point0"/>
        <w:tabs>
          <w:tab w:val="left" w:pos="680"/>
        </w:tabs>
        <w:spacing w:before="425" w:after="0"/>
        <w:ind w:left="283" w:firstLine="0"/>
        <w:rPr>
          <w:rFonts w:ascii="Times New Roman" w:hAnsi="Times New Roman"/>
          <w:sz w:val="18"/>
        </w:rPr>
      </w:pPr>
      <w:r>
        <w:rPr>
          <w:rFonts w:ascii="Times New Roman" w:hAnsi="Times New Roman"/>
          <w:sz w:val="18"/>
        </w:rPr>
        <w:t>4.</w:t>
      </w:r>
      <w:r>
        <w:rPr>
          <w:rFonts w:ascii="Times New Roman" w:hAnsi="Times New Roman"/>
          <w:sz w:val="18"/>
        </w:rPr>
        <w:tab/>
        <w:t xml:space="preserve">Framkvæmdastjórnin skal eingöngu fara fram á upplýsingar sem aðildarríkið, fyrirtækið eða samtök fyrirtækja, sem beiðnin snertir, ráða </w:t>
      </w:r>
      <w:r>
        <w:rPr>
          <w:rFonts w:ascii="Times New Roman" w:hAnsi="Times New Roman"/>
          <w:sz w:val="18"/>
        </w:rPr>
        <w:lastRenderedPageBreak/>
        <w:t>yfir.</w:t>
      </w:r>
    </w:p>
    <w:p w:rsidR="00430165" w:rsidRPr="00430165" w:rsidRDefault="00320332">
      <w:pPr>
        <w:pStyle w:val="Point0"/>
        <w:tabs>
          <w:tab w:val="left" w:pos="680"/>
        </w:tabs>
        <w:spacing w:before="425" w:after="0"/>
        <w:ind w:left="283" w:firstLine="0"/>
        <w:rPr>
          <w:rFonts w:ascii="Times New Roman" w:hAnsi="Times New Roman"/>
          <w:sz w:val="18"/>
        </w:rPr>
      </w:pPr>
      <w:r>
        <w:rPr>
          <w:rFonts w:ascii="Times New Roman" w:hAnsi="Times New Roman"/>
          <w:sz w:val="18"/>
        </w:rPr>
        <w:t>5.</w:t>
      </w:r>
      <w:r>
        <w:rPr>
          <w:rFonts w:ascii="Times New Roman" w:hAnsi="Times New Roman"/>
          <w:sz w:val="18"/>
        </w:rPr>
        <w:tab/>
        <w:t>Aðildarríkin skulu veita upplýsingarnar á grundvelli einfaldrar beiðni og innan frests, sem framkvæmdastjórnin ákveður, sem skal að jafnaði ekki vera lengri en einn mánuður. Ef aðildarríki veitir ekki umbeðnar upplýsingar innan þess tíma eða veitir ófullnægjandi upplýsingar skal framkvæmdastjórnin senda ítrekun.</w:t>
      </w:r>
    </w:p>
    <w:p w:rsidR="00430165" w:rsidRPr="00430165" w:rsidRDefault="00320332">
      <w:pPr>
        <w:pStyle w:val="Point0"/>
        <w:tabs>
          <w:tab w:val="left" w:pos="680"/>
        </w:tabs>
        <w:spacing w:before="425" w:after="0"/>
        <w:ind w:left="283" w:firstLine="0"/>
        <w:rPr>
          <w:rFonts w:ascii="Times New Roman" w:hAnsi="Times New Roman"/>
          <w:sz w:val="18"/>
        </w:rPr>
      </w:pPr>
      <w:r>
        <w:rPr>
          <w:rFonts w:ascii="Times New Roman" w:hAnsi="Times New Roman"/>
          <w:sz w:val="18"/>
        </w:rPr>
        <w:t>6.</w:t>
      </w:r>
      <w:r>
        <w:rPr>
          <w:rFonts w:ascii="Times New Roman" w:hAnsi="Times New Roman"/>
          <w:sz w:val="18"/>
        </w:rPr>
        <w:tab/>
        <w:t>Framkvæmdastjórnin getur, með einfaldri beiðni, farið fram á að fyrirtæki eða samtök fyrirtækja veiti upplýsingar. Ef framkvæmdastjórnin sendir einfalda beiðni um upplýsingar til fyrirtækis eða samtaka fyrirtækja skal hún skýra frá því hvaða lagagrundvöllur og tilgangur liggur að baki beiðninni, tilgreina hvaða upplýsinga er óskað og ákveða hæfilegan skilafrest þeirra. Hún skal einnig vísa til þeirra sekta, sem kveðið er á um í 1. mgr. 6. gr. b, sem liggja við því að veita rangar eða villandi upplýsingar.</w:t>
      </w:r>
    </w:p>
    <w:p w:rsidR="00430165" w:rsidRPr="00430165" w:rsidRDefault="00320332">
      <w:pPr>
        <w:pStyle w:val="Point0"/>
        <w:tabs>
          <w:tab w:val="left" w:pos="680"/>
        </w:tabs>
        <w:spacing w:before="425" w:after="0"/>
        <w:ind w:left="283" w:firstLine="0"/>
        <w:rPr>
          <w:rFonts w:ascii="Times New Roman" w:hAnsi="Times New Roman"/>
          <w:sz w:val="18"/>
        </w:rPr>
      </w:pPr>
      <w:r>
        <w:rPr>
          <w:rFonts w:ascii="Times New Roman" w:hAnsi="Times New Roman"/>
          <w:sz w:val="18"/>
        </w:rPr>
        <w:t>7.</w:t>
      </w:r>
      <w:r>
        <w:rPr>
          <w:rFonts w:ascii="Times New Roman" w:hAnsi="Times New Roman"/>
          <w:sz w:val="18"/>
        </w:rPr>
        <w:tab/>
        <w:t>Framkvæmdastjórnin getur með ákvörðun farið fram á að fyrirtæki eða samtök fyrirtækja veiti upplýsingar. Ef framkvæmdastjórnin krefst þess með ákvörðun að fyrirtæki eða samtök fyrirtækja láti í té upplýsingar skal hún skýra frá því hvaða lagagrundvöllur og tilgangur liggur að baki beiðninni, tilgreina hvaða upplýsinga er óskað og ákveða skilafrest þeirra. Hún skal einnig vísa til þeirra sekta, sem kveðið er á um í 1. mgr. 6. gr. b, og gefa til kynna eða leggja á þau févíti sem kveðið er á um í 2. mgr. 6. gr. b., eftir því sem við á. Hún skal enn fremur skýra frá rétti fyrirtækja eða samtaka fyrirtækja til að fá endurskoðun Evrópudómstólsins á ákvörðuninni.</w:t>
      </w:r>
    </w:p>
    <w:p w:rsidR="00430165" w:rsidRPr="00430165" w:rsidRDefault="00320332">
      <w:pPr>
        <w:pStyle w:val="Point0"/>
        <w:tabs>
          <w:tab w:val="left" w:pos="680"/>
        </w:tabs>
        <w:spacing w:before="624" w:after="0"/>
        <w:ind w:left="283" w:firstLine="0"/>
        <w:rPr>
          <w:rFonts w:ascii="Times New Roman" w:hAnsi="Times New Roman"/>
          <w:sz w:val="18"/>
        </w:rPr>
      </w:pPr>
      <w:r>
        <w:rPr>
          <w:rFonts w:ascii="Times New Roman" w:hAnsi="Times New Roman"/>
          <w:sz w:val="18"/>
        </w:rPr>
        <w:t>8.</w:t>
      </w:r>
      <w:r>
        <w:rPr>
          <w:rFonts w:ascii="Times New Roman" w:hAnsi="Times New Roman"/>
          <w:sz w:val="18"/>
        </w:rPr>
        <w:tab/>
        <w:t>Þegar framkvæmdastjórnin gefur út beiðni skv. 1. eða 6. mgr. eða tekur ákvörðun skv. 7. mgr. skal hún einnig samtímis láta hlutaðeigandi aðildarríki í té afrit af beiðninni. Framkvæmdastjórnin skal tilgreina þær viðmiðanir sem liggja til grundvallar vali á viðtakendum beiðnar eða ákvörðunar.</w:t>
      </w:r>
    </w:p>
    <w:p w:rsidR="00430165" w:rsidRPr="00430165" w:rsidRDefault="00320332">
      <w:pPr>
        <w:pStyle w:val="Point0"/>
        <w:tabs>
          <w:tab w:val="left" w:pos="680"/>
        </w:tabs>
        <w:spacing w:before="624" w:after="0"/>
        <w:ind w:left="283" w:firstLine="0"/>
        <w:rPr>
          <w:rFonts w:ascii="Times New Roman" w:hAnsi="Times New Roman"/>
          <w:sz w:val="18"/>
        </w:rPr>
      </w:pPr>
      <w:r>
        <w:rPr>
          <w:rFonts w:ascii="Times New Roman" w:hAnsi="Times New Roman"/>
          <w:sz w:val="18"/>
        </w:rPr>
        <w:lastRenderedPageBreak/>
        <w:t xml:space="preserve">9. </w:t>
      </w:r>
      <w:r>
        <w:rPr>
          <w:rFonts w:ascii="Times New Roman" w:hAnsi="Times New Roman"/>
          <w:sz w:val="18"/>
        </w:rPr>
        <w:tab/>
        <w:t>Eigendur fyrirtækjanna eða fulltrúar þeirra eða, þegar um lögaðila er að ræða, félög, fyrirtæki eða samtök sem hafa ekki réttarstöðu lögaðila, þeir aðilar, sem hafa umboð til að koma fram fyrir þeirra hönd samkvæmt lögum eða stofnsamningi þeirra, skulu veita upplýsingar, sem beðið er um eða krafist, fyrir þeirra hönd. Aðilum, sem til þess hafa tilhlýðilegt umboð, er heimilt að veita upplýsingar fyrir hönd skjólstæðinga sinna. Hinir síðarnefndu bera áfram fulla ábyrgð á að upplýsingarnar séu hvorki ófullnægjandi, rangar né villandi.</w:t>
      </w:r>
    </w:p>
    <w:p w:rsidR="00430165" w:rsidRPr="00430165" w:rsidRDefault="00320332">
      <w:pPr>
        <w:pStyle w:val="Titrearticle"/>
        <w:tabs>
          <w:tab w:val="left" w:pos="680"/>
        </w:tabs>
        <w:spacing w:before="624" w:after="0"/>
        <w:ind w:left="283"/>
        <w:jc w:val="both"/>
        <w:rPr>
          <w:rFonts w:ascii="Times New Roman" w:hAnsi="Times New Roman"/>
          <w:sz w:val="18"/>
        </w:rPr>
      </w:pPr>
      <w:r>
        <w:rPr>
          <w:rFonts w:ascii="Times New Roman" w:hAnsi="Times New Roman"/>
          <w:sz w:val="18"/>
        </w:rPr>
        <w:t>6. gr. b</w:t>
      </w:r>
    </w:p>
    <w:p w:rsidR="00430165" w:rsidRPr="00430165" w:rsidRDefault="00320332">
      <w:pPr>
        <w:pStyle w:val="NormalCentered"/>
        <w:tabs>
          <w:tab w:val="left" w:pos="680"/>
        </w:tabs>
        <w:spacing w:before="113" w:after="0"/>
        <w:ind w:left="283"/>
        <w:jc w:val="both"/>
        <w:rPr>
          <w:rFonts w:ascii="Times New Roman" w:hAnsi="Times New Roman"/>
          <w:sz w:val="18"/>
        </w:rPr>
      </w:pPr>
      <w:r>
        <w:rPr>
          <w:rFonts w:ascii="Times New Roman" w:hAnsi="Times New Roman"/>
          <w:b/>
          <w:sz w:val="18"/>
        </w:rPr>
        <w:t xml:space="preserve">Sektir og févíti </w:t>
      </w:r>
    </w:p>
    <w:p w:rsidR="00430165" w:rsidRPr="00430165" w:rsidRDefault="00320332">
      <w:pPr>
        <w:pStyle w:val="Point0"/>
        <w:tabs>
          <w:tab w:val="left" w:pos="680"/>
        </w:tabs>
        <w:spacing w:before="113" w:after="0"/>
        <w:ind w:left="283" w:firstLine="0"/>
        <w:rPr>
          <w:rFonts w:ascii="Times New Roman" w:hAnsi="Times New Roman"/>
          <w:sz w:val="18"/>
        </w:rPr>
      </w:pPr>
      <w:r>
        <w:rPr>
          <w:rFonts w:ascii="Times New Roman" w:hAnsi="Times New Roman"/>
          <w:sz w:val="18"/>
        </w:rPr>
        <w:t>1.</w:t>
      </w:r>
      <w:r>
        <w:rPr>
          <w:rFonts w:ascii="Times New Roman" w:hAnsi="Times New Roman"/>
          <w:sz w:val="18"/>
        </w:rPr>
        <w:tab/>
        <w:t>Ef það telst nauðsynlegt og sanngjarnt er framkvæmdastjórninni heimilt, með ákvörðun, að sekta fyrirtæki og samtök fyrirtækja um fjárhæð sem fer ekki yfir 1 % af heildarveltu þeirra á næstliðnu rekstrarári ef þau, af ásetningi eða af vítaverðu gáleysi:</w:t>
      </w:r>
    </w:p>
    <w:p w:rsidR="00430165" w:rsidRPr="00430165" w:rsidRDefault="00320332">
      <w:pPr>
        <w:pStyle w:val="Point1"/>
        <w:spacing w:before="624" w:after="0"/>
        <w:ind w:left="567" w:hanging="283"/>
        <w:rPr>
          <w:rFonts w:ascii="Times New Roman" w:hAnsi="Times New Roman"/>
          <w:sz w:val="18"/>
        </w:rPr>
      </w:pPr>
      <w:r>
        <w:rPr>
          <w:rFonts w:ascii="Times New Roman" w:hAnsi="Times New Roman"/>
          <w:sz w:val="18"/>
        </w:rPr>
        <w:t xml:space="preserve">a) </w:t>
      </w:r>
      <w:r>
        <w:rPr>
          <w:rFonts w:ascii="Times New Roman" w:hAnsi="Times New Roman"/>
          <w:sz w:val="18"/>
        </w:rPr>
        <w:tab/>
        <w:t>veita rangar eða villandi upplýsingar sem svar við beiðni sem er lögð fram skv. 6. mgr. 6. gr. a,</w:t>
      </w:r>
    </w:p>
    <w:p w:rsidR="00430165" w:rsidRPr="00430165" w:rsidRDefault="00320332">
      <w:pPr>
        <w:pStyle w:val="Point1"/>
        <w:spacing w:before="624" w:after="0"/>
        <w:ind w:left="567" w:hanging="283"/>
        <w:rPr>
          <w:rFonts w:ascii="Times New Roman" w:hAnsi="Times New Roman"/>
          <w:sz w:val="18"/>
        </w:rPr>
      </w:pPr>
      <w:r>
        <w:rPr>
          <w:rFonts w:ascii="Times New Roman" w:hAnsi="Times New Roman"/>
          <w:sz w:val="18"/>
        </w:rPr>
        <w:t xml:space="preserve">b) </w:t>
      </w:r>
      <w:r>
        <w:rPr>
          <w:rFonts w:ascii="Times New Roman" w:hAnsi="Times New Roman"/>
          <w:sz w:val="18"/>
        </w:rPr>
        <w:tab/>
        <w:t>veita rangar, ófullnægjandi eða villandi upplýsingar sem svar við ákvörðun sem er samþykkt skv. 7. mgr. 6. gr. a eða veita ekki upplýsingar innan tilskilins frests.</w:t>
      </w:r>
    </w:p>
    <w:p w:rsidR="00430165" w:rsidRPr="00430165" w:rsidRDefault="00320332">
      <w:pPr>
        <w:pStyle w:val="Point0"/>
        <w:tabs>
          <w:tab w:val="left" w:pos="680"/>
        </w:tabs>
        <w:spacing w:before="624" w:after="0"/>
        <w:ind w:left="283" w:firstLine="0"/>
        <w:rPr>
          <w:rFonts w:ascii="Times New Roman" w:hAnsi="Times New Roman"/>
          <w:sz w:val="18"/>
        </w:rPr>
      </w:pPr>
      <w:r>
        <w:rPr>
          <w:rFonts w:ascii="Times New Roman" w:hAnsi="Times New Roman"/>
          <w:sz w:val="18"/>
        </w:rPr>
        <w:t>2.</w:t>
      </w:r>
      <w:r>
        <w:rPr>
          <w:rFonts w:ascii="Times New Roman" w:hAnsi="Times New Roman"/>
          <w:sz w:val="18"/>
        </w:rPr>
        <w:tab/>
        <w:t>Framkvæmdastjórninni er heimilt, með ákvörðun, að leggja févíti á fyrirtæki eða samtök fyrirtækja veiti fyrirtæki eða samtök fyrirtækja ekki fullnægjandi og réttar upplýsingar, eins og framkvæmdastjórnin fer fram á með ákvörðun sem er tekin skv. 7. mgr. 6. gr. a.</w:t>
      </w:r>
    </w:p>
    <w:p w:rsidR="00430165" w:rsidRPr="00430165" w:rsidRDefault="00320332">
      <w:pPr>
        <w:pStyle w:val="Point0"/>
        <w:tabs>
          <w:tab w:val="left" w:pos="680"/>
        </w:tabs>
        <w:spacing w:before="113" w:after="0"/>
        <w:ind w:left="283" w:firstLine="0"/>
        <w:rPr>
          <w:rFonts w:ascii="Times New Roman" w:hAnsi="Times New Roman"/>
          <w:sz w:val="18"/>
        </w:rPr>
      </w:pPr>
      <w:r>
        <w:rPr>
          <w:rFonts w:ascii="Times New Roman" w:hAnsi="Times New Roman"/>
          <w:sz w:val="18"/>
        </w:rPr>
        <w:t>Févíti skal ekki fara yfir 5 % af meðaldagsveltu hlutaðeigandi fyrirtækis eða samtaka á næstliðnu rekstrarári fyrir hvern vinnudag sem farið er fram yfir frestinn, reiknað frá þeim degi sem er tiltekinn í ákvörðuninni, uns veittar eru fullnægjandi og réttar upplýsingar eins og framkvæmdastjórnin fer fram á eða krefst.</w:t>
      </w:r>
    </w:p>
    <w:p w:rsidR="00430165" w:rsidRPr="00430165" w:rsidRDefault="00320332">
      <w:pPr>
        <w:pStyle w:val="Point0"/>
        <w:tabs>
          <w:tab w:val="left" w:pos="680"/>
        </w:tabs>
        <w:spacing w:before="454" w:after="0"/>
        <w:ind w:left="283" w:firstLine="0"/>
        <w:rPr>
          <w:rFonts w:ascii="Times New Roman" w:hAnsi="Times New Roman"/>
          <w:sz w:val="18"/>
        </w:rPr>
      </w:pPr>
      <w:r>
        <w:rPr>
          <w:rFonts w:ascii="Times New Roman" w:hAnsi="Times New Roman"/>
          <w:sz w:val="18"/>
        </w:rPr>
        <w:lastRenderedPageBreak/>
        <w:t>3.</w:t>
      </w:r>
      <w:r>
        <w:rPr>
          <w:rFonts w:ascii="Times New Roman" w:hAnsi="Times New Roman"/>
          <w:sz w:val="18"/>
        </w:rPr>
        <w:tab/>
        <w:t xml:space="preserve">Þegar fjárhæð sektar eða févítis er ákveðin skal taka tillit til þess hvers eðlis brotið er, hve alvarlegt það er og hve lengi það hefur staðið yfir, að teknu tilhlýðilegu tilliti til meginreglnanna um meðalhóf og sanngirni, einkum að því er varðar lítil og meðalstór fyrirtæki. </w:t>
      </w:r>
    </w:p>
    <w:p w:rsidR="00430165" w:rsidRPr="00430165" w:rsidRDefault="00320332">
      <w:pPr>
        <w:pStyle w:val="Point0"/>
        <w:tabs>
          <w:tab w:val="left" w:pos="680"/>
        </w:tabs>
        <w:spacing w:before="454" w:after="0"/>
        <w:ind w:left="283" w:firstLine="0"/>
        <w:rPr>
          <w:rFonts w:ascii="Times New Roman" w:hAnsi="Times New Roman"/>
          <w:sz w:val="18"/>
        </w:rPr>
      </w:pPr>
      <w:r>
        <w:rPr>
          <w:rFonts w:ascii="Times New Roman" w:hAnsi="Times New Roman"/>
          <w:sz w:val="18"/>
        </w:rPr>
        <w:t>4.</w:t>
      </w:r>
      <w:r>
        <w:rPr>
          <w:rFonts w:ascii="Times New Roman" w:hAnsi="Times New Roman"/>
          <w:sz w:val="18"/>
        </w:rPr>
        <w:tab/>
        <w:t>Þegar fyrirtæki eða samtök fyrirtækja hafa fullnægt þeirri skuldbindingu sem févítinu var ætlað að knýja fram er framkvæmdastjórninni heimilt að lækka heildarfjárhæð févítis miðað við það sem orðið hefði samkvæmt upphaflegu ákvörðuninni. Framkvæmdastjórninni er einnig heimilt að fella niður févíti.</w:t>
      </w:r>
    </w:p>
    <w:p w:rsidR="00430165" w:rsidRPr="00430165" w:rsidRDefault="00320332">
      <w:pPr>
        <w:pStyle w:val="Point0"/>
        <w:tabs>
          <w:tab w:val="left" w:pos="680"/>
        </w:tabs>
        <w:spacing w:before="454" w:after="0"/>
        <w:ind w:left="283" w:firstLine="0"/>
        <w:rPr>
          <w:rFonts w:ascii="Times New Roman" w:hAnsi="Times New Roman"/>
          <w:sz w:val="18"/>
        </w:rPr>
      </w:pPr>
      <w:r>
        <w:rPr>
          <w:rFonts w:ascii="Times New Roman" w:hAnsi="Times New Roman"/>
          <w:sz w:val="18"/>
        </w:rPr>
        <w:t>5.</w:t>
      </w:r>
      <w:r>
        <w:rPr>
          <w:rFonts w:ascii="Times New Roman" w:hAnsi="Times New Roman"/>
          <w:sz w:val="18"/>
        </w:rPr>
        <w:tab/>
        <w:t>Áður en framkvæmdastjórnin tekur ákvörðun í samræmi við 1. eða 2. mgr. skal hún setja tveggja vikna lokafrest á afhendingu þeirra markaðsupplýsinga sem vantar frá hlutaðeigandi fyrirtækjum eða samtökum fyrirtækja og gefa þeim einnig tækifæri til að koma sjónarmiðum sínum á framfæri.</w:t>
      </w:r>
    </w:p>
    <w:p w:rsidR="00430165" w:rsidRPr="00430165" w:rsidRDefault="00320332">
      <w:pPr>
        <w:pStyle w:val="Point0"/>
        <w:tabs>
          <w:tab w:val="left" w:pos="680"/>
        </w:tabs>
        <w:spacing w:before="454" w:after="0"/>
        <w:ind w:left="283" w:firstLine="0"/>
        <w:rPr>
          <w:rFonts w:ascii="Times New Roman" w:hAnsi="Times New Roman"/>
          <w:sz w:val="18"/>
        </w:rPr>
      </w:pPr>
      <w:r>
        <w:rPr>
          <w:rFonts w:ascii="Times New Roman" w:hAnsi="Times New Roman"/>
          <w:sz w:val="18"/>
        </w:rPr>
        <w:t>6.</w:t>
      </w:r>
      <w:r>
        <w:rPr>
          <w:rFonts w:ascii="Times New Roman" w:hAnsi="Times New Roman"/>
          <w:sz w:val="18"/>
        </w:rPr>
        <w:tab/>
        <w:t xml:space="preserve">Evrópudómstóllinn hefur ótakmarkaða lögsögu í skilningi 261. gr. sáttmálans um starfshætti Evrópusambandsins til að endurskoða sektir eða févíti sem framkvæmdastjórnin beitir.  Honum er heimilt að fella niður sekt eða févíti og hækka eða lækka fjárhæðir þeirra.“ </w:t>
      </w:r>
    </w:p>
    <w:p w:rsidR="00430165" w:rsidRPr="00430165" w:rsidRDefault="00320332">
      <w:pPr>
        <w:pStyle w:val="Point0"/>
        <w:spacing w:before="454" w:after="0"/>
        <w:ind w:left="283" w:hanging="283"/>
        <w:rPr>
          <w:rFonts w:ascii="Times New Roman" w:hAnsi="Times New Roman"/>
          <w:sz w:val="18"/>
        </w:rPr>
      </w:pPr>
      <w:r>
        <w:rPr>
          <w:rFonts w:ascii="Times New Roman" w:hAnsi="Times New Roman"/>
          <w:sz w:val="18"/>
        </w:rPr>
        <w:t xml:space="preserve">4) </w:t>
      </w:r>
      <w:r>
        <w:rPr>
          <w:rFonts w:ascii="Times New Roman" w:hAnsi="Times New Roman"/>
          <w:sz w:val="18"/>
        </w:rPr>
        <w:tab/>
        <w:t xml:space="preserve"> Eftirfarandi málsgreinar bætist við í 7. gr.: </w:t>
      </w:r>
    </w:p>
    <w:p w:rsidR="00430165" w:rsidRPr="00430165" w:rsidRDefault="00320332">
      <w:pPr>
        <w:pStyle w:val="Point0"/>
        <w:tabs>
          <w:tab w:val="left" w:pos="680"/>
        </w:tabs>
        <w:spacing w:before="454" w:after="0"/>
        <w:ind w:left="283" w:firstLine="0"/>
        <w:rPr>
          <w:rFonts w:ascii="Times New Roman" w:hAnsi="Times New Roman"/>
          <w:sz w:val="18"/>
        </w:rPr>
      </w:pPr>
      <w:r>
        <w:rPr>
          <w:rFonts w:ascii="Times New Roman" w:hAnsi="Times New Roman"/>
          <w:sz w:val="18"/>
        </w:rPr>
        <w:t xml:space="preserve">„8. </w:t>
      </w:r>
      <w:r>
        <w:rPr>
          <w:rFonts w:ascii="Times New Roman" w:hAnsi="Times New Roman"/>
          <w:sz w:val="18"/>
        </w:rPr>
        <w:tab/>
        <w:t>Áður en framkvæmdastjórnin tekur ákvörðun í samræmi við 2.–5. mgr. skal hún, innan frests sem skal að jafnaði ekki vera lengri en einn mánuður, gefa hlutaðeigandi aðildarríki tækifæri til að koma sjónarmiðum sínum á framfæri um þær upplýsingar sem framkvæmdastjórnin tekur við og hlutaðeigandi aðildarríki afhendir skv. 3. mgr. 6. gr. a.</w:t>
      </w:r>
    </w:p>
    <w:p w:rsidR="00430165" w:rsidRPr="00430165" w:rsidRDefault="00320332">
      <w:pPr>
        <w:pStyle w:val="Point0"/>
        <w:tabs>
          <w:tab w:val="left" w:pos="680"/>
        </w:tabs>
        <w:spacing w:before="454" w:after="0"/>
        <w:ind w:left="283" w:firstLine="0"/>
        <w:rPr>
          <w:rFonts w:ascii="Times New Roman" w:hAnsi="Times New Roman"/>
          <w:sz w:val="18"/>
        </w:rPr>
      </w:pPr>
      <w:r>
        <w:rPr>
          <w:rFonts w:ascii="Times New Roman" w:hAnsi="Times New Roman"/>
          <w:sz w:val="18"/>
        </w:rPr>
        <w:t xml:space="preserve">9. </w:t>
      </w:r>
      <w:r>
        <w:rPr>
          <w:rFonts w:ascii="Times New Roman" w:hAnsi="Times New Roman"/>
          <w:sz w:val="18"/>
        </w:rPr>
        <w:tab/>
        <w:t xml:space="preserve">Framkvæmdastjórnin skal ekki nota trúnaðarupplýsingar frá svarendum, sem ekki er hægt að safna saman í heild eða halda nafnlausum á annan hátt, í neinni ákvörðun, sem er tekin í samræmi við 2.–5. mgr., nema hún hafi fengið leyfi þeirra til að afhenda hlutaðeigandi </w:t>
      </w:r>
      <w:r>
        <w:rPr>
          <w:rFonts w:ascii="Times New Roman" w:hAnsi="Times New Roman"/>
          <w:sz w:val="18"/>
        </w:rPr>
        <w:lastRenderedPageBreak/>
        <w:t>aðildarríki þær upplýsingar. Framkvæmdastjórnin getur tekið rökstudda ákvörðun, sem skal tilkynnt hlutaðeigandi fyrirtæki eða samtökum fyrirtækja, þegar hún kemst að raun um að upplýsingar, sem svarandi hefur merkt sem trúnaðarupplýsingar, njóta ekki verndar og setur frest að því er varðar birtingu upplýsinganna. Þessi frestur skal ekki vera skemmri en einn mánuður.</w:t>
      </w:r>
    </w:p>
    <w:p w:rsidR="00430165" w:rsidRPr="00430165" w:rsidRDefault="00320332">
      <w:pPr>
        <w:pStyle w:val="Point0"/>
        <w:tabs>
          <w:tab w:val="left" w:pos="680"/>
        </w:tabs>
        <w:spacing w:before="369" w:after="0"/>
        <w:ind w:left="283" w:firstLine="0"/>
        <w:rPr>
          <w:rFonts w:ascii="Times New Roman" w:hAnsi="Times New Roman"/>
          <w:sz w:val="18"/>
        </w:rPr>
      </w:pPr>
      <w:r>
        <w:rPr>
          <w:rFonts w:ascii="Times New Roman" w:hAnsi="Times New Roman"/>
          <w:sz w:val="18"/>
        </w:rPr>
        <w:t xml:space="preserve">10. </w:t>
      </w:r>
      <w:r>
        <w:rPr>
          <w:rFonts w:ascii="Times New Roman" w:hAnsi="Times New Roman"/>
          <w:sz w:val="18"/>
        </w:rPr>
        <w:tab/>
        <w:t>Framkvæmdastjórnin skal taka tilhlýðilegt tillit til réttmætra hagsmuna fyrirtækja sem vilja varðveita viðskiptaleyndarmál sín og aðrar trúnaðarupplýsingar. Fyrirtæki eða samtök fyrirtækja, sem veita upplýsingar skv. 6. gr. a, og sem eru ekki þiggjendur aðstoðar að því er varðar viðkomandi ríkisaðstoðarráðstöfun, geta farið fram á að hlutaðeigandi aðildarríki fái ekki vitneskju um hver þau eru vegna þess að það geti skaðað þau.“</w:t>
      </w:r>
    </w:p>
    <w:p w:rsidR="00430165" w:rsidRPr="00430165" w:rsidRDefault="00320332">
      <w:pPr>
        <w:pStyle w:val="Point0"/>
        <w:spacing w:before="369" w:after="0"/>
        <w:ind w:left="283" w:hanging="283"/>
        <w:rPr>
          <w:rFonts w:ascii="Times New Roman" w:hAnsi="Times New Roman"/>
          <w:sz w:val="18"/>
        </w:rPr>
      </w:pPr>
      <w:r>
        <w:rPr>
          <w:rFonts w:ascii="Times New Roman" w:hAnsi="Times New Roman"/>
          <w:sz w:val="18"/>
        </w:rPr>
        <w:t xml:space="preserve">5) </w:t>
      </w:r>
      <w:r>
        <w:rPr>
          <w:rFonts w:ascii="Times New Roman" w:hAnsi="Times New Roman"/>
          <w:sz w:val="18"/>
        </w:rPr>
        <w:tab/>
        <w:t>Í stað 1. og 2. mgr. 10. gr. komi eftirfarandi:</w:t>
      </w:r>
    </w:p>
    <w:p w:rsidR="00430165" w:rsidRPr="00430165" w:rsidRDefault="00320332">
      <w:pPr>
        <w:pStyle w:val="Point0"/>
        <w:tabs>
          <w:tab w:val="left" w:pos="680"/>
        </w:tabs>
        <w:spacing w:before="369" w:after="0"/>
        <w:ind w:left="283" w:firstLine="0"/>
        <w:rPr>
          <w:rFonts w:ascii="Times New Roman" w:hAnsi="Times New Roman"/>
          <w:sz w:val="18"/>
        </w:rPr>
      </w:pPr>
      <w:r>
        <w:rPr>
          <w:rFonts w:ascii="Times New Roman" w:hAnsi="Times New Roman"/>
          <w:sz w:val="18"/>
        </w:rPr>
        <w:t xml:space="preserve">„1. </w:t>
      </w:r>
      <w:r>
        <w:rPr>
          <w:rFonts w:ascii="Times New Roman" w:hAnsi="Times New Roman"/>
          <w:sz w:val="18"/>
        </w:rPr>
        <w:tab/>
        <w:t>Með fyrirvara um 20. gr. getur framkvæmdastjórnin að eigin frumkvæði kannað upplýsingar um meinta ólöglega aðstoð, hvaðan sem þær eru upprunnar.</w:t>
      </w:r>
    </w:p>
    <w:p w:rsidR="00430165" w:rsidRPr="00430165" w:rsidRDefault="00320332">
      <w:pPr>
        <w:pStyle w:val="Point0"/>
        <w:tabs>
          <w:tab w:val="left" w:pos="680"/>
        </w:tabs>
        <w:spacing w:before="369" w:after="0"/>
        <w:ind w:left="283" w:firstLine="0"/>
        <w:rPr>
          <w:rFonts w:ascii="Times New Roman" w:hAnsi="Times New Roman"/>
          <w:sz w:val="18"/>
        </w:rPr>
      </w:pPr>
      <w:r>
        <w:rPr>
          <w:rFonts w:ascii="Times New Roman" w:hAnsi="Times New Roman"/>
          <w:sz w:val="18"/>
        </w:rPr>
        <w:t xml:space="preserve">Framkvæmdastjórnin skal án ástæðulausrar tafar taka til athugunar allar kvartanir sem hagsmunaaðili afhendir í samræmi við 2. mgr. 20. gr. og sjá til þess að hlutaðeigandi aðildarríki séu að fullu og með reglubundnum hætti upplýst um framvindu og niðurstöðu athugunarinnar. </w:t>
      </w:r>
    </w:p>
    <w:p w:rsidR="00430165" w:rsidRPr="00430165" w:rsidRDefault="00320332">
      <w:pPr>
        <w:pStyle w:val="Point0"/>
        <w:tabs>
          <w:tab w:val="left" w:pos="680"/>
        </w:tabs>
        <w:spacing w:before="369" w:after="0"/>
        <w:ind w:left="283" w:firstLine="0"/>
        <w:rPr>
          <w:rFonts w:ascii="Times New Roman" w:hAnsi="Times New Roman"/>
          <w:sz w:val="18"/>
        </w:rPr>
      </w:pPr>
      <w:r>
        <w:rPr>
          <w:rFonts w:ascii="Times New Roman" w:hAnsi="Times New Roman"/>
          <w:sz w:val="18"/>
        </w:rPr>
        <w:t>2.</w:t>
      </w:r>
      <w:r>
        <w:rPr>
          <w:rFonts w:ascii="Times New Roman" w:hAnsi="Times New Roman"/>
          <w:sz w:val="18"/>
        </w:rPr>
        <w:tab/>
        <w:t>Ef nauðsyn krefur skal framkvæmdastjórnin óska eftir upplýsingum frá hlutaðeigandi aðildarríki. Ákvæði 2. mgr. 2. gr. og 1. og 2. mgr. 5. gr. skulu gilda að breyttu breytanda.</w:t>
      </w:r>
    </w:p>
    <w:p w:rsidR="00430165" w:rsidRPr="00430165" w:rsidRDefault="00320332">
      <w:pPr>
        <w:pStyle w:val="Point0"/>
        <w:tabs>
          <w:tab w:val="left" w:pos="680"/>
        </w:tabs>
        <w:spacing w:before="369" w:after="0"/>
        <w:ind w:left="283" w:firstLine="0"/>
        <w:rPr>
          <w:rFonts w:ascii="Times New Roman" w:hAnsi="Times New Roman"/>
          <w:sz w:val="18"/>
        </w:rPr>
      </w:pPr>
      <w:r>
        <w:rPr>
          <w:rFonts w:ascii="Times New Roman" w:hAnsi="Times New Roman"/>
          <w:sz w:val="18"/>
        </w:rPr>
        <w:t>Þegar formleg rannsókn er hafin getur framkvæmdastjórnin einnig farið fram á að annað aðildarríki, fyrirtæki eða samtök fyrirtækja afhendi upplýsingar í samræmi við 6. gr. b, sem skal gilda að breyttu breytanda</w:t>
      </w:r>
      <w:r>
        <w:t>.“</w:t>
      </w:r>
    </w:p>
    <w:p w:rsidR="00430165" w:rsidRPr="00430165" w:rsidRDefault="00320332">
      <w:pPr>
        <w:pStyle w:val="Point0"/>
        <w:spacing w:before="369" w:after="0"/>
        <w:ind w:left="283" w:hanging="283"/>
        <w:rPr>
          <w:rFonts w:ascii="Times New Roman" w:hAnsi="Times New Roman"/>
          <w:sz w:val="18"/>
        </w:rPr>
      </w:pPr>
      <w:r>
        <w:rPr>
          <w:rFonts w:ascii="Times New Roman" w:hAnsi="Times New Roman"/>
          <w:sz w:val="18"/>
        </w:rPr>
        <w:t xml:space="preserve">6) </w:t>
      </w:r>
      <w:r>
        <w:rPr>
          <w:rFonts w:ascii="Times New Roman" w:hAnsi="Times New Roman"/>
          <w:sz w:val="18"/>
        </w:rPr>
        <w:tab/>
        <w:t>Eftirfarandi kaflaheiti bætist við á eftir 14. gr.:</w:t>
      </w:r>
    </w:p>
    <w:p w:rsidR="00430165" w:rsidRPr="00430165" w:rsidRDefault="00320332">
      <w:pPr>
        <w:pStyle w:val="SectionTitle"/>
        <w:spacing w:before="113" w:after="0"/>
        <w:ind w:left="283"/>
        <w:jc w:val="both"/>
        <w:rPr>
          <w:rFonts w:ascii="Times New Roman" w:hAnsi="Times New Roman" w:cs="TimesNewRomanPSMT"/>
          <w:b w:val="0"/>
          <w:bCs w:val="0"/>
          <w:sz w:val="18"/>
        </w:rPr>
      </w:pPr>
      <w:r>
        <w:rPr>
          <w:rFonts w:ascii="Times New Roman" w:hAnsi="Times New Roman"/>
          <w:sz w:val="18"/>
        </w:rPr>
        <w:lastRenderedPageBreak/>
        <w:t>„III. KAFLI A</w:t>
      </w:r>
    </w:p>
    <w:p w:rsidR="00430165" w:rsidRPr="00430165" w:rsidRDefault="00320332">
      <w:pPr>
        <w:pStyle w:val="SectionTitle"/>
        <w:spacing w:before="113" w:after="0"/>
        <w:ind w:left="283"/>
        <w:jc w:val="both"/>
        <w:rPr>
          <w:rFonts w:ascii="Times New Roman" w:hAnsi="Times New Roman"/>
          <w:sz w:val="18"/>
        </w:rPr>
      </w:pPr>
      <w:r>
        <w:rPr>
          <w:rFonts w:ascii="Times New Roman" w:hAnsi="Times New Roman"/>
          <w:sz w:val="18"/>
        </w:rPr>
        <w:t>FYRNINGARFRESTIR“.</w:t>
      </w:r>
    </w:p>
    <w:p w:rsidR="00430165" w:rsidRPr="00430165" w:rsidRDefault="00430165">
      <w:pPr>
        <w:pStyle w:val="Point0"/>
        <w:spacing w:before="113" w:after="0"/>
        <w:ind w:left="283" w:hanging="283"/>
        <w:rPr>
          <w:rFonts w:ascii="Times New Roman" w:hAnsi="Times New Roman"/>
          <w:sz w:val="18"/>
        </w:rPr>
      </w:pPr>
    </w:p>
    <w:p w:rsidR="00430165" w:rsidRPr="00430165" w:rsidRDefault="00320332">
      <w:pPr>
        <w:pStyle w:val="Point0"/>
        <w:spacing w:before="113" w:after="0"/>
        <w:ind w:left="283" w:hanging="283"/>
        <w:rPr>
          <w:rFonts w:ascii="Times New Roman" w:hAnsi="Times New Roman"/>
          <w:sz w:val="18"/>
        </w:rPr>
      </w:pPr>
      <w:r>
        <w:rPr>
          <w:rFonts w:ascii="Times New Roman" w:hAnsi="Times New Roman"/>
          <w:sz w:val="18"/>
        </w:rPr>
        <w:t xml:space="preserve">7) </w:t>
      </w:r>
      <w:r>
        <w:rPr>
          <w:rFonts w:ascii="Times New Roman" w:hAnsi="Times New Roman"/>
          <w:sz w:val="18"/>
        </w:rPr>
        <w:tab/>
        <w:t>Í stað fyrirsagnar 15. gr. komi eftirfarandi:</w:t>
      </w:r>
    </w:p>
    <w:p w:rsidR="00430165" w:rsidRPr="00430165" w:rsidRDefault="00320332">
      <w:pPr>
        <w:pStyle w:val="NormalCentered"/>
        <w:spacing w:before="113" w:after="0"/>
        <w:ind w:left="283"/>
        <w:jc w:val="both"/>
        <w:rPr>
          <w:rFonts w:ascii="Times New Roman" w:hAnsi="Times New Roman" w:cs="TimesNewRomanPS-BoldMT"/>
          <w:b/>
          <w:bCs/>
          <w:sz w:val="18"/>
        </w:rPr>
      </w:pPr>
      <w:r>
        <w:rPr>
          <w:rFonts w:ascii="Times New Roman" w:hAnsi="Times New Roman"/>
          <w:b/>
          <w:sz w:val="18"/>
        </w:rPr>
        <w:t>„Fyrningarfrestur vegna endurgreiðslu aðstoðar“</w:t>
      </w:r>
    </w:p>
    <w:p w:rsidR="00430165" w:rsidRPr="00430165" w:rsidRDefault="00430165">
      <w:pPr>
        <w:pStyle w:val="Point0"/>
        <w:spacing w:before="113" w:after="0"/>
        <w:ind w:left="283" w:hanging="283"/>
        <w:rPr>
          <w:rFonts w:ascii="Times New Roman" w:hAnsi="Times New Roman"/>
          <w:sz w:val="18"/>
        </w:rPr>
      </w:pPr>
    </w:p>
    <w:p w:rsidR="00430165" w:rsidRPr="00430165" w:rsidRDefault="00320332">
      <w:pPr>
        <w:pStyle w:val="Point0"/>
        <w:spacing w:before="113" w:after="0"/>
        <w:ind w:left="283" w:hanging="283"/>
        <w:rPr>
          <w:rFonts w:ascii="Times New Roman" w:hAnsi="Times New Roman"/>
          <w:sz w:val="18"/>
        </w:rPr>
      </w:pPr>
      <w:r>
        <w:rPr>
          <w:rFonts w:ascii="Times New Roman" w:hAnsi="Times New Roman"/>
          <w:sz w:val="18"/>
        </w:rPr>
        <w:t xml:space="preserve">8) </w:t>
      </w:r>
      <w:r>
        <w:rPr>
          <w:rFonts w:ascii="Times New Roman" w:hAnsi="Times New Roman"/>
          <w:sz w:val="18"/>
        </w:rPr>
        <w:tab/>
        <w:t>Eftirfarandi greinar bætist við:</w:t>
      </w:r>
    </w:p>
    <w:p w:rsidR="00430165" w:rsidRPr="00430165" w:rsidRDefault="00320332">
      <w:pPr>
        <w:pStyle w:val="Titrearticle"/>
        <w:spacing w:before="113" w:after="0"/>
        <w:ind w:left="283"/>
        <w:jc w:val="both"/>
        <w:rPr>
          <w:rFonts w:ascii="Times New Roman" w:hAnsi="Times New Roman"/>
          <w:sz w:val="18"/>
        </w:rPr>
      </w:pPr>
      <w:r>
        <w:rPr>
          <w:rFonts w:ascii="Times New Roman" w:hAnsi="Times New Roman"/>
          <w:sz w:val="18"/>
        </w:rPr>
        <w:t>„15. gr. a</w:t>
      </w:r>
    </w:p>
    <w:p w:rsidR="00430165" w:rsidRPr="00430165" w:rsidRDefault="00320332">
      <w:pPr>
        <w:pStyle w:val="NormalCentered"/>
        <w:spacing w:before="113" w:after="0"/>
        <w:ind w:left="283"/>
        <w:jc w:val="both"/>
        <w:rPr>
          <w:rFonts w:ascii="Times New Roman" w:hAnsi="Times New Roman"/>
          <w:sz w:val="18"/>
        </w:rPr>
      </w:pPr>
      <w:r>
        <w:rPr>
          <w:rFonts w:ascii="Times New Roman" w:hAnsi="Times New Roman"/>
          <w:b/>
          <w:sz w:val="18"/>
        </w:rPr>
        <w:t xml:space="preserve">Fyrningarfrestur vegna álagningar sekta og févíta </w:t>
      </w:r>
    </w:p>
    <w:p w:rsidR="00430165" w:rsidRPr="00430165" w:rsidRDefault="00320332">
      <w:pPr>
        <w:pStyle w:val="Point0"/>
        <w:tabs>
          <w:tab w:val="left" w:pos="680"/>
        </w:tabs>
        <w:spacing w:before="113" w:after="0"/>
        <w:ind w:left="283" w:firstLine="0"/>
        <w:rPr>
          <w:rFonts w:ascii="Times New Roman" w:hAnsi="Times New Roman"/>
          <w:sz w:val="18"/>
        </w:rPr>
      </w:pPr>
      <w:r>
        <w:rPr>
          <w:rFonts w:ascii="Times New Roman" w:hAnsi="Times New Roman"/>
          <w:sz w:val="18"/>
        </w:rPr>
        <w:t>1.</w:t>
      </w:r>
      <w:r>
        <w:rPr>
          <w:rFonts w:ascii="Times New Roman" w:hAnsi="Times New Roman"/>
          <w:sz w:val="18"/>
        </w:rPr>
        <w:tab/>
        <w:t>Það vald, sem framkvæmdastjórninni er veitt skv. 6. gr. b, skal vera með fyrirvara um þriggja ára fyrningarfrest.</w:t>
      </w:r>
    </w:p>
    <w:p w:rsidR="00430165" w:rsidRPr="00430165" w:rsidRDefault="00320332">
      <w:pPr>
        <w:pStyle w:val="Point0"/>
        <w:tabs>
          <w:tab w:val="left" w:pos="680"/>
        </w:tabs>
        <w:spacing w:before="113" w:after="0"/>
        <w:ind w:left="283" w:firstLine="0"/>
        <w:rPr>
          <w:rFonts w:ascii="Times New Roman" w:hAnsi="Times New Roman"/>
          <w:sz w:val="18"/>
        </w:rPr>
      </w:pPr>
      <w:r>
        <w:rPr>
          <w:rFonts w:ascii="Times New Roman" w:hAnsi="Times New Roman"/>
          <w:sz w:val="18"/>
        </w:rPr>
        <w:t>2.</w:t>
      </w:r>
      <w:r>
        <w:rPr>
          <w:rFonts w:ascii="Times New Roman" w:hAnsi="Times New Roman"/>
          <w:sz w:val="18"/>
        </w:rPr>
        <w:tab/>
        <w:t>Fresturinn, sem kveðið er á um í 1. mgr., hefst daginn sem brotið, sem um getur í 6. gr. b, er framið. Sé hins vegar um áframhaldandi eða endurtekin brot að ræða skal fresturinn talinn frá þeim degi er brotinu lýkur.</w:t>
      </w:r>
    </w:p>
    <w:p w:rsidR="00430165" w:rsidRPr="00430165" w:rsidRDefault="00320332">
      <w:pPr>
        <w:pStyle w:val="Point0"/>
        <w:tabs>
          <w:tab w:val="left" w:pos="680"/>
        </w:tabs>
        <w:spacing w:before="454" w:after="0"/>
        <w:ind w:left="283" w:firstLine="0"/>
        <w:rPr>
          <w:rFonts w:ascii="Times New Roman" w:hAnsi="Times New Roman"/>
          <w:sz w:val="18"/>
        </w:rPr>
      </w:pPr>
      <w:r>
        <w:rPr>
          <w:rFonts w:ascii="Times New Roman" w:hAnsi="Times New Roman"/>
          <w:sz w:val="18"/>
        </w:rPr>
        <w:t>3.</w:t>
      </w:r>
      <w:r>
        <w:rPr>
          <w:rFonts w:ascii="Times New Roman" w:hAnsi="Times New Roman"/>
          <w:sz w:val="18"/>
        </w:rPr>
        <w:tab/>
        <w:t>Allar aðgerðir framkvæmdastjórnarinnar, sem varða rannsókn eða málsmeðferð vegna brots, sem um getur í 6. gr. b, rjúfa fyrningarfrest vegna álagningar sekta eða févíta frá og með þeim degi sem hlutaðeigandi fyrirtæki eða samtökum fyrirtækja er tilkynnt um aðgerðirnar.</w:t>
      </w:r>
    </w:p>
    <w:p w:rsidR="00430165" w:rsidRPr="00430165" w:rsidRDefault="00320332">
      <w:pPr>
        <w:pStyle w:val="Point0"/>
        <w:tabs>
          <w:tab w:val="left" w:pos="680"/>
        </w:tabs>
        <w:spacing w:before="454" w:after="0"/>
        <w:ind w:left="283" w:firstLine="0"/>
        <w:rPr>
          <w:rFonts w:ascii="Times New Roman" w:hAnsi="Times New Roman"/>
          <w:sz w:val="18"/>
        </w:rPr>
      </w:pPr>
      <w:r>
        <w:rPr>
          <w:rFonts w:ascii="Times New Roman" w:hAnsi="Times New Roman"/>
          <w:sz w:val="18"/>
        </w:rPr>
        <w:t>4.</w:t>
      </w:r>
      <w:r>
        <w:rPr>
          <w:rFonts w:ascii="Times New Roman" w:hAnsi="Times New Roman"/>
          <w:sz w:val="18"/>
        </w:rPr>
        <w:tab/>
        <w:t>Í hvert sinn sem fyrningarfrestur er rofinn hefst jafnlangur frestur að nýju. Fyrningarfrestur rennur þó út eigi síðar en á þeim degi sem sex ár eru liðin án þess að framkvæmdastjórnin hafi ákvarðað sekt eða févíti. Framlengja skal frestinn sem þeim tíma nemur er hlé er gert á fyrningarfrestinum í samræmi við 5. mgr.</w:t>
      </w:r>
    </w:p>
    <w:p w:rsidR="00430165" w:rsidRPr="00430165" w:rsidRDefault="00320332">
      <w:pPr>
        <w:pStyle w:val="Point0"/>
        <w:tabs>
          <w:tab w:val="left" w:pos="680"/>
        </w:tabs>
        <w:spacing w:before="454" w:after="0"/>
        <w:ind w:left="283" w:firstLine="0"/>
        <w:rPr>
          <w:rFonts w:ascii="Times New Roman" w:hAnsi="Times New Roman"/>
          <w:sz w:val="18"/>
        </w:rPr>
      </w:pPr>
      <w:r>
        <w:rPr>
          <w:rFonts w:ascii="Times New Roman" w:hAnsi="Times New Roman"/>
          <w:sz w:val="18"/>
        </w:rPr>
        <w:t>5.</w:t>
      </w:r>
      <w:r>
        <w:rPr>
          <w:rFonts w:ascii="Times New Roman" w:hAnsi="Times New Roman"/>
          <w:sz w:val="18"/>
        </w:rPr>
        <w:tab/>
        <w:t>Gera skal hlé á fyrningarfrestinum vegna álagningar sekta eða févíta á meðan ákvörðun framkvæmdastjórnarinnar er til meðferðar hjá Evrópudómstólnum.</w:t>
      </w:r>
    </w:p>
    <w:p w:rsidR="00430165" w:rsidRPr="00430165" w:rsidRDefault="00320332">
      <w:pPr>
        <w:pStyle w:val="Titrearticle"/>
        <w:tabs>
          <w:tab w:val="left" w:pos="680"/>
        </w:tabs>
        <w:spacing w:before="454" w:after="0"/>
        <w:ind w:left="283"/>
        <w:jc w:val="both"/>
        <w:rPr>
          <w:rFonts w:ascii="Times New Roman" w:hAnsi="Times New Roman"/>
          <w:sz w:val="18"/>
        </w:rPr>
      </w:pPr>
      <w:r>
        <w:rPr>
          <w:rFonts w:ascii="Times New Roman" w:hAnsi="Times New Roman"/>
          <w:sz w:val="18"/>
        </w:rPr>
        <w:lastRenderedPageBreak/>
        <w:t>15. gr. b</w:t>
      </w:r>
    </w:p>
    <w:p w:rsidR="00430165" w:rsidRPr="00430165" w:rsidRDefault="00320332">
      <w:pPr>
        <w:pStyle w:val="NormalCentered"/>
        <w:tabs>
          <w:tab w:val="left" w:pos="680"/>
        </w:tabs>
        <w:spacing w:before="113" w:after="0"/>
        <w:ind w:left="283"/>
        <w:jc w:val="both"/>
        <w:rPr>
          <w:rFonts w:ascii="Times New Roman" w:hAnsi="Times New Roman"/>
          <w:sz w:val="18"/>
        </w:rPr>
      </w:pPr>
      <w:r>
        <w:rPr>
          <w:rFonts w:ascii="Times New Roman" w:hAnsi="Times New Roman"/>
          <w:b/>
          <w:sz w:val="18"/>
        </w:rPr>
        <w:t>Fyrningarfrestir vegna fullnustu sekta og févíta</w:t>
      </w:r>
    </w:p>
    <w:p w:rsidR="00430165" w:rsidRPr="00430165" w:rsidRDefault="00320332">
      <w:pPr>
        <w:pStyle w:val="Point0"/>
        <w:tabs>
          <w:tab w:val="left" w:pos="680"/>
        </w:tabs>
        <w:spacing w:before="113" w:after="0"/>
        <w:ind w:left="283" w:firstLine="0"/>
        <w:rPr>
          <w:rFonts w:ascii="Times New Roman" w:hAnsi="Times New Roman"/>
          <w:sz w:val="18"/>
        </w:rPr>
      </w:pPr>
      <w:r>
        <w:rPr>
          <w:rFonts w:ascii="Times New Roman" w:hAnsi="Times New Roman"/>
          <w:sz w:val="18"/>
        </w:rPr>
        <w:t>1.</w:t>
      </w:r>
      <w:r>
        <w:rPr>
          <w:rFonts w:ascii="Times New Roman" w:hAnsi="Times New Roman"/>
          <w:sz w:val="18"/>
        </w:rPr>
        <w:tab/>
        <w:t>Það vald, sem framkvæmdastjórnin hefur til fullnustu ákvarðana, sem eru teknar skv. 6. gr. b, skal vera með fyrirvara um fimm ára fyrningarfrest.</w:t>
      </w:r>
    </w:p>
    <w:p w:rsidR="00430165" w:rsidRPr="00430165" w:rsidRDefault="00320332">
      <w:pPr>
        <w:pStyle w:val="Point0"/>
        <w:tabs>
          <w:tab w:val="left" w:pos="680"/>
        </w:tabs>
        <w:spacing w:before="454" w:after="0"/>
        <w:ind w:left="283" w:firstLine="0"/>
        <w:rPr>
          <w:rFonts w:ascii="Times New Roman" w:hAnsi="Times New Roman"/>
          <w:sz w:val="18"/>
        </w:rPr>
      </w:pPr>
      <w:r>
        <w:rPr>
          <w:rFonts w:ascii="Times New Roman" w:hAnsi="Times New Roman"/>
          <w:sz w:val="18"/>
        </w:rPr>
        <w:t>2.</w:t>
      </w:r>
      <w:r>
        <w:rPr>
          <w:rFonts w:ascii="Times New Roman" w:hAnsi="Times New Roman"/>
          <w:sz w:val="18"/>
        </w:rPr>
        <w:tab/>
        <w:t>Fresturinn, sem kveðið er á um í 1. mgr., hefst daginn sem ákvörðunin, sem er tekin skv. 6. gr. b, verður endanleg.</w:t>
      </w:r>
    </w:p>
    <w:p w:rsidR="00430165" w:rsidRPr="00430165" w:rsidRDefault="00320332">
      <w:pPr>
        <w:pStyle w:val="Point0"/>
        <w:tabs>
          <w:tab w:val="left" w:pos="680"/>
        </w:tabs>
        <w:spacing w:before="454" w:after="0"/>
        <w:ind w:left="283" w:firstLine="0"/>
        <w:rPr>
          <w:rFonts w:ascii="Times New Roman" w:hAnsi="Times New Roman"/>
          <w:sz w:val="18"/>
        </w:rPr>
      </w:pPr>
      <w:r>
        <w:rPr>
          <w:rFonts w:ascii="Times New Roman" w:hAnsi="Times New Roman"/>
          <w:sz w:val="18"/>
        </w:rPr>
        <w:t>3.</w:t>
      </w:r>
      <w:r>
        <w:rPr>
          <w:rFonts w:ascii="Times New Roman" w:hAnsi="Times New Roman"/>
          <w:sz w:val="18"/>
        </w:rPr>
        <w:tab/>
        <w:t>Rjúfa skal fyrningarfrest, sem um getur í 1. mgr., þegar:</w:t>
      </w:r>
    </w:p>
    <w:p w:rsidR="00430165" w:rsidRPr="00430165" w:rsidRDefault="00320332">
      <w:pPr>
        <w:pStyle w:val="Point1"/>
        <w:spacing w:before="454" w:after="0"/>
        <w:ind w:left="567" w:hanging="283"/>
        <w:rPr>
          <w:rFonts w:ascii="Times New Roman" w:hAnsi="Times New Roman"/>
          <w:sz w:val="18"/>
        </w:rPr>
      </w:pPr>
      <w:r>
        <w:rPr>
          <w:rFonts w:ascii="Times New Roman" w:hAnsi="Times New Roman"/>
          <w:sz w:val="18"/>
        </w:rPr>
        <w:t xml:space="preserve">a) </w:t>
      </w:r>
      <w:r>
        <w:rPr>
          <w:rFonts w:ascii="Times New Roman" w:hAnsi="Times New Roman"/>
          <w:sz w:val="18"/>
        </w:rPr>
        <w:tab/>
        <w:t>tilkynnt er um ákvörðun um breytingu á upphaflegri fjárhæð sektar eða févítis eða þegar umsókn um breytingu er hafnað,</w:t>
      </w:r>
    </w:p>
    <w:p w:rsidR="00430165" w:rsidRPr="00430165" w:rsidRDefault="00320332">
      <w:pPr>
        <w:pStyle w:val="Point1"/>
        <w:spacing w:before="454" w:after="0"/>
        <w:ind w:left="567" w:hanging="283"/>
        <w:rPr>
          <w:rFonts w:ascii="Times New Roman" w:hAnsi="Times New Roman"/>
          <w:sz w:val="18"/>
        </w:rPr>
      </w:pPr>
      <w:r>
        <w:rPr>
          <w:rFonts w:ascii="Times New Roman" w:hAnsi="Times New Roman"/>
          <w:sz w:val="18"/>
        </w:rPr>
        <w:t xml:space="preserve">b) </w:t>
      </w:r>
      <w:r>
        <w:rPr>
          <w:rFonts w:ascii="Times New Roman" w:hAnsi="Times New Roman"/>
          <w:sz w:val="18"/>
        </w:rPr>
        <w:tab/>
        <w:t>aðildarríki, að beiðni framkvæmdastjórnarinnar, eða framkvæmdastjórnin hefst handa í þeim tilgangi að knýja fram greiðslu á sekt eða févíti.</w:t>
      </w:r>
    </w:p>
    <w:p w:rsidR="00430165" w:rsidRPr="00430165" w:rsidRDefault="00320332">
      <w:pPr>
        <w:pStyle w:val="Point0"/>
        <w:tabs>
          <w:tab w:val="left" w:pos="680"/>
        </w:tabs>
        <w:spacing w:before="113" w:after="0"/>
        <w:ind w:left="283" w:firstLine="0"/>
        <w:rPr>
          <w:rFonts w:ascii="Times New Roman" w:hAnsi="Times New Roman"/>
          <w:sz w:val="18"/>
        </w:rPr>
      </w:pPr>
      <w:r>
        <w:rPr>
          <w:rFonts w:ascii="Times New Roman" w:hAnsi="Times New Roman"/>
          <w:sz w:val="18"/>
        </w:rPr>
        <w:t>4.</w:t>
      </w:r>
      <w:r>
        <w:rPr>
          <w:rFonts w:ascii="Times New Roman" w:hAnsi="Times New Roman"/>
          <w:sz w:val="18"/>
        </w:rPr>
        <w:tab/>
        <w:t>Í hvert sinn sem fyrningarfrestur er rofinn hefst jafnlangur frestur að nýju.</w:t>
      </w:r>
    </w:p>
    <w:p w:rsidR="00430165" w:rsidRPr="00430165" w:rsidRDefault="00320332">
      <w:pPr>
        <w:pStyle w:val="Point0"/>
        <w:tabs>
          <w:tab w:val="left" w:pos="680"/>
        </w:tabs>
        <w:spacing w:before="510" w:after="0"/>
        <w:ind w:left="283" w:firstLine="0"/>
        <w:rPr>
          <w:rFonts w:ascii="Times New Roman" w:hAnsi="Times New Roman"/>
          <w:sz w:val="18"/>
        </w:rPr>
      </w:pPr>
      <w:r>
        <w:rPr>
          <w:rFonts w:ascii="Times New Roman" w:hAnsi="Times New Roman"/>
          <w:sz w:val="18"/>
        </w:rPr>
        <w:t>5.</w:t>
      </w:r>
      <w:r>
        <w:rPr>
          <w:rFonts w:ascii="Times New Roman" w:hAnsi="Times New Roman"/>
          <w:sz w:val="18"/>
        </w:rPr>
        <w:tab/>
        <w:t>Gera skal hlé á fyrningarfrestinum, sem kveðið er á um í 1. mgr., á meðan:</w:t>
      </w:r>
    </w:p>
    <w:p w:rsidR="00430165" w:rsidRPr="00430165" w:rsidRDefault="00320332">
      <w:pPr>
        <w:pStyle w:val="Point1"/>
        <w:spacing w:before="510" w:after="0"/>
        <w:ind w:left="567" w:hanging="283"/>
        <w:rPr>
          <w:rFonts w:ascii="Times New Roman" w:hAnsi="Times New Roman"/>
          <w:sz w:val="18"/>
        </w:rPr>
      </w:pPr>
      <w:r>
        <w:rPr>
          <w:rFonts w:ascii="Times New Roman" w:hAnsi="Times New Roman"/>
          <w:sz w:val="18"/>
        </w:rPr>
        <w:t xml:space="preserve">a) </w:t>
      </w:r>
      <w:r>
        <w:rPr>
          <w:rFonts w:ascii="Times New Roman" w:hAnsi="Times New Roman"/>
          <w:sz w:val="18"/>
        </w:rPr>
        <w:tab/>
        <w:t>svaranda er veittur greiðslufrestur,</w:t>
      </w:r>
    </w:p>
    <w:p w:rsidR="00430165" w:rsidRPr="00430165" w:rsidRDefault="00320332">
      <w:pPr>
        <w:pStyle w:val="Point1"/>
        <w:spacing w:before="510" w:after="0"/>
        <w:ind w:left="567" w:hanging="283"/>
        <w:rPr>
          <w:rFonts w:ascii="Times New Roman" w:hAnsi="Times New Roman"/>
          <w:sz w:val="18"/>
        </w:rPr>
      </w:pPr>
      <w:r>
        <w:rPr>
          <w:rFonts w:ascii="Times New Roman" w:hAnsi="Times New Roman"/>
          <w:sz w:val="18"/>
        </w:rPr>
        <w:t xml:space="preserve">b) </w:t>
      </w:r>
      <w:r>
        <w:rPr>
          <w:rFonts w:ascii="Times New Roman" w:hAnsi="Times New Roman"/>
          <w:sz w:val="18"/>
        </w:rPr>
        <w:tab/>
        <w:t>fullnustu greiðslu er skotið á frest samkvæmt ákvörðun Evrópudómstólsins.“</w:t>
      </w:r>
    </w:p>
    <w:p w:rsidR="00430165" w:rsidRPr="00430165" w:rsidRDefault="00320332">
      <w:pPr>
        <w:pStyle w:val="Point0"/>
        <w:spacing w:before="510" w:after="0"/>
        <w:ind w:left="283" w:hanging="283"/>
        <w:rPr>
          <w:rFonts w:ascii="Times New Roman" w:hAnsi="Times New Roman"/>
          <w:sz w:val="18"/>
        </w:rPr>
      </w:pPr>
      <w:r>
        <w:rPr>
          <w:rFonts w:ascii="Times New Roman" w:hAnsi="Times New Roman"/>
          <w:sz w:val="18"/>
        </w:rPr>
        <w:t xml:space="preserve">9) </w:t>
      </w:r>
      <w:r>
        <w:rPr>
          <w:rFonts w:ascii="Times New Roman" w:hAnsi="Times New Roman"/>
          <w:sz w:val="18"/>
        </w:rPr>
        <w:tab/>
        <w:t>Í stað 16. gr. komi eftirfarandi:</w:t>
      </w:r>
    </w:p>
    <w:p w:rsidR="00430165" w:rsidRPr="00430165" w:rsidRDefault="00320332">
      <w:pPr>
        <w:pStyle w:val="Titrearticle"/>
        <w:spacing w:before="510" w:after="0"/>
        <w:ind w:left="283"/>
        <w:jc w:val="both"/>
        <w:rPr>
          <w:rFonts w:ascii="Times New Roman" w:hAnsi="Times New Roman"/>
          <w:sz w:val="18"/>
        </w:rPr>
      </w:pPr>
      <w:r>
        <w:rPr>
          <w:rFonts w:ascii="Times New Roman" w:hAnsi="Times New Roman"/>
          <w:sz w:val="18"/>
        </w:rPr>
        <w:t>„16. gr.</w:t>
      </w:r>
    </w:p>
    <w:p w:rsidR="00430165" w:rsidRPr="00430165" w:rsidRDefault="00320332">
      <w:pPr>
        <w:pStyle w:val="NormalCentered"/>
        <w:spacing w:before="113" w:after="0"/>
        <w:ind w:left="283"/>
        <w:jc w:val="both"/>
        <w:rPr>
          <w:rFonts w:ascii="Times New Roman" w:hAnsi="Times New Roman" w:cs="TimesNewRomanPS-BoldMT"/>
          <w:b/>
          <w:bCs/>
          <w:sz w:val="18"/>
        </w:rPr>
      </w:pPr>
      <w:r>
        <w:rPr>
          <w:rFonts w:ascii="Times New Roman" w:hAnsi="Times New Roman"/>
          <w:b/>
          <w:sz w:val="18"/>
        </w:rPr>
        <w:t>Misnotkun aðstoðar</w:t>
      </w:r>
    </w:p>
    <w:p w:rsidR="00430165" w:rsidRPr="00430165" w:rsidRDefault="00320332">
      <w:pPr>
        <w:pStyle w:val="Point0"/>
        <w:spacing w:before="113" w:after="0"/>
        <w:ind w:left="283" w:firstLine="0"/>
        <w:rPr>
          <w:rFonts w:ascii="Times New Roman" w:hAnsi="Times New Roman"/>
          <w:sz w:val="18"/>
        </w:rPr>
      </w:pPr>
      <w:r>
        <w:rPr>
          <w:rFonts w:ascii="Times New Roman" w:hAnsi="Times New Roman"/>
          <w:sz w:val="18"/>
        </w:rPr>
        <w:lastRenderedPageBreak/>
        <w:t>Þegar um misnotkun aðstoðar er að ræða er framkvæmdastjórninni heimilt, með fyrirvara um 23. gr., að hefja formlega rannsókn skv. 4. mgr. 4. gr. Ákvæði 6. gr., 6. gr. a, 6. gr. b, 7., 9. og 10. gr., 1. mgr. 11. gr. og 12.–15. gr. skulu gilda að breyttu breytanda.“</w:t>
      </w:r>
    </w:p>
    <w:p w:rsidR="00430165" w:rsidRPr="00430165" w:rsidRDefault="00320332">
      <w:pPr>
        <w:pStyle w:val="Point0"/>
        <w:spacing w:before="454" w:after="0"/>
        <w:ind w:left="283" w:hanging="283"/>
        <w:rPr>
          <w:rFonts w:ascii="Times New Roman" w:hAnsi="Times New Roman"/>
          <w:sz w:val="18"/>
        </w:rPr>
      </w:pPr>
      <w:r>
        <w:rPr>
          <w:rFonts w:ascii="Times New Roman" w:hAnsi="Times New Roman"/>
          <w:sz w:val="18"/>
        </w:rPr>
        <w:t>10)</w:t>
      </w:r>
      <w:r>
        <w:rPr>
          <w:rFonts w:ascii="Times New Roman" w:hAnsi="Times New Roman"/>
          <w:sz w:val="18"/>
        </w:rPr>
        <w:tab/>
        <w:t>Í stað 2. mgr. 20. gr. komi eftirfarandi:</w:t>
      </w:r>
    </w:p>
    <w:p w:rsidR="00430165" w:rsidRPr="00430165" w:rsidRDefault="00320332">
      <w:pPr>
        <w:pStyle w:val="Point0"/>
        <w:tabs>
          <w:tab w:val="left" w:pos="680"/>
        </w:tabs>
        <w:spacing w:before="454" w:after="0"/>
        <w:ind w:left="283" w:firstLine="0"/>
        <w:rPr>
          <w:rFonts w:ascii="Times New Roman" w:hAnsi="Times New Roman"/>
          <w:sz w:val="18"/>
        </w:rPr>
      </w:pPr>
      <w:r>
        <w:rPr>
          <w:rFonts w:ascii="Times New Roman" w:hAnsi="Times New Roman"/>
          <w:sz w:val="18"/>
        </w:rPr>
        <w:t xml:space="preserve">„2. </w:t>
      </w:r>
      <w:r>
        <w:rPr>
          <w:rFonts w:ascii="Times New Roman" w:hAnsi="Times New Roman"/>
          <w:sz w:val="18"/>
        </w:rPr>
        <w:tab/>
        <w:t>Öllum hagsmunaaðilum er heimilt að leggja fram kvörtun til að gera framkvæmdastjórninni viðvart um meinta ólöglega aðstoð eða meinta misnotkun aðstoðar. Í því skyni skal hagsmunaaðilinn fylla út eyðublað sem hefur verið skilgreint í framkvæmdarákvæði sem um getur í 27. gr. og tilgreina allar umbeðnar skylduupplýsingar.</w:t>
      </w:r>
    </w:p>
    <w:p w:rsidR="00430165" w:rsidRPr="00430165" w:rsidRDefault="00320332">
      <w:pPr>
        <w:pStyle w:val="Point0"/>
        <w:spacing w:before="454" w:after="0"/>
        <w:ind w:left="283" w:hanging="283"/>
        <w:rPr>
          <w:rFonts w:ascii="Times New Roman" w:hAnsi="Times New Roman"/>
          <w:sz w:val="18"/>
        </w:rPr>
      </w:pPr>
      <w:r>
        <w:rPr>
          <w:rFonts w:ascii="Times New Roman" w:hAnsi="Times New Roman"/>
          <w:sz w:val="18"/>
        </w:rPr>
        <w:tab/>
        <w:t>Ef framkvæmdastjórnin telur að hagsmunaaðilinn fari ekki eftir skyldubundnu eyðublaði fyrir kvörtun eða að málsatvik og lagaatriði, sem hagsmunaaðilinn setur fram, veiti ekki næga ástæðu til þess að álykta, fljótt á litið, að fyrir liggi ólögleg aðstoð eða misnotkun aðstoðar skal hún tilkynna hagsmunaaðilanum það og hvetja hann til að leggja fram athugasemdir innan tilskilins frests sem skal að jafnaði ekki vera lengri en einn mánuður. Ef hagsmunaaðilinn kemur ekki sjónarmiðum sínum á framfæri innan tilskilins frests telst kvörtunin hafa verið dregin til baka. Framkvæmdastjórnin skal tilkynna hlutaðeigandi aðildarríki þegar kvörtun telst hafa verið dregin til baka.</w:t>
      </w:r>
    </w:p>
    <w:p w:rsidR="00430165" w:rsidRPr="00430165" w:rsidRDefault="00320332">
      <w:pPr>
        <w:pStyle w:val="Point0"/>
        <w:spacing w:before="454" w:after="0"/>
        <w:ind w:left="283" w:hanging="283"/>
        <w:rPr>
          <w:rFonts w:ascii="Times New Roman" w:hAnsi="Times New Roman"/>
          <w:sz w:val="18"/>
        </w:rPr>
      </w:pPr>
      <w:r>
        <w:rPr>
          <w:rFonts w:ascii="Times New Roman" w:hAnsi="Times New Roman"/>
          <w:sz w:val="18"/>
        </w:rPr>
        <w:tab/>
        <w:t>Framkvæmdastjórnin skal senda kvartanda afrit af ákvörðun sinni í máli sem varðar efni kvörtunarinnar.“</w:t>
      </w:r>
    </w:p>
    <w:p w:rsidR="00430165" w:rsidRPr="00430165" w:rsidRDefault="00320332">
      <w:pPr>
        <w:pStyle w:val="Point0"/>
        <w:spacing w:before="113" w:after="0"/>
        <w:ind w:left="283" w:hanging="283"/>
        <w:rPr>
          <w:rFonts w:ascii="Times New Roman" w:hAnsi="Times New Roman"/>
          <w:sz w:val="18"/>
        </w:rPr>
      </w:pPr>
      <w:r>
        <w:rPr>
          <w:rFonts w:ascii="Times New Roman" w:hAnsi="Times New Roman"/>
          <w:sz w:val="18"/>
        </w:rPr>
        <w:t xml:space="preserve">11) </w:t>
      </w:r>
      <w:r>
        <w:rPr>
          <w:rFonts w:ascii="Times New Roman" w:hAnsi="Times New Roman"/>
          <w:sz w:val="18"/>
        </w:rPr>
        <w:tab/>
        <w:t>Eftirfarandi kafli bætist við á eftir 20. gr.:</w:t>
      </w:r>
    </w:p>
    <w:p w:rsidR="00430165" w:rsidRPr="00430165" w:rsidRDefault="00430165">
      <w:pPr>
        <w:pStyle w:val="SectionTitle"/>
        <w:tabs>
          <w:tab w:val="left" w:pos="680"/>
        </w:tabs>
        <w:spacing w:before="113" w:after="0"/>
        <w:ind w:left="283"/>
        <w:jc w:val="both"/>
        <w:rPr>
          <w:rFonts w:ascii="Times New Roman" w:hAnsi="Times New Roman"/>
          <w:sz w:val="18"/>
        </w:rPr>
      </w:pPr>
    </w:p>
    <w:p w:rsidR="00430165" w:rsidRPr="00430165" w:rsidRDefault="00320332">
      <w:pPr>
        <w:pStyle w:val="SectionTitle"/>
        <w:tabs>
          <w:tab w:val="left" w:pos="680"/>
        </w:tabs>
        <w:spacing w:before="113" w:after="0"/>
        <w:ind w:left="283"/>
        <w:jc w:val="both"/>
        <w:rPr>
          <w:rFonts w:ascii="Times New Roman" w:hAnsi="Times New Roman"/>
          <w:sz w:val="18"/>
        </w:rPr>
      </w:pPr>
      <w:r>
        <w:rPr>
          <w:rFonts w:ascii="Times New Roman" w:hAnsi="Times New Roman"/>
          <w:sz w:val="18"/>
        </w:rPr>
        <w:t>„VI. KAFLI A</w:t>
      </w:r>
    </w:p>
    <w:p w:rsidR="00430165" w:rsidRPr="00430165" w:rsidRDefault="00320332">
      <w:pPr>
        <w:pStyle w:val="SectionTitle"/>
        <w:tabs>
          <w:tab w:val="left" w:pos="680"/>
        </w:tabs>
        <w:spacing w:before="113" w:after="0"/>
        <w:ind w:left="283"/>
        <w:jc w:val="both"/>
        <w:rPr>
          <w:rFonts w:ascii="Times New Roman" w:hAnsi="Times New Roman"/>
          <w:sz w:val="18"/>
        </w:rPr>
      </w:pPr>
      <w:r>
        <w:rPr>
          <w:rFonts w:ascii="Times New Roman" w:hAnsi="Times New Roman"/>
          <w:i/>
          <w:sz w:val="18"/>
        </w:rPr>
        <w:t>RANNSÓKNIR Á EINSTÖKUM ATVINNUGREINUM OG Á AÐSTOÐARKERFUM</w:t>
      </w:r>
    </w:p>
    <w:p w:rsidR="00430165" w:rsidRPr="00430165" w:rsidRDefault="00320332">
      <w:pPr>
        <w:pStyle w:val="Titrearticle"/>
        <w:tabs>
          <w:tab w:val="left" w:pos="680"/>
        </w:tabs>
        <w:spacing w:before="113" w:after="0"/>
        <w:ind w:left="283"/>
        <w:jc w:val="both"/>
        <w:rPr>
          <w:rFonts w:ascii="Times New Roman" w:hAnsi="Times New Roman"/>
          <w:sz w:val="18"/>
        </w:rPr>
      </w:pPr>
      <w:r>
        <w:rPr>
          <w:rFonts w:ascii="Times New Roman" w:hAnsi="Times New Roman"/>
          <w:sz w:val="18"/>
        </w:rPr>
        <w:t>20. gr. a</w:t>
      </w:r>
    </w:p>
    <w:p w:rsidR="00430165" w:rsidRPr="00430165" w:rsidRDefault="00320332">
      <w:pPr>
        <w:pStyle w:val="NormalCentered"/>
        <w:tabs>
          <w:tab w:val="left" w:pos="680"/>
        </w:tabs>
        <w:spacing w:before="113" w:after="0"/>
        <w:ind w:left="283"/>
        <w:jc w:val="both"/>
        <w:rPr>
          <w:rFonts w:ascii="Times New Roman" w:hAnsi="Times New Roman"/>
          <w:sz w:val="18"/>
        </w:rPr>
      </w:pPr>
      <w:r>
        <w:rPr>
          <w:rFonts w:ascii="Times New Roman" w:hAnsi="Times New Roman"/>
          <w:b/>
          <w:sz w:val="18"/>
        </w:rPr>
        <w:t>Rannsóknir á einstökum atvinnugreinum og á aðstoðarkerfum</w:t>
      </w:r>
    </w:p>
    <w:p w:rsidR="00430165" w:rsidRPr="00430165" w:rsidRDefault="00320332">
      <w:pPr>
        <w:pStyle w:val="Point0"/>
        <w:tabs>
          <w:tab w:val="left" w:pos="680"/>
        </w:tabs>
        <w:spacing w:before="113" w:after="0"/>
        <w:ind w:left="283" w:firstLine="0"/>
        <w:rPr>
          <w:rFonts w:ascii="Times New Roman" w:hAnsi="Times New Roman"/>
          <w:sz w:val="18"/>
        </w:rPr>
      </w:pPr>
      <w:r>
        <w:rPr>
          <w:rFonts w:ascii="Times New Roman" w:hAnsi="Times New Roman"/>
          <w:sz w:val="18"/>
        </w:rPr>
        <w:lastRenderedPageBreak/>
        <w:t>1.</w:t>
      </w:r>
      <w:r>
        <w:rPr>
          <w:rFonts w:ascii="Times New Roman" w:hAnsi="Times New Roman"/>
          <w:sz w:val="18"/>
        </w:rPr>
        <w:tab/>
        <w:t>Ef rökstuddur grunur leikur á, miðað við þær upplýsingar sem liggja fyrir, að ráðstafanir sem fela í sér ríkisaðstoð í tiltekinni grein eða sem eru byggðar á tilteknum aðstoðargerningi gætu takmarkað eða raskað samkeppni umtalsvert á innri markaðnum í fleiri en einu aðildarríki eða að fyrirliggjandi aðstoðarráðstafanir í tiltekinni grein í fleiri en einu aðildarríki séu ekki, eða séu ekki lengur, samrýmanlegar innri markaðnum, getur framkvæmdastjórnin látið fara fram athugun á þeirri atvinnugrein eða á notkun viðkomandi aðstoðargernings í hinum ýmsu aðildarríkjum.  Meðan á athugun stendur getur framkvæmdastjórnin beðið hlutaðeigandi aðildarríki og/eða fyrirtæki eða samtök fyrirtækja að veita þær upplýsingar sem eru nauðsynlegar til beitingar 107. og 108. gr. sáttmálans um starfshætti Evrópusambandsins, að teknu tilhlýðilegu tilliti til meðalhófsreglunnar.</w:t>
      </w:r>
    </w:p>
    <w:p w:rsidR="00430165" w:rsidRPr="00430165" w:rsidRDefault="00320332">
      <w:pPr>
        <w:pStyle w:val="Point0"/>
        <w:spacing w:before="454" w:after="0"/>
        <w:ind w:left="283" w:hanging="283"/>
        <w:rPr>
          <w:rFonts w:ascii="Times New Roman" w:hAnsi="Times New Roman"/>
          <w:sz w:val="18"/>
        </w:rPr>
      </w:pPr>
      <w:r>
        <w:rPr>
          <w:rFonts w:ascii="Times New Roman" w:hAnsi="Times New Roman"/>
          <w:sz w:val="18"/>
        </w:rPr>
        <w:tab/>
        <w:t>Framkvæmdastjórnin skal tilgreina ástæður, sem liggja til grundvallar athuguninni og vali á viðtakendum, í öllum beiðnum um upplýsingar sem eru sendar samkvæmt þessari grein.</w:t>
      </w:r>
    </w:p>
    <w:p w:rsidR="00430165" w:rsidRPr="00430165" w:rsidRDefault="00320332">
      <w:pPr>
        <w:pStyle w:val="Point0"/>
        <w:spacing w:before="454" w:after="0"/>
        <w:ind w:left="283" w:hanging="283"/>
        <w:rPr>
          <w:rFonts w:ascii="Times New Roman" w:hAnsi="Times New Roman"/>
          <w:sz w:val="18"/>
        </w:rPr>
      </w:pPr>
      <w:r>
        <w:rPr>
          <w:rFonts w:ascii="Times New Roman" w:hAnsi="Times New Roman"/>
          <w:sz w:val="18"/>
        </w:rPr>
        <w:tab/>
        <w:t>Framkvæmdastjórnin skal birta skýrslu um niðurstöður athugunar sinnar á tilteknum atvinnugreinum eða tilteknum aðstoðargerningum í hinum ýmsu aðildarríkjum og hvetja aðildarríkin og öll viðkomandi fyrirtæki eða samtök fyrirtækja til að leggja fram athugasemdir.</w:t>
      </w:r>
    </w:p>
    <w:p w:rsidR="00430165" w:rsidRPr="00430165" w:rsidRDefault="00320332">
      <w:pPr>
        <w:pStyle w:val="Point0"/>
        <w:tabs>
          <w:tab w:val="left" w:pos="680"/>
        </w:tabs>
        <w:spacing w:before="454" w:after="0"/>
        <w:ind w:left="283" w:firstLine="0"/>
        <w:rPr>
          <w:rFonts w:ascii="Times New Roman" w:hAnsi="Times New Roman"/>
          <w:sz w:val="18"/>
        </w:rPr>
      </w:pPr>
      <w:r>
        <w:rPr>
          <w:rFonts w:ascii="Times New Roman" w:hAnsi="Times New Roman"/>
          <w:sz w:val="18"/>
        </w:rPr>
        <w:t>2.</w:t>
      </w:r>
      <w:r>
        <w:rPr>
          <w:rFonts w:ascii="Times New Roman" w:hAnsi="Times New Roman"/>
          <w:sz w:val="18"/>
        </w:rPr>
        <w:tab/>
        <w:t>Heimilt er að nota upplýsingar, sem aflað er við athugun á tiltekinni atvinnugrein, við meðferð mála samkvæmt þessari reglugerð.</w:t>
      </w:r>
    </w:p>
    <w:p w:rsidR="00430165" w:rsidRPr="00430165" w:rsidRDefault="00320332">
      <w:pPr>
        <w:pStyle w:val="Point0"/>
        <w:tabs>
          <w:tab w:val="left" w:pos="680"/>
        </w:tabs>
        <w:spacing w:before="454" w:after="0"/>
        <w:ind w:left="283" w:firstLine="0"/>
        <w:rPr>
          <w:rFonts w:ascii="Times New Roman" w:hAnsi="Times New Roman"/>
          <w:sz w:val="18"/>
        </w:rPr>
      </w:pPr>
      <w:r>
        <w:rPr>
          <w:rFonts w:ascii="Times New Roman" w:hAnsi="Times New Roman"/>
          <w:sz w:val="18"/>
        </w:rPr>
        <w:t>3.</w:t>
      </w:r>
      <w:r>
        <w:rPr>
          <w:rFonts w:ascii="Times New Roman" w:hAnsi="Times New Roman"/>
          <w:sz w:val="18"/>
        </w:rPr>
        <w:tab/>
        <w:t>Ákvæði 5. gr., 6. gr. a og 6. gr. b gilda að breyttu breytanda.“</w:t>
      </w:r>
    </w:p>
    <w:p w:rsidR="00430165" w:rsidRPr="00430165" w:rsidRDefault="00320332">
      <w:pPr>
        <w:pStyle w:val="Point0"/>
        <w:spacing w:before="454" w:after="0"/>
        <w:ind w:left="283" w:hanging="283"/>
        <w:rPr>
          <w:rFonts w:ascii="Times New Roman" w:hAnsi="Times New Roman"/>
          <w:sz w:val="18"/>
        </w:rPr>
      </w:pPr>
      <w:r>
        <w:rPr>
          <w:rFonts w:ascii="Times New Roman" w:hAnsi="Times New Roman"/>
          <w:sz w:val="18"/>
        </w:rPr>
        <w:t>12)</w:t>
      </w:r>
      <w:r>
        <w:rPr>
          <w:rFonts w:ascii="Times New Roman" w:hAnsi="Times New Roman"/>
          <w:sz w:val="18"/>
        </w:rPr>
        <w:tab/>
        <w:t>Eftirfarandi kafli bætist við á eftir 23. gr.:</w:t>
      </w:r>
    </w:p>
    <w:p w:rsidR="00430165" w:rsidRPr="00430165" w:rsidRDefault="00320332">
      <w:pPr>
        <w:pStyle w:val="SectionTitle"/>
        <w:tabs>
          <w:tab w:val="left" w:pos="680"/>
        </w:tabs>
        <w:spacing w:before="454" w:after="0"/>
        <w:ind w:left="283"/>
        <w:jc w:val="both"/>
        <w:rPr>
          <w:rFonts w:ascii="Times New Roman" w:hAnsi="Times New Roman" w:cs="TimesNewRomanPSMT"/>
          <w:b w:val="0"/>
          <w:bCs w:val="0"/>
          <w:sz w:val="18"/>
        </w:rPr>
      </w:pPr>
      <w:r>
        <w:rPr>
          <w:rFonts w:ascii="Times New Roman" w:hAnsi="Times New Roman"/>
          <w:sz w:val="18"/>
        </w:rPr>
        <w:t>„VII. KAFLI A</w:t>
      </w:r>
    </w:p>
    <w:p w:rsidR="00430165" w:rsidRPr="00430165" w:rsidRDefault="00320332">
      <w:pPr>
        <w:pStyle w:val="SectionTitle"/>
        <w:tabs>
          <w:tab w:val="left" w:pos="680"/>
        </w:tabs>
        <w:spacing w:before="113" w:after="0"/>
        <w:ind w:left="283"/>
        <w:jc w:val="both"/>
        <w:rPr>
          <w:rFonts w:ascii="Times New Roman" w:hAnsi="Times New Roman"/>
          <w:sz w:val="18"/>
        </w:rPr>
      </w:pPr>
      <w:r>
        <w:rPr>
          <w:rFonts w:ascii="Times New Roman" w:hAnsi="Times New Roman"/>
          <w:sz w:val="18"/>
        </w:rPr>
        <w:t>SAMSTARF VIÐ LANDSDÓMSTÓLA</w:t>
      </w:r>
    </w:p>
    <w:p w:rsidR="00430165" w:rsidRPr="00430165" w:rsidRDefault="00320332">
      <w:pPr>
        <w:pStyle w:val="Titrearticle"/>
        <w:tabs>
          <w:tab w:val="left" w:pos="680"/>
        </w:tabs>
        <w:spacing w:before="113" w:after="0"/>
        <w:ind w:left="283"/>
        <w:jc w:val="both"/>
        <w:rPr>
          <w:rFonts w:ascii="Times New Roman" w:hAnsi="Times New Roman"/>
          <w:sz w:val="18"/>
        </w:rPr>
      </w:pPr>
      <w:r>
        <w:rPr>
          <w:rFonts w:ascii="Times New Roman" w:hAnsi="Times New Roman"/>
          <w:sz w:val="18"/>
        </w:rPr>
        <w:t>23. gr. a</w:t>
      </w:r>
    </w:p>
    <w:p w:rsidR="00430165" w:rsidRPr="00430165" w:rsidRDefault="00320332">
      <w:pPr>
        <w:pStyle w:val="NormalCentered"/>
        <w:tabs>
          <w:tab w:val="left" w:pos="680"/>
        </w:tabs>
        <w:spacing w:before="113" w:after="0"/>
        <w:ind w:left="283"/>
        <w:jc w:val="both"/>
        <w:rPr>
          <w:rFonts w:ascii="Times New Roman" w:hAnsi="Times New Roman"/>
          <w:sz w:val="18"/>
        </w:rPr>
      </w:pPr>
      <w:r>
        <w:rPr>
          <w:rFonts w:ascii="Times New Roman" w:hAnsi="Times New Roman"/>
          <w:b/>
          <w:sz w:val="18"/>
        </w:rPr>
        <w:t>Samstarf við landsdómstóla</w:t>
      </w:r>
    </w:p>
    <w:p w:rsidR="00430165" w:rsidRPr="00430165" w:rsidRDefault="00320332">
      <w:pPr>
        <w:pStyle w:val="Point0"/>
        <w:tabs>
          <w:tab w:val="left" w:pos="680"/>
        </w:tabs>
        <w:spacing w:before="113" w:after="0"/>
        <w:ind w:left="283" w:firstLine="0"/>
        <w:rPr>
          <w:rFonts w:ascii="Times New Roman" w:hAnsi="Times New Roman"/>
          <w:sz w:val="18"/>
        </w:rPr>
      </w:pPr>
      <w:r>
        <w:rPr>
          <w:rFonts w:ascii="Times New Roman" w:hAnsi="Times New Roman"/>
          <w:sz w:val="18"/>
        </w:rPr>
        <w:lastRenderedPageBreak/>
        <w:t>1.</w:t>
      </w:r>
      <w:r>
        <w:rPr>
          <w:rFonts w:ascii="Times New Roman" w:hAnsi="Times New Roman"/>
          <w:sz w:val="18"/>
        </w:rPr>
        <w:tab/>
        <w:t>Við beitingu á 1. mgr. 107. gr. eða 108. gr. sáttmálans um starfshætti Evrópusambandsins er dómstólum í aðildarríkjunum heimilt að óska eftir því að framkvæmdastjórnin sendi þeim þær upplýsingar, sem hún hefur undir höndum, eða álit sitt á álitaefnum sem varða beitingu reglna um ríkisaðstoð.</w:t>
      </w:r>
    </w:p>
    <w:p w:rsidR="00430165" w:rsidRPr="00430165" w:rsidRDefault="00320332">
      <w:pPr>
        <w:pStyle w:val="Point0"/>
        <w:tabs>
          <w:tab w:val="left" w:pos="680"/>
        </w:tabs>
        <w:spacing w:before="567" w:after="0"/>
        <w:ind w:left="283" w:firstLine="0"/>
        <w:rPr>
          <w:rFonts w:ascii="Times New Roman" w:hAnsi="Times New Roman"/>
          <w:sz w:val="18"/>
        </w:rPr>
      </w:pPr>
      <w:r>
        <w:rPr>
          <w:rFonts w:ascii="Times New Roman" w:hAnsi="Times New Roman"/>
          <w:sz w:val="18"/>
        </w:rPr>
        <w:t>2.</w:t>
      </w:r>
      <w:r>
        <w:rPr>
          <w:rFonts w:ascii="Times New Roman" w:hAnsi="Times New Roman"/>
          <w:sz w:val="18"/>
        </w:rPr>
        <w:tab/>
        <w:t>Framkvæmdastjórninni er heimilt, ef nauðsyn krefur varðandi samræmda beitingu 1. mgr. 107. gr. eða 108. gr. sáttmálans um starfshætti Evrópusambandsins, að leggja, að eigin frumkvæði, skriflegar athugasemdir fyrir dómstóla í aðildarríkjunum, sem bera ábyrgð á beitingu reglna um ríkisaðstoð. Henni er enn fremur heimilt að koma á framfæri munnlegum athugasemdum með leyfi hlutaðeigandi dómstóls.</w:t>
      </w:r>
    </w:p>
    <w:p w:rsidR="00430165" w:rsidRPr="00430165" w:rsidRDefault="00320332">
      <w:pPr>
        <w:pStyle w:val="Point0"/>
        <w:spacing w:before="567" w:after="0"/>
        <w:ind w:left="283" w:hanging="283"/>
        <w:rPr>
          <w:rFonts w:ascii="Times New Roman" w:hAnsi="Times New Roman"/>
          <w:sz w:val="18"/>
        </w:rPr>
      </w:pPr>
      <w:r>
        <w:rPr>
          <w:rFonts w:ascii="Times New Roman" w:hAnsi="Times New Roman"/>
          <w:sz w:val="18"/>
        </w:rPr>
        <w:tab/>
        <w:t>Framkvæmdastjórninni ber að tilkynna hlutaðeigandi aðildarríki að hún muni leggja fram athugasemdir, áður en hún leggur þær formlega fram.</w:t>
      </w:r>
    </w:p>
    <w:p w:rsidR="00430165" w:rsidRPr="00430165" w:rsidRDefault="00320332">
      <w:pPr>
        <w:pStyle w:val="Point0"/>
        <w:spacing w:before="567" w:after="0"/>
        <w:ind w:left="283" w:hanging="283"/>
        <w:rPr>
          <w:rFonts w:ascii="Times New Roman" w:hAnsi="Times New Roman"/>
          <w:sz w:val="18"/>
        </w:rPr>
      </w:pPr>
      <w:r>
        <w:rPr>
          <w:rFonts w:ascii="Times New Roman" w:hAnsi="Times New Roman"/>
          <w:sz w:val="18"/>
        </w:rPr>
        <w:tab/>
        <w:t>Framkvæmdastjórninni er heimilt, eingöngu í þeim tilgangi að semja athugasemdir sínar, að óska eftir að viðkomandi dómstóll aðildarríkis sendi skjöl, sem hann hefur til umráða, og sem eru nauðsynleg fyrir mat framkvæmdastjórnarinnar á álitaefninu.“</w:t>
      </w:r>
    </w:p>
    <w:p w:rsidR="00430165" w:rsidRPr="00430165" w:rsidRDefault="00320332">
      <w:pPr>
        <w:pStyle w:val="Point0"/>
        <w:spacing w:before="567" w:after="0"/>
        <w:ind w:left="283" w:hanging="283"/>
        <w:rPr>
          <w:rFonts w:ascii="Times New Roman" w:hAnsi="Times New Roman"/>
          <w:sz w:val="18"/>
        </w:rPr>
      </w:pPr>
      <w:r>
        <w:rPr>
          <w:rFonts w:ascii="Times New Roman" w:hAnsi="Times New Roman"/>
          <w:sz w:val="18"/>
        </w:rPr>
        <w:t>13)</w:t>
      </w:r>
      <w:r>
        <w:rPr>
          <w:rFonts w:ascii="Times New Roman" w:hAnsi="Times New Roman"/>
          <w:sz w:val="18"/>
        </w:rPr>
        <w:tab/>
        <w:t>Í stað 25. gr. komi eftirfarandi:</w:t>
      </w:r>
    </w:p>
    <w:p w:rsidR="00430165" w:rsidRPr="00430165" w:rsidRDefault="00320332">
      <w:pPr>
        <w:pStyle w:val="Titrearticle"/>
        <w:tabs>
          <w:tab w:val="left" w:pos="680"/>
        </w:tabs>
        <w:spacing w:before="567" w:after="0"/>
        <w:ind w:left="283"/>
        <w:jc w:val="both"/>
        <w:rPr>
          <w:rFonts w:ascii="Times New Roman" w:hAnsi="Times New Roman"/>
          <w:sz w:val="18"/>
        </w:rPr>
      </w:pPr>
      <w:r>
        <w:rPr>
          <w:rFonts w:ascii="Times New Roman" w:hAnsi="Times New Roman"/>
          <w:sz w:val="18"/>
        </w:rPr>
        <w:t>„25. gr.</w:t>
      </w:r>
    </w:p>
    <w:p w:rsidR="00430165" w:rsidRPr="00430165" w:rsidRDefault="00320332">
      <w:pPr>
        <w:pStyle w:val="NormalCentered"/>
        <w:tabs>
          <w:tab w:val="left" w:pos="680"/>
        </w:tabs>
        <w:spacing w:before="113" w:after="0"/>
        <w:ind w:left="283"/>
        <w:jc w:val="both"/>
        <w:rPr>
          <w:rFonts w:ascii="Times New Roman" w:hAnsi="Times New Roman"/>
          <w:sz w:val="18"/>
        </w:rPr>
      </w:pPr>
      <w:r>
        <w:rPr>
          <w:rFonts w:ascii="Times New Roman" w:hAnsi="Times New Roman"/>
          <w:b/>
          <w:sz w:val="18"/>
        </w:rPr>
        <w:t>Viðtakandi ákvarðana</w:t>
      </w:r>
    </w:p>
    <w:p w:rsidR="00430165" w:rsidRPr="00430165" w:rsidRDefault="00320332">
      <w:pPr>
        <w:pStyle w:val="Point0"/>
        <w:tabs>
          <w:tab w:val="left" w:pos="680"/>
        </w:tabs>
        <w:spacing w:before="113" w:after="0"/>
        <w:ind w:left="283" w:firstLine="0"/>
        <w:rPr>
          <w:rFonts w:ascii="Times New Roman" w:hAnsi="Times New Roman"/>
          <w:sz w:val="18"/>
        </w:rPr>
      </w:pPr>
      <w:r>
        <w:rPr>
          <w:rFonts w:ascii="Times New Roman" w:hAnsi="Times New Roman"/>
          <w:sz w:val="18"/>
        </w:rPr>
        <w:t>1.</w:t>
      </w:r>
      <w:r>
        <w:rPr>
          <w:rFonts w:ascii="Times New Roman" w:hAnsi="Times New Roman"/>
          <w:sz w:val="18"/>
        </w:rPr>
        <w:tab/>
        <w:t>Ákvörðunum, sem eru teknar skv. 7. mgr. 6. gr. a, 1. og 2. mgr. 6. gr. b og 9. mgr. 7. gr., skal beint til hlutaðeigandi fyrirtækis eða samtaka fyrirtækja. Framkvæmdastjórninni ber að tilkynna viðtakanda um þær án tafar og gefa honum tækifæri til þess að benda framkvæmdastjórninni á hvaða upplýsingar hann telur falla undir þagnarskyldu.</w:t>
      </w:r>
    </w:p>
    <w:p w:rsidR="00430165" w:rsidRPr="00430165" w:rsidRDefault="00320332">
      <w:pPr>
        <w:pStyle w:val="Point0"/>
        <w:tabs>
          <w:tab w:val="left" w:pos="680"/>
        </w:tabs>
        <w:spacing w:before="510" w:after="0"/>
        <w:ind w:left="283" w:firstLine="0"/>
        <w:rPr>
          <w:rFonts w:ascii="Times New Roman" w:hAnsi="Times New Roman"/>
          <w:sz w:val="18"/>
        </w:rPr>
      </w:pPr>
      <w:r>
        <w:rPr>
          <w:rFonts w:ascii="Times New Roman" w:hAnsi="Times New Roman"/>
          <w:sz w:val="18"/>
        </w:rPr>
        <w:t>2.</w:t>
      </w:r>
      <w:r>
        <w:rPr>
          <w:rFonts w:ascii="Times New Roman" w:hAnsi="Times New Roman"/>
          <w:sz w:val="18"/>
        </w:rPr>
        <w:tab/>
        <w:t xml:space="preserve">Öllum öðrum ákvörðunum, sem framkvæmdastjórnin tekur skv. II., </w:t>
      </w:r>
      <w:r>
        <w:rPr>
          <w:rFonts w:ascii="Times New Roman" w:hAnsi="Times New Roman"/>
          <w:sz w:val="18"/>
        </w:rPr>
        <w:lastRenderedPageBreak/>
        <w:t>III., IV., V. og VII. kafla skal beint til hlutaðeigandi aðildarríkis. Framkvæmdastjórninni ber að tilkynna hlutaðeigandi aðildarríki um þær án tafar og gefa því aðildarríki tækifæri til þess að benda framkvæmdastjórninni á hvaða upplýsingar það telur falla undir þagnarskyldu.“</w:t>
      </w:r>
    </w:p>
    <w:p w:rsidR="00430165" w:rsidRPr="00430165" w:rsidRDefault="00320332">
      <w:pPr>
        <w:pStyle w:val="Point0"/>
        <w:spacing w:before="510" w:after="0"/>
        <w:ind w:left="283" w:hanging="283"/>
        <w:rPr>
          <w:rFonts w:ascii="Times New Roman" w:hAnsi="Times New Roman"/>
          <w:sz w:val="18"/>
        </w:rPr>
      </w:pPr>
      <w:r>
        <w:rPr>
          <w:rFonts w:ascii="Times New Roman" w:hAnsi="Times New Roman"/>
          <w:sz w:val="18"/>
        </w:rPr>
        <w:t>14)</w:t>
      </w:r>
      <w:r>
        <w:rPr>
          <w:rFonts w:ascii="Times New Roman" w:hAnsi="Times New Roman"/>
          <w:sz w:val="18"/>
        </w:rPr>
        <w:tab/>
        <w:t>Í 26. gr. bætist eftirfarandi málsgrein við:</w:t>
      </w:r>
    </w:p>
    <w:p w:rsidR="00430165" w:rsidRPr="00430165" w:rsidRDefault="00320332">
      <w:pPr>
        <w:pStyle w:val="Point0"/>
        <w:tabs>
          <w:tab w:val="left" w:pos="680"/>
        </w:tabs>
        <w:spacing w:before="510" w:after="0"/>
        <w:ind w:left="283" w:firstLine="0"/>
        <w:rPr>
          <w:rFonts w:ascii="Times New Roman" w:hAnsi="Times New Roman"/>
          <w:sz w:val="18"/>
        </w:rPr>
      </w:pPr>
      <w:r>
        <w:rPr>
          <w:rFonts w:ascii="Times New Roman" w:hAnsi="Times New Roman"/>
          <w:sz w:val="18"/>
        </w:rPr>
        <w:t xml:space="preserve">„2a. </w:t>
      </w:r>
      <w:r>
        <w:rPr>
          <w:rFonts w:ascii="Times New Roman" w:hAnsi="Times New Roman"/>
          <w:sz w:val="18"/>
        </w:rPr>
        <w:tab/>
        <w:t xml:space="preserve">Framkvæmdastjórnin skal birta þær ákvarðanir, sem hún tekur skv. 1. og 2. mgr. 6. gr. b, í </w:t>
      </w:r>
      <w:r>
        <w:rPr>
          <w:rFonts w:ascii="Times New Roman" w:hAnsi="Times New Roman"/>
          <w:i/>
          <w:sz w:val="18"/>
        </w:rPr>
        <w:t>Stjórnarstíðindum Evrópusambandsins</w:t>
      </w:r>
      <w:r>
        <w:rPr>
          <w:rFonts w:ascii="Times New Roman" w:hAnsi="Times New Roman"/>
          <w:sz w:val="18"/>
        </w:rPr>
        <w:t>.“</w:t>
      </w:r>
    </w:p>
    <w:p w:rsidR="00430165" w:rsidRPr="00430165" w:rsidRDefault="00320332">
      <w:pPr>
        <w:pStyle w:val="Point0"/>
        <w:spacing w:before="113" w:after="0"/>
        <w:ind w:left="283" w:hanging="283"/>
        <w:rPr>
          <w:rFonts w:ascii="Times New Roman" w:hAnsi="Times New Roman"/>
          <w:sz w:val="18"/>
        </w:rPr>
      </w:pPr>
      <w:r>
        <w:rPr>
          <w:rFonts w:ascii="Times New Roman" w:hAnsi="Times New Roman"/>
          <w:sz w:val="18"/>
        </w:rPr>
        <w:t>15)</w:t>
      </w:r>
      <w:r>
        <w:rPr>
          <w:rFonts w:ascii="Times New Roman" w:hAnsi="Times New Roman"/>
          <w:sz w:val="18"/>
        </w:rPr>
        <w:tab/>
        <w:t>Í stað 27. gr. komi eftirfarandi:</w:t>
      </w:r>
    </w:p>
    <w:p w:rsidR="00430165" w:rsidRPr="00430165" w:rsidRDefault="00320332">
      <w:pPr>
        <w:pStyle w:val="Titrearticle"/>
        <w:spacing w:before="227" w:after="0"/>
        <w:ind w:left="283"/>
        <w:jc w:val="both"/>
        <w:rPr>
          <w:rFonts w:ascii="Times New Roman" w:hAnsi="Times New Roman"/>
          <w:sz w:val="18"/>
        </w:rPr>
      </w:pPr>
      <w:r>
        <w:rPr>
          <w:rFonts w:ascii="Times New Roman" w:hAnsi="Times New Roman"/>
          <w:sz w:val="18"/>
        </w:rPr>
        <w:t>„27. gr.</w:t>
      </w:r>
    </w:p>
    <w:p w:rsidR="00430165" w:rsidRPr="00430165" w:rsidRDefault="00320332">
      <w:pPr>
        <w:pStyle w:val="NormalCentered"/>
        <w:spacing w:before="113" w:after="0"/>
        <w:ind w:left="283"/>
        <w:jc w:val="both"/>
        <w:rPr>
          <w:rFonts w:ascii="Times New Roman" w:hAnsi="Times New Roman" w:cs="TimesNewRomanPS-BoldMT"/>
          <w:b/>
          <w:bCs/>
          <w:sz w:val="18"/>
        </w:rPr>
      </w:pPr>
      <w:r>
        <w:rPr>
          <w:rFonts w:ascii="Times New Roman" w:hAnsi="Times New Roman"/>
          <w:b/>
          <w:sz w:val="18"/>
        </w:rPr>
        <w:t>Framkvæmdarákvæði</w:t>
      </w:r>
    </w:p>
    <w:p w:rsidR="00430165" w:rsidRPr="00430165" w:rsidRDefault="00320332">
      <w:pPr>
        <w:pStyle w:val="Point0"/>
        <w:spacing w:before="113" w:after="0"/>
        <w:ind w:left="283" w:firstLine="0"/>
        <w:rPr>
          <w:rFonts w:ascii="Times New Roman" w:hAnsi="Times New Roman"/>
          <w:sz w:val="18"/>
        </w:rPr>
      </w:pPr>
      <w:r>
        <w:rPr>
          <w:rFonts w:ascii="Times New Roman" w:hAnsi="Times New Roman"/>
          <w:sz w:val="18"/>
        </w:rPr>
        <w:t>Framkvæmdastjórnin skal, í samræmi við málsmeðferðina sem mælt er fyrir um í 29. gr., hafa heimild til að samþykkja framkvæmdarákvæði um:</w:t>
      </w:r>
    </w:p>
    <w:p w:rsidR="00430165" w:rsidRPr="00430165" w:rsidRDefault="00320332">
      <w:pPr>
        <w:pStyle w:val="Point1"/>
        <w:spacing w:before="227" w:after="0"/>
        <w:ind w:left="567" w:hanging="283"/>
        <w:rPr>
          <w:rFonts w:ascii="Times New Roman" w:hAnsi="Times New Roman"/>
          <w:sz w:val="18"/>
        </w:rPr>
      </w:pPr>
      <w:r>
        <w:rPr>
          <w:rFonts w:ascii="Times New Roman" w:hAnsi="Times New Roman"/>
          <w:sz w:val="18"/>
        </w:rPr>
        <w:t xml:space="preserve">a) </w:t>
      </w:r>
      <w:r>
        <w:rPr>
          <w:rFonts w:ascii="Times New Roman" w:hAnsi="Times New Roman"/>
          <w:sz w:val="18"/>
        </w:rPr>
        <w:tab/>
        <w:t>form, efni og önnur einstök atriði tilkynninga,</w:t>
      </w:r>
    </w:p>
    <w:p w:rsidR="00430165" w:rsidRPr="00430165" w:rsidRDefault="00320332">
      <w:pPr>
        <w:pStyle w:val="Point1"/>
        <w:spacing w:before="227" w:after="0"/>
        <w:ind w:left="567" w:hanging="283"/>
        <w:rPr>
          <w:rFonts w:ascii="Times New Roman" w:hAnsi="Times New Roman"/>
          <w:sz w:val="18"/>
        </w:rPr>
      </w:pPr>
      <w:r>
        <w:rPr>
          <w:rFonts w:ascii="Times New Roman" w:hAnsi="Times New Roman"/>
          <w:sz w:val="18"/>
        </w:rPr>
        <w:t xml:space="preserve">b) </w:t>
      </w:r>
      <w:r>
        <w:rPr>
          <w:rFonts w:ascii="Times New Roman" w:hAnsi="Times New Roman"/>
          <w:sz w:val="18"/>
        </w:rPr>
        <w:tab/>
        <w:t>form, efni og önnur einstök atriði ársskýrslna,</w:t>
      </w:r>
    </w:p>
    <w:p w:rsidR="00430165" w:rsidRPr="00430165" w:rsidRDefault="00320332">
      <w:pPr>
        <w:pStyle w:val="Point1"/>
        <w:spacing w:before="113" w:after="0"/>
        <w:ind w:left="567" w:hanging="283"/>
        <w:rPr>
          <w:rFonts w:ascii="Times New Roman" w:hAnsi="Times New Roman"/>
          <w:sz w:val="18"/>
        </w:rPr>
      </w:pPr>
      <w:r>
        <w:rPr>
          <w:rFonts w:ascii="Times New Roman" w:hAnsi="Times New Roman"/>
          <w:sz w:val="18"/>
        </w:rPr>
        <w:t xml:space="preserve">c) </w:t>
      </w:r>
      <w:r>
        <w:rPr>
          <w:rFonts w:ascii="Times New Roman" w:hAnsi="Times New Roman"/>
          <w:sz w:val="18"/>
        </w:rPr>
        <w:tab/>
        <w:t>form, efni og önnur einstök atriði kvartana sem eru lagðar fram í samræmi við 1. mgr. 10. gr. og 2. mgr. 20. gr.,</w:t>
      </w:r>
    </w:p>
    <w:p w:rsidR="00430165" w:rsidRPr="00430165" w:rsidRDefault="00320332">
      <w:pPr>
        <w:pStyle w:val="Point1"/>
        <w:spacing w:before="113" w:after="0"/>
        <w:ind w:left="567" w:hanging="283"/>
        <w:rPr>
          <w:rFonts w:ascii="Times New Roman" w:hAnsi="Times New Roman"/>
          <w:sz w:val="18"/>
        </w:rPr>
      </w:pPr>
      <w:r>
        <w:rPr>
          <w:rFonts w:ascii="Times New Roman" w:hAnsi="Times New Roman"/>
          <w:sz w:val="18"/>
        </w:rPr>
        <w:t xml:space="preserve">d) </w:t>
      </w:r>
      <w:r>
        <w:rPr>
          <w:rFonts w:ascii="Times New Roman" w:hAnsi="Times New Roman"/>
          <w:sz w:val="18"/>
        </w:rPr>
        <w:tab/>
        <w:t xml:space="preserve">einstök atriði er varða fresti og útreikning á frestum og </w:t>
      </w:r>
    </w:p>
    <w:p w:rsidR="00430165" w:rsidRPr="00430165" w:rsidRDefault="00320332">
      <w:pPr>
        <w:pStyle w:val="Point1"/>
        <w:spacing w:before="113" w:after="0"/>
        <w:ind w:left="567" w:hanging="283"/>
        <w:rPr>
          <w:rFonts w:ascii="Times New Roman" w:hAnsi="Times New Roman"/>
          <w:sz w:val="18"/>
        </w:rPr>
      </w:pPr>
      <w:r>
        <w:rPr>
          <w:rFonts w:ascii="Times New Roman" w:hAnsi="Times New Roman"/>
          <w:sz w:val="18"/>
        </w:rPr>
        <w:t xml:space="preserve">e) </w:t>
      </w:r>
      <w:r>
        <w:rPr>
          <w:rFonts w:ascii="Times New Roman" w:hAnsi="Times New Roman"/>
          <w:sz w:val="18"/>
        </w:rPr>
        <w:tab/>
        <w:t>vextina sem um getur í 2. mgr. 14. gr.“</w:t>
      </w:r>
    </w:p>
    <w:p w:rsidR="00430165" w:rsidRPr="00430165" w:rsidRDefault="00320332">
      <w:pPr>
        <w:pStyle w:val="Titrearticle"/>
        <w:spacing w:before="113" w:after="0"/>
        <w:rPr>
          <w:rFonts w:ascii="Times New Roman" w:hAnsi="Times New Roman"/>
          <w:sz w:val="18"/>
        </w:rPr>
      </w:pPr>
      <w:r>
        <w:rPr>
          <w:rFonts w:ascii="Times New Roman" w:hAnsi="Times New Roman"/>
          <w:sz w:val="18"/>
        </w:rPr>
        <w:t>2. gr.</w:t>
      </w:r>
    </w:p>
    <w:p w:rsidR="00430165" w:rsidRPr="00430165" w:rsidRDefault="00320332">
      <w:pPr>
        <w:spacing w:before="113" w:after="0"/>
        <w:rPr>
          <w:rFonts w:ascii="Times New Roman" w:hAnsi="Times New Roman"/>
          <w:sz w:val="18"/>
        </w:rPr>
      </w:pPr>
      <w:r>
        <w:rPr>
          <w:rFonts w:ascii="Times New Roman" w:hAnsi="Times New Roman"/>
          <w:sz w:val="18"/>
        </w:rPr>
        <w:t xml:space="preserve">Reglugerð þessi öðlast gildi á tuttugasta degi eftir að hún birtist í </w:t>
      </w:r>
      <w:r>
        <w:rPr>
          <w:rFonts w:ascii="Times New Roman" w:hAnsi="Times New Roman"/>
          <w:i/>
          <w:sz w:val="18"/>
        </w:rPr>
        <w:t>Stjórnartíðindum Evrópusambandsins</w:t>
      </w:r>
      <w:r>
        <w:rPr>
          <w:rFonts w:ascii="Times New Roman" w:hAnsi="Times New Roman"/>
          <w:sz w:val="18"/>
        </w:rPr>
        <w:t>.</w:t>
      </w:r>
    </w:p>
    <w:p w:rsidR="00430165" w:rsidRPr="00430165" w:rsidRDefault="00320332">
      <w:pPr>
        <w:pStyle w:val="Applicationdirecte"/>
        <w:spacing w:before="113" w:after="0"/>
        <w:rPr>
          <w:rFonts w:ascii="Times New Roman" w:hAnsi="Times New Roman"/>
          <w:sz w:val="18"/>
        </w:rPr>
      </w:pPr>
      <w:r>
        <w:rPr>
          <w:rFonts w:ascii="Times New Roman" w:hAnsi="Times New Roman"/>
          <w:sz w:val="18"/>
        </w:rPr>
        <w:t>Reglugerð þessi er bindandi í heild sinni og gildir í öllum aðildarríkjunum án frekari lögfestingar.</w:t>
      </w:r>
    </w:p>
    <w:p w:rsidR="00430165" w:rsidRPr="00430165" w:rsidRDefault="00430165">
      <w:pPr>
        <w:pStyle w:val="Fait"/>
        <w:spacing w:before="113"/>
        <w:rPr>
          <w:rFonts w:ascii="Times New Roman" w:hAnsi="Times New Roman"/>
          <w:sz w:val="18"/>
        </w:rPr>
      </w:pPr>
    </w:p>
    <w:p w:rsidR="00430165" w:rsidRPr="00430165" w:rsidRDefault="00320332">
      <w:pPr>
        <w:pStyle w:val="Fait"/>
        <w:spacing w:before="113"/>
        <w:rPr>
          <w:rFonts w:ascii="Times New Roman" w:hAnsi="Times New Roman"/>
          <w:sz w:val="18"/>
        </w:rPr>
      </w:pPr>
      <w:r>
        <w:rPr>
          <w:rFonts w:ascii="Times New Roman" w:hAnsi="Times New Roman"/>
          <w:sz w:val="18"/>
        </w:rPr>
        <w:t>Gjört í Brussel 22. júlí 2013.</w:t>
      </w:r>
    </w:p>
    <w:p w:rsidR="00430165" w:rsidRPr="00430165" w:rsidRDefault="00430165">
      <w:pPr>
        <w:spacing w:before="113" w:after="0"/>
        <w:rPr>
          <w:rFonts w:ascii="Times New Roman" w:hAnsi="Times New Roman" w:cs="TimesNewRomanPS-ItalicMT"/>
          <w:i/>
          <w:iCs/>
          <w:sz w:val="18"/>
        </w:rPr>
      </w:pPr>
    </w:p>
    <w:p w:rsidR="00430165" w:rsidRPr="00430165" w:rsidRDefault="00320332">
      <w:pPr>
        <w:tabs>
          <w:tab w:val="left" w:pos="5220"/>
        </w:tabs>
        <w:spacing w:before="113" w:after="0"/>
        <w:rPr>
          <w:rFonts w:ascii="Times New Roman" w:hAnsi="Times New Roman"/>
          <w:sz w:val="18"/>
        </w:rPr>
      </w:pPr>
      <w:r>
        <w:rPr>
          <w:rFonts w:ascii="Times New Roman" w:hAnsi="Times New Roman"/>
          <w:i/>
          <w:sz w:val="18"/>
        </w:rPr>
        <w:lastRenderedPageBreak/>
        <w:tab/>
        <w:t>Fyrir hönd ráðsins,</w:t>
      </w:r>
    </w:p>
    <w:p w:rsidR="00430165" w:rsidRPr="00430165" w:rsidRDefault="00320332">
      <w:pPr>
        <w:tabs>
          <w:tab w:val="left" w:pos="5220"/>
        </w:tabs>
        <w:spacing w:before="113" w:after="0"/>
        <w:rPr>
          <w:rFonts w:ascii="Times New Roman" w:hAnsi="Times New Roman"/>
          <w:sz w:val="18"/>
        </w:rPr>
      </w:pPr>
      <w:r>
        <w:rPr>
          <w:rFonts w:ascii="Times New Roman" w:hAnsi="Times New Roman"/>
          <w:i/>
          <w:sz w:val="18"/>
        </w:rPr>
        <w:tab/>
        <w:t>forseti.</w:t>
      </w:r>
    </w:p>
    <w:p w:rsidR="00430165" w:rsidRPr="00430165" w:rsidRDefault="00320332">
      <w:pPr>
        <w:tabs>
          <w:tab w:val="left" w:pos="5220"/>
        </w:tabs>
        <w:spacing w:before="113" w:after="0"/>
        <w:rPr>
          <w:rFonts w:ascii="Times New Roman" w:hAnsi="Times New Roman"/>
          <w:sz w:val="18"/>
        </w:rPr>
      </w:pPr>
      <w:r>
        <w:rPr>
          <w:rFonts w:ascii="Times New Roman" w:hAnsi="Times New Roman"/>
          <w:sz w:val="18"/>
        </w:rPr>
        <w:tab/>
        <w:t>C. ASHTON</w:t>
      </w:r>
    </w:p>
    <w:p w:rsidR="00430165" w:rsidRPr="00430165" w:rsidRDefault="00430165">
      <w:pPr>
        <w:spacing w:before="113" w:after="0"/>
        <w:rPr>
          <w:rFonts w:ascii="Times New Roman" w:hAnsi="Times New Roman"/>
          <w:sz w:val="18"/>
        </w:rPr>
      </w:pPr>
    </w:p>
    <w:p w:rsidR="00430165" w:rsidRPr="00430165" w:rsidRDefault="00320332">
      <w:pPr>
        <w:spacing w:before="113" w:after="0"/>
        <w:jc w:val="center"/>
        <w:rPr>
          <w:rFonts w:ascii="Times New Roman" w:hAnsi="Times New Roman"/>
          <w:sz w:val="18"/>
        </w:rPr>
      </w:pPr>
      <w:r>
        <w:rPr>
          <w:rFonts w:ascii="Times New Roman" w:hAnsi="Times New Roman"/>
          <w:sz w:val="18"/>
        </w:rPr>
        <w:t>__________</w:t>
      </w:r>
    </w:p>
    <w:sectPr w:rsidR="00430165" w:rsidRPr="00430165">
      <w:pgSz w:w="11906" w:h="16838"/>
      <w:pgMar w:top="1701" w:right="1134" w:bottom="1134"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2D0" w:rsidRDefault="009312D0">
      <w:pPr>
        <w:spacing w:before="0" w:after="0" w:line="240" w:lineRule="auto"/>
      </w:pPr>
      <w:r>
        <w:separator/>
      </w:r>
    </w:p>
  </w:endnote>
  <w:endnote w:type="continuationSeparator" w:id="0">
    <w:p w:rsidR="009312D0" w:rsidRDefault="009312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2D0" w:rsidRDefault="009312D0">
      <w:pPr>
        <w:spacing w:before="0" w:after="0" w:line="240" w:lineRule="auto"/>
      </w:pPr>
      <w:r>
        <w:separator/>
      </w:r>
    </w:p>
  </w:footnote>
  <w:footnote w:type="continuationSeparator" w:id="0">
    <w:p w:rsidR="009312D0" w:rsidRDefault="009312D0">
      <w:pPr>
        <w:spacing w:before="0" w:after="0" w:line="240" w:lineRule="auto"/>
      </w:pPr>
      <w:r>
        <w:continuationSeparator/>
      </w:r>
    </w:p>
  </w:footnote>
  <w:footnote w:id="1">
    <w:p w:rsidR="00000000" w:rsidRDefault="00320332" w:rsidP="00430165">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lang w:eastAsia="en-US"/>
        </w:rPr>
        <w:t>Orðsending framkvæmdastjórnarinnar „Evrópa 2020:  stefnumörkun um hugvitssaman og sjálfbæran hagvöxt fyrir alla“ frá 3. mars 2010 (COM(2010) 2020, lokagerð).</w:t>
      </w:r>
    </w:p>
  </w:footnote>
  <w:footnote w:id="2">
    <w:p w:rsidR="00000000" w:rsidRDefault="00320332" w:rsidP="00430165">
      <w:pPr>
        <w:pStyle w:val="Footnote"/>
      </w:pPr>
      <w:r>
        <w:rPr>
          <w:rFonts w:ascii="Times New Roman" w:hAnsi="Times New Roman"/>
        </w:rPr>
        <w:t>(</w:t>
      </w:r>
      <w:r>
        <w:rPr>
          <w:rFonts w:ascii="Times New Roman" w:hAnsi="Times New Roman"/>
          <w:vertAlign w:val="superscript"/>
        </w:rPr>
        <w:footnoteRef/>
      </w:r>
      <w:r>
        <w:rPr>
          <w:rFonts w:ascii="Times New Roman" w:hAnsi="Times New Roman"/>
        </w:rPr>
        <w:t>)</w:t>
      </w:r>
      <w:r>
        <w:rPr>
          <w:rFonts w:ascii="Times New Roman" w:hAnsi="Times New Roman"/>
        </w:rPr>
        <w:tab/>
      </w:r>
      <w:r>
        <w:rPr>
          <w:rStyle w:val="FootnoteReference"/>
          <w:rFonts w:ascii="Times New Roman" w:hAnsi="Times New Roman"/>
          <w:lang w:eastAsia="en-US"/>
        </w:rPr>
        <w:t>Stjtíð. EB L 83, 27.3.1999, bls.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65"/>
    <w:rsid w:val="00320332"/>
    <w:rsid w:val="00430165"/>
    <w:rsid w:val="006A624D"/>
    <w:rsid w:val="009312D0"/>
    <w:rsid w:val="009A4332"/>
    <w:rsid w:val="00D5324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83165E-CBE1-4C34-AAF4-613375E0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footnote reference"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autoSpaceDN w:val="0"/>
      <w:adjustRightInd w:val="0"/>
      <w:spacing w:before="120" w:after="120" w:line="288" w:lineRule="auto"/>
      <w:jc w:val="both"/>
      <w:textAlignment w:val="center"/>
    </w:pPr>
    <w:rPr>
      <w:rFonts w:ascii="TimesNewRomanPSMT" w:hAnsi="TimesNewRomanPSMT" w:cs="TimesNewRomanPSMT"/>
      <w:color w:val="000000"/>
      <w:sz w:val="24"/>
      <w:szCs w:val="24"/>
      <w:lang w:val="is-IS"/>
    </w:rPr>
  </w:style>
  <w:style w:type="paragraph" w:styleId="Heading1">
    <w:name w:val="heading 1"/>
    <w:basedOn w:val="Normal"/>
    <w:next w:val="Text1"/>
    <w:link w:val="Heading1Char"/>
    <w:uiPriority w:val="99"/>
    <w:qFormat/>
    <w:pPr>
      <w:keepNext/>
      <w:tabs>
        <w:tab w:val="left" w:pos="850"/>
      </w:tabs>
      <w:spacing w:before="360"/>
      <w:ind w:left="850" w:hanging="850"/>
      <w:outlineLvl w:val="0"/>
    </w:pPr>
    <w:rPr>
      <w:rFonts w:ascii="TimesNewRomanPS-BoldMT" w:hAnsi="TimesNewRomanPS-BoldMT" w:cs="TimesNewRomanPS-BoldMT"/>
      <w:b/>
      <w:bCs/>
      <w:smallCap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color w:val="000000"/>
      <w:kern w:val="32"/>
      <w:sz w:val="32"/>
      <w:lang w:val="is-IS" w:eastAsia="x-none"/>
    </w:rPr>
  </w:style>
  <w:style w:type="paragraph" w:customStyle="1" w:styleId="NoParagraphStyle">
    <w:name w:val="[No Paragraph Style]"/>
    <w:uiPriority w:val="99"/>
    <w:pPr>
      <w:widowControl w:val="0"/>
      <w:autoSpaceDE w:val="0"/>
      <w:autoSpaceDN w:val="0"/>
      <w:adjustRightInd w:val="0"/>
      <w:spacing w:after="0" w:line="288" w:lineRule="auto"/>
      <w:textAlignment w:val="center"/>
    </w:pPr>
    <w:rPr>
      <w:rFonts w:ascii="Times-Roman" w:hAnsi="Times-Roman" w:cs="Times-Roman"/>
      <w:color w:val="000000"/>
      <w:sz w:val="24"/>
      <w:szCs w:val="24"/>
      <w:lang w:val="is-IS"/>
    </w:rPr>
  </w:style>
  <w:style w:type="paragraph" w:customStyle="1" w:styleId="Typedudocument">
    <w:name w:val="Type du document"/>
    <w:basedOn w:val="Normal"/>
    <w:next w:val="Datedadoption"/>
    <w:uiPriority w:val="99"/>
    <w:pPr>
      <w:spacing w:before="360" w:after="0"/>
      <w:jc w:val="center"/>
    </w:pPr>
    <w:rPr>
      <w:rFonts w:ascii="TimesNewRomanPS-BoldMT" w:hAnsi="TimesNewRomanPS-BoldMT" w:cs="TimesNewRomanPS-BoldMT"/>
      <w:b/>
      <w:bCs/>
    </w:rPr>
  </w:style>
  <w:style w:type="paragraph" w:customStyle="1" w:styleId="Datedadoption">
    <w:name w:val="Date d'adoption"/>
    <w:basedOn w:val="Normal"/>
    <w:next w:val="Titreobjet"/>
    <w:uiPriority w:val="99"/>
    <w:pPr>
      <w:spacing w:before="360" w:after="0"/>
      <w:jc w:val="center"/>
    </w:pPr>
    <w:rPr>
      <w:rFonts w:ascii="TimesNewRomanPS-BoldMT" w:hAnsi="TimesNewRomanPS-BoldMT" w:cs="TimesNewRomanPS-BoldMT"/>
      <w:b/>
      <w:bCs/>
    </w:rPr>
  </w:style>
  <w:style w:type="paragraph" w:customStyle="1" w:styleId="Titreobjet">
    <w:name w:val="Titre objet"/>
    <w:basedOn w:val="Normal"/>
    <w:next w:val="Sous-titreobjet"/>
    <w:uiPriority w:val="99"/>
    <w:pPr>
      <w:spacing w:before="360" w:after="360"/>
      <w:jc w:val="center"/>
    </w:pPr>
    <w:rPr>
      <w:rFonts w:ascii="TimesNewRomanPS-BoldMT" w:hAnsi="TimesNewRomanPS-BoldMT" w:cs="TimesNewRomanPS-BoldMT"/>
      <w:b/>
      <w:bCs/>
    </w:rPr>
  </w:style>
  <w:style w:type="paragraph" w:customStyle="1" w:styleId="Institutionquiagit">
    <w:name w:val="Institution qui agit"/>
    <w:basedOn w:val="Normal"/>
    <w:next w:val="Normal"/>
    <w:uiPriority w:val="99"/>
    <w:pPr>
      <w:keepNext/>
      <w:spacing w:before="600"/>
    </w:pPr>
  </w:style>
  <w:style w:type="paragraph" w:customStyle="1" w:styleId="ManualConsidrant">
    <w:name w:val="Manual Considérant"/>
    <w:basedOn w:val="Normal"/>
    <w:uiPriority w:val="99"/>
    <w:pPr>
      <w:ind w:left="709" w:hanging="709"/>
    </w:pPr>
  </w:style>
  <w:style w:type="paragraph" w:customStyle="1" w:styleId="Formuledadoption">
    <w:name w:val="Formule d'adoption"/>
    <w:basedOn w:val="Normal"/>
    <w:next w:val="Titrearticle"/>
    <w:uiPriority w:val="99"/>
    <w:pPr>
      <w:keepNext/>
    </w:pPr>
  </w:style>
  <w:style w:type="paragraph" w:customStyle="1" w:styleId="Titrearticle">
    <w:name w:val="Titre article"/>
    <w:basedOn w:val="Normal"/>
    <w:next w:val="Normal"/>
    <w:uiPriority w:val="99"/>
    <w:pPr>
      <w:keepNext/>
      <w:spacing w:before="360"/>
      <w:jc w:val="center"/>
    </w:pPr>
    <w:rPr>
      <w:rFonts w:ascii="TimesNewRomanPS-ItalicMT" w:hAnsi="TimesNewRomanPS-ItalicMT" w:cs="TimesNewRomanPS-ItalicMT"/>
      <w:i/>
      <w:iCs/>
    </w:rPr>
  </w:style>
  <w:style w:type="paragraph" w:customStyle="1" w:styleId="Point0">
    <w:name w:val="Point 0"/>
    <w:basedOn w:val="Normal"/>
    <w:uiPriority w:val="99"/>
    <w:pPr>
      <w:ind w:left="851" w:hanging="851"/>
    </w:pPr>
  </w:style>
  <w:style w:type="paragraph" w:customStyle="1" w:styleId="NormalCentered">
    <w:name w:val="Normal Centered"/>
    <w:basedOn w:val="Normal"/>
    <w:uiPriority w:val="99"/>
    <w:pPr>
      <w:jc w:val="center"/>
    </w:pPr>
  </w:style>
  <w:style w:type="paragraph" w:customStyle="1" w:styleId="Point1">
    <w:name w:val="Point 1"/>
    <w:basedOn w:val="Normal"/>
    <w:uiPriority w:val="99"/>
    <w:pPr>
      <w:ind w:left="1418" w:hanging="567"/>
    </w:pPr>
  </w:style>
  <w:style w:type="paragraph" w:customStyle="1" w:styleId="SectionTitle">
    <w:name w:val="SectionTitle"/>
    <w:basedOn w:val="Normal"/>
    <w:next w:val="Heading1"/>
    <w:uiPriority w:val="99"/>
    <w:pPr>
      <w:keepNext/>
      <w:spacing w:after="360"/>
      <w:jc w:val="center"/>
    </w:pPr>
    <w:rPr>
      <w:rFonts w:ascii="TimesNewRomanPS-BoldMT" w:hAnsi="TimesNewRomanPS-BoldMT" w:cs="TimesNewRomanPS-BoldMT"/>
      <w:b/>
      <w:bCs/>
      <w:smallCaps/>
      <w:sz w:val="28"/>
      <w:szCs w:val="28"/>
    </w:rPr>
  </w:style>
  <w:style w:type="paragraph" w:customStyle="1" w:styleId="Applicationdirecte">
    <w:name w:val="Application directe"/>
    <w:basedOn w:val="Normal"/>
    <w:next w:val="Fait"/>
    <w:uiPriority w:val="99"/>
    <w:pPr>
      <w:spacing w:before="480"/>
    </w:pPr>
  </w:style>
  <w:style w:type="paragraph" w:customStyle="1" w:styleId="Fait">
    <w:name w:val="Fait à"/>
    <w:basedOn w:val="Normal"/>
    <w:next w:val="NoParagraphStyle"/>
    <w:uiPriority w:val="99"/>
    <w:pPr>
      <w:keepNext/>
      <w:spacing w:after="0"/>
    </w:pPr>
  </w:style>
  <w:style w:type="paragraph" w:customStyle="1" w:styleId="Footnote">
    <w:name w:val="Footnote"/>
    <w:basedOn w:val="NoParagraphStyle"/>
    <w:uiPriority w:val="99"/>
    <w:pPr>
      <w:suppressAutoHyphens/>
      <w:ind w:left="283" w:hanging="283"/>
      <w:jc w:val="both"/>
    </w:pPr>
    <w:rPr>
      <w:rFonts w:ascii="TimesNewRomanPSMT" w:hAnsi="TimesNewRomanPSMT" w:cs="TimesNewRomanPSMT"/>
      <w:sz w:val="14"/>
      <w:szCs w:val="14"/>
    </w:rPr>
  </w:style>
  <w:style w:type="paragraph" w:customStyle="1" w:styleId="Sous-titreobjet">
    <w:name w:val="Sous-titre objet"/>
    <w:basedOn w:val="Titreobjet"/>
    <w:uiPriority w:val="99"/>
    <w:pPr>
      <w:spacing w:before="0" w:after="0"/>
    </w:pPr>
  </w:style>
  <w:style w:type="paragraph" w:customStyle="1" w:styleId="Text1">
    <w:name w:val="Text 1"/>
    <w:basedOn w:val="Normal"/>
    <w:uiPriority w:val="99"/>
    <w:pPr>
      <w:ind w:left="851"/>
    </w:pPr>
  </w:style>
  <w:style w:type="character" w:styleId="FootnoteReference">
    <w:name w:val="footnote reference"/>
    <w:basedOn w:val="DefaultParagraphFont"/>
    <w:uiPriority w:val="99"/>
    <w:rPr>
      <w:rFonts w:ascii="TimesNewRomanPSMT" w:hAnsi="TimesNewRomanPSMT" w:cs="TimesNewRomanPSMT"/>
      <w:color w:val="000000"/>
      <w:w w:val="100"/>
      <w:vertAlign w:val="superscript"/>
      <w:lang w:val="is-I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4307</Words>
  <Characters>24551</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COUNCIL REGULATION (EU) No 734/2013</vt:lpstr>
    </vt:vector>
  </TitlesOfParts>
  <Company>Utanríkisráðuneyið</Company>
  <LinksUpToDate>false</LinksUpToDate>
  <CharactersWithSpaces>28801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REGULATION (EU) No 734/2013</dc:title>
  <dc:subject/>
  <dc:creator>Sigrún Ásmundsdóttir</dc:creator>
  <cp:keywords/>
  <dc:description/>
  <cp:lastModifiedBy>Sesselja Sigurðardóttir</cp:lastModifiedBy>
  <cp:revision>2</cp:revision>
  <dcterms:created xsi:type="dcterms:W3CDTF">2015-05-15T16:10:00Z</dcterms:created>
  <dcterms:modified xsi:type="dcterms:W3CDTF">2015-05-15T16:10:00Z</dcterms:modified>
</cp:coreProperties>
</file>