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047EA9" w:rsidRPr="00011CA0" w14:paraId="0689605A" w14:textId="77777777" w:rsidTr="00ED20FF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C6F514" w14:textId="77777777" w:rsidR="00047EA9" w:rsidRPr="00011CA0" w:rsidRDefault="00047EA9" w:rsidP="00047EA9">
            <w:p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i/>
                <w:noProof/>
                <w:lang w:val="is-IS"/>
              </w:rPr>
              <w:drawing>
                <wp:inline distT="0" distB="0" distL="0" distR="0" wp14:anchorId="5A427B4D" wp14:editId="43811A01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4CE45" w14:textId="77777777" w:rsidR="00047EA9" w:rsidRPr="00011CA0" w:rsidRDefault="00047EA9" w:rsidP="009A0866">
            <w:pPr>
              <w:spacing w:before="240"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t xml:space="preserve">      </w:t>
            </w:r>
            <w:r w:rsidRPr="00011CA0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0F59E3EB" w14:textId="77777777" w:rsidR="00047EA9" w:rsidRPr="00011CA0" w:rsidRDefault="00047EA9" w:rsidP="00047EA9">
            <w:pPr>
              <w:spacing w:after="160" w:line="259" w:lineRule="auto"/>
              <w:rPr>
                <w:rFonts w:ascii="Times New Roman" w:hAnsi="Times New Roman" w:cs="Times New Roman"/>
                <w:i/>
                <w:lang w:val="is-IS"/>
              </w:rPr>
            </w:pPr>
            <w:r w:rsidRPr="00011CA0">
              <w:rPr>
                <w:rFonts w:ascii="Times New Roman" w:hAnsi="Times New Roman" w:cs="Times New Roman"/>
                <w:i/>
                <w:lang w:val="is-IS"/>
              </w:rPr>
              <w:t xml:space="preserve">          – sbr. samþykkt ríkisstjórnar frá 10. mars 2017, 1.-4.  gr.</w:t>
            </w:r>
          </w:p>
        </w:tc>
      </w:tr>
      <w:tr w:rsidR="00047EA9" w:rsidRPr="00011CA0" w14:paraId="5B3268C8" w14:textId="77777777" w:rsidTr="00ED20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F421617" w14:textId="77777777" w:rsidR="00047EA9" w:rsidRPr="00011CA0" w:rsidRDefault="00047EA9" w:rsidP="00047EA9">
            <w:p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7344C36B79324C3894D93F77FDB78956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564F72" w14:textId="1649CFCA" w:rsidR="00047EA9" w:rsidRPr="00011CA0" w:rsidRDefault="000402DD" w:rsidP="00047EA9">
                <w:pPr>
                  <w:spacing w:after="160" w:line="259" w:lineRule="auto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1356454851"/>
                    <w:placeholder>
                      <w:docPart w:val="1BB7C9DC5BF3489ABFBA6A58A6271C11"/>
                    </w:placeholder>
                  </w:sdtPr>
                  <w:sdtEndPr/>
                  <w:sdtContent>
                    <w:r w:rsidR="00047EA9" w:rsidRPr="00011CA0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  <w:r w:rsidR="007D41E5" w:rsidRPr="00011CA0">
                      <w:rPr>
                        <w:rFonts w:ascii="Times New Roman" w:hAnsi="Times New Roman" w:cs="Times New Roman"/>
                        <w:lang w:val="is-IS"/>
                      </w:rPr>
                      <w:t>FJR180</w:t>
                    </w:r>
                    <w:r w:rsidR="00385E01" w:rsidRPr="00011CA0">
                      <w:rPr>
                        <w:rFonts w:ascii="Times New Roman" w:hAnsi="Times New Roman" w:cs="Times New Roman"/>
                        <w:lang w:val="is-IS"/>
                      </w:rPr>
                      <w:t xml:space="preserve">70054 - </w:t>
                    </w:r>
                    <w:r w:rsidR="00753927" w:rsidRPr="00011CA0">
                      <w:rPr>
                        <w:rFonts w:ascii="Times New Roman" w:hAnsi="Times New Roman" w:cs="Times New Roman"/>
                        <w:lang w:val="is-IS"/>
                      </w:rPr>
                      <w:t>Breyting á lögum um fjármálafyrirtæki nr. 161/2002 (eiginfjáraukar</w:t>
                    </w:r>
                  </w:sdtContent>
                </w:sdt>
                <w:r w:rsidR="00753927" w:rsidRPr="00011CA0">
                  <w:rPr>
                    <w:rFonts w:ascii="Times New Roman" w:hAnsi="Times New Roman" w:cs="Times New Roman"/>
                    <w:lang w:val="is-IS"/>
                  </w:rPr>
                  <w:t>).</w:t>
                </w:r>
              </w:p>
            </w:tc>
          </w:sdtContent>
        </w:sdt>
      </w:tr>
      <w:tr w:rsidR="00047EA9" w:rsidRPr="00011CA0" w14:paraId="12DBE35A" w14:textId="77777777" w:rsidTr="00ED20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7EAAC7B" w14:textId="77777777" w:rsidR="00047EA9" w:rsidRPr="00011CA0" w:rsidRDefault="00047EA9" w:rsidP="00047EA9">
            <w:p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341F97DEF7914006954D47F8F9C564B6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40E7ACC5" w14:textId="77777777" w:rsidR="00047EA9" w:rsidRPr="00011CA0" w:rsidRDefault="00047EA9" w:rsidP="00047EA9">
                <w:pPr>
                  <w:spacing w:after="160" w:line="259" w:lineRule="auto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Fjármála- og efnahagsráðuneytið.</w:t>
                </w:r>
              </w:p>
            </w:tc>
          </w:sdtContent>
        </w:sdt>
      </w:tr>
      <w:tr w:rsidR="00047EA9" w:rsidRPr="00011CA0" w14:paraId="1AB273B8" w14:textId="77777777" w:rsidTr="00ED20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18ADA8BF" w14:textId="77777777" w:rsidR="00047EA9" w:rsidRPr="00011CA0" w:rsidRDefault="00047EA9" w:rsidP="00047EA9">
            <w:p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592F71F0" w14:textId="77777777" w:rsidR="00047EA9" w:rsidRPr="00011CA0" w:rsidRDefault="000402DD" w:rsidP="00047EA9">
            <w:pPr>
              <w:spacing w:after="160" w:line="259" w:lineRule="auto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A9" w:rsidRPr="00011CA0">
                  <w:rPr>
                    <w:rFonts w:ascii="Segoe UI Symbol" w:hAnsi="Segoe UI Symbol" w:cs="Segoe UI Symbol"/>
                    <w:lang w:val="is-IS"/>
                  </w:rPr>
                  <w:t>☒</w:t>
                </w:r>
              </w:sdtContent>
            </w:sdt>
            <w:r w:rsidR="00047EA9" w:rsidRPr="00011CA0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0C32FA21" w14:textId="77777777" w:rsidR="00047EA9" w:rsidRPr="00011CA0" w:rsidRDefault="000402DD" w:rsidP="00047EA9">
            <w:pPr>
              <w:spacing w:after="160" w:line="259" w:lineRule="auto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A9" w:rsidRPr="00011CA0">
                  <w:rPr>
                    <w:rFonts w:ascii="Segoe UI Symbol" w:hAnsi="Segoe UI Symbol" w:cs="Segoe UI Symbol"/>
                    <w:lang w:val="is-IS"/>
                  </w:rPr>
                  <w:t>☐</w:t>
                </w:r>
              </w:sdtContent>
            </w:sdt>
            <w:r w:rsidR="00047EA9" w:rsidRPr="00011CA0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047EA9" w:rsidRPr="00011CA0" w14:paraId="2F2BDECA" w14:textId="77777777" w:rsidTr="00ED20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85E" w14:textId="77777777" w:rsidR="00047EA9" w:rsidRPr="00011CA0" w:rsidRDefault="00047EA9" w:rsidP="00047EA9">
            <w:p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2F85C5" w14:textId="3AAA6896" w:rsidR="00047EA9" w:rsidRPr="00011CA0" w:rsidRDefault="00047EA9" w:rsidP="00047EA9">
                <w:pPr>
                  <w:spacing w:after="160" w:line="259" w:lineRule="auto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53927" w:rsidRPr="00011CA0">
                  <w:rPr>
                    <w:rFonts w:ascii="Times New Roman" w:hAnsi="Times New Roman" w:cs="Times New Roman"/>
                    <w:lang w:val="is-IS"/>
                  </w:rPr>
                  <w:t xml:space="preserve">18. </w:t>
                </w:r>
                <w:r w:rsidR="004C6DC2">
                  <w:rPr>
                    <w:rFonts w:ascii="Times New Roman" w:hAnsi="Times New Roman" w:cs="Times New Roman"/>
                    <w:lang w:val="is-IS"/>
                  </w:rPr>
                  <w:t>ágúst</w:t>
                </w:r>
                <w:r w:rsidR="00753927" w:rsidRPr="00011CA0">
                  <w:rPr>
                    <w:rFonts w:ascii="Times New Roman" w:hAnsi="Times New Roman" w:cs="Times New Roman"/>
                    <w:lang w:val="is-IS"/>
                  </w:rPr>
                  <w:t xml:space="preserve"> 2018.</w:t>
                </w:r>
              </w:p>
            </w:tc>
          </w:sdtContent>
        </w:sdt>
      </w:tr>
    </w:tbl>
    <w:p w14:paraId="410EA78D" w14:textId="77777777" w:rsidR="00047EA9" w:rsidRPr="00011CA0" w:rsidRDefault="00047EA9" w:rsidP="00047EA9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047EA9" w:rsidRPr="00011CA0" w14:paraId="7FA3AEEC" w14:textId="77777777" w:rsidTr="00ED20FF">
        <w:tc>
          <w:tcPr>
            <w:tcW w:w="9288" w:type="dxa"/>
            <w:shd w:val="clear" w:color="auto" w:fill="92CDDC" w:themeFill="accent5" w:themeFillTint="99"/>
          </w:tcPr>
          <w:p w14:paraId="6A3EA097" w14:textId="77777777" w:rsidR="00047EA9" w:rsidRPr="00011CA0" w:rsidRDefault="00047EA9" w:rsidP="00047EA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047EA9" w:rsidRPr="00011CA0" w14:paraId="457848E5" w14:textId="77777777" w:rsidTr="00ED20FF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 w14:paraId="457A8D6B" w14:textId="77777777" w:rsidR="00047EA9" w:rsidRPr="00011CA0" w:rsidRDefault="00047EA9" w:rsidP="00047EA9">
                <w:pPr>
                  <w:numPr>
                    <w:ilvl w:val="0"/>
                    <w:numId w:val="4"/>
                  </w:numPr>
                  <w:spacing w:after="160" w:line="259" w:lineRule="auto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>Forsaga máls og tilefni</w:t>
                </w:r>
              </w:p>
              <w:p w14:paraId="09901B1D" w14:textId="6FAB0B41" w:rsidR="00E77B41" w:rsidRPr="00011CA0" w:rsidRDefault="00F25400" w:rsidP="004767D3">
                <w:pPr>
                  <w:spacing w:after="160"/>
                  <w:ind w:left="3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Með lögum nr. 57/2015 v</w:t>
                </w:r>
                <w:r w:rsidR="00CD1767">
                  <w:rPr>
                    <w:rFonts w:ascii="Times New Roman" w:hAnsi="Times New Roman" w:cs="Times New Roman"/>
                    <w:lang w:val="is-IS"/>
                  </w:rPr>
                  <w:t>oru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gerð</w:t>
                </w:r>
                <w:r w:rsidR="00CD1767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D1767">
                  <w:rPr>
                    <w:rFonts w:ascii="Times New Roman" w:hAnsi="Times New Roman" w:cs="Times New Roman"/>
                    <w:lang w:val="is-IS"/>
                  </w:rPr>
                  <w:t>ýmsar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breytinga</w:t>
                </w:r>
                <w:r w:rsidR="00CD1767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á lögum nr. 161/2002, um fjármálafyrirtæki</w:t>
                </w:r>
                <w:r w:rsidR="00CD1767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m.</w:t>
                </w:r>
                <w:r w:rsidR="00CD1767">
                  <w:rPr>
                    <w:rFonts w:ascii="Times New Roman" w:hAnsi="Times New Roman" w:cs="Times New Roman"/>
                    <w:lang w:val="is-IS"/>
                  </w:rPr>
                  <w:t xml:space="preserve">a. 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>bættust við lögin ný ákvæði um eiginfjárauka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>, sem bygg</w:t>
                </w:r>
                <w:r w:rsidR="00CD1767">
                  <w:rPr>
                    <w:rFonts w:ascii="Times New Roman" w:hAnsi="Times New Roman" w:cs="Times New Roman"/>
                    <w:lang w:val="is-IS"/>
                  </w:rPr>
                  <w:t>ðu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 xml:space="preserve"> á ákvæðum tilskipunar</w:t>
                </w:r>
                <w:r w:rsidR="00462FBA" w:rsidRPr="00011CA0">
                  <w:rPr>
                    <w:rFonts w:ascii="Times New Roman" w:hAnsi="Times New Roman" w:cs="Times New Roman"/>
                    <w:lang w:val="is-IS"/>
                  </w:rPr>
                  <w:t xml:space="preserve"> 2013/36/ESB (CRD IV tilskipunarinnar)</w:t>
                </w:r>
                <w:r w:rsidR="00D5734A" w:rsidRPr="00011CA0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F818AC"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14185" w:rsidRPr="00011CA0">
                  <w:rPr>
                    <w:rFonts w:ascii="Times New Roman" w:hAnsi="Times New Roman" w:cs="Times New Roman"/>
                    <w:lang w:val="is-IS"/>
                  </w:rPr>
                  <w:t xml:space="preserve">Með lögum nr. 96/2016 voru gerðar frekari breytingar á lögum nr. 161/2002, um fjármálafyrirtæki m.a. á ákvæðum laganna um eigið fé fjármálafyrirtækja. </w:t>
                </w:r>
              </w:p>
              <w:p w14:paraId="786CE7D2" w14:textId="367B0F85" w:rsidR="00914185" w:rsidRPr="00011CA0" w:rsidRDefault="00914185" w:rsidP="004767D3">
                <w:pPr>
                  <w:spacing w:after="160"/>
                  <w:ind w:left="3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Í gildandi lögum er kveðið á um fjóra eiginfjárauka og er tilgangur þeirra að 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 xml:space="preserve">auka viðnámsþrótt </w:t>
                </w:r>
                <w:r w:rsidR="00BC397E">
                  <w:rPr>
                    <w:rFonts w:ascii="Times New Roman" w:hAnsi="Times New Roman" w:cs="Times New Roman"/>
                    <w:lang w:val="is-IS"/>
                  </w:rPr>
                  <w:t>fjármálafyrirtækja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D1767">
                  <w:rPr>
                    <w:rFonts w:ascii="Times New Roman" w:hAnsi="Times New Roman" w:cs="Times New Roman"/>
                    <w:lang w:val="is-IS"/>
                  </w:rPr>
                  <w:t>gegn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 xml:space="preserve"> áföllum og stuðla að jafnara lánsframboði í gegnum hag- og fjármálasveiflur.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C2F22">
                  <w:rPr>
                    <w:rFonts w:ascii="Times New Roman" w:hAnsi="Times New Roman" w:cs="Times New Roman"/>
                    <w:lang w:val="is-IS"/>
                  </w:rPr>
                  <w:t>Eiginfjára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>ukarnir fjórir eru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verndunarauk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>, sveiflujöfnunarauk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>, eiginfjárauk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vegna kerfisáhættu og eiginfjárauk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á kerfislega mikilvæg fjármálafyrirtæki. 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 xml:space="preserve">Þá er alla að finna í 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>CRD IV tilskipunin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>ni en hún kveður jafnframt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á um fimmta eiginfjáraukann sem ekki hefur </w:t>
                </w:r>
                <w:r w:rsidR="009A0866">
                  <w:rPr>
                    <w:rFonts w:ascii="Times New Roman" w:hAnsi="Times New Roman" w:cs="Times New Roman"/>
                    <w:lang w:val="is-IS"/>
                  </w:rPr>
                  <w:t>verið lögfestur á Íslandi, þ.e.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eiginfjárauk</w:t>
                </w:r>
                <w:r w:rsidR="00CD1767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á kerfislega mikilvæg fjármálafyrirtæki á </w:t>
                </w:r>
                <w:r w:rsidR="007A1C49" w:rsidRPr="00011CA0">
                  <w:rPr>
                    <w:rFonts w:ascii="Times New Roman" w:hAnsi="Times New Roman" w:cs="Times New Roman"/>
                    <w:lang w:val="is-IS"/>
                  </w:rPr>
                  <w:t>alþjóðavísu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(e. </w:t>
                </w:r>
                <w:proofErr w:type="spellStart"/>
                <w:r w:rsidR="007A1C49" w:rsidRPr="00011CA0">
                  <w:rPr>
                    <w:rFonts w:ascii="Times New Roman" w:hAnsi="Times New Roman" w:cs="Times New Roman"/>
                    <w:lang w:val="is-IS"/>
                  </w:rPr>
                  <w:t>Globally</w:t>
                </w:r>
                <w:proofErr w:type="spellEnd"/>
                <w:r w:rsidR="007A1C49"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7A1C49" w:rsidRPr="00011CA0">
                  <w:rPr>
                    <w:rFonts w:ascii="Times New Roman" w:hAnsi="Times New Roman" w:cs="Times New Roman"/>
                    <w:lang w:val="is-IS"/>
                  </w:rPr>
                  <w:t>Systemically</w:t>
                </w:r>
                <w:proofErr w:type="spellEnd"/>
                <w:r w:rsidR="007A1C49"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8B688E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7A1C49" w:rsidRPr="00011CA0">
                  <w:rPr>
                    <w:rFonts w:ascii="Times New Roman" w:hAnsi="Times New Roman" w:cs="Times New Roman"/>
                    <w:lang w:val="is-IS"/>
                  </w:rPr>
                  <w:t>mportant</w:t>
                </w:r>
                <w:proofErr w:type="spellEnd"/>
                <w:r w:rsidR="007A1C49"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B688E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7A1C49" w:rsidRPr="00011CA0">
                  <w:rPr>
                    <w:rFonts w:ascii="Times New Roman" w:hAnsi="Times New Roman" w:cs="Times New Roman"/>
                    <w:lang w:val="is-IS"/>
                  </w:rPr>
                  <w:t xml:space="preserve">nstitutions). </w:t>
                </w:r>
                <w:r w:rsidR="004767D3">
                  <w:rPr>
                    <w:rFonts w:ascii="Times New Roman" w:hAnsi="Times New Roman" w:cs="Times New Roman"/>
                    <w:lang w:val="is-IS"/>
                  </w:rPr>
                  <w:t xml:space="preserve">Er nú áformað að 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>lögfesta þennan fimmta eiginfjárauka.</w:t>
                </w:r>
              </w:p>
              <w:p w14:paraId="05065DA7" w14:textId="26FAC0E4" w:rsidR="00787898" w:rsidRPr="00011CA0" w:rsidRDefault="004767D3" w:rsidP="004767D3">
                <w:pPr>
                  <w:spacing w:after="160"/>
                  <w:ind w:left="3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787898" w:rsidRPr="00011CA0">
                  <w:rPr>
                    <w:rFonts w:ascii="Times New Roman" w:hAnsi="Times New Roman" w:cs="Times New Roman"/>
                    <w:lang w:val="is-IS"/>
                  </w:rPr>
                  <w:t xml:space="preserve"> CRD IV tilskipun</w:t>
                </w:r>
                <w:r>
                  <w:rPr>
                    <w:rFonts w:ascii="Times New Roman" w:hAnsi="Times New Roman" w:cs="Times New Roman"/>
                    <w:lang w:val="is-IS"/>
                  </w:rPr>
                  <w:t>inni</w:t>
                </w:r>
                <w:r w:rsidR="00787898" w:rsidRPr="00011CA0">
                  <w:rPr>
                    <w:rFonts w:ascii="Times New Roman" w:hAnsi="Times New Roman" w:cs="Times New Roman"/>
                    <w:lang w:val="is-IS"/>
                  </w:rPr>
                  <w:t xml:space="preserve"> er</w:t>
                </w:r>
                <w:r w:rsidR="00CD1767">
                  <w:rPr>
                    <w:rFonts w:ascii="Times New Roman" w:hAnsi="Times New Roman" w:cs="Times New Roman"/>
                    <w:lang w:val="is-IS"/>
                  </w:rPr>
                  <w:t xml:space="preserve"> að</w:t>
                </w:r>
                <w:r w:rsidR="00787898" w:rsidRPr="00011CA0">
                  <w:rPr>
                    <w:rFonts w:ascii="Times New Roman" w:hAnsi="Times New Roman" w:cs="Times New Roman"/>
                    <w:lang w:val="is-IS"/>
                  </w:rPr>
                  <w:t xml:space="preserve"> finna ákvæði </w:t>
                </w:r>
                <w:r w:rsidR="004F5897" w:rsidRPr="00011CA0">
                  <w:rPr>
                    <w:rFonts w:ascii="Times New Roman" w:hAnsi="Times New Roman" w:cs="Times New Roman"/>
                    <w:lang w:val="is-IS"/>
                  </w:rPr>
                  <w:t xml:space="preserve">um tilkynningaskyldu til </w:t>
                </w:r>
                <w:r w:rsidR="007B6361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4F5897" w:rsidRPr="00011CA0">
                  <w:rPr>
                    <w:rFonts w:ascii="Times New Roman" w:hAnsi="Times New Roman" w:cs="Times New Roman"/>
                    <w:lang w:val="is-IS"/>
                  </w:rPr>
                  <w:t xml:space="preserve">vrópskra eftirlitsstofnana á fjármálamarkaði og aðkomu þeirra að ákvörðunum um gildi eiginfjárauka o.fl. Reglugerðir Evrópusambandsins um </w:t>
                </w:r>
                <w:r w:rsidR="008B688E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4F5897" w:rsidRPr="00011CA0">
                  <w:rPr>
                    <w:rFonts w:ascii="Times New Roman" w:hAnsi="Times New Roman" w:cs="Times New Roman"/>
                    <w:lang w:val="is-IS"/>
                  </w:rPr>
                  <w:t>vrópskar eftirlitsstofnanir á fjármálamarkaði voru ekki orð</w:t>
                </w:r>
                <w:r w:rsidR="00CD1767"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4F5897" w:rsidRPr="00011CA0">
                  <w:rPr>
                    <w:rFonts w:ascii="Times New Roman" w:hAnsi="Times New Roman" w:cs="Times New Roman"/>
                    <w:lang w:val="is-IS"/>
                  </w:rPr>
                  <w:t xml:space="preserve">ar hluti EES-samningsins þegar </w:t>
                </w:r>
                <w:r w:rsidR="00A11FC7">
                  <w:rPr>
                    <w:rFonts w:ascii="Times New Roman" w:hAnsi="Times New Roman" w:cs="Times New Roman"/>
                    <w:lang w:val="is-IS"/>
                  </w:rPr>
                  <w:t xml:space="preserve">frumvörp sem urðu að lögum nr. 57/2015 og nr. 96/2016 voru til meðferðar </w:t>
                </w:r>
                <w:r w:rsidR="00F51639">
                  <w:rPr>
                    <w:rFonts w:ascii="Times New Roman" w:hAnsi="Times New Roman" w:cs="Times New Roman"/>
                    <w:lang w:val="is-IS"/>
                  </w:rPr>
                  <w:t>á</w:t>
                </w:r>
                <w:r w:rsidR="00A11FC7">
                  <w:rPr>
                    <w:rFonts w:ascii="Times New Roman" w:hAnsi="Times New Roman" w:cs="Times New Roman"/>
                    <w:lang w:val="is-IS"/>
                  </w:rPr>
                  <w:t xml:space="preserve"> Alþingi </w:t>
                </w:r>
                <w:r w:rsidR="004F5897" w:rsidRPr="00011CA0">
                  <w:rPr>
                    <w:rFonts w:ascii="Times New Roman" w:hAnsi="Times New Roman" w:cs="Times New Roman"/>
                    <w:lang w:val="is-IS"/>
                  </w:rPr>
                  <w:t xml:space="preserve">og var ákveðið að bíða með innleiðingu þeirra </w:t>
                </w:r>
                <w:r w:rsidR="00A11FC7">
                  <w:rPr>
                    <w:rFonts w:ascii="Times New Roman" w:hAnsi="Times New Roman" w:cs="Times New Roman"/>
                    <w:lang w:val="is-IS"/>
                  </w:rPr>
                  <w:t xml:space="preserve">ákvæða CRD IV tilskipunarinnar sem vísa til </w:t>
                </w:r>
                <w:r w:rsidR="008B688E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A11FC7">
                  <w:rPr>
                    <w:rFonts w:ascii="Times New Roman" w:hAnsi="Times New Roman" w:cs="Times New Roman"/>
                    <w:lang w:val="is-IS"/>
                  </w:rPr>
                  <w:t xml:space="preserve">vrópskra eftirlitsstofnanna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þar til </w:t>
                </w:r>
                <w:r w:rsidR="00A11FC7">
                  <w:rPr>
                    <w:rFonts w:ascii="Times New Roman" w:hAnsi="Times New Roman" w:cs="Times New Roman"/>
                    <w:lang w:val="is-IS"/>
                  </w:rPr>
                  <w:t xml:space="preserve">reglugerðir um </w:t>
                </w:r>
                <w:r w:rsidR="008B688E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A11FC7">
                  <w:rPr>
                    <w:rFonts w:ascii="Times New Roman" w:hAnsi="Times New Roman" w:cs="Times New Roman"/>
                    <w:lang w:val="is-IS"/>
                  </w:rPr>
                  <w:t xml:space="preserve">vrópskar eftirlitsstofnanir á fjármálamarkaði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yrðu</w:t>
                </w:r>
                <w:r w:rsidR="004F5897" w:rsidRPr="00011CA0">
                  <w:rPr>
                    <w:rFonts w:ascii="Times New Roman" w:hAnsi="Times New Roman" w:cs="Times New Roman"/>
                    <w:lang w:val="is-IS"/>
                  </w:rPr>
                  <w:t xml:space="preserve"> teknar upp í EES-samninginn. Evrópsku reglugerðirnar voru teknar upp í landsrétt með lögum nr. 24/2017, um evrópskt eftirlitskerfi á fjármálamarkaði eftir að Evrópureglugerðirnar (reglugerðir (ESB) nr. 1092/2010 1093/2010, 1094/2010 og 1095/2010</w:t>
                </w:r>
                <w:r w:rsidR="00590FAD">
                  <w:rPr>
                    <w:rFonts w:ascii="Times New Roman" w:hAnsi="Times New Roman" w:cs="Times New Roman"/>
                    <w:lang w:val="is-IS"/>
                  </w:rPr>
                  <w:t>)</w:t>
                </w:r>
                <w:r w:rsidR="004F5897"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D1767">
                  <w:rPr>
                    <w:rFonts w:ascii="Times New Roman" w:hAnsi="Times New Roman" w:cs="Times New Roman"/>
                    <w:lang w:val="is-IS"/>
                  </w:rPr>
                  <w:t>höfðu verið</w:t>
                </w:r>
                <w:r w:rsidR="004F5897" w:rsidRPr="00011CA0">
                  <w:rPr>
                    <w:rFonts w:ascii="Times New Roman" w:hAnsi="Times New Roman" w:cs="Times New Roman"/>
                    <w:lang w:val="is-IS"/>
                  </w:rPr>
                  <w:t xml:space="preserve"> aðlagaðar að EES-samningnum. </w:t>
                </w:r>
              </w:p>
              <w:p w14:paraId="1468BF1A" w14:textId="3DF4F3FF" w:rsidR="004E46EA" w:rsidRDefault="00CF64C4" w:rsidP="00472682">
                <w:pPr>
                  <w:spacing w:after="160"/>
                  <w:ind w:left="3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Í 86. gr. b – 86. gr. d laga</w:t>
                </w:r>
                <w:r w:rsidR="004767D3">
                  <w:rPr>
                    <w:rFonts w:ascii="Times New Roman" w:hAnsi="Times New Roman" w:cs="Times New Roman"/>
                    <w:lang w:val="is-IS"/>
                  </w:rPr>
                  <w:t xml:space="preserve"> nr. 161/2002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er kveðið á um hvernig sveiflujöfnunarauki, eiginfjárauki vegna kerfisáhættu og eiginfjárauki fyrir kerfislega mikilvæg fjármálafyrirtæki er</w:t>
                </w:r>
                <w:r w:rsidR="004767D3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ákvarðað</w:t>
                </w:r>
                <w:r w:rsidR="004767D3">
                  <w:rPr>
                    <w:rFonts w:ascii="Times New Roman" w:hAnsi="Times New Roman" w:cs="Times New Roman"/>
                    <w:lang w:val="is-IS"/>
                  </w:rPr>
                  <w:t>ir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en verndunarauki sem kveðið er á um í 86. gr. e </w:t>
                </w:r>
                <w:r w:rsidR="00C93C01" w:rsidRPr="00011CA0">
                  <w:rPr>
                    <w:rFonts w:ascii="Times New Roman" w:hAnsi="Times New Roman" w:cs="Times New Roman"/>
                    <w:lang w:val="is-IS"/>
                  </w:rPr>
                  <w:t xml:space="preserve">laganna 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er fastur. </w:t>
                </w:r>
                <w:r w:rsidR="00F5108E" w:rsidRPr="00011CA0">
                  <w:rPr>
                    <w:rFonts w:ascii="Times New Roman" w:hAnsi="Times New Roman" w:cs="Times New Roman"/>
                    <w:lang w:val="is-IS"/>
                  </w:rPr>
                  <w:t xml:space="preserve">Samkvæmt 86. gr. c er Fjármálaeftirlitinu skylt að kveða árlega á um eiginfjárauka fyrir kerfislega mikilvæg fjármálafyrirtæki en samkvæmt 86. gr. b og 86. gr. d </w:t>
                </w:r>
                <w:r w:rsidR="00FB15FB" w:rsidRPr="00011CA0">
                  <w:rPr>
                    <w:rFonts w:ascii="Times New Roman" w:hAnsi="Times New Roman" w:cs="Times New Roman"/>
                    <w:lang w:val="is-IS"/>
                  </w:rPr>
                  <w:t xml:space="preserve">laganna </w:t>
                </w:r>
                <w:r w:rsidR="00F5108E" w:rsidRPr="00011CA0">
                  <w:rPr>
                    <w:rFonts w:ascii="Times New Roman" w:hAnsi="Times New Roman" w:cs="Times New Roman"/>
                    <w:lang w:val="is-IS"/>
                  </w:rPr>
                  <w:t xml:space="preserve">er Fjármálaeftirlitinu heimilt að kveða á um eiginfjárauka vegna kerfisáhættu og sveiflujöfnunarauka. 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>Allir eiginfjáraukarnir eru komnir til</w:t>
                </w:r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 xml:space="preserve"> framkvæmda hér á landi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 xml:space="preserve"> og hefur Fjármálaeftirlitið </w:t>
                </w:r>
                <w:r w:rsidR="004E46EA">
                  <w:rPr>
                    <w:rFonts w:ascii="Times New Roman" w:hAnsi="Times New Roman" w:cs="Times New Roman"/>
                    <w:lang w:val="is-IS"/>
                  </w:rPr>
                  <w:t xml:space="preserve">metið það svo að ákvarðanir um þá séu stjórnvaldsákvarðanir </w:t>
                </w:r>
                <w:r w:rsidR="00CB3C01"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 w:rsidR="00DD3477">
                  <w:rPr>
                    <w:rFonts w:ascii="Times New Roman" w:hAnsi="Times New Roman" w:cs="Times New Roman"/>
                    <w:lang w:val="is-IS"/>
                  </w:rPr>
                  <w:t>um þær gildi</w:t>
                </w:r>
                <w:r w:rsidR="004E46E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408C3" w:rsidRPr="00011CA0">
                  <w:rPr>
                    <w:rFonts w:ascii="Times New Roman" w:hAnsi="Times New Roman" w:cs="Times New Roman"/>
                    <w:lang w:val="is-IS"/>
                  </w:rPr>
                  <w:t>málsmeðferðarreglu</w:t>
                </w:r>
                <w:r w:rsidR="00DD3477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F408C3" w:rsidRPr="00011CA0">
                  <w:rPr>
                    <w:rFonts w:ascii="Times New Roman" w:hAnsi="Times New Roman" w:cs="Times New Roman"/>
                    <w:lang w:val="is-IS"/>
                  </w:rPr>
                  <w:t xml:space="preserve"> stjórnsýslulaga nr. 37/1993</w:t>
                </w:r>
                <w:r w:rsidR="004E46EA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043749B" w14:textId="11D6743B" w:rsidR="00CF64C4" w:rsidRDefault="0027713F" w:rsidP="00472682">
                <w:pPr>
                  <w:spacing w:after="160"/>
                  <w:ind w:left="3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>Ráðstafa</w:t>
                </w:r>
                <w:r w:rsidR="00AC2DA7">
                  <w:rPr>
                    <w:rFonts w:ascii="Times New Roman" w:hAnsi="Times New Roman" w:cs="Times New Roman"/>
                    <w:lang w:val="is-IS"/>
                  </w:rPr>
                  <w:t>nir</w:t>
                </w:r>
                <w:r w:rsidR="000E12D4">
                  <w:rPr>
                    <w:rFonts w:ascii="Times New Roman" w:hAnsi="Times New Roman" w:cs="Times New Roman"/>
                    <w:lang w:val="is-IS"/>
                  </w:rPr>
                  <w:t xml:space="preserve"> á grundvelli</w:t>
                </w:r>
                <w:r w:rsidR="00F7652B" w:rsidRPr="00011CA0">
                  <w:rPr>
                    <w:rFonts w:ascii="Times New Roman" w:hAnsi="Times New Roman" w:cs="Times New Roman"/>
                    <w:lang w:val="is-IS"/>
                  </w:rPr>
                  <w:t xml:space="preserve"> 86. gr. a – 86. gr. </w:t>
                </w:r>
                <w:r w:rsidR="008B688E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F7652B" w:rsidRPr="00011CA0">
                  <w:rPr>
                    <w:rFonts w:ascii="Times New Roman" w:hAnsi="Times New Roman" w:cs="Times New Roman"/>
                    <w:lang w:val="is-IS"/>
                  </w:rPr>
                  <w:t xml:space="preserve"> laganna </w:t>
                </w:r>
                <w:r w:rsidR="00C26158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3A2C12">
                  <w:rPr>
                    <w:rFonts w:ascii="Times New Roman" w:hAnsi="Times New Roman" w:cs="Times New Roman"/>
                    <w:lang w:val="is-IS"/>
                  </w:rPr>
                  <w:t xml:space="preserve">um að viðhalda </w:t>
                </w:r>
                <w:r w:rsidR="004D6493">
                  <w:rPr>
                    <w:rFonts w:ascii="Times New Roman" w:hAnsi="Times New Roman" w:cs="Times New Roman"/>
                    <w:lang w:val="is-IS"/>
                  </w:rPr>
                  <w:t>eigi</w:t>
                </w:r>
                <w:r w:rsidR="00E32CCB"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4D6493">
                  <w:rPr>
                    <w:rFonts w:ascii="Times New Roman" w:hAnsi="Times New Roman" w:cs="Times New Roman"/>
                    <w:lang w:val="is-IS"/>
                  </w:rPr>
                  <w:t xml:space="preserve"> fé </w:t>
                </w:r>
                <w:r w:rsidR="00B87E63">
                  <w:rPr>
                    <w:rFonts w:ascii="Times New Roman" w:hAnsi="Times New Roman" w:cs="Times New Roman"/>
                    <w:lang w:val="is-IS"/>
                  </w:rPr>
                  <w:t>vegna eiginfjárauka</w:t>
                </w:r>
                <w:r w:rsidR="00C26158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B87E63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F1E75">
                  <w:rPr>
                    <w:rFonts w:ascii="Times New Roman" w:hAnsi="Times New Roman" w:cs="Times New Roman"/>
                    <w:lang w:val="is-IS"/>
                  </w:rPr>
                  <w:t>beinast</w:t>
                </w:r>
                <w:r w:rsidR="000E12D4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767D3">
                  <w:rPr>
                    <w:rFonts w:ascii="Times New Roman" w:hAnsi="Times New Roman" w:cs="Times New Roman"/>
                    <w:lang w:val="is-IS"/>
                  </w:rPr>
                  <w:t xml:space="preserve">ávallt </w:t>
                </w:r>
                <w:r w:rsidR="007F1E75">
                  <w:rPr>
                    <w:rFonts w:ascii="Times New Roman" w:hAnsi="Times New Roman" w:cs="Times New Roman"/>
                    <w:lang w:val="is-IS"/>
                  </w:rPr>
                  <w:t>að</w:t>
                </w:r>
                <w:r w:rsidR="004767D3">
                  <w:rPr>
                    <w:rFonts w:ascii="Times New Roman" w:hAnsi="Times New Roman" w:cs="Times New Roman"/>
                    <w:lang w:val="is-IS"/>
                  </w:rPr>
                  <w:t xml:space="preserve"> hóp</w:t>
                </w:r>
                <w:r w:rsidR="007F1E75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4767D3">
                  <w:rPr>
                    <w:rFonts w:ascii="Times New Roman" w:hAnsi="Times New Roman" w:cs="Times New Roman"/>
                    <w:lang w:val="is-IS"/>
                  </w:rPr>
                  <w:t xml:space="preserve"> fjármálafyrirtækja hverju sinni, en ekki ein</w:t>
                </w:r>
                <w:r w:rsidR="004E46EA">
                  <w:rPr>
                    <w:rFonts w:ascii="Times New Roman" w:hAnsi="Times New Roman" w:cs="Times New Roman"/>
                    <w:lang w:val="is-IS"/>
                  </w:rPr>
                  <w:t>st</w:t>
                </w:r>
                <w:r w:rsidR="007F1E75">
                  <w:rPr>
                    <w:rFonts w:ascii="Times New Roman" w:hAnsi="Times New Roman" w:cs="Times New Roman"/>
                    <w:lang w:val="is-IS"/>
                  </w:rPr>
                  <w:t>ökum</w:t>
                </w:r>
                <w:r w:rsidR="004767D3">
                  <w:rPr>
                    <w:rFonts w:ascii="Times New Roman" w:hAnsi="Times New Roman" w:cs="Times New Roman"/>
                    <w:lang w:val="is-IS"/>
                  </w:rPr>
                  <w:t xml:space="preserve"> fyrirtæk</w:t>
                </w:r>
                <w:r w:rsidR="004E46EA">
                  <w:rPr>
                    <w:rFonts w:ascii="Times New Roman" w:hAnsi="Times New Roman" w:cs="Times New Roman"/>
                    <w:lang w:val="is-IS"/>
                  </w:rPr>
                  <w:t>j</w:t>
                </w:r>
                <w:r w:rsidR="007F1E75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="004E46EA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4767D3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672A1">
                  <w:rPr>
                    <w:rFonts w:ascii="Times New Roman" w:hAnsi="Times New Roman" w:cs="Times New Roman"/>
                    <w:lang w:val="is-IS"/>
                  </w:rPr>
                  <w:t>Ráðstaf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 xml:space="preserve">anirnar </w:t>
                </w:r>
                <w:r w:rsidR="004E46EA">
                  <w:rPr>
                    <w:rFonts w:ascii="Times New Roman" w:hAnsi="Times New Roman" w:cs="Times New Roman"/>
                    <w:lang w:val="is-IS"/>
                  </w:rPr>
                  <w:t>eru því þess eðlis að eiga meira sameiginlegt með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 xml:space="preserve"> stjórnvaldsfyrirmæl</w:t>
                </w:r>
                <w:r w:rsidR="004E46EA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 xml:space="preserve"> en stjórnvaldsákvörðun</w:t>
                </w:r>
                <w:r w:rsidR="004E46EA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CA1BF3">
                  <w:rPr>
                    <w:rFonts w:ascii="Times New Roman" w:hAnsi="Times New Roman" w:cs="Times New Roman"/>
                    <w:lang w:val="is-IS"/>
                  </w:rPr>
                  <w:t xml:space="preserve">Skylda til að viðhalda eiginfjárauka </w:t>
                </w:r>
                <w:r w:rsidR="001C024B">
                  <w:rPr>
                    <w:rFonts w:ascii="Times New Roman" w:hAnsi="Times New Roman" w:cs="Times New Roman"/>
                    <w:lang w:val="is-IS"/>
                  </w:rPr>
                  <w:t xml:space="preserve">á grundvelli íslenskra laga </w:t>
                </w:r>
                <w:r w:rsidR="002A2AED">
                  <w:rPr>
                    <w:rFonts w:ascii="Times New Roman" w:hAnsi="Times New Roman" w:cs="Times New Roman"/>
                    <w:lang w:val="is-IS"/>
                  </w:rPr>
                  <w:t xml:space="preserve">þarf einnig að </w:t>
                </w:r>
                <w:r w:rsidR="00CA1BF3">
                  <w:rPr>
                    <w:rFonts w:ascii="Times New Roman" w:hAnsi="Times New Roman" w:cs="Times New Roman"/>
                    <w:lang w:val="is-IS"/>
                  </w:rPr>
                  <w:t>ge</w:t>
                </w:r>
                <w:r w:rsidR="002A2AED">
                  <w:rPr>
                    <w:rFonts w:ascii="Times New Roman" w:hAnsi="Times New Roman" w:cs="Times New Roman"/>
                    <w:lang w:val="is-IS"/>
                  </w:rPr>
                  <w:t>ta tekið til</w:t>
                </w:r>
                <w:r w:rsidR="00CA1BF3">
                  <w:rPr>
                    <w:rFonts w:ascii="Times New Roman" w:hAnsi="Times New Roman" w:cs="Times New Roman"/>
                    <w:lang w:val="is-IS"/>
                  </w:rPr>
                  <w:t xml:space="preserve"> erlend</w:t>
                </w:r>
                <w:r w:rsidR="002A2AED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CA1BF3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404C6">
                  <w:rPr>
                    <w:rFonts w:ascii="Times New Roman" w:hAnsi="Times New Roman" w:cs="Times New Roman"/>
                    <w:lang w:val="is-IS"/>
                  </w:rPr>
                  <w:t>fjármálafyrirtækis</w:t>
                </w:r>
                <w:r w:rsidR="001C024B">
                  <w:rPr>
                    <w:rFonts w:ascii="Times New Roman" w:hAnsi="Times New Roman" w:cs="Times New Roman"/>
                    <w:lang w:val="is-IS"/>
                  </w:rPr>
                  <w:t xml:space="preserve"> með starfsemi </w:t>
                </w:r>
                <w:r w:rsidR="002404C6">
                  <w:rPr>
                    <w:rFonts w:ascii="Times New Roman" w:hAnsi="Times New Roman" w:cs="Times New Roman"/>
                    <w:lang w:val="is-IS"/>
                  </w:rPr>
                  <w:t xml:space="preserve">eða eignir </w:t>
                </w:r>
                <w:r w:rsidR="001C024B">
                  <w:rPr>
                    <w:rFonts w:ascii="Times New Roman" w:hAnsi="Times New Roman" w:cs="Times New Roman"/>
                    <w:lang w:val="is-IS"/>
                  </w:rPr>
                  <w:t>hér á landi</w:t>
                </w:r>
                <w:r w:rsidR="002A2AED">
                  <w:rPr>
                    <w:rFonts w:ascii="Times New Roman" w:hAnsi="Times New Roman" w:cs="Times New Roman"/>
                    <w:lang w:val="is-IS"/>
                  </w:rPr>
                  <w:t xml:space="preserve"> (t.d. ákveðnar tegund áhættuskuldbindinga sbr. </w:t>
                </w:r>
                <w:r w:rsidR="00CC7030">
                  <w:rPr>
                    <w:rFonts w:ascii="Times New Roman" w:hAnsi="Times New Roman" w:cs="Times New Roman"/>
                    <w:lang w:val="is-IS"/>
                  </w:rPr>
                  <w:t xml:space="preserve">3. mgr. 86. gr. </w:t>
                </w:r>
                <w:r w:rsidR="008317FA">
                  <w:rPr>
                    <w:rFonts w:ascii="Times New Roman" w:hAnsi="Times New Roman" w:cs="Times New Roman"/>
                    <w:lang w:val="is-IS"/>
                  </w:rPr>
                  <w:t>b laganna)</w:t>
                </w:r>
                <w:r w:rsidR="001C024B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0E7DB1">
                  <w:rPr>
                    <w:rFonts w:ascii="Times New Roman" w:hAnsi="Times New Roman" w:cs="Times New Roman"/>
                    <w:lang w:val="is-IS"/>
                  </w:rPr>
                  <w:t xml:space="preserve">Til þess að tryggja jafnræði á milli íslenskra og erlendra </w:t>
                </w:r>
                <w:r w:rsidR="00E6509B">
                  <w:rPr>
                    <w:rFonts w:ascii="Times New Roman" w:hAnsi="Times New Roman" w:cs="Times New Roman"/>
                    <w:lang w:val="is-IS"/>
                  </w:rPr>
                  <w:t xml:space="preserve">fjármálafyrirtækja </w:t>
                </w:r>
                <w:r w:rsidR="000E7DB1">
                  <w:rPr>
                    <w:rFonts w:ascii="Times New Roman" w:hAnsi="Times New Roman" w:cs="Times New Roman"/>
                    <w:lang w:val="is-IS"/>
                  </w:rPr>
                  <w:t xml:space="preserve">sem </w:t>
                </w:r>
                <w:r w:rsidR="004B162C">
                  <w:rPr>
                    <w:rFonts w:ascii="Times New Roman" w:hAnsi="Times New Roman" w:cs="Times New Roman"/>
                    <w:lang w:val="is-IS"/>
                  </w:rPr>
                  <w:t xml:space="preserve">hafa starfsemi hér á landi </w:t>
                </w:r>
                <w:r w:rsidR="00C2631B">
                  <w:rPr>
                    <w:rFonts w:ascii="Times New Roman" w:hAnsi="Times New Roman" w:cs="Times New Roman"/>
                    <w:lang w:val="is-IS"/>
                  </w:rPr>
                  <w:t>er nauðsynlegt að</w:t>
                </w:r>
                <w:r w:rsidR="00E6509B">
                  <w:rPr>
                    <w:rFonts w:ascii="Times New Roman" w:hAnsi="Times New Roman" w:cs="Times New Roman"/>
                    <w:lang w:val="is-IS"/>
                  </w:rPr>
                  <w:t xml:space="preserve"> þær skyldur sem leiða af </w:t>
                </w:r>
                <w:r w:rsidR="00E6509B" w:rsidRPr="00011CA0">
                  <w:rPr>
                    <w:rFonts w:ascii="Times New Roman" w:hAnsi="Times New Roman" w:cs="Times New Roman"/>
                    <w:lang w:val="is-IS"/>
                  </w:rPr>
                  <w:t xml:space="preserve">86. gr. a – 86. gr. </w:t>
                </w:r>
                <w:r w:rsidR="00E6509B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E6509B" w:rsidRPr="00011CA0">
                  <w:rPr>
                    <w:rFonts w:ascii="Times New Roman" w:hAnsi="Times New Roman" w:cs="Times New Roman"/>
                    <w:lang w:val="is-IS"/>
                  </w:rPr>
                  <w:t xml:space="preserve"> laganna</w:t>
                </w:r>
                <w:r w:rsidR="00B10D75">
                  <w:rPr>
                    <w:rFonts w:ascii="Times New Roman" w:hAnsi="Times New Roman" w:cs="Times New Roman"/>
                    <w:lang w:val="is-IS"/>
                  </w:rPr>
                  <w:t xml:space="preserve"> komi fram í stjórnvaldsfyrirmælum enda tekur Fjármálaeftirlitið ekki ákvarðanir gagnvart erlendum fjármálafyrirtækjum sem </w:t>
                </w:r>
                <w:r w:rsidR="001F217F">
                  <w:rPr>
                    <w:rFonts w:ascii="Times New Roman" w:hAnsi="Times New Roman" w:cs="Times New Roman"/>
                    <w:lang w:val="is-IS"/>
                  </w:rPr>
                  <w:t xml:space="preserve">eru með starfsleyfi </w:t>
                </w:r>
                <w:r w:rsidR="00384978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1F217F">
                  <w:rPr>
                    <w:rFonts w:ascii="Times New Roman" w:hAnsi="Times New Roman" w:cs="Times New Roman"/>
                    <w:lang w:val="is-IS"/>
                  </w:rPr>
                  <w:t xml:space="preserve"> öðru ríki á EES-svæðinu og </w:t>
                </w:r>
                <w:r w:rsidR="00B10D75">
                  <w:rPr>
                    <w:rFonts w:ascii="Times New Roman" w:hAnsi="Times New Roman" w:cs="Times New Roman"/>
                    <w:lang w:val="is-IS"/>
                  </w:rPr>
                  <w:t xml:space="preserve">heyra undir eftirlit í </w:t>
                </w:r>
                <w:r w:rsidR="001F217F">
                  <w:rPr>
                    <w:rFonts w:ascii="Times New Roman" w:hAnsi="Times New Roman" w:cs="Times New Roman"/>
                    <w:lang w:val="is-IS"/>
                  </w:rPr>
                  <w:t xml:space="preserve">því </w:t>
                </w:r>
                <w:r w:rsidR="00B10D75">
                  <w:rPr>
                    <w:rFonts w:ascii="Times New Roman" w:hAnsi="Times New Roman" w:cs="Times New Roman"/>
                    <w:lang w:val="is-IS"/>
                  </w:rPr>
                  <w:t>nema í undantekningartilfellum.</w:t>
                </w:r>
                <w:r w:rsidR="00C2631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F217F">
                  <w:rPr>
                    <w:rFonts w:ascii="Times New Roman" w:hAnsi="Times New Roman" w:cs="Times New Roman"/>
                    <w:lang w:val="is-IS"/>
                  </w:rPr>
                  <w:t xml:space="preserve">Með hliðsjón af framangreindu er því </w:t>
                </w:r>
                <w:r w:rsidR="009945BF">
                  <w:rPr>
                    <w:rFonts w:ascii="Times New Roman" w:hAnsi="Times New Roman" w:cs="Times New Roman"/>
                    <w:lang w:val="is-IS"/>
                  </w:rPr>
                  <w:t xml:space="preserve">talið </w:t>
                </w:r>
                <w:r w:rsidR="001F217F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 xml:space="preserve">éttara að </w:t>
                </w:r>
                <w:r w:rsidR="00F86632" w:rsidRPr="00011CA0">
                  <w:rPr>
                    <w:rFonts w:ascii="Times New Roman" w:hAnsi="Times New Roman" w:cs="Times New Roman"/>
                    <w:lang w:val="is-IS"/>
                  </w:rPr>
                  <w:t xml:space="preserve">Fjármálaeftirlitið 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>f</w:t>
                </w:r>
                <w:r w:rsidR="009B6B79">
                  <w:rPr>
                    <w:rFonts w:ascii="Times New Roman" w:hAnsi="Times New Roman" w:cs="Times New Roman"/>
                    <w:lang w:val="is-IS"/>
                  </w:rPr>
                  <w:t>ái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 xml:space="preserve"> heimild </w:t>
                </w:r>
                <w:r w:rsidR="004E46EA">
                  <w:rPr>
                    <w:rFonts w:ascii="Times New Roman" w:hAnsi="Times New Roman" w:cs="Times New Roman"/>
                    <w:lang w:val="is-IS"/>
                  </w:rPr>
                  <w:t xml:space="preserve">í lögum 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>til að setja r</w:t>
                </w:r>
                <w:r w:rsidR="00F86632" w:rsidRPr="00011CA0">
                  <w:rPr>
                    <w:rFonts w:ascii="Times New Roman" w:hAnsi="Times New Roman" w:cs="Times New Roman"/>
                    <w:lang w:val="is-IS"/>
                  </w:rPr>
                  <w:t xml:space="preserve">eglur um gildi og gildissvið sveiflujöfnunarauka, eignfjárauka fyrir kerfislega mikilvæg fjármálafyrirtæki, eiginfjárauka vegna kerfisáhættu og nýs eiginfjárauka fyrir kerfislega mikilvæg fjármálafyrirtæki á alþjóðavísu. 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>Þessi breyting fæli í sér</w:t>
                </w:r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 xml:space="preserve"> að reglur stjórnsýslulaga nr. 37/1993, þ.</w:t>
                </w:r>
                <w:r w:rsidR="000C2F2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>á m. um andmælarétt</w:t>
                </w:r>
                <w:r w:rsidR="00E62175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 xml:space="preserve"> m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>yndu</w:t>
                </w:r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 xml:space="preserve"> ekki gilda þegar eiginfjáraukarnir eru virkjaðir og gildi þeirra ákveðið. </w:t>
                </w:r>
                <w:r w:rsidR="00535203">
                  <w:rPr>
                    <w:rFonts w:ascii="Times New Roman" w:hAnsi="Times New Roman" w:cs="Times New Roman"/>
                    <w:lang w:val="is-IS"/>
                  </w:rPr>
                  <w:t>Þessi breyting er í samræmi við</w:t>
                </w:r>
                <w:r w:rsidR="00BA2B11" w:rsidRPr="00011CA0">
                  <w:rPr>
                    <w:rFonts w:ascii="Times New Roman" w:hAnsi="Times New Roman" w:cs="Times New Roman"/>
                    <w:lang w:val="is-IS"/>
                  </w:rPr>
                  <w:t xml:space="preserve"> framkvæmd sömu reglna </w:t>
                </w:r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>í Noregi sbr. grein 14-3 norskra laga um fjármálafyrirtæki</w:t>
                </w:r>
                <w:r w:rsidR="00E872D9"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 xml:space="preserve">(N. </w:t>
                </w:r>
                <w:proofErr w:type="spellStart"/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>Lov</w:t>
                </w:r>
                <w:proofErr w:type="spellEnd"/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>om</w:t>
                </w:r>
                <w:proofErr w:type="spellEnd"/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>finansforetak</w:t>
                </w:r>
                <w:proofErr w:type="spellEnd"/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proofErr w:type="spellStart"/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>finanskonsern</w:t>
                </w:r>
                <w:proofErr w:type="spellEnd"/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 xml:space="preserve"> (</w:t>
                </w:r>
                <w:proofErr w:type="spellStart"/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>finansforetaksloven</w:t>
                </w:r>
                <w:proofErr w:type="spellEnd"/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>))</w:t>
                </w:r>
                <w:r w:rsidR="001B612B" w:rsidRPr="00011CA0">
                  <w:rPr>
                    <w:rFonts w:ascii="Times New Roman" w:hAnsi="Times New Roman" w:cs="Times New Roman"/>
                    <w:lang w:val="is-IS"/>
                  </w:rPr>
                  <w:t xml:space="preserve"> fyrir utan að fjármálaráðherra setur reglur um eig</w:t>
                </w:r>
                <w:r w:rsidR="00013141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1B612B" w:rsidRPr="00011CA0">
                  <w:rPr>
                    <w:rFonts w:ascii="Times New Roman" w:hAnsi="Times New Roman" w:cs="Times New Roman"/>
                    <w:lang w:val="is-IS"/>
                  </w:rPr>
                  <w:t>nfjárauka þar í landi</w:t>
                </w:r>
                <w:r w:rsidR="008B2825" w:rsidRPr="00011CA0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1B612B"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16DD4D35" w14:textId="2299923A" w:rsidR="00F31100" w:rsidRPr="00011CA0" w:rsidRDefault="00BF1A35" w:rsidP="00472682">
                <w:pPr>
                  <w:spacing w:after="160"/>
                  <w:ind w:left="3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Þá hefur </w:t>
                </w:r>
                <w:r w:rsidR="00115BB7">
                  <w:rPr>
                    <w:rFonts w:ascii="Times New Roman" w:hAnsi="Times New Roman" w:cs="Times New Roman"/>
                    <w:lang w:val="is-IS"/>
                  </w:rPr>
                  <w:t>nánari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skoðun á ákvæðum</w:t>
                </w:r>
                <w:r w:rsidR="00F31100" w:rsidRPr="00011CA0">
                  <w:rPr>
                    <w:rFonts w:ascii="Times New Roman" w:hAnsi="Times New Roman" w:cs="Times New Roman"/>
                    <w:lang w:val="is-IS"/>
                  </w:rPr>
                  <w:t xml:space="preserve"> 129. – 142. gr. </w:t>
                </w:r>
                <w:r w:rsidR="007C2A89">
                  <w:rPr>
                    <w:rFonts w:ascii="Times New Roman" w:hAnsi="Times New Roman" w:cs="Times New Roman"/>
                    <w:lang w:val="is-IS"/>
                  </w:rPr>
                  <w:t>CRD IV</w:t>
                </w:r>
                <w:r w:rsidR="00B636C2">
                  <w:rPr>
                    <w:rFonts w:ascii="Times New Roman" w:hAnsi="Times New Roman" w:cs="Times New Roman"/>
                    <w:lang w:val="is-IS"/>
                  </w:rPr>
                  <w:t xml:space="preserve"> tilskipunarinnar, er varða eiginfjárauka</w:t>
                </w:r>
                <w:r w:rsidR="000B1FF0">
                  <w:rPr>
                    <w:rFonts w:ascii="Times New Roman" w:hAnsi="Times New Roman" w:cs="Times New Roman"/>
                    <w:lang w:val="is-IS"/>
                  </w:rPr>
                  <w:t xml:space="preserve"> og tilkynningu til evrópskra eftirlitsstofnana á fjármálamarkaði og aðkomu þeirra að ákvörðunum um gildi eiginfjárauka</w:t>
                </w:r>
                <w:r w:rsidR="00B636C2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F31100"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leitt í ljós að í tilskipuninni eru </w:t>
                </w:r>
                <w:r w:rsidR="00F31100" w:rsidRPr="00011CA0">
                  <w:rPr>
                    <w:rFonts w:ascii="Times New Roman" w:hAnsi="Times New Roman" w:cs="Times New Roman"/>
                    <w:lang w:val="is-IS"/>
                  </w:rPr>
                  <w:t xml:space="preserve">ákvæði sem ekki hafa verið tekin upp í lög nr. 161/2002, um fjármálafyrirtæki eða sem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ekki </w:t>
                </w:r>
                <w:r w:rsidR="00F31100" w:rsidRPr="00011CA0">
                  <w:rPr>
                    <w:rFonts w:ascii="Times New Roman" w:hAnsi="Times New Roman" w:cs="Times New Roman"/>
                    <w:lang w:val="is-IS"/>
                  </w:rPr>
                  <w:t>gert hefur verið ráð fyrir í reglugerðarákvæðum 86. gr. a – 86. gr. f laganna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Þau er </w:t>
                </w:r>
                <w:r w:rsidR="00F31100" w:rsidRPr="00011CA0">
                  <w:rPr>
                    <w:rFonts w:ascii="Times New Roman" w:hAnsi="Times New Roman" w:cs="Times New Roman"/>
                    <w:lang w:val="is-IS"/>
                  </w:rPr>
                  <w:t>nauðsynlegt að taka upp í lögin þannig að íslenskur réttur sé í fullu samræmi við tilskipun</w:t>
                </w:r>
                <w:r>
                  <w:rPr>
                    <w:rFonts w:ascii="Times New Roman" w:hAnsi="Times New Roman" w:cs="Times New Roman"/>
                    <w:lang w:val="is-IS"/>
                  </w:rPr>
                  <w:t>ina</w:t>
                </w:r>
                <w:r w:rsidR="00F31100" w:rsidRPr="00011CA0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42E79723" w14:textId="77777777" w:rsidR="00047EA9" w:rsidRPr="00011CA0" w:rsidRDefault="00047EA9" w:rsidP="00472682">
                <w:pPr>
                  <w:numPr>
                    <w:ilvl w:val="0"/>
                    <w:numId w:val="4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úrlausnarefnið? </w:t>
                </w:r>
              </w:p>
              <w:p w14:paraId="4ADFA557" w14:textId="60963A4A" w:rsidR="00592CE5" w:rsidRDefault="00F7652B" w:rsidP="00472682">
                <w:pPr>
                  <w:spacing w:after="160"/>
                  <w:ind w:left="357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Úrlausnarefnið</w:t>
                </w:r>
                <w:r w:rsidR="00FC2838" w:rsidRPr="00011CA0">
                  <w:rPr>
                    <w:rFonts w:ascii="Times New Roman" w:hAnsi="Times New Roman" w:cs="Times New Roman"/>
                    <w:lang w:val="is-IS"/>
                  </w:rPr>
                  <w:t xml:space="preserve"> er </w:t>
                </w:r>
                <w:r w:rsidR="00F22275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B824B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C13B1">
                  <w:rPr>
                    <w:rFonts w:ascii="Times New Roman" w:hAnsi="Times New Roman" w:cs="Times New Roman"/>
                    <w:lang w:val="is-IS"/>
                  </w:rPr>
                  <w:t>fjórum</w:t>
                </w:r>
                <w:r w:rsidR="00F22275">
                  <w:rPr>
                    <w:rFonts w:ascii="Times New Roman" w:hAnsi="Times New Roman" w:cs="Times New Roman"/>
                    <w:lang w:val="is-IS"/>
                  </w:rPr>
                  <w:t xml:space="preserve"> liðum</w:t>
                </w:r>
                <w:r w:rsidR="00FC2838" w:rsidRPr="00011CA0">
                  <w:rPr>
                    <w:rFonts w:ascii="Times New Roman" w:hAnsi="Times New Roman" w:cs="Times New Roman"/>
                    <w:lang w:val="is-IS"/>
                  </w:rPr>
                  <w:t>:</w:t>
                </w:r>
              </w:p>
              <w:p w14:paraId="37EC6C87" w14:textId="46FA9F1F" w:rsidR="00592CE5" w:rsidRPr="00DB50F3" w:rsidRDefault="006C6A42" w:rsidP="00472682">
                <w:pPr>
                  <w:pStyle w:val="ListParagraph"/>
                  <w:numPr>
                    <w:ilvl w:val="0"/>
                    <w:numId w:val="11"/>
                  </w:numPr>
                  <w:spacing w:after="12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Að t</w:t>
                </w:r>
                <w:r w:rsidR="00FC2838" w:rsidRPr="00DB50F3">
                  <w:rPr>
                    <w:rFonts w:ascii="Times New Roman" w:hAnsi="Times New Roman" w:cs="Times New Roman"/>
                    <w:lang w:val="is-IS"/>
                  </w:rPr>
                  <w:t>aka upp í íslenskan rétt ákvæði um eiginfjárauka vegna kerfislega mikilvægra fjármálafyrirtækja á alþjóðavísu.</w:t>
                </w:r>
              </w:p>
              <w:p w14:paraId="574F4B08" w14:textId="5BA24200" w:rsidR="00592CE5" w:rsidRPr="00DB50F3" w:rsidRDefault="00B06852" w:rsidP="00472682">
                <w:pPr>
                  <w:pStyle w:val="ListParagraph"/>
                  <w:numPr>
                    <w:ilvl w:val="0"/>
                    <w:numId w:val="11"/>
                  </w:numPr>
                  <w:spacing w:after="12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Að t</w:t>
                </w:r>
                <w:r w:rsidR="00FC2838" w:rsidRPr="00DB50F3">
                  <w:rPr>
                    <w:rFonts w:ascii="Times New Roman" w:hAnsi="Times New Roman" w:cs="Times New Roman"/>
                    <w:lang w:val="is-IS"/>
                  </w:rPr>
                  <w:t>aka upp ákvæði tilskipunar 2013/36/ESB sem varða eiginfjárauka og vísa til aðkomu ESB og Evrópskra eftirlitsstofnana á fjármálamarkaði í landsrétt með hliðsjón af því hvernig reglugerðir (ESB) nr. 1092/2010, 1093/2010, 1094/2010 og 1095/2010 hafa verið aðlagaðar EES-samningnum.</w:t>
                </w:r>
              </w:p>
              <w:p w14:paraId="56164C81" w14:textId="536638B3" w:rsidR="00592CE5" w:rsidRPr="00DB50F3" w:rsidRDefault="00FC2838" w:rsidP="00472682">
                <w:pPr>
                  <w:pStyle w:val="ListParagraph"/>
                  <w:numPr>
                    <w:ilvl w:val="0"/>
                    <w:numId w:val="11"/>
                  </w:numPr>
                  <w:spacing w:after="120"/>
                  <w:rPr>
                    <w:rFonts w:ascii="Times New Roman" w:hAnsi="Times New Roman" w:cs="Times New Roman"/>
                    <w:lang w:val="is-IS"/>
                  </w:rPr>
                </w:pPr>
                <w:r w:rsidRPr="00DB50F3">
                  <w:rPr>
                    <w:rFonts w:ascii="Times New Roman" w:hAnsi="Times New Roman" w:cs="Times New Roman"/>
                    <w:lang w:val="is-IS"/>
                  </w:rPr>
                  <w:t xml:space="preserve">Samræma ákvæði </w:t>
                </w:r>
                <w:r w:rsidR="00DB50F3">
                  <w:rPr>
                    <w:rFonts w:ascii="Times New Roman" w:hAnsi="Times New Roman" w:cs="Times New Roman"/>
                    <w:lang w:val="is-IS"/>
                  </w:rPr>
                  <w:t>laganna um eiginfjárauka (</w:t>
                </w:r>
                <w:r w:rsidRPr="00DB50F3">
                  <w:rPr>
                    <w:rFonts w:ascii="Times New Roman" w:hAnsi="Times New Roman" w:cs="Times New Roman"/>
                    <w:lang w:val="is-IS"/>
                  </w:rPr>
                  <w:t>86. gr. a – 86. gr. f laganna</w:t>
                </w:r>
                <w:r w:rsidR="00DB50F3">
                  <w:rPr>
                    <w:rFonts w:ascii="Times New Roman" w:hAnsi="Times New Roman" w:cs="Times New Roman"/>
                    <w:lang w:val="is-IS"/>
                  </w:rPr>
                  <w:t>)</w:t>
                </w:r>
                <w:r w:rsidRPr="00DB50F3">
                  <w:rPr>
                    <w:rFonts w:ascii="Times New Roman" w:hAnsi="Times New Roman" w:cs="Times New Roman"/>
                    <w:lang w:val="is-IS"/>
                  </w:rPr>
                  <w:t xml:space="preserve"> við efni 128. – 142. gr. tilskipunar 2013/36/ESB</w:t>
                </w:r>
                <w:r w:rsidR="00AC5BBC" w:rsidRPr="00DB50F3">
                  <w:rPr>
                    <w:rFonts w:ascii="Times New Roman" w:hAnsi="Times New Roman" w:cs="Times New Roman"/>
                    <w:lang w:val="is-IS"/>
                  </w:rPr>
                  <w:t xml:space="preserve"> þannig að ákvæði tilskipunarinnar séu að fullu innleidd hér á landi.</w:t>
                </w:r>
              </w:p>
              <w:p w14:paraId="499DEBFC" w14:textId="7E471C7E" w:rsidR="00FC2838" w:rsidRDefault="00601CE0" w:rsidP="00472682">
                <w:pPr>
                  <w:pStyle w:val="ListParagraph"/>
                  <w:numPr>
                    <w:ilvl w:val="0"/>
                    <w:numId w:val="11"/>
                  </w:numPr>
                  <w:spacing w:after="12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Að v</w:t>
                </w:r>
                <w:r w:rsidR="00FC2838" w:rsidRPr="00DB50F3">
                  <w:rPr>
                    <w:rFonts w:ascii="Times New Roman" w:hAnsi="Times New Roman" w:cs="Times New Roman"/>
                    <w:lang w:val="is-IS"/>
                  </w:rPr>
                  <w:t xml:space="preserve">eita Fjármálaeftirlitinu heimild til að </w:t>
                </w:r>
                <w:r w:rsidR="00E62175">
                  <w:rPr>
                    <w:rFonts w:ascii="Times New Roman" w:hAnsi="Times New Roman" w:cs="Times New Roman"/>
                    <w:lang w:val="is-IS"/>
                  </w:rPr>
                  <w:t xml:space="preserve">birta </w:t>
                </w:r>
                <w:r w:rsidR="00324E30">
                  <w:rPr>
                    <w:rFonts w:ascii="Times New Roman" w:hAnsi="Times New Roman" w:cs="Times New Roman"/>
                    <w:lang w:val="is-IS"/>
                  </w:rPr>
                  <w:t>stjórnvaldsfyrirmæli</w:t>
                </w:r>
                <w:r w:rsidR="00FC2838" w:rsidRPr="00DB50F3">
                  <w:rPr>
                    <w:rFonts w:ascii="Times New Roman" w:hAnsi="Times New Roman" w:cs="Times New Roman"/>
                    <w:lang w:val="is-IS"/>
                  </w:rPr>
                  <w:t xml:space="preserve"> um </w:t>
                </w:r>
                <w:r w:rsidR="00AC5BBC" w:rsidRPr="00DB50F3">
                  <w:rPr>
                    <w:rFonts w:ascii="Times New Roman" w:hAnsi="Times New Roman" w:cs="Times New Roman"/>
                    <w:lang w:val="is-IS"/>
                  </w:rPr>
                  <w:t xml:space="preserve">sveiflujöfnunarauka, </w:t>
                </w:r>
                <w:r w:rsidR="00FC2838" w:rsidRPr="00DB50F3">
                  <w:rPr>
                    <w:rFonts w:ascii="Times New Roman" w:hAnsi="Times New Roman" w:cs="Times New Roman"/>
                    <w:lang w:val="is-IS"/>
                  </w:rPr>
                  <w:t xml:space="preserve">eiginfjárauka vegna kerfisáhættu, eiginfjárauka vegna kerfislega mikilvægra fjármálafyrirtækja og kerfislega mikilvægra fjármálafyrirtækja á alþjóðavísu. </w:t>
                </w:r>
              </w:p>
              <w:p w14:paraId="4A730D52" w14:textId="77777777" w:rsidR="00F86632" w:rsidRPr="00011CA0" w:rsidRDefault="00047EA9" w:rsidP="00472682">
                <w:pPr>
                  <w:numPr>
                    <w:ilvl w:val="0"/>
                    <w:numId w:val="4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Að hvaða marki duga gildandi lög og reglur ekki til?  </w:t>
                </w:r>
              </w:p>
              <w:p w14:paraId="3AD2D669" w14:textId="77777777" w:rsidR="00047EA9" w:rsidRPr="00011CA0" w:rsidRDefault="00F86632" w:rsidP="00472682">
                <w:pPr>
                  <w:spacing w:after="160"/>
                  <w:ind w:left="3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Lög nr. 161/2002, um fjármálafyrirtæki eru ekki í fullu samræmi við tilskipun 2013/36/ESB.</w:t>
                </w:r>
              </w:p>
            </w:sdtContent>
          </w:sdt>
        </w:tc>
      </w:tr>
      <w:tr w:rsidR="00047EA9" w:rsidRPr="00011CA0" w14:paraId="0B9E51EB" w14:textId="77777777" w:rsidTr="00ED20FF">
        <w:tc>
          <w:tcPr>
            <w:tcW w:w="9288" w:type="dxa"/>
            <w:shd w:val="clear" w:color="auto" w:fill="92CDDC" w:themeFill="accent5" w:themeFillTint="99"/>
          </w:tcPr>
          <w:p w14:paraId="32914F5C" w14:textId="77777777" w:rsidR="00047EA9" w:rsidRPr="00011CA0" w:rsidRDefault="00047EA9" w:rsidP="00047EA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Markmið </w:t>
            </w:r>
          </w:p>
        </w:tc>
      </w:tr>
      <w:tr w:rsidR="00047EA9" w:rsidRPr="00011CA0" w14:paraId="23A9DC76" w14:textId="77777777" w:rsidTr="00ED20FF">
        <w:trPr>
          <w:trHeight w:val="747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b w:val="0"/>
              </w:rPr>
            </w:sdtEndPr>
            <w:sdtContent>
              <w:p w14:paraId="53B96183" w14:textId="77777777" w:rsidR="00047EA9" w:rsidRPr="00011CA0" w:rsidRDefault="00047EA9" w:rsidP="00A60DA8">
                <w:pPr>
                  <w:numPr>
                    <w:ilvl w:val="0"/>
                    <w:numId w:val="5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>Stefna hins opinbera á viðkomandi málefnasviði/málaflokki</w:t>
                </w:r>
              </w:p>
              <w:p w14:paraId="09DEC0D3" w14:textId="77777777" w:rsidR="003039FE" w:rsidRPr="00011CA0" w:rsidRDefault="003039FE" w:rsidP="00A60DA8">
                <w:pPr>
                  <w:spacing w:after="160"/>
                  <w:ind w:left="3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Í stjórnarsáttmála kemur fram að fjármálakerfið eigi að vera traust og þjóna samfélaginu á hagkvæman og sanngjarnan hátt. Meginmarkmið málefnasviðsins er að auka alþjóðlega samkeppnishæfni atvinnulífs. </w:t>
                </w:r>
                <w:r w:rsidRPr="00011CA0">
                  <w:rPr>
                    <w:rStyle w:val="eop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 </w:t>
                </w:r>
              </w:p>
              <w:p w14:paraId="41981726" w14:textId="77777777" w:rsidR="003039FE" w:rsidRPr="00011CA0" w:rsidRDefault="00047EA9" w:rsidP="00A60DA8">
                <w:pPr>
                  <w:numPr>
                    <w:ilvl w:val="0"/>
                    <w:numId w:val="5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>Markmið sem að er stefnt með lagasetningu í ljósi úrlausnarefnis og stefnu stjórnvalda</w:t>
                </w:r>
              </w:p>
              <w:p w14:paraId="02BCE500" w14:textId="77777777" w:rsidR="00047EA9" w:rsidRPr="00011CA0" w:rsidRDefault="00BA2B11" w:rsidP="00A60DA8">
                <w:pPr>
                  <w:spacing w:after="160"/>
                  <w:ind w:left="357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lastRenderedPageBreak/>
                  <w:t>Markmiðið er að samræma þær reglur sem gilda hér á landi við þær sem gilda á Evrópska efnahagssvæðinu enda er þannig ýtt undir aukna starfsemi erlendra fyrirtækja hér á landi og íslenskra fyrirtækja erlendis.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sdtContent>
          </w:sdt>
        </w:tc>
      </w:tr>
      <w:tr w:rsidR="00047EA9" w:rsidRPr="00011CA0" w14:paraId="057ED75E" w14:textId="77777777" w:rsidTr="00ED20FF">
        <w:tc>
          <w:tcPr>
            <w:tcW w:w="9288" w:type="dxa"/>
            <w:shd w:val="clear" w:color="auto" w:fill="92CDDC" w:themeFill="accent5" w:themeFillTint="99"/>
          </w:tcPr>
          <w:p w14:paraId="467B5BD5" w14:textId="77777777" w:rsidR="00047EA9" w:rsidRPr="00011CA0" w:rsidRDefault="00047EA9" w:rsidP="00047EA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047EA9" w:rsidRPr="00011CA0" w14:paraId="5C081423" w14:textId="77777777" w:rsidTr="00ED20FF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6E18F495" w14:textId="77777777" w:rsidR="00E872D9" w:rsidRPr="00011CA0" w:rsidRDefault="00047EA9" w:rsidP="00E872D9">
                <w:pPr>
                  <w:numPr>
                    <w:ilvl w:val="0"/>
                    <w:numId w:val="3"/>
                  </w:numPr>
                  <w:spacing w:after="160" w:line="259" w:lineRule="auto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Ekkert aðhafst  - hvaða afleiðingar hefði það? </w:t>
                </w:r>
              </w:p>
              <w:p w14:paraId="4E6BE440" w14:textId="0355F5D1" w:rsidR="00BA2B11" w:rsidRPr="00011CA0" w:rsidRDefault="00BA2B11" w:rsidP="00016EF6">
                <w:pPr>
                  <w:spacing w:after="120"/>
                  <w:ind w:left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 xml:space="preserve">Áformuðum breytingum er ætlað að samræma ákvæði laga nr. 161/2002 við CRD IV tilskipunina þannig að íslenskur réttur sé í samræmi við Evrópureglur. CRD IV tilskipunin hefur ekki verið tekin upp í EES-samninginn, en samningaviðræður um upptökuna hafa staðið yfir um nokkurt skeið. Líkur eru á að hún verði tekin upp í </w:t>
                </w:r>
                <w:r w:rsidR="00E62175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>samninginn í lok árs 2018 eða a</w:t>
                </w:r>
                <w:r w:rsidR="00A11FC7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>.</w:t>
                </w:r>
                <w:r w:rsidR="00E62175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>m</w:t>
                </w:r>
                <w:r w:rsidR="00A11FC7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>.</w:t>
                </w:r>
                <w:r w:rsidR="00E62175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>k</w:t>
                </w:r>
                <w:r w:rsidR="00A11FC7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>.</w:t>
                </w:r>
                <w:r w:rsidR="00E62175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 xml:space="preserve"> á árinu 2019.</w:t>
                </w:r>
                <w:r w:rsidRPr="00011CA0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62175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>Í</w:t>
                </w:r>
                <w:r w:rsidRPr="00011CA0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 xml:space="preserve"> viðræðum við framkvæmdastjórn ESB um upptöku gerðanna í EES-samninginn hefur verið gefið til kynna að EES-ríkjunum verði gefinn</w:t>
                </w:r>
                <w:r w:rsidR="00E62175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011CA0">
                  <w:rPr>
                    <w:rStyle w:val="normaltextrun"/>
                    <w:rFonts w:ascii="Times New Roman" w:hAnsi="Times New Roman" w:cs="Times New Roman"/>
                    <w:lang w:val="is-IS"/>
                  </w:rPr>
                  <w:t>naumur aðlögunartími vegna þess hversu lengi upptakan í EES-samninginn hefur dregist. </w:t>
                </w:r>
              </w:p>
              <w:p w14:paraId="1C20494A" w14:textId="77777777" w:rsidR="00047EA9" w:rsidRPr="00011CA0" w:rsidRDefault="00047EA9" w:rsidP="00016EF6">
                <w:pPr>
                  <w:numPr>
                    <w:ilvl w:val="0"/>
                    <w:numId w:val="3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 sem metin hafa verið</w:t>
                </w:r>
              </w:p>
              <w:p w14:paraId="1DA84DCA" w14:textId="77777777" w:rsidR="00BA2B11" w:rsidRPr="00AA56AD" w:rsidRDefault="00BA2B11" w:rsidP="00016EF6">
                <w:pPr>
                  <w:spacing w:after="120"/>
                  <w:ind w:left="357"/>
                  <w:rPr>
                    <w:rStyle w:val="normaltextrun"/>
                    <w:rFonts w:ascii="Times New Roman" w:hAnsi="Times New Roman" w:cs="Times New Roman"/>
                  </w:rPr>
                </w:pPr>
                <w:r w:rsidRPr="00AA56AD">
                  <w:rPr>
                    <w:rStyle w:val="normaltextrun"/>
                    <w:rFonts w:ascii="Times New Roman" w:hAnsi="Times New Roman" w:cs="Times New Roman"/>
                  </w:rPr>
                  <w:t>Önnur úrræði en lagasetning eiga ekki við.</w:t>
                </w:r>
              </w:p>
              <w:p w14:paraId="5CBCF0CF" w14:textId="77777777" w:rsidR="00BA2B11" w:rsidRPr="00011CA0" w:rsidRDefault="00047EA9" w:rsidP="00016EF6">
                <w:pPr>
                  <w:numPr>
                    <w:ilvl w:val="0"/>
                    <w:numId w:val="3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>Mögulegar leiðir við lagasetningu</w:t>
                </w:r>
              </w:p>
              <w:p w14:paraId="576F1867" w14:textId="77777777" w:rsidR="00047EA9" w:rsidRPr="00011CA0" w:rsidRDefault="00BA2B11" w:rsidP="00016EF6">
                <w:pPr>
                  <w:spacing w:after="160"/>
                  <w:ind w:left="3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55E03">
                  <w:rPr>
                    <w:rStyle w:val="normaltextrun"/>
                    <w:rFonts w:ascii="Times New Roman" w:hAnsi="Times New Roman" w:cs="Times New Roman"/>
                  </w:rPr>
                  <w:t>Ákvæði um eiginfjárauka koma fyrir í lögum nr. 161/2002, um fjármálafyrirtæki og því þarf að breyta þeim.</w:t>
                </w:r>
              </w:p>
            </w:sdtContent>
          </w:sdt>
        </w:tc>
      </w:tr>
      <w:tr w:rsidR="00047EA9" w:rsidRPr="00011CA0" w14:paraId="48998024" w14:textId="77777777" w:rsidTr="00ED20FF">
        <w:tc>
          <w:tcPr>
            <w:tcW w:w="9288" w:type="dxa"/>
            <w:shd w:val="clear" w:color="auto" w:fill="92CDDC" w:themeFill="accent5" w:themeFillTint="99"/>
          </w:tcPr>
          <w:p w14:paraId="3CF9720F" w14:textId="77777777" w:rsidR="00047EA9" w:rsidRPr="00011CA0" w:rsidRDefault="00047EA9" w:rsidP="00047EA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047EA9" w:rsidRPr="00011CA0" w14:paraId="756F9E2E" w14:textId="77777777" w:rsidTr="00ED20FF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 w14:paraId="43D5C4FD" w14:textId="77777777" w:rsidR="00047EA9" w:rsidRPr="00011CA0" w:rsidRDefault="00047EA9" w:rsidP="00C14159">
                <w:pPr>
                  <w:numPr>
                    <w:ilvl w:val="0"/>
                    <w:numId w:val="9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53377387" w14:textId="26773D35" w:rsidR="00FB45D7" w:rsidRPr="00011CA0" w:rsidRDefault="007E71F7" w:rsidP="009039A4">
                <w:pPr>
                  <w:spacing w:after="160"/>
                  <w:ind w:left="3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bookmarkStart w:id="0" w:name="_GoBack"/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Lagt er til að ákvæðum um eiginfjárauka í lögum nr. 161/2002, um fjármálafyrirtæki verði breytt þannig að þau </w:t>
                </w:r>
                <w:r w:rsidR="00E62175">
                  <w:rPr>
                    <w:rFonts w:ascii="Times New Roman" w:hAnsi="Times New Roman" w:cs="Times New Roman"/>
                    <w:lang w:val="is-IS"/>
                  </w:rPr>
                  <w:t>verði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í fullu samræmi við ákvæði tilskipunar 2013/36/ESB um sama efni. Við bætist ákvæði um eiginfjárauka vegna kerfislega mikilvægra fjármálafyrirtækja á alþjóðavísu og tekin verða upp ákvæði sem vísa til aðkomu ESB og annarra stofnanna ESB að eiginfjáraukum í samræmi við það hvernig </w:t>
                </w:r>
                <w:r w:rsidR="005908D4">
                  <w:rPr>
                    <w:rFonts w:ascii="Times New Roman" w:hAnsi="Times New Roman" w:cs="Times New Roman"/>
                    <w:lang w:val="is-IS"/>
                  </w:rPr>
                  <w:t>hún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hefur verið aðlöguð að EES-samningnum með aðkomu Eftirlitsstofnunar EFTA. Breytingar verða gerðar á 86. gr. a – 86. gr. f og ný ákvæði bætast við þannig að lögin séu í samræmi við tilskipun 2013/36/ESB.  Með breytingu á lögunum verður Fjármálaeftirlitinu veitt heimild til að </w:t>
                </w:r>
                <w:r w:rsidR="00421CC0">
                  <w:rPr>
                    <w:rFonts w:ascii="Times New Roman" w:hAnsi="Times New Roman" w:cs="Times New Roman"/>
                    <w:lang w:val="is-IS"/>
                  </w:rPr>
                  <w:t xml:space="preserve">setja </w:t>
                </w:r>
                <w:r w:rsidR="00E62175">
                  <w:rPr>
                    <w:rFonts w:ascii="Times New Roman" w:hAnsi="Times New Roman" w:cs="Times New Roman"/>
                    <w:lang w:val="is-IS"/>
                  </w:rPr>
                  <w:t>reglur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um eiginfjárauka vegna kerfisáhættu, eiginfjárauka vegna kerfislega mikilvægra fjármálafyrirtækja</w:t>
                </w:r>
                <w:r w:rsidR="00814F70">
                  <w:rPr>
                    <w:rFonts w:ascii="Times New Roman" w:hAnsi="Times New Roman" w:cs="Times New Roman"/>
                    <w:lang w:val="is-IS"/>
                  </w:rPr>
                  <w:t>, sveiflujöfnunarauka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 og kerfislega mikilvægra fjármálafyrirtækja á alþjóðavísu.</w:t>
                </w:r>
                <w:r w:rsidR="00FB45D7" w:rsidRPr="00011CA0">
                  <w:rPr>
                    <w:rFonts w:ascii="Times New Roman" w:hAnsi="Times New Roman" w:cs="Times New Roman"/>
                    <w:lang w:val="is-IS"/>
                  </w:rPr>
                  <w:t xml:space="preserve"> Það mun </w:t>
                </w:r>
                <w:r w:rsidR="00C646DE">
                  <w:rPr>
                    <w:rFonts w:ascii="Times New Roman" w:hAnsi="Times New Roman" w:cs="Times New Roman"/>
                    <w:lang w:val="is-IS"/>
                  </w:rPr>
                  <w:t>endurspegla betur eðli ák</w:t>
                </w:r>
                <w:r w:rsidR="00087FD8">
                  <w:rPr>
                    <w:rFonts w:ascii="Times New Roman" w:hAnsi="Times New Roman" w:cs="Times New Roman"/>
                    <w:lang w:val="is-IS"/>
                  </w:rPr>
                  <w:t>vörðunar um eiginfjárauka í samræmi við íslenskar venjur</w:t>
                </w:r>
                <w:r w:rsidR="00CF646F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047EA9"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fyrirhuguðu breytingar á gildandi lögum og reglum, hvort heldur bætt er við eða fellt brott </w:t>
                </w:r>
              </w:p>
              <w:bookmarkEnd w:id="0"/>
              <w:p w14:paraId="1157EEC4" w14:textId="77777777" w:rsidR="00047EA9" w:rsidRPr="00011CA0" w:rsidRDefault="00FB45D7" w:rsidP="00C14159">
                <w:pPr>
                  <w:spacing w:after="160"/>
                  <w:ind w:left="3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Sjá svar við 1.</w:t>
                </w:r>
              </w:p>
            </w:sdtContent>
          </w:sdt>
        </w:tc>
      </w:tr>
      <w:tr w:rsidR="00047EA9" w:rsidRPr="00011CA0" w14:paraId="63120A2F" w14:textId="77777777" w:rsidTr="00ED20FF">
        <w:tc>
          <w:tcPr>
            <w:tcW w:w="9288" w:type="dxa"/>
            <w:shd w:val="clear" w:color="auto" w:fill="92CDDC" w:themeFill="accent5" w:themeFillTint="99"/>
          </w:tcPr>
          <w:p w14:paraId="561447C4" w14:textId="77777777" w:rsidR="00047EA9" w:rsidRPr="00011CA0" w:rsidRDefault="00047EA9" w:rsidP="00047EA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047EA9" w:rsidRPr="00011CA0" w14:paraId="63CDAB26" w14:textId="77777777" w:rsidTr="00ED20FF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 w14:paraId="461DA110" w14:textId="77777777" w:rsidR="00047EA9" w:rsidRPr="00011CA0" w:rsidRDefault="00047EA9" w:rsidP="00382103">
                <w:pPr>
                  <w:numPr>
                    <w:ilvl w:val="0"/>
                    <w:numId w:val="8"/>
                  </w:numPr>
                  <w:spacing w:after="12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Koma áformin inn á svið stjórnarskrár og þjóðréttarskuldbindinga? </w:t>
                </w:r>
              </w:p>
              <w:p w14:paraId="79B8C38B" w14:textId="77777777" w:rsidR="00CE4E8A" w:rsidRPr="00011CA0" w:rsidRDefault="00CE4E8A" w:rsidP="00382103">
                <w:pPr>
                  <w:spacing w:after="160"/>
                  <w:ind w:left="360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Já, þau varða skuldbindingar Íslands skv. EES-samningnum.</w:t>
                </w:r>
              </w:p>
              <w:p w14:paraId="40329871" w14:textId="77777777" w:rsidR="00047EA9" w:rsidRPr="00011CA0" w:rsidRDefault="00047EA9" w:rsidP="00382103">
                <w:pPr>
                  <w:numPr>
                    <w:ilvl w:val="0"/>
                    <w:numId w:val="8"/>
                  </w:numPr>
                  <w:spacing w:after="12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 </w:t>
                </w:r>
              </w:p>
              <w:p w14:paraId="700F0515" w14:textId="77777777" w:rsidR="00CE4E8A" w:rsidRPr="00011CA0" w:rsidRDefault="00CE4E8A" w:rsidP="00382103">
                <w:pPr>
                  <w:spacing w:after="160"/>
                  <w:ind w:left="360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14:paraId="0B42F543" w14:textId="77777777" w:rsidR="00CE4E8A" w:rsidRPr="00011CA0" w:rsidRDefault="00047EA9" w:rsidP="00382103">
                <w:pPr>
                  <w:numPr>
                    <w:ilvl w:val="0"/>
                    <w:numId w:val="8"/>
                  </w:numPr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önnur grundvallarlöggjöf sem taka þarf tillit til?  </w:t>
                </w:r>
              </w:p>
              <w:p w14:paraId="22C7BDEB" w14:textId="77777777" w:rsidR="00047EA9" w:rsidRPr="00011CA0" w:rsidRDefault="00CE4E8A" w:rsidP="00382103">
                <w:pPr>
                  <w:spacing w:after="160"/>
                  <w:ind w:left="3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</w:sdtContent>
          </w:sdt>
        </w:tc>
      </w:tr>
      <w:tr w:rsidR="00047EA9" w:rsidRPr="00011CA0" w14:paraId="7BD67B3F" w14:textId="77777777" w:rsidTr="00ED20FF">
        <w:tc>
          <w:tcPr>
            <w:tcW w:w="9288" w:type="dxa"/>
            <w:shd w:val="clear" w:color="auto" w:fill="92CDDC" w:themeFill="accent5" w:themeFillTint="99"/>
          </w:tcPr>
          <w:p w14:paraId="642BB548" w14:textId="77777777" w:rsidR="00047EA9" w:rsidRPr="00011CA0" w:rsidRDefault="00047EA9" w:rsidP="00047EA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047EA9" w:rsidRPr="00011CA0" w14:paraId="2F219356" w14:textId="77777777" w:rsidTr="00ED20FF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 w14:paraId="6E4315E5" w14:textId="77777777" w:rsidR="00047EA9" w:rsidRPr="00011CA0" w:rsidRDefault="00047EA9" w:rsidP="00A60DA8">
                <w:pPr>
                  <w:numPr>
                    <w:ilvl w:val="0"/>
                    <w:numId w:val="6"/>
                  </w:numPr>
                  <w:spacing w:after="12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1EABF5B1" w14:textId="77777777" w:rsidR="00CE4E8A" w:rsidRPr="00011CA0" w:rsidRDefault="00CE4E8A" w:rsidP="00A60DA8">
                <w:pPr>
                  <w:spacing w:after="160"/>
                  <w:ind w:left="360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Fjármálafyrirtæki.</w:t>
                </w:r>
              </w:p>
              <w:p w14:paraId="45FD58BF" w14:textId="77777777" w:rsidR="00047EA9" w:rsidRPr="00011CA0" w:rsidRDefault="00047EA9" w:rsidP="00A60DA8">
                <w:pPr>
                  <w:numPr>
                    <w:ilvl w:val="0"/>
                    <w:numId w:val="6"/>
                  </w:numPr>
                  <w:spacing w:after="12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skörun við stjórnarmálefni annarra ráðuneyta? </w:t>
                </w:r>
              </w:p>
              <w:p w14:paraId="2342823D" w14:textId="77777777" w:rsidR="00CE4E8A" w:rsidRPr="00011CA0" w:rsidRDefault="00CE4E8A" w:rsidP="00A60DA8">
                <w:pPr>
                  <w:spacing w:after="160"/>
                  <w:ind w:left="360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14:paraId="498B1263" w14:textId="77777777" w:rsidR="00047EA9" w:rsidRPr="00011CA0" w:rsidRDefault="00047EA9" w:rsidP="00A60DA8">
                <w:pPr>
                  <w:numPr>
                    <w:ilvl w:val="0"/>
                    <w:numId w:val="6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774D2A97" w14:textId="1925A093" w:rsidR="00CE4E8A" w:rsidRPr="00011CA0" w:rsidRDefault="008B688E" w:rsidP="00A60DA8">
                <w:pPr>
                  <w:spacing w:after="160"/>
                  <w:ind w:left="3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Varðandi ákveðna þætti áformaðra breytinga hefur verið haft samráð</w:t>
                </w:r>
                <w:r w:rsidR="00CE4E8A" w:rsidRPr="00011CA0">
                  <w:rPr>
                    <w:rFonts w:ascii="Times New Roman" w:hAnsi="Times New Roman" w:cs="Times New Roman"/>
                    <w:lang w:val="is-IS"/>
                  </w:rPr>
                  <w:t xml:space="preserve"> við Fjármálaeftirlitið og Seðlabanka Íslands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667DFC2" w14:textId="77777777" w:rsidR="00CE4E8A" w:rsidRPr="00011CA0" w:rsidRDefault="00047EA9" w:rsidP="00A60DA8">
                <w:pPr>
                  <w:numPr>
                    <w:ilvl w:val="0"/>
                    <w:numId w:val="6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Fyrirhugað samráð </w:t>
                </w:r>
              </w:p>
              <w:p w14:paraId="3A000DE3" w14:textId="054D87E3" w:rsidR="00047EA9" w:rsidRPr="00011CA0" w:rsidRDefault="00CE4E8A" w:rsidP="00A60DA8">
                <w:pPr>
                  <w:spacing w:after="160"/>
                  <w:ind w:left="3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Með birtingu þessa skjals </w:t>
                </w:r>
                <w:r w:rsidR="00A60DA8">
                  <w:rPr>
                    <w:rFonts w:ascii="Times New Roman" w:hAnsi="Times New Roman" w:cs="Times New Roman"/>
                    <w:lang w:val="is-IS"/>
                  </w:rPr>
                  <w:t>í Samráðsgátt stjórnvalda.</w:t>
                </w:r>
              </w:p>
            </w:sdtContent>
          </w:sdt>
        </w:tc>
      </w:tr>
      <w:tr w:rsidR="00047EA9" w:rsidRPr="00011CA0" w14:paraId="388702E9" w14:textId="77777777" w:rsidTr="00ED20FF">
        <w:tc>
          <w:tcPr>
            <w:tcW w:w="9288" w:type="dxa"/>
            <w:shd w:val="clear" w:color="auto" w:fill="92CDDC" w:themeFill="accent5" w:themeFillTint="99"/>
          </w:tcPr>
          <w:p w14:paraId="361E03DD" w14:textId="77777777" w:rsidR="00047EA9" w:rsidRPr="00011CA0" w:rsidRDefault="00047EA9" w:rsidP="00047EA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t xml:space="preserve">Mat á áhrifum þeirrar leiðar sem áformuð er </w:t>
            </w:r>
          </w:p>
        </w:tc>
      </w:tr>
      <w:tr w:rsidR="00047EA9" w:rsidRPr="00011CA0" w14:paraId="2014A0D3" w14:textId="77777777" w:rsidTr="00ED20FF">
        <w:trPr>
          <w:trHeight w:val="283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lang w:val="is-IS"/>
              </w:rPr>
              <w:id w:val="352008833"/>
            </w:sdtPr>
            <w:sdtEndPr/>
            <w:sdtContent>
              <w:p w14:paraId="5508F219" w14:textId="538DD961" w:rsidR="008E59EF" w:rsidRPr="008E59EF" w:rsidRDefault="008E59EF" w:rsidP="00B97E0B">
                <w:pPr>
                  <w:spacing w:after="120"/>
                  <w:ind w:left="357"/>
                  <w:rPr>
                    <w:rFonts w:ascii="Times New Roman" w:hAnsi="Times New Roman" w:cs="Times New Roman"/>
                    <w:lang w:val="is-IS"/>
                  </w:rPr>
                </w:pPr>
                <w:r w:rsidRPr="008E59EF">
                  <w:rPr>
                    <w:rFonts w:ascii="Times New Roman" w:hAnsi="Times New Roman" w:cs="Times New Roman"/>
                    <w:lang w:val="is-IS"/>
                  </w:rPr>
                  <w:t>Um er að ræða breytingar á ákvæðum sem eru fyrst og fre</w:t>
                </w:r>
                <w:r w:rsidR="00DE4E8D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r w:rsidRPr="008E59EF">
                  <w:rPr>
                    <w:rFonts w:ascii="Times New Roman" w:hAnsi="Times New Roman" w:cs="Times New Roman"/>
                    <w:lang w:val="is-IS"/>
                  </w:rPr>
                  <w:t>st gerðar til að íslensk lög ve</w:t>
                </w:r>
                <w:r w:rsidR="00DE4E8D">
                  <w:rPr>
                    <w:rFonts w:ascii="Times New Roman" w:hAnsi="Times New Roman" w:cs="Times New Roman"/>
                    <w:lang w:val="is-IS"/>
                  </w:rPr>
                  <w:t>rð</w:t>
                </w:r>
                <w:r w:rsidRPr="008E59EF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B97E0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8E59EF">
                  <w:rPr>
                    <w:rFonts w:ascii="Times New Roman" w:hAnsi="Times New Roman" w:cs="Times New Roman"/>
                    <w:lang w:val="is-IS"/>
                  </w:rPr>
                  <w:t>í samræmi við Evrópureglur</w:t>
                </w:r>
                <w:r w:rsidR="00DE4E8D">
                  <w:rPr>
                    <w:rFonts w:ascii="Times New Roman" w:hAnsi="Times New Roman" w:cs="Times New Roman"/>
                    <w:lang w:val="is-IS"/>
                  </w:rPr>
                  <w:t xml:space="preserve"> og ólíklegt er talið að þær</w:t>
                </w:r>
                <w:r w:rsidRPr="008E59EF">
                  <w:rPr>
                    <w:rFonts w:ascii="Times New Roman" w:hAnsi="Times New Roman" w:cs="Times New Roman"/>
                    <w:lang w:val="is-IS"/>
                  </w:rPr>
                  <w:t xml:space="preserve"> þau muni hafa mikil áhrif hér á landi að svo stöddu.</w:t>
                </w:r>
              </w:p>
              <w:p w14:paraId="3C657DD5" w14:textId="402C3EB9" w:rsidR="00B97E0B" w:rsidRDefault="008E59EF" w:rsidP="00B97E0B">
                <w:pPr>
                  <w:spacing w:after="120"/>
                  <w:ind w:left="357"/>
                  <w:rPr>
                    <w:rFonts w:ascii="Times New Roman" w:hAnsi="Times New Roman" w:cs="Times New Roman"/>
                    <w:lang w:val="is-IS"/>
                  </w:rPr>
                </w:pPr>
                <w:r w:rsidRPr="008E59EF">
                  <w:rPr>
                    <w:rFonts w:ascii="Times New Roman" w:hAnsi="Times New Roman" w:cs="Times New Roman"/>
                    <w:lang w:val="is-IS"/>
                  </w:rPr>
                  <w:t>Hér starfa engin kerfislega mikilvæg fjármálafyrirtæki á alþjóðavísu, og því mun einfjárauki á</w:t>
                </w:r>
                <w:r w:rsidR="00B97E0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8E59EF">
                  <w:rPr>
                    <w:rFonts w:ascii="Times New Roman" w:hAnsi="Times New Roman" w:cs="Times New Roman"/>
                    <w:lang w:val="is-IS"/>
                  </w:rPr>
                  <w:t>þau ekki hafa áhrif</w:t>
                </w:r>
                <w:r w:rsidR="00F64464">
                  <w:rPr>
                    <w:rFonts w:ascii="Times New Roman" w:hAnsi="Times New Roman" w:cs="Times New Roman"/>
                    <w:lang w:val="is-IS"/>
                  </w:rPr>
                  <w:t xml:space="preserve"> miðað við núverandi ástand</w:t>
                </w:r>
                <w:r w:rsidRPr="008E59EF">
                  <w:rPr>
                    <w:rFonts w:ascii="Times New Roman" w:hAnsi="Times New Roman" w:cs="Times New Roman"/>
                    <w:lang w:val="is-IS"/>
                  </w:rPr>
                  <w:t>, þó vissulega sé mögulegt að þennan eiginfjárauka þurfi að leggja á</w:t>
                </w:r>
                <w:r w:rsidR="00B97E0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8E59EF">
                  <w:rPr>
                    <w:rFonts w:ascii="Times New Roman" w:hAnsi="Times New Roman" w:cs="Times New Roman"/>
                    <w:lang w:val="is-IS"/>
                  </w:rPr>
                  <w:t>hér á landi einhvern tíma.</w:t>
                </w:r>
              </w:p>
              <w:p w14:paraId="74C7A74A" w14:textId="0A48B1A5" w:rsidR="008E59EF" w:rsidRDefault="008E59EF" w:rsidP="00B97E0B">
                <w:pPr>
                  <w:spacing w:after="120"/>
                  <w:ind w:left="357"/>
                  <w:rPr>
                    <w:rFonts w:ascii="Times New Roman" w:hAnsi="Times New Roman" w:cs="Times New Roman"/>
                    <w:lang w:val="is-IS"/>
                  </w:rPr>
                </w:pPr>
                <w:r w:rsidRPr="008E59EF">
                  <w:rPr>
                    <w:rFonts w:ascii="Times New Roman" w:hAnsi="Times New Roman" w:cs="Times New Roman"/>
                    <w:lang w:val="is-IS"/>
                  </w:rPr>
                  <w:t>Ákvæði um aðkomu ESB og Evrópskra eftirlitsstofnana á fjármálamarkaði í landsrétt eru</w:t>
                </w:r>
                <w:r w:rsidR="00B97E0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8E59EF">
                  <w:rPr>
                    <w:rFonts w:ascii="Times New Roman" w:hAnsi="Times New Roman" w:cs="Times New Roman"/>
                    <w:lang w:val="is-IS"/>
                  </w:rPr>
                  <w:t>nánari útfærsla á grundvallarbreytingu á eftirlitsumhverfi á fjármálamarkaði sem var leidd í</w:t>
                </w:r>
                <w:r w:rsidR="00B97E0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8E59EF">
                  <w:rPr>
                    <w:rFonts w:ascii="Times New Roman" w:hAnsi="Times New Roman" w:cs="Times New Roman"/>
                    <w:lang w:val="is-IS"/>
                  </w:rPr>
                  <w:t>lög hér á landi með lögum nr. 24/2017, um evrópskt eftirlitskerfi á fjármálamarkaði.</w:t>
                </w:r>
              </w:p>
              <w:p w14:paraId="531E2101" w14:textId="77777777" w:rsidR="002539F5" w:rsidRDefault="00B97E0B" w:rsidP="00B97E0B">
                <w:pPr>
                  <w:spacing w:after="120"/>
                  <w:ind w:left="357"/>
                  <w:rPr>
                    <w:rFonts w:ascii="Times New Roman" w:hAnsi="Times New Roman" w:cs="Times New Roman"/>
                    <w:lang w:val="is-IS"/>
                  </w:rPr>
                </w:pPr>
                <w:r w:rsidRPr="00B97E0B">
                  <w:rPr>
                    <w:rFonts w:ascii="Times New Roman" w:hAnsi="Times New Roman" w:cs="Times New Roman"/>
                    <w:lang w:val="is-IS"/>
                  </w:rPr>
                  <w:t>Reglur um eiginfjárauka munu hafa í för með sér að þær fjármálastofnanir sem þurfa að halda þeim munu ekki geta andmælt </w:t>
                </w:r>
                <w:r w:rsidR="00E62175">
                  <w:rPr>
                    <w:rFonts w:ascii="Times New Roman" w:hAnsi="Times New Roman" w:cs="Times New Roman"/>
                    <w:lang w:val="is-IS"/>
                  </w:rPr>
                  <w:t xml:space="preserve">ákvörðunum um </w:t>
                </w:r>
                <w:r w:rsidRPr="00B97E0B">
                  <w:rPr>
                    <w:rFonts w:ascii="Times New Roman" w:hAnsi="Times New Roman" w:cs="Times New Roman"/>
                    <w:lang w:val="is-IS"/>
                  </w:rPr>
                  <w:t>álagningu aukanna</w:t>
                </w:r>
                <w:r w:rsidR="00E62175">
                  <w:rPr>
                    <w:rFonts w:ascii="Times New Roman" w:hAnsi="Times New Roman" w:cs="Times New Roman"/>
                    <w:lang w:val="is-IS"/>
                  </w:rPr>
                  <w:t xml:space="preserve"> áður en þær eru teknar</w:t>
                </w:r>
                <w:r w:rsidRPr="00B97E0B">
                  <w:rPr>
                    <w:rFonts w:ascii="Times New Roman" w:hAnsi="Times New Roman" w:cs="Times New Roman"/>
                    <w:lang w:val="is-IS"/>
                  </w:rPr>
                  <w:t>, en breytingin er talin endurspegla betur eðli ákvörðunarinnar, þ.e. að hún sé almenn fyrirmæli til hóps fjármálafyrirtækja en ekki ákvörðun sem er tekin gagnvart hverju og einu fjármálafyrirtæki. </w:t>
                </w:r>
                <w:r w:rsidR="00B824BA" w:rsidRPr="00B97E0B" w:rsidDel="00B824B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2E878561" w14:textId="2DF84A7A" w:rsidR="00047EA9" w:rsidRPr="008E59EF" w:rsidRDefault="000402DD" w:rsidP="00B97E0B">
                <w:pPr>
                  <w:spacing w:after="120"/>
                  <w:ind w:left="357"/>
                  <w:rPr>
                    <w:rFonts w:ascii="Times New Roman" w:hAnsi="Times New Roman" w:cs="Times New Roman"/>
                    <w:lang w:val="is-IS"/>
                  </w:rPr>
                </w:pPr>
              </w:p>
            </w:sdtContent>
          </w:sdt>
        </w:tc>
      </w:tr>
      <w:tr w:rsidR="00047EA9" w:rsidRPr="00011CA0" w14:paraId="594466AD" w14:textId="77777777" w:rsidTr="00ED20FF">
        <w:tc>
          <w:tcPr>
            <w:tcW w:w="9288" w:type="dxa"/>
            <w:shd w:val="clear" w:color="auto" w:fill="92CDDC" w:themeFill="accent5" w:themeFillTint="99"/>
          </w:tcPr>
          <w:p w14:paraId="526A762C" w14:textId="77777777" w:rsidR="00047EA9" w:rsidRPr="00011CA0" w:rsidRDefault="00047EA9" w:rsidP="00047EA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047EA9" w:rsidRPr="00011CA0" w14:paraId="69F9F79D" w14:textId="77777777" w:rsidTr="00ED20FF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3023DBE2" w14:textId="77777777" w:rsidR="00047EA9" w:rsidRPr="00011CA0" w:rsidRDefault="00047EA9" w:rsidP="005066EF">
                <w:pPr>
                  <w:numPr>
                    <w:ilvl w:val="0"/>
                    <w:numId w:val="7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Hefur verið gerð verkefnisáætlun fyrir frumvarpssmíðina? </w:t>
                </w:r>
              </w:p>
              <w:p w14:paraId="6AB72931" w14:textId="0AF7B694" w:rsidR="00CE4E8A" w:rsidRPr="00011CA0" w:rsidRDefault="00CE4E8A" w:rsidP="005066EF">
                <w:pPr>
                  <w:spacing w:after="160"/>
                  <w:ind w:left="360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="008B688E">
                  <w:rPr>
                    <w:rFonts w:ascii="Times New Roman" w:hAnsi="Times New Roman" w:cs="Times New Roman"/>
                    <w:lang w:val="is-IS"/>
                  </w:rPr>
                  <w:t xml:space="preserve"> og miðað er við framlagningu lagafrumvarps haustið 2018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FB43091" w14:textId="77777777" w:rsidR="00047EA9" w:rsidRPr="00011CA0" w:rsidRDefault="00047EA9" w:rsidP="005066EF">
                <w:pPr>
                  <w:numPr>
                    <w:ilvl w:val="0"/>
                    <w:numId w:val="7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>Hvernig verður staðið að innleiðingu löggjafar? Hvað má gera ráð fyrir að þeir sem verða fyrir áhrifum, opinberar stofnanir/hagsmunaaðilar/almenningur, þurfi langan tíma til undirbúnings/aðlögunar?</w:t>
                </w:r>
              </w:p>
              <w:p w14:paraId="0EB7F682" w14:textId="5D1422C5" w:rsidR="00CE4E8A" w:rsidRPr="00011CA0" w:rsidRDefault="00CE4E8A" w:rsidP="005066EF">
                <w:pPr>
                  <w:spacing w:after="160"/>
                  <w:ind w:left="360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 xml:space="preserve">Löggjöfin tekur gildi strax og ekki er að sjá að þeir sem verða fyrir áhrifum </w:t>
                </w:r>
                <w:r w:rsidR="00693325" w:rsidRPr="00011CA0">
                  <w:rPr>
                    <w:rFonts w:ascii="Times New Roman" w:hAnsi="Times New Roman" w:cs="Times New Roman"/>
                    <w:lang w:val="is-IS"/>
                  </w:rPr>
                  <w:t>af lagasetningunni þurfi sérstakan tíma til aðlögunar</w:t>
                </w:r>
                <w:r w:rsidRPr="00011CA0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693325" w:rsidRPr="00011CA0">
                  <w:rPr>
                    <w:rFonts w:ascii="Times New Roman" w:hAnsi="Times New Roman" w:cs="Times New Roman"/>
                    <w:lang w:val="is-IS"/>
                  </w:rPr>
                  <w:t xml:space="preserve"> Ákvarðanir sem teknar hafa verið á grundvelli 86. gr. a – 86. gr. f núgildandi laga munu halda gildi sínu áfram og þangað til að Fjármálaeftirlitið hefur sett sérstakar reglur</w:t>
                </w:r>
                <w:r w:rsidR="0014525F">
                  <w:rPr>
                    <w:rFonts w:ascii="Times New Roman" w:hAnsi="Times New Roman" w:cs="Times New Roman"/>
                    <w:lang w:val="is-IS"/>
                  </w:rPr>
                  <w:t xml:space="preserve"> í samræmi við breytt lög</w:t>
                </w:r>
                <w:r w:rsidR="00693325" w:rsidRPr="00011CA0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27885CF" w14:textId="77777777" w:rsidR="00047EA9" w:rsidRPr="00011CA0" w:rsidRDefault="00047EA9" w:rsidP="005066EF">
                <w:pPr>
                  <w:numPr>
                    <w:ilvl w:val="0"/>
                    <w:numId w:val="7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Hvaða forsendur þurfa að vera fyrir hendi til að lagasetning beri árangur? </w:t>
                </w:r>
              </w:p>
              <w:p w14:paraId="24B232F6" w14:textId="77777777" w:rsidR="00693325" w:rsidRPr="00011CA0" w:rsidRDefault="00693325" w:rsidP="005066EF">
                <w:pPr>
                  <w:spacing w:after="160"/>
                  <w:ind w:left="360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Engar sérstakar forsendur.</w:t>
                </w:r>
              </w:p>
              <w:p w14:paraId="6359DC42" w14:textId="77777777" w:rsidR="00047EA9" w:rsidRPr="00011CA0" w:rsidRDefault="00047EA9" w:rsidP="005066EF">
                <w:pPr>
                  <w:numPr>
                    <w:ilvl w:val="0"/>
                    <w:numId w:val="7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0963C877" w14:textId="77777777" w:rsidR="00693325" w:rsidRPr="00011CA0" w:rsidRDefault="00693325" w:rsidP="005066EF">
                <w:pPr>
                  <w:spacing w:after="160"/>
                  <w:ind w:left="360"/>
                  <w:rPr>
                    <w:rFonts w:ascii="Times New Roman" w:hAnsi="Times New Roman" w:cs="Times New Roman"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14:paraId="540E33B4" w14:textId="77777777" w:rsidR="00693325" w:rsidRPr="00011CA0" w:rsidRDefault="00047EA9" w:rsidP="005066EF">
                <w:pPr>
                  <w:numPr>
                    <w:ilvl w:val="0"/>
                    <w:numId w:val="7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Hefur verið hugað að því að afla gagna til að meta árangur þegar þar að kemur? </w:t>
                </w:r>
              </w:p>
              <w:p w14:paraId="3FE25C41" w14:textId="77777777" w:rsidR="00047EA9" w:rsidRPr="00011CA0" w:rsidRDefault="00693325" w:rsidP="005066EF">
                <w:pPr>
                  <w:spacing w:after="160"/>
                  <w:ind w:left="3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</w:sdtContent>
          </w:sdt>
        </w:tc>
      </w:tr>
      <w:tr w:rsidR="00047EA9" w:rsidRPr="00011CA0" w14:paraId="67C48C3A" w14:textId="77777777" w:rsidTr="00ED20FF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359D1F3F" w14:textId="77777777" w:rsidR="00047EA9" w:rsidRPr="00011CA0" w:rsidRDefault="00047EA9" w:rsidP="00047EA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</w:p>
        </w:tc>
      </w:tr>
      <w:tr w:rsidR="00047EA9" w:rsidRPr="00011CA0" w14:paraId="2E0FE01A" w14:textId="77777777" w:rsidTr="00ED20FF">
        <w:trPr>
          <w:trHeight w:val="300"/>
        </w:trPr>
        <w:tc>
          <w:tcPr>
            <w:tcW w:w="9288" w:type="dxa"/>
          </w:tcPr>
          <w:p w14:paraId="7A446CD3" w14:textId="77777777" w:rsidR="00047EA9" w:rsidRPr="00011CA0" w:rsidRDefault="000402DD" w:rsidP="00047EA9">
            <w:pPr>
              <w:spacing w:after="160" w:line="259" w:lineRule="auto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047EA9" w:rsidRPr="00011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tr w:rsidR="00047EA9" w:rsidRPr="00011CA0" w14:paraId="6C83E60A" w14:textId="77777777" w:rsidTr="00ED20FF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32150C41" w14:textId="77777777" w:rsidR="00047EA9" w:rsidRPr="00011CA0" w:rsidRDefault="00047EA9" w:rsidP="00047EA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lang w:val="is-IS"/>
              </w:rPr>
            </w:pPr>
            <w:r w:rsidRPr="00011CA0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047EA9" w:rsidRPr="00011CA0" w14:paraId="55366871" w14:textId="77777777" w:rsidTr="00ED20FF">
        <w:trPr>
          <w:trHeight w:val="300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lang w:val="is-IS"/>
              </w:rPr>
              <w:id w:val="1543943641"/>
            </w:sdtPr>
            <w:sdtEndPr/>
            <w:sdtContent>
              <w:p w14:paraId="1B1CF1F7" w14:textId="77777777" w:rsidR="00047EA9" w:rsidRPr="00011CA0" w:rsidRDefault="00047EA9" w:rsidP="00475FD8">
                <w:pPr>
                  <w:numPr>
                    <w:ilvl w:val="0"/>
                    <w:numId w:val="10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407B4C99" w14:textId="77777777" w:rsidR="00047EA9" w:rsidRPr="00011CA0" w:rsidRDefault="00047EA9" w:rsidP="00475FD8">
                <w:pPr>
                  <w:numPr>
                    <w:ilvl w:val="0"/>
                    <w:numId w:val="10"/>
                  </w:numPr>
                  <w:spacing w:after="1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11CA0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</w:tbl>
    <w:p w14:paraId="23518F3E" w14:textId="77777777" w:rsidR="00C21B7C" w:rsidRPr="00011CA0" w:rsidRDefault="00C21B7C" w:rsidP="008B688E">
      <w:pPr>
        <w:rPr>
          <w:rFonts w:ascii="Times New Roman" w:hAnsi="Times New Roman" w:cs="Times New Roman"/>
        </w:rPr>
      </w:pPr>
    </w:p>
    <w:sectPr w:rsidR="00C21B7C" w:rsidRPr="00011CA0" w:rsidSect="00FA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04D35"/>
    <w:multiLevelType w:val="hybridMultilevel"/>
    <w:tmpl w:val="5CE4156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822F3"/>
    <w:multiLevelType w:val="hybridMultilevel"/>
    <w:tmpl w:val="0548DE66"/>
    <w:lvl w:ilvl="0" w:tplc="040F000F">
      <w:start w:val="1"/>
      <w:numFmt w:val="decimal"/>
      <w:lvlText w:val="%1."/>
      <w:lvlJc w:val="left"/>
      <w:pPr>
        <w:ind w:left="1077" w:hanging="360"/>
      </w:pPr>
    </w:lvl>
    <w:lvl w:ilvl="1" w:tplc="00000019" w:tentative="1">
      <w:start w:val="1"/>
      <w:numFmt w:val="lowerLetter"/>
      <w:lvlText w:val="%2."/>
      <w:lvlJc w:val="left"/>
      <w:pPr>
        <w:ind w:left="1797" w:hanging="360"/>
      </w:pPr>
    </w:lvl>
    <w:lvl w:ilvl="2" w:tplc="0000001B" w:tentative="1">
      <w:start w:val="1"/>
      <w:numFmt w:val="lowerRoman"/>
      <w:lvlText w:val="%3."/>
      <w:lvlJc w:val="right"/>
      <w:pPr>
        <w:ind w:left="2517" w:hanging="180"/>
      </w:pPr>
    </w:lvl>
    <w:lvl w:ilvl="3" w:tplc="0000000F" w:tentative="1">
      <w:start w:val="1"/>
      <w:numFmt w:val="decimal"/>
      <w:lvlText w:val="%4."/>
      <w:lvlJc w:val="left"/>
      <w:pPr>
        <w:ind w:left="3237" w:hanging="360"/>
      </w:pPr>
    </w:lvl>
    <w:lvl w:ilvl="4" w:tplc="00000019" w:tentative="1">
      <w:start w:val="1"/>
      <w:numFmt w:val="lowerLetter"/>
      <w:lvlText w:val="%5."/>
      <w:lvlJc w:val="left"/>
      <w:pPr>
        <w:ind w:left="3957" w:hanging="360"/>
      </w:pPr>
    </w:lvl>
    <w:lvl w:ilvl="5" w:tplc="0000001B" w:tentative="1">
      <w:start w:val="1"/>
      <w:numFmt w:val="lowerRoman"/>
      <w:lvlText w:val="%6."/>
      <w:lvlJc w:val="right"/>
      <w:pPr>
        <w:ind w:left="4677" w:hanging="180"/>
      </w:pPr>
    </w:lvl>
    <w:lvl w:ilvl="6" w:tplc="0000000F" w:tentative="1">
      <w:start w:val="1"/>
      <w:numFmt w:val="decimal"/>
      <w:lvlText w:val="%7."/>
      <w:lvlJc w:val="left"/>
      <w:pPr>
        <w:ind w:left="5397" w:hanging="360"/>
      </w:pPr>
    </w:lvl>
    <w:lvl w:ilvl="7" w:tplc="00000019" w:tentative="1">
      <w:start w:val="1"/>
      <w:numFmt w:val="lowerLetter"/>
      <w:lvlText w:val="%8."/>
      <w:lvlJc w:val="left"/>
      <w:pPr>
        <w:ind w:left="6117" w:hanging="360"/>
      </w:pPr>
    </w:lvl>
    <w:lvl w:ilvl="8" w:tplc="000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6F"/>
    <w:rsid w:val="00002C3C"/>
    <w:rsid w:val="000101E6"/>
    <w:rsid w:val="00011CA0"/>
    <w:rsid w:val="00013141"/>
    <w:rsid w:val="000168F0"/>
    <w:rsid w:val="00016EF6"/>
    <w:rsid w:val="000402DD"/>
    <w:rsid w:val="00047EA9"/>
    <w:rsid w:val="00062AF4"/>
    <w:rsid w:val="00063969"/>
    <w:rsid w:val="00086D6E"/>
    <w:rsid w:val="00087FD8"/>
    <w:rsid w:val="000A38B6"/>
    <w:rsid w:val="000B1FF0"/>
    <w:rsid w:val="000B2F82"/>
    <w:rsid w:val="000B50D3"/>
    <w:rsid w:val="000C2F22"/>
    <w:rsid w:val="000D70C4"/>
    <w:rsid w:val="000E12D4"/>
    <w:rsid w:val="000E7DB1"/>
    <w:rsid w:val="000F070B"/>
    <w:rsid w:val="000F4308"/>
    <w:rsid w:val="00115BB7"/>
    <w:rsid w:val="00120357"/>
    <w:rsid w:val="0014525F"/>
    <w:rsid w:val="00186E7D"/>
    <w:rsid w:val="001957E9"/>
    <w:rsid w:val="001B612B"/>
    <w:rsid w:val="001B78C8"/>
    <w:rsid w:val="001C024B"/>
    <w:rsid w:val="001F217F"/>
    <w:rsid w:val="002404C6"/>
    <w:rsid w:val="00241A18"/>
    <w:rsid w:val="0024608D"/>
    <w:rsid w:val="002539F5"/>
    <w:rsid w:val="0027713F"/>
    <w:rsid w:val="00293AFA"/>
    <w:rsid w:val="002A2AED"/>
    <w:rsid w:val="002A734A"/>
    <w:rsid w:val="002B340F"/>
    <w:rsid w:val="002B61B0"/>
    <w:rsid w:val="002E148C"/>
    <w:rsid w:val="002F39AC"/>
    <w:rsid w:val="003039FE"/>
    <w:rsid w:val="00324E30"/>
    <w:rsid w:val="00331F09"/>
    <w:rsid w:val="00333E97"/>
    <w:rsid w:val="00355E03"/>
    <w:rsid w:val="00375359"/>
    <w:rsid w:val="003816A4"/>
    <w:rsid w:val="00382103"/>
    <w:rsid w:val="00384978"/>
    <w:rsid w:val="00385E01"/>
    <w:rsid w:val="00390236"/>
    <w:rsid w:val="003A2C12"/>
    <w:rsid w:val="003D0920"/>
    <w:rsid w:val="003D30D8"/>
    <w:rsid w:val="00421CC0"/>
    <w:rsid w:val="004273A9"/>
    <w:rsid w:val="00441650"/>
    <w:rsid w:val="004610AF"/>
    <w:rsid w:val="00462FBA"/>
    <w:rsid w:val="00472682"/>
    <w:rsid w:val="0047297D"/>
    <w:rsid w:val="00475FD8"/>
    <w:rsid w:val="004767D3"/>
    <w:rsid w:val="00495CEF"/>
    <w:rsid w:val="004968D7"/>
    <w:rsid w:val="004B162C"/>
    <w:rsid w:val="004B5038"/>
    <w:rsid w:val="004C6DC2"/>
    <w:rsid w:val="004D6493"/>
    <w:rsid w:val="004E46EA"/>
    <w:rsid w:val="004F435B"/>
    <w:rsid w:val="004F5897"/>
    <w:rsid w:val="005066EF"/>
    <w:rsid w:val="00507465"/>
    <w:rsid w:val="00523F5E"/>
    <w:rsid w:val="00535203"/>
    <w:rsid w:val="0054461F"/>
    <w:rsid w:val="0055472F"/>
    <w:rsid w:val="005630A6"/>
    <w:rsid w:val="00576A1D"/>
    <w:rsid w:val="005908D4"/>
    <w:rsid w:val="00590FAD"/>
    <w:rsid w:val="00592CE5"/>
    <w:rsid w:val="005A01DA"/>
    <w:rsid w:val="005F47B6"/>
    <w:rsid w:val="005F6145"/>
    <w:rsid w:val="005F6525"/>
    <w:rsid w:val="00601CE0"/>
    <w:rsid w:val="006104EA"/>
    <w:rsid w:val="0061253C"/>
    <w:rsid w:val="00615571"/>
    <w:rsid w:val="006328F0"/>
    <w:rsid w:val="00693325"/>
    <w:rsid w:val="006C4B07"/>
    <w:rsid w:val="006C6A42"/>
    <w:rsid w:val="006E74C5"/>
    <w:rsid w:val="006F6898"/>
    <w:rsid w:val="006F6EB2"/>
    <w:rsid w:val="0070116F"/>
    <w:rsid w:val="007217B8"/>
    <w:rsid w:val="00722430"/>
    <w:rsid w:val="007263A9"/>
    <w:rsid w:val="00753927"/>
    <w:rsid w:val="00760CCB"/>
    <w:rsid w:val="007647EA"/>
    <w:rsid w:val="00780A6D"/>
    <w:rsid w:val="007842D7"/>
    <w:rsid w:val="00787898"/>
    <w:rsid w:val="007A1C49"/>
    <w:rsid w:val="007A639C"/>
    <w:rsid w:val="007B07F1"/>
    <w:rsid w:val="007B6361"/>
    <w:rsid w:val="007C2A89"/>
    <w:rsid w:val="007D0FA6"/>
    <w:rsid w:val="007D1F59"/>
    <w:rsid w:val="007D41E5"/>
    <w:rsid w:val="007E71F7"/>
    <w:rsid w:val="007F1E75"/>
    <w:rsid w:val="007F3217"/>
    <w:rsid w:val="007F5C54"/>
    <w:rsid w:val="007F6830"/>
    <w:rsid w:val="007F732A"/>
    <w:rsid w:val="00814F70"/>
    <w:rsid w:val="00817556"/>
    <w:rsid w:val="0082049A"/>
    <w:rsid w:val="008317FA"/>
    <w:rsid w:val="00870F05"/>
    <w:rsid w:val="00881415"/>
    <w:rsid w:val="00885266"/>
    <w:rsid w:val="008A1206"/>
    <w:rsid w:val="008B2825"/>
    <w:rsid w:val="008B688E"/>
    <w:rsid w:val="008E59EF"/>
    <w:rsid w:val="008E5BCD"/>
    <w:rsid w:val="009039A4"/>
    <w:rsid w:val="00912252"/>
    <w:rsid w:val="00914185"/>
    <w:rsid w:val="009247AC"/>
    <w:rsid w:val="00955286"/>
    <w:rsid w:val="00966CDF"/>
    <w:rsid w:val="0096776A"/>
    <w:rsid w:val="00976558"/>
    <w:rsid w:val="009945BF"/>
    <w:rsid w:val="009A0866"/>
    <w:rsid w:val="009B68F7"/>
    <w:rsid w:val="009B6B79"/>
    <w:rsid w:val="009B7E6C"/>
    <w:rsid w:val="009C13B1"/>
    <w:rsid w:val="009C1A71"/>
    <w:rsid w:val="00A05A68"/>
    <w:rsid w:val="00A11FC7"/>
    <w:rsid w:val="00A3670A"/>
    <w:rsid w:val="00A37CBA"/>
    <w:rsid w:val="00A46D4E"/>
    <w:rsid w:val="00A60DA8"/>
    <w:rsid w:val="00A81E9A"/>
    <w:rsid w:val="00AA56AD"/>
    <w:rsid w:val="00AB03D3"/>
    <w:rsid w:val="00AB7EE9"/>
    <w:rsid w:val="00AC2DA7"/>
    <w:rsid w:val="00AC5BBC"/>
    <w:rsid w:val="00AC664C"/>
    <w:rsid w:val="00AC78EA"/>
    <w:rsid w:val="00AD5180"/>
    <w:rsid w:val="00B06852"/>
    <w:rsid w:val="00B10D75"/>
    <w:rsid w:val="00B12FF0"/>
    <w:rsid w:val="00B16FA3"/>
    <w:rsid w:val="00B228B9"/>
    <w:rsid w:val="00B25CF9"/>
    <w:rsid w:val="00B40797"/>
    <w:rsid w:val="00B636C2"/>
    <w:rsid w:val="00B671C9"/>
    <w:rsid w:val="00B672A1"/>
    <w:rsid w:val="00B67B56"/>
    <w:rsid w:val="00B824BA"/>
    <w:rsid w:val="00B87E63"/>
    <w:rsid w:val="00B97E0B"/>
    <w:rsid w:val="00BA2B11"/>
    <w:rsid w:val="00BA2E07"/>
    <w:rsid w:val="00BA397D"/>
    <w:rsid w:val="00BC397E"/>
    <w:rsid w:val="00BD2FFA"/>
    <w:rsid w:val="00BD3B3B"/>
    <w:rsid w:val="00BE0A57"/>
    <w:rsid w:val="00BF1A35"/>
    <w:rsid w:val="00C07A9B"/>
    <w:rsid w:val="00C14159"/>
    <w:rsid w:val="00C21B7C"/>
    <w:rsid w:val="00C26158"/>
    <w:rsid w:val="00C2631B"/>
    <w:rsid w:val="00C646DE"/>
    <w:rsid w:val="00C84EB6"/>
    <w:rsid w:val="00C86791"/>
    <w:rsid w:val="00C93C01"/>
    <w:rsid w:val="00CA1BF3"/>
    <w:rsid w:val="00CB3C01"/>
    <w:rsid w:val="00CC5092"/>
    <w:rsid w:val="00CC7030"/>
    <w:rsid w:val="00CD1767"/>
    <w:rsid w:val="00CE4E8A"/>
    <w:rsid w:val="00CF646F"/>
    <w:rsid w:val="00CF64C4"/>
    <w:rsid w:val="00D1015F"/>
    <w:rsid w:val="00D33745"/>
    <w:rsid w:val="00D44D6D"/>
    <w:rsid w:val="00D5734A"/>
    <w:rsid w:val="00D90185"/>
    <w:rsid w:val="00DA262A"/>
    <w:rsid w:val="00DB131E"/>
    <w:rsid w:val="00DB18C5"/>
    <w:rsid w:val="00DB50F3"/>
    <w:rsid w:val="00DD3477"/>
    <w:rsid w:val="00DE1D95"/>
    <w:rsid w:val="00DE4E8D"/>
    <w:rsid w:val="00E20707"/>
    <w:rsid w:val="00E21236"/>
    <w:rsid w:val="00E27A4A"/>
    <w:rsid w:val="00E30AC5"/>
    <w:rsid w:val="00E32CCB"/>
    <w:rsid w:val="00E50B62"/>
    <w:rsid w:val="00E62175"/>
    <w:rsid w:val="00E6509B"/>
    <w:rsid w:val="00E72162"/>
    <w:rsid w:val="00E72B25"/>
    <w:rsid w:val="00E77B41"/>
    <w:rsid w:val="00E819DF"/>
    <w:rsid w:val="00E872D9"/>
    <w:rsid w:val="00F22275"/>
    <w:rsid w:val="00F25400"/>
    <w:rsid w:val="00F31100"/>
    <w:rsid w:val="00F408C3"/>
    <w:rsid w:val="00F50DE9"/>
    <w:rsid w:val="00F5108E"/>
    <w:rsid w:val="00F51639"/>
    <w:rsid w:val="00F64464"/>
    <w:rsid w:val="00F70F62"/>
    <w:rsid w:val="00F7652B"/>
    <w:rsid w:val="00F818AC"/>
    <w:rsid w:val="00F86632"/>
    <w:rsid w:val="00FA68D8"/>
    <w:rsid w:val="00FB15FB"/>
    <w:rsid w:val="00FB45D7"/>
    <w:rsid w:val="00FC136E"/>
    <w:rsid w:val="00FC2838"/>
    <w:rsid w:val="00FD03A2"/>
    <w:rsid w:val="00FD03FE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97B1"/>
  <w15:chartTrackingRefBased/>
  <w15:docId w15:val="{1CB2A0FE-A22F-4A95-991E-7BD3183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039FE"/>
  </w:style>
  <w:style w:type="character" w:customStyle="1" w:styleId="eop">
    <w:name w:val="eop"/>
    <w:basedOn w:val="DefaultParagraphFont"/>
    <w:rsid w:val="003039FE"/>
  </w:style>
  <w:style w:type="paragraph" w:customStyle="1" w:styleId="paragraph">
    <w:name w:val="paragraph"/>
    <w:basedOn w:val="Normal"/>
    <w:rsid w:val="00BA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F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Revision">
    <w:name w:val="Revision"/>
    <w:hidden/>
    <w:uiPriority w:val="99"/>
    <w:semiHidden/>
    <w:rsid w:val="005F6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F97DEF7914006954D47F8F9C5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9A6-563D-4E8E-BAFE-8469ABD94E7D}"/>
      </w:docPartPr>
      <w:docPartBody>
        <w:p w:rsidR="00333F73" w:rsidRDefault="007C2587" w:rsidP="007C2587">
          <w:pPr>
            <w:pStyle w:val="341F97DEF7914006954D47F8F9C564B6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1BB7C9DC5BF3489ABFBA6A58A627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1F3C-AA09-4B62-9316-4EACBA22757B}"/>
      </w:docPartPr>
      <w:docPartBody>
        <w:p w:rsidR="00602615" w:rsidRDefault="007C2587">
          <w:pPr>
            <w:pStyle w:val="1BB7C9DC5BF3489ABFBA6A58A6271C11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7344C36B79324C3894D93F77FDB78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363-5B74-4567-9BF3-C865FF694478}"/>
      </w:docPartPr>
      <w:docPartBody>
        <w:p w:rsidR="003E6DE8" w:rsidRDefault="007C2587">
          <w:pPr>
            <w:pStyle w:val="7344C36B79324C3894D93F77FDB78956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87"/>
    <w:rsid w:val="00305A73"/>
    <w:rsid w:val="00333F73"/>
    <w:rsid w:val="00392EB0"/>
    <w:rsid w:val="003B520E"/>
    <w:rsid w:val="003E6DE8"/>
    <w:rsid w:val="0048610E"/>
    <w:rsid w:val="004D0872"/>
    <w:rsid w:val="00602615"/>
    <w:rsid w:val="00674A80"/>
    <w:rsid w:val="006F2FE9"/>
    <w:rsid w:val="006F41FD"/>
    <w:rsid w:val="007C2587"/>
    <w:rsid w:val="00D2603E"/>
    <w:rsid w:val="00D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44EE39C674536A8A55486893A950B">
    <w:name w:val="62644EE39C674536A8A55486893A950B"/>
    <w:rsid w:val="007C2587"/>
  </w:style>
  <w:style w:type="paragraph" w:customStyle="1" w:styleId="341F97DEF7914006954D47F8F9C564B6">
    <w:name w:val="341F97DEF7914006954D47F8F9C564B6"/>
    <w:rsid w:val="007C2587"/>
  </w:style>
  <w:style w:type="paragraph" w:customStyle="1" w:styleId="1BB7C9DC5BF3489ABFBA6A58A6271C11">
    <w:name w:val="1BB7C9DC5BF3489ABFBA6A58A6271C11"/>
  </w:style>
  <w:style w:type="paragraph" w:customStyle="1" w:styleId="7344C36B79324C3894D93F77FDB78956">
    <w:name w:val="7344C36B79324C3894D93F77FDB78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F886FF52904BB16E88A148B6A313" ma:contentTypeVersion="2" ma:contentTypeDescription="Create a new document." ma:contentTypeScope="" ma:versionID="821c1a0bb93f828d2893d3b5057a2072">
  <xsd:schema xmlns:xsd="http://www.w3.org/2001/XMLSchema" xmlns:xs="http://www.w3.org/2001/XMLSchema" xmlns:p="http://schemas.microsoft.com/office/2006/metadata/properties" xmlns:ns2="522b89af-22ed-487b-952c-50e061635064" targetNamespace="http://schemas.microsoft.com/office/2006/metadata/properties" ma:root="true" ma:fieldsID="bdc19fd35c426176f413c771cb84a74a" ns2:_="">
    <xsd:import namespace="522b89af-22ed-487b-952c-50e06163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89af-22ed-487b-952c-50e061635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64B46-BCE0-469D-B3BD-FC2938553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DDD5E-C027-4BFB-A5BC-40D17ED17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89af-22ed-487b-952c-50e06163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9C392-4EF3-4243-84BB-DB01E54DBB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2b89af-22ed-487b-952c-50e0616350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Finnbogadóttir</dc:creator>
  <cp:keywords/>
  <dc:description/>
  <cp:lastModifiedBy>Leifur Arnkell Skarphéðinsson</cp:lastModifiedBy>
  <cp:revision>2</cp:revision>
  <dcterms:created xsi:type="dcterms:W3CDTF">2018-08-23T08:43:00Z</dcterms:created>
  <dcterms:modified xsi:type="dcterms:W3CDTF">2018-08-23T08:43:00Z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0x0101001519F886FF52904BB16E88A148B6A313</vt:lpwstr>
  </property>
</Properties>
</file>