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D2B99" w14:textId="77777777" w:rsidR="008100E1" w:rsidRDefault="00C52444">
      <w:pPr>
        <w:pStyle w:val="MainTitle"/>
      </w:pPr>
      <w:r>
        <w:t>Framseld reglugerð framkvæmdastjórnarinnar (ESB) 2021/528</w:t>
      </w:r>
    </w:p>
    <w:p w14:paraId="7C8E36C3" w14:textId="77777777" w:rsidR="008100E1" w:rsidRDefault="00C52444">
      <w:pPr>
        <w:pStyle w:val="MainTitle"/>
      </w:pPr>
      <w:r>
        <w:t>frá 16. desember 2020</w:t>
      </w:r>
    </w:p>
    <w:p w14:paraId="76D7E128" w14:textId="77777777" w:rsidR="008100E1" w:rsidRDefault="00C52444">
      <w:pPr>
        <w:pStyle w:val="MainTitle"/>
        <w:spacing w:after="360"/>
      </w:pPr>
      <w:r>
        <w:t>um viðbætur við reglugerð Evrópuþingsins og ráðsins (ESB) 2017/1129 að því er varðar lágmarksupplýsingar tiltekins skjals sem birta skal vegna undanþágu frá lýsingu í tengslum við yfirtöku með skiptiútboði, samruna eða uppskiptingu</w:t>
      </w:r>
    </w:p>
    <w:p w14:paraId="52E5A15C" w14:textId="77777777" w:rsidR="008100E1" w:rsidRDefault="00C52444">
      <w:pPr>
        <w:pStyle w:val="PreambleInit"/>
      </w:pPr>
      <w:r>
        <w:t>FRAMKVÆMDASTJÓRN EVRÓPUS</w:t>
      </w:r>
      <w:r>
        <w:t>AMBANDSINS HEFUR,</w:t>
      </w:r>
    </w:p>
    <w:p w14:paraId="4E6C1A91" w14:textId="77777777" w:rsidR="008100E1" w:rsidRDefault="00C52444">
      <w:pPr>
        <w:pStyle w:val="Para"/>
      </w:pPr>
      <w:r>
        <w:t>með hliðsjón af sáttmálanum um starfshætti Evrópusambandsins,</w:t>
      </w:r>
    </w:p>
    <w:p w14:paraId="244405D8" w14:textId="77777777" w:rsidR="008100E1" w:rsidRDefault="00C52444">
      <w:pPr>
        <w:pStyle w:val="Para"/>
      </w:pPr>
      <w:r>
        <w:t xml:space="preserve">með hliðsjón af reglugerð Evrópuþingsins og ráðsins 2017/1129/ESB frá 14. júní 2017 um lýsingu sem birta skal þegar verðbréf eru boðin í almennu útboði eða tekin til viðskipta </w:t>
      </w:r>
      <w:r>
        <w:t>á skipulegum markaði og um niðurfellingu á tilskipun 2003/71/EB (</w:t>
      </w:r>
      <w:bookmarkStart w:id="0" w:name="NOTE_1"/>
      <w:r>
        <w:rPr>
          <w:rStyle w:val="Tilvsunneanmlsgrein"/>
          <w:sz w:val="18"/>
        </w:rPr>
        <w:footnoteReference w:id="2"/>
      </w:r>
      <w:bookmarkEnd w:id="0"/>
      <w:r>
        <w:t>), einkum 7. mgr. 1. gr.,</w:t>
      </w:r>
    </w:p>
    <w:p w14:paraId="60A0E8CA" w14:textId="77777777" w:rsidR="008100E1" w:rsidRDefault="00C52444">
      <w:pPr>
        <w:pStyle w:val="Para"/>
      </w:pPr>
      <w:r>
        <w:rPr>
          <w:i/>
          <w:iCs/>
        </w:rPr>
        <w:t>og að teknu tilliti til eftirfarandi</w:t>
      </w:r>
      <w:r>
        <w:t>:</w:t>
      </w:r>
    </w:p>
    <w:p w14:paraId="180F6580" w14:textId="77777777" w:rsidR="008100E1" w:rsidRDefault="00C52444">
      <w:pPr>
        <w:pStyle w:val="Consid"/>
      </w:pPr>
      <w:r>
        <w:t>1)</w:t>
      </w:r>
      <w:r>
        <w:tab/>
        <w:t>Til að veita fjárfestavernd af miklum gæðum í Sambandinu og til að gera fjárfestum kleift að taka upplýsta fjárfestingarák</w:t>
      </w:r>
      <w:r>
        <w:t xml:space="preserve">vörðun ætti skjalið sem um getur í f- og </w:t>
      </w:r>
      <w:proofErr w:type="spellStart"/>
      <w:r>
        <w:t>g-lið</w:t>
      </w:r>
      <w:proofErr w:type="spellEnd"/>
      <w:r>
        <w:t xml:space="preserve"> 4. mgr. 1. gr. og e- og </w:t>
      </w:r>
      <w:proofErr w:type="spellStart"/>
      <w:r>
        <w:t>f-lið</w:t>
      </w:r>
      <w:proofErr w:type="spellEnd"/>
      <w:r>
        <w:t xml:space="preserve"> í fyrstu undirgrein 5. mgr. 1. gr. reglugerðar (ESB) 2017/1129 („undanþáguskjal“) að innihalda fullnægjandi, hlutlægar og auðskiljanlegar upplýsingar um fyrirtækin sem taka þátt í</w:t>
      </w:r>
      <w:r>
        <w:t xml:space="preserve"> viðskiptunum, réttindin sem fylgja hlutabréfatengdu verðbréfunum, horfur útgefanda þessara hlutabréfatengdu verðbréfa og, með hliðsjón af tegund viðskiptanna, fyrirtækisins sem tilboðið tekur til, fyrirtækisins sem tekið er yfir eða fyrirtækisins sem er s</w:t>
      </w:r>
      <w:r>
        <w:t>kipt upp.</w:t>
      </w:r>
    </w:p>
    <w:p w14:paraId="21B5AA5B" w14:textId="77777777" w:rsidR="008100E1" w:rsidRDefault="00C52444">
      <w:pPr>
        <w:pStyle w:val="Consid"/>
      </w:pPr>
      <w:r>
        <w:t>2)</w:t>
      </w:r>
      <w:r>
        <w:tab/>
        <w:t xml:space="preserve">Til að tryggja að fjárfestum séu veittar nauðsynlegar upplýsingar til að geta tekið upplýsta fjárfestingarákvörðun ætti að krefjast ítarlegra undanþáguskjals ef um er að ræða yfirtöku með skiptiútboði sem uppfyllir skilyrði </w:t>
      </w:r>
      <w:proofErr w:type="spellStart"/>
      <w:r>
        <w:t>b-liðar</w:t>
      </w:r>
      <w:proofErr w:type="spellEnd"/>
      <w:r>
        <w:t xml:space="preserve"> 6. mgr. a 1</w:t>
      </w:r>
      <w:r>
        <w:t>. gr. reglugerðar (ESB) 2017/1129 í því tilviki þegar hlutabréfatengdu verðbréfin sem eru boðin eru ekki jafngeng verðbréfum sem þegar hafa verið tekin til viðskipta á skipulegum markaði fyrir yfirtökuna og tengdra viðskipta hennar eða yfirtakan er talin v</w:t>
      </w:r>
      <w:r>
        <w:t xml:space="preserve">era andhverf yfirtaka (e. </w:t>
      </w:r>
      <w:proofErr w:type="spellStart"/>
      <w:r>
        <w:rPr>
          <w:i/>
          <w:iCs/>
        </w:rPr>
        <w:t>reverse</w:t>
      </w:r>
      <w:proofErr w:type="spellEnd"/>
      <w:r>
        <w:rPr>
          <w:i/>
          <w:iCs/>
        </w:rPr>
        <w:t xml:space="preserve"> </w:t>
      </w:r>
      <w:proofErr w:type="spellStart"/>
      <w:r>
        <w:rPr>
          <w:i/>
          <w:iCs/>
        </w:rPr>
        <w:t>acquisition</w:t>
      </w:r>
      <w:proofErr w:type="spellEnd"/>
      <w:r>
        <w:t>). Tilgreina ætti aukið innihald undanþáguskjalsins við slíkar aðstæður.</w:t>
      </w:r>
    </w:p>
    <w:p w14:paraId="51552A24" w14:textId="77777777" w:rsidR="008100E1" w:rsidRDefault="00C52444">
      <w:pPr>
        <w:pStyle w:val="Consid"/>
      </w:pPr>
      <w:r>
        <w:t>3)</w:t>
      </w:r>
      <w:r>
        <w:tab/>
        <w:t>Til að takmarka óþarfa kostnað fyrir útgefendur ætti undanþáguskjal að vera einfaldara í tengslum við viðskipti með hlutabréfatengd ver</w:t>
      </w:r>
      <w:r>
        <w:t>ðbréf sem boðin eru í almennu útboði eða sem tekin verða til viðskipta á skipulegum markaði og eru jafngeng hlutabréfatengdum verðbréfum sem þegar hafa verið tekin til viðskipta á skipulegum markaði og standa fyrir lítinn hundraðshluta af þeim hlutabréfate</w:t>
      </w:r>
      <w:r>
        <w:t xml:space="preserve">ngdu verðbréfum. Tilgreina ætti einfaldað innihald undanþáguskjalsins við slíkar aðstæður. Við slíkar aðstæður ætti þó ekki að hindra útgefanda frá því að njóta </w:t>
      </w:r>
      <w:proofErr w:type="spellStart"/>
      <w:r>
        <w:t>undanþáganna</w:t>
      </w:r>
      <w:proofErr w:type="spellEnd"/>
      <w:r>
        <w:t xml:space="preserve"> sem mælt er fyrir um í a- eða </w:t>
      </w:r>
      <w:proofErr w:type="spellStart"/>
      <w:r>
        <w:t>b-lið</w:t>
      </w:r>
      <w:proofErr w:type="spellEnd"/>
      <w:r>
        <w:t xml:space="preserve"> í fyrstu undirgrein 5. mgr. 1. gr. reglugerðar</w:t>
      </w:r>
      <w:r>
        <w:t xml:space="preserve"> (ESB) 2017/1129.</w:t>
      </w:r>
    </w:p>
    <w:p w14:paraId="4B3E930D" w14:textId="77777777" w:rsidR="008100E1" w:rsidRDefault="00C52444">
      <w:pPr>
        <w:pStyle w:val="Consid"/>
      </w:pPr>
      <w:r>
        <w:t>4)</w:t>
      </w:r>
      <w:r>
        <w:tab/>
        <w:t>Til að einfalda samningu og til að draga úr kostnaði við gerð undanþáguskjals ætti útgefendum að vera heimilt að fella tilteknar upplýsingar sem þegar hafa verið birtar á rafrænu formi inn í það með tilvísun, að því tilskildu að slíkar</w:t>
      </w:r>
      <w:r>
        <w:t xml:space="preserve"> upplýsingar séu auðveldlega aðgengilegar og skrifaðar á sama tungumáli og undanþáguskjalið.</w:t>
      </w:r>
    </w:p>
    <w:p w14:paraId="3A9C29BF" w14:textId="77777777" w:rsidR="008100E1" w:rsidRDefault="00C52444">
      <w:pPr>
        <w:pStyle w:val="Consid"/>
      </w:pPr>
      <w:r>
        <w:t>5)</w:t>
      </w:r>
      <w:r>
        <w:tab/>
        <w:t>Fjárfestar ættu að geta skilið aðstæður útgefanda sem á margþættan fjármálaferil að baki eða sem hefur tekið á sig verulega fjárskuldbindingu en í því tilviki g</w:t>
      </w:r>
      <w:r>
        <w:t>etur verið nauðsynlegt að veita upplýsingar um annan aðila en útgefandann. Útgefendum ætti þess vegna að vera skylt að lýsa margþættum fjármálaferli sínum í undanþáguskjalinu eða áhrifunum af hinni verulegu fjárskuldbindingu á útgefandann eða rekstur útgef</w:t>
      </w:r>
      <w:r>
        <w:t>andans.</w:t>
      </w:r>
    </w:p>
    <w:p w14:paraId="13FA5DEE" w14:textId="77777777" w:rsidR="008100E1" w:rsidRDefault="00C52444">
      <w:pPr>
        <w:pStyle w:val="Consid"/>
        <w:spacing w:after="0"/>
      </w:pPr>
      <w:r>
        <w:t>6)</w:t>
      </w:r>
      <w:r>
        <w:tab/>
        <w:t xml:space="preserve">Til að tryggja að undanþáguskjal sé </w:t>
      </w:r>
      <w:proofErr w:type="spellStart"/>
      <w:r>
        <w:t>nýtanlegt</w:t>
      </w:r>
      <w:proofErr w:type="spellEnd"/>
      <w:r>
        <w:t xml:space="preserve"> fyrir fjárfesta er nauðsynlegt að taka sérstaklega fram að það sé </w:t>
      </w:r>
      <w:proofErr w:type="spellStart"/>
      <w:r>
        <w:t>lögbærra</w:t>
      </w:r>
      <w:proofErr w:type="spellEnd"/>
      <w:r>
        <w:t xml:space="preserve"> landsyfirvalda að ákvarða á hvaða tungumáli skuli semja það.</w:t>
      </w:r>
      <w:r>
        <w:br w:type="page"/>
      </w:r>
    </w:p>
    <w:p w14:paraId="06F22943" w14:textId="77777777" w:rsidR="008100E1" w:rsidRDefault="00C52444">
      <w:pPr>
        <w:pStyle w:val="PreambleFinal"/>
        <w:spacing w:line="200" w:lineRule="exact"/>
      </w:pPr>
      <w:r>
        <w:lastRenderedPageBreak/>
        <w:t>SAMÞYKKT REGLUGERÐ ÞESSA:</w:t>
      </w:r>
    </w:p>
    <w:p w14:paraId="1325B2DA" w14:textId="77777777" w:rsidR="008100E1" w:rsidRDefault="00C52444">
      <w:pPr>
        <w:pStyle w:val="TIART"/>
      </w:pPr>
      <w:r>
        <w:t>1. gr.</w:t>
      </w:r>
    </w:p>
    <w:p w14:paraId="284B21EC" w14:textId="77777777" w:rsidR="008100E1" w:rsidRDefault="00C52444">
      <w:pPr>
        <w:pStyle w:val="STIART"/>
      </w:pPr>
      <w:r>
        <w:t>Skilgreiningar</w:t>
      </w:r>
    </w:p>
    <w:p w14:paraId="65613492" w14:textId="77777777" w:rsidR="008100E1" w:rsidRDefault="00C52444">
      <w:pPr>
        <w:pStyle w:val="Alinea"/>
      </w:pPr>
      <w:r>
        <w:t>Í þessari reglugerð er merking eftirfarandi hugtaka sem hér segir:</w:t>
      </w:r>
    </w:p>
    <w:p w14:paraId="5D2ABD13" w14:textId="77777777" w:rsidR="008100E1" w:rsidRDefault="00C52444">
      <w:pPr>
        <w:pStyle w:val="NumberedText"/>
        <w:tabs>
          <w:tab w:val="clear" w:pos="2047"/>
        </w:tabs>
        <w:ind w:left="300" w:hanging="300"/>
      </w:pPr>
      <w:r>
        <w:t>a)</w:t>
      </w:r>
      <w:r>
        <w:tab/>
        <w:t xml:space="preserve">„viðskipti“: yfirtaka með skiptiútboði, samruna eða uppskiptingu eins og um getur í f- eða </w:t>
      </w:r>
      <w:proofErr w:type="spellStart"/>
      <w:r>
        <w:t>g-lið</w:t>
      </w:r>
      <w:proofErr w:type="spellEnd"/>
      <w:r>
        <w:t xml:space="preserve"> 4. mgr. 1. gr. eða e- eða </w:t>
      </w:r>
      <w:proofErr w:type="spellStart"/>
      <w:r>
        <w:t>f-lið</w:t>
      </w:r>
      <w:proofErr w:type="spellEnd"/>
      <w:r>
        <w:t xml:space="preserve"> í fyrstu undirgrein 5. mgr. 1. gr. reglugerðar (ESB) 2017</w:t>
      </w:r>
      <w:r>
        <w:t>/1129, svo fremi sem skilyrðin sem mælt er fyrir um í 6. mgr. a 1. gr. eða 6. mgr. b 1. gr. þeirrar reglugerðar hafi verið uppfyllt í tengslum við það,</w:t>
      </w:r>
    </w:p>
    <w:p w14:paraId="4BA45B4B" w14:textId="77777777" w:rsidR="008100E1" w:rsidRDefault="00C52444">
      <w:pPr>
        <w:pStyle w:val="NumberedText"/>
        <w:tabs>
          <w:tab w:val="clear" w:pos="2047"/>
        </w:tabs>
        <w:ind w:left="300" w:hanging="300"/>
      </w:pPr>
      <w:r>
        <w:t>b)</w:t>
      </w:r>
      <w:r>
        <w:tab/>
        <w:t>„undanþáguskjal“: skjal sem gera skal aðgengilegt almenningi í samræmi við 2. mgr. 21. gr. reglugerða</w:t>
      </w:r>
      <w:r>
        <w:t>r (ESB) 2017/1129 til að geta átt rétt á undanþágu frá skyldunni um birtingu lýsingar í tengslum við viðskipti,</w:t>
      </w:r>
    </w:p>
    <w:p w14:paraId="7B4F1A78" w14:textId="77777777" w:rsidR="008100E1" w:rsidRDefault="00C52444">
      <w:pPr>
        <w:pStyle w:val="NumberedText"/>
        <w:tabs>
          <w:tab w:val="clear" w:pos="2047"/>
        </w:tabs>
        <w:ind w:left="300" w:hanging="300"/>
      </w:pPr>
      <w:r>
        <w:t>c)</w:t>
      </w:r>
      <w:r>
        <w:tab/>
        <w:t xml:space="preserve">„félag sem tilboð tekur til“: félag sem tilboðið tekur til eins og skilgreint er í </w:t>
      </w:r>
      <w:proofErr w:type="spellStart"/>
      <w:r>
        <w:t>b-lið</w:t>
      </w:r>
      <w:proofErr w:type="spellEnd"/>
      <w:r>
        <w:t xml:space="preserve"> 1. mgr. 2 gr. tilskipunar Evrópuþingsins og ráðsins </w:t>
      </w:r>
      <w:r>
        <w:t>2004/25/EB (</w:t>
      </w:r>
      <w:bookmarkStart w:id="1" w:name="NOTE_2"/>
      <w:r>
        <w:rPr>
          <w:rStyle w:val="Tilvsunneanmlsgrein"/>
          <w:sz w:val="18"/>
        </w:rPr>
        <w:footnoteReference w:id="3"/>
      </w:r>
      <w:bookmarkEnd w:id="1"/>
      <w:r>
        <w:t>),</w:t>
      </w:r>
    </w:p>
    <w:p w14:paraId="24B75FB6" w14:textId="77777777" w:rsidR="008100E1" w:rsidRDefault="00C52444">
      <w:pPr>
        <w:pStyle w:val="NumberedText"/>
        <w:tabs>
          <w:tab w:val="clear" w:pos="2047"/>
        </w:tabs>
        <w:ind w:left="300" w:hanging="300"/>
      </w:pPr>
      <w:r>
        <w:t>d)</w:t>
      </w:r>
      <w:r>
        <w:tab/>
        <w:t>„félag sem er yfirtekið“: félag sem yfirfærir eignir og skuldir til yfirtökufélags sem afleiðing af samruna, svo fremi sem skilyrðin sem mælt er fyrir um í 6. mgr. b í 1. gr. reglugerðar (ESB) 2017/1129 hafi verið uppfyllt í tengslum vi</w:t>
      </w:r>
      <w:r>
        <w:t>ð það,</w:t>
      </w:r>
    </w:p>
    <w:p w14:paraId="29DF952C" w14:textId="77777777" w:rsidR="008100E1" w:rsidRDefault="00C52444">
      <w:pPr>
        <w:pStyle w:val="NumberedText"/>
        <w:tabs>
          <w:tab w:val="clear" w:pos="2047"/>
        </w:tabs>
        <w:ind w:left="300" w:hanging="300"/>
      </w:pPr>
      <w:r>
        <w:t>e)</w:t>
      </w:r>
      <w:r>
        <w:tab/>
        <w:t>„félag sem skipt er upp“: félag sem yfirfærir eignir og skuldir til félags sem fær fjárframlög sem afleiðing af uppskiptingu, svo fremi sem skilyrðin sem mælt er fyrir um í 6. mgr. b í 1. gr. reglugerðar (ESB) 2017/1129 hafi verið uppfyllt í teng</w:t>
      </w:r>
      <w:r>
        <w:t>slum við það,</w:t>
      </w:r>
    </w:p>
    <w:p w14:paraId="016A7A7A" w14:textId="77777777" w:rsidR="008100E1" w:rsidRDefault="00C52444">
      <w:pPr>
        <w:pStyle w:val="NumberedText"/>
        <w:tabs>
          <w:tab w:val="clear" w:pos="2047"/>
        </w:tabs>
        <w:ind w:left="300" w:hanging="300"/>
      </w:pPr>
      <w:r>
        <w:t>f)</w:t>
      </w:r>
      <w:r>
        <w:tab/>
        <w:t xml:space="preserve">„tilboðsgjafi“: tilboðsgjafi eins og hann er skilgreindur í </w:t>
      </w:r>
      <w:proofErr w:type="spellStart"/>
      <w:r>
        <w:t>i-lið</w:t>
      </w:r>
      <w:proofErr w:type="spellEnd"/>
      <w:r>
        <w:t xml:space="preserve"> 2. gr. reglugerðar (ESB) 2017/1129.</w:t>
      </w:r>
    </w:p>
    <w:p w14:paraId="6CE9445A" w14:textId="77777777" w:rsidR="008100E1" w:rsidRDefault="00C52444">
      <w:pPr>
        <w:pStyle w:val="TIART"/>
      </w:pPr>
      <w:r>
        <w:t>2. gr.</w:t>
      </w:r>
    </w:p>
    <w:p w14:paraId="4BF02D14" w14:textId="77777777" w:rsidR="008100E1" w:rsidRDefault="00C52444">
      <w:pPr>
        <w:pStyle w:val="STIART"/>
      </w:pPr>
      <w:r>
        <w:t>Lágmarksupplýsingar í undanþáguskjalinu</w:t>
      </w:r>
    </w:p>
    <w:p w14:paraId="57FE2B5C" w14:textId="77777777" w:rsidR="008100E1" w:rsidRDefault="00C52444">
      <w:pPr>
        <w:pStyle w:val="AlineaWithParag"/>
      </w:pPr>
      <w:r>
        <w:t>1.</w:t>
      </w:r>
      <w:r>
        <w:tab/>
        <w:t>Undanþáguskjal skal innihalda viðeigandi upplýsingar sem nauðsynlegar eru til að gera f</w:t>
      </w:r>
      <w:r>
        <w:t>járfestum kleift að skilja:</w:t>
      </w:r>
    </w:p>
    <w:p w14:paraId="4CD2531F" w14:textId="77777777" w:rsidR="008100E1" w:rsidRDefault="00C52444">
      <w:pPr>
        <w:pStyle w:val="NumberedText"/>
        <w:ind w:left="300" w:hanging="300"/>
      </w:pPr>
      <w:r>
        <w:t>a)</w:t>
      </w:r>
      <w:r>
        <w:tab/>
        <w:t>framtíðarhorfur útgefandans og, með hliðsjón af tegund viðskipta, félagsins sem tilboðið tekur til, félagsins sem er yfirtekið eða félagsins sem er skipt upp og allar mikilvægar breytingar á rekstrar- og fjárhagsstöðu hvers þ</w:t>
      </w:r>
      <w:r>
        <w:t>essara félaga sem orðið hafa frá lokum næstliðins fjárhagsárs,</w:t>
      </w:r>
    </w:p>
    <w:p w14:paraId="3BCB98EA" w14:textId="77777777" w:rsidR="008100E1" w:rsidRDefault="00C52444">
      <w:pPr>
        <w:pStyle w:val="NumberedText"/>
        <w:ind w:left="300" w:hanging="300"/>
      </w:pPr>
      <w:r>
        <w:t>b)</w:t>
      </w:r>
      <w:r>
        <w:tab/>
        <w:t>þau réttindi sem fylgja hlutabréfatengdu verðbréfunum,</w:t>
      </w:r>
    </w:p>
    <w:p w14:paraId="0CB61BE2" w14:textId="77777777" w:rsidR="008100E1" w:rsidRDefault="00C52444">
      <w:pPr>
        <w:pStyle w:val="NumberedText"/>
        <w:ind w:left="300" w:hanging="300"/>
      </w:pPr>
      <w:r>
        <w:t>c)</w:t>
      </w:r>
      <w:r>
        <w:tab/>
        <w:t>lýsingu á viðskiptunum og áhrif þeirra á útgefandann.</w:t>
      </w:r>
    </w:p>
    <w:p w14:paraId="41585C88" w14:textId="77777777" w:rsidR="008100E1" w:rsidRDefault="00C52444">
      <w:pPr>
        <w:pStyle w:val="Alinea"/>
      </w:pPr>
      <w:r>
        <w:t xml:space="preserve">Upplýsingarnar í undanþáguskjalinu skulu skrifaðar og settar fram á </w:t>
      </w:r>
      <w:proofErr w:type="spellStart"/>
      <w:r>
        <w:t>auðgreinan</w:t>
      </w:r>
      <w:r>
        <w:t>legan</w:t>
      </w:r>
      <w:proofErr w:type="spellEnd"/>
      <w:r>
        <w:t>, gagnorðan og auðskilinn hátt og gera fjárfestum kleift að taka upplýsta fjárfestingarákvörðun.</w:t>
      </w:r>
    </w:p>
    <w:p w14:paraId="75E2A66B" w14:textId="77777777" w:rsidR="008100E1" w:rsidRDefault="00C52444">
      <w:pPr>
        <w:pStyle w:val="Alinea"/>
      </w:pPr>
      <w:r>
        <w:t>Undanþáguskjal skal hafa að geyma lágmarksupplýsingarnar sem um getur í I. viðauka við þessa reglugerð.</w:t>
      </w:r>
    </w:p>
    <w:p w14:paraId="13174EFC" w14:textId="77777777" w:rsidR="008100E1" w:rsidRDefault="00C52444">
      <w:pPr>
        <w:pStyle w:val="Alinea"/>
      </w:pPr>
      <w:r>
        <w:t>Undanþáguskjal skal hins vegar hafa að geyma lágma</w:t>
      </w:r>
      <w:r>
        <w:t>rksupplýsingarnar sem um getur í II. viðauka við þessa reglugerð ef öll eftirfarandi skilyrði eru uppfyllt:</w:t>
      </w:r>
    </w:p>
    <w:p w14:paraId="003DD39F" w14:textId="77777777" w:rsidR="008100E1" w:rsidRDefault="00C52444">
      <w:pPr>
        <w:pStyle w:val="NumberedText"/>
        <w:spacing w:after="0"/>
        <w:ind w:left="300" w:hanging="300"/>
      </w:pPr>
      <w:r>
        <w:t>a)</w:t>
      </w:r>
      <w:r>
        <w:tab/>
        <w:t xml:space="preserve">undanþáguskjalið vísar til yfirtöku með skiptiútboði, svo fremi sem skilyrðin sem mælt er fyrir um í </w:t>
      </w:r>
      <w:proofErr w:type="spellStart"/>
      <w:r>
        <w:t>b-lið</w:t>
      </w:r>
      <w:proofErr w:type="spellEnd"/>
      <w:r>
        <w:t xml:space="preserve"> 6. mgr. a 1. gr. reglugerðar (ESB) 201</w:t>
      </w:r>
      <w:r>
        <w:t>7/1129 hafa verið uppfyllt í tengslum við það,</w:t>
      </w:r>
      <w:r>
        <w:br w:type="page"/>
      </w:r>
    </w:p>
    <w:p w14:paraId="5EEC2578" w14:textId="77777777" w:rsidR="008100E1" w:rsidRDefault="00C52444">
      <w:pPr>
        <w:pStyle w:val="NumberedText"/>
        <w:ind w:left="300" w:hanging="300"/>
      </w:pPr>
      <w:r>
        <w:lastRenderedPageBreak/>
        <w:t>b)</w:t>
      </w:r>
      <w:r>
        <w:tab/>
        <w:t>hlutabréfatengdu verðbréfin sem eru boðin eru ekki jafngeng verðbréfum sem þegar hafa verið tekin til viðskipta á skipulegum markaði fyrir yfirtökuna og tengd viðskipti hennar eða yfirtakan er talin vera a</w:t>
      </w:r>
      <w:r>
        <w:t xml:space="preserve">ndhverf yfirtaka í skilningi málsgreinar B19 í alþjóðlegum </w:t>
      </w:r>
      <w:proofErr w:type="spellStart"/>
      <w:r>
        <w:t>reikningsskilastaðli</w:t>
      </w:r>
      <w:proofErr w:type="spellEnd"/>
      <w:r>
        <w:t xml:space="preserve"> 3, sameining fyrirtækja, sem samþykktur var með reglugerð framkvæmdastjórnarinnar (EB) nr. 1126/2008 (</w:t>
      </w:r>
      <w:bookmarkStart w:id="2" w:name="NOTE_3"/>
      <w:r>
        <w:rPr>
          <w:rStyle w:val="Tilvsunneanmlsgrein"/>
          <w:sz w:val="18"/>
        </w:rPr>
        <w:footnoteReference w:id="4"/>
      </w:r>
      <w:bookmarkEnd w:id="2"/>
      <w:r>
        <w:t>).</w:t>
      </w:r>
    </w:p>
    <w:p w14:paraId="24665AF7" w14:textId="77777777" w:rsidR="008100E1" w:rsidRDefault="00C52444">
      <w:pPr>
        <w:pStyle w:val="AlineaWithParag"/>
      </w:pPr>
      <w:r>
        <w:t>2.</w:t>
      </w:r>
      <w:r>
        <w:tab/>
      </w:r>
      <w:r>
        <w:t xml:space="preserve">Þrátt fyrir 1. mgr. og án þess að hafa áhrif á a- eða </w:t>
      </w:r>
      <w:proofErr w:type="spellStart"/>
      <w:r>
        <w:t>b-lið</w:t>
      </w:r>
      <w:proofErr w:type="spellEnd"/>
      <w:r>
        <w:t xml:space="preserve"> fyrstu undirgreinar 5. mgr. 1. gr. reglugerðar (ESB) 2017/1129, ef hlutabréfatengdu verðbréfin eru, í tengslum við viðskipti, boðin í almennu útboði eða tekin til viðskipta á skipulegum markaði og</w:t>
      </w:r>
      <w:r>
        <w:t xml:space="preserve"> eru jafngeng og standa ekki fyrir meira en 10% af hlutabréfatengdum verðbréfum sem þegar hafa verið tekin til viðskipta á skipulegum markaði skal undanþáguskjalið einungis hafa að geyma þær lágmarksupplýsingar sem um getur í 1., 3. og 5. þætti og liðum 2.</w:t>
      </w:r>
      <w:r>
        <w:t>2 og 4.2 í I. viðauka við þessa reglugerð.</w:t>
      </w:r>
    </w:p>
    <w:p w14:paraId="05BC8CF3" w14:textId="77777777" w:rsidR="008100E1" w:rsidRDefault="00C52444">
      <w:pPr>
        <w:pStyle w:val="TIART"/>
      </w:pPr>
      <w:r>
        <w:t>3. gr.</w:t>
      </w:r>
    </w:p>
    <w:p w14:paraId="2D780A3D" w14:textId="77777777" w:rsidR="008100E1" w:rsidRDefault="00C52444">
      <w:pPr>
        <w:pStyle w:val="STIART"/>
      </w:pPr>
      <w:r>
        <w:t>Upplýsingar felldar inn með tilvísun</w:t>
      </w:r>
    </w:p>
    <w:p w14:paraId="712D9655" w14:textId="77777777" w:rsidR="008100E1" w:rsidRDefault="00C52444">
      <w:pPr>
        <w:pStyle w:val="AlineaWithParag"/>
      </w:pPr>
      <w:r>
        <w:t>1.</w:t>
      </w:r>
      <w:r>
        <w:tab/>
        <w:t>Fella má inn upplýsingar í undanþáguskjal með tilvísun ef þær hafa áður verið eða eru samtímis birtar rafrænt, eru samdar á tungumáli sem uppfyllir kröfurnar í 5. gr.</w:t>
      </w:r>
      <w:r>
        <w:t xml:space="preserve"> þessarar reglugerðar og ef þær upplýsingar eru í einu af eftirfarandi skjölum:</w:t>
      </w:r>
    </w:p>
    <w:p w14:paraId="7CED225A" w14:textId="77777777" w:rsidR="008100E1" w:rsidRDefault="00C52444">
      <w:pPr>
        <w:pStyle w:val="NumberedText"/>
        <w:ind w:left="300" w:hanging="300"/>
      </w:pPr>
      <w:r>
        <w:t>a)</w:t>
      </w:r>
      <w:r>
        <w:tab/>
        <w:t>skjölum sem um getur í 1. mgr. 19. gr. reglugerðar (ESB) nr. 2017/1129,</w:t>
      </w:r>
    </w:p>
    <w:p w14:paraId="304BD10E" w14:textId="77777777" w:rsidR="008100E1" w:rsidRDefault="00C52444">
      <w:pPr>
        <w:pStyle w:val="NumberedText"/>
        <w:ind w:left="300" w:hanging="300"/>
      </w:pPr>
      <w:r>
        <w:t>b)</w:t>
      </w:r>
      <w:r>
        <w:tab/>
      </w:r>
      <w:r>
        <w:t>skjölum sem krafist er í landslögum sem lögleiða tilskipun 2004/25/EB,</w:t>
      </w:r>
    </w:p>
    <w:p w14:paraId="679FD163" w14:textId="77777777" w:rsidR="008100E1" w:rsidRDefault="00C52444">
      <w:pPr>
        <w:pStyle w:val="NumberedText"/>
        <w:ind w:left="300" w:hanging="300"/>
      </w:pPr>
      <w:r>
        <w:t>c)</w:t>
      </w:r>
      <w:r>
        <w:tab/>
        <w:t>skjölum sem krafist er í landslögum sem lögleiða tilskipun Evrópuþingsins og ráðsins (ESB) 2017/1132 (</w:t>
      </w:r>
      <w:bookmarkStart w:id="3" w:name="NOTE_4"/>
      <w:r>
        <w:rPr>
          <w:rStyle w:val="Tilvsunneanmlsgrein"/>
          <w:sz w:val="18"/>
        </w:rPr>
        <w:footnoteReference w:id="5"/>
      </w:r>
      <w:bookmarkEnd w:id="3"/>
      <w:r>
        <w:t>),</w:t>
      </w:r>
    </w:p>
    <w:p w14:paraId="7930B1DB" w14:textId="77777777" w:rsidR="008100E1" w:rsidRDefault="00C52444">
      <w:pPr>
        <w:pStyle w:val="NumberedText"/>
        <w:ind w:left="300" w:hanging="300"/>
      </w:pPr>
      <w:r>
        <w:t>d)</w:t>
      </w:r>
      <w:r>
        <w:tab/>
        <w:t xml:space="preserve">öðrum skjölum sem birt eru í samræmi við landslög ef þessi skjöl skipta </w:t>
      </w:r>
      <w:r>
        <w:t>máli fyrir viðskiptin.</w:t>
      </w:r>
    </w:p>
    <w:p w14:paraId="5C24182A" w14:textId="77777777" w:rsidR="008100E1" w:rsidRDefault="00C52444">
      <w:pPr>
        <w:pStyle w:val="Alinea"/>
      </w:pPr>
      <w:r>
        <w:t>Upplýsingarnar sem um getur í fyrstu undirgrein skulu vera þær nýjustu sem tiltækar eru útgefandanum, félaginu sem tilboðið tekur til, félaginu sem er yfirtekið eða fyrirtækinu sem skipt er upp.</w:t>
      </w:r>
    </w:p>
    <w:p w14:paraId="6FBFFBF7" w14:textId="77777777" w:rsidR="008100E1" w:rsidRDefault="00C52444">
      <w:pPr>
        <w:pStyle w:val="AlineaWithParag"/>
      </w:pPr>
      <w:r>
        <w:t>2.</w:t>
      </w:r>
      <w:r>
        <w:tab/>
        <w:t>Ef aðeins tilteknir liðir skjals er</w:t>
      </w:r>
      <w:r>
        <w:t>u felldir inn með tilvísun skal undanþáguskjalið hafa að geyma yfirlýsingu þess efnis að þeir hlutar sem ekki eru felldir inn skipti annað hvort ekki máli fyrir fjárfestinn eða þeir komi fram annars staðar í undanþáguskjalinu.</w:t>
      </w:r>
    </w:p>
    <w:p w14:paraId="33322479" w14:textId="77777777" w:rsidR="008100E1" w:rsidRDefault="00C52444">
      <w:pPr>
        <w:pStyle w:val="AlineaWithParag"/>
      </w:pPr>
      <w:r>
        <w:t>3.</w:t>
      </w:r>
      <w:r>
        <w:tab/>
        <w:t>Aðilar sem ábyrgir eru fyr</w:t>
      </w:r>
      <w:r>
        <w:t>ir undanþáguskjalinu skulu tryggja að upplýsingar sem felldar eru inn í það undanþáguskjal með tilvísun séu auðveldlega aðgengilegar.</w:t>
      </w:r>
    </w:p>
    <w:p w14:paraId="25AE059C" w14:textId="77777777" w:rsidR="008100E1" w:rsidRDefault="00C52444">
      <w:pPr>
        <w:pStyle w:val="AlineaWithParag"/>
        <w:spacing w:after="0"/>
      </w:pPr>
      <w:r>
        <w:t>4.</w:t>
      </w:r>
      <w:r>
        <w:tab/>
        <w:t xml:space="preserve">Undanþáguskjal sem inniheldur upplýsingar sem felldar eru inn með tilvísun skal hafa að geyma </w:t>
      </w:r>
      <w:proofErr w:type="spellStart"/>
      <w:r>
        <w:t>millivísunarlista</w:t>
      </w:r>
      <w:proofErr w:type="spellEnd"/>
      <w:r>
        <w:t xml:space="preserve"> til að </w:t>
      </w:r>
      <w:r>
        <w:t>gera fjárfestum kleift að finna tiltekna upplýsingaliði auðveldlega og skal lýsingin hafa að geyma tengla í öll skjöl sem hafa að geyma upplýsingar sem felldar eru inn með tilvísun.</w:t>
      </w:r>
    </w:p>
    <w:p w14:paraId="2019E85F" w14:textId="77777777" w:rsidR="008100E1" w:rsidRDefault="008100E1">
      <w:pPr>
        <w:pStyle w:val="Para"/>
        <w:sectPr w:rsidR="008100E1">
          <w:headerReference w:type="default" r:id="rId8"/>
          <w:footnotePr>
            <w:pos w:val="beneathText"/>
          </w:footnotePr>
          <w:pgSz w:w="11906" w:h="16838" w:code="9"/>
          <w:pgMar w:top="1680" w:right="1333" w:bottom="840" w:left="1333" w:header="920" w:footer="280" w:gutter="0"/>
          <w:cols w:space="708"/>
          <w:vAlign w:val="both"/>
          <w:docGrid w:linePitch="360"/>
        </w:sectPr>
      </w:pPr>
    </w:p>
    <w:p w14:paraId="1CF44EEB" w14:textId="77777777" w:rsidR="008100E1" w:rsidRDefault="00C52444">
      <w:pPr>
        <w:pStyle w:val="TIART"/>
      </w:pPr>
      <w:r>
        <w:lastRenderedPageBreak/>
        <w:t>4. gr.</w:t>
      </w:r>
    </w:p>
    <w:p w14:paraId="63844F02" w14:textId="77777777" w:rsidR="008100E1" w:rsidRDefault="00C52444">
      <w:pPr>
        <w:pStyle w:val="STIART"/>
      </w:pPr>
      <w:r>
        <w:t>Margþætt</w:t>
      </w:r>
      <w:r>
        <w:t>ur fjármálaferill og verulegar fjárskuldbindingar</w:t>
      </w:r>
    </w:p>
    <w:p w14:paraId="65D7DE0F" w14:textId="77777777" w:rsidR="008100E1" w:rsidRDefault="00C52444">
      <w:pPr>
        <w:pStyle w:val="AlineaWithParag"/>
      </w:pPr>
      <w:r>
        <w:t>1.</w:t>
      </w:r>
      <w:r>
        <w:tab/>
        <w:t>Eigi útgefandi hlutabréfatengdra verðbréfa að baki margþættan fjármálaferil, eins og um getur í 3. mgr. 18. gr. framseldrar reglugerðar framkvæmdastjórnarinnar (ESB) 2019/980 (</w:t>
      </w:r>
      <w:bookmarkStart w:id="4" w:name="NOTE_5"/>
      <w:r>
        <w:rPr>
          <w:rStyle w:val="Tilvsunneanmlsgrein"/>
          <w:sz w:val="18"/>
        </w:rPr>
        <w:footnoteReference w:id="6"/>
      </w:r>
      <w:bookmarkEnd w:id="4"/>
      <w:r>
        <w:t xml:space="preserve">), eða hefur tekið á sig </w:t>
      </w:r>
      <w:r>
        <w:t>verulega fjárskuldbindingu eins og um getur 4. mgr. 18. gr. þeirrar reglugerðar, skal undanþáguskjalið innihalda allar upplýsingar sem um getur í I. viðauka eða, eftir atvikum, II. viðauka við þessa reglugerð um annan aðila en útgefandann, eins og sá aðili</w:t>
      </w:r>
      <w:r>
        <w:t xml:space="preserve"> væri útgefandi hlutabréfatengdu verðbréfanna, að því marki sem fjárfestar þurfa þær upplýsingar til að taka upplýsta fjárfestingarákvörðun eins og um getur í 1. mgr. 2. gr. þessarar reglugerðar.</w:t>
      </w:r>
    </w:p>
    <w:p w14:paraId="256ED997" w14:textId="77777777" w:rsidR="008100E1" w:rsidRDefault="00C52444">
      <w:pPr>
        <w:pStyle w:val="Alinea"/>
      </w:pPr>
      <w:r>
        <w:t>Í slíkum viðbótarupplýsingum skal gera grein fyrir áhrifunum</w:t>
      </w:r>
      <w:r>
        <w:t xml:space="preserve"> sem búist er við af viðskiptunum, eins og skilgreint er í 1. gr. a þessarar reglugerðar, á útgefandann eða á rekstur útgefandans og áhrifunum af margþættum fjármálaferli eða af verulegum fjárskuldbindingum á útgefandann eða á rekstur útgefandans.</w:t>
      </w:r>
    </w:p>
    <w:p w14:paraId="289E3E2A" w14:textId="77777777" w:rsidR="008100E1" w:rsidRDefault="00C52444">
      <w:pPr>
        <w:pStyle w:val="AlineaWithParag"/>
      </w:pPr>
      <w:r>
        <w:t>2.</w:t>
      </w:r>
      <w:r>
        <w:tab/>
        <w:t>Viðbó</w:t>
      </w:r>
      <w:r>
        <w:t>tarupplýsingunum sem um getur í 1. mgr. skal fylgja útskýring á því hvers vegna fjárfestar þurfa þær upplýsingar til að taka upplýsta fjárfestingarákvörðun.</w:t>
      </w:r>
    </w:p>
    <w:p w14:paraId="59C38F99" w14:textId="77777777" w:rsidR="008100E1" w:rsidRDefault="00C52444">
      <w:pPr>
        <w:pStyle w:val="AlineaWithParag"/>
      </w:pPr>
      <w:r>
        <w:t>3.</w:t>
      </w:r>
      <w:r>
        <w:tab/>
        <w:t>Útgefandi sem getur ekki veitt viðbótarupplýsingarnar sem um getur í 1. mgr. skal í undanþáguskj</w:t>
      </w:r>
      <w:r>
        <w:t>alinu útskýra hvernig standi á því.</w:t>
      </w:r>
    </w:p>
    <w:p w14:paraId="3E68BF38" w14:textId="77777777" w:rsidR="008100E1" w:rsidRDefault="00C52444">
      <w:pPr>
        <w:pStyle w:val="TIART"/>
      </w:pPr>
      <w:r>
        <w:t>5. gr.</w:t>
      </w:r>
    </w:p>
    <w:p w14:paraId="537C8AA1" w14:textId="77777777" w:rsidR="008100E1" w:rsidRDefault="00C52444">
      <w:pPr>
        <w:pStyle w:val="STIART"/>
      </w:pPr>
      <w:r>
        <w:t>Notkun tungumála</w:t>
      </w:r>
    </w:p>
    <w:p w14:paraId="6BDF20AC" w14:textId="77777777" w:rsidR="008100E1" w:rsidRDefault="00C52444">
      <w:pPr>
        <w:pStyle w:val="Alinea"/>
      </w:pPr>
      <w:r>
        <w:t xml:space="preserve">Undanþáguskjal skal samið á tungumáli sem viðurkennt er af þeim </w:t>
      </w:r>
      <w:proofErr w:type="spellStart"/>
      <w:r>
        <w:t>lögbæru</w:t>
      </w:r>
      <w:proofErr w:type="spellEnd"/>
      <w:r>
        <w:t xml:space="preserve"> yfirvöldum sem skilgreind eru í </w:t>
      </w:r>
      <w:proofErr w:type="spellStart"/>
      <w:r>
        <w:t>o-lið</w:t>
      </w:r>
      <w:proofErr w:type="spellEnd"/>
      <w:r>
        <w:t xml:space="preserve"> 2. gr. reglugerðar (ESB) 2017/1129.</w:t>
      </w:r>
    </w:p>
    <w:p w14:paraId="69F54CAF" w14:textId="77777777" w:rsidR="008100E1" w:rsidRDefault="00C52444">
      <w:pPr>
        <w:pStyle w:val="TIART"/>
      </w:pPr>
      <w:r>
        <w:t>6. gr.</w:t>
      </w:r>
    </w:p>
    <w:p w14:paraId="028BCC7D" w14:textId="77777777" w:rsidR="008100E1" w:rsidRDefault="00C52444">
      <w:pPr>
        <w:pStyle w:val="STIART"/>
      </w:pPr>
      <w:r>
        <w:t>Gildistaka</w:t>
      </w:r>
    </w:p>
    <w:p w14:paraId="48309500" w14:textId="77777777" w:rsidR="008100E1" w:rsidRDefault="00C52444">
      <w:pPr>
        <w:pStyle w:val="Alinea"/>
        <w:spacing w:after="600"/>
      </w:pPr>
      <w:r>
        <w:t xml:space="preserve">Reglugerð þessi öðlast gildi á tuttugasta degi eftir að hún birtist í </w:t>
      </w:r>
      <w:r>
        <w:rPr>
          <w:i/>
          <w:iCs/>
        </w:rPr>
        <w:t>Stjórnartíðindum Evrópusambandsins</w:t>
      </w:r>
      <w:r>
        <w:t>.</w:t>
      </w:r>
    </w:p>
    <w:p w14:paraId="0AD106AF" w14:textId="77777777" w:rsidR="008100E1" w:rsidRDefault="00C52444">
      <w:pPr>
        <w:pStyle w:val="Final"/>
        <w:spacing w:after="300"/>
        <w:ind w:left="1060"/>
      </w:pPr>
      <w:r>
        <w:t>Reglugerð þessi er bindandi í heild sinni og gildir í öllum aðildarríkjunum án frekari lögfestingar.</w:t>
      </w:r>
    </w:p>
    <w:p w14:paraId="0FFA1E5A" w14:textId="77777777" w:rsidR="008100E1" w:rsidRDefault="00C52444">
      <w:pPr>
        <w:pStyle w:val="Final"/>
        <w:spacing w:after="300"/>
        <w:ind w:left="1060"/>
      </w:pPr>
      <w:r>
        <w:t>Gjört í Brussel 16. desember 2020.</w:t>
      </w:r>
    </w:p>
    <w:tbl>
      <w:tblPr>
        <w:tblW w:w="7908" w:type="dxa"/>
        <w:tblInd w:w="670" w:type="dxa"/>
        <w:tblLook w:val="04A0" w:firstRow="1" w:lastRow="0" w:firstColumn="1" w:lastColumn="0" w:noHBand="0" w:noVBand="1"/>
      </w:tblPr>
      <w:tblGrid>
        <w:gridCol w:w="3954"/>
        <w:gridCol w:w="3954"/>
      </w:tblGrid>
      <w:tr w:rsidR="008100E1" w14:paraId="752E0BEC" w14:textId="77777777">
        <w:trPr>
          <w:trHeight w:val="440"/>
        </w:trPr>
        <w:tc>
          <w:tcPr>
            <w:tcW w:w="3954" w:type="dxa"/>
            <w:vMerge w:val="restart"/>
          </w:tcPr>
          <w:p w14:paraId="096B0DB5" w14:textId="77777777" w:rsidR="008100E1" w:rsidRDefault="008100E1">
            <w:pPr>
              <w:pStyle w:val="Para"/>
            </w:pPr>
          </w:p>
        </w:tc>
        <w:tc>
          <w:tcPr>
            <w:tcW w:w="3954" w:type="dxa"/>
            <w:vMerge w:val="restart"/>
          </w:tcPr>
          <w:p w14:paraId="6AF99645" w14:textId="77777777" w:rsidR="008100E1" w:rsidRDefault="00C52444">
            <w:pPr>
              <w:pStyle w:val="Signatory"/>
              <w:spacing w:after="120"/>
            </w:pPr>
            <w:r>
              <w:rPr>
                <w:i/>
              </w:rPr>
              <w:t>Fyrir hönd fr</w:t>
            </w:r>
            <w:r>
              <w:rPr>
                <w:i/>
              </w:rPr>
              <w:t>amkvæmdastjórnarinnar,</w:t>
            </w:r>
          </w:p>
          <w:p w14:paraId="0406B3C8" w14:textId="77777777" w:rsidR="008100E1" w:rsidRDefault="00C52444">
            <w:pPr>
              <w:pStyle w:val="SignatorySmall"/>
              <w:spacing w:after="120"/>
            </w:pPr>
            <w:proofErr w:type="spellStart"/>
            <w:r>
              <w:t>Ursula</w:t>
            </w:r>
            <w:proofErr w:type="spellEnd"/>
            <w:r>
              <w:t xml:space="preserve"> VON DER LEYEN</w:t>
            </w:r>
          </w:p>
          <w:p w14:paraId="102BA38D" w14:textId="77777777" w:rsidR="008100E1" w:rsidRDefault="00C52444">
            <w:pPr>
              <w:pStyle w:val="Signatory"/>
              <w:spacing w:after="120"/>
            </w:pPr>
            <w:r>
              <w:rPr>
                <w:i/>
              </w:rPr>
              <w:t>forseti.</w:t>
            </w:r>
          </w:p>
        </w:tc>
      </w:tr>
    </w:tbl>
    <w:p w14:paraId="028C4351" w14:textId="77777777" w:rsidR="008100E1" w:rsidRDefault="00C52444">
      <w:pPr>
        <w:pStyle w:val="line2"/>
        <w:pBdr>
          <w:bottom w:val="none" w:sz="0" w:space="0" w:color="auto"/>
        </w:pBdr>
        <w:tabs>
          <w:tab w:val="left" w:leader="underscore" w:pos="522"/>
        </w:tabs>
        <w:spacing w:before="300"/>
        <w:ind w:left="0" w:right="0"/>
      </w:pPr>
      <w:r>
        <w:tab/>
      </w:r>
    </w:p>
    <w:p w14:paraId="59FF212A" w14:textId="77777777" w:rsidR="008100E1" w:rsidRDefault="008100E1">
      <w:pPr>
        <w:pStyle w:val="Para"/>
        <w:sectPr w:rsidR="008100E1">
          <w:pgSz w:w="11906" w:h="16838" w:code="9"/>
          <w:pgMar w:top="1680" w:right="1333" w:bottom="840" w:left="1333" w:header="920" w:footer="280" w:gutter="0"/>
          <w:cols w:space="708"/>
          <w:docGrid w:linePitch="360"/>
        </w:sectPr>
      </w:pPr>
    </w:p>
    <w:p w14:paraId="2BA81E94" w14:textId="77777777" w:rsidR="008100E1" w:rsidRDefault="00C52444">
      <w:pPr>
        <w:pStyle w:val="AnnexTI"/>
        <w:spacing w:after="360"/>
      </w:pPr>
      <w:r>
        <w:lastRenderedPageBreak/>
        <w:t>I. VIÐAUKI</w:t>
      </w:r>
    </w:p>
    <w:p w14:paraId="6BA9E7D5" w14:textId="77777777" w:rsidR="008100E1" w:rsidRDefault="00C52444">
      <w:pPr>
        <w:pStyle w:val="AnnexSTI"/>
        <w:spacing w:line="200" w:lineRule="exact"/>
        <w:rPr>
          <w:sz w:val="16"/>
        </w:rPr>
      </w:pPr>
      <w:r>
        <w:rPr>
          <w:sz w:val="16"/>
        </w:rPr>
        <w:t>LÁGMARKSUPPLÝSINGAR Í UNDANÞÁGUSKJALINU</w:t>
      </w:r>
    </w:p>
    <w:p w14:paraId="702FCEF0" w14:textId="77777777" w:rsidR="008100E1" w:rsidRDefault="00C52444">
      <w:pPr>
        <w:pStyle w:val="AnnexNormal"/>
        <w:jc w:val="center"/>
      </w:pPr>
      <w:r>
        <w:t>Ákvæði þriðju undirgreinar 1. mgr. 2. gr. og 2. mgr. 2. gr.</w:t>
      </w:r>
    </w:p>
    <w:tbl>
      <w:tblPr>
        <w:tblStyle w:val="EFTATable"/>
        <w:tblW w:w="5000" w:type="pct"/>
        <w:tblLayout w:type="fixed"/>
        <w:tblLook w:val="04A0" w:firstRow="1" w:lastRow="0" w:firstColumn="1" w:lastColumn="0" w:noHBand="0" w:noVBand="1"/>
      </w:tblPr>
      <w:tblGrid>
        <w:gridCol w:w="1416"/>
        <w:gridCol w:w="7824"/>
      </w:tblGrid>
      <w:tr w:rsidR="008100E1" w14:paraId="5D7129AA" w14:textId="77777777">
        <w:trPr>
          <w:trHeight w:val="240"/>
        </w:trPr>
        <w:tc>
          <w:tcPr>
            <w:tcW w:w="766" w:type="pct"/>
            <w:tcMar>
              <w:top w:w="100" w:type="dxa"/>
              <w:left w:w="0" w:type="dxa"/>
              <w:bottom w:w="100" w:type="dxa"/>
              <w:right w:w="60" w:type="dxa"/>
            </w:tcMar>
          </w:tcPr>
          <w:p w14:paraId="7522B110" w14:textId="77777777" w:rsidR="008100E1" w:rsidRDefault="00C52444">
            <w:pPr>
              <w:pStyle w:val="AnnexTableCellLeft"/>
              <w:spacing w:line="200" w:lineRule="exact"/>
              <w:rPr>
                <w:sz w:val="16"/>
                <w:szCs w:val="18"/>
              </w:rPr>
            </w:pPr>
            <w:r>
              <w:rPr>
                <w:b/>
                <w:sz w:val="16"/>
                <w:szCs w:val="18"/>
              </w:rPr>
              <w:t>1. ÞÁTTUR</w:t>
            </w:r>
          </w:p>
        </w:tc>
        <w:tc>
          <w:tcPr>
            <w:tcW w:w="4234" w:type="pct"/>
            <w:tcMar>
              <w:top w:w="100" w:type="dxa"/>
              <w:left w:w="60" w:type="dxa"/>
              <w:bottom w:w="100" w:type="dxa"/>
              <w:right w:w="0" w:type="dxa"/>
            </w:tcMar>
          </w:tcPr>
          <w:p w14:paraId="4EEFB7F6" w14:textId="77777777" w:rsidR="008100E1" w:rsidRDefault="00C52444">
            <w:pPr>
              <w:pStyle w:val="AnnexTableCellLeft"/>
              <w:spacing w:line="200" w:lineRule="exact"/>
              <w:rPr>
                <w:sz w:val="16"/>
                <w:szCs w:val="18"/>
              </w:rPr>
            </w:pPr>
            <w:r>
              <w:rPr>
                <w:b/>
                <w:sz w:val="16"/>
                <w:szCs w:val="18"/>
              </w:rPr>
              <w:t>AÐILAR SEM BERA ÁBYRGÐ Á AÐ SEMJA UNDANÞÁGUSKJALIÐ, UPPLÝSINGAR FRÁ ÞRIÐJU AÐILUM OG SKÝRSLUR SÉRFRÆÐINGA</w:t>
            </w:r>
          </w:p>
        </w:tc>
      </w:tr>
      <w:tr w:rsidR="008100E1" w14:paraId="5A71B6E7" w14:textId="77777777">
        <w:trPr>
          <w:trHeight w:val="240"/>
        </w:trPr>
        <w:tc>
          <w:tcPr>
            <w:tcW w:w="766" w:type="pct"/>
            <w:tcMar>
              <w:top w:w="100" w:type="dxa"/>
              <w:left w:w="0" w:type="dxa"/>
              <w:bottom w:w="100" w:type="dxa"/>
              <w:right w:w="60" w:type="dxa"/>
            </w:tcMar>
          </w:tcPr>
          <w:p w14:paraId="59583BAB" w14:textId="77777777" w:rsidR="008100E1" w:rsidRDefault="00C52444">
            <w:pPr>
              <w:pStyle w:val="AnnexTableCellLeft"/>
              <w:rPr>
                <w:szCs w:val="18"/>
              </w:rPr>
            </w:pPr>
            <w:r>
              <w:rPr>
                <w:b/>
                <w:szCs w:val="18"/>
              </w:rPr>
              <w:t>Liður 1.1</w:t>
            </w:r>
          </w:p>
        </w:tc>
        <w:tc>
          <w:tcPr>
            <w:tcW w:w="4234" w:type="pct"/>
            <w:tcMar>
              <w:top w:w="100" w:type="dxa"/>
              <w:left w:w="60" w:type="dxa"/>
              <w:bottom w:w="100" w:type="dxa"/>
              <w:right w:w="0" w:type="dxa"/>
            </w:tcMar>
          </w:tcPr>
          <w:p w14:paraId="28F5F1F4" w14:textId="77777777" w:rsidR="008100E1" w:rsidRDefault="00C52444">
            <w:pPr>
              <w:pStyle w:val="AnnexTableCellLeft"/>
              <w:spacing w:after="120"/>
              <w:rPr>
                <w:szCs w:val="18"/>
              </w:rPr>
            </w:pPr>
            <w:proofErr w:type="spellStart"/>
            <w:r>
              <w:rPr>
                <w:b/>
                <w:szCs w:val="18"/>
              </w:rPr>
              <w:t>Tilgreining</w:t>
            </w:r>
            <w:proofErr w:type="spellEnd"/>
            <w:r>
              <w:rPr>
                <w:b/>
                <w:szCs w:val="18"/>
              </w:rPr>
              <w:t xml:space="preserve"> á aðilum sem bera ábyrgð á samningu undanþáguskjalsins</w:t>
            </w:r>
          </w:p>
          <w:p w14:paraId="7E4FE784" w14:textId="77777777" w:rsidR="008100E1" w:rsidRDefault="00C52444">
            <w:pPr>
              <w:pStyle w:val="AnnexTableCellLeft"/>
              <w:rPr>
                <w:szCs w:val="18"/>
              </w:rPr>
            </w:pPr>
            <w:r>
              <w:t>Tilgreina skal alla þá sem bera ábyrgð á þeim upplýsingum, eða einhverjum hlutum þeirra, sem veittar eru í undanþáguskjalinu og skal í síðara tilfellinu tilgreina slíka hluta upplýsinganna. Ef um er að ræða einstaklinga, þ.m.t. aðila að stjórn, framkvæmdas</w:t>
            </w:r>
            <w:r>
              <w:t>tjórn eða eftirlitsstjórn útgefandans, skulu þeir tilgreindir með nafni og stöðuheiti. Ef um er að ræða lögaðila skal tilgreina nafn þeirra og skráða skrifstofu.</w:t>
            </w:r>
          </w:p>
        </w:tc>
      </w:tr>
      <w:tr w:rsidR="008100E1" w14:paraId="2FFA19BA" w14:textId="77777777">
        <w:trPr>
          <w:trHeight w:val="240"/>
        </w:trPr>
        <w:tc>
          <w:tcPr>
            <w:tcW w:w="766" w:type="pct"/>
            <w:tcMar>
              <w:top w:w="100" w:type="dxa"/>
              <w:left w:w="0" w:type="dxa"/>
              <w:bottom w:w="100" w:type="dxa"/>
              <w:right w:w="60" w:type="dxa"/>
            </w:tcMar>
          </w:tcPr>
          <w:p w14:paraId="578290D0" w14:textId="77777777" w:rsidR="008100E1" w:rsidRDefault="00C52444">
            <w:pPr>
              <w:pStyle w:val="AnnexTableCellLeft"/>
              <w:rPr>
                <w:szCs w:val="18"/>
              </w:rPr>
            </w:pPr>
            <w:r>
              <w:rPr>
                <w:b/>
                <w:szCs w:val="18"/>
              </w:rPr>
              <w:t>Liður 1.2</w:t>
            </w:r>
          </w:p>
        </w:tc>
        <w:tc>
          <w:tcPr>
            <w:tcW w:w="4234" w:type="pct"/>
            <w:tcMar>
              <w:top w:w="100" w:type="dxa"/>
              <w:left w:w="60" w:type="dxa"/>
              <w:bottom w:w="100" w:type="dxa"/>
              <w:right w:w="0" w:type="dxa"/>
            </w:tcMar>
          </w:tcPr>
          <w:p w14:paraId="46FA4DAF" w14:textId="77777777" w:rsidR="008100E1" w:rsidRDefault="00C52444">
            <w:pPr>
              <w:pStyle w:val="AnnexTableCellLeft"/>
              <w:spacing w:after="120"/>
              <w:rPr>
                <w:szCs w:val="18"/>
              </w:rPr>
            </w:pPr>
            <w:r>
              <w:rPr>
                <w:b/>
                <w:szCs w:val="18"/>
              </w:rPr>
              <w:t>Yfirlýsing um ábyrgð</w:t>
            </w:r>
          </w:p>
          <w:p w14:paraId="0B830F6A" w14:textId="77777777" w:rsidR="008100E1" w:rsidRDefault="00C52444">
            <w:pPr>
              <w:pStyle w:val="AnnexTableCellLeft"/>
              <w:spacing w:after="120"/>
              <w:rPr>
                <w:szCs w:val="18"/>
              </w:rPr>
            </w:pPr>
            <w:r>
              <w:t>Yfirlýsing þeirra sem bera ábyrgð á undanþáguskjalinu þess efn</w:t>
            </w:r>
            <w:r>
              <w:t>is að samkvæmt þeirra bestu vitund séu upplýsingarnar í undanþáguskjalinu í samræmi við staðreyndir og að engum upplýsingum sé sleppt úr því sem gætu haft áhrif á áreiðanleika þess.</w:t>
            </w:r>
          </w:p>
          <w:p w14:paraId="3DF30B02" w14:textId="77777777" w:rsidR="008100E1" w:rsidRDefault="00C52444">
            <w:pPr>
              <w:pStyle w:val="AnnexTableCellLeft"/>
              <w:rPr>
                <w:szCs w:val="18"/>
              </w:rPr>
            </w:pPr>
            <w:r>
              <w:t>Eftir atvikum, yfirlýsing þeirra sem bera ábyrgð á tilteknum hlutum undanþ</w:t>
            </w:r>
            <w:r>
              <w:t>águskjalsins þess efnis að samkvæmt þeirra bestu vitund séu upplýsingarnar í þeim hlutum undanþáguskjalsins sem þeir bera ábyrgð á í samræmi við staðreyndir og að engum upplýsingum sé sleppt úr þeim hlutum sem gætu haft áhrif á áreiðanleika þess.</w:t>
            </w:r>
          </w:p>
        </w:tc>
      </w:tr>
      <w:tr w:rsidR="008100E1" w14:paraId="2D9D3EBF" w14:textId="77777777">
        <w:trPr>
          <w:trHeight w:val="240"/>
        </w:trPr>
        <w:tc>
          <w:tcPr>
            <w:tcW w:w="766" w:type="pct"/>
            <w:tcMar>
              <w:top w:w="100" w:type="dxa"/>
              <w:left w:w="0" w:type="dxa"/>
              <w:bottom w:w="100" w:type="dxa"/>
              <w:right w:w="60" w:type="dxa"/>
            </w:tcMar>
          </w:tcPr>
          <w:p w14:paraId="28B9D1C8" w14:textId="77777777" w:rsidR="008100E1" w:rsidRDefault="00C52444">
            <w:pPr>
              <w:pStyle w:val="AnnexTableCellLeft"/>
              <w:rPr>
                <w:szCs w:val="18"/>
              </w:rPr>
            </w:pPr>
            <w:r>
              <w:rPr>
                <w:b/>
                <w:szCs w:val="18"/>
              </w:rPr>
              <w:t>Liður 1.</w:t>
            </w:r>
            <w:r>
              <w:rPr>
                <w:b/>
                <w:szCs w:val="18"/>
              </w:rPr>
              <w:t>3</w:t>
            </w:r>
          </w:p>
        </w:tc>
        <w:tc>
          <w:tcPr>
            <w:tcW w:w="4234" w:type="pct"/>
            <w:tcMar>
              <w:top w:w="100" w:type="dxa"/>
              <w:left w:w="60" w:type="dxa"/>
              <w:bottom w:w="100" w:type="dxa"/>
              <w:right w:w="0" w:type="dxa"/>
            </w:tcMar>
          </w:tcPr>
          <w:p w14:paraId="7BB1BDFE" w14:textId="77777777" w:rsidR="008100E1" w:rsidRDefault="00C52444">
            <w:pPr>
              <w:pStyle w:val="AnnexTableCellLeft"/>
              <w:spacing w:after="120"/>
              <w:rPr>
                <w:szCs w:val="18"/>
              </w:rPr>
            </w:pPr>
            <w:r>
              <w:rPr>
                <w:b/>
                <w:szCs w:val="18"/>
              </w:rPr>
              <w:t>Yfirlýsing eða greinargerð sérfræðings</w:t>
            </w:r>
          </w:p>
          <w:p w14:paraId="6CD2BF65" w14:textId="77777777" w:rsidR="008100E1" w:rsidRDefault="00C52444">
            <w:pPr>
              <w:pStyle w:val="AnnexTableCellLeft"/>
              <w:spacing w:after="120"/>
              <w:rPr>
                <w:szCs w:val="18"/>
              </w:rPr>
            </w:pPr>
            <w:r>
              <w:t>Hafi undanþáguskjal að geyma yfirlýsingu eða greinargerð frá sérfræðingi skal veita eftirfarandi upplýsingar um þann aðila:</w:t>
            </w:r>
          </w:p>
          <w:p w14:paraId="6C0564EC" w14:textId="77777777" w:rsidR="008100E1" w:rsidRDefault="00C52444">
            <w:pPr>
              <w:pStyle w:val="AnnexNumberedText"/>
              <w:ind w:left="300" w:hanging="300"/>
              <w:rPr>
                <w:szCs w:val="18"/>
              </w:rPr>
            </w:pPr>
            <w:r>
              <w:t>a)</w:t>
            </w:r>
            <w:r>
              <w:tab/>
              <w:t>nafn,</w:t>
            </w:r>
          </w:p>
          <w:p w14:paraId="25FDACD8" w14:textId="77777777" w:rsidR="008100E1" w:rsidRDefault="00C52444">
            <w:pPr>
              <w:pStyle w:val="AnnexNumberedText"/>
              <w:ind w:left="300" w:hanging="300"/>
              <w:rPr>
                <w:szCs w:val="18"/>
              </w:rPr>
            </w:pPr>
            <w:r>
              <w:t>b)</w:t>
            </w:r>
            <w:r>
              <w:tab/>
              <w:t>heimilisfang starfsstöðvar,</w:t>
            </w:r>
          </w:p>
          <w:p w14:paraId="0FDC9EBB" w14:textId="77777777" w:rsidR="008100E1" w:rsidRDefault="00C52444">
            <w:pPr>
              <w:pStyle w:val="AnnexNumberedText"/>
              <w:ind w:left="300" w:hanging="300"/>
              <w:rPr>
                <w:szCs w:val="18"/>
              </w:rPr>
            </w:pPr>
            <w:r>
              <w:t>c)</w:t>
            </w:r>
            <w:r>
              <w:tab/>
              <w:t>menntun og hæfi,</w:t>
            </w:r>
          </w:p>
          <w:p w14:paraId="1DC2319F" w14:textId="77777777" w:rsidR="008100E1" w:rsidRDefault="00C52444">
            <w:pPr>
              <w:pStyle w:val="AnnexNumberedText"/>
              <w:ind w:left="300" w:hanging="300"/>
              <w:rPr>
                <w:szCs w:val="18"/>
              </w:rPr>
            </w:pPr>
            <w:r>
              <w:t>d)</w:t>
            </w:r>
            <w:r>
              <w:tab/>
            </w:r>
            <w:r>
              <w:t>verulega hagsmuni sem hann á að gæta í útgefanda, ef einhverjir eru.</w:t>
            </w:r>
          </w:p>
          <w:p w14:paraId="3DF65164" w14:textId="77777777" w:rsidR="008100E1" w:rsidRDefault="00C52444">
            <w:pPr>
              <w:pStyle w:val="AnnexTableCellLeft"/>
              <w:rPr>
                <w:szCs w:val="18"/>
              </w:rPr>
            </w:pPr>
            <w:r>
              <w:t>Hafi yfirlýsingin eða greinargerðin verið gerð að beiðni útgefandans skal taka fram að sú yfirlýsing eða greinargerð fylgi með í undanþáguskjalinu með samþykki þess aðila sem heimilaði ef</w:t>
            </w:r>
            <w:r>
              <w:t>ni þess hluta undanþáguskjalsins.</w:t>
            </w:r>
          </w:p>
        </w:tc>
      </w:tr>
      <w:tr w:rsidR="008100E1" w14:paraId="1F8CCF09" w14:textId="77777777">
        <w:trPr>
          <w:trHeight w:val="240"/>
        </w:trPr>
        <w:tc>
          <w:tcPr>
            <w:tcW w:w="766" w:type="pct"/>
            <w:tcMar>
              <w:top w:w="100" w:type="dxa"/>
              <w:left w:w="0" w:type="dxa"/>
              <w:bottom w:w="100" w:type="dxa"/>
              <w:right w:w="60" w:type="dxa"/>
            </w:tcMar>
          </w:tcPr>
          <w:p w14:paraId="047D01ED" w14:textId="77777777" w:rsidR="008100E1" w:rsidRDefault="00C52444">
            <w:pPr>
              <w:pStyle w:val="AnnexTableCellLeft"/>
              <w:rPr>
                <w:szCs w:val="18"/>
              </w:rPr>
            </w:pPr>
            <w:r>
              <w:rPr>
                <w:b/>
                <w:szCs w:val="18"/>
              </w:rPr>
              <w:t>Liður 1.4</w:t>
            </w:r>
          </w:p>
        </w:tc>
        <w:tc>
          <w:tcPr>
            <w:tcW w:w="4234" w:type="pct"/>
            <w:tcMar>
              <w:top w:w="100" w:type="dxa"/>
              <w:left w:w="60" w:type="dxa"/>
              <w:bottom w:w="100" w:type="dxa"/>
              <w:right w:w="0" w:type="dxa"/>
            </w:tcMar>
          </w:tcPr>
          <w:p w14:paraId="4ABFA116" w14:textId="77777777" w:rsidR="008100E1" w:rsidRDefault="00C52444">
            <w:pPr>
              <w:pStyle w:val="AnnexTableCellLeft"/>
              <w:spacing w:after="120"/>
              <w:rPr>
                <w:szCs w:val="18"/>
              </w:rPr>
            </w:pPr>
            <w:r>
              <w:rPr>
                <w:b/>
                <w:szCs w:val="18"/>
              </w:rPr>
              <w:t>Upplýsingar frá þriðja aðila</w:t>
            </w:r>
          </w:p>
          <w:p w14:paraId="3493A77A" w14:textId="77777777" w:rsidR="008100E1" w:rsidRDefault="00C52444">
            <w:pPr>
              <w:pStyle w:val="AnnexTableCellLeft"/>
              <w:rPr>
                <w:szCs w:val="18"/>
              </w:rPr>
            </w:pPr>
            <w:r>
              <w:t>Séu upplýsingar fengnar frá þriðja aðila skal útgefandi staðfesta að þær hafi verið endurgerðar með réttum hætti og, að því marki sem honum er kunnugt um og unnt að staðreyna á grund</w:t>
            </w:r>
            <w:r>
              <w:t>velli þeirra upplýsinga sem þriðji aðilinn hafi birt, að engum staðreyndum hafi verið sleppt sem myndu gera upplýsingarnar ónákvæmar eða villandi. Auk þess skal tilgreina uppruna upplýsinganna.</w:t>
            </w:r>
          </w:p>
        </w:tc>
      </w:tr>
      <w:tr w:rsidR="008100E1" w14:paraId="6B163A95" w14:textId="77777777">
        <w:trPr>
          <w:trHeight w:val="240"/>
        </w:trPr>
        <w:tc>
          <w:tcPr>
            <w:tcW w:w="766" w:type="pct"/>
            <w:tcMar>
              <w:top w:w="100" w:type="dxa"/>
              <w:left w:w="0" w:type="dxa"/>
              <w:bottom w:w="100" w:type="dxa"/>
              <w:right w:w="60" w:type="dxa"/>
            </w:tcMar>
          </w:tcPr>
          <w:p w14:paraId="77EF4C55" w14:textId="77777777" w:rsidR="008100E1" w:rsidRDefault="00C52444">
            <w:pPr>
              <w:pStyle w:val="AnnexTableCellLeft"/>
              <w:rPr>
                <w:szCs w:val="18"/>
              </w:rPr>
            </w:pPr>
            <w:r>
              <w:rPr>
                <w:b/>
                <w:szCs w:val="18"/>
              </w:rPr>
              <w:t>Liður 1.5</w:t>
            </w:r>
          </w:p>
        </w:tc>
        <w:tc>
          <w:tcPr>
            <w:tcW w:w="4234" w:type="pct"/>
            <w:tcMar>
              <w:top w:w="100" w:type="dxa"/>
              <w:left w:w="60" w:type="dxa"/>
              <w:bottom w:w="100" w:type="dxa"/>
              <w:right w:w="0" w:type="dxa"/>
            </w:tcMar>
          </w:tcPr>
          <w:p w14:paraId="32503E55" w14:textId="77777777" w:rsidR="008100E1" w:rsidRDefault="00C52444">
            <w:pPr>
              <w:pStyle w:val="AnnexTableCellLeft"/>
              <w:spacing w:after="120"/>
              <w:rPr>
                <w:szCs w:val="18"/>
              </w:rPr>
            </w:pPr>
            <w:r>
              <w:rPr>
                <w:b/>
                <w:szCs w:val="18"/>
              </w:rPr>
              <w:t>Eftirlitsyfirlýsing</w:t>
            </w:r>
          </w:p>
          <w:p w14:paraId="4B741A9F" w14:textId="77777777" w:rsidR="008100E1" w:rsidRDefault="00C52444">
            <w:pPr>
              <w:pStyle w:val="AnnexTableCellLeft"/>
              <w:spacing w:after="120"/>
              <w:rPr>
                <w:szCs w:val="18"/>
              </w:rPr>
            </w:pPr>
            <w:r>
              <w:t>Yfirlýsing þess efnis að:</w:t>
            </w:r>
          </w:p>
          <w:p w14:paraId="402E1423" w14:textId="77777777" w:rsidR="008100E1" w:rsidRDefault="00C52444">
            <w:pPr>
              <w:pStyle w:val="AnnexNumberedText"/>
              <w:ind w:left="300" w:hanging="300"/>
              <w:rPr>
                <w:szCs w:val="18"/>
              </w:rPr>
            </w:pPr>
            <w:r>
              <w:t>a)</w:t>
            </w:r>
            <w:r>
              <w:tab/>
              <w:t>un</w:t>
            </w:r>
            <w:r>
              <w:t>danþáguskjalið standi ekki fyrir lýsingu í skilningi reglugerðar (ESB) 2017/1129,</w:t>
            </w:r>
          </w:p>
          <w:p w14:paraId="42C75C67" w14:textId="77777777" w:rsidR="008100E1" w:rsidRDefault="00C52444">
            <w:pPr>
              <w:pStyle w:val="AnnexNumberedText"/>
              <w:ind w:left="300" w:hanging="300"/>
              <w:rPr>
                <w:szCs w:val="18"/>
              </w:rPr>
            </w:pPr>
            <w:r>
              <w:t>b)</w:t>
            </w:r>
            <w:r>
              <w:tab/>
              <w:t xml:space="preserve">viðkomandi </w:t>
            </w:r>
            <w:proofErr w:type="spellStart"/>
            <w:r>
              <w:t>lögbært</w:t>
            </w:r>
            <w:proofErr w:type="spellEnd"/>
            <w:r>
              <w:t xml:space="preserve"> yfirvald hafi hvorki athugað né staðfest undanþáguskjalið í samræmi við 20. gr. reglugerðar (ESB) nr. 2017/1129,</w:t>
            </w:r>
          </w:p>
          <w:p w14:paraId="7530C583" w14:textId="77777777" w:rsidR="008100E1" w:rsidRDefault="00C52444">
            <w:pPr>
              <w:pStyle w:val="AnnexNumberedText"/>
              <w:spacing w:after="0"/>
              <w:ind w:left="300" w:hanging="300"/>
              <w:rPr>
                <w:szCs w:val="18"/>
              </w:rPr>
            </w:pPr>
            <w:r>
              <w:t>c)</w:t>
            </w:r>
            <w:r>
              <w:tab/>
            </w:r>
            <w:r>
              <w:t xml:space="preserve">samkvæmt </w:t>
            </w:r>
            <w:proofErr w:type="spellStart"/>
            <w:r>
              <w:t>b-lið</w:t>
            </w:r>
            <w:proofErr w:type="spellEnd"/>
            <w:r>
              <w:t xml:space="preserve"> 6. mgr. a 1. gr. reglugerðar (ESB) 2017/1129, eftir atvikum, hafi eftirlitsyfirvaldið sem er með valdheimild til að endurskoða tilboðsskjalið samkvæmt tilskipun 2004/25/EB gefið út </w:t>
            </w:r>
            <w:proofErr w:type="spellStart"/>
            <w:r>
              <w:t>fyrirframstaðfestingu</w:t>
            </w:r>
            <w:proofErr w:type="spellEnd"/>
            <w:r>
              <w:t xml:space="preserve"> á undanþáguskjalinu.</w:t>
            </w:r>
          </w:p>
        </w:tc>
      </w:tr>
      <w:tr w:rsidR="008100E1" w14:paraId="6BE5B069" w14:textId="77777777">
        <w:trPr>
          <w:trHeight w:val="240"/>
        </w:trPr>
        <w:tc>
          <w:tcPr>
            <w:tcW w:w="766" w:type="pct"/>
            <w:tcMar>
              <w:top w:w="100" w:type="dxa"/>
              <w:left w:w="0" w:type="dxa"/>
              <w:bottom w:w="100" w:type="dxa"/>
              <w:right w:w="60" w:type="dxa"/>
            </w:tcMar>
          </w:tcPr>
          <w:p w14:paraId="4ED25A0B" w14:textId="77777777" w:rsidR="008100E1" w:rsidRDefault="00C52444">
            <w:pPr>
              <w:pStyle w:val="AnnexTableCellLeft"/>
              <w:pageBreakBefore/>
              <w:spacing w:line="200" w:lineRule="exact"/>
              <w:rPr>
                <w:sz w:val="16"/>
                <w:szCs w:val="16"/>
              </w:rPr>
            </w:pPr>
            <w:r>
              <w:rPr>
                <w:b/>
                <w:sz w:val="16"/>
                <w:szCs w:val="16"/>
              </w:rPr>
              <w:lastRenderedPageBreak/>
              <w:t>2. ÞÁTTUR</w:t>
            </w:r>
          </w:p>
        </w:tc>
        <w:tc>
          <w:tcPr>
            <w:tcW w:w="4234" w:type="pct"/>
            <w:tcMar>
              <w:top w:w="100" w:type="dxa"/>
              <w:left w:w="60" w:type="dxa"/>
              <w:bottom w:w="100" w:type="dxa"/>
              <w:right w:w="0" w:type="dxa"/>
            </w:tcMar>
          </w:tcPr>
          <w:p w14:paraId="76D531D5" w14:textId="77777777" w:rsidR="008100E1" w:rsidRDefault="00C52444">
            <w:pPr>
              <w:pStyle w:val="AnnexTableCellLeft"/>
              <w:spacing w:line="200" w:lineRule="exact"/>
              <w:rPr>
                <w:sz w:val="16"/>
                <w:szCs w:val="16"/>
              </w:rPr>
            </w:pPr>
            <w:r>
              <w:rPr>
                <w:b/>
                <w:sz w:val="16"/>
                <w:szCs w:val="16"/>
              </w:rPr>
              <w:t>UPPLÝS</w:t>
            </w:r>
            <w:r>
              <w:rPr>
                <w:b/>
                <w:sz w:val="16"/>
                <w:szCs w:val="16"/>
              </w:rPr>
              <w:t>INGAR UM ÚTGEFANDANN OG UM FÉLAGIÐ SEM TILBOÐIÐ TEKUR TIL, FÉLAGIÐ SEM TEKIÐ ER YFIR EÐA FÉLAGIÐ SEM SKIPT ER UPP</w:t>
            </w:r>
          </w:p>
        </w:tc>
      </w:tr>
      <w:tr w:rsidR="008100E1" w14:paraId="1BA74A6C" w14:textId="77777777">
        <w:trPr>
          <w:trHeight w:val="240"/>
        </w:trPr>
        <w:tc>
          <w:tcPr>
            <w:tcW w:w="5000" w:type="pct"/>
            <w:gridSpan w:val="2"/>
            <w:tcMar>
              <w:top w:w="100" w:type="dxa"/>
              <w:left w:w="0" w:type="dxa"/>
              <w:bottom w:w="100" w:type="dxa"/>
              <w:right w:w="0" w:type="dxa"/>
            </w:tcMar>
          </w:tcPr>
          <w:p w14:paraId="65ADAC0C" w14:textId="77777777" w:rsidR="008100E1" w:rsidRDefault="00C52444">
            <w:pPr>
              <w:pStyle w:val="AnnexTableCellLeft"/>
              <w:spacing w:after="120"/>
              <w:rPr>
                <w:szCs w:val="18"/>
              </w:rPr>
            </w:pPr>
            <w:r>
              <w:rPr>
                <w:b/>
                <w:i/>
                <w:szCs w:val="18"/>
              </w:rPr>
              <w:t>Nema annað sé tekið fram skulu upplýsingar í liðunum sem taldir eru upp í 2. þætti veittar um útgefandann og, með hliðsjón af tegund viðskipt</w:t>
            </w:r>
            <w:r>
              <w:rPr>
                <w:b/>
                <w:i/>
                <w:szCs w:val="18"/>
              </w:rPr>
              <w:t>a, félagið sem tilboðið tekur til, félagið sem tekið er yfir eða félagið sem skipt er upp. Ef einhver að fyrrnefndum aðilum er samstæða og samstæðureikningsskilin hafa þegar verið birt skulu upplýsingarnar sem taldar eru upp í þessum þætti settar fram á sa</w:t>
            </w:r>
            <w:r>
              <w:rPr>
                <w:b/>
                <w:i/>
                <w:szCs w:val="18"/>
              </w:rPr>
              <w:t>mstæðugrunni.</w:t>
            </w:r>
          </w:p>
          <w:p w14:paraId="52AE2498" w14:textId="77777777" w:rsidR="008100E1" w:rsidRDefault="00C52444">
            <w:pPr>
              <w:pStyle w:val="AnnexTableCellLeft"/>
              <w:spacing w:after="120"/>
              <w:rPr>
                <w:szCs w:val="18"/>
              </w:rPr>
            </w:pPr>
            <w:r>
              <w:rPr>
                <w:b/>
                <w:i/>
                <w:szCs w:val="18"/>
              </w:rPr>
              <w:t>Að því er varðar hlutabréfatengd verðbréf, önnur en hlutabréf, skulu upplýsingar í liðunum sem taldir eru upp í 2. þætti einnig veittar um útgefanda undirliggjandi hlutabréfa, ef hann er annar en útgefandi hlutabréfatengdu verðbréfanna.</w:t>
            </w:r>
          </w:p>
          <w:p w14:paraId="7DBECC0F" w14:textId="77777777" w:rsidR="008100E1" w:rsidRDefault="00C52444">
            <w:pPr>
              <w:pStyle w:val="AnnexTableCellLeft"/>
              <w:rPr>
                <w:szCs w:val="18"/>
              </w:rPr>
            </w:pPr>
            <w:r>
              <w:rPr>
                <w:b/>
                <w:i/>
                <w:szCs w:val="18"/>
              </w:rPr>
              <w:t>Ef um</w:t>
            </w:r>
            <w:r>
              <w:rPr>
                <w:b/>
                <w:i/>
                <w:szCs w:val="18"/>
              </w:rPr>
              <w:t xml:space="preserve"> er að ræða yfirtöku með skiptiútboði, séu tilskildar upplýsingar um félagið sem tilboðið tekur til ekki tiltækar skal leggja fram yfirlýsingu þar um.</w:t>
            </w:r>
          </w:p>
        </w:tc>
      </w:tr>
      <w:tr w:rsidR="008100E1" w14:paraId="7667D91D" w14:textId="77777777">
        <w:trPr>
          <w:trHeight w:val="240"/>
        </w:trPr>
        <w:tc>
          <w:tcPr>
            <w:tcW w:w="766" w:type="pct"/>
            <w:tcMar>
              <w:top w:w="100" w:type="dxa"/>
              <w:left w:w="0" w:type="dxa"/>
              <w:bottom w:w="100" w:type="dxa"/>
              <w:right w:w="60" w:type="dxa"/>
            </w:tcMar>
          </w:tcPr>
          <w:p w14:paraId="7BDEC528" w14:textId="77777777" w:rsidR="008100E1" w:rsidRDefault="00C52444">
            <w:pPr>
              <w:pStyle w:val="AnnexTableCellLeft"/>
              <w:rPr>
                <w:szCs w:val="18"/>
              </w:rPr>
            </w:pPr>
            <w:r>
              <w:rPr>
                <w:b/>
                <w:szCs w:val="18"/>
              </w:rPr>
              <w:t>Liður 2.1</w:t>
            </w:r>
          </w:p>
        </w:tc>
        <w:tc>
          <w:tcPr>
            <w:tcW w:w="4234" w:type="pct"/>
            <w:tcMar>
              <w:top w:w="100" w:type="dxa"/>
              <w:left w:w="60" w:type="dxa"/>
              <w:bottom w:w="100" w:type="dxa"/>
              <w:right w:w="0" w:type="dxa"/>
            </w:tcMar>
          </w:tcPr>
          <w:p w14:paraId="2C3E8B04" w14:textId="77777777" w:rsidR="008100E1" w:rsidRDefault="00C52444">
            <w:pPr>
              <w:pStyle w:val="AnnexTableCellLeft"/>
              <w:rPr>
                <w:szCs w:val="18"/>
              </w:rPr>
            </w:pPr>
            <w:r>
              <w:rPr>
                <w:b/>
                <w:szCs w:val="18"/>
              </w:rPr>
              <w:t>Almennar upplýsingar</w:t>
            </w:r>
          </w:p>
        </w:tc>
      </w:tr>
      <w:tr w:rsidR="008100E1" w14:paraId="3F2D0AAD" w14:textId="77777777">
        <w:trPr>
          <w:trHeight w:val="240"/>
        </w:trPr>
        <w:tc>
          <w:tcPr>
            <w:tcW w:w="766" w:type="pct"/>
            <w:tcMar>
              <w:top w:w="100" w:type="dxa"/>
              <w:left w:w="0" w:type="dxa"/>
              <w:bottom w:w="100" w:type="dxa"/>
              <w:right w:w="60" w:type="dxa"/>
            </w:tcMar>
          </w:tcPr>
          <w:p w14:paraId="09012460" w14:textId="77777777" w:rsidR="008100E1" w:rsidRDefault="00C52444">
            <w:pPr>
              <w:pStyle w:val="AnnexTableCellLeft"/>
              <w:rPr>
                <w:szCs w:val="18"/>
              </w:rPr>
            </w:pPr>
            <w:r>
              <w:rPr>
                <w:b/>
                <w:szCs w:val="18"/>
              </w:rPr>
              <w:t>Liður 2.1.1</w:t>
            </w:r>
          </w:p>
        </w:tc>
        <w:tc>
          <w:tcPr>
            <w:tcW w:w="4234" w:type="pct"/>
            <w:tcMar>
              <w:top w:w="100" w:type="dxa"/>
              <w:left w:w="60" w:type="dxa"/>
              <w:bottom w:w="100" w:type="dxa"/>
              <w:right w:w="0" w:type="dxa"/>
            </w:tcMar>
          </w:tcPr>
          <w:p w14:paraId="0BDD2DA7" w14:textId="77777777" w:rsidR="008100E1" w:rsidRDefault="00C52444">
            <w:pPr>
              <w:pStyle w:val="AnnexTableCellLeft"/>
              <w:rPr>
                <w:szCs w:val="18"/>
              </w:rPr>
            </w:pPr>
            <w:r>
              <w:t>Lög- og viðskiptaheiti</w:t>
            </w:r>
          </w:p>
        </w:tc>
      </w:tr>
      <w:tr w:rsidR="008100E1" w14:paraId="4F1FD621" w14:textId="77777777">
        <w:trPr>
          <w:trHeight w:val="240"/>
        </w:trPr>
        <w:tc>
          <w:tcPr>
            <w:tcW w:w="766" w:type="pct"/>
            <w:tcMar>
              <w:top w:w="100" w:type="dxa"/>
              <w:left w:w="0" w:type="dxa"/>
              <w:bottom w:w="100" w:type="dxa"/>
              <w:right w:w="60" w:type="dxa"/>
            </w:tcMar>
          </w:tcPr>
          <w:p w14:paraId="3DFF72BA" w14:textId="77777777" w:rsidR="008100E1" w:rsidRDefault="00C52444">
            <w:pPr>
              <w:pStyle w:val="AnnexTableCellLeft"/>
              <w:rPr>
                <w:szCs w:val="18"/>
              </w:rPr>
            </w:pPr>
            <w:r>
              <w:rPr>
                <w:b/>
                <w:szCs w:val="18"/>
              </w:rPr>
              <w:t>Liður 2.1.2</w:t>
            </w:r>
          </w:p>
        </w:tc>
        <w:tc>
          <w:tcPr>
            <w:tcW w:w="4234" w:type="pct"/>
            <w:tcMar>
              <w:top w:w="100" w:type="dxa"/>
              <w:left w:w="60" w:type="dxa"/>
              <w:bottom w:w="100" w:type="dxa"/>
              <w:right w:w="0" w:type="dxa"/>
            </w:tcMar>
          </w:tcPr>
          <w:p w14:paraId="0BE12848" w14:textId="77777777" w:rsidR="008100E1" w:rsidRDefault="00C52444">
            <w:pPr>
              <w:pStyle w:val="AnnexNumberedText"/>
              <w:ind w:left="300" w:hanging="300"/>
              <w:rPr>
                <w:szCs w:val="18"/>
              </w:rPr>
            </w:pPr>
            <w:r>
              <w:t>a)</w:t>
            </w:r>
            <w:r>
              <w:tab/>
            </w:r>
            <w:r>
              <w:t>lögheimili og félagsform,</w:t>
            </w:r>
          </w:p>
          <w:p w14:paraId="57D31C69" w14:textId="77777777" w:rsidR="008100E1" w:rsidRDefault="00C52444">
            <w:pPr>
              <w:pStyle w:val="AnnexNumberedText"/>
              <w:ind w:left="300" w:hanging="300"/>
              <w:rPr>
                <w:szCs w:val="18"/>
              </w:rPr>
            </w:pPr>
            <w:r>
              <w:t>b)</w:t>
            </w:r>
            <w:r>
              <w:tab/>
              <w:t>auðkenni lögaðila,</w:t>
            </w:r>
          </w:p>
          <w:p w14:paraId="58F5C235" w14:textId="77777777" w:rsidR="008100E1" w:rsidRDefault="00C52444">
            <w:pPr>
              <w:pStyle w:val="AnnexNumberedText"/>
              <w:ind w:left="300" w:hanging="300"/>
              <w:rPr>
                <w:szCs w:val="18"/>
              </w:rPr>
            </w:pPr>
            <w:r>
              <w:t>c)</w:t>
            </w:r>
            <w:r>
              <w:tab/>
              <w:t>lög landsins þar sem félagið er skráð,</w:t>
            </w:r>
          </w:p>
          <w:p w14:paraId="672851D4" w14:textId="77777777" w:rsidR="008100E1" w:rsidRDefault="00C52444">
            <w:pPr>
              <w:pStyle w:val="AnnexNumberedText"/>
              <w:ind w:left="300" w:hanging="300"/>
              <w:rPr>
                <w:szCs w:val="18"/>
              </w:rPr>
            </w:pPr>
            <w:r>
              <w:t>d)</w:t>
            </w:r>
            <w:r>
              <w:tab/>
              <w:t>land þar sem félagið er skráð og heimilisfang og símanúmer skráðrar skrifstofu þess (eða aðalstarfstöðvar ef það er annað en á skráðri skrifstofu þess),</w:t>
            </w:r>
          </w:p>
          <w:p w14:paraId="10D82569" w14:textId="77777777" w:rsidR="008100E1" w:rsidRDefault="00C52444">
            <w:pPr>
              <w:pStyle w:val="AnnexNumberedText"/>
              <w:spacing w:after="0"/>
              <w:ind w:left="300" w:hanging="300"/>
              <w:rPr>
                <w:szCs w:val="18"/>
              </w:rPr>
            </w:pPr>
            <w:r>
              <w:t>e)</w:t>
            </w:r>
            <w:r>
              <w:tab/>
            </w:r>
            <w:r>
              <w:t>tengill á vefsetur með fyrirvara um að upplýsingarnar á vefsetrinu myndi ekki hluta undanþáguskjalsins nema þær upplýsingar séu felldar með tilvísun inn í undanþáguskjalið.</w:t>
            </w:r>
          </w:p>
        </w:tc>
      </w:tr>
      <w:tr w:rsidR="008100E1" w14:paraId="1299FA52" w14:textId="77777777">
        <w:trPr>
          <w:trHeight w:val="240"/>
        </w:trPr>
        <w:tc>
          <w:tcPr>
            <w:tcW w:w="766" w:type="pct"/>
            <w:tcMar>
              <w:top w:w="100" w:type="dxa"/>
              <w:left w:w="0" w:type="dxa"/>
              <w:bottom w:w="100" w:type="dxa"/>
              <w:right w:w="60" w:type="dxa"/>
            </w:tcMar>
          </w:tcPr>
          <w:p w14:paraId="1366978B" w14:textId="77777777" w:rsidR="008100E1" w:rsidRDefault="00C52444">
            <w:pPr>
              <w:pStyle w:val="AnnexTableCellLeft"/>
              <w:rPr>
                <w:szCs w:val="18"/>
              </w:rPr>
            </w:pPr>
            <w:r>
              <w:rPr>
                <w:b/>
                <w:szCs w:val="18"/>
              </w:rPr>
              <w:t>Liður 2.1.3</w:t>
            </w:r>
          </w:p>
        </w:tc>
        <w:tc>
          <w:tcPr>
            <w:tcW w:w="4234" w:type="pct"/>
            <w:tcMar>
              <w:top w:w="100" w:type="dxa"/>
              <w:left w:w="60" w:type="dxa"/>
              <w:bottom w:w="100" w:type="dxa"/>
              <w:right w:w="0" w:type="dxa"/>
            </w:tcMar>
          </w:tcPr>
          <w:p w14:paraId="61D06405" w14:textId="77777777" w:rsidR="008100E1" w:rsidRDefault="00C52444">
            <w:pPr>
              <w:pStyle w:val="AnnexTableCellLeft"/>
              <w:rPr>
                <w:szCs w:val="18"/>
              </w:rPr>
            </w:pPr>
            <w:r>
              <w:t>Heiti endurskoðenda fyrir tímabilið sem reikningsskilin ná yfir og aðild þeirra að fagfélagi.</w:t>
            </w:r>
          </w:p>
        </w:tc>
      </w:tr>
      <w:tr w:rsidR="008100E1" w14:paraId="63B31226" w14:textId="77777777">
        <w:trPr>
          <w:trHeight w:val="240"/>
        </w:trPr>
        <w:tc>
          <w:tcPr>
            <w:tcW w:w="766" w:type="pct"/>
            <w:tcMar>
              <w:top w:w="100" w:type="dxa"/>
              <w:left w:w="0" w:type="dxa"/>
              <w:bottom w:w="100" w:type="dxa"/>
              <w:right w:w="60" w:type="dxa"/>
            </w:tcMar>
          </w:tcPr>
          <w:p w14:paraId="3824E1D9" w14:textId="77777777" w:rsidR="008100E1" w:rsidRDefault="00C52444">
            <w:pPr>
              <w:pStyle w:val="AnnexTableCellLeft"/>
              <w:rPr>
                <w:szCs w:val="18"/>
              </w:rPr>
            </w:pPr>
            <w:r>
              <w:rPr>
                <w:b/>
                <w:szCs w:val="18"/>
              </w:rPr>
              <w:t>Liður 2.2</w:t>
            </w:r>
          </w:p>
        </w:tc>
        <w:tc>
          <w:tcPr>
            <w:tcW w:w="4234" w:type="pct"/>
            <w:tcMar>
              <w:top w:w="100" w:type="dxa"/>
              <w:left w:w="60" w:type="dxa"/>
              <w:bottom w:w="100" w:type="dxa"/>
              <w:right w:w="0" w:type="dxa"/>
            </w:tcMar>
          </w:tcPr>
          <w:p w14:paraId="79F9154D" w14:textId="77777777" w:rsidR="008100E1" w:rsidRDefault="00C52444">
            <w:pPr>
              <w:pStyle w:val="AnnexTableCellLeft"/>
              <w:rPr>
                <w:szCs w:val="18"/>
              </w:rPr>
            </w:pPr>
            <w:r>
              <w:rPr>
                <w:b/>
                <w:szCs w:val="18"/>
              </w:rPr>
              <w:t>Yfirlit um starfsemi</w:t>
            </w:r>
          </w:p>
        </w:tc>
      </w:tr>
      <w:tr w:rsidR="008100E1" w14:paraId="153501A6" w14:textId="77777777">
        <w:trPr>
          <w:trHeight w:val="240"/>
        </w:trPr>
        <w:tc>
          <w:tcPr>
            <w:tcW w:w="766" w:type="pct"/>
            <w:tcMar>
              <w:top w:w="100" w:type="dxa"/>
              <w:left w:w="0" w:type="dxa"/>
              <w:bottom w:w="100" w:type="dxa"/>
              <w:right w:w="60" w:type="dxa"/>
            </w:tcMar>
          </w:tcPr>
          <w:p w14:paraId="67CC1A4A" w14:textId="77777777" w:rsidR="008100E1" w:rsidRDefault="00C52444">
            <w:pPr>
              <w:pStyle w:val="AnnexTableCellLeft"/>
              <w:rPr>
                <w:szCs w:val="18"/>
              </w:rPr>
            </w:pPr>
            <w:r>
              <w:rPr>
                <w:b/>
                <w:szCs w:val="18"/>
              </w:rPr>
              <w:t>Liður 2.2.1</w:t>
            </w:r>
          </w:p>
        </w:tc>
        <w:tc>
          <w:tcPr>
            <w:tcW w:w="4234" w:type="pct"/>
            <w:tcMar>
              <w:top w:w="100" w:type="dxa"/>
              <w:left w:w="60" w:type="dxa"/>
              <w:bottom w:w="100" w:type="dxa"/>
              <w:right w:w="0" w:type="dxa"/>
            </w:tcMar>
          </w:tcPr>
          <w:p w14:paraId="1C196499" w14:textId="77777777" w:rsidR="008100E1" w:rsidRDefault="00C52444">
            <w:pPr>
              <w:pStyle w:val="AnnexTableCellLeft"/>
              <w:rPr>
                <w:szCs w:val="18"/>
              </w:rPr>
            </w:pPr>
            <w:r>
              <w:t>Meginstarfsemi, þ.m.t. helstu flokkar seldra afurða og/eða veittrar þjónustu á næstliðnu fjárhagsári.</w:t>
            </w:r>
          </w:p>
        </w:tc>
      </w:tr>
      <w:tr w:rsidR="008100E1" w14:paraId="791B5EF4" w14:textId="77777777">
        <w:trPr>
          <w:trHeight w:val="240"/>
        </w:trPr>
        <w:tc>
          <w:tcPr>
            <w:tcW w:w="766" w:type="pct"/>
            <w:tcMar>
              <w:top w:w="100" w:type="dxa"/>
              <w:left w:w="0" w:type="dxa"/>
              <w:bottom w:w="100" w:type="dxa"/>
              <w:right w:w="60" w:type="dxa"/>
            </w:tcMar>
          </w:tcPr>
          <w:p w14:paraId="2D8CFC65" w14:textId="77777777" w:rsidR="008100E1" w:rsidRDefault="00C52444">
            <w:pPr>
              <w:pStyle w:val="AnnexTableCellLeft"/>
              <w:rPr>
                <w:szCs w:val="18"/>
              </w:rPr>
            </w:pPr>
            <w:r>
              <w:rPr>
                <w:b/>
                <w:szCs w:val="18"/>
              </w:rPr>
              <w:t>Liður 2.2.2</w:t>
            </w:r>
          </w:p>
        </w:tc>
        <w:tc>
          <w:tcPr>
            <w:tcW w:w="4234" w:type="pct"/>
            <w:tcMar>
              <w:top w:w="100" w:type="dxa"/>
              <w:left w:w="60" w:type="dxa"/>
              <w:bottom w:w="100" w:type="dxa"/>
              <w:right w:w="0" w:type="dxa"/>
            </w:tcMar>
          </w:tcPr>
          <w:p w14:paraId="14BB8649" w14:textId="77777777" w:rsidR="008100E1" w:rsidRDefault="00C52444">
            <w:pPr>
              <w:pStyle w:val="AnnexTableCellLeft"/>
              <w:rPr>
                <w:szCs w:val="18"/>
              </w:rPr>
            </w:pPr>
            <w:r>
              <w:t>Al</w:t>
            </w:r>
            <w:r>
              <w:t>lar mikilvægar breytingar sem hafa haft áhrif á rekstur og meginstarfsemi frá lokum tímabilsins sem nýjustu birtu endurskoðuðu reikningsskil ná yfir.</w:t>
            </w:r>
          </w:p>
        </w:tc>
      </w:tr>
      <w:tr w:rsidR="008100E1" w14:paraId="0DF7CD9D" w14:textId="77777777">
        <w:trPr>
          <w:trHeight w:val="240"/>
        </w:trPr>
        <w:tc>
          <w:tcPr>
            <w:tcW w:w="766" w:type="pct"/>
            <w:tcMar>
              <w:top w:w="100" w:type="dxa"/>
              <w:left w:w="0" w:type="dxa"/>
              <w:bottom w:w="100" w:type="dxa"/>
              <w:right w:w="60" w:type="dxa"/>
            </w:tcMar>
          </w:tcPr>
          <w:p w14:paraId="2A16BEF0" w14:textId="77777777" w:rsidR="008100E1" w:rsidRDefault="00C52444">
            <w:pPr>
              <w:pStyle w:val="AnnexTableCellLeft"/>
              <w:rPr>
                <w:szCs w:val="18"/>
              </w:rPr>
            </w:pPr>
            <w:r>
              <w:rPr>
                <w:b/>
                <w:szCs w:val="18"/>
              </w:rPr>
              <w:t>Liður 2.2.3</w:t>
            </w:r>
          </w:p>
        </w:tc>
        <w:tc>
          <w:tcPr>
            <w:tcW w:w="4234" w:type="pct"/>
            <w:tcMar>
              <w:top w:w="100" w:type="dxa"/>
              <w:left w:w="60" w:type="dxa"/>
              <w:bottom w:w="100" w:type="dxa"/>
              <w:right w:w="0" w:type="dxa"/>
            </w:tcMar>
          </w:tcPr>
          <w:p w14:paraId="45A7C040" w14:textId="77777777" w:rsidR="008100E1" w:rsidRDefault="00C52444">
            <w:pPr>
              <w:pStyle w:val="AnnexTableCellLeft"/>
              <w:spacing w:after="120"/>
              <w:rPr>
                <w:szCs w:val="18"/>
              </w:rPr>
            </w:pPr>
            <w:r>
              <w:t>Stutt lýsing á helstu mörkuðum, þ.m.t. sundurliðun á heildartekjum eftir starfsþáttum og land</w:t>
            </w:r>
            <w:r>
              <w:t>fræðilegum mörkuðum fyrir næstliðið fjárhagsár.</w:t>
            </w:r>
          </w:p>
          <w:p w14:paraId="4F872087" w14:textId="77777777" w:rsidR="008100E1" w:rsidRDefault="00C52444">
            <w:pPr>
              <w:pStyle w:val="AnnexTableCellLeft"/>
              <w:rPr>
                <w:szCs w:val="18"/>
              </w:rPr>
            </w:pPr>
            <w:r>
              <w:t>Ef um er að ræða uppskipti skal lýsingin sem um getur í fyrstu málsgrein vísa til helstu markaða þar sem mikilvægustu eignir og skuldir félagsins sem skipt er upp eru staðsettar.</w:t>
            </w:r>
          </w:p>
        </w:tc>
      </w:tr>
      <w:tr w:rsidR="008100E1" w14:paraId="79EE68D7" w14:textId="77777777">
        <w:trPr>
          <w:trHeight w:val="240"/>
        </w:trPr>
        <w:tc>
          <w:tcPr>
            <w:tcW w:w="766" w:type="pct"/>
            <w:tcMar>
              <w:top w:w="100" w:type="dxa"/>
              <w:left w:w="0" w:type="dxa"/>
              <w:bottom w:w="100" w:type="dxa"/>
              <w:right w:w="60" w:type="dxa"/>
            </w:tcMar>
          </w:tcPr>
          <w:p w14:paraId="7697A918" w14:textId="77777777" w:rsidR="008100E1" w:rsidRDefault="00C52444">
            <w:pPr>
              <w:pStyle w:val="AnnexTableCellLeft"/>
              <w:rPr>
                <w:szCs w:val="18"/>
              </w:rPr>
            </w:pPr>
            <w:r>
              <w:rPr>
                <w:b/>
                <w:szCs w:val="18"/>
              </w:rPr>
              <w:t>Liður 2.3</w:t>
            </w:r>
          </w:p>
        </w:tc>
        <w:tc>
          <w:tcPr>
            <w:tcW w:w="4234" w:type="pct"/>
            <w:tcMar>
              <w:top w:w="100" w:type="dxa"/>
              <w:left w:w="60" w:type="dxa"/>
              <w:bottom w:w="100" w:type="dxa"/>
              <w:right w:w="0" w:type="dxa"/>
            </w:tcMar>
          </w:tcPr>
          <w:p w14:paraId="333EEC3D" w14:textId="77777777" w:rsidR="008100E1" w:rsidRDefault="00C52444">
            <w:pPr>
              <w:pStyle w:val="AnnexTableCellLeft"/>
              <w:spacing w:after="120"/>
              <w:rPr>
                <w:szCs w:val="18"/>
              </w:rPr>
            </w:pPr>
            <w:r>
              <w:rPr>
                <w:b/>
                <w:szCs w:val="18"/>
              </w:rPr>
              <w:t>Fjárfestingar</w:t>
            </w:r>
          </w:p>
          <w:p w14:paraId="0FF9B701" w14:textId="77777777" w:rsidR="008100E1" w:rsidRDefault="00C52444">
            <w:pPr>
              <w:pStyle w:val="AnnexTableCellLeft"/>
              <w:rPr>
                <w:szCs w:val="18"/>
              </w:rPr>
            </w:pPr>
            <w:r>
              <w:t>Lýsing á verulegum fjárfestingum sem ráðist hefur ve</w:t>
            </w:r>
            <w:r>
              <w:t>rið í frá dagsetningu síðustu birtu reikningsskila og sem eru yfirstandandi og/eða þegar hefur verið gengist undir fastar skuldbindingar vegna og áætluðum fjármögnunarleiðum.</w:t>
            </w:r>
          </w:p>
        </w:tc>
      </w:tr>
      <w:tr w:rsidR="008100E1" w14:paraId="5BEC61CF" w14:textId="77777777">
        <w:trPr>
          <w:trHeight w:val="240"/>
        </w:trPr>
        <w:tc>
          <w:tcPr>
            <w:tcW w:w="766" w:type="pct"/>
            <w:tcMar>
              <w:top w:w="100" w:type="dxa"/>
              <w:left w:w="0" w:type="dxa"/>
              <w:bottom w:w="100" w:type="dxa"/>
              <w:right w:w="60" w:type="dxa"/>
            </w:tcMar>
          </w:tcPr>
          <w:p w14:paraId="4A390B3F" w14:textId="77777777" w:rsidR="008100E1" w:rsidRDefault="00C52444">
            <w:pPr>
              <w:pStyle w:val="AnnexTableCellLeft"/>
              <w:rPr>
                <w:szCs w:val="18"/>
              </w:rPr>
            </w:pPr>
            <w:r>
              <w:rPr>
                <w:b/>
                <w:szCs w:val="18"/>
              </w:rPr>
              <w:t>Liður 2.4</w:t>
            </w:r>
          </w:p>
        </w:tc>
        <w:tc>
          <w:tcPr>
            <w:tcW w:w="4234" w:type="pct"/>
            <w:tcMar>
              <w:top w:w="100" w:type="dxa"/>
              <w:left w:w="60" w:type="dxa"/>
              <w:bottom w:w="100" w:type="dxa"/>
              <w:right w:w="0" w:type="dxa"/>
            </w:tcMar>
          </w:tcPr>
          <w:p w14:paraId="09715591" w14:textId="77777777" w:rsidR="008100E1" w:rsidRDefault="00C52444">
            <w:pPr>
              <w:pStyle w:val="AnnexTableCellLeft"/>
              <w:rPr>
                <w:szCs w:val="18"/>
              </w:rPr>
            </w:pPr>
            <w:r>
              <w:rPr>
                <w:b/>
                <w:szCs w:val="18"/>
              </w:rPr>
              <w:t>Stjórnarhættir félags</w:t>
            </w:r>
          </w:p>
        </w:tc>
      </w:tr>
      <w:tr w:rsidR="008100E1" w14:paraId="060041DB" w14:textId="77777777">
        <w:trPr>
          <w:trHeight w:val="240"/>
        </w:trPr>
        <w:tc>
          <w:tcPr>
            <w:tcW w:w="766" w:type="pct"/>
            <w:tcMar>
              <w:top w:w="100" w:type="dxa"/>
              <w:left w:w="0" w:type="dxa"/>
              <w:bottom w:w="100" w:type="dxa"/>
              <w:right w:w="60" w:type="dxa"/>
            </w:tcMar>
          </w:tcPr>
          <w:p w14:paraId="16711CA4" w14:textId="77777777" w:rsidR="008100E1" w:rsidRDefault="00C52444">
            <w:pPr>
              <w:pStyle w:val="AnnexTableCellLeft"/>
              <w:rPr>
                <w:szCs w:val="18"/>
              </w:rPr>
            </w:pPr>
            <w:r>
              <w:rPr>
                <w:b/>
                <w:szCs w:val="18"/>
              </w:rPr>
              <w:t>Liður 2.4.1</w:t>
            </w:r>
          </w:p>
        </w:tc>
        <w:tc>
          <w:tcPr>
            <w:tcW w:w="4234" w:type="pct"/>
            <w:tcMar>
              <w:top w:w="100" w:type="dxa"/>
              <w:left w:w="60" w:type="dxa"/>
              <w:bottom w:w="100" w:type="dxa"/>
              <w:right w:w="0" w:type="dxa"/>
            </w:tcMar>
          </w:tcPr>
          <w:p w14:paraId="0C647C46" w14:textId="77777777" w:rsidR="008100E1" w:rsidRDefault="00C52444">
            <w:pPr>
              <w:pStyle w:val="AnnexTableCellLeft"/>
              <w:rPr>
                <w:szCs w:val="18"/>
              </w:rPr>
            </w:pPr>
            <w:r>
              <w:t>Heiti, heimilisfang starfsstöðvar o</w:t>
            </w:r>
            <w:r>
              <w:t>g hlutverk hjá útgefanda eða, með hliðsjón af tegund viðskipta, félaginu sem tilboðið tekur til, félaginu sem er yfirtekið eða félaginu sem skipt er upp, aðila að stjórn, framkvæmdastjórn eða eftirlitsstjórn og, ef um er að ræða samlagsfélag með hlutafé, s</w:t>
            </w:r>
            <w:r>
              <w:t>ameigenda með ótakmarkaða ábyrgð.</w:t>
            </w:r>
          </w:p>
        </w:tc>
      </w:tr>
      <w:tr w:rsidR="008100E1" w14:paraId="10A85984" w14:textId="77777777">
        <w:trPr>
          <w:trHeight w:val="240"/>
        </w:trPr>
        <w:tc>
          <w:tcPr>
            <w:tcW w:w="766" w:type="pct"/>
            <w:tcMar>
              <w:top w:w="100" w:type="dxa"/>
              <w:left w:w="0" w:type="dxa"/>
              <w:bottom w:w="100" w:type="dxa"/>
              <w:right w:w="60" w:type="dxa"/>
            </w:tcMar>
          </w:tcPr>
          <w:p w14:paraId="52EB196B" w14:textId="77777777" w:rsidR="008100E1" w:rsidRDefault="00C52444">
            <w:pPr>
              <w:pStyle w:val="AnnexTableCellLeft"/>
              <w:rPr>
                <w:szCs w:val="18"/>
              </w:rPr>
            </w:pPr>
            <w:r>
              <w:rPr>
                <w:b/>
                <w:szCs w:val="18"/>
              </w:rPr>
              <w:t>Liður 2.4.2</w:t>
            </w:r>
          </w:p>
        </w:tc>
        <w:tc>
          <w:tcPr>
            <w:tcW w:w="4234" w:type="pct"/>
            <w:tcMar>
              <w:top w:w="100" w:type="dxa"/>
              <w:left w:w="60" w:type="dxa"/>
              <w:bottom w:w="100" w:type="dxa"/>
              <w:right w:w="0" w:type="dxa"/>
            </w:tcMar>
          </w:tcPr>
          <w:p w14:paraId="203AF3D1" w14:textId="77777777" w:rsidR="008100E1" w:rsidRDefault="00C52444">
            <w:pPr>
              <w:pStyle w:val="AnnexTableCellLeft"/>
              <w:rPr>
                <w:szCs w:val="18"/>
              </w:rPr>
            </w:pPr>
            <w:r>
              <w:t>Deili á stærstu hluthöfum</w:t>
            </w:r>
          </w:p>
        </w:tc>
      </w:tr>
      <w:tr w:rsidR="008100E1" w14:paraId="33370519" w14:textId="77777777">
        <w:trPr>
          <w:trHeight w:val="240"/>
        </w:trPr>
        <w:tc>
          <w:tcPr>
            <w:tcW w:w="766" w:type="pct"/>
            <w:tcMar>
              <w:top w:w="100" w:type="dxa"/>
              <w:left w:w="0" w:type="dxa"/>
              <w:bottom w:w="100" w:type="dxa"/>
              <w:right w:w="60" w:type="dxa"/>
            </w:tcMar>
          </w:tcPr>
          <w:p w14:paraId="257EE676" w14:textId="77777777" w:rsidR="008100E1" w:rsidRDefault="00C52444">
            <w:pPr>
              <w:pStyle w:val="AnnexTableCellLeft"/>
              <w:rPr>
                <w:szCs w:val="18"/>
              </w:rPr>
            </w:pPr>
            <w:r>
              <w:rPr>
                <w:b/>
                <w:szCs w:val="18"/>
              </w:rPr>
              <w:t>Liður 2.4.3</w:t>
            </w:r>
          </w:p>
        </w:tc>
        <w:tc>
          <w:tcPr>
            <w:tcW w:w="4234" w:type="pct"/>
            <w:tcMar>
              <w:top w:w="100" w:type="dxa"/>
              <w:left w:w="60" w:type="dxa"/>
              <w:bottom w:w="100" w:type="dxa"/>
              <w:right w:w="0" w:type="dxa"/>
            </w:tcMar>
          </w:tcPr>
          <w:p w14:paraId="105BF79D" w14:textId="77777777" w:rsidR="008100E1" w:rsidRDefault="00C52444">
            <w:pPr>
              <w:pStyle w:val="AnnexTableCellLeft"/>
              <w:rPr>
                <w:szCs w:val="18"/>
              </w:rPr>
            </w:pPr>
            <w:r>
              <w:t>Fjöldi starfsmanna</w:t>
            </w:r>
          </w:p>
        </w:tc>
      </w:tr>
      <w:tr w:rsidR="008100E1" w14:paraId="73088955" w14:textId="77777777">
        <w:trPr>
          <w:trHeight w:val="240"/>
        </w:trPr>
        <w:tc>
          <w:tcPr>
            <w:tcW w:w="766" w:type="pct"/>
            <w:tcMar>
              <w:top w:w="100" w:type="dxa"/>
              <w:left w:w="0" w:type="dxa"/>
              <w:bottom w:w="100" w:type="dxa"/>
              <w:right w:w="60" w:type="dxa"/>
            </w:tcMar>
          </w:tcPr>
          <w:p w14:paraId="60CB595C" w14:textId="77777777" w:rsidR="008100E1" w:rsidRDefault="00C52444">
            <w:pPr>
              <w:pStyle w:val="AnnexTableCellLeft"/>
              <w:pageBreakBefore/>
              <w:rPr>
                <w:szCs w:val="18"/>
              </w:rPr>
            </w:pPr>
            <w:r>
              <w:rPr>
                <w:b/>
                <w:szCs w:val="18"/>
              </w:rPr>
              <w:lastRenderedPageBreak/>
              <w:t>Liður 2.5</w:t>
            </w:r>
          </w:p>
        </w:tc>
        <w:tc>
          <w:tcPr>
            <w:tcW w:w="4234" w:type="pct"/>
            <w:tcMar>
              <w:top w:w="100" w:type="dxa"/>
              <w:left w:w="60" w:type="dxa"/>
              <w:bottom w:w="100" w:type="dxa"/>
              <w:right w:w="0" w:type="dxa"/>
            </w:tcMar>
          </w:tcPr>
          <w:p w14:paraId="743010FC" w14:textId="77777777" w:rsidR="008100E1" w:rsidRDefault="00C52444">
            <w:pPr>
              <w:pStyle w:val="AnnexTableCellLeft"/>
              <w:rPr>
                <w:szCs w:val="18"/>
              </w:rPr>
            </w:pPr>
            <w:r>
              <w:rPr>
                <w:b/>
                <w:szCs w:val="18"/>
              </w:rPr>
              <w:t>Fjárhagsupplýsingar</w:t>
            </w:r>
          </w:p>
        </w:tc>
      </w:tr>
      <w:tr w:rsidR="008100E1" w14:paraId="161FEAC1" w14:textId="77777777">
        <w:trPr>
          <w:trHeight w:val="240"/>
        </w:trPr>
        <w:tc>
          <w:tcPr>
            <w:tcW w:w="766" w:type="pct"/>
            <w:tcMar>
              <w:top w:w="100" w:type="dxa"/>
              <w:left w:w="0" w:type="dxa"/>
              <w:bottom w:w="100" w:type="dxa"/>
              <w:right w:w="60" w:type="dxa"/>
            </w:tcMar>
          </w:tcPr>
          <w:p w14:paraId="29897066" w14:textId="77777777" w:rsidR="008100E1" w:rsidRDefault="00C52444">
            <w:pPr>
              <w:pStyle w:val="AnnexTableCellLeft"/>
              <w:rPr>
                <w:szCs w:val="18"/>
              </w:rPr>
            </w:pPr>
            <w:r>
              <w:rPr>
                <w:b/>
                <w:szCs w:val="18"/>
              </w:rPr>
              <w:t>Liður 2.5.1</w:t>
            </w:r>
          </w:p>
        </w:tc>
        <w:tc>
          <w:tcPr>
            <w:tcW w:w="4234" w:type="pct"/>
            <w:tcMar>
              <w:top w:w="100" w:type="dxa"/>
              <w:left w:w="60" w:type="dxa"/>
              <w:bottom w:w="100" w:type="dxa"/>
              <w:right w:w="0" w:type="dxa"/>
            </w:tcMar>
          </w:tcPr>
          <w:p w14:paraId="18A9CFE6" w14:textId="77777777" w:rsidR="008100E1" w:rsidRDefault="00C52444">
            <w:pPr>
              <w:pStyle w:val="AnnexTableCellLeft"/>
              <w:spacing w:after="120"/>
              <w:rPr>
                <w:szCs w:val="18"/>
              </w:rPr>
            </w:pPr>
            <w:r>
              <w:t>Reikningsskil</w:t>
            </w:r>
          </w:p>
          <w:p w14:paraId="45997209" w14:textId="77777777" w:rsidR="008100E1" w:rsidRDefault="00C52444">
            <w:pPr>
              <w:pStyle w:val="AnnexTableCellLeft"/>
              <w:spacing w:after="120"/>
              <w:rPr>
                <w:szCs w:val="18"/>
              </w:rPr>
            </w:pPr>
            <w:r>
              <w:t>Reikningsskil (árleg og hálfsárs) sem birt voru á síðustu 12 mánuðum fyrir birtinguna á undanþáguskjalinu.</w:t>
            </w:r>
          </w:p>
          <w:p w14:paraId="2AB8A80D" w14:textId="77777777" w:rsidR="008100E1" w:rsidRDefault="00C52444">
            <w:pPr>
              <w:pStyle w:val="AnnexTableCellLeft"/>
              <w:spacing w:after="120"/>
              <w:rPr>
                <w:szCs w:val="18"/>
              </w:rPr>
            </w:pPr>
            <w:r>
              <w:t>Hafi bæði árleg reikningsskil og hálfsársreikningsskil verið birt er aðeins gerð krafa um árlegu skilin ef þau eru dagsett síðar en hálfsársreiknings</w:t>
            </w:r>
            <w:r>
              <w:t>skilin.</w:t>
            </w:r>
          </w:p>
          <w:p w14:paraId="0913B9F7" w14:textId="77777777" w:rsidR="008100E1" w:rsidRDefault="00C52444">
            <w:pPr>
              <w:pStyle w:val="AnnexTableCellLeft"/>
              <w:spacing w:after="120"/>
              <w:rPr>
                <w:szCs w:val="18"/>
              </w:rPr>
            </w:pPr>
            <w:r>
              <w:t>Reikningsskilin skulu innihalda áritun endurskoðanda.</w:t>
            </w:r>
          </w:p>
          <w:p w14:paraId="54D1F7E5" w14:textId="77777777" w:rsidR="008100E1" w:rsidRDefault="00C52444">
            <w:pPr>
              <w:pStyle w:val="AnnexTableCellLeft"/>
              <w:rPr>
                <w:szCs w:val="18"/>
              </w:rPr>
            </w:pPr>
            <w:r>
              <w:t xml:space="preserve">Ef </w:t>
            </w:r>
            <w:proofErr w:type="spellStart"/>
            <w:r>
              <w:t>löggiltir</w:t>
            </w:r>
            <w:proofErr w:type="spellEnd"/>
            <w:r>
              <w:t xml:space="preserve"> endurskoðendur hafa synjað um áritun reikningsskilanna eða ef slík áritun þeirra er með fyrirvara, breyttu áliti, án álits eða með ábendingum skal tilgreina ástæður þeirra og birta </w:t>
            </w:r>
            <w:r>
              <w:t>slíka fyrirvara, breytingar, áritanir án álits eða ábendingar í heild sinni.</w:t>
            </w:r>
          </w:p>
        </w:tc>
      </w:tr>
      <w:tr w:rsidR="008100E1" w14:paraId="38741CF1" w14:textId="77777777">
        <w:trPr>
          <w:trHeight w:val="240"/>
        </w:trPr>
        <w:tc>
          <w:tcPr>
            <w:tcW w:w="766" w:type="pct"/>
            <w:tcMar>
              <w:top w:w="100" w:type="dxa"/>
              <w:left w:w="0" w:type="dxa"/>
              <w:bottom w:w="100" w:type="dxa"/>
              <w:right w:w="60" w:type="dxa"/>
            </w:tcMar>
          </w:tcPr>
          <w:p w14:paraId="617DAA6E" w14:textId="77777777" w:rsidR="008100E1" w:rsidRDefault="00C52444">
            <w:pPr>
              <w:pStyle w:val="AnnexTableCellLeft"/>
              <w:spacing w:after="120"/>
              <w:rPr>
                <w:szCs w:val="18"/>
              </w:rPr>
            </w:pPr>
            <w:r>
              <w:rPr>
                <w:b/>
                <w:szCs w:val="18"/>
              </w:rPr>
              <w:t>Liður 2.5.1.a</w:t>
            </w:r>
          </w:p>
          <w:p w14:paraId="2D002045" w14:textId="77777777" w:rsidR="008100E1" w:rsidRDefault="00C52444">
            <w:pPr>
              <w:pStyle w:val="AnnexTableCellLeft"/>
              <w:rPr>
                <w:szCs w:val="18"/>
              </w:rPr>
            </w:pPr>
            <w:r>
              <w:t xml:space="preserve">(Eingöngu </w:t>
            </w:r>
            <w:proofErr w:type="spellStart"/>
            <w:r>
              <w:t>samrunar</w:t>
            </w:r>
            <w:proofErr w:type="spellEnd"/>
            <w:r>
              <w:t>)</w:t>
            </w:r>
          </w:p>
        </w:tc>
        <w:tc>
          <w:tcPr>
            <w:tcW w:w="4234" w:type="pct"/>
            <w:tcMar>
              <w:top w:w="100" w:type="dxa"/>
              <w:left w:w="60" w:type="dxa"/>
              <w:bottom w:w="100" w:type="dxa"/>
              <w:right w:w="0" w:type="dxa"/>
            </w:tcMar>
          </w:tcPr>
          <w:p w14:paraId="78E2B687" w14:textId="77777777" w:rsidR="008100E1" w:rsidRDefault="00C52444">
            <w:pPr>
              <w:pStyle w:val="AnnexTableCellLeft"/>
              <w:spacing w:after="120"/>
              <w:rPr>
                <w:szCs w:val="18"/>
              </w:rPr>
            </w:pPr>
            <w:r>
              <w:t>Þrátt fyrir lið 2.5.1, ef félagið sem tekið er yfir er ekki þegar með hlutabréfatengd verðbréf sem tekin hafa verið til viðskipta á skipulegum m</w:t>
            </w:r>
            <w:r>
              <w:t>arkaði skal félagið leggja fram endurskoðuð reikningsskil (árs eða hálfsárs) sem samþykkt voru á 12 mánaða tímabili fyrir birtingu undanþáguskjalsins.</w:t>
            </w:r>
          </w:p>
          <w:p w14:paraId="2C81537A" w14:textId="77777777" w:rsidR="008100E1" w:rsidRDefault="00C52444">
            <w:pPr>
              <w:pStyle w:val="AnnexTableCellLeft"/>
              <w:spacing w:after="120"/>
              <w:rPr>
                <w:szCs w:val="18"/>
              </w:rPr>
            </w:pPr>
            <w:r>
              <w:t>Hafi bæði árleg reikningsskil og hálfsársreikningsskil verið birt er aðeins gerð krafa um árlegu skilin e</w:t>
            </w:r>
            <w:r>
              <w:t>f þau eru dagsett síðar en hálfsársreikningsskilin.</w:t>
            </w:r>
          </w:p>
          <w:p w14:paraId="786C41AA" w14:textId="77777777" w:rsidR="008100E1" w:rsidRDefault="00C52444">
            <w:pPr>
              <w:pStyle w:val="AnnexTableCellLeft"/>
              <w:spacing w:after="120"/>
              <w:rPr>
                <w:szCs w:val="18"/>
              </w:rPr>
            </w:pPr>
            <w:r>
              <w:t>Reikningsskilin skulu innihalda áritun endurskoðanda.</w:t>
            </w:r>
          </w:p>
          <w:p w14:paraId="6C20087F" w14:textId="77777777" w:rsidR="008100E1" w:rsidRDefault="00C52444">
            <w:pPr>
              <w:pStyle w:val="AnnexTableCellLeft"/>
              <w:spacing w:after="120"/>
              <w:rPr>
                <w:szCs w:val="18"/>
              </w:rPr>
            </w:pPr>
            <w:r>
              <w:t xml:space="preserve">Ef </w:t>
            </w:r>
            <w:proofErr w:type="spellStart"/>
            <w:r>
              <w:t>löggiltir</w:t>
            </w:r>
            <w:proofErr w:type="spellEnd"/>
            <w:r>
              <w:t xml:space="preserve"> endurskoðendur hafa synjað um áritun reikningsskilanna eða ef slík áritun þeirra er með fyrirvara, breyttu áliti, án álits eða með ábendi</w:t>
            </w:r>
            <w:r>
              <w:t>ngum skal tilgreina ástæður þeirra og birta slíka fyrirvara, breytingar, áritanir án álits eða ábendingar í heild sinni.</w:t>
            </w:r>
          </w:p>
          <w:p w14:paraId="23F2E627" w14:textId="77777777" w:rsidR="008100E1" w:rsidRDefault="00C52444">
            <w:pPr>
              <w:pStyle w:val="AnnexTableCellLeft"/>
              <w:rPr>
                <w:szCs w:val="18"/>
              </w:rPr>
            </w:pPr>
            <w:r>
              <w:t xml:space="preserve">Ef félagið sem er yfirtekið hefur ekki endurskoðuð reikningsskil skal það leggja fram reikningsskil sem gerð voru á síðustu 12 mánuðum </w:t>
            </w:r>
            <w:r>
              <w:t>og yfirlýsingu þar sem tekið er fram að reikningsskilin hafi ekki verið yfirfarin eða endurskoðuð.</w:t>
            </w:r>
          </w:p>
        </w:tc>
      </w:tr>
      <w:tr w:rsidR="008100E1" w14:paraId="7591EB8E" w14:textId="77777777">
        <w:trPr>
          <w:trHeight w:val="240"/>
        </w:trPr>
        <w:tc>
          <w:tcPr>
            <w:tcW w:w="766" w:type="pct"/>
            <w:tcMar>
              <w:top w:w="100" w:type="dxa"/>
              <w:left w:w="0" w:type="dxa"/>
              <w:bottom w:w="100" w:type="dxa"/>
              <w:right w:w="60" w:type="dxa"/>
            </w:tcMar>
          </w:tcPr>
          <w:p w14:paraId="59871AEC" w14:textId="77777777" w:rsidR="008100E1" w:rsidRDefault="00C52444">
            <w:pPr>
              <w:pStyle w:val="AnnexTableCellLeft"/>
              <w:rPr>
                <w:szCs w:val="18"/>
              </w:rPr>
            </w:pPr>
            <w:r>
              <w:rPr>
                <w:b/>
                <w:szCs w:val="18"/>
              </w:rPr>
              <w:t>Liður 2.5.2</w:t>
            </w:r>
          </w:p>
        </w:tc>
        <w:tc>
          <w:tcPr>
            <w:tcW w:w="4234" w:type="pct"/>
            <w:tcMar>
              <w:top w:w="100" w:type="dxa"/>
              <w:left w:w="60" w:type="dxa"/>
              <w:bottom w:w="100" w:type="dxa"/>
              <w:right w:w="0" w:type="dxa"/>
            </w:tcMar>
          </w:tcPr>
          <w:p w14:paraId="2F20B39D" w14:textId="77777777" w:rsidR="008100E1" w:rsidRDefault="00C52444">
            <w:pPr>
              <w:pStyle w:val="AnnexTableCellLeft"/>
              <w:spacing w:after="120"/>
              <w:rPr>
                <w:szCs w:val="18"/>
              </w:rPr>
            </w:pPr>
            <w:proofErr w:type="spellStart"/>
            <w:r>
              <w:t>Reikningsskilastaðlar</w:t>
            </w:r>
            <w:proofErr w:type="spellEnd"/>
          </w:p>
          <w:p w14:paraId="14976CBF" w14:textId="77777777" w:rsidR="008100E1" w:rsidRDefault="00C52444">
            <w:pPr>
              <w:pStyle w:val="AnnexTableCellLeft"/>
              <w:spacing w:after="120"/>
              <w:rPr>
                <w:szCs w:val="18"/>
              </w:rPr>
            </w:pPr>
            <w:r>
              <w:t xml:space="preserve">Fjárhagsupplýsingarnar skulu útbúnar í samræmi við alþjóðlegu </w:t>
            </w:r>
            <w:proofErr w:type="spellStart"/>
            <w:r>
              <w:t>reikningsskilastaðlana</w:t>
            </w:r>
            <w:proofErr w:type="spellEnd"/>
            <w:r>
              <w:t xml:space="preserve"> sem viðurkenndir eru í Sambandinu í samræmi við reglugerð Evrópuþingsins og ráðsins (EB) nr. 1606/2002 (</w:t>
            </w:r>
            <w:r>
              <w:rPr>
                <w:szCs w:val="18"/>
              </w:rPr>
              <w:fldChar w:fldCharType="begin"/>
            </w:r>
            <w:r>
              <w:rPr>
                <w:szCs w:val="18"/>
              </w:rPr>
              <w:instrText xml:space="preserve"> REF NOTE_6 \h  \* MERGEFORMAT </w:instrText>
            </w:r>
            <w:r>
              <w:rPr>
                <w:szCs w:val="18"/>
              </w:rPr>
            </w:r>
            <w:r>
              <w:rPr>
                <w:szCs w:val="18"/>
              </w:rPr>
              <w:fldChar w:fldCharType="separate"/>
            </w:r>
            <w:r>
              <w:rPr>
                <w:szCs w:val="18"/>
                <w:vertAlign w:val="superscript"/>
              </w:rPr>
              <w:t>1</w:t>
            </w:r>
            <w:r>
              <w:rPr>
                <w:szCs w:val="18"/>
              </w:rPr>
              <w:fldChar w:fldCharType="end"/>
            </w:r>
            <w:r>
              <w:t>).</w:t>
            </w:r>
          </w:p>
          <w:p w14:paraId="1033A5A5" w14:textId="77777777" w:rsidR="008100E1" w:rsidRDefault="00C52444">
            <w:pPr>
              <w:pStyle w:val="AnnexTableCellLeft"/>
              <w:spacing w:after="120"/>
              <w:rPr>
                <w:szCs w:val="18"/>
              </w:rPr>
            </w:pPr>
            <w:r>
              <w:t>Ef reglugerð (EB) nr. 1606/2002 á ekki við skulu fjárhagsupplýsingarnar útbúnar í samræmi við:</w:t>
            </w:r>
          </w:p>
          <w:p w14:paraId="28665EA5" w14:textId="77777777" w:rsidR="008100E1" w:rsidRDefault="00C52444">
            <w:pPr>
              <w:pStyle w:val="AnnexNumberedText"/>
              <w:ind w:left="300" w:hanging="300"/>
              <w:rPr>
                <w:szCs w:val="18"/>
              </w:rPr>
            </w:pPr>
            <w:r>
              <w:t>a)</w:t>
            </w:r>
            <w:r>
              <w:tab/>
              <w:t xml:space="preserve">landsbundna </w:t>
            </w:r>
            <w:proofErr w:type="spellStart"/>
            <w:r>
              <w:t>reikningsskilastaðla</w:t>
            </w:r>
            <w:proofErr w:type="spellEnd"/>
            <w:r>
              <w:t xml:space="preserve"> aðildarríkis fyrir útgefendur innan EES eins og krafist er í tils</w:t>
            </w:r>
            <w:r>
              <w:t>kipun Evrópuþingsins og ráðsins 2013/34/ESB (</w:t>
            </w:r>
            <w:r>
              <w:rPr>
                <w:szCs w:val="18"/>
              </w:rPr>
              <w:fldChar w:fldCharType="begin"/>
            </w:r>
            <w:r>
              <w:rPr>
                <w:szCs w:val="18"/>
              </w:rPr>
              <w:instrText xml:space="preserve"> REF NOTE_7 \h  \* MERGEFORMAT </w:instrText>
            </w:r>
            <w:r>
              <w:rPr>
                <w:szCs w:val="18"/>
              </w:rPr>
            </w:r>
            <w:r>
              <w:rPr>
                <w:szCs w:val="18"/>
              </w:rPr>
              <w:fldChar w:fldCharType="separate"/>
            </w:r>
            <w:r>
              <w:rPr>
                <w:szCs w:val="18"/>
                <w:vertAlign w:val="superscript"/>
              </w:rPr>
              <w:t>2</w:t>
            </w:r>
            <w:r>
              <w:rPr>
                <w:szCs w:val="18"/>
              </w:rPr>
              <w:fldChar w:fldCharType="end"/>
            </w:r>
            <w:r>
              <w:t>),</w:t>
            </w:r>
          </w:p>
          <w:p w14:paraId="7A49A027" w14:textId="77777777" w:rsidR="008100E1" w:rsidRDefault="00C52444">
            <w:pPr>
              <w:pStyle w:val="AnnexNumberedText"/>
              <w:spacing w:after="0"/>
              <w:ind w:left="300" w:hanging="300"/>
              <w:rPr>
                <w:szCs w:val="18"/>
              </w:rPr>
            </w:pPr>
            <w:r>
              <w:t>b)</w:t>
            </w:r>
            <w:r>
              <w:tab/>
              <w:t xml:space="preserve">landsbundna </w:t>
            </w:r>
            <w:proofErr w:type="spellStart"/>
            <w:r>
              <w:t>reikningsskilastaðla</w:t>
            </w:r>
            <w:proofErr w:type="spellEnd"/>
            <w:r>
              <w:t xml:space="preserve"> þriðja lands sem eru sambærilegir reglugerð (EB) nr. 1606/2002 að því er varðar </w:t>
            </w:r>
            <w:r>
              <w:t xml:space="preserve">útgefendur í þriðju löndum. Séu slíkir landsbundnir </w:t>
            </w:r>
            <w:proofErr w:type="spellStart"/>
            <w:r>
              <w:t>reikningsskilastaðlar</w:t>
            </w:r>
            <w:proofErr w:type="spellEnd"/>
            <w:r>
              <w:t xml:space="preserve"> þriðja lands ekki sambærilegir reglugerð (EB) nr. 1606/2002 skulu reikningsskilin endurgerð í samræmi við þá reglugerð.</w:t>
            </w:r>
          </w:p>
        </w:tc>
      </w:tr>
      <w:tr w:rsidR="008100E1" w14:paraId="7BA7BAEB" w14:textId="77777777">
        <w:trPr>
          <w:trHeight w:val="240"/>
        </w:trPr>
        <w:tc>
          <w:tcPr>
            <w:tcW w:w="766" w:type="pct"/>
            <w:tcMar>
              <w:top w:w="100" w:type="dxa"/>
              <w:left w:w="0" w:type="dxa"/>
              <w:bottom w:w="100" w:type="dxa"/>
              <w:right w:w="60" w:type="dxa"/>
            </w:tcMar>
          </w:tcPr>
          <w:p w14:paraId="7A069C4C" w14:textId="77777777" w:rsidR="008100E1" w:rsidRDefault="00C52444">
            <w:pPr>
              <w:pStyle w:val="AnnexTableCellLeft"/>
              <w:rPr>
                <w:szCs w:val="18"/>
              </w:rPr>
            </w:pPr>
            <w:r>
              <w:rPr>
                <w:b/>
                <w:szCs w:val="18"/>
              </w:rPr>
              <w:t>Liður 2.5.3</w:t>
            </w:r>
          </w:p>
        </w:tc>
        <w:tc>
          <w:tcPr>
            <w:tcW w:w="4234" w:type="pct"/>
            <w:tcMar>
              <w:top w:w="100" w:type="dxa"/>
              <w:left w:w="60" w:type="dxa"/>
              <w:bottom w:w="100" w:type="dxa"/>
              <w:right w:w="0" w:type="dxa"/>
            </w:tcMar>
          </w:tcPr>
          <w:p w14:paraId="6AA6F73C" w14:textId="77777777" w:rsidR="008100E1" w:rsidRDefault="00C52444">
            <w:pPr>
              <w:pStyle w:val="AnnexTableCellLeft"/>
              <w:spacing w:after="120"/>
              <w:rPr>
                <w:szCs w:val="18"/>
              </w:rPr>
            </w:pPr>
            <w:r>
              <w:t>Lýsing á hvers kyns mikilvægum breytingum á fjárh</w:t>
            </w:r>
            <w:r>
              <w:t>agsstöðu sem hafa átt sér stað frá lokum síðasta fjárhagstímabils, sem annaðhvort endurskoðuð reikningsskil eða árshlutaupplýsingar hafa verið birt um eða, ef engar slíkar breytingar hafa átt sér stað, yfirlýsing þar um.</w:t>
            </w:r>
          </w:p>
          <w:p w14:paraId="22679ABB" w14:textId="77777777" w:rsidR="008100E1" w:rsidRDefault="00C52444">
            <w:pPr>
              <w:pStyle w:val="AnnexTableCellLeft"/>
              <w:rPr>
                <w:szCs w:val="18"/>
              </w:rPr>
            </w:pPr>
            <w:r>
              <w:t>Eftir atvikum, upplýsingar um þekkt</w:t>
            </w:r>
            <w:r>
              <w:t>a þróun, óvissuþætti, kröfur, skuldbindingar eða atburði sem búast má við að hafi veruleg áhrif á útgefandann og, með hliðsjón af tegund viðskipta, félagið sem tilboðið tekur til, félagið sem er yfirtekið eða félagið sem skipt er upp, a.m.k. á yfirstandand</w:t>
            </w:r>
            <w:r>
              <w:t>i fjárhagsári.</w:t>
            </w:r>
          </w:p>
        </w:tc>
      </w:tr>
      <w:tr w:rsidR="008100E1" w14:paraId="1CA05692" w14:textId="77777777">
        <w:tc>
          <w:tcPr>
            <w:tcW w:w="766" w:type="pct"/>
            <w:tcMar>
              <w:top w:w="90" w:type="dxa"/>
              <w:left w:w="0" w:type="dxa"/>
              <w:bottom w:w="90" w:type="dxa"/>
              <w:right w:w="60" w:type="dxa"/>
            </w:tcMar>
          </w:tcPr>
          <w:p w14:paraId="6CBAB20B" w14:textId="77777777" w:rsidR="008100E1" w:rsidRDefault="00C52444">
            <w:pPr>
              <w:pStyle w:val="AnnexTableCellLeft"/>
              <w:pageBreakBefore/>
              <w:rPr>
                <w:szCs w:val="18"/>
              </w:rPr>
            </w:pPr>
            <w:r>
              <w:rPr>
                <w:b/>
                <w:szCs w:val="18"/>
              </w:rPr>
              <w:lastRenderedPageBreak/>
              <w:t>Liður 2.5.4</w:t>
            </w:r>
          </w:p>
        </w:tc>
        <w:tc>
          <w:tcPr>
            <w:tcW w:w="4234" w:type="pct"/>
            <w:tcMar>
              <w:top w:w="90" w:type="dxa"/>
              <w:left w:w="60" w:type="dxa"/>
              <w:bottom w:w="90" w:type="dxa"/>
              <w:right w:w="0" w:type="dxa"/>
            </w:tcMar>
          </w:tcPr>
          <w:p w14:paraId="514D46C2" w14:textId="77777777" w:rsidR="008100E1" w:rsidRDefault="00C52444">
            <w:pPr>
              <w:pStyle w:val="AnnexTableCellLeft"/>
              <w:rPr>
                <w:szCs w:val="18"/>
              </w:rPr>
            </w:pPr>
            <w:r>
              <w:t>Eftir atvikum, skýrsla framkvæmdastjórnar sem um getur í 19. og 29. gr. tilskipunar 2013/34/ESB.</w:t>
            </w:r>
          </w:p>
        </w:tc>
      </w:tr>
      <w:tr w:rsidR="008100E1" w14:paraId="7037FCAB" w14:textId="77777777">
        <w:tc>
          <w:tcPr>
            <w:tcW w:w="766" w:type="pct"/>
            <w:tcMar>
              <w:top w:w="90" w:type="dxa"/>
              <w:left w:w="0" w:type="dxa"/>
              <w:bottom w:w="90" w:type="dxa"/>
              <w:right w:w="60" w:type="dxa"/>
            </w:tcMar>
          </w:tcPr>
          <w:p w14:paraId="4E25ED90" w14:textId="77777777" w:rsidR="008100E1" w:rsidRDefault="00C52444">
            <w:pPr>
              <w:pStyle w:val="AnnexTableCellLeft"/>
              <w:rPr>
                <w:szCs w:val="18"/>
              </w:rPr>
            </w:pPr>
            <w:r>
              <w:rPr>
                <w:b/>
                <w:szCs w:val="18"/>
              </w:rPr>
              <w:t>Liður 2.6</w:t>
            </w:r>
          </w:p>
        </w:tc>
        <w:tc>
          <w:tcPr>
            <w:tcW w:w="4234" w:type="pct"/>
            <w:tcMar>
              <w:top w:w="90" w:type="dxa"/>
              <w:left w:w="60" w:type="dxa"/>
              <w:bottom w:w="90" w:type="dxa"/>
              <w:right w:w="0" w:type="dxa"/>
            </w:tcMar>
          </w:tcPr>
          <w:p w14:paraId="201794F1" w14:textId="77777777" w:rsidR="008100E1" w:rsidRDefault="00C52444">
            <w:pPr>
              <w:pStyle w:val="AnnexTableCellLeft"/>
              <w:spacing w:after="120"/>
              <w:rPr>
                <w:szCs w:val="18"/>
              </w:rPr>
            </w:pPr>
            <w:r>
              <w:rPr>
                <w:b/>
                <w:szCs w:val="18"/>
              </w:rPr>
              <w:t>Dómsmál og gerðardómsmál</w:t>
            </w:r>
          </w:p>
          <w:p w14:paraId="43B99D0B" w14:textId="77777777" w:rsidR="008100E1" w:rsidRDefault="00C52444">
            <w:pPr>
              <w:pStyle w:val="AnnexTableCellLeft"/>
              <w:spacing w:after="120"/>
              <w:rPr>
                <w:szCs w:val="18"/>
              </w:rPr>
            </w:pPr>
            <w:r>
              <w:t xml:space="preserve">Upplýsingar um stjórnsýslu-, dóms- eða gerðardómsmál (þ.m.t. þau mál sem bíða meðferðar eða eru yfirvofandi og útgefanda, félaginu sem tilboðið tekur til, félaginu sem er yfirtekið eða félaginu sem skipt er upp er kunnugt um) á a.m.k. síðustu tólf mánuðum </w:t>
            </w:r>
            <w:r>
              <w:t xml:space="preserve">sem kunna að hafa eða hafa nýlega haft veruleg áhrif á útgefanda, félagið sem tilboðið tekur til, félagið sem er yfirtekið, félagið sem skipt er upp eða samstæðuna og/eða fjárhagsstöðu eða arðsemi samstæðunnar, eða leggja fram viðeigandi yfirlýsingu um að </w:t>
            </w:r>
            <w:r>
              <w:t>ekki sé um slík mál að ræða.</w:t>
            </w:r>
          </w:p>
          <w:p w14:paraId="42CA9161" w14:textId="77777777" w:rsidR="008100E1" w:rsidRDefault="00C52444">
            <w:pPr>
              <w:pStyle w:val="AnnexTableCellLeft"/>
              <w:rPr>
                <w:szCs w:val="18"/>
              </w:rPr>
            </w:pPr>
            <w:r>
              <w:t>Ef um er að ræða uppskiptingu skulu upplýsingarnar um stjórnsýslu-, dóms- eða gerðardómsmál vísa til eignanna og skuldanna sem eru viðfang uppskiptanna.</w:t>
            </w:r>
          </w:p>
        </w:tc>
      </w:tr>
      <w:tr w:rsidR="008100E1" w14:paraId="328026F5" w14:textId="77777777">
        <w:tc>
          <w:tcPr>
            <w:tcW w:w="766" w:type="pct"/>
            <w:tcMar>
              <w:top w:w="90" w:type="dxa"/>
              <w:left w:w="0" w:type="dxa"/>
              <w:bottom w:w="90" w:type="dxa"/>
              <w:right w:w="60" w:type="dxa"/>
            </w:tcMar>
          </w:tcPr>
          <w:p w14:paraId="2EE5226F" w14:textId="77777777" w:rsidR="008100E1" w:rsidRDefault="00C52444">
            <w:pPr>
              <w:pStyle w:val="AnnexTableCellLeft"/>
              <w:rPr>
                <w:szCs w:val="18"/>
              </w:rPr>
            </w:pPr>
            <w:r>
              <w:rPr>
                <w:b/>
                <w:szCs w:val="18"/>
              </w:rPr>
              <w:t>Liður 2.7</w:t>
            </w:r>
          </w:p>
        </w:tc>
        <w:tc>
          <w:tcPr>
            <w:tcW w:w="4234" w:type="pct"/>
            <w:tcMar>
              <w:top w:w="90" w:type="dxa"/>
              <w:left w:w="60" w:type="dxa"/>
              <w:bottom w:w="90" w:type="dxa"/>
              <w:right w:w="0" w:type="dxa"/>
            </w:tcMar>
          </w:tcPr>
          <w:p w14:paraId="2766CEF9" w14:textId="77777777" w:rsidR="008100E1" w:rsidRDefault="00C52444">
            <w:pPr>
              <w:pStyle w:val="AnnexTableCellLeft"/>
              <w:spacing w:after="120"/>
              <w:rPr>
                <w:szCs w:val="18"/>
              </w:rPr>
            </w:pPr>
            <w:r>
              <w:rPr>
                <w:b/>
                <w:bCs/>
              </w:rPr>
              <w:t>Samantekt upplýsinga sem birtar eru samkvæmt reglugerð Evrópuþi</w:t>
            </w:r>
            <w:r>
              <w:rPr>
                <w:b/>
                <w:bCs/>
              </w:rPr>
              <w:t>ngsins og ráðsins (ESB) nr. 596/2014 (</w:t>
            </w:r>
            <w:r>
              <w:rPr>
                <w:szCs w:val="18"/>
              </w:rPr>
              <w:fldChar w:fldCharType="begin"/>
            </w:r>
            <w:r>
              <w:rPr>
                <w:szCs w:val="18"/>
              </w:rPr>
              <w:instrText xml:space="preserve"> REF NOTE_8 \h  \* MERGEFORMAT </w:instrText>
            </w:r>
            <w:r>
              <w:rPr>
                <w:szCs w:val="18"/>
              </w:rPr>
            </w:r>
            <w:r>
              <w:rPr>
                <w:szCs w:val="18"/>
              </w:rPr>
              <w:fldChar w:fldCharType="separate"/>
            </w:r>
            <w:r>
              <w:rPr>
                <w:szCs w:val="18"/>
                <w:vertAlign w:val="superscript"/>
              </w:rPr>
              <w:t>3</w:t>
            </w:r>
            <w:r>
              <w:rPr>
                <w:szCs w:val="18"/>
              </w:rPr>
              <w:fldChar w:fldCharType="end"/>
            </w:r>
            <w:r>
              <w:rPr>
                <w:b/>
                <w:bCs/>
              </w:rPr>
              <w:t>)</w:t>
            </w:r>
          </w:p>
          <w:p w14:paraId="2E1EE759" w14:textId="77777777" w:rsidR="008100E1" w:rsidRDefault="00C52444">
            <w:pPr>
              <w:pStyle w:val="AnnexTableCellLeft"/>
              <w:spacing w:after="120"/>
              <w:rPr>
                <w:szCs w:val="18"/>
              </w:rPr>
            </w:pPr>
            <w:r>
              <w:t>Fyrir einingar sem falla innan gildissviðs reglugerðar (ESB) nr. 596/2014, samantekt upplýsinga sem birtar eru samkvæmt þei</w:t>
            </w:r>
            <w:r>
              <w:t>rri reglugerð á næstliðnu 12 mánuðum, ef þær upplýsingar skipta máli á dagsetningu undanþáguskjalsins.</w:t>
            </w:r>
          </w:p>
          <w:p w14:paraId="729E0058" w14:textId="77777777" w:rsidR="008100E1" w:rsidRDefault="00C52444">
            <w:pPr>
              <w:pStyle w:val="AnnexTableCellLeft"/>
              <w:rPr>
                <w:szCs w:val="18"/>
              </w:rPr>
            </w:pPr>
            <w:r>
              <w:t xml:space="preserve">Samantektin skal sett fram á </w:t>
            </w:r>
            <w:proofErr w:type="spellStart"/>
            <w:r>
              <w:t>auðgreinanlegan</w:t>
            </w:r>
            <w:proofErr w:type="spellEnd"/>
            <w:r>
              <w:t>, gagnorðan og auðskilinn hátt og skal ekki vera endurtekning upplýsinga sem þegar hafa verið birtar skv. reg</w:t>
            </w:r>
            <w:r>
              <w:t>lugerð (ESB) nr. 596/2014. Samantektin skal sett fram í takmörkuðum fjölda flokka eftir efni.</w:t>
            </w:r>
          </w:p>
        </w:tc>
      </w:tr>
      <w:tr w:rsidR="008100E1" w14:paraId="26EA03AC" w14:textId="77777777">
        <w:tc>
          <w:tcPr>
            <w:tcW w:w="766" w:type="pct"/>
            <w:tcMar>
              <w:top w:w="90" w:type="dxa"/>
              <w:left w:w="0" w:type="dxa"/>
              <w:bottom w:w="90" w:type="dxa"/>
              <w:right w:w="60" w:type="dxa"/>
            </w:tcMar>
          </w:tcPr>
          <w:p w14:paraId="7963498F" w14:textId="77777777" w:rsidR="008100E1" w:rsidRDefault="00C52444">
            <w:pPr>
              <w:pStyle w:val="AnnexTableCellLeft"/>
              <w:spacing w:line="200" w:lineRule="exact"/>
              <w:rPr>
                <w:sz w:val="16"/>
                <w:szCs w:val="16"/>
              </w:rPr>
            </w:pPr>
            <w:r>
              <w:rPr>
                <w:b/>
                <w:sz w:val="16"/>
                <w:szCs w:val="16"/>
              </w:rPr>
              <w:t>3. ÞÁTTUR</w:t>
            </w:r>
          </w:p>
        </w:tc>
        <w:tc>
          <w:tcPr>
            <w:tcW w:w="4234" w:type="pct"/>
            <w:tcMar>
              <w:top w:w="90" w:type="dxa"/>
              <w:left w:w="60" w:type="dxa"/>
              <w:bottom w:w="90" w:type="dxa"/>
              <w:right w:w="0" w:type="dxa"/>
            </w:tcMar>
          </w:tcPr>
          <w:p w14:paraId="7109FADE" w14:textId="77777777" w:rsidR="008100E1" w:rsidRDefault="00C52444">
            <w:pPr>
              <w:pStyle w:val="AnnexTableCellLeft"/>
              <w:spacing w:line="200" w:lineRule="exact"/>
              <w:rPr>
                <w:sz w:val="16"/>
                <w:szCs w:val="16"/>
              </w:rPr>
            </w:pPr>
            <w:r>
              <w:rPr>
                <w:b/>
                <w:sz w:val="16"/>
                <w:szCs w:val="16"/>
              </w:rPr>
              <w:t>LÝSING Á VIÐSKIPTUNUM</w:t>
            </w:r>
          </w:p>
        </w:tc>
      </w:tr>
      <w:tr w:rsidR="008100E1" w14:paraId="2A3E33FE" w14:textId="77777777">
        <w:tc>
          <w:tcPr>
            <w:tcW w:w="766" w:type="pct"/>
            <w:tcMar>
              <w:top w:w="90" w:type="dxa"/>
              <w:left w:w="0" w:type="dxa"/>
              <w:bottom w:w="90" w:type="dxa"/>
              <w:right w:w="60" w:type="dxa"/>
            </w:tcMar>
          </w:tcPr>
          <w:p w14:paraId="7A9B9C0C" w14:textId="77777777" w:rsidR="008100E1" w:rsidRDefault="00C52444">
            <w:pPr>
              <w:pStyle w:val="AnnexTableCellLeft"/>
              <w:rPr>
                <w:szCs w:val="18"/>
              </w:rPr>
            </w:pPr>
            <w:r>
              <w:rPr>
                <w:b/>
                <w:szCs w:val="18"/>
              </w:rPr>
              <w:t>Liður 3.1</w:t>
            </w:r>
          </w:p>
        </w:tc>
        <w:tc>
          <w:tcPr>
            <w:tcW w:w="4234" w:type="pct"/>
            <w:tcMar>
              <w:top w:w="90" w:type="dxa"/>
              <w:left w:w="60" w:type="dxa"/>
              <w:bottom w:w="90" w:type="dxa"/>
              <w:right w:w="0" w:type="dxa"/>
            </w:tcMar>
          </w:tcPr>
          <w:p w14:paraId="3EBE6BE6" w14:textId="77777777" w:rsidR="008100E1" w:rsidRDefault="00C52444">
            <w:pPr>
              <w:pStyle w:val="AnnexTableCellLeft"/>
              <w:rPr>
                <w:szCs w:val="18"/>
              </w:rPr>
            </w:pPr>
            <w:r>
              <w:rPr>
                <w:b/>
                <w:szCs w:val="18"/>
              </w:rPr>
              <w:t>Tilgangur og markmið viðskiptanna</w:t>
            </w:r>
          </w:p>
        </w:tc>
      </w:tr>
      <w:tr w:rsidR="008100E1" w14:paraId="7CC11F4D" w14:textId="77777777">
        <w:tc>
          <w:tcPr>
            <w:tcW w:w="766" w:type="pct"/>
            <w:tcMar>
              <w:top w:w="90" w:type="dxa"/>
              <w:left w:w="0" w:type="dxa"/>
              <w:bottom w:w="90" w:type="dxa"/>
              <w:right w:w="60" w:type="dxa"/>
            </w:tcMar>
          </w:tcPr>
          <w:p w14:paraId="2F5D5E28" w14:textId="77777777" w:rsidR="008100E1" w:rsidRDefault="00C52444">
            <w:pPr>
              <w:pStyle w:val="AnnexTableCellLeft"/>
              <w:rPr>
                <w:szCs w:val="18"/>
              </w:rPr>
            </w:pPr>
            <w:r>
              <w:rPr>
                <w:b/>
                <w:szCs w:val="18"/>
              </w:rPr>
              <w:t>Liður 3.1.1</w:t>
            </w:r>
          </w:p>
        </w:tc>
        <w:tc>
          <w:tcPr>
            <w:tcW w:w="4234" w:type="pct"/>
            <w:tcMar>
              <w:top w:w="90" w:type="dxa"/>
              <w:left w:w="60" w:type="dxa"/>
              <w:bottom w:w="90" w:type="dxa"/>
              <w:right w:w="0" w:type="dxa"/>
            </w:tcMar>
          </w:tcPr>
          <w:p w14:paraId="2BF1F7EE" w14:textId="77777777" w:rsidR="008100E1" w:rsidRDefault="00C52444">
            <w:pPr>
              <w:pStyle w:val="AnnexTableCellLeft"/>
              <w:rPr>
                <w:szCs w:val="18"/>
              </w:rPr>
            </w:pPr>
            <w:r>
              <w:t>Tilgangur viðskiptanna fyrir útgefandann og hluthafa hans.</w:t>
            </w:r>
          </w:p>
        </w:tc>
      </w:tr>
      <w:tr w:rsidR="008100E1" w14:paraId="0797B966" w14:textId="77777777">
        <w:tc>
          <w:tcPr>
            <w:tcW w:w="766" w:type="pct"/>
            <w:tcMar>
              <w:top w:w="90" w:type="dxa"/>
              <w:left w:w="0" w:type="dxa"/>
              <w:bottom w:w="90" w:type="dxa"/>
              <w:right w:w="60" w:type="dxa"/>
            </w:tcMar>
          </w:tcPr>
          <w:p w14:paraId="17DAD5DF" w14:textId="77777777" w:rsidR="008100E1" w:rsidRDefault="00C52444">
            <w:pPr>
              <w:pStyle w:val="AnnexTableCellLeft"/>
              <w:rPr>
                <w:szCs w:val="18"/>
              </w:rPr>
            </w:pPr>
            <w:r>
              <w:rPr>
                <w:b/>
                <w:szCs w:val="18"/>
              </w:rPr>
              <w:t>Liður 3.1.2</w:t>
            </w:r>
          </w:p>
        </w:tc>
        <w:tc>
          <w:tcPr>
            <w:tcW w:w="4234" w:type="pct"/>
            <w:tcMar>
              <w:top w:w="90" w:type="dxa"/>
              <w:left w:w="60" w:type="dxa"/>
              <w:bottom w:w="90" w:type="dxa"/>
              <w:right w:w="0" w:type="dxa"/>
            </w:tcMar>
          </w:tcPr>
          <w:p w14:paraId="414B7A18" w14:textId="77777777" w:rsidR="008100E1" w:rsidRDefault="00C52444">
            <w:pPr>
              <w:pStyle w:val="AnnexTableCellLeft"/>
              <w:rPr>
                <w:szCs w:val="18"/>
              </w:rPr>
            </w:pPr>
            <w:r>
              <w:t>Tilgangur viðskiptanna fyrir félagið sem tilboðið tekur til, félagið sem er yfirtekið eða félagið sem skipt er upp og hluthafa þeirra.</w:t>
            </w:r>
          </w:p>
        </w:tc>
      </w:tr>
      <w:tr w:rsidR="008100E1" w14:paraId="58261C2E" w14:textId="77777777">
        <w:tc>
          <w:tcPr>
            <w:tcW w:w="766" w:type="pct"/>
            <w:tcMar>
              <w:top w:w="90" w:type="dxa"/>
              <w:left w:w="0" w:type="dxa"/>
              <w:bottom w:w="90" w:type="dxa"/>
              <w:right w:w="60" w:type="dxa"/>
            </w:tcMar>
          </w:tcPr>
          <w:p w14:paraId="62B026E4" w14:textId="77777777" w:rsidR="008100E1" w:rsidRDefault="00C52444">
            <w:pPr>
              <w:pStyle w:val="AnnexTableCellLeft"/>
              <w:rPr>
                <w:szCs w:val="18"/>
              </w:rPr>
            </w:pPr>
            <w:r>
              <w:rPr>
                <w:b/>
                <w:szCs w:val="18"/>
              </w:rPr>
              <w:t>Liður 3.1.3</w:t>
            </w:r>
          </w:p>
        </w:tc>
        <w:tc>
          <w:tcPr>
            <w:tcW w:w="4234" w:type="pct"/>
            <w:tcMar>
              <w:top w:w="90" w:type="dxa"/>
              <w:left w:w="60" w:type="dxa"/>
              <w:bottom w:w="90" w:type="dxa"/>
              <w:right w:w="0" w:type="dxa"/>
            </w:tcMar>
          </w:tcPr>
          <w:p w14:paraId="1AD0D272" w14:textId="77777777" w:rsidR="008100E1" w:rsidRDefault="00C52444">
            <w:pPr>
              <w:pStyle w:val="AnnexTableCellLeft"/>
              <w:rPr>
                <w:szCs w:val="18"/>
              </w:rPr>
            </w:pPr>
            <w:r>
              <w:t>Lýsing á sérhverjum áætluðum ávinningi sem leiðir af viðskiptunum.</w:t>
            </w:r>
          </w:p>
        </w:tc>
      </w:tr>
      <w:tr w:rsidR="008100E1" w14:paraId="28909333" w14:textId="77777777">
        <w:tc>
          <w:tcPr>
            <w:tcW w:w="766" w:type="pct"/>
            <w:tcMar>
              <w:top w:w="90" w:type="dxa"/>
              <w:left w:w="0" w:type="dxa"/>
              <w:bottom w:w="90" w:type="dxa"/>
              <w:right w:w="60" w:type="dxa"/>
            </w:tcMar>
          </w:tcPr>
          <w:p w14:paraId="4913F677" w14:textId="77777777" w:rsidR="008100E1" w:rsidRDefault="00C52444">
            <w:pPr>
              <w:pStyle w:val="AnnexTableCellLeft"/>
              <w:rPr>
                <w:szCs w:val="18"/>
              </w:rPr>
            </w:pPr>
            <w:r>
              <w:rPr>
                <w:b/>
                <w:szCs w:val="18"/>
              </w:rPr>
              <w:t>Liður 3.2</w:t>
            </w:r>
          </w:p>
        </w:tc>
        <w:tc>
          <w:tcPr>
            <w:tcW w:w="4234" w:type="pct"/>
            <w:tcMar>
              <w:top w:w="90" w:type="dxa"/>
              <w:left w:w="60" w:type="dxa"/>
              <w:bottom w:w="90" w:type="dxa"/>
              <w:right w:w="0" w:type="dxa"/>
            </w:tcMar>
          </w:tcPr>
          <w:p w14:paraId="1DE30056" w14:textId="77777777" w:rsidR="008100E1" w:rsidRDefault="00C52444">
            <w:pPr>
              <w:pStyle w:val="AnnexTableCellLeft"/>
              <w:rPr>
                <w:szCs w:val="18"/>
              </w:rPr>
            </w:pPr>
            <w:r>
              <w:rPr>
                <w:b/>
                <w:szCs w:val="18"/>
              </w:rPr>
              <w:t>Skilyrði viðskiptanna</w:t>
            </w:r>
          </w:p>
        </w:tc>
      </w:tr>
      <w:tr w:rsidR="008100E1" w14:paraId="712FF8F4" w14:textId="77777777">
        <w:tc>
          <w:tcPr>
            <w:tcW w:w="766" w:type="pct"/>
            <w:tcMar>
              <w:top w:w="90" w:type="dxa"/>
              <w:left w:w="0" w:type="dxa"/>
              <w:bottom w:w="90" w:type="dxa"/>
              <w:right w:w="60" w:type="dxa"/>
            </w:tcMar>
          </w:tcPr>
          <w:p w14:paraId="4D6BC898" w14:textId="77777777" w:rsidR="008100E1" w:rsidRDefault="00C52444">
            <w:pPr>
              <w:pStyle w:val="AnnexTableCellLeft"/>
              <w:rPr>
                <w:szCs w:val="18"/>
              </w:rPr>
            </w:pPr>
            <w:r>
              <w:rPr>
                <w:b/>
                <w:szCs w:val="18"/>
              </w:rPr>
              <w:t>Liður 3.2.1</w:t>
            </w:r>
          </w:p>
        </w:tc>
        <w:tc>
          <w:tcPr>
            <w:tcW w:w="4234" w:type="pct"/>
            <w:tcMar>
              <w:top w:w="90" w:type="dxa"/>
              <w:left w:w="60" w:type="dxa"/>
              <w:bottom w:w="90" w:type="dxa"/>
              <w:right w:w="0" w:type="dxa"/>
            </w:tcMar>
          </w:tcPr>
          <w:p w14:paraId="3AFB4A7B" w14:textId="77777777" w:rsidR="008100E1" w:rsidRDefault="00C52444">
            <w:pPr>
              <w:pStyle w:val="AnnexTableCellLeft"/>
              <w:spacing w:after="120"/>
              <w:rPr>
                <w:szCs w:val="18"/>
              </w:rPr>
            </w:pPr>
            <w:r>
              <w:t>Upplýsingar um verklag og skilmála viðskiptanna og lögin sem gilda um samkomulagið um viðskiptin.</w:t>
            </w:r>
          </w:p>
          <w:p w14:paraId="556533AA" w14:textId="77777777" w:rsidR="008100E1" w:rsidRDefault="00C52444">
            <w:pPr>
              <w:pStyle w:val="AnnexTableCellLeft"/>
              <w:spacing w:after="120"/>
              <w:rPr>
                <w:szCs w:val="18"/>
              </w:rPr>
            </w:pPr>
            <w:r>
              <w:t>Ef um er að ræða yfirtöku með skiptiútboði sk</w:t>
            </w:r>
            <w:r>
              <w:t>al undanþáguskjalið innihalda upplýsingarnar sem krafist er í 3. mgr. 6. gr. tilskipunar 2004/25/EB eða tilgreina hvar hægt er að skoða þær upplýsingar.</w:t>
            </w:r>
          </w:p>
          <w:p w14:paraId="267BD893" w14:textId="77777777" w:rsidR="008100E1" w:rsidRDefault="00C52444">
            <w:pPr>
              <w:pStyle w:val="AnnexTableCellLeft"/>
              <w:spacing w:after="120"/>
              <w:rPr>
                <w:szCs w:val="18"/>
              </w:rPr>
            </w:pPr>
            <w:r>
              <w:t>Ef um er að ræða samruna skal undanþáguskjalið innihalda upplýsingarnar sem krafist er í 2. mgr. 91. gr</w:t>
            </w:r>
            <w:r>
              <w:t>. eða 122. gr. tilskipunar (ESB) 2017/1132, með hliðsjón af tegund samrunans, eða tilgreina hvar hægt er að skoða þær upplýsingar.</w:t>
            </w:r>
          </w:p>
          <w:p w14:paraId="783054BE" w14:textId="77777777" w:rsidR="008100E1" w:rsidRDefault="00C52444">
            <w:pPr>
              <w:pStyle w:val="AnnexTableCellLeft"/>
              <w:rPr>
                <w:szCs w:val="18"/>
              </w:rPr>
            </w:pPr>
            <w:r>
              <w:t>Ef um er að ræða uppskipti skal undanþáguskjalið innihalda upplýsingarnar sem krafist er í 2. mgr. 137. gr. tilskipunar (ESB)</w:t>
            </w:r>
            <w:r>
              <w:t xml:space="preserve"> 2017/1132, eða tilgreina hvar hægt er að skoða þær upplýsingar.</w:t>
            </w:r>
          </w:p>
        </w:tc>
      </w:tr>
      <w:tr w:rsidR="008100E1" w14:paraId="195255D4" w14:textId="77777777">
        <w:tc>
          <w:tcPr>
            <w:tcW w:w="766" w:type="pct"/>
            <w:tcMar>
              <w:top w:w="90" w:type="dxa"/>
              <w:left w:w="0" w:type="dxa"/>
              <w:bottom w:w="90" w:type="dxa"/>
              <w:right w:w="60" w:type="dxa"/>
            </w:tcMar>
          </w:tcPr>
          <w:p w14:paraId="586E9343" w14:textId="77777777" w:rsidR="008100E1" w:rsidRDefault="00C52444">
            <w:pPr>
              <w:pStyle w:val="AnnexTableCellLeft"/>
              <w:rPr>
                <w:szCs w:val="18"/>
              </w:rPr>
            </w:pPr>
            <w:r>
              <w:rPr>
                <w:b/>
                <w:szCs w:val="18"/>
              </w:rPr>
              <w:t>Liður 3.2.2</w:t>
            </w:r>
          </w:p>
        </w:tc>
        <w:tc>
          <w:tcPr>
            <w:tcW w:w="4234" w:type="pct"/>
            <w:tcMar>
              <w:top w:w="90" w:type="dxa"/>
              <w:left w:w="60" w:type="dxa"/>
              <w:bottom w:w="90" w:type="dxa"/>
              <w:right w:w="0" w:type="dxa"/>
            </w:tcMar>
          </w:tcPr>
          <w:p w14:paraId="25145D77" w14:textId="77777777" w:rsidR="008100E1" w:rsidRDefault="00C52444">
            <w:pPr>
              <w:pStyle w:val="AnnexTableCellLeft"/>
              <w:rPr>
                <w:szCs w:val="18"/>
              </w:rPr>
            </w:pPr>
            <w:r>
              <w:t>Eftir atvikum, öll skilyrði sem árangur viðskiptanna ræðst af, þ.m.t. tryggingar.</w:t>
            </w:r>
          </w:p>
        </w:tc>
      </w:tr>
      <w:tr w:rsidR="008100E1" w14:paraId="2E32774A" w14:textId="77777777">
        <w:tc>
          <w:tcPr>
            <w:tcW w:w="766" w:type="pct"/>
            <w:tcMar>
              <w:top w:w="90" w:type="dxa"/>
              <w:left w:w="0" w:type="dxa"/>
              <w:bottom w:w="90" w:type="dxa"/>
              <w:right w:w="60" w:type="dxa"/>
            </w:tcMar>
          </w:tcPr>
          <w:p w14:paraId="06B37751" w14:textId="77777777" w:rsidR="008100E1" w:rsidRDefault="00C52444">
            <w:pPr>
              <w:pStyle w:val="AnnexTableCellLeft"/>
              <w:rPr>
                <w:szCs w:val="18"/>
              </w:rPr>
            </w:pPr>
            <w:r>
              <w:rPr>
                <w:b/>
                <w:szCs w:val="18"/>
              </w:rPr>
              <w:t>Liður 3.2.3</w:t>
            </w:r>
          </w:p>
        </w:tc>
        <w:tc>
          <w:tcPr>
            <w:tcW w:w="4234" w:type="pct"/>
            <w:tcMar>
              <w:top w:w="90" w:type="dxa"/>
              <w:left w:w="60" w:type="dxa"/>
              <w:bottom w:w="90" w:type="dxa"/>
              <w:right w:w="0" w:type="dxa"/>
            </w:tcMar>
          </w:tcPr>
          <w:p w14:paraId="2DF514FA" w14:textId="77777777" w:rsidR="008100E1" w:rsidRDefault="00C52444">
            <w:pPr>
              <w:pStyle w:val="AnnexTableCellLeft"/>
              <w:rPr>
                <w:szCs w:val="18"/>
              </w:rPr>
            </w:pPr>
            <w:r>
              <w:t xml:space="preserve">Eftir atvikum, allar upplýsingar um gjöld vegna uppskiptingar (e. </w:t>
            </w:r>
            <w:proofErr w:type="spellStart"/>
            <w:r>
              <w:rPr>
                <w:i/>
                <w:iCs/>
              </w:rPr>
              <w:t>break-up</w:t>
            </w:r>
            <w:proofErr w:type="spellEnd"/>
            <w:r>
              <w:rPr>
                <w:i/>
                <w:iCs/>
              </w:rPr>
              <w:t xml:space="preserve"> </w:t>
            </w:r>
            <w:proofErr w:type="spellStart"/>
            <w:r>
              <w:rPr>
                <w:i/>
                <w:iCs/>
              </w:rPr>
              <w:t>fees</w:t>
            </w:r>
            <w:proofErr w:type="spellEnd"/>
            <w:r>
              <w:t>) eða önnur viðurlög sem gæti þurft að greiða ef viðskiptunum er ekki lokið.</w:t>
            </w:r>
          </w:p>
        </w:tc>
      </w:tr>
      <w:tr w:rsidR="008100E1" w14:paraId="27BE5B6B" w14:textId="77777777">
        <w:tc>
          <w:tcPr>
            <w:tcW w:w="766" w:type="pct"/>
            <w:tcMar>
              <w:top w:w="90" w:type="dxa"/>
              <w:left w:w="0" w:type="dxa"/>
              <w:bottom w:w="90" w:type="dxa"/>
              <w:right w:w="60" w:type="dxa"/>
            </w:tcMar>
          </w:tcPr>
          <w:p w14:paraId="61171BC3" w14:textId="77777777" w:rsidR="008100E1" w:rsidRDefault="00C52444">
            <w:pPr>
              <w:pStyle w:val="AnnexTableCellLeft"/>
              <w:rPr>
                <w:szCs w:val="18"/>
              </w:rPr>
            </w:pPr>
            <w:r>
              <w:rPr>
                <w:b/>
                <w:szCs w:val="18"/>
              </w:rPr>
              <w:t>Liður 3.2.4</w:t>
            </w:r>
          </w:p>
        </w:tc>
        <w:tc>
          <w:tcPr>
            <w:tcW w:w="4234" w:type="pct"/>
            <w:tcMar>
              <w:top w:w="90" w:type="dxa"/>
              <w:left w:w="60" w:type="dxa"/>
              <w:bottom w:w="90" w:type="dxa"/>
              <w:right w:w="0" w:type="dxa"/>
            </w:tcMar>
          </w:tcPr>
          <w:p w14:paraId="4E90E56D" w14:textId="77777777" w:rsidR="008100E1" w:rsidRDefault="00C52444">
            <w:pPr>
              <w:pStyle w:val="AnnexTableCellLeft"/>
              <w:rPr>
                <w:szCs w:val="18"/>
              </w:rPr>
            </w:pPr>
            <w:r>
              <w:t>Ef viðskiptin falla undir tilkynningar og/eða leyfisbeiðnir, lýsingu á þeim tilkynningu</w:t>
            </w:r>
            <w:r>
              <w:t>m og/eða leyfisbeiðnum.</w:t>
            </w:r>
          </w:p>
        </w:tc>
      </w:tr>
      <w:tr w:rsidR="008100E1" w14:paraId="3793A034" w14:textId="77777777">
        <w:tc>
          <w:tcPr>
            <w:tcW w:w="766" w:type="pct"/>
            <w:tcMar>
              <w:top w:w="90" w:type="dxa"/>
              <w:left w:w="0" w:type="dxa"/>
              <w:bottom w:w="90" w:type="dxa"/>
              <w:right w:w="60" w:type="dxa"/>
            </w:tcMar>
          </w:tcPr>
          <w:p w14:paraId="4CC5E306" w14:textId="77777777" w:rsidR="008100E1" w:rsidRDefault="00C52444">
            <w:pPr>
              <w:pStyle w:val="AnnexTableCellLeft"/>
              <w:rPr>
                <w:szCs w:val="18"/>
              </w:rPr>
            </w:pPr>
            <w:r>
              <w:rPr>
                <w:b/>
                <w:szCs w:val="18"/>
              </w:rPr>
              <w:t>Liður 3.2.5</w:t>
            </w:r>
          </w:p>
        </w:tc>
        <w:tc>
          <w:tcPr>
            <w:tcW w:w="4234" w:type="pct"/>
            <w:tcMar>
              <w:top w:w="90" w:type="dxa"/>
              <w:left w:w="60" w:type="dxa"/>
              <w:bottom w:w="90" w:type="dxa"/>
              <w:right w:w="0" w:type="dxa"/>
            </w:tcMar>
          </w:tcPr>
          <w:p w14:paraId="5EA33E23" w14:textId="77777777" w:rsidR="008100E1" w:rsidRDefault="00C52444">
            <w:pPr>
              <w:pStyle w:val="AnnexTableCellLeft"/>
              <w:rPr>
                <w:szCs w:val="18"/>
              </w:rPr>
            </w:pPr>
            <w:r>
              <w:t>Eftir atvikum, allar upplýsingar sem nauðsynlegar eru til að skilja að fullu fjármögnunarfyrirkomulag viðskiptanna.</w:t>
            </w:r>
          </w:p>
        </w:tc>
      </w:tr>
      <w:tr w:rsidR="008100E1" w14:paraId="5F8728D5" w14:textId="77777777">
        <w:tc>
          <w:tcPr>
            <w:tcW w:w="766" w:type="pct"/>
            <w:tcMar>
              <w:top w:w="90" w:type="dxa"/>
              <w:left w:w="0" w:type="dxa"/>
              <w:bottom w:w="90" w:type="dxa"/>
              <w:right w:w="60" w:type="dxa"/>
            </w:tcMar>
          </w:tcPr>
          <w:p w14:paraId="3575BC6A" w14:textId="77777777" w:rsidR="008100E1" w:rsidRDefault="00C52444">
            <w:pPr>
              <w:pStyle w:val="AnnexTableCellLeft"/>
              <w:rPr>
                <w:szCs w:val="18"/>
              </w:rPr>
            </w:pPr>
            <w:r>
              <w:rPr>
                <w:b/>
                <w:szCs w:val="18"/>
              </w:rPr>
              <w:t>Liður 3.2.6</w:t>
            </w:r>
          </w:p>
        </w:tc>
        <w:tc>
          <w:tcPr>
            <w:tcW w:w="4234" w:type="pct"/>
            <w:tcMar>
              <w:top w:w="90" w:type="dxa"/>
              <w:left w:w="60" w:type="dxa"/>
              <w:bottom w:w="90" w:type="dxa"/>
              <w:right w:w="0" w:type="dxa"/>
            </w:tcMar>
          </w:tcPr>
          <w:p w14:paraId="00C9F9F7" w14:textId="77777777" w:rsidR="008100E1" w:rsidRDefault="00C52444">
            <w:pPr>
              <w:pStyle w:val="AnnexTableCellLeft"/>
              <w:rPr>
                <w:szCs w:val="18"/>
              </w:rPr>
            </w:pPr>
            <w:r>
              <w:t>Tímaáætlun viðskiptanna.</w:t>
            </w:r>
          </w:p>
        </w:tc>
      </w:tr>
      <w:tr w:rsidR="008100E1" w14:paraId="5AF559ED" w14:textId="77777777">
        <w:trPr>
          <w:trHeight w:val="240"/>
        </w:trPr>
        <w:tc>
          <w:tcPr>
            <w:tcW w:w="766" w:type="pct"/>
            <w:tcMar>
              <w:top w:w="160" w:type="dxa"/>
              <w:left w:w="0" w:type="dxa"/>
              <w:bottom w:w="160" w:type="dxa"/>
              <w:right w:w="60" w:type="dxa"/>
            </w:tcMar>
          </w:tcPr>
          <w:p w14:paraId="5F3664BF" w14:textId="77777777" w:rsidR="008100E1" w:rsidRDefault="00C52444">
            <w:pPr>
              <w:pStyle w:val="AnnexTableCellLeft"/>
              <w:pageBreakBefore/>
              <w:rPr>
                <w:szCs w:val="18"/>
              </w:rPr>
            </w:pPr>
            <w:r>
              <w:rPr>
                <w:b/>
                <w:szCs w:val="18"/>
              </w:rPr>
              <w:lastRenderedPageBreak/>
              <w:t>Liður 3.3</w:t>
            </w:r>
          </w:p>
        </w:tc>
        <w:tc>
          <w:tcPr>
            <w:tcW w:w="4234" w:type="pct"/>
            <w:tcMar>
              <w:top w:w="160" w:type="dxa"/>
              <w:left w:w="60" w:type="dxa"/>
              <w:bottom w:w="160" w:type="dxa"/>
              <w:right w:w="0" w:type="dxa"/>
            </w:tcMar>
          </w:tcPr>
          <w:p w14:paraId="44C3D1DF" w14:textId="77777777" w:rsidR="008100E1" w:rsidRDefault="00C52444">
            <w:pPr>
              <w:pStyle w:val="AnnexTableCellLeft"/>
              <w:spacing w:after="120"/>
              <w:rPr>
                <w:szCs w:val="18"/>
              </w:rPr>
            </w:pPr>
            <w:r>
              <w:rPr>
                <w:b/>
                <w:szCs w:val="18"/>
              </w:rPr>
              <w:t>Áhættuþættir</w:t>
            </w:r>
          </w:p>
          <w:p w14:paraId="275733BA" w14:textId="77777777" w:rsidR="008100E1" w:rsidRDefault="00C52444">
            <w:pPr>
              <w:pStyle w:val="AnnexTableCellLeft"/>
              <w:spacing w:after="120"/>
              <w:rPr>
                <w:szCs w:val="18"/>
              </w:rPr>
            </w:pPr>
            <w:r>
              <w:t>Lýsing á verulegri áhættu sem er sértæk f</w:t>
            </w:r>
            <w:r>
              <w:t>yrir viðskiptin, í takmörkuðum fjölda flokka, í kafla með fyrirsögnina „Áhættuþættir sem tengjast viðskiptunum“.</w:t>
            </w:r>
          </w:p>
          <w:p w14:paraId="576826A2" w14:textId="77777777" w:rsidR="008100E1" w:rsidRDefault="00C52444">
            <w:pPr>
              <w:pStyle w:val="AnnexTableCellLeft"/>
              <w:spacing w:after="120"/>
              <w:rPr>
                <w:szCs w:val="18"/>
              </w:rPr>
            </w:pPr>
            <w:r>
              <w:t>Í hverjum flokki skal fyrst telja upp alvarlegustu áhættuþættina að mati útgefanda, að teknu tilliti til neikvæðra áhrifa á útgefandann og líkanna á að þeir raungerist.</w:t>
            </w:r>
          </w:p>
          <w:p w14:paraId="519EFA4E" w14:textId="77777777" w:rsidR="008100E1" w:rsidRDefault="00C52444">
            <w:pPr>
              <w:pStyle w:val="AnnexTableCellLeft"/>
              <w:rPr>
                <w:szCs w:val="18"/>
              </w:rPr>
            </w:pPr>
            <w:r>
              <w:t>Áhættuþættirnir skulu staðfestir með efni undanþáguskjalsins.</w:t>
            </w:r>
          </w:p>
        </w:tc>
      </w:tr>
      <w:tr w:rsidR="008100E1" w14:paraId="28016D5E" w14:textId="77777777">
        <w:trPr>
          <w:trHeight w:val="240"/>
        </w:trPr>
        <w:tc>
          <w:tcPr>
            <w:tcW w:w="766" w:type="pct"/>
            <w:tcMar>
              <w:top w:w="160" w:type="dxa"/>
              <w:left w:w="0" w:type="dxa"/>
              <w:bottom w:w="160" w:type="dxa"/>
              <w:right w:w="60" w:type="dxa"/>
            </w:tcMar>
          </w:tcPr>
          <w:p w14:paraId="1187BFE7" w14:textId="77777777" w:rsidR="008100E1" w:rsidRDefault="00C52444">
            <w:pPr>
              <w:pStyle w:val="AnnexTableCellLeft"/>
              <w:rPr>
                <w:szCs w:val="18"/>
              </w:rPr>
            </w:pPr>
            <w:r>
              <w:rPr>
                <w:b/>
                <w:szCs w:val="18"/>
              </w:rPr>
              <w:t>Liður 3.4</w:t>
            </w:r>
          </w:p>
        </w:tc>
        <w:tc>
          <w:tcPr>
            <w:tcW w:w="4234" w:type="pct"/>
            <w:tcMar>
              <w:top w:w="160" w:type="dxa"/>
              <w:left w:w="60" w:type="dxa"/>
              <w:bottom w:w="160" w:type="dxa"/>
              <w:right w:w="0" w:type="dxa"/>
            </w:tcMar>
          </w:tcPr>
          <w:p w14:paraId="1FD9BC7D" w14:textId="77777777" w:rsidR="008100E1" w:rsidRDefault="00C52444">
            <w:pPr>
              <w:pStyle w:val="AnnexTableCellLeft"/>
              <w:spacing w:after="120"/>
              <w:rPr>
                <w:szCs w:val="18"/>
              </w:rPr>
            </w:pPr>
            <w:r>
              <w:rPr>
                <w:b/>
                <w:szCs w:val="18"/>
              </w:rPr>
              <w:t>Hagsmunaárekst</w:t>
            </w:r>
            <w:r>
              <w:rPr>
                <w:b/>
                <w:szCs w:val="18"/>
              </w:rPr>
              <w:t>rar</w:t>
            </w:r>
          </w:p>
          <w:p w14:paraId="7F20CA64" w14:textId="77777777" w:rsidR="008100E1" w:rsidRDefault="00C52444">
            <w:pPr>
              <w:pStyle w:val="AnnexTableCellLeft"/>
              <w:rPr>
                <w:szCs w:val="18"/>
              </w:rPr>
            </w:pPr>
            <w:r>
              <w:t>Upplýsingar um alla hagsmunaárekstra sem útgefandinn, félagið sem tilboðið tekur til, félagið sem er yfirtekið eða félagið sem skipt er upp og hluthafar þeirra geta staðið frammi fyrir í tengslum við viðskiptin.</w:t>
            </w:r>
          </w:p>
        </w:tc>
      </w:tr>
      <w:tr w:rsidR="008100E1" w14:paraId="7572C64B" w14:textId="77777777">
        <w:trPr>
          <w:trHeight w:val="240"/>
        </w:trPr>
        <w:tc>
          <w:tcPr>
            <w:tcW w:w="766" w:type="pct"/>
            <w:tcMar>
              <w:top w:w="160" w:type="dxa"/>
              <w:left w:w="0" w:type="dxa"/>
              <w:bottom w:w="160" w:type="dxa"/>
              <w:right w:w="60" w:type="dxa"/>
            </w:tcMar>
          </w:tcPr>
          <w:p w14:paraId="59CD7F8C" w14:textId="77777777" w:rsidR="008100E1" w:rsidRDefault="00C52444">
            <w:pPr>
              <w:pStyle w:val="AnnexTableCellLeft"/>
              <w:rPr>
                <w:szCs w:val="18"/>
              </w:rPr>
            </w:pPr>
            <w:r>
              <w:rPr>
                <w:b/>
                <w:szCs w:val="18"/>
              </w:rPr>
              <w:t>Liður 3.5</w:t>
            </w:r>
          </w:p>
        </w:tc>
        <w:tc>
          <w:tcPr>
            <w:tcW w:w="4234" w:type="pct"/>
            <w:tcMar>
              <w:top w:w="160" w:type="dxa"/>
              <w:left w:w="60" w:type="dxa"/>
              <w:bottom w:w="160" w:type="dxa"/>
              <w:right w:w="0" w:type="dxa"/>
            </w:tcMar>
          </w:tcPr>
          <w:p w14:paraId="3BA2F3E1" w14:textId="77777777" w:rsidR="008100E1" w:rsidRDefault="00C52444">
            <w:pPr>
              <w:pStyle w:val="AnnexTableCellLeft"/>
              <w:rPr>
                <w:szCs w:val="18"/>
              </w:rPr>
            </w:pPr>
            <w:r>
              <w:rPr>
                <w:b/>
                <w:szCs w:val="18"/>
              </w:rPr>
              <w:t>Fjárhæð tilboðsins</w:t>
            </w:r>
          </w:p>
        </w:tc>
      </w:tr>
      <w:tr w:rsidR="008100E1" w14:paraId="27E464C2" w14:textId="77777777">
        <w:trPr>
          <w:trHeight w:val="240"/>
        </w:trPr>
        <w:tc>
          <w:tcPr>
            <w:tcW w:w="766" w:type="pct"/>
            <w:tcMar>
              <w:top w:w="160" w:type="dxa"/>
              <w:left w:w="0" w:type="dxa"/>
              <w:bottom w:w="160" w:type="dxa"/>
              <w:right w:w="60" w:type="dxa"/>
            </w:tcMar>
          </w:tcPr>
          <w:p w14:paraId="4F2E16FE" w14:textId="77777777" w:rsidR="008100E1" w:rsidRDefault="00C52444">
            <w:pPr>
              <w:pStyle w:val="AnnexTableCellLeft"/>
              <w:rPr>
                <w:szCs w:val="18"/>
              </w:rPr>
            </w:pPr>
            <w:r>
              <w:rPr>
                <w:b/>
                <w:szCs w:val="18"/>
              </w:rPr>
              <w:t>Liður 3.5</w:t>
            </w:r>
            <w:r>
              <w:rPr>
                <w:b/>
                <w:szCs w:val="18"/>
              </w:rPr>
              <w:t>.1</w:t>
            </w:r>
          </w:p>
        </w:tc>
        <w:tc>
          <w:tcPr>
            <w:tcW w:w="4234" w:type="pct"/>
            <w:tcMar>
              <w:top w:w="160" w:type="dxa"/>
              <w:left w:w="60" w:type="dxa"/>
              <w:bottom w:w="160" w:type="dxa"/>
              <w:right w:w="0" w:type="dxa"/>
            </w:tcMar>
          </w:tcPr>
          <w:p w14:paraId="3634EFE8" w14:textId="77777777" w:rsidR="008100E1" w:rsidRDefault="00C52444">
            <w:pPr>
              <w:pStyle w:val="AnnexTableCellLeft"/>
              <w:rPr>
                <w:szCs w:val="18"/>
              </w:rPr>
            </w:pPr>
            <w:r>
              <w:t>Viðtakendur tilboðsins eða úthlutunar á hlutabréfatengdu verðbréfunum sem tengjast viðskiptunum.</w:t>
            </w:r>
          </w:p>
        </w:tc>
      </w:tr>
      <w:tr w:rsidR="008100E1" w14:paraId="2660F7C0" w14:textId="77777777">
        <w:trPr>
          <w:trHeight w:val="240"/>
        </w:trPr>
        <w:tc>
          <w:tcPr>
            <w:tcW w:w="766" w:type="pct"/>
            <w:tcMar>
              <w:top w:w="160" w:type="dxa"/>
              <w:left w:w="0" w:type="dxa"/>
              <w:bottom w:w="160" w:type="dxa"/>
              <w:right w:w="60" w:type="dxa"/>
            </w:tcMar>
          </w:tcPr>
          <w:p w14:paraId="7FFA3945" w14:textId="77777777" w:rsidR="008100E1" w:rsidRDefault="00C52444">
            <w:pPr>
              <w:pStyle w:val="AnnexTableCellLeft"/>
              <w:rPr>
                <w:szCs w:val="18"/>
              </w:rPr>
            </w:pPr>
            <w:r>
              <w:rPr>
                <w:b/>
                <w:szCs w:val="18"/>
              </w:rPr>
              <w:t>Liður 3.5.2</w:t>
            </w:r>
          </w:p>
        </w:tc>
        <w:tc>
          <w:tcPr>
            <w:tcW w:w="4234" w:type="pct"/>
            <w:tcMar>
              <w:top w:w="160" w:type="dxa"/>
              <w:left w:w="60" w:type="dxa"/>
              <w:bottom w:w="160" w:type="dxa"/>
              <w:right w:w="0" w:type="dxa"/>
            </w:tcMar>
          </w:tcPr>
          <w:p w14:paraId="3D740141" w14:textId="77777777" w:rsidR="008100E1" w:rsidRDefault="00C52444">
            <w:pPr>
              <w:pStyle w:val="AnnexTableCellLeft"/>
              <w:rPr>
                <w:szCs w:val="18"/>
              </w:rPr>
            </w:pPr>
            <w:r>
              <w:t>Fjárhæðin sem boðin er fyrir hvert hlutabréfatengt verðbréf eða flokk hlutabréfatengdra verðbréfa og einkum gengið og upphæð peningagreiðslna.</w:t>
            </w:r>
          </w:p>
        </w:tc>
      </w:tr>
      <w:tr w:rsidR="008100E1" w14:paraId="51C66ADD" w14:textId="77777777">
        <w:trPr>
          <w:trHeight w:val="240"/>
        </w:trPr>
        <w:tc>
          <w:tcPr>
            <w:tcW w:w="766" w:type="pct"/>
            <w:tcMar>
              <w:top w:w="160" w:type="dxa"/>
              <w:left w:w="0" w:type="dxa"/>
              <w:bottom w:w="160" w:type="dxa"/>
              <w:right w:w="60" w:type="dxa"/>
            </w:tcMar>
          </w:tcPr>
          <w:p w14:paraId="710D521F" w14:textId="77777777" w:rsidR="008100E1" w:rsidRDefault="00C52444">
            <w:pPr>
              <w:pStyle w:val="AnnexTableCellLeft"/>
              <w:rPr>
                <w:szCs w:val="18"/>
              </w:rPr>
            </w:pPr>
            <w:r>
              <w:rPr>
                <w:b/>
                <w:szCs w:val="18"/>
              </w:rPr>
              <w:t>Liður 3.5.3</w:t>
            </w:r>
          </w:p>
        </w:tc>
        <w:tc>
          <w:tcPr>
            <w:tcW w:w="4234" w:type="pct"/>
            <w:tcMar>
              <w:top w:w="160" w:type="dxa"/>
              <w:left w:w="60" w:type="dxa"/>
              <w:bottom w:w="160" w:type="dxa"/>
              <w:right w:w="0" w:type="dxa"/>
            </w:tcMar>
          </w:tcPr>
          <w:p w14:paraId="27145325" w14:textId="77777777" w:rsidR="008100E1" w:rsidRDefault="00C52444">
            <w:pPr>
              <w:pStyle w:val="AnnexTableCellLeft"/>
              <w:rPr>
                <w:szCs w:val="18"/>
              </w:rPr>
            </w:pPr>
            <w:r>
              <w:t xml:space="preserve">Upplýsingar varðandi allar óvissar greiðslur sem samþykktar eru í tengslum við viðskiptin, þ.m.t. ef um er að ræða samruna, skyldu yfirtökufélagsins til að yfirfæra viðbótarverðbréf eða reiðufé til fyrri eigenda fyrirtækisins sem er yfirtekið </w:t>
            </w:r>
            <w:r>
              <w:t>ef framtíðaratburðir eiga sér stað eða skilyrði eru uppfyllt.</w:t>
            </w:r>
          </w:p>
        </w:tc>
      </w:tr>
      <w:tr w:rsidR="008100E1" w14:paraId="4D0A7E92" w14:textId="77777777">
        <w:trPr>
          <w:trHeight w:val="240"/>
        </w:trPr>
        <w:tc>
          <w:tcPr>
            <w:tcW w:w="766" w:type="pct"/>
            <w:tcMar>
              <w:top w:w="160" w:type="dxa"/>
              <w:left w:w="0" w:type="dxa"/>
              <w:bottom w:w="160" w:type="dxa"/>
              <w:right w:w="60" w:type="dxa"/>
            </w:tcMar>
          </w:tcPr>
          <w:p w14:paraId="43FE7182" w14:textId="77777777" w:rsidR="008100E1" w:rsidRDefault="00C52444">
            <w:pPr>
              <w:pStyle w:val="AnnexTableCellLeft"/>
              <w:rPr>
                <w:szCs w:val="18"/>
              </w:rPr>
            </w:pPr>
            <w:r>
              <w:rPr>
                <w:b/>
                <w:szCs w:val="18"/>
              </w:rPr>
              <w:t>Liður 3.5.4</w:t>
            </w:r>
          </w:p>
        </w:tc>
        <w:tc>
          <w:tcPr>
            <w:tcW w:w="4234" w:type="pct"/>
            <w:tcMar>
              <w:top w:w="160" w:type="dxa"/>
              <w:left w:w="60" w:type="dxa"/>
              <w:bottom w:w="160" w:type="dxa"/>
              <w:right w:w="0" w:type="dxa"/>
            </w:tcMar>
          </w:tcPr>
          <w:p w14:paraId="13555E2C" w14:textId="77777777" w:rsidR="008100E1" w:rsidRDefault="00C52444">
            <w:pPr>
              <w:pStyle w:val="AnnexTableCellLeft"/>
              <w:rPr>
                <w:szCs w:val="18"/>
              </w:rPr>
            </w:pPr>
            <w:proofErr w:type="spellStart"/>
            <w:r>
              <w:t>Virðismatsaðferðirnar</w:t>
            </w:r>
            <w:proofErr w:type="spellEnd"/>
            <w:r>
              <w:t xml:space="preserve"> og forsendurnar sem beitt er til að ákvarða fjárhæðina sem boðin er fyrir hvert hlutabréfatengt verðbréf eða flokk hlutabréfatengdra verðbréfa, einkum að því er varðar gengið.</w:t>
            </w:r>
          </w:p>
        </w:tc>
      </w:tr>
      <w:tr w:rsidR="008100E1" w14:paraId="6D7563DF" w14:textId="77777777">
        <w:trPr>
          <w:trHeight w:val="240"/>
        </w:trPr>
        <w:tc>
          <w:tcPr>
            <w:tcW w:w="766" w:type="pct"/>
            <w:tcMar>
              <w:top w:w="160" w:type="dxa"/>
              <w:left w:w="0" w:type="dxa"/>
              <w:bottom w:w="160" w:type="dxa"/>
              <w:right w:w="60" w:type="dxa"/>
            </w:tcMar>
          </w:tcPr>
          <w:p w14:paraId="26A696E9" w14:textId="77777777" w:rsidR="008100E1" w:rsidRDefault="00C52444">
            <w:pPr>
              <w:pStyle w:val="AnnexTableCellLeft"/>
              <w:rPr>
                <w:szCs w:val="18"/>
              </w:rPr>
            </w:pPr>
            <w:r>
              <w:rPr>
                <w:b/>
                <w:szCs w:val="18"/>
              </w:rPr>
              <w:t>Liður 3.5.5</w:t>
            </w:r>
          </w:p>
        </w:tc>
        <w:tc>
          <w:tcPr>
            <w:tcW w:w="4234" w:type="pct"/>
            <w:tcMar>
              <w:top w:w="160" w:type="dxa"/>
              <w:left w:w="60" w:type="dxa"/>
              <w:bottom w:w="160" w:type="dxa"/>
              <w:right w:w="0" w:type="dxa"/>
            </w:tcMar>
          </w:tcPr>
          <w:p w14:paraId="5FF82363" w14:textId="77777777" w:rsidR="008100E1" w:rsidRDefault="00C52444">
            <w:pPr>
              <w:pStyle w:val="AnnexTableCellLeft"/>
              <w:spacing w:after="120"/>
              <w:rPr>
                <w:szCs w:val="18"/>
              </w:rPr>
            </w:pPr>
            <w:r>
              <w:t>Upplýsingar um öll möt eða skýrslur sem gerð eru af óháðum sérfræðingum og upplýsingar um hvar hægt er að skoða þessi möt eða skýrslur.</w:t>
            </w:r>
          </w:p>
          <w:p w14:paraId="4D727663" w14:textId="77777777" w:rsidR="008100E1" w:rsidRDefault="00C52444">
            <w:pPr>
              <w:pStyle w:val="AnnexTableCellLeft"/>
              <w:spacing w:after="120"/>
              <w:rPr>
                <w:szCs w:val="18"/>
              </w:rPr>
            </w:pPr>
            <w:r>
              <w:t>Ef um er að ræða samruna skal undanþáguskjalið innihalda upplýsingarnar sem krafist er í 96. eða 125. gr. tilskipunar (E</w:t>
            </w:r>
            <w:r>
              <w:t>SB) 2017/1132, með hliðsjón af tegund samrunans, eða tilgreina hvar hægt er að skoða þær upplýsingar.</w:t>
            </w:r>
          </w:p>
          <w:p w14:paraId="3B34A39C" w14:textId="77777777" w:rsidR="008100E1" w:rsidRDefault="00C52444">
            <w:pPr>
              <w:pStyle w:val="AnnexTableCellLeft"/>
              <w:rPr>
                <w:szCs w:val="18"/>
              </w:rPr>
            </w:pPr>
            <w:r>
              <w:t>Ef um er að ræða uppskipti skal undanþáguskjalið innihalda upplýsingarnar sem krafist er í 142. gr. tilskipunar (ESB) 2017/1132 eða tilgreina hvar hægt er</w:t>
            </w:r>
            <w:r>
              <w:t xml:space="preserve"> að skoða þær upplýsingar.</w:t>
            </w:r>
          </w:p>
        </w:tc>
      </w:tr>
      <w:tr w:rsidR="008100E1" w14:paraId="14DEC642" w14:textId="77777777">
        <w:trPr>
          <w:trHeight w:val="240"/>
        </w:trPr>
        <w:tc>
          <w:tcPr>
            <w:tcW w:w="766" w:type="pct"/>
            <w:tcMar>
              <w:top w:w="160" w:type="dxa"/>
              <w:left w:w="0" w:type="dxa"/>
              <w:bottom w:w="160" w:type="dxa"/>
              <w:right w:w="60" w:type="dxa"/>
            </w:tcMar>
          </w:tcPr>
          <w:p w14:paraId="4B8557CC" w14:textId="77777777" w:rsidR="008100E1" w:rsidRDefault="00C52444">
            <w:pPr>
              <w:pStyle w:val="AnnexTableCellLeft"/>
              <w:spacing w:line="200" w:lineRule="exact"/>
              <w:rPr>
                <w:sz w:val="16"/>
                <w:szCs w:val="16"/>
              </w:rPr>
            </w:pPr>
            <w:r>
              <w:rPr>
                <w:b/>
                <w:sz w:val="16"/>
                <w:szCs w:val="16"/>
              </w:rPr>
              <w:t>4. ÞÁTTUR</w:t>
            </w:r>
          </w:p>
        </w:tc>
        <w:tc>
          <w:tcPr>
            <w:tcW w:w="4234" w:type="pct"/>
            <w:tcMar>
              <w:top w:w="160" w:type="dxa"/>
              <w:left w:w="60" w:type="dxa"/>
              <w:bottom w:w="160" w:type="dxa"/>
              <w:right w:w="0" w:type="dxa"/>
            </w:tcMar>
          </w:tcPr>
          <w:p w14:paraId="55861BA1" w14:textId="77777777" w:rsidR="008100E1" w:rsidRDefault="00C52444">
            <w:pPr>
              <w:pStyle w:val="AnnexTableCellLeft"/>
              <w:spacing w:line="200" w:lineRule="exact"/>
              <w:rPr>
                <w:sz w:val="16"/>
                <w:szCs w:val="16"/>
              </w:rPr>
            </w:pPr>
            <w:r>
              <w:rPr>
                <w:b/>
                <w:sz w:val="16"/>
                <w:szCs w:val="16"/>
              </w:rPr>
              <w:t>HLUTABRÉFATENGD VERÐBRÉF SEM ERU BOÐIN Í ALMENNU ÚTBOÐI EÐA TEKIN TIL VIÐSKIPTA Á SKIPULEGUM MARKAÐI VEGNA VIÐSKIPTANNA</w:t>
            </w:r>
          </w:p>
        </w:tc>
      </w:tr>
      <w:tr w:rsidR="008100E1" w14:paraId="63C8AE4F" w14:textId="77777777">
        <w:trPr>
          <w:trHeight w:val="240"/>
        </w:trPr>
        <w:tc>
          <w:tcPr>
            <w:tcW w:w="5000" w:type="pct"/>
            <w:gridSpan w:val="2"/>
            <w:tcMar>
              <w:top w:w="160" w:type="dxa"/>
              <w:left w:w="0" w:type="dxa"/>
              <w:bottom w:w="160" w:type="dxa"/>
              <w:right w:w="0" w:type="dxa"/>
            </w:tcMar>
          </w:tcPr>
          <w:p w14:paraId="4168927D" w14:textId="77777777" w:rsidR="008100E1" w:rsidRDefault="00C52444">
            <w:pPr>
              <w:pStyle w:val="AnnexTableCellLeft"/>
              <w:rPr>
                <w:szCs w:val="18"/>
              </w:rPr>
            </w:pPr>
            <w:r>
              <w:rPr>
                <w:b/>
                <w:i/>
                <w:szCs w:val="18"/>
              </w:rPr>
              <w:t>Veittar upplýsingar um hlutabréfatengd verðbréf önnur en hlutabréf skulu vera ítarlegar og inniha</w:t>
            </w:r>
            <w:r>
              <w:rPr>
                <w:b/>
                <w:i/>
                <w:szCs w:val="18"/>
              </w:rPr>
              <w:t>lda þær upplýsingar um undirliggjandi hlutabréf sem taldar eru upp hér að neðan.</w:t>
            </w:r>
          </w:p>
        </w:tc>
      </w:tr>
      <w:tr w:rsidR="008100E1" w14:paraId="399FDE6F" w14:textId="77777777">
        <w:trPr>
          <w:trHeight w:val="240"/>
        </w:trPr>
        <w:tc>
          <w:tcPr>
            <w:tcW w:w="766" w:type="pct"/>
            <w:tcMar>
              <w:top w:w="160" w:type="dxa"/>
              <w:left w:w="0" w:type="dxa"/>
              <w:bottom w:w="160" w:type="dxa"/>
              <w:right w:w="60" w:type="dxa"/>
            </w:tcMar>
          </w:tcPr>
          <w:p w14:paraId="24D3F1EE" w14:textId="77777777" w:rsidR="008100E1" w:rsidRDefault="00C52444">
            <w:pPr>
              <w:pStyle w:val="AnnexTableCellLeft"/>
              <w:rPr>
                <w:szCs w:val="18"/>
              </w:rPr>
            </w:pPr>
            <w:r>
              <w:rPr>
                <w:b/>
                <w:szCs w:val="18"/>
              </w:rPr>
              <w:t>Liður 4.1</w:t>
            </w:r>
          </w:p>
        </w:tc>
        <w:tc>
          <w:tcPr>
            <w:tcW w:w="4234" w:type="pct"/>
            <w:tcMar>
              <w:top w:w="160" w:type="dxa"/>
              <w:left w:w="60" w:type="dxa"/>
              <w:bottom w:w="160" w:type="dxa"/>
              <w:right w:w="0" w:type="dxa"/>
            </w:tcMar>
          </w:tcPr>
          <w:p w14:paraId="71F4FA25" w14:textId="77777777" w:rsidR="008100E1" w:rsidRDefault="00C52444">
            <w:pPr>
              <w:pStyle w:val="AnnexTableCellLeft"/>
              <w:spacing w:after="120"/>
              <w:rPr>
                <w:szCs w:val="18"/>
              </w:rPr>
            </w:pPr>
            <w:r>
              <w:rPr>
                <w:b/>
                <w:szCs w:val="18"/>
              </w:rPr>
              <w:t>Áhættuþættir</w:t>
            </w:r>
          </w:p>
          <w:p w14:paraId="5E2D509B" w14:textId="77777777" w:rsidR="008100E1" w:rsidRDefault="00C52444">
            <w:pPr>
              <w:pStyle w:val="AnnexTableCellLeft"/>
              <w:spacing w:after="120"/>
              <w:rPr>
                <w:szCs w:val="18"/>
              </w:rPr>
            </w:pPr>
            <w:r>
              <w:t>Lýsing á verulegri áhættu sem er sértæk fyrir hlutabréfatengdu verðbréfin sem boðin eru eða tekin til viðskipta, í takmörkuðum fjölda flokka, í kafla með fyrirsögninni „Áhættuþættir sem tengjast hlutabréfatengdum verðbréfum“.</w:t>
            </w:r>
          </w:p>
          <w:p w14:paraId="0B7A2B32" w14:textId="77777777" w:rsidR="008100E1" w:rsidRDefault="00C52444">
            <w:pPr>
              <w:pStyle w:val="AnnexTableCellLeft"/>
              <w:spacing w:after="120"/>
              <w:rPr>
                <w:szCs w:val="18"/>
              </w:rPr>
            </w:pPr>
            <w:r>
              <w:t>Í hverjum flokki skal fyrst te</w:t>
            </w:r>
            <w:r>
              <w:t>lja upp alvarlegustu áhættuþættina að mati útgefanda, tilboðsgjafa eða aðilans sem sækir um töku til viðskipta á skipulegum markaði, að teknu tilliti til neikvæðra áhrifa á útgefandann og hlutabréfatengdu verðbréfin og líkanna á að þeir raungerist.</w:t>
            </w:r>
          </w:p>
          <w:p w14:paraId="68D7CB51" w14:textId="77777777" w:rsidR="008100E1" w:rsidRDefault="00C52444">
            <w:pPr>
              <w:pStyle w:val="AnnexTableCellLeft"/>
              <w:rPr>
                <w:szCs w:val="18"/>
              </w:rPr>
            </w:pPr>
            <w:r>
              <w:t>Áhættuþ</w:t>
            </w:r>
            <w:r>
              <w:t>ættirnir skulu staðfestir með efni undanþáguskjalsins.</w:t>
            </w:r>
          </w:p>
        </w:tc>
      </w:tr>
      <w:tr w:rsidR="008100E1" w14:paraId="497BFE7A" w14:textId="77777777">
        <w:trPr>
          <w:trHeight w:val="240"/>
        </w:trPr>
        <w:tc>
          <w:tcPr>
            <w:tcW w:w="766" w:type="pct"/>
            <w:tcMar>
              <w:top w:w="100" w:type="dxa"/>
              <w:left w:w="0" w:type="dxa"/>
              <w:bottom w:w="100" w:type="dxa"/>
              <w:right w:w="60" w:type="dxa"/>
            </w:tcMar>
          </w:tcPr>
          <w:p w14:paraId="45251367" w14:textId="77777777" w:rsidR="008100E1" w:rsidRDefault="00C52444">
            <w:pPr>
              <w:pStyle w:val="AnnexTableCellLeft"/>
              <w:pageBreakBefore/>
              <w:rPr>
                <w:szCs w:val="18"/>
              </w:rPr>
            </w:pPr>
            <w:r>
              <w:rPr>
                <w:b/>
                <w:szCs w:val="18"/>
              </w:rPr>
              <w:lastRenderedPageBreak/>
              <w:t>Liður 4.2</w:t>
            </w:r>
          </w:p>
        </w:tc>
        <w:tc>
          <w:tcPr>
            <w:tcW w:w="4234" w:type="pct"/>
            <w:tcMar>
              <w:top w:w="100" w:type="dxa"/>
              <w:left w:w="60" w:type="dxa"/>
              <w:bottom w:w="100" w:type="dxa"/>
              <w:right w:w="0" w:type="dxa"/>
            </w:tcMar>
          </w:tcPr>
          <w:p w14:paraId="3A663068" w14:textId="77777777" w:rsidR="008100E1" w:rsidRDefault="00C52444">
            <w:pPr>
              <w:pStyle w:val="AnnexTableCellLeft"/>
              <w:spacing w:after="120"/>
              <w:rPr>
                <w:szCs w:val="18"/>
              </w:rPr>
            </w:pPr>
            <w:r>
              <w:rPr>
                <w:b/>
                <w:szCs w:val="18"/>
              </w:rPr>
              <w:t>Yfirlýsing um veltufé</w:t>
            </w:r>
          </w:p>
          <w:p w14:paraId="7D5BE563" w14:textId="77777777" w:rsidR="008100E1" w:rsidRDefault="00C52444">
            <w:pPr>
              <w:pStyle w:val="AnnexTableCellLeft"/>
              <w:rPr>
                <w:szCs w:val="18"/>
              </w:rPr>
            </w:pPr>
            <w:r>
              <w:t>Yfirlýsing útgefandans um að hann telji veltufé sitt nægja til að uppfylla núverandi þarfir sínar og, ef ekki, hvernig hann hyggst afla þess viðbótarveltufjár sem til þ</w:t>
            </w:r>
            <w:r>
              <w:t>arf.</w:t>
            </w:r>
          </w:p>
        </w:tc>
      </w:tr>
      <w:tr w:rsidR="008100E1" w14:paraId="075609D0" w14:textId="77777777">
        <w:trPr>
          <w:trHeight w:val="240"/>
        </w:trPr>
        <w:tc>
          <w:tcPr>
            <w:tcW w:w="766" w:type="pct"/>
            <w:tcMar>
              <w:top w:w="100" w:type="dxa"/>
              <w:left w:w="0" w:type="dxa"/>
              <w:bottom w:w="100" w:type="dxa"/>
              <w:right w:w="60" w:type="dxa"/>
            </w:tcMar>
          </w:tcPr>
          <w:p w14:paraId="34DE5D5F" w14:textId="77777777" w:rsidR="008100E1" w:rsidRDefault="00C52444">
            <w:pPr>
              <w:pStyle w:val="AnnexTableCellLeft"/>
              <w:rPr>
                <w:szCs w:val="18"/>
              </w:rPr>
            </w:pPr>
            <w:r>
              <w:rPr>
                <w:b/>
                <w:szCs w:val="18"/>
              </w:rPr>
              <w:t>Liður 4.3</w:t>
            </w:r>
          </w:p>
        </w:tc>
        <w:tc>
          <w:tcPr>
            <w:tcW w:w="4234" w:type="pct"/>
            <w:tcMar>
              <w:top w:w="100" w:type="dxa"/>
              <w:left w:w="60" w:type="dxa"/>
              <w:bottom w:w="100" w:type="dxa"/>
              <w:right w:w="0" w:type="dxa"/>
            </w:tcMar>
          </w:tcPr>
          <w:p w14:paraId="51B0D130" w14:textId="77777777" w:rsidR="008100E1" w:rsidRDefault="00C52444">
            <w:pPr>
              <w:pStyle w:val="AnnexTableCellLeft"/>
              <w:rPr>
                <w:szCs w:val="18"/>
              </w:rPr>
            </w:pPr>
            <w:r>
              <w:rPr>
                <w:b/>
                <w:szCs w:val="18"/>
              </w:rPr>
              <w:t>Upplýsingar um hlutabréfatengdu verðbréfin sem á að bjóða og/eða taka til viðskipta</w:t>
            </w:r>
          </w:p>
        </w:tc>
      </w:tr>
      <w:tr w:rsidR="008100E1" w14:paraId="3F07DA95" w14:textId="77777777">
        <w:trPr>
          <w:trHeight w:val="240"/>
        </w:trPr>
        <w:tc>
          <w:tcPr>
            <w:tcW w:w="766" w:type="pct"/>
            <w:tcMar>
              <w:top w:w="100" w:type="dxa"/>
              <w:left w:w="0" w:type="dxa"/>
              <w:bottom w:w="100" w:type="dxa"/>
              <w:right w:w="60" w:type="dxa"/>
            </w:tcMar>
          </w:tcPr>
          <w:p w14:paraId="0AC32F35" w14:textId="77777777" w:rsidR="008100E1" w:rsidRDefault="00C52444">
            <w:pPr>
              <w:pStyle w:val="AnnexTableCellLeft"/>
              <w:rPr>
                <w:szCs w:val="18"/>
              </w:rPr>
            </w:pPr>
            <w:r>
              <w:rPr>
                <w:b/>
                <w:szCs w:val="18"/>
              </w:rPr>
              <w:t>Liður 4.3.1</w:t>
            </w:r>
          </w:p>
        </w:tc>
        <w:tc>
          <w:tcPr>
            <w:tcW w:w="4234" w:type="pct"/>
            <w:tcMar>
              <w:top w:w="100" w:type="dxa"/>
              <w:left w:w="60" w:type="dxa"/>
              <w:bottom w:w="100" w:type="dxa"/>
              <w:right w:w="0" w:type="dxa"/>
            </w:tcMar>
          </w:tcPr>
          <w:p w14:paraId="7CF6B208" w14:textId="77777777" w:rsidR="008100E1" w:rsidRDefault="00C52444">
            <w:pPr>
              <w:pStyle w:val="AnnexTableCellLeft"/>
              <w:spacing w:after="120"/>
              <w:rPr>
                <w:szCs w:val="18"/>
              </w:rPr>
            </w:pPr>
            <w:r>
              <w:t>Almennar upplýsingar sem á að veita:</w:t>
            </w:r>
          </w:p>
          <w:p w14:paraId="1F18DC70" w14:textId="77777777" w:rsidR="008100E1" w:rsidRDefault="00C52444">
            <w:pPr>
              <w:pStyle w:val="AnnexNumberedText"/>
              <w:ind w:left="300" w:hanging="300"/>
              <w:rPr>
                <w:szCs w:val="18"/>
              </w:rPr>
            </w:pPr>
            <w:r>
              <w:t>a)</w:t>
            </w:r>
            <w:r>
              <w:tab/>
            </w:r>
            <w:r>
              <w:t>lýsing á tegund, flokki og magni hlutabréfatengdu verðbréfanna sem eru boðin og/eða tekin til viðskipta, þ.m.t. alþjóðlegt auðkennisnúmer verðbréfa (ISIN-númer),</w:t>
            </w:r>
          </w:p>
          <w:p w14:paraId="17CD6E29" w14:textId="77777777" w:rsidR="008100E1" w:rsidRDefault="00C52444">
            <w:pPr>
              <w:pStyle w:val="AnnexNumberedText"/>
              <w:spacing w:after="0"/>
              <w:ind w:left="300" w:hanging="300"/>
              <w:rPr>
                <w:szCs w:val="18"/>
              </w:rPr>
            </w:pPr>
            <w:r>
              <w:t>b)</w:t>
            </w:r>
            <w:r>
              <w:tab/>
              <w:t>gjaldmiðill útgefnu hlutabréfatengdu verðbréfanna.</w:t>
            </w:r>
          </w:p>
        </w:tc>
      </w:tr>
      <w:tr w:rsidR="008100E1" w14:paraId="50728C81" w14:textId="77777777">
        <w:trPr>
          <w:trHeight w:val="240"/>
        </w:trPr>
        <w:tc>
          <w:tcPr>
            <w:tcW w:w="766" w:type="pct"/>
            <w:tcMar>
              <w:top w:w="100" w:type="dxa"/>
              <w:left w:w="0" w:type="dxa"/>
              <w:bottom w:w="100" w:type="dxa"/>
              <w:right w:w="60" w:type="dxa"/>
            </w:tcMar>
          </w:tcPr>
          <w:p w14:paraId="2B596F1B" w14:textId="77777777" w:rsidR="008100E1" w:rsidRDefault="00C52444">
            <w:pPr>
              <w:pStyle w:val="AnnexTableCellLeft"/>
              <w:rPr>
                <w:szCs w:val="18"/>
              </w:rPr>
            </w:pPr>
            <w:r>
              <w:rPr>
                <w:b/>
                <w:szCs w:val="18"/>
              </w:rPr>
              <w:t>Liður 4.3.2</w:t>
            </w:r>
          </w:p>
        </w:tc>
        <w:tc>
          <w:tcPr>
            <w:tcW w:w="4234" w:type="pct"/>
            <w:tcMar>
              <w:top w:w="100" w:type="dxa"/>
              <w:left w:w="60" w:type="dxa"/>
              <w:bottom w:w="100" w:type="dxa"/>
              <w:right w:w="0" w:type="dxa"/>
            </w:tcMar>
          </w:tcPr>
          <w:p w14:paraId="210824A5" w14:textId="77777777" w:rsidR="008100E1" w:rsidRDefault="00C52444">
            <w:pPr>
              <w:pStyle w:val="AnnexTableCellLeft"/>
              <w:rPr>
                <w:szCs w:val="18"/>
              </w:rPr>
            </w:pPr>
            <w:r>
              <w:t>Yfirlýsing um ályktanir, he</w:t>
            </w:r>
            <w:r>
              <w:t>imildir og staðfestingar sem liggja til grundvallar því að hlutabréfatengdu verðbréfin hafa verið eða verða stofnuð og/eða gefin út.</w:t>
            </w:r>
          </w:p>
        </w:tc>
      </w:tr>
      <w:tr w:rsidR="008100E1" w14:paraId="74D4B8B2" w14:textId="77777777">
        <w:trPr>
          <w:trHeight w:val="240"/>
        </w:trPr>
        <w:tc>
          <w:tcPr>
            <w:tcW w:w="766" w:type="pct"/>
            <w:tcMar>
              <w:top w:w="100" w:type="dxa"/>
              <w:left w:w="0" w:type="dxa"/>
              <w:bottom w:w="100" w:type="dxa"/>
              <w:right w:w="60" w:type="dxa"/>
            </w:tcMar>
          </w:tcPr>
          <w:p w14:paraId="55852467" w14:textId="77777777" w:rsidR="008100E1" w:rsidRDefault="00C52444">
            <w:pPr>
              <w:pStyle w:val="AnnexTableCellLeft"/>
              <w:rPr>
                <w:szCs w:val="18"/>
              </w:rPr>
            </w:pPr>
            <w:r>
              <w:rPr>
                <w:b/>
                <w:szCs w:val="18"/>
              </w:rPr>
              <w:t>Liður 4.3.3</w:t>
            </w:r>
          </w:p>
        </w:tc>
        <w:tc>
          <w:tcPr>
            <w:tcW w:w="4234" w:type="pct"/>
            <w:tcMar>
              <w:top w:w="100" w:type="dxa"/>
              <w:left w:w="60" w:type="dxa"/>
              <w:bottom w:w="100" w:type="dxa"/>
              <w:right w:w="0" w:type="dxa"/>
            </w:tcMar>
          </w:tcPr>
          <w:p w14:paraId="6FD260B3" w14:textId="77777777" w:rsidR="008100E1" w:rsidRDefault="00C52444">
            <w:pPr>
              <w:pStyle w:val="AnnexTableCellLeft"/>
              <w:rPr>
                <w:szCs w:val="18"/>
              </w:rPr>
            </w:pPr>
            <w:r>
              <w:t>Lýsing á hvers kyns takmörkunum á frjálsu framsali hlutabréfatengdu verðbréfanna.</w:t>
            </w:r>
          </w:p>
        </w:tc>
      </w:tr>
      <w:tr w:rsidR="008100E1" w14:paraId="38C1926D" w14:textId="77777777">
        <w:trPr>
          <w:trHeight w:val="240"/>
        </w:trPr>
        <w:tc>
          <w:tcPr>
            <w:tcW w:w="766" w:type="pct"/>
            <w:tcMar>
              <w:top w:w="100" w:type="dxa"/>
              <w:left w:w="0" w:type="dxa"/>
              <w:bottom w:w="100" w:type="dxa"/>
              <w:right w:w="60" w:type="dxa"/>
            </w:tcMar>
          </w:tcPr>
          <w:p w14:paraId="1FBE86AB" w14:textId="77777777" w:rsidR="008100E1" w:rsidRDefault="00C52444">
            <w:pPr>
              <w:pStyle w:val="AnnexTableCellLeft"/>
              <w:rPr>
                <w:szCs w:val="18"/>
              </w:rPr>
            </w:pPr>
            <w:r>
              <w:rPr>
                <w:b/>
                <w:szCs w:val="18"/>
              </w:rPr>
              <w:t>Liður 4.3.4</w:t>
            </w:r>
          </w:p>
        </w:tc>
        <w:tc>
          <w:tcPr>
            <w:tcW w:w="4234" w:type="pct"/>
            <w:tcMar>
              <w:top w:w="100" w:type="dxa"/>
              <w:left w:w="60" w:type="dxa"/>
              <w:bottom w:w="100" w:type="dxa"/>
              <w:right w:w="0" w:type="dxa"/>
            </w:tcMar>
          </w:tcPr>
          <w:p w14:paraId="6B41074A" w14:textId="77777777" w:rsidR="008100E1" w:rsidRDefault="00C52444">
            <w:pPr>
              <w:pStyle w:val="AnnexTableCellLeft"/>
              <w:rPr>
                <w:szCs w:val="18"/>
              </w:rPr>
            </w:pPr>
            <w:r>
              <w:t>Upplýsingar um opinber yfirtökutilboð af hálfu þriðju aðila í tengslum við hlutabréf útgefanda sem hafa verið gerð á næstliðnu og yfirstandandi fjárhagsári. Tilgreina skal verð eða skiptakjör sem fylgja slíkum tilboðum og niðurstöðu þeirra.</w:t>
            </w:r>
          </w:p>
        </w:tc>
      </w:tr>
      <w:tr w:rsidR="008100E1" w14:paraId="03F7EF96" w14:textId="77777777">
        <w:trPr>
          <w:trHeight w:val="240"/>
        </w:trPr>
        <w:tc>
          <w:tcPr>
            <w:tcW w:w="766" w:type="pct"/>
            <w:tcMar>
              <w:top w:w="100" w:type="dxa"/>
              <w:left w:w="0" w:type="dxa"/>
              <w:bottom w:w="100" w:type="dxa"/>
              <w:right w:w="60" w:type="dxa"/>
            </w:tcMar>
          </w:tcPr>
          <w:p w14:paraId="751B32D7" w14:textId="77777777" w:rsidR="008100E1" w:rsidRDefault="00C52444">
            <w:pPr>
              <w:pStyle w:val="AnnexTableCellLeft"/>
              <w:rPr>
                <w:szCs w:val="18"/>
              </w:rPr>
            </w:pPr>
            <w:r>
              <w:rPr>
                <w:b/>
                <w:szCs w:val="18"/>
              </w:rPr>
              <w:t>Liður 4.4</w:t>
            </w:r>
          </w:p>
        </w:tc>
        <w:tc>
          <w:tcPr>
            <w:tcW w:w="4234" w:type="pct"/>
            <w:tcMar>
              <w:top w:w="100" w:type="dxa"/>
              <w:left w:w="60" w:type="dxa"/>
              <w:bottom w:w="100" w:type="dxa"/>
              <w:right w:w="0" w:type="dxa"/>
            </w:tcMar>
          </w:tcPr>
          <w:p w14:paraId="2F7A5ABE" w14:textId="77777777" w:rsidR="008100E1" w:rsidRDefault="00C52444">
            <w:pPr>
              <w:pStyle w:val="AnnexTableCellLeft"/>
              <w:rPr>
                <w:szCs w:val="18"/>
              </w:rPr>
            </w:pPr>
            <w:r>
              <w:rPr>
                <w:b/>
                <w:szCs w:val="18"/>
              </w:rPr>
              <w:t>Taka</w:t>
            </w:r>
            <w:r>
              <w:rPr>
                <w:b/>
                <w:szCs w:val="18"/>
              </w:rPr>
              <w:t xml:space="preserve"> til viðskipta og fyrirkomulag viðskipta</w:t>
            </w:r>
          </w:p>
        </w:tc>
      </w:tr>
      <w:tr w:rsidR="008100E1" w14:paraId="0F764555" w14:textId="77777777">
        <w:trPr>
          <w:trHeight w:val="240"/>
        </w:trPr>
        <w:tc>
          <w:tcPr>
            <w:tcW w:w="766" w:type="pct"/>
            <w:tcMar>
              <w:top w:w="100" w:type="dxa"/>
              <w:left w:w="0" w:type="dxa"/>
              <w:bottom w:w="100" w:type="dxa"/>
              <w:right w:w="60" w:type="dxa"/>
            </w:tcMar>
          </w:tcPr>
          <w:p w14:paraId="59AF08AF" w14:textId="77777777" w:rsidR="008100E1" w:rsidRDefault="00C52444">
            <w:pPr>
              <w:pStyle w:val="AnnexTableCellLeft"/>
              <w:rPr>
                <w:szCs w:val="18"/>
              </w:rPr>
            </w:pPr>
            <w:r>
              <w:rPr>
                <w:b/>
                <w:szCs w:val="18"/>
              </w:rPr>
              <w:t>Liður 4.4.1</w:t>
            </w:r>
          </w:p>
        </w:tc>
        <w:tc>
          <w:tcPr>
            <w:tcW w:w="4234" w:type="pct"/>
            <w:tcMar>
              <w:top w:w="100" w:type="dxa"/>
              <w:left w:w="60" w:type="dxa"/>
              <w:bottom w:w="100" w:type="dxa"/>
              <w:right w:w="0" w:type="dxa"/>
            </w:tcMar>
          </w:tcPr>
          <w:p w14:paraId="2AED0E72" w14:textId="77777777" w:rsidR="008100E1" w:rsidRDefault="00C52444">
            <w:pPr>
              <w:pStyle w:val="AnnexTableCellLeft"/>
              <w:spacing w:after="120"/>
              <w:rPr>
                <w:szCs w:val="18"/>
              </w:rPr>
            </w:pPr>
            <w:r>
              <w:t>Upplýsingar um hvort sótt hafi verið eða sótt verði um töku hlutabréfatengdu verðbréfanna, sem boðin eru, til viðskipta, með dreifingu þeirra í huga, á skipulegum markaði eða öðrum jafngildum mörkuðum þ</w:t>
            </w:r>
            <w:r>
              <w:t xml:space="preserve">riðju landa eins og skilgreint er í </w:t>
            </w:r>
            <w:proofErr w:type="spellStart"/>
            <w:r>
              <w:t>b-lið</w:t>
            </w:r>
            <w:proofErr w:type="spellEnd"/>
            <w:r>
              <w:t xml:space="preserve"> 1. gr. framseldrar reglugerðar framkvæmdastjórnarinnar (ESB) 2019/980 (</w:t>
            </w:r>
            <w:r>
              <w:rPr>
                <w:szCs w:val="18"/>
              </w:rPr>
              <w:fldChar w:fldCharType="begin"/>
            </w:r>
            <w:r>
              <w:rPr>
                <w:szCs w:val="18"/>
              </w:rPr>
              <w:instrText xml:space="preserve"> REF NOTE_9 \h  \* MERGEFORMAT </w:instrText>
            </w:r>
            <w:r>
              <w:rPr>
                <w:szCs w:val="18"/>
              </w:rPr>
            </w:r>
            <w:r>
              <w:rPr>
                <w:szCs w:val="18"/>
              </w:rPr>
              <w:fldChar w:fldCharType="separate"/>
            </w:r>
            <w:r>
              <w:rPr>
                <w:szCs w:val="18"/>
                <w:vertAlign w:val="superscript"/>
              </w:rPr>
              <w:t>4</w:t>
            </w:r>
            <w:r>
              <w:rPr>
                <w:szCs w:val="18"/>
              </w:rPr>
              <w:fldChar w:fldCharType="end"/>
            </w:r>
            <w:r>
              <w:t>), ásamt upplýsingum um viðkomandi markaði.</w:t>
            </w:r>
          </w:p>
          <w:p w14:paraId="63500254" w14:textId="77777777" w:rsidR="008100E1" w:rsidRDefault="00C52444">
            <w:pPr>
              <w:pStyle w:val="AnnexTableCellLeft"/>
              <w:rPr>
                <w:szCs w:val="18"/>
              </w:rPr>
            </w:pPr>
            <w:r>
              <w:t>Tilgrei</w:t>
            </w:r>
            <w:r>
              <w:t>na skal þá daga sem hlutabréfatengdu verðbréfin verða fyrst tekin til viðskipta, sé vitað um þá.</w:t>
            </w:r>
          </w:p>
        </w:tc>
      </w:tr>
      <w:tr w:rsidR="008100E1" w14:paraId="44E4F060" w14:textId="77777777">
        <w:trPr>
          <w:trHeight w:val="240"/>
        </w:trPr>
        <w:tc>
          <w:tcPr>
            <w:tcW w:w="766" w:type="pct"/>
            <w:tcMar>
              <w:top w:w="100" w:type="dxa"/>
              <w:left w:w="0" w:type="dxa"/>
              <w:bottom w:w="100" w:type="dxa"/>
              <w:right w:w="60" w:type="dxa"/>
            </w:tcMar>
          </w:tcPr>
          <w:p w14:paraId="474E882C" w14:textId="77777777" w:rsidR="008100E1" w:rsidRDefault="00C52444">
            <w:pPr>
              <w:pStyle w:val="AnnexTableCellLeft"/>
              <w:rPr>
                <w:szCs w:val="18"/>
              </w:rPr>
            </w:pPr>
            <w:r>
              <w:rPr>
                <w:b/>
                <w:szCs w:val="18"/>
              </w:rPr>
              <w:t>Liður 4.4.2</w:t>
            </w:r>
          </w:p>
        </w:tc>
        <w:tc>
          <w:tcPr>
            <w:tcW w:w="4234" w:type="pct"/>
            <w:tcMar>
              <w:top w:w="100" w:type="dxa"/>
              <w:left w:w="60" w:type="dxa"/>
              <w:bottom w:w="100" w:type="dxa"/>
              <w:right w:w="0" w:type="dxa"/>
            </w:tcMar>
          </w:tcPr>
          <w:p w14:paraId="2ACAE5F7" w14:textId="77777777" w:rsidR="008100E1" w:rsidRDefault="00C52444">
            <w:pPr>
              <w:pStyle w:val="AnnexTableCellLeft"/>
              <w:rPr>
                <w:szCs w:val="18"/>
              </w:rPr>
            </w:pPr>
            <w:r>
              <w:t xml:space="preserve">Allir skipulegir markaðir, eða aðrir jafngildir markaðir þriðju landa sem skilgreindir eru í </w:t>
            </w:r>
            <w:proofErr w:type="spellStart"/>
            <w:r>
              <w:t>b-lið</w:t>
            </w:r>
            <w:proofErr w:type="spellEnd"/>
            <w:r>
              <w:t xml:space="preserve"> 1. gr. framseldrar reglugerðar framkvæmdastjórnarinnar (ESB) 2019/980, sem útgefandinn hefur vitneskju um að hlutabréfatengd verðbréf í sama flokki og þau hl</w:t>
            </w:r>
            <w:r>
              <w:t>utabréfatengdu verðbréf sem á að bjóða til kaups eða taka til viðskipta hafi þegar verið tekin til viðskipta á, þ.m.t., eftir atvikum, heimildarskírteini og undirliggjandi hlutabréf.</w:t>
            </w:r>
          </w:p>
        </w:tc>
      </w:tr>
      <w:tr w:rsidR="008100E1" w14:paraId="4B3C52BD" w14:textId="77777777">
        <w:trPr>
          <w:trHeight w:val="240"/>
        </w:trPr>
        <w:tc>
          <w:tcPr>
            <w:tcW w:w="766" w:type="pct"/>
            <w:tcMar>
              <w:top w:w="100" w:type="dxa"/>
              <w:left w:w="0" w:type="dxa"/>
              <w:bottom w:w="100" w:type="dxa"/>
              <w:right w:w="60" w:type="dxa"/>
            </w:tcMar>
          </w:tcPr>
          <w:p w14:paraId="1DE65CD5" w14:textId="77777777" w:rsidR="008100E1" w:rsidRDefault="00C52444">
            <w:pPr>
              <w:pStyle w:val="AnnexTableCellLeft"/>
              <w:rPr>
                <w:szCs w:val="18"/>
              </w:rPr>
            </w:pPr>
            <w:r>
              <w:rPr>
                <w:b/>
                <w:szCs w:val="18"/>
              </w:rPr>
              <w:t>Liður 4.4.3</w:t>
            </w:r>
          </w:p>
        </w:tc>
        <w:tc>
          <w:tcPr>
            <w:tcW w:w="4234" w:type="pct"/>
            <w:tcMar>
              <w:top w:w="100" w:type="dxa"/>
              <w:left w:w="60" w:type="dxa"/>
              <w:bottom w:w="100" w:type="dxa"/>
              <w:right w:w="0" w:type="dxa"/>
            </w:tcMar>
          </w:tcPr>
          <w:p w14:paraId="29841592" w14:textId="77777777" w:rsidR="008100E1" w:rsidRDefault="00C52444">
            <w:pPr>
              <w:pStyle w:val="AnnexTableCellLeft"/>
              <w:rPr>
                <w:szCs w:val="18"/>
              </w:rPr>
            </w:pPr>
            <w:r>
              <w:t>Upplýsingar um þá aðila sem hafa gert bindandi samkomulag um</w:t>
            </w:r>
            <w:r>
              <w:t xml:space="preserve"> að starfa sem milliliðir í </w:t>
            </w:r>
            <w:proofErr w:type="spellStart"/>
            <w:r>
              <w:t>eftirmarkaðsviðskiptum</w:t>
            </w:r>
            <w:proofErr w:type="spellEnd"/>
            <w:r>
              <w:t xml:space="preserve"> og veita seljanleika með kaup- og sölutilboðum, ásamt lýsingu á helstu skilmálum samkomulagsins.</w:t>
            </w:r>
          </w:p>
        </w:tc>
      </w:tr>
      <w:tr w:rsidR="008100E1" w14:paraId="6F603E5F" w14:textId="77777777">
        <w:trPr>
          <w:trHeight w:val="240"/>
        </w:trPr>
        <w:tc>
          <w:tcPr>
            <w:tcW w:w="766" w:type="pct"/>
            <w:tcMar>
              <w:top w:w="100" w:type="dxa"/>
              <w:left w:w="0" w:type="dxa"/>
              <w:bottom w:w="100" w:type="dxa"/>
              <w:right w:w="60" w:type="dxa"/>
            </w:tcMar>
          </w:tcPr>
          <w:p w14:paraId="643EE830" w14:textId="77777777" w:rsidR="008100E1" w:rsidRDefault="00C52444">
            <w:pPr>
              <w:pStyle w:val="AnnexTableCellLeft"/>
              <w:rPr>
                <w:szCs w:val="18"/>
              </w:rPr>
            </w:pPr>
            <w:r>
              <w:rPr>
                <w:b/>
                <w:szCs w:val="18"/>
              </w:rPr>
              <w:t>Liður 4.4.4</w:t>
            </w:r>
          </w:p>
        </w:tc>
        <w:tc>
          <w:tcPr>
            <w:tcW w:w="4234" w:type="pct"/>
            <w:tcMar>
              <w:top w:w="100" w:type="dxa"/>
              <w:left w:w="60" w:type="dxa"/>
              <w:bottom w:w="100" w:type="dxa"/>
              <w:right w:w="0" w:type="dxa"/>
            </w:tcMar>
          </w:tcPr>
          <w:p w14:paraId="5C5E56DF" w14:textId="77777777" w:rsidR="008100E1" w:rsidRDefault="00C52444">
            <w:pPr>
              <w:pStyle w:val="AnnexTableCellLeft"/>
              <w:spacing w:after="120"/>
              <w:rPr>
                <w:szCs w:val="18"/>
              </w:rPr>
            </w:pPr>
            <w:r>
              <w:t>Samningar um söluhömlur:</w:t>
            </w:r>
          </w:p>
          <w:p w14:paraId="2A379642" w14:textId="77777777" w:rsidR="008100E1" w:rsidRDefault="00C52444">
            <w:pPr>
              <w:pStyle w:val="AnnexNumberedText"/>
              <w:ind w:left="300" w:hanging="300"/>
              <w:rPr>
                <w:szCs w:val="18"/>
              </w:rPr>
            </w:pPr>
            <w:r>
              <w:t>a)</w:t>
            </w:r>
            <w:r>
              <w:tab/>
              <w:t>aðilarnir sem hlut eiga að máli,</w:t>
            </w:r>
          </w:p>
          <w:p w14:paraId="318C355F" w14:textId="77777777" w:rsidR="008100E1" w:rsidRDefault="00C52444">
            <w:pPr>
              <w:pStyle w:val="AnnexNumberedText"/>
              <w:ind w:left="300" w:hanging="300"/>
              <w:rPr>
                <w:szCs w:val="18"/>
              </w:rPr>
            </w:pPr>
            <w:r>
              <w:t>b)</w:t>
            </w:r>
            <w:r>
              <w:tab/>
            </w:r>
            <w:r>
              <w:t>efni samningsins og undantekningar frá honum,</w:t>
            </w:r>
          </w:p>
          <w:p w14:paraId="6AE85DB8" w14:textId="77777777" w:rsidR="008100E1" w:rsidRDefault="00C52444">
            <w:pPr>
              <w:pStyle w:val="AnnexNumberedText"/>
              <w:spacing w:after="0"/>
              <w:ind w:left="300" w:hanging="300"/>
              <w:rPr>
                <w:szCs w:val="18"/>
              </w:rPr>
            </w:pPr>
            <w:r>
              <w:t>c)</w:t>
            </w:r>
            <w:r>
              <w:tab/>
              <w:t>upplýsingar um hversu lengi söluhömlurnar vara.</w:t>
            </w:r>
          </w:p>
        </w:tc>
      </w:tr>
      <w:tr w:rsidR="008100E1" w14:paraId="0D19A14E" w14:textId="77777777">
        <w:trPr>
          <w:trHeight w:val="240"/>
        </w:trPr>
        <w:tc>
          <w:tcPr>
            <w:tcW w:w="766" w:type="pct"/>
            <w:tcMar>
              <w:top w:w="100" w:type="dxa"/>
              <w:left w:w="0" w:type="dxa"/>
              <w:bottom w:w="100" w:type="dxa"/>
              <w:right w:w="60" w:type="dxa"/>
            </w:tcMar>
          </w:tcPr>
          <w:p w14:paraId="5A45BD51" w14:textId="77777777" w:rsidR="008100E1" w:rsidRDefault="00C52444">
            <w:pPr>
              <w:pStyle w:val="AnnexTableCellLeft"/>
              <w:rPr>
                <w:szCs w:val="18"/>
              </w:rPr>
            </w:pPr>
            <w:r>
              <w:rPr>
                <w:b/>
                <w:szCs w:val="18"/>
              </w:rPr>
              <w:t>Liður 4.5</w:t>
            </w:r>
          </w:p>
        </w:tc>
        <w:tc>
          <w:tcPr>
            <w:tcW w:w="4234" w:type="pct"/>
            <w:tcMar>
              <w:top w:w="100" w:type="dxa"/>
              <w:left w:w="60" w:type="dxa"/>
              <w:bottom w:w="100" w:type="dxa"/>
              <w:right w:w="0" w:type="dxa"/>
            </w:tcMar>
          </w:tcPr>
          <w:p w14:paraId="407CC18A" w14:textId="77777777" w:rsidR="008100E1" w:rsidRDefault="00C52444">
            <w:pPr>
              <w:pStyle w:val="AnnexTableCellLeft"/>
              <w:rPr>
                <w:szCs w:val="18"/>
              </w:rPr>
            </w:pPr>
            <w:r>
              <w:rPr>
                <w:b/>
                <w:szCs w:val="18"/>
              </w:rPr>
              <w:t>Þynning</w:t>
            </w:r>
          </w:p>
        </w:tc>
      </w:tr>
      <w:tr w:rsidR="008100E1" w14:paraId="242FA288" w14:textId="77777777">
        <w:trPr>
          <w:trHeight w:val="240"/>
        </w:trPr>
        <w:tc>
          <w:tcPr>
            <w:tcW w:w="766" w:type="pct"/>
            <w:tcMar>
              <w:top w:w="100" w:type="dxa"/>
              <w:left w:w="0" w:type="dxa"/>
              <w:bottom w:w="100" w:type="dxa"/>
              <w:right w:w="60" w:type="dxa"/>
            </w:tcMar>
          </w:tcPr>
          <w:p w14:paraId="2B4DDC78" w14:textId="77777777" w:rsidR="008100E1" w:rsidRDefault="00C52444">
            <w:pPr>
              <w:pStyle w:val="AnnexTableCellLeft"/>
              <w:rPr>
                <w:szCs w:val="18"/>
              </w:rPr>
            </w:pPr>
            <w:r>
              <w:rPr>
                <w:b/>
                <w:szCs w:val="18"/>
              </w:rPr>
              <w:t>Liður 4.5.1</w:t>
            </w:r>
          </w:p>
        </w:tc>
        <w:tc>
          <w:tcPr>
            <w:tcW w:w="4234" w:type="pct"/>
            <w:tcMar>
              <w:top w:w="100" w:type="dxa"/>
              <w:left w:w="60" w:type="dxa"/>
              <w:bottom w:w="100" w:type="dxa"/>
              <w:right w:w="0" w:type="dxa"/>
            </w:tcMar>
          </w:tcPr>
          <w:p w14:paraId="650FA4BC" w14:textId="77777777" w:rsidR="008100E1" w:rsidRDefault="00C52444">
            <w:pPr>
              <w:pStyle w:val="AnnexTableCellLeft"/>
              <w:rPr>
                <w:szCs w:val="18"/>
              </w:rPr>
            </w:pPr>
            <w:r>
              <w:t>Samanburður á verðmæti hreinnar eignar á hvert hlutabréf frá og með dagsetningunni á nýjasta efnahagsreikningi fyrir viðskiptin</w:t>
            </w:r>
            <w:r>
              <w:t xml:space="preserve"> og útgáfuverð á hlutabréfi í þeim viðskiptum.</w:t>
            </w:r>
          </w:p>
        </w:tc>
      </w:tr>
      <w:tr w:rsidR="008100E1" w14:paraId="5BC2ACFE" w14:textId="77777777">
        <w:trPr>
          <w:trHeight w:val="240"/>
        </w:trPr>
        <w:tc>
          <w:tcPr>
            <w:tcW w:w="766" w:type="pct"/>
            <w:tcMar>
              <w:top w:w="100" w:type="dxa"/>
              <w:left w:w="0" w:type="dxa"/>
              <w:bottom w:w="100" w:type="dxa"/>
              <w:right w:w="60" w:type="dxa"/>
            </w:tcMar>
          </w:tcPr>
          <w:p w14:paraId="527AF3E7" w14:textId="77777777" w:rsidR="008100E1" w:rsidRDefault="00C52444">
            <w:pPr>
              <w:pStyle w:val="AnnexTableCellLeft"/>
              <w:rPr>
                <w:szCs w:val="18"/>
              </w:rPr>
            </w:pPr>
            <w:r>
              <w:rPr>
                <w:b/>
                <w:szCs w:val="18"/>
              </w:rPr>
              <w:t>Liður 4.5.2</w:t>
            </w:r>
          </w:p>
        </w:tc>
        <w:tc>
          <w:tcPr>
            <w:tcW w:w="4234" w:type="pct"/>
            <w:tcMar>
              <w:top w:w="100" w:type="dxa"/>
              <w:left w:w="60" w:type="dxa"/>
              <w:bottom w:w="100" w:type="dxa"/>
              <w:right w:w="0" w:type="dxa"/>
            </w:tcMar>
          </w:tcPr>
          <w:p w14:paraId="51EBBD1C" w14:textId="77777777" w:rsidR="008100E1" w:rsidRDefault="00C52444">
            <w:pPr>
              <w:pStyle w:val="AnnexTableCellLeft"/>
              <w:rPr>
                <w:szCs w:val="18"/>
              </w:rPr>
            </w:pPr>
            <w:r>
              <w:t>Viðbótarupplýsingar ef samtímis eða nánast samtímis eru hlutabréfatengd verðbréf í sama flokki boðin eða tekin til viðskipta.</w:t>
            </w:r>
          </w:p>
        </w:tc>
      </w:tr>
      <w:tr w:rsidR="008100E1" w14:paraId="32F896F7" w14:textId="77777777">
        <w:trPr>
          <w:trHeight w:val="240"/>
        </w:trPr>
        <w:tc>
          <w:tcPr>
            <w:tcW w:w="766" w:type="pct"/>
            <w:tcMar>
              <w:top w:w="100" w:type="dxa"/>
              <w:left w:w="0" w:type="dxa"/>
              <w:bottom w:w="100" w:type="dxa"/>
              <w:right w:w="60" w:type="dxa"/>
            </w:tcMar>
          </w:tcPr>
          <w:p w14:paraId="56737399" w14:textId="77777777" w:rsidR="008100E1" w:rsidRDefault="00C52444">
            <w:pPr>
              <w:pStyle w:val="AnnexTableCellLeft"/>
              <w:rPr>
                <w:szCs w:val="18"/>
              </w:rPr>
            </w:pPr>
            <w:r>
              <w:rPr>
                <w:b/>
                <w:szCs w:val="18"/>
              </w:rPr>
              <w:t>Liður 4.5.3</w:t>
            </w:r>
          </w:p>
        </w:tc>
        <w:tc>
          <w:tcPr>
            <w:tcW w:w="4234" w:type="pct"/>
            <w:tcMar>
              <w:top w:w="100" w:type="dxa"/>
              <w:left w:w="60" w:type="dxa"/>
              <w:bottom w:w="100" w:type="dxa"/>
              <w:right w:w="0" w:type="dxa"/>
            </w:tcMar>
          </w:tcPr>
          <w:p w14:paraId="2626A0EE" w14:textId="77777777" w:rsidR="008100E1" w:rsidRDefault="00C52444">
            <w:pPr>
              <w:pStyle w:val="AnnexTableCellLeft"/>
              <w:rPr>
                <w:szCs w:val="18"/>
              </w:rPr>
            </w:pPr>
            <w:r>
              <w:t>Tafla sem sýnir fjölda hlutabréfatengdra verðbréfa og atk</w:t>
            </w:r>
            <w:r>
              <w:t>væðisrétta sem og hlutaféð bæði fyrir og eftir viðskiptin. Upplýsingar um þynningu (þ.m.t. þynningu atkvæðisréttar) sem núverandi hluthafar útgefandans verða fyrir sem afleiðing af tilboðinu.</w:t>
            </w:r>
          </w:p>
        </w:tc>
      </w:tr>
      <w:tr w:rsidR="008100E1" w14:paraId="13B7ACE2" w14:textId="77777777">
        <w:trPr>
          <w:trHeight w:val="240"/>
        </w:trPr>
        <w:tc>
          <w:tcPr>
            <w:tcW w:w="766" w:type="pct"/>
            <w:tcMar>
              <w:top w:w="100" w:type="dxa"/>
              <w:left w:w="0" w:type="dxa"/>
              <w:bottom w:w="100" w:type="dxa"/>
              <w:right w:w="60" w:type="dxa"/>
            </w:tcMar>
          </w:tcPr>
          <w:p w14:paraId="05C446AB" w14:textId="77777777" w:rsidR="008100E1" w:rsidRDefault="00C52444">
            <w:pPr>
              <w:pStyle w:val="AnnexTableCellLeft"/>
              <w:pageBreakBefore/>
              <w:rPr>
                <w:szCs w:val="18"/>
              </w:rPr>
            </w:pPr>
            <w:r>
              <w:rPr>
                <w:b/>
                <w:szCs w:val="18"/>
              </w:rPr>
              <w:lastRenderedPageBreak/>
              <w:t>Liður 4.6</w:t>
            </w:r>
          </w:p>
        </w:tc>
        <w:tc>
          <w:tcPr>
            <w:tcW w:w="4234" w:type="pct"/>
            <w:tcMar>
              <w:top w:w="100" w:type="dxa"/>
              <w:left w:w="60" w:type="dxa"/>
              <w:bottom w:w="100" w:type="dxa"/>
              <w:right w:w="0" w:type="dxa"/>
            </w:tcMar>
          </w:tcPr>
          <w:p w14:paraId="55D7C5CB" w14:textId="77777777" w:rsidR="008100E1" w:rsidRDefault="00C52444">
            <w:pPr>
              <w:pStyle w:val="AnnexTableCellLeft"/>
              <w:spacing w:after="120"/>
              <w:rPr>
                <w:szCs w:val="18"/>
              </w:rPr>
            </w:pPr>
            <w:r>
              <w:rPr>
                <w:b/>
                <w:szCs w:val="18"/>
              </w:rPr>
              <w:t>Ráðgjafar</w:t>
            </w:r>
          </w:p>
          <w:p w14:paraId="51CBD503" w14:textId="77777777" w:rsidR="008100E1" w:rsidRDefault="00C52444">
            <w:pPr>
              <w:pStyle w:val="AnnexTableCellLeft"/>
              <w:rPr>
                <w:szCs w:val="18"/>
              </w:rPr>
            </w:pPr>
            <w:r>
              <w:t>Ef vísað er til ráðgjafa sem tengjast útgefanda í undanþáguskjalinu, yfirlýsingu um hvaða hlutverki ráðgjafarnir hafa gegnt.</w:t>
            </w:r>
          </w:p>
        </w:tc>
      </w:tr>
      <w:tr w:rsidR="008100E1" w14:paraId="0DA32E6A" w14:textId="77777777">
        <w:trPr>
          <w:trHeight w:val="240"/>
        </w:trPr>
        <w:tc>
          <w:tcPr>
            <w:tcW w:w="766" w:type="pct"/>
            <w:tcMar>
              <w:top w:w="100" w:type="dxa"/>
              <w:left w:w="0" w:type="dxa"/>
              <w:bottom w:w="100" w:type="dxa"/>
              <w:right w:w="60" w:type="dxa"/>
            </w:tcMar>
          </w:tcPr>
          <w:p w14:paraId="087016F2" w14:textId="77777777" w:rsidR="008100E1" w:rsidRDefault="00C52444">
            <w:pPr>
              <w:pStyle w:val="AnnexTableCellLeft"/>
              <w:spacing w:line="200" w:lineRule="exact"/>
              <w:rPr>
                <w:sz w:val="16"/>
                <w:szCs w:val="16"/>
              </w:rPr>
            </w:pPr>
            <w:r>
              <w:rPr>
                <w:b/>
                <w:sz w:val="16"/>
                <w:szCs w:val="16"/>
              </w:rPr>
              <w:t>5. ÞÁTTUR</w:t>
            </w:r>
          </w:p>
        </w:tc>
        <w:tc>
          <w:tcPr>
            <w:tcW w:w="4234" w:type="pct"/>
            <w:tcMar>
              <w:top w:w="100" w:type="dxa"/>
              <w:left w:w="60" w:type="dxa"/>
              <w:bottom w:w="100" w:type="dxa"/>
              <w:right w:w="0" w:type="dxa"/>
            </w:tcMar>
          </w:tcPr>
          <w:p w14:paraId="4F2D0845" w14:textId="77777777" w:rsidR="008100E1" w:rsidRDefault="00C52444">
            <w:pPr>
              <w:pStyle w:val="AnnexTableCellLeft"/>
              <w:spacing w:line="200" w:lineRule="exact"/>
              <w:rPr>
                <w:sz w:val="16"/>
                <w:szCs w:val="16"/>
              </w:rPr>
            </w:pPr>
            <w:r>
              <w:rPr>
                <w:b/>
                <w:sz w:val="16"/>
                <w:szCs w:val="16"/>
              </w:rPr>
              <w:t>ÁHRIF VIÐSKIPTANNA Á ÚTGEFANDANN</w:t>
            </w:r>
          </w:p>
        </w:tc>
      </w:tr>
      <w:tr w:rsidR="008100E1" w14:paraId="43F965EF" w14:textId="77777777">
        <w:trPr>
          <w:trHeight w:val="240"/>
        </w:trPr>
        <w:tc>
          <w:tcPr>
            <w:tcW w:w="766" w:type="pct"/>
            <w:tcMar>
              <w:top w:w="100" w:type="dxa"/>
              <w:left w:w="0" w:type="dxa"/>
              <w:bottom w:w="100" w:type="dxa"/>
              <w:right w:w="60" w:type="dxa"/>
            </w:tcMar>
          </w:tcPr>
          <w:p w14:paraId="483848D6" w14:textId="77777777" w:rsidR="008100E1" w:rsidRDefault="00C52444">
            <w:pPr>
              <w:pStyle w:val="AnnexTableCellLeft"/>
              <w:rPr>
                <w:szCs w:val="18"/>
              </w:rPr>
            </w:pPr>
            <w:r>
              <w:rPr>
                <w:b/>
                <w:szCs w:val="18"/>
              </w:rPr>
              <w:t>Liður 5.1</w:t>
            </w:r>
          </w:p>
        </w:tc>
        <w:tc>
          <w:tcPr>
            <w:tcW w:w="4234" w:type="pct"/>
            <w:tcMar>
              <w:top w:w="100" w:type="dxa"/>
              <w:left w:w="60" w:type="dxa"/>
              <w:bottom w:w="100" w:type="dxa"/>
              <w:right w:w="0" w:type="dxa"/>
            </w:tcMar>
          </w:tcPr>
          <w:p w14:paraId="324F19A7" w14:textId="77777777" w:rsidR="008100E1" w:rsidRDefault="00C52444">
            <w:pPr>
              <w:pStyle w:val="AnnexTableCellLeft"/>
              <w:spacing w:after="120"/>
              <w:rPr>
                <w:szCs w:val="18"/>
              </w:rPr>
            </w:pPr>
            <w:r>
              <w:rPr>
                <w:b/>
                <w:szCs w:val="18"/>
              </w:rPr>
              <w:t>Stefna og markmið</w:t>
            </w:r>
          </w:p>
          <w:p w14:paraId="1F97E254" w14:textId="77777777" w:rsidR="008100E1" w:rsidRDefault="00C52444">
            <w:pPr>
              <w:pStyle w:val="AnnexTableCellLeft"/>
              <w:spacing w:after="120"/>
              <w:rPr>
                <w:szCs w:val="18"/>
              </w:rPr>
            </w:pPr>
            <w:r>
              <w:t xml:space="preserve">Útgefandinn skal gefa lýsingu á fyrirætlunum sínum að því </w:t>
            </w:r>
            <w:r>
              <w:t>er varðar framtíðarstarfsemi eftir viðskiptin, þ.m.t. upplýsingar um allar verulegar breytingar sem áhrif hafa á reksturinn, meginstarfsemina sem og afurðirnar og þjónustuna sem eru afleiðing af viðskiptunum.</w:t>
            </w:r>
          </w:p>
          <w:p w14:paraId="20D26F02" w14:textId="77777777" w:rsidR="008100E1" w:rsidRDefault="00C52444">
            <w:pPr>
              <w:pStyle w:val="AnnexTableCellLeft"/>
              <w:rPr>
                <w:szCs w:val="18"/>
              </w:rPr>
            </w:pPr>
            <w:r>
              <w:t>Þær upplýsingar skulu, eftir atvikum, innihalda</w:t>
            </w:r>
            <w:r>
              <w:t xml:space="preserve"> lýsingu á rekstrarhorfum og/eða endurskipulagningu.</w:t>
            </w:r>
          </w:p>
        </w:tc>
      </w:tr>
      <w:tr w:rsidR="008100E1" w14:paraId="48ED7A66" w14:textId="77777777">
        <w:trPr>
          <w:trHeight w:val="240"/>
        </w:trPr>
        <w:tc>
          <w:tcPr>
            <w:tcW w:w="766" w:type="pct"/>
            <w:tcMar>
              <w:top w:w="100" w:type="dxa"/>
              <w:left w:w="0" w:type="dxa"/>
              <w:bottom w:w="100" w:type="dxa"/>
              <w:right w:w="60" w:type="dxa"/>
            </w:tcMar>
          </w:tcPr>
          <w:p w14:paraId="51C8633B" w14:textId="77777777" w:rsidR="008100E1" w:rsidRDefault="00C52444">
            <w:pPr>
              <w:pStyle w:val="AnnexTableCellLeft"/>
              <w:rPr>
                <w:szCs w:val="18"/>
              </w:rPr>
            </w:pPr>
            <w:r>
              <w:rPr>
                <w:b/>
                <w:szCs w:val="18"/>
              </w:rPr>
              <w:t>Liður 5.2</w:t>
            </w:r>
          </w:p>
        </w:tc>
        <w:tc>
          <w:tcPr>
            <w:tcW w:w="4234" w:type="pct"/>
            <w:tcMar>
              <w:top w:w="100" w:type="dxa"/>
              <w:left w:w="60" w:type="dxa"/>
              <w:bottom w:w="100" w:type="dxa"/>
              <w:right w:w="0" w:type="dxa"/>
            </w:tcMar>
          </w:tcPr>
          <w:p w14:paraId="0F93AD5F" w14:textId="77777777" w:rsidR="008100E1" w:rsidRDefault="00C52444">
            <w:pPr>
              <w:pStyle w:val="AnnexTableCellLeft"/>
              <w:spacing w:after="120"/>
              <w:rPr>
                <w:szCs w:val="18"/>
              </w:rPr>
            </w:pPr>
            <w:r>
              <w:rPr>
                <w:b/>
                <w:szCs w:val="18"/>
              </w:rPr>
              <w:t>Mikilvægir samningar</w:t>
            </w:r>
          </w:p>
          <w:p w14:paraId="2F6ECE4F" w14:textId="77777777" w:rsidR="008100E1" w:rsidRDefault="00C52444">
            <w:pPr>
              <w:pStyle w:val="AnnexTableCellLeft"/>
              <w:rPr>
                <w:szCs w:val="18"/>
              </w:rPr>
            </w:pPr>
            <w:r>
              <w:t>Stutt yfirlit um alla mikilvæga samninga útgefandans, félagsins sem tilboðið tekur til, félagsins sem er yfirtekið eða félagsins sem skipt er upp, aðra en samninga sem ger</w:t>
            </w:r>
            <w:r>
              <w:t>ðir eru í venjubundnum rekstri, sem verða fyrir verulegum áhrifum af viðskiptunum.</w:t>
            </w:r>
          </w:p>
        </w:tc>
      </w:tr>
      <w:tr w:rsidR="008100E1" w14:paraId="195FEB73" w14:textId="77777777">
        <w:trPr>
          <w:trHeight w:val="240"/>
        </w:trPr>
        <w:tc>
          <w:tcPr>
            <w:tcW w:w="766" w:type="pct"/>
            <w:tcMar>
              <w:top w:w="100" w:type="dxa"/>
              <w:left w:w="0" w:type="dxa"/>
              <w:bottom w:w="100" w:type="dxa"/>
              <w:right w:w="60" w:type="dxa"/>
            </w:tcMar>
          </w:tcPr>
          <w:p w14:paraId="597D82C1" w14:textId="77777777" w:rsidR="008100E1" w:rsidRDefault="00C52444">
            <w:pPr>
              <w:pStyle w:val="AnnexTableCellLeft"/>
              <w:rPr>
                <w:szCs w:val="18"/>
              </w:rPr>
            </w:pPr>
            <w:r>
              <w:rPr>
                <w:b/>
                <w:szCs w:val="18"/>
              </w:rPr>
              <w:t>Liður 5.3</w:t>
            </w:r>
          </w:p>
        </w:tc>
        <w:tc>
          <w:tcPr>
            <w:tcW w:w="4234" w:type="pct"/>
            <w:tcMar>
              <w:top w:w="100" w:type="dxa"/>
              <w:left w:w="60" w:type="dxa"/>
              <w:bottom w:w="100" w:type="dxa"/>
              <w:right w:w="0" w:type="dxa"/>
            </w:tcMar>
          </w:tcPr>
          <w:p w14:paraId="3F0E0EF0" w14:textId="77777777" w:rsidR="008100E1" w:rsidRDefault="00C52444">
            <w:pPr>
              <w:pStyle w:val="AnnexTableCellLeft"/>
              <w:rPr>
                <w:szCs w:val="18"/>
              </w:rPr>
            </w:pPr>
            <w:r>
              <w:rPr>
                <w:b/>
                <w:szCs w:val="18"/>
              </w:rPr>
              <w:t>Eignalosun</w:t>
            </w:r>
          </w:p>
        </w:tc>
      </w:tr>
      <w:tr w:rsidR="008100E1" w14:paraId="42E5B2B3" w14:textId="77777777">
        <w:trPr>
          <w:trHeight w:val="240"/>
        </w:trPr>
        <w:tc>
          <w:tcPr>
            <w:tcW w:w="766" w:type="pct"/>
            <w:tcMar>
              <w:top w:w="100" w:type="dxa"/>
              <w:left w:w="0" w:type="dxa"/>
              <w:bottom w:w="100" w:type="dxa"/>
              <w:right w:w="60" w:type="dxa"/>
            </w:tcMar>
          </w:tcPr>
          <w:p w14:paraId="0FD86196" w14:textId="77777777" w:rsidR="008100E1" w:rsidRDefault="00C52444">
            <w:pPr>
              <w:pStyle w:val="AnnexTableCellLeft"/>
              <w:rPr>
                <w:szCs w:val="18"/>
              </w:rPr>
            </w:pPr>
            <w:r>
              <w:rPr>
                <w:b/>
                <w:szCs w:val="18"/>
              </w:rPr>
              <w:t>Liður 5.3.1</w:t>
            </w:r>
          </w:p>
        </w:tc>
        <w:tc>
          <w:tcPr>
            <w:tcW w:w="4234" w:type="pct"/>
            <w:tcMar>
              <w:top w:w="100" w:type="dxa"/>
              <w:left w:w="60" w:type="dxa"/>
              <w:bottom w:w="100" w:type="dxa"/>
              <w:right w:w="0" w:type="dxa"/>
            </w:tcMar>
          </w:tcPr>
          <w:p w14:paraId="7B2483EA" w14:textId="77777777" w:rsidR="008100E1" w:rsidRDefault="00C52444">
            <w:pPr>
              <w:pStyle w:val="AnnexTableCellLeft"/>
              <w:rPr>
                <w:szCs w:val="18"/>
              </w:rPr>
            </w:pPr>
            <w:r>
              <w:t>Að því marki sem vitað er, upplýsingar um umtalsverða eignalosun s.s. verulega sölu á dótturfélögum eða einhverjum mikilvægum viðskiptasviðum eftir að viðskiptin eru frágengin, ásamt lýsingu á mögulegum áhrifum á samstæðu útgefandans.</w:t>
            </w:r>
          </w:p>
        </w:tc>
      </w:tr>
      <w:tr w:rsidR="008100E1" w14:paraId="7897FAEE" w14:textId="77777777">
        <w:trPr>
          <w:trHeight w:val="240"/>
        </w:trPr>
        <w:tc>
          <w:tcPr>
            <w:tcW w:w="766" w:type="pct"/>
            <w:tcMar>
              <w:top w:w="100" w:type="dxa"/>
              <w:left w:w="0" w:type="dxa"/>
              <w:bottom w:w="100" w:type="dxa"/>
              <w:right w:w="60" w:type="dxa"/>
            </w:tcMar>
          </w:tcPr>
          <w:p w14:paraId="01055F43" w14:textId="77777777" w:rsidR="008100E1" w:rsidRDefault="00C52444">
            <w:pPr>
              <w:pStyle w:val="AnnexTableCellLeft"/>
              <w:rPr>
                <w:szCs w:val="18"/>
              </w:rPr>
            </w:pPr>
            <w:r>
              <w:rPr>
                <w:b/>
                <w:szCs w:val="18"/>
              </w:rPr>
              <w:t>Liður 5.3.2</w:t>
            </w:r>
          </w:p>
        </w:tc>
        <w:tc>
          <w:tcPr>
            <w:tcW w:w="4234" w:type="pct"/>
            <w:tcMar>
              <w:top w:w="100" w:type="dxa"/>
              <w:left w:w="60" w:type="dxa"/>
              <w:bottom w:w="100" w:type="dxa"/>
              <w:right w:w="0" w:type="dxa"/>
            </w:tcMar>
          </w:tcPr>
          <w:p w14:paraId="462445D6" w14:textId="77777777" w:rsidR="008100E1" w:rsidRDefault="00C52444">
            <w:pPr>
              <w:pStyle w:val="AnnexTableCellLeft"/>
              <w:rPr>
                <w:szCs w:val="18"/>
              </w:rPr>
            </w:pPr>
            <w:r>
              <w:t>Upplýsin</w:t>
            </w:r>
            <w:r>
              <w:t>gar um sérhverja verulega afturköllun framtíðarfjárfestinga eða eignalosunar sem áður var tilkynnt um.</w:t>
            </w:r>
          </w:p>
        </w:tc>
      </w:tr>
      <w:tr w:rsidR="008100E1" w14:paraId="208F63A8" w14:textId="77777777">
        <w:trPr>
          <w:trHeight w:val="240"/>
        </w:trPr>
        <w:tc>
          <w:tcPr>
            <w:tcW w:w="766" w:type="pct"/>
            <w:tcMar>
              <w:top w:w="100" w:type="dxa"/>
              <w:left w:w="0" w:type="dxa"/>
              <w:bottom w:w="100" w:type="dxa"/>
              <w:right w:w="60" w:type="dxa"/>
            </w:tcMar>
          </w:tcPr>
          <w:p w14:paraId="7982801B" w14:textId="77777777" w:rsidR="008100E1" w:rsidRDefault="00C52444">
            <w:pPr>
              <w:pStyle w:val="AnnexTableCellLeft"/>
              <w:rPr>
                <w:szCs w:val="18"/>
              </w:rPr>
            </w:pPr>
            <w:r>
              <w:rPr>
                <w:b/>
                <w:szCs w:val="18"/>
              </w:rPr>
              <w:t>Liður 5.4</w:t>
            </w:r>
          </w:p>
        </w:tc>
        <w:tc>
          <w:tcPr>
            <w:tcW w:w="4234" w:type="pct"/>
            <w:tcMar>
              <w:top w:w="100" w:type="dxa"/>
              <w:left w:w="60" w:type="dxa"/>
              <w:bottom w:w="100" w:type="dxa"/>
              <w:right w:w="0" w:type="dxa"/>
            </w:tcMar>
          </w:tcPr>
          <w:p w14:paraId="1E79918F" w14:textId="77777777" w:rsidR="008100E1" w:rsidRDefault="00C52444">
            <w:pPr>
              <w:pStyle w:val="AnnexTableCellLeft"/>
              <w:spacing w:after="120"/>
              <w:rPr>
                <w:szCs w:val="18"/>
              </w:rPr>
            </w:pPr>
            <w:r>
              <w:rPr>
                <w:b/>
                <w:szCs w:val="18"/>
              </w:rPr>
              <w:t>Stjórnarhættir félags</w:t>
            </w:r>
          </w:p>
          <w:p w14:paraId="38D1D744" w14:textId="77777777" w:rsidR="008100E1" w:rsidRDefault="00C52444">
            <w:pPr>
              <w:pStyle w:val="AnnexNumberedText"/>
              <w:ind w:left="300" w:hanging="300"/>
              <w:rPr>
                <w:szCs w:val="18"/>
              </w:rPr>
            </w:pPr>
            <w:r>
              <w:t>a)</w:t>
            </w:r>
            <w:r>
              <w:tab/>
              <w:t>Að því marki sem útgefandinn hefur vitneskju um, nöfn, heimilisföng félaga og starfssvið einstaklinganna innan útgefa</w:t>
            </w:r>
            <w:r>
              <w:t>ndans, sem strax eftir viðskiptin verða aðilar að stjórn, framkvæmdastjórn eða eftirlitsstjórn, og ef um er að ræða samlagsfélag með hlutafé, samstarfsaðila með ótakmarkaða ábyrgð,</w:t>
            </w:r>
          </w:p>
          <w:p w14:paraId="653C2E02" w14:textId="77777777" w:rsidR="008100E1" w:rsidRDefault="00C52444">
            <w:pPr>
              <w:pStyle w:val="AnnexNumberedText"/>
              <w:ind w:left="300" w:hanging="300"/>
              <w:rPr>
                <w:szCs w:val="18"/>
              </w:rPr>
            </w:pPr>
            <w:r>
              <w:t>b)</w:t>
            </w:r>
            <w:r>
              <w:tab/>
            </w:r>
            <w:r>
              <w:t>greina skal með skýrum hætti frá öllum mögulegum hagsmunaárekstrum sem geta risið af völdum þess að þeir einstaklingar sem um getur í a-lið sinni skyldustörfum fyrir útgefandann og hins vegar einkahagsmunum sínum eða öðrum skyldustörfum. Ef ekki er um að r</w:t>
            </w:r>
            <w:r>
              <w:t>æða neina slíka árekstra skal lýsa því yfir,</w:t>
            </w:r>
          </w:p>
          <w:p w14:paraId="50BDE88E" w14:textId="77777777" w:rsidR="008100E1" w:rsidRDefault="00C52444">
            <w:pPr>
              <w:pStyle w:val="AnnexNumberedText"/>
              <w:spacing w:after="0"/>
              <w:ind w:left="300" w:hanging="300"/>
              <w:rPr>
                <w:szCs w:val="18"/>
              </w:rPr>
            </w:pPr>
            <w:r>
              <w:t>c)</w:t>
            </w:r>
            <w:r>
              <w:tab/>
              <w:t>upplýsingar um allar takmarkanir sem þeir aðilar sem um getur í a-lið samþykkja á ráðstöfun eignarhluta sinna í hlutabréfatengdum verðbréfum útgefandans innan tiltekins tímabils eftir viðskiptin.</w:t>
            </w:r>
          </w:p>
        </w:tc>
      </w:tr>
      <w:tr w:rsidR="008100E1" w14:paraId="06937447" w14:textId="77777777">
        <w:trPr>
          <w:trHeight w:val="240"/>
        </w:trPr>
        <w:tc>
          <w:tcPr>
            <w:tcW w:w="766" w:type="pct"/>
            <w:tcMar>
              <w:top w:w="100" w:type="dxa"/>
              <w:left w:w="0" w:type="dxa"/>
              <w:bottom w:w="100" w:type="dxa"/>
              <w:right w:w="60" w:type="dxa"/>
            </w:tcMar>
          </w:tcPr>
          <w:p w14:paraId="37EEF63A" w14:textId="77777777" w:rsidR="008100E1" w:rsidRDefault="00C52444">
            <w:pPr>
              <w:pStyle w:val="AnnexTableCellLeft"/>
              <w:rPr>
                <w:szCs w:val="18"/>
              </w:rPr>
            </w:pPr>
            <w:r>
              <w:rPr>
                <w:b/>
                <w:szCs w:val="18"/>
              </w:rPr>
              <w:t>Liður 5.5</w:t>
            </w:r>
          </w:p>
        </w:tc>
        <w:tc>
          <w:tcPr>
            <w:tcW w:w="4234" w:type="pct"/>
            <w:tcMar>
              <w:top w:w="100" w:type="dxa"/>
              <w:left w:w="60" w:type="dxa"/>
              <w:bottom w:w="100" w:type="dxa"/>
              <w:right w:w="0" w:type="dxa"/>
            </w:tcMar>
          </w:tcPr>
          <w:p w14:paraId="6568F2DF" w14:textId="77777777" w:rsidR="008100E1" w:rsidRDefault="00C52444">
            <w:pPr>
              <w:pStyle w:val="AnnexTableCellLeft"/>
              <w:spacing w:after="120"/>
              <w:rPr>
                <w:szCs w:val="18"/>
              </w:rPr>
            </w:pPr>
            <w:r>
              <w:rPr>
                <w:b/>
                <w:szCs w:val="18"/>
              </w:rPr>
              <w:t>Hlutafjáreign</w:t>
            </w:r>
          </w:p>
          <w:p w14:paraId="063A531F" w14:textId="77777777" w:rsidR="008100E1" w:rsidRDefault="00C52444">
            <w:pPr>
              <w:pStyle w:val="AnnexTableCellLeft"/>
              <w:rPr>
                <w:szCs w:val="18"/>
              </w:rPr>
            </w:pPr>
            <w:r>
              <w:t>Hluthafaskipulag strax eftir viðskiptin.</w:t>
            </w:r>
          </w:p>
        </w:tc>
      </w:tr>
      <w:tr w:rsidR="008100E1" w14:paraId="5F057344" w14:textId="77777777">
        <w:trPr>
          <w:trHeight w:val="240"/>
        </w:trPr>
        <w:tc>
          <w:tcPr>
            <w:tcW w:w="766" w:type="pct"/>
            <w:tcMar>
              <w:top w:w="100" w:type="dxa"/>
              <w:left w:w="0" w:type="dxa"/>
              <w:bottom w:w="100" w:type="dxa"/>
              <w:right w:w="60" w:type="dxa"/>
            </w:tcMar>
          </w:tcPr>
          <w:p w14:paraId="61E07B1E" w14:textId="77777777" w:rsidR="008100E1" w:rsidRDefault="00C52444">
            <w:pPr>
              <w:pStyle w:val="AnnexTableCellLeft"/>
              <w:rPr>
                <w:szCs w:val="18"/>
              </w:rPr>
            </w:pPr>
            <w:r>
              <w:rPr>
                <w:b/>
                <w:szCs w:val="18"/>
              </w:rPr>
              <w:t>Liður 5.6</w:t>
            </w:r>
          </w:p>
        </w:tc>
        <w:tc>
          <w:tcPr>
            <w:tcW w:w="4234" w:type="pct"/>
            <w:tcMar>
              <w:top w:w="100" w:type="dxa"/>
              <w:left w:w="60" w:type="dxa"/>
              <w:bottom w:w="100" w:type="dxa"/>
              <w:right w:w="0" w:type="dxa"/>
            </w:tcMar>
          </w:tcPr>
          <w:p w14:paraId="7BE017FE" w14:textId="77777777" w:rsidR="008100E1" w:rsidRDefault="00C52444">
            <w:pPr>
              <w:pStyle w:val="AnnexTableCellLeft"/>
              <w:rPr>
                <w:szCs w:val="18"/>
              </w:rPr>
            </w:pPr>
            <w:r>
              <w:rPr>
                <w:b/>
                <w:i/>
                <w:iCs/>
                <w:szCs w:val="18"/>
              </w:rPr>
              <w:t>Pro forma</w:t>
            </w:r>
            <w:r>
              <w:rPr>
                <w:b/>
                <w:szCs w:val="18"/>
              </w:rPr>
              <w:t xml:space="preserve"> fjárhagsupplýsingar</w:t>
            </w:r>
          </w:p>
        </w:tc>
      </w:tr>
      <w:tr w:rsidR="008100E1" w14:paraId="23F2E660" w14:textId="77777777">
        <w:trPr>
          <w:trHeight w:val="240"/>
        </w:trPr>
        <w:tc>
          <w:tcPr>
            <w:tcW w:w="766" w:type="pct"/>
            <w:tcMar>
              <w:top w:w="100" w:type="dxa"/>
              <w:left w:w="0" w:type="dxa"/>
              <w:bottom w:w="100" w:type="dxa"/>
              <w:right w:w="60" w:type="dxa"/>
            </w:tcMar>
          </w:tcPr>
          <w:p w14:paraId="6F23EB9D" w14:textId="77777777" w:rsidR="008100E1" w:rsidRDefault="00C52444">
            <w:pPr>
              <w:pStyle w:val="AnnexTableCellLeft"/>
              <w:rPr>
                <w:szCs w:val="18"/>
              </w:rPr>
            </w:pPr>
            <w:r>
              <w:rPr>
                <w:b/>
                <w:szCs w:val="18"/>
              </w:rPr>
              <w:t>Liður 5.6.1</w:t>
            </w:r>
          </w:p>
        </w:tc>
        <w:tc>
          <w:tcPr>
            <w:tcW w:w="4234" w:type="pct"/>
            <w:tcMar>
              <w:top w:w="100" w:type="dxa"/>
              <w:left w:w="60" w:type="dxa"/>
              <w:bottom w:w="100" w:type="dxa"/>
              <w:right w:w="0" w:type="dxa"/>
            </w:tcMar>
          </w:tcPr>
          <w:p w14:paraId="5012E629" w14:textId="77777777" w:rsidR="008100E1" w:rsidRDefault="00C52444">
            <w:pPr>
              <w:pStyle w:val="AnnexTableCellLeft"/>
              <w:spacing w:after="120"/>
              <w:rPr>
                <w:szCs w:val="18"/>
              </w:rPr>
            </w:pPr>
            <w:r>
              <w:t xml:space="preserve">Ef um er að ræða verulega </w:t>
            </w:r>
            <w:proofErr w:type="spellStart"/>
            <w:r>
              <w:t>brúttóbreytingu</w:t>
            </w:r>
            <w:proofErr w:type="spellEnd"/>
            <w:r>
              <w:t xml:space="preserve">, eins og skilgreind er í </w:t>
            </w:r>
            <w:proofErr w:type="spellStart"/>
            <w:r>
              <w:t>e-lið</w:t>
            </w:r>
            <w:proofErr w:type="spellEnd"/>
            <w:r>
              <w:t xml:space="preserve"> 1. gr. framseldrar reglugerðar (ESB) 2019/980, skal lýsa því hva</w:t>
            </w:r>
            <w:r>
              <w:t>ða áhrif viðskiptin gætu hafa haft á eignir, skuldir og tekjur útgefandans ef viðskiptin hefðu átt sér stað við upphaf tímabilsins eða á deginum sem upplýsingar eru veittar um.</w:t>
            </w:r>
          </w:p>
          <w:p w14:paraId="0014A41E" w14:textId="77777777" w:rsidR="008100E1" w:rsidRDefault="00C52444">
            <w:pPr>
              <w:pStyle w:val="AnnexTableCellLeft"/>
              <w:spacing w:after="120"/>
              <w:rPr>
                <w:szCs w:val="18"/>
              </w:rPr>
            </w:pPr>
            <w:r>
              <w:t xml:space="preserve">Þessi krafa er yfirleitt uppfyllt með því að veita </w:t>
            </w:r>
            <w:proofErr w:type="spellStart"/>
            <w:r>
              <w:rPr>
                <w:i/>
                <w:iCs/>
              </w:rPr>
              <w:t>pro</w:t>
            </w:r>
            <w:proofErr w:type="spellEnd"/>
            <w:r>
              <w:rPr>
                <w:i/>
                <w:iCs/>
              </w:rPr>
              <w:t xml:space="preserve"> forma</w:t>
            </w:r>
            <w:r>
              <w:t xml:space="preserve"> fjárhagsupplýsinga</w:t>
            </w:r>
            <w:r>
              <w:t xml:space="preserve">r. Leggja skal slíkar </w:t>
            </w:r>
            <w:proofErr w:type="spellStart"/>
            <w:r>
              <w:rPr>
                <w:i/>
                <w:iCs/>
              </w:rPr>
              <w:t>pro</w:t>
            </w:r>
            <w:proofErr w:type="spellEnd"/>
            <w:r>
              <w:rPr>
                <w:i/>
                <w:iCs/>
              </w:rPr>
              <w:t xml:space="preserve"> forma</w:t>
            </w:r>
            <w:r>
              <w:t xml:space="preserve"> fjárhagsupplýsingar fram eins og greinir í liðum 5.7 til 5.9 og skulu þær hafa að geyma þær upplýsingar sem þar eru tilgreindar.</w:t>
            </w:r>
          </w:p>
          <w:p w14:paraId="32E8B19F" w14:textId="77777777" w:rsidR="008100E1" w:rsidRDefault="00C52444">
            <w:pPr>
              <w:pStyle w:val="AnnexTableCellLeft"/>
              <w:rPr>
                <w:szCs w:val="18"/>
              </w:rPr>
            </w:pPr>
            <w:r>
              <w:rPr>
                <w:i/>
                <w:iCs/>
              </w:rPr>
              <w:t>Pro forma</w:t>
            </w:r>
            <w:r>
              <w:t xml:space="preserve"> fjárhagsupplýsingum skal fylgja skýrsla sem samin er af óháðum endurskoðendum eða end</w:t>
            </w:r>
            <w:r>
              <w:t>urskoðunarstofu.</w:t>
            </w:r>
          </w:p>
        </w:tc>
      </w:tr>
      <w:tr w:rsidR="008100E1" w14:paraId="2764BBB3" w14:textId="77777777">
        <w:trPr>
          <w:trHeight w:val="240"/>
        </w:trPr>
        <w:tc>
          <w:tcPr>
            <w:tcW w:w="766" w:type="pct"/>
            <w:tcMar>
              <w:top w:w="100" w:type="dxa"/>
              <w:left w:w="0" w:type="dxa"/>
              <w:bottom w:w="100" w:type="dxa"/>
              <w:right w:w="60" w:type="dxa"/>
            </w:tcMar>
          </w:tcPr>
          <w:p w14:paraId="387CA82C" w14:textId="77777777" w:rsidR="008100E1" w:rsidRDefault="00C52444">
            <w:pPr>
              <w:pStyle w:val="AnnexTableCellLeft"/>
              <w:pageBreakBefore/>
              <w:rPr>
                <w:szCs w:val="18"/>
              </w:rPr>
            </w:pPr>
            <w:r>
              <w:rPr>
                <w:b/>
                <w:szCs w:val="18"/>
              </w:rPr>
              <w:lastRenderedPageBreak/>
              <w:t>Liður 5.6.2</w:t>
            </w:r>
          </w:p>
        </w:tc>
        <w:tc>
          <w:tcPr>
            <w:tcW w:w="4234" w:type="pct"/>
            <w:tcMar>
              <w:top w:w="100" w:type="dxa"/>
              <w:left w:w="60" w:type="dxa"/>
              <w:bottom w:w="100" w:type="dxa"/>
              <w:right w:w="0" w:type="dxa"/>
            </w:tcMar>
          </w:tcPr>
          <w:p w14:paraId="214C7BC6" w14:textId="77777777" w:rsidR="008100E1" w:rsidRDefault="00C52444">
            <w:pPr>
              <w:pStyle w:val="AnnexTableCellLeft"/>
              <w:spacing w:after="120"/>
              <w:rPr>
                <w:szCs w:val="18"/>
              </w:rPr>
            </w:pPr>
            <w:r>
              <w:t xml:space="preserve">Ef </w:t>
            </w:r>
            <w:proofErr w:type="spellStart"/>
            <w:r>
              <w:rPr>
                <w:i/>
                <w:iCs/>
              </w:rPr>
              <w:t>pro</w:t>
            </w:r>
            <w:proofErr w:type="spellEnd"/>
            <w:r>
              <w:rPr>
                <w:i/>
                <w:iCs/>
              </w:rPr>
              <w:t xml:space="preserve"> forma</w:t>
            </w:r>
            <w:r>
              <w:t xml:space="preserve"> fjárhagsupplýsingar eru ekki tiltækar skal útgefandinn veita upplýsingar í frásagnarformi og fjárhagsupplýsingar um þau verulegu áhrif sem viðskiptin munu hafa á reikningsskil útgefandans. Sú frásögn og fjárhagsup</w:t>
            </w:r>
            <w:r>
              <w:t>plýsingar skulu ekki kalla á endurskoðun.</w:t>
            </w:r>
          </w:p>
          <w:p w14:paraId="0E3521F7" w14:textId="77777777" w:rsidR="008100E1" w:rsidRDefault="00C52444">
            <w:pPr>
              <w:pStyle w:val="AnnexTableCellLeft"/>
              <w:rPr>
                <w:szCs w:val="18"/>
              </w:rPr>
            </w:pPr>
            <w:r>
              <w:t>Frásögnin og fjárhagsupplýsingarnar skulu samdar í samræmi við gildandi reikningsskilaumgjörð og þá reikningsskilastefnu sem útgefandi fylgir í síðustu eða næstu reikningsskilum sínum. Þegar þær upplýsingar hafa ve</w:t>
            </w:r>
            <w:r>
              <w:t>rið endurskoðaðar skal taka fram í undanþáguskjalinu að þessar upplýsingar séu endurskoðaðar sem og upplýsingar um endurskoðendurna sem önnuðust endurskoðunina.</w:t>
            </w:r>
          </w:p>
        </w:tc>
      </w:tr>
      <w:tr w:rsidR="008100E1" w14:paraId="590B4F4A" w14:textId="77777777">
        <w:trPr>
          <w:trHeight w:val="240"/>
        </w:trPr>
        <w:tc>
          <w:tcPr>
            <w:tcW w:w="766" w:type="pct"/>
            <w:tcMar>
              <w:top w:w="100" w:type="dxa"/>
              <w:left w:w="0" w:type="dxa"/>
              <w:bottom w:w="100" w:type="dxa"/>
              <w:right w:w="60" w:type="dxa"/>
            </w:tcMar>
          </w:tcPr>
          <w:p w14:paraId="5E8199FE" w14:textId="77777777" w:rsidR="008100E1" w:rsidRDefault="00C52444">
            <w:pPr>
              <w:pStyle w:val="AnnexTableCellLeft"/>
              <w:rPr>
                <w:szCs w:val="18"/>
              </w:rPr>
            </w:pPr>
            <w:r>
              <w:rPr>
                <w:b/>
                <w:szCs w:val="18"/>
              </w:rPr>
              <w:t>Liður 5.7</w:t>
            </w:r>
          </w:p>
        </w:tc>
        <w:tc>
          <w:tcPr>
            <w:tcW w:w="4234" w:type="pct"/>
            <w:tcMar>
              <w:top w:w="100" w:type="dxa"/>
              <w:left w:w="60" w:type="dxa"/>
              <w:bottom w:w="100" w:type="dxa"/>
              <w:right w:w="0" w:type="dxa"/>
            </w:tcMar>
          </w:tcPr>
          <w:p w14:paraId="2CFD888E" w14:textId="77777777" w:rsidR="008100E1" w:rsidRDefault="00C52444">
            <w:pPr>
              <w:pStyle w:val="AnnexTableCellLeft"/>
              <w:spacing w:after="120"/>
              <w:rPr>
                <w:szCs w:val="18"/>
              </w:rPr>
            </w:pPr>
            <w:r>
              <w:rPr>
                <w:b/>
                <w:szCs w:val="18"/>
              </w:rPr>
              <w:t xml:space="preserve">Efni </w:t>
            </w:r>
            <w:proofErr w:type="spellStart"/>
            <w:r>
              <w:rPr>
                <w:b/>
                <w:i/>
                <w:iCs/>
                <w:szCs w:val="18"/>
              </w:rPr>
              <w:t>pro</w:t>
            </w:r>
            <w:proofErr w:type="spellEnd"/>
            <w:r>
              <w:rPr>
                <w:b/>
                <w:i/>
                <w:iCs/>
                <w:szCs w:val="18"/>
              </w:rPr>
              <w:t xml:space="preserve"> forma</w:t>
            </w:r>
            <w:r>
              <w:rPr>
                <w:b/>
                <w:szCs w:val="18"/>
              </w:rPr>
              <w:t xml:space="preserve"> fjárhagsupplýsinganna</w:t>
            </w:r>
          </w:p>
          <w:p w14:paraId="156C7CEA" w14:textId="77777777" w:rsidR="008100E1" w:rsidRDefault="00C52444">
            <w:pPr>
              <w:pStyle w:val="AnnexTableCellLeft"/>
              <w:spacing w:after="120"/>
              <w:rPr>
                <w:szCs w:val="18"/>
              </w:rPr>
            </w:pPr>
            <w:r>
              <w:rPr>
                <w:i/>
                <w:iCs/>
              </w:rPr>
              <w:t>Pro forma</w:t>
            </w:r>
            <w:r>
              <w:t xml:space="preserve"> fjárhagsupplýsingar skulu samanstanda af:</w:t>
            </w:r>
          </w:p>
          <w:p w14:paraId="7E00E1DD" w14:textId="77777777" w:rsidR="008100E1" w:rsidRDefault="00C52444">
            <w:pPr>
              <w:pStyle w:val="AnnexNumberedText"/>
              <w:ind w:left="300" w:hanging="300"/>
              <w:rPr>
                <w:szCs w:val="18"/>
              </w:rPr>
            </w:pPr>
            <w:r>
              <w:t>a)</w:t>
            </w:r>
            <w:r>
              <w:tab/>
              <w:t>inngangi þar sem fram kemur:</w:t>
            </w:r>
          </w:p>
          <w:p w14:paraId="02E5D8B8" w14:textId="77777777" w:rsidR="008100E1" w:rsidRDefault="00C52444">
            <w:pPr>
              <w:pStyle w:val="AnnexNumberedText"/>
              <w:ind w:left="640" w:hanging="340"/>
              <w:rPr>
                <w:szCs w:val="18"/>
              </w:rPr>
            </w:pPr>
            <w:r>
              <w:t>i.</w:t>
            </w:r>
            <w:r>
              <w:tab/>
              <w:t xml:space="preserve">í hvaða tilgangi </w:t>
            </w:r>
            <w:proofErr w:type="spellStart"/>
            <w:r>
              <w:rPr>
                <w:i/>
                <w:iCs/>
              </w:rPr>
              <w:t>pro</w:t>
            </w:r>
            <w:proofErr w:type="spellEnd"/>
            <w:r>
              <w:rPr>
                <w:i/>
                <w:iCs/>
              </w:rPr>
              <w:t xml:space="preserve"> forma</w:t>
            </w:r>
            <w:r>
              <w:t xml:space="preserve"> fjárhagsupplýsingarnar voru teknar saman, þ.m.t. lýsing á yfirtökunni með skiptiútboði, samruna eða uppskiptingu eða verulegri skuldbindingu og þeim fy</w:t>
            </w:r>
            <w:r>
              <w:t>rirtækjum eða aðilum sem hlut eiga að máli,</w:t>
            </w:r>
          </w:p>
          <w:p w14:paraId="46B7C104" w14:textId="77777777" w:rsidR="008100E1" w:rsidRDefault="00C52444">
            <w:pPr>
              <w:pStyle w:val="AnnexNumberedText"/>
              <w:ind w:left="640" w:hanging="340"/>
              <w:rPr>
                <w:szCs w:val="18"/>
              </w:rPr>
            </w:pPr>
            <w:r>
              <w:t>ii.</w:t>
            </w:r>
            <w:r>
              <w:tab/>
              <w:t xml:space="preserve">tímabil og/eða dagsetning sem </w:t>
            </w:r>
            <w:proofErr w:type="spellStart"/>
            <w:r>
              <w:rPr>
                <w:i/>
                <w:iCs/>
              </w:rPr>
              <w:t>pro</w:t>
            </w:r>
            <w:proofErr w:type="spellEnd"/>
            <w:r>
              <w:rPr>
                <w:i/>
                <w:iCs/>
              </w:rPr>
              <w:t xml:space="preserve"> forma</w:t>
            </w:r>
            <w:r>
              <w:t xml:space="preserve"> fjárhagsupplýsingar taka til,</w:t>
            </w:r>
          </w:p>
          <w:p w14:paraId="12749CD0" w14:textId="77777777" w:rsidR="008100E1" w:rsidRDefault="00C52444">
            <w:pPr>
              <w:pStyle w:val="AnnexNumberedText"/>
              <w:ind w:left="640" w:hanging="340"/>
              <w:rPr>
                <w:szCs w:val="18"/>
              </w:rPr>
            </w:pPr>
            <w:r>
              <w:t>iii.</w:t>
            </w:r>
            <w:r>
              <w:tab/>
              <w:t xml:space="preserve">að </w:t>
            </w:r>
            <w:proofErr w:type="spellStart"/>
            <w:r>
              <w:rPr>
                <w:i/>
                <w:iCs/>
              </w:rPr>
              <w:t>pro</w:t>
            </w:r>
            <w:proofErr w:type="spellEnd"/>
            <w:r>
              <w:rPr>
                <w:i/>
                <w:iCs/>
              </w:rPr>
              <w:t xml:space="preserve"> forma</w:t>
            </w:r>
            <w:r>
              <w:t xml:space="preserve"> fjárhagsupplýsingarnar séu eingöngu útbúnar til skýringar,</w:t>
            </w:r>
          </w:p>
          <w:p w14:paraId="1EB08053" w14:textId="77777777" w:rsidR="008100E1" w:rsidRDefault="00C52444">
            <w:pPr>
              <w:pStyle w:val="AnnexNumberedText"/>
              <w:ind w:left="640" w:hanging="340"/>
              <w:rPr>
                <w:szCs w:val="18"/>
              </w:rPr>
            </w:pPr>
            <w:r>
              <w:t>iv.</w:t>
            </w:r>
            <w:r>
              <w:tab/>
              <w:t>útskýring á:</w:t>
            </w:r>
          </w:p>
          <w:p w14:paraId="7437C2CC" w14:textId="77777777" w:rsidR="008100E1" w:rsidRDefault="00C52444">
            <w:pPr>
              <w:pStyle w:val="AnnexNumberedText"/>
              <w:ind w:left="940" w:hanging="300"/>
              <w:rPr>
                <w:szCs w:val="18"/>
              </w:rPr>
            </w:pPr>
            <w:r>
              <w:t>A)</w:t>
            </w:r>
            <w:r>
              <w:tab/>
              <w:t xml:space="preserve">að </w:t>
            </w:r>
            <w:proofErr w:type="spellStart"/>
            <w:r>
              <w:rPr>
                <w:i/>
                <w:iCs/>
              </w:rPr>
              <w:t>pro</w:t>
            </w:r>
            <w:proofErr w:type="spellEnd"/>
            <w:r>
              <w:rPr>
                <w:i/>
                <w:iCs/>
              </w:rPr>
              <w:t xml:space="preserve"> forma</w:t>
            </w:r>
            <w:r>
              <w:t xml:space="preserve"> fjárhagsupplýsingarnar sýni </w:t>
            </w:r>
            <w:r>
              <w:t>áhrif viðskiptanna eins og ef viðskiptin hefðu farið fram fyrr,</w:t>
            </w:r>
          </w:p>
          <w:p w14:paraId="1A38F35D" w14:textId="77777777" w:rsidR="008100E1" w:rsidRDefault="00C52444">
            <w:pPr>
              <w:pStyle w:val="AnnexNumberedText"/>
              <w:ind w:left="940" w:hanging="300"/>
              <w:rPr>
                <w:szCs w:val="18"/>
              </w:rPr>
            </w:pPr>
            <w:r>
              <w:t>B)</w:t>
            </w:r>
            <w:r>
              <w:tab/>
              <w:t xml:space="preserve">að tilgátur um fjárhagsstöðu eða afkomu í </w:t>
            </w:r>
            <w:proofErr w:type="spellStart"/>
            <w:r>
              <w:rPr>
                <w:i/>
                <w:iCs/>
              </w:rPr>
              <w:t>pro</w:t>
            </w:r>
            <w:proofErr w:type="spellEnd"/>
            <w:r>
              <w:rPr>
                <w:i/>
                <w:iCs/>
              </w:rPr>
              <w:t xml:space="preserve"> forma</w:t>
            </w:r>
            <w:r>
              <w:t xml:space="preserve"> fjárhagsupplýsingunum geti verið frábrugðnar raunverulegri fjárhagsstöðu eða afkomu viðkomandi aðila,</w:t>
            </w:r>
          </w:p>
          <w:p w14:paraId="15DCF5F4" w14:textId="77777777" w:rsidR="008100E1" w:rsidRDefault="00C52444">
            <w:pPr>
              <w:pStyle w:val="AnnexNumberedText"/>
              <w:ind w:left="300" w:hanging="300"/>
              <w:rPr>
                <w:szCs w:val="18"/>
              </w:rPr>
            </w:pPr>
            <w:r>
              <w:t>b)</w:t>
            </w:r>
            <w:r>
              <w:tab/>
              <w:t>rekstrarreikningi, efnahagsreikn</w:t>
            </w:r>
            <w:r>
              <w:t>ingi eða hvorum tveggja, eftir atvikum, sett fram í dálkaformi sem samanstendur af:</w:t>
            </w:r>
          </w:p>
          <w:p w14:paraId="58D449D6" w14:textId="77777777" w:rsidR="008100E1" w:rsidRDefault="00C52444">
            <w:pPr>
              <w:pStyle w:val="AnnexNumberedText"/>
              <w:ind w:left="640" w:hanging="340"/>
              <w:rPr>
                <w:szCs w:val="18"/>
              </w:rPr>
            </w:pPr>
            <w:r>
              <w:t>i.</w:t>
            </w:r>
            <w:r>
              <w:tab/>
              <w:t>sögulegum, óleiðréttum upplýsingum,</w:t>
            </w:r>
          </w:p>
          <w:p w14:paraId="6321796C" w14:textId="77777777" w:rsidR="008100E1" w:rsidRDefault="00C52444">
            <w:pPr>
              <w:pStyle w:val="AnnexNumberedText"/>
              <w:ind w:left="640" w:hanging="340"/>
              <w:rPr>
                <w:szCs w:val="18"/>
              </w:rPr>
            </w:pPr>
            <w:r>
              <w:t>ii.</w:t>
            </w:r>
            <w:r>
              <w:tab/>
              <w:t>breytingum á reikningsskilaaðferðum, ef nauðsyn krefur,</w:t>
            </w:r>
          </w:p>
          <w:p w14:paraId="163C068B" w14:textId="77777777" w:rsidR="008100E1" w:rsidRDefault="00C52444">
            <w:pPr>
              <w:pStyle w:val="AnnexNumberedText"/>
              <w:ind w:left="640" w:hanging="340"/>
              <w:rPr>
                <w:szCs w:val="18"/>
              </w:rPr>
            </w:pPr>
            <w:r>
              <w:t>iii.</w:t>
            </w:r>
            <w:r>
              <w:tab/>
            </w:r>
            <w:proofErr w:type="spellStart"/>
            <w:r>
              <w:rPr>
                <w:i/>
                <w:iCs/>
              </w:rPr>
              <w:t>pro</w:t>
            </w:r>
            <w:proofErr w:type="spellEnd"/>
            <w:r>
              <w:rPr>
                <w:i/>
                <w:iCs/>
              </w:rPr>
              <w:t xml:space="preserve"> forma</w:t>
            </w:r>
            <w:r>
              <w:t xml:space="preserve"> leiðréttingum,</w:t>
            </w:r>
          </w:p>
          <w:p w14:paraId="17D3C1F7" w14:textId="77777777" w:rsidR="008100E1" w:rsidRDefault="00C52444">
            <w:pPr>
              <w:pStyle w:val="AnnexNumberedText"/>
              <w:ind w:left="640" w:hanging="340"/>
              <w:rPr>
                <w:szCs w:val="18"/>
              </w:rPr>
            </w:pPr>
            <w:r>
              <w:t>iv.</w:t>
            </w:r>
            <w:r>
              <w:tab/>
              <w:t xml:space="preserve">niðurstöðum </w:t>
            </w:r>
            <w:proofErr w:type="spellStart"/>
            <w:r>
              <w:rPr>
                <w:i/>
                <w:iCs/>
              </w:rPr>
              <w:t>pro</w:t>
            </w:r>
            <w:proofErr w:type="spellEnd"/>
            <w:r>
              <w:rPr>
                <w:i/>
                <w:iCs/>
              </w:rPr>
              <w:t xml:space="preserve"> forma</w:t>
            </w:r>
            <w:r>
              <w:t xml:space="preserve"> fjárhagsupplýsing</w:t>
            </w:r>
            <w:r>
              <w:t>anna í lokadálki,</w:t>
            </w:r>
          </w:p>
          <w:p w14:paraId="31C4CE70" w14:textId="77777777" w:rsidR="008100E1" w:rsidRDefault="00C52444">
            <w:pPr>
              <w:pStyle w:val="AnnexNumberedText"/>
              <w:ind w:left="300" w:hanging="300"/>
              <w:rPr>
                <w:szCs w:val="18"/>
              </w:rPr>
            </w:pPr>
            <w:r>
              <w:t>c)</w:t>
            </w:r>
            <w:r>
              <w:tab/>
              <w:t>meðfylgjandi skýringum á:</w:t>
            </w:r>
          </w:p>
          <w:p w14:paraId="663070E2" w14:textId="77777777" w:rsidR="008100E1" w:rsidRDefault="00C52444">
            <w:pPr>
              <w:pStyle w:val="AnnexNumberedText"/>
              <w:ind w:left="640" w:hanging="340"/>
              <w:rPr>
                <w:szCs w:val="18"/>
              </w:rPr>
            </w:pPr>
            <w:r>
              <w:t>i.</w:t>
            </w:r>
            <w:r>
              <w:tab/>
            </w:r>
            <w:r>
              <w:t>hvaðan óleiðréttu fjárhagsupplýsinganna var aflað og hvort birt hefur verið endurskoðunarskýrsla um upplýsingarnar sem þær byggja á,</w:t>
            </w:r>
          </w:p>
          <w:p w14:paraId="6B6771E7" w14:textId="77777777" w:rsidR="008100E1" w:rsidRDefault="00C52444">
            <w:pPr>
              <w:pStyle w:val="AnnexNumberedText"/>
              <w:ind w:left="640" w:hanging="340"/>
              <w:rPr>
                <w:szCs w:val="18"/>
              </w:rPr>
            </w:pPr>
            <w:r>
              <w:t>ii.</w:t>
            </w:r>
            <w:r>
              <w:tab/>
              <w:t xml:space="preserve">á hvaða grundvelli </w:t>
            </w:r>
            <w:proofErr w:type="spellStart"/>
            <w:r>
              <w:rPr>
                <w:i/>
                <w:iCs/>
              </w:rPr>
              <w:t>pro</w:t>
            </w:r>
            <w:proofErr w:type="spellEnd"/>
            <w:r>
              <w:rPr>
                <w:i/>
                <w:iCs/>
              </w:rPr>
              <w:t xml:space="preserve"> forma</w:t>
            </w:r>
            <w:r>
              <w:t xml:space="preserve"> fjárhagsupplýsingarnar eru samdar,</w:t>
            </w:r>
          </w:p>
          <w:p w14:paraId="7A89A905" w14:textId="77777777" w:rsidR="008100E1" w:rsidRDefault="00C52444">
            <w:pPr>
              <w:pStyle w:val="AnnexNumberedText"/>
              <w:ind w:left="640" w:hanging="340"/>
              <w:rPr>
                <w:szCs w:val="18"/>
              </w:rPr>
            </w:pPr>
            <w:r>
              <w:t>iii.</w:t>
            </w:r>
            <w:r>
              <w:tab/>
              <w:t>uppruna hverrar leiðréttingar ásamt útskýringu á h</w:t>
            </w:r>
            <w:r>
              <w:t>enni,</w:t>
            </w:r>
          </w:p>
          <w:p w14:paraId="0E2619A2" w14:textId="77777777" w:rsidR="008100E1" w:rsidRDefault="00C52444">
            <w:pPr>
              <w:pStyle w:val="AnnexNumberedText"/>
              <w:ind w:left="640" w:hanging="340"/>
              <w:rPr>
                <w:szCs w:val="18"/>
              </w:rPr>
            </w:pPr>
            <w:r>
              <w:t>iv.</w:t>
            </w:r>
            <w:r>
              <w:tab/>
              <w:t xml:space="preserve">að því er varðar hverja leiðréttingu í tengslum við </w:t>
            </w:r>
            <w:proofErr w:type="spellStart"/>
            <w:r>
              <w:rPr>
                <w:i/>
                <w:iCs/>
              </w:rPr>
              <w:t>pro</w:t>
            </w:r>
            <w:proofErr w:type="spellEnd"/>
            <w:r>
              <w:rPr>
                <w:i/>
                <w:iCs/>
              </w:rPr>
              <w:t xml:space="preserve"> forma</w:t>
            </w:r>
            <w:r>
              <w:t xml:space="preserve"> rekstrarreikning, hvort búist sé við að leiðréttingin hafi áframhaldandi áhrif á útgefandann eða ekki,</w:t>
            </w:r>
          </w:p>
          <w:p w14:paraId="66B21638" w14:textId="77777777" w:rsidR="008100E1" w:rsidRDefault="00C52444">
            <w:pPr>
              <w:pStyle w:val="AnnexNumberedText"/>
              <w:spacing w:after="0"/>
              <w:ind w:left="300" w:hanging="300"/>
              <w:rPr>
                <w:szCs w:val="18"/>
              </w:rPr>
            </w:pPr>
            <w:r>
              <w:t>d)</w:t>
            </w:r>
            <w:r>
              <w:tab/>
            </w:r>
            <w:r>
              <w:t xml:space="preserve">eftir atvikum, að því marki sem ekki er fjallað um annars staðar í undanþáguskjalinu, skal undanþáguskjalið hafa að geyma þær fjárhagsupplýsingar og árshlutaupplýsingar fyrirtækja eða aðila sem hafa verið (eða verða) yfirtekin sem notaðar eru við gerð </w:t>
            </w:r>
            <w:proofErr w:type="spellStart"/>
            <w:r>
              <w:rPr>
                <w:i/>
                <w:iCs/>
              </w:rPr>
              <w:t>pro</w:t>
            </w:r>
            <w:proofErr w:type="spellEnd"/>
            <w:r>
              <w:rPr>
                <w:i/>
                <w:iCs/>
              </w:rPr>
              <w:t xml:space="preserve"> </w:t>
            </w:r>
            <w:r>
              <w:rPr>
                <w:i/>
                <w:iCs/>
              </w:rPr>
              <w:t>forma</w:t>
            </w:r>
            <w:r>
              <w:t xml:space="preserve"> fjárhagsupplýsinganna. Á sama hátt, ef um er að ræða uppskiptingu, skal setja fram fjárhagsupplýsingar félagsins sem skipt er upp.</w:t>
            </w:r>
          </w:p>
        </w:tc>
      </w:tr>
      <w:tr w:rsidR="008100E1" w14:paraId="722B0439" w14:textId="77777777">
        <w:trPr>
          <w:trHeight w:val="240"/>
        </w:trPr>
        <w:tc>
          <w:tcPr>
            <w:tcW w:w="766" w:type="pct"/>
            <w:tcMar>
              <w:top w:w="100" w:type="dxa"/>
              <w:left w:w="0" w:type="dxa"/>
              <w:bottom w:w="100" w:type="dxa"/>
              <w:right w:w="60" w:type="dxa"/>
            </w:tcMar>
          </w:tcPr>
          <w:p w14:paraId="21EDA7C5" w14:textId="77777777" w:rsidR="008100E1" w:rsidRDefault="00C52444">
            <w:pPr>
              <w:pStyle w:val="AnnexTableCellLeft"/>
              <w:rPr>
                <w:szCs w:val="18"/>
              </w:rPr>
            </w:pPr>
            <w:r>
              <w:rPr>
                <w:b/>
                <w:szCs w:val="18"/>
              </w:rPr>
              <w:t>Liður 5.8</w:t>
            </w:r>
          </w:p>
        </w:tc>
        <w:tc>
          <w:tcPr>
            <w:tcW w:w="4234" w:type="pct"/>
            <w:tcMar>
              <w:top w:w="100" w:type="dxa"/>
              <w:left w:w="60" w:type="dxa"/>
              <w:bottom w:w="100" w:type="dxa"/>
              <w:right w:w="0" w:type="dxa"/>
            </w:tcMar>
          </w:tcPr>
          <w:p w14:paraId="3549FAE5" w14:textId="77777777" w:rsidR="008100E1" w:rsidRDefault="00C52444">
            <w:pPr>
              <w:pStyle w:val="AnnexTableCellLeft"/>
              <w:rPr>
                <w:szCs w:val="18"/>
              </w:rPr>
            </w:pPr>
            <w:r>
              <w:rPr>
                <w:b/>
                <w:szCs w:val="18"/>
              </w:rPr>
              <w:t xml:space="preserve">Meginreglur um gerð og framsetningu </w:t>
            </w:r>
            <w:proofErr w:type="spellStart"/>
            <w:r>
              <w:rPr>
                <w:b/>
                <w:i/>
                <w:iCs/>
                <w:szCs w:val="18"/>
              </w:rPr>
              <w:t>pro</w:t>
            </w:r>
            <w:proofErr w:type="spellEnd"/>
            <w:r>
              <w:rPr>
                <w:b/>
                <w:i/>
                <w:iCs/>
                <w:szCs w:val="18"/>
              </w:rPr>
              <w:t xml:space="preserve"> forma</w:t>
            </w:r>
            <w:r>
              <w:rPr>
                <w:b/>
                <w:szCs w:val="18"/>
              </w:rPr>
              <w:t xml:space="preserve"> fjárhagsupplýsinga</w:t>
            </w:r>
          </w:p>
        </w:tc>
      </w:tr>
      <w:tr w:rsidR="008100E1" w14:paraId="5F1B914E" w14:textId="77777777">
        <w:trPr>
          <w:trHeight w:val="240"/>
        </w:trPr>
        <w:tc>
          <w:tcPr>
            <w:tcW w:w="766" w:type="pct"/>
            <w:tcMar>
              <w:top w:w="100" w:type="dxa"/>
              <w:left w:w="0" w:type="dxa"/>
              <w:bottom w:w="100" w:type="dxa"/>
              <w:right w:w="60" w:type="dxa"/>
            </w:tcMar>
          </w:tcPr>
          <w:p w14:paraId="774DE129" w14:textId="77777777" w:rsidR="008100E1" w:rsidRDefault="00C52444">
            <w:pPr>
              <w:pStyle w:val="AnnexTableCellLeft"/>
              <w:pageBreakBefore/>
              <w:rPr>
                <w:szCs w:val="18"/>
              </w:rPr>
            </w:pPr>
            <w:r>
              <w:rPr>
                <w:b/>
                <w:szCs w:val="18"/>
              </w:rPr>
              <w:lastRenderedPageBreak/>
              <w:t>Liður 5.8.1</w:t>
            </w:r>
          </w:p>
        </w:tc>
        <w:tc>
          <w:tcPr>
            <w:tcW w:w="4234" w:type="pct"/>
            <w:tcMar>
              <w:top w:w="100" w:type="dxa"/>
              <w:left w:w="60" w:type="dxa"/>
              <w:bottom w:w="100" w:type="dxa"/>
              <w:right w:w="0" w:type="dxa"/>
            </w:tcMar>
          </w:tcPr>
          <w:p w14:paraId="01C3D5D0" w14:textId="77777777" w:rsidR="008100E1" w:rsidRDefault="00C52444">
            <w:pPr>
              <w:pStyle w:val="AnnexTableCellLeft"/>
              <w:spacing w:after="120"/>
              <w:rPr>
                <w:szCs w:val="18"/>
              </w:rPr>
            </w:pPr>
            <w:r>
              <w:rPr>
                <w:i/>
                <w:iCs/>
              </w:rPr>
              <w:t>Pro forma</w:t>
            </w:r>
            <w:r>
              <w:t xml:space="preserve"> fjárhagsupplýsingar </w:t>
            </w:r>
            <w:r>
              <w:t>skulu auðkenndar sem slíkar til aðgreiningar frá sögulegum fjárhagsupplýsingum.</w:t>
            </w:r>
          </w:p>
          <w:p w14:paraId="50EE400A" w14:textId="77777777" w:rsidR="008100E1" w:rsidRDefault="00C52444">
            <w:pPr>
              <w:pStyle w:val="AnnexTableCellLeft"/>
              <w:rPr>
                <w:szCs w:val="18"/>
              </w:rPr>
            </w:pPr>
            <w:r>
              <w:rPr>
                <w:i/>
                <w:iCs/>
              </w:rPr>
              <w:t>Pro forma</w:t>
            </w:r>
            <w:r>
              <w:t xml:space="preserve"> fjárhagsupplýsingar skulu samdar í samræmi við þá reikningsskilastefnu sem útgefandi fylgir í síðustu eða næstu reikningsskilum sínum.</w:t>
            </w:r>
          </w:p>
        </w:tc>
      </w:tr>
      <w:tr w:rsidR="008100E1" w14:paraId="5733AF81" w14:textId="77777777">
        <w:trPr>
          <w:trHeight w:val="240"/>
        </w:trPr>
        <w:tc>
          <w:tcPr>
            <w:tcW w:w="766" w:type="pct"/>
            <w:tcMar>
              <w:top w:w="100" w:type="dxa"/>
              <w:left w:w="0" w:type="dxa"/>
              <w:bottom w:w="100" w:type="dxa"/>
              <w:right w:w="60" w:type="dxa"/>
            </w:tcMar>
          </w:tcPr>
          <w:p w14:paraId="3FA24DBB" w14:textId="77777777" w:rsidR="008100E1" w:rsidRDefault="00C52444">
            <w:pPr>
              <w:pStyle w:val="AnnexTableCellLeft"/>
              <w:rPr>
                <w:szCs w:val="18"/>
              </w:rPr>
            </w:pPr>
            <w:r>
              <w:rPr>
                <w:b/>
                <w:szCs w:val="18"/>
              </w:rPr>
              <w:t>Liður 5.8.2</w:t>
            </w:r>
          </w:p>
        </w:tc>
        <w:tc>
          <w:tcPr>
            <w:tcW w:w="4234" w:type="pct"/>
            <w:tcMar>
              <w:top w:w="100" w:type="dxa"/>
              <w:left w:w="60" w:type="dxa"/>
              <w:bottom w:w="100" w:type="dxa"/>
              <w:right w:w="0" w:type="dxa"/>
            </w:tcMar>
          </w:tcPr>
          <w:p w14:paraId="508CC417" w14:textId="77777777" w:rsidR="008100E1" w:rsidRDefault="00C52444">
            <w:pPr>
              <w:pStyle w:val="AnnexTableCellLeft"/>
              <w:spacing w:after="120"/>
              <w:rPr>
                <w:szCs w:val="18"/>
              </w:rPr>
            </w:pPr>
            <w:r>
              <w:t>Einungis er heimil</w:t>
            </w:r>
            <w:r>
              <w:t xml:space="preserve">t að birta </w:t>
            </w:r>
            <w:proofErr w:type="spellStart"/>
            <w:r>
              <w:rPr>
                <w:i/>
                <w:iCs/>
              </w:rPr>
              <w:t>pro</w:t>
            </w:r>
            <w:proofErr w:type="spellEnd"/>
            <w:r>
              <w:rPr>
                <w:i/>
                <w:iCs/>
              </w:rPr>
              <w:t xml:space="preserve"> forma</w:t>
            </w:r>
            <w:r>
              <w:t xml:space="preserve"> upplýsingar að því er varðar annað hvort af eftirfarandi:</w:t>
            </w:r>
          </w:p>
          <w:p w14:paraId="434B994C" w14:textId="77777777" w:rsidR="008100E1" w:rsidRDefault="00C52444">
            <w:pPr>
              <w:pStyle w:val="AnnexNumberedText"/>
              <w:ind w:left="300" w:hanging="300"/>
              <w:rPr>
                <w:szCs w:val="18"/>
              </w:rPr>
            </w:pPr>
            <w:r>
              <w:t>a)</w:t>
            </w:r>
            <w:r>
              <w:tab/>
              <w:t>síðasta fjárhagstímabil sem er lokið,</w:t>
            </w:r>
          </w:p>
          <w:p w14:paraId="4644C483" w14:textId="77777777" w:rsidR="008100E1" w:rsidRDefault="00C52444">
            <w:pPr>
              <w:pStyle w:val="AnnexNumberedText"/>
              <w:spacing w:after="0"/>
              <w:ind w:left="300" w:hanging="300"/>
              <w:rPr>
                <w:szCs w:val="18"/>
              </w:rPr>
            </w:pPr>
            <w:r>
              <w:t>b)</w:t>
            </w:r>
            <w:r>
              <w:tab/>
              <w:t>næstliðinn árshluta sem viðkomandi, óleiðréttar upplýsingar hafa verið birtar um eða eru í undanþáguskjalinu fyrir.</w:t>
            </w:r>
          </w:p>
        </w:tc>
      </w:tr>
      <w:tr w:rsidR="008100E1" w14:paraId="6A825470" w14:textId="77777777">
        <w:trPr>
          <w:trHeight w:val="240"/>
        </w:trPr>
        <w:tc>
          <w:tcPr>
            <w:tcW w:w="766" w:type="pct"/>
            <w:tcMar>
              <w:top w:w="100" w:type="dxa"/>
              <w:left w:w="0" w:type="dxa"/>
              <w:bottom w:w="100" w:type="dxa"/>
              <w:right w:w="60" w:type="dxa"/>
            </w:tcMar>
          </w:tcPr>
          <w:p w14:paraId="74E0C080" w14:textId="77777777" w:rsidR="008100E1" w:rsidRDefault="00C52444">
            <w:pPr>
              <w:pStyle w:val="AnnexTableCellLeft"/>
              <w:rPr>
                <w:szCs w:val="18"/>
              </w:rPr>
            </w:pPr>
            <w:r>
              <w:rPr>
                <w:b/>
                <w:szCs w:val="18"/>
              </w:rPr>
              <w:t>Liður 5.8.3</w:t>
            </w:r>
          </w:p>
        </w:tc>
        <w:tc>
          <w:tcPr>
            <w:tcW w:w="4234" w:type="pct"/>
            <w:tcMar>
              <w:top w:w="100" w:type="dxa"/>
              <w:left w:w="60" w:type="dxa"/>
              <w:bottom w:w="100" w:type="dxa"/>
              <w:right w:w="0" w:type="dxa"/>
            </w:tcMar>
          </w:tcPr>
          <w:p w14:paraId="6D45EA21" w14:textId="77777777" w:rsidR="008100E1" w:rsidRDefault="00C52444">
            <w:pPr>
              <w:pStyle w:val="AnnexTableCellLeft"/>
              <w:spacing w:after="120"/>
              <w:rPr>
                <w:szCs w:val="18"/>
              </w:rPr>
            </w:pPr>
            <w:r>
              <w:rPr>
                <w:i/>
                <w:iCs/>
              </w:rPr>
              <w:t>Pro forma</w:t>
            </w:r>
            <w:r>
              <w:t xml:space="preserve"> leiðréttingarnar skulu:</w:t>
            </w:r>
          </w:p>
          <w:p w14:paraId="2E33E91A" w14:textId="77777777" w:rsidR="008100E1" w:rsidRDefault="00C52444">
            <w:pPr>
              <w:pStyle w:val="AnnexNumberedText"/>
              <w:ind w:left="300" w:hanging="300"/>
              <w:rPr>
                <w:szCs w:val="18"/>
              </w:rPr>
            </w:pPr>
            <w:r>
              <w:t>a)</w:t>
            </w:r>
            <w:r>
              <w:tab/>
              <w:t>sýndar með skýrum hætti og útskýrðar,</w:t>
            </w:r>
          </w:p>
          <w:p w14:paraId="188260B1" w14:textId="77777777" w:rsidR="008100E1" w:rsidRDefault="00C52444">
            <w:pPr>
              <w:pStyle w:val="AnnexNumberedText"/>
              <w:ind w:left="300" w:hanging="300"/>
              <w:rPr>
                <w:szCs w:val="18"/>
              </w:rPr>
            </w:pPr>
            <w:r>
              <w:t>b)</w:t>
            </w:r>
            <w:r>
              <w:tab/>
              <w:t>sýna öll veruleg áhrif sem rekja má beint til viðskiptanna,</w:t>
            </w:r>
          </w:p>
          <w:p w14:paraId="5CC41C66" w14:textId="77777777" w:rsidR="008100E1" w:rsidRDefault="00C52444">
            <w:pPr>
              <w:pStyle w:val="AnnexNumberedText"/>
              <w:spacing w:after="0"/>
              <w:ind w:left="300" w:hanging="300"/>
              <w:rPr>
                <w:szCs w:val="18"/>
              </w:rPr>
            </w:pPr>
            <w:r>
              <w:t>c)</w:t>
            </w:r>
            <w:r>
              <w:tab/>
              <w:t xml:space="preserve">vera </w:t>
            </w:r>
            <w:proofErr w:type="spellStart"/>
            <w:r>
              <w:t>styðjanlegar</w:t>
            </w:r>
            <w:proofErr w:type="spellEnd"/>
            <w:r>
              <w:t xml:space="preserve"> staðreyndum.</w:t>
            </w:r>
          </w:p>
        </w:tc>
      </w:tr>
      <w:tr w:rsidR="008100E1" w14:paraId="7FA237E8" w14:textId="77777777">
        <w:trPr>
          <w:trHeight w:val="240"/>
        </w:trPr>
        <w:tc>
          <w:tcPr>
            <w:tcW w:w="766" w:type="pct"/>
            <w:tcMar>
              <w:top w:w="100" w:type="dxa"/>
              <w:left w:w="0" w:type="dxa"/>
              <w:bottom w:w="100" w:type="dxa"/>
              <w:right w:w="60" w:type="dxa"/>
            </w:tcMar>
          </w:tcPr>
          <w:p w14:paraId="24EE2F4C" w14:textId="77777777" w:rsidR="008100E1" w:rsidRDefault="00C52444">
            <w:pPr>
              <w:pStyle w:val="AnnexTableCellLeft"/>
              <w:rPr>
                <w:szCs w:val="18"/>
              </w:rPr>
            </w:pPr>
            <w:r>
              <w:rPr>
                <w:b/>
                <w:szCs w:val="18"/>
              </w:rPr>
              <w:t>Liður 5.9</w:t>
            </w:r>
          </w:p>
        </w:tc>
        <w:tc>
          <w:tcPr>
            <w:tcW w:w="4234" w:type="pct"/>
            <w:tcMar>
              <w:top w:w="100" w:type="dxa"/>
              <w:left w:w="60" w:type="dxa"/>
              <w:bottom w:w="100" w:type="dxa"/>
              <w:right w:w="0" w:type="dxa"/>
            </w:tcMar>
          </w:tcPr>
          <w:p w14:paraId="60992B95" w14:textId="77777777" w:rsidR="008100E1" w:rsidRDefault="00C52444">
            <w:pPr>
              <w:pStyle w:val="AnnexTableCellLeft"/>
              <w:spacing w:after="120"/>
              <w:rPr>
                <w:szCs w:val="18"/>
              </w:rPr>
            </w:pPr>
            <w:r>
              <w:rPr>
                <w:b/>
                <w:szCs w:val="18"/>
              </w:rPr>
              <w:t>Kröfur um áritun endurskoðanda</w:t>
            </w:r>
          </w:p>
          <w:p w14:paraId="6F29DD13" w14:textId="77777777" w:rsidR="008100E1" w:rsidRDefault="00C52444">
            <w:pPr>
              <w:pStyle w:val="AnnexTableCellLeft"/>
              <w:spacing w:after="120"/>
              <w:rPr>
                <w:szCs w:val="18"/>
              </w:rPr>
            </w:pPr>
            <w:r>
              <w:t xml:space="preserve">Undanþáguskjalið skal hafa að </w:t>
            </w:r>
            <w:r>
              <w:t>geyma skýrslu sem unnin er af óháðum endurskoðendum eða endurskoðunarstofu, þar sem kemur fram það álit þeirra að:</w:t>
            </w:r>
          </w:p>
          <w:p w14:paraId="34131BF6" w14:textId="77777777" w:rsidR="008100E1" w:rsidRDefault="00C52444">
            <w:pPr>
              <w:pStyle w:val="AnnexNumberedText"/>
              <w:ind w:left="300" w:hanging="300"/>
              <w:rPr>
                <w:szCs w:val="18"/>
              </w:rPr>
            </w:pPr>
            <w:r>
              <w:t>a)</w:t>
            </w:r>
            <w:r>
              <w:tab/>
            </w:r>
            <w:proofErr w:type="spellStart"/>
            <w:r>
              <w:rPr>
                <w:i/>
                <w:iCs/>
              </w:rPr>
              <w:t>pro</w:t>
            </w:r>
            <w:proofErr w:type="spellEnd"/>
            <w:r>
              <w:rPr>
                <w:i/>
                <w:iCs/>
              </w:rPr>
              <w:t xml:space="preserve"> forma</w:t>
            </w:r>
            <w:r>
              <w:t xml:space="preserve"> fjárhagsupplýsingarnar hafi verið samdar á tilhlýðilegan hátt á þeim grundvelli sem tilgreindur er,</w:t>
            </w:r>
          </w:p>
          <w:p w14:paraId="5C248229" w14:textId="77777777" w:rsidR="008100E1" w:rsidRDefault="00C52444">
            <w:pPr>
              <w:pStyle w:val="AnnexNumberedText"/>
              <w:spacing w:after="0"/>
              <w:ind w:left="300" w:hanging="300"/>
              <w:rPr>
                <w:szCs w:val="18"/>
              </w:rPr>
            </w:pPr>
            <w:r>
              <w:t>b)</w:t>
            </w:r>
            <w:r>
              <w:tab/>
              <w:t xml:space="preserve">að grundvöllurinn sem um </w:t>
            </w:r>
            <w:r>
              <w:t>getur í a-lið sé í samræmi við reikningsskilaaðferðir útgefanda.</w:t>
            </w:r>
          </w:p>
        </w:tc>
      </w:tr>
      <w:tr w:rsidR="008100E1" w14:paraId="7F5AA4E9" w14:textId="77777777">
        <w:trPr>
          <w:trHeight w:val="240"/>
        </w:trPr>
        <w:tc>
          <w:tcPr>
            <w:tcW w:w="766" w:type="pct"/>
            <w:tcMar>
              <w:top w:w="100" w:type="dxa"/>
              <w:left w:w="0" w:type="dxa"/>
              <w:bottom w:w="100" w:type="dxa"/>
              <w:right w:w="60" w:type="dxa"/>
            </w:tcMar>
          </w:tcPr>
          <w:p w14:paraId="0D47B765" w14:textId="77777777" w:rsidR="008100E1" w:rsidRDefault="00C52444">
            <w:pPr>
              <w:pStyle w:val="AnnexTableCellLeft"/>
              <w:spacing w:line="200" w:lineRule="exact"/>
              <w:rPr>
                <w:sz w:val="16"/>
                <w:szCs w:val="16"/>
              </w:rPr>
            </w:pPr>
            <w:r>
              <w:rPr>
                <w:b/>
                <w:sz w:val="16"/>
                <w:szCs w:val="16"/>
              </w:rPr>
              <w:t>6. ÞÁTTUR</w:t>
            </w:r>
          </w:p>
        </w:tc>
        <w:tc>
          <w:tcPr>
            <w:tcW w:w="4234" w:type="pct"/>
            <w:tcMar>
              <w:top w:w="100" w:type="dxa"/>
              <w:left w:w="60" w:type="dxa"/>
              <w:bottom w:w="100" w:type="dxa"/>
              <w:right w:w="0" w:type="dxa"/>
            </w:tcMar>
          </w:tcPr>
          <w:p w14:paraId="135357C4" w14:textId="77777777" w:rsidR="008100E1" w:rsidRDefault="00C52444">
            <w:pPr>
              <w:pStyle w:val="AnnexTableCellLeft"/>
              <w:spacing w:line="200" w:lineRule="exact"/>
              <w:rPr>
                <w:sz w:val="16"/>
                <w:szCs w:val="16"/>
              </w:rPr>
            </w:pPr>
            <w:r>
              <w:rPr>
                <w:b/>
                <w:sz w:val="16"/>
                <w:szCs w:val="16"/>
              </w:rPr>
              <w:t>TILTÆK SKJÖL</w:t>
            </w:r>
          </w:p>
        </w:tc>
      </w:tr>
      <w:tr w:rsidR="008100E1" w14:paraId="657BC379" w14:textId="77777777">
        <w:trPr>
          <w:trHeight w:val="240"/>
        </w:trPr>
        <w:tc>
          <w:tcPr>
            <w:tcW w:w="766" w:type="pct"/>
            <w:tcMar>
              <w:top w:w="100" w:type="dxa"/>
              <w:left w:w="0" w:type="dxa"/>
              <w:bottom w:w="100" w:type="dxa"/>
              <w:right w:w="60" w:type="dxa"/>
            </w:tcMar>
          </w:tcPr>
          <w:p w14:paraId="53756D03" w14:textId="77777777" w:rsidR="008100E1" w:rsidRDefault="00C52444">
            <w:pPr>
              <w:pStyle w:val="AnnexTableCellLeft"/>
              <w:rPr>
                <w:szCs w:val="18"/>
              </w:rPr>
            </w:pPr>
            <w:r>
              <w:rPr>
                <w:b/>
                <w:szCs w:val="18"/>
              </w:rPr>
              <w:t>Liður 6.1</w:t>
            </w:r>
          </w:p>
        </w:tc>
        <w:tc>
          <w:tcPr>
            <w:tcW w:w="4234" w:type="pct"/>
            <w:tcMar>
              <w:top w:w="100" w:type="dxa"/>
              <w:left w:w="60" w:type="dxa"/>
              <w:bottom w:w="100" w:type="dxa"/>
              <w:right w:w="0" w:type="dxa"/>
            </w:tcMar>
          </w:tcPr>
          <w:p w14:paraId="5AE3FB5B" w14:textId="77777777" w:rsidR="008100E1" w:rsidRDefault="00C52444">
            <w:pPr>
              <w:pStyle w:val="AnnexTableCellLeft"/>
              <w:spacing w:after="120"/>
              <w:rPr>
                <w:szCs w:val="18"/>
              </w:rPr>
            </w:pPr>
            <w:r>
              <w:t>Upplýsingar um hvar hægt er að skoða eftirfarandi skjöl, eftir atvikum, næstu 12 mánuði eftir birtingu undanþáguskjalsins:</w:t>
            </w:r>
          </w:p>
          <w:p w14:paraId="772EC824" w14:textId="77777777" w:rsidR="008100E1" w:rsidRDefault="00C52444">
            <w:pPr>
              <w:pStyle w:val="AnnexNumberedText"/>
              <w:ind w:left="300" w:hanging="300"/>
              <w:rPr>
                <w:szCs w:val="18"/>
              </w:rPr>
            </w:pPr>
            <w:r>
              <w:t>a)</w:t>
            </w:r>
            <w:r>
              <w:tab/>
              <w:t>gildandi stofnsamning og samþykktir útgefanda,</w:t>
            </w:r>
          </w:p>
          <w:p w14:paraId="58C11778" w14:textId="77777777" w:rsidR="008100E1" w:rsidRDefault="00C52444">
            <w:pPr>
              <w:pStyle w:val="AnnexNumberedText"/>
              <w:ind w:left="300" w:hanging="300"/>
              <w:rPr>
                <w:szCs w:val="18"/>
              </w:rPr>
            </w:pPr>
            <w:r>
              <w:t>b)</w:t>
            </w:r>
            <w:r>
              <w:tab/>
              <w:t>allar skýrslur, bréf og önnur skjöl, sögulegar fjárhagsupplýsingar, mats- og gre</w:t>
            </w:r>
            <w:r>
              <w:t>inargerðir sem eru samdar af sérfræðingum að beiðni útgefanda og að einhverju leyti eru felldar inn í eða vísað er til í undanþáguskjalinu,</w:t>
            </w:r>
          </w:p>
          <w:p w14:paraId="02AE4352" w14:textId="77777777" w:rsidR="008100E1" w:rsidRDefault="00C52444">
            <w:pPr>
              <w:pStyle w:val="AnnexNumberedText"/>
              <w:ind w:left="300" w:hanging="300"/>
              <w:rPr>
                <w:szCs w:val="18"/>
              </w:rPr>
            </w:pPr>
            <w:r>
              <w:t>c)</w:t>
            </w:r>
            <w:r>
              <w:tab/>
              <w:t xml:space="preserve">allar skýrslur, bréf og önnur skjöl, mats- og greinargerðir sem ekki er getið í a- eða </w:t>
            </w:r>
            <w:proofErr w:type="spellStart"/>
            <w:r>
              <w:t>b-lið</w:t>
            </w:r>
            <w:proofErr w:type="spellEnd"/>
            <w:r>
              <w:t xml:space="preserve"> þessa liðar eða í ne</w:t>
            </w:r>
            <w:r>
              <w:t>inum öðrum liðum í þessum viðauka, sem samin eru í samræmi við tilskipun 2004/25/EB eða tilskipun (ESB) 2017/1132.</w:t>
            </w:r>
          </w:p>
          <w:p w14:paraId="72594367" w14:textId="77777777" w:rsidR="008100E1" w:rsidRDefault="00C52444">
            <w:pPr>
              <w:pStyle w:val="AnnexTableCellLeft"/>
              <w:rPr>
                <w:szCs w:val="18"/>
              </w:rPr>
            </w:pPr>
            <w:r>
              <w:t>Tilgreina skal vefsetur þar sem hægt er að skoða skjölin.</w:t>
            </w:r>
          </w:p>
        </w:tc>
      </w:tr>
      <w:tr w:rsidR="008100E1" w14:paraId="27FCE66B" w14:textId="77777777">
        <w:tc>
          <w:tcPr>
            <w:tcW w:w="5000" w:type="pct"/>
            <w:gridSpan w:val="2"/>
            <w:tcMar>
              <w:top w:w="60" w:type="dxa"/>
              <w:left w:w="0" w:type="dxa"/>
              <w:bottom w:w="60" w:type="dxa"/>
              <w:right w:w="0" w:type="dxa"/>
            </w:tcMar>
          </w:tcPr>
          <w:p w14:paraId="5806EFDE" w14:textId="77777777" w:rsidR="008100E1" w:rsidRDefault="00C52444">
            <w:pPr>
              <w:pStyle w:val="AnnexTableGrNotes"/>
              <w:spacing w:line="200" w:lineRule="exact"/>
              <w:ind w:left="300" w:hanging="300"/>
              <w:rPr>
                <w:szCs w:val="18"/>
              </w:rPr>
            </w:pPr>
            <w:r>
              <w:t>(</w:t>
            </w:r>
            <w:bookmarkStart w:id="5" w:name="NOTE_6"/>
            <w:r>
              <w:rPr>
                <w:szCs w:val="18"/>
                <w:vertAlign w:val="superscript"/>
              </w:rPr>
              <w:t>1</w:t>
            </w:r>
            <w:bookmarkEnd w:id="5"/>
            <w:r>
              <w:t>)</w:t>
            </w:r>
            <w:r>
              <w:tab/>
            </w:r>
            <w:r>
              <w:t xml:space="preserve">Reglugerð Evrópuþingsins og ráðsins (EB) nr. 1606/2002 frá 19. júlí 2002 um beitingu alþjóðlegra </w:t>
            </w:r>
            <w:proofErr w:type="spellStart"/>
            <w:r>
              <w:t>reikningsskilastaðla</w:t>
            </w:r>
            <w:proofErr w:type="spellEnd"/>
            <w:r>
              <w:t xml:space="preserve"> (</w:t>
            </w:r>
            <w:proofErr w:type="spellStart"/>
            <w:r>
              <w:t>Stjtíð</w:t>
            </w:r>
            <w:proofErr w:type="spellEnd"/>
            <w:r>
              <w:t>. EB L 243, 11.9.2002, bls. 1).</w:t>
            </w:r>
          </w:p>
          <w:p w14:paraId="1D2CFB9B" w14:textId="77777777" w:rsidR="008100E1" w:rsidRDefault="00C52444">
            <w:pPr>
              <w:pStyle w:val="AnnexTableGrNotes"/>
              <w:spacing w:line="200" w:lineRule="exact"/>
              <w:ind w:left="300" w:hanging="300"/>
              <w:rPr>
                <w:szCs w:val="18"/>
              </w:rPr>
            </w:pPr>
            <w:r>
              <w:t>(</w:t>
            </w:r>
            <w:bookmarkStart w:id="6" w:name="NOTE_7"/>
            <w:r>
              <w:rPr>
                <w:szCs w:val="18"/>
                <w:vertAlign w:val="superscript"/>
              </w:rPr>
              <w:t>2</w:t>
            </w:r>
            <w:bookmarkEnd w:id="6"/>
            <w:r>
              <w:t>)</w:t>
            </w:r>
            <w:r>
              <w:tab/>
              <w:t>Tilskipun Evrópuþingsins og ráðsins 2013/34/ESB frá 26. júní 2013 um árleg reikningsskil, samst</w:t>
            </w:r>
            <w:r>
              <w:t>æðureikningsskil og tilheyrandi skýrslur tiltekinna tegunda fyrirtækja, um breytingu á tilskipun Evrópuþingsins og ráðsins 2006/43/EB og niðurfellingu tilskipana ráðsins 78/660/EBE og 83/349/EBE (</w:t>
            </w:r>
            <w:proofErr w:type="spellStart"/>
            <w:r>
              <w:t>Stjtíð</w:t>
            </w:r>
            <w:proofErr w:type="spellEnd"/>
            <w:r>
              <w:t>. ESB L 182, 29.6.2013, bls. 19).</w:t>
            </w:r>
          </w:p>
          <w:p w14:paraId="61BD289F" w14:textId="77777777" w:rsidR="008100E1" w:rsidRDefault="00C52444">
            <w:pPr>
              <w:pStyle w:val="AnnexTableGrNotes"/>
              <w:spacing w:line="200" w:lineRule="exact"/>
              <w:ind w:left="300" w:hanging="300"/>
              <w:rPr>
                <w:szCs w:val="18"/>
              </w:rPr>
            </w:pPr>
            <w:r>
              <w:t>(</w:t>
            </w:r>
            <w:bookmarkStart w:id="7" w:name="NOTE_8"/>
            <w:r>
              <w:rPr>
                <w:szCs w:val="18"/>
                <w:vertAlign w:val="superscript"/>
              </w:rPr>
              <w:t>3</w:t>
            </w:r>
            <w:bookmarkEnd w:id="7"/>
            <w:r>
              <w:t>)</w:t>
            </w:r>
            <w:r>
              <w:tab/>
            </w:r>
            <w:r>
              <w:t>Reglugerð Evrópuþingsins og ráðsins (ESB) nr. 596/2014 frá 16. apríl 2014 um markaðssvik (reglugerð um markaðssvik) og um niðurfellingu á tilskipun Evrópuþingsins og ráðsins 2003/6/EB og tilskipunum framkvæmdastjórnarinnar 2003/124/EB, 2003/125/EB og 2004/</w:t>
            </w:r>
            <w:r>
              <w:t>72/EB (</w:t>
            </w:r>
            <w:proofErr w:type="spellStart"/>
            <w:r>
              <w:t>Stjtíð</w:t>
            </w:r>
            <w:proofErr w:type="spellEnd"/>
            <w:r>
              <w:t>. ESB. L 173, 12.6.2014, bls. 1).</w:t>
            </w:r>
          </w:p>
          <w:p w14:paraId="30CC4842" w14:textId="77777777" w:rsidR="008100E1" w:rsidRDefault="00C52444">
            <w:pPr>
              <w:pStyle w:val="AnnexTableGrNotes"/>
              <w:spacing w:line="200" w:lineRule="exact"/>
              <w:ind w:left="300" w:hanging="300"/>
              <w:rPr>
                <w:szCs w:val="18"/>
              </w:rPr>
            </w:pPr>
            <w:r>
              <w:t>(</w:t>
            </w:r>
            <w:bookmarkStart w:id="8" w:name="NOTE_9"/>
            <w:r>
              <w:rPr>
                <w:szCs w:val="18"/>
                <w:vertAlign w:val="superscript"/>
              </w:rPr>
              <w:t>4</w:t>
            </w:r>
            <w:bookmarkEnd w:id="8"/>
            <w:r>
              <w:t>)</w:t>
            </w:r>
            <w:r>
              <w:tab/>
              <w:t>Framseld reglugerð framkvæmdastjórnarinnar 2019/980 frá 14. mars 2019 um viðbætur við reglugerð Evrópuþingsins og ráðsins (ESB) 2017/1129 að því er varðar sniðmát, efni, athugun og staðfestingu lýsinga sem</w:t>
            </w:r>
            <w:r>
              <w:t xml:space="preserve"> birta skal þegar verðbréf eru boðin í almennu útboði eða tekin til viðskipta á skipulegum markaði og um niðurfellingu á reglugerð framkvæmdastjórnarinnar (EB) nr. 809/2004 (</w:t>
            </w:r>
            <w:proofErr w:type="spellStart"/>
            <w:r>
              <w:t>Stjtíð</w:t>
            </w:r>
            <w:proofErr w:type="spellEnd"/>
            <w:r>
              <w:t>. ESB L 166, 21.6.2019, bls. 26).</w:t>
            </w:r>
          </w:p>
        </w:tc>
      </w:tr>
    </w:tbl>
    <w:p w14:paraId="2C205391" w14:textId="77777777" w:rsidR="008100E1" w:rsidRDefault="008100E1">
      <w:pPr>
        <w:pStyle w:val="Para"/>
        <w:sectPr w:rsidR="008100E1">
          <w:pgSz w:w="11906" w:h="16838" w:code="9"/>
          <w:pgMar w:top="1680" w:right="1333" w:bottom="840" w:left="1333" w:header="920" w:footer="280" w:gutter="0"/>
          <w:cols w:space="708"/>
          <w:docGrid w:linePitch="360"/>
        </w:sectPr>
      </w:pPr>
    </w:p>
    <w:p w14:paraId="6F329A18" w14:textId="77777777" w:rsidR="008100E1" w:rsidRDefault="00C52444">
      <w:pPr>
        <w:pStyle w:val="AnnexTI"/>
        <w:spacing w:after="360"/>
      </w:pPr>
      <w:r>
        <w:lastRenderedPageBreak/>
        <w:t>II. VIÐAUKI</w:t>
      </w:r>
    </w:p>
    <w:p w14:paraId="034E824F" w14:textId="77777777" w:rsidR="008100E1" w:rsidRDefault="00C52444">
      <w:pPr>
        <w:pStyle w:val="AnnexSTI"/>
        <w:spacing w:after="600" w:line="200" w:lineRule="exact"/>
        <w:rPr>
          <w:sz w:val="16"/>
        </w:rPr>
      </w:pPr>
      <w:r>
        <w:rPr>
          <w:sz w:val="16"/>
        </w:rPr>
        <w:t>LÁGMA</w:t>
      </w:r>
      <w:r>
        <w:rPr>
          <w:sz w:val="16"/>
        </w:rPr>
        <w:t>RKSUPPLÝSINGAR Í UNDANÞÁGUSKJALINU</w:t>
      </w:r>
    </w:p>
    <w:p w14:paraId="75E9C047" w14:textId="77777777" w:rsidR="008100E1" w:rsidRDefault="00C52444">
      <w:pPr>
        <w:pStyle w:val="AnnexNormal"/>
        <w:spacing w:after="600"/>
        <w:jc w:val="center"/>
      </w:pPr>
      <w:r>
        <w:t>Ákvæði fjórðu undirgreinar 1. mgr. 2. gr.</w:t>
      </w:r>
    </w:p>
    <w:tbl>
      <w:tblPr>
        <w:tblStyle w:val="EFTATable"/>
        <w:tblW w:w="5000" w:type="pct"/>
        <w:tblLayout w:type="fixed"/>
        <w:tblLook w:val="04A0" w:firstRow="1" w:lastRow="0" w:firstColumn="1" w:lastColumn="0" w:noHBand="0" w:noVBand="1"/>
      </w:tblPr>
      <w:tblGrid>
        <w:gridCol w:w="1440"/>
        <w:gridCol w:w="7800"/>
      </w:tblGrid>
      <w:tr w:rsidR="008100E1" w14:paraId="6A0D461A" w14:textId="77777777">
        <w:tc>
          <w:tcPr>
            <w:tcW w:w="779" w:type="pct"/>
            <w:tcMar>
              <w:top w:w="100" w:type="dxa"/>
              <w:left w:w="0" w:type="dxa"/>
              <w:bottom w:w="100" w:type="dxa"/>
              <w:right w:w="60" w:type="dxa"/>
            </w:tcMar>
          </w:tcPr>
          <w:p w14:paraId="23824AC0" w14:textId="77777777" w:rsidR="008100E1" w:rsidRDefault="00C52444">
            <w:pPr>
              <w:pStyle w:val="AnnexTableCellLeft"/>
              <w:spacing w:line="200" w:lineRule="exact"/>
              <w:rPr>
                <w:sz w:val="16"/>
                <w:szCs w:val="18"/>
              </w:rPr>
            </w:pPr>
            <w:r>
              <w:rPr>
                <w:b/>
                <w:sz w:val="16"/>
                <w:szCs w:val="18"/>
              </w:rPr>
              <w:t>1. ÞÁTTUR</w:t>
            </w:r>
          </w:p>
        </w:tc>
        <w:tc>
          <w:tcPr>
            <w:tcW w:w="4221" w:type="pct"/>
            <w:tcMar>
              <w:top w:w="100" w:type="dxa"/>
              <w:left w:w="60" w:type="dxa"/>
              <w:bottom w:w="100" w:type="dxa"/>
              <w:right w:w="0" w:type="dxa"/>
            </w:tcMar>
          </w:tcPr>
          <w:p w14:paraId="587A61F8" w14:textId="77777777" w:rsidR="008100E1" w:rsidRDefault="00C52444">
            <w:pPr>
              <w:pStyle w:val="AnnexTableCellLeft"/>
              <w:spacing w:line="200" w:lineRule="exact"/>
              <w:rPr>
                <w:sz w:val="16"/>
                <w:szCs w:val="18"/>
              </w:rPr>
            </w:pPr>
            <w:r>
              <w:rPr>
                <w:b/>
                <w:sz w:val="16"/>
                <w:szCs w:val="18"/>
              </w:rPr>
              <w:t>UPPLÝSINGAR UM ÚTGEFANDANN</w:t>
            </w:r>
          </w:p>
        </w:tc>
      </w:tr>
      <w:tr w:rsidR="008100E1" w14:paraId="28A35A3F" w14:textId="77777777">
        <w:tc>
          <w:tcPr>
            <w:tcW w:w="779" w:type="pct"/>
            <w:tcMar>
              <w:top w:w="100" w:type="dxa"/>
              <w:left w:w="0" w:type="dxa"/>
              <w:bottom w:w="100" w:type="dxa"/>
              <w:right w:w="60" w:type="dxa"/>
            </w:tcMar>
          </w:tcPr>
          <w:p w14:paraId="1A473993" w14:textId="77777777" w:rsidR="008100E1" w:rsidRDefault="008100E1">
            <w:pPr>
              <w:pStyle w:val="AnnexTableCellLeft"/>
              <w:rPr>
                <w:szCs w:val="18"/>
              </w:rPr>
            </w:pPr>
          </w:p>
        </w:tc>
        <w:tc>
          <w:tcPr>
            <w:tcW w:w="4221" w:type="pct"/>
            <w:tcMar>
              <w:top w:w="100" w:type="dxa"/>
              <w:left w:w="60" w:type="dxa"/>
              <w:bottom w:w="100" w:type="dxa"/>
              <w:right w:w="0" w:type="dxa"/>
            </w:tcMar>
          </w:tcPr>
          <w:p w14:paraId="397885FC" w14:textId="77777777" w:rsidR="008100E1" w:rsidRDefault="00C52444">
            <w:pPr>
              <w:pStyle w:val="AnnexTableCellLeft"/>
              <w:spacing w:after="120"/>
              <w:rPr>
                <w:szCs w:val="18"/>
              </w:rPr>
            </w:pPr>
            <w:r>
              <w:t>Eftirfarandi upplýsingar skulu veittar:</w:t>
            </w:r>
          </w:p>
          <w:p w14:paraId="5FB8D642" w14:textId="77777777" w:rsidR="008100E1" w:rsidRDefault="00C52444">
            <w:pPr>
              <w:pStyle w:val="AnnexNumberedText"/>
              <w:ind w:left="300" w:hanging="300"/>
              <w:rPr>
                <w:szCs w:val="18"/>
              </w:rPr>
            </w:pPr>
            <w:r>
              <w:t>a)</w:t>
            </w:r>
            <w:r>
              <w:tab/>
            </w:r>
            <w:r>
              <w:t>upplýsingarnar sem krafist er í 1. þætti I. viðauka við þessa reglugerð,</w:t>
            </w:r>
          </w:p>
          <w:p w14:paraId="51008747" w14:textId="77777777" w:rsidR="008100E1" w:rsidRDefault="00C52444">
            <w:pPr>
              <w:pStyle w:val="AnnexNumberedText"/>
              <w:ind w:left="300" w:hanging="300"/>
              <w:rPr>
                <w:szCs w:val="18"/>
              </w:rPr>
            </w:pPr>
            <w:r>
              <w:t>b)</w:t>
            </w:r>
            <w:r>
              <w:tab/>
              <w:t>upplýsingarnar sem krafist er í 1. viðauka við framselda reglugerð (ESB) 2019/980, að undanskildum 1. þætti þess viðauka. Eftir atvikum skal einnig veita þær upplýsingar um útgefan</w:t>
            </w:r>
            <w:r>
              <w:t>da undirliggjandi hlutabréfa ef hann er annar en útgefandi hlutabréfatengdu verðbréfanna.</w:t>
            </w:r>
          </w:p>
          <w:p w14:paraId="1C529ED0" w14:textId="77777777" w:rsidR="008100E1" w:rsidRDefault="00C52444">
            <w:pPr>
              <w:pStyle w:val="AnnexTableCellLeft"/>
              <w:rPr>
                <w:szCs w:val="18"/>
              </w:rPr>
            </w:pPr>
            <w:r>
              <w:t xml:space="preserve">Sérhverja tilvísun til „útgefandalýsingar“ eða „lýsingar“ í 1. viðauka við framselda reglugerð (ESB) 2019/980 skal túlka sem tilvísun til undanþáguskjals, eins og um </w:t>
            </w:r>
            <w:r>
              <w:t>getur í þessari reglugerð.</w:t>
            </w:r>
          </w:p>
        </w:tc>
      </w:tr>
      <w:tr w:rsidR="008100E1" w14:paraId="33E80E2E" w14:textId="77777777">
        <w:tc>
          <w:tcPr>
            <w:tcW w:w="779" w:type="pct"/>
            <w:tcMar>
              <w:top w:w="100" w:type="dxa"/>
              <w:left w:w="0" w:type="dxa"/>
              <w:bottom w:w="100" w:type="dxa"/>
              <w:right w:w="60" w:type="dxa"/>
            </w:tcMar>
          </w:tcPr>
          <w:p w14:paraId="1DC9DDB5" w14:textId="77777777" w:rsidR="008100E1" w:rsidRDefault="00C52444">
            <w:pPr>
              <w:pStyle w:val="AnnexTableCellLeft"/>
              <w:spacing w:line="200" w:lineRule="exact"/>
              <w:rPr>
                <w:sz w:val="16"/>
                <w:szCs w:val="18"/>
              </w:rPr>
            </w:pPr>
            <w:r>
              <w:rPr>
                <w:b/>
                <w:sz w:val="16"/>
                <w:szCs w:val="18"/>
              </w:rPr>
              <w:t>2. ÞÁTTUR</w:t>
            </w:r>
          </w:p>
        </w:tc>
        <w:tc>
          <w:tcPr>
            <w:tcW w:w="4221" w:type="pct"/>
            <w:tcMar>
              <w:top w:w="100" w:type="dxa"/>
              <w:left w:w="60" w:type="dxa"/>
              <w:bottom w:w="100" w:type="dxa"/>
              <w:right w:w="0" w:type="dxa"/>
            </w:tcMar>
          </w:tcPr>
          <w:p w14:paraId="644B32C8" w14:textId="77777777" w:rsidR="008100E1" w:rsidRDefault="00C52444">
            <w:pPr>
              <w:pStyle w:val="AnnexTableCellLeft"/>
              <w:spacing w:line="200" w:lineRule="exact"/>
              <w:rPr>
                <w:sz w:val="16"/>
                <w:szCs w:val="18"/>
              </w:rPr>
            </w:pPr>
            <w:r>
              <w:rPr>
                <w:b/>
                <w:sz w:val="16"/>
                <w:szCs w:val="18"/>
              </w:rPr>
              <w:t>UPPLÝSINGAR UM FÉLAGIÐ SEM TILBOÐIÐ TEKUR TIL, FÉLAGIÐ SEM ER YFIRTEKIÐ EÐA FÉLAGIÐ SEM SKIPT ER UPP</w:t>
            </w:r>
          </w:p>
        </w:tc>
      </w:tr>
      <w:tr w:rsidR="008100E1" w14:paraId="6425A87F" w14:textId="77777777">
        <w:tc>
          <w:tcPr>
            <w:tcW w:w="779" w:type="pct"/>
            <w:tcMar>
              <w:top w:w="100" w:type="dxa"/>
              <w:left w:w="0" w:type="dxa"/>
              <w:bottom w:w="100" w:type="dxa"/>
              <w:right w:w="60" w:type="dxa"/>
            </w:tcMar>
          </w:tcPr>
          <w:p w14:paraId="6874C749" w14:textId="77777777" w:rsidR="008100E1" w:rsidRDefault="008100E1">
            <w:pPr>
              <w:pStyle w:val="AnnexTableCellLeft"/>
              <w:rPr>
                <w:szCs w:val="18"/>
              </w:rPr>
            </w:pPr>
          </w:p>
        </w:tc>
        <w:tc>
          <w:tcPr>
            <w:tcW w:w="4221" w:type="pct"/>
            <w:tcMar>
              <w:top w:w="100" w:type="dxa"/>
              <w:left w:w="60" w:type="dxa"/>
              <w:bottom w:w="100" w:type="dxa"/>
              <w:right w:w="0" w:type="dxa"/>
            </w:tcMar>
          </w:tcPr>
          <w:p w14:paraId="630E2DC9" w14:textId="77777777" w:rsidR="008100E1" w:rsidRDefault="00C52444">
            <w:pPr>
              <w:pStyle w:val="AnnexTableCellLeft"/>
              <w:spacing w:after="120"/>
              <w:rPr>
                <w:szCs w:val="18"/>
              </w:rPr>
            </w:pPr>
            <w:r>
              <w:t>Upplýsingarnar sem krafist er í 2. þætti I. viðauka við þessa reglugerð skulu veittar, með hliðsjón af tegund viðsk</w:t>
            </w:r>
            <w:r>
              <w:t>ipta, um félagið sem tilboðið tekur til, félagið sem er yfirtekið eða félagið sem skipt er upp.</w:t>
            </w:r>
          </w:p>
          <w:p w14:paraId="31FF51EF" w14:textId="77777777" w:rsidR="008100E1" w:rsidRDefault="00C52444">
            <w:pPr>
              <w:pStyle w:val="AnnexTableCellLeft"/>
              <w:spacing w:after="120"/>
              <w:rPr>
                <w:szCs w:val="18"/>
              </w:rPr>
            </w:pPr>
            <w:r>
              <w:t>Ef einhver af fyrrnefndum aðilum er samstæða og samstæðureikningsskilin hafa þegar verið birt skulu upplýsingarnar sem taldar eru upp í þessum þætti settar fram</w:t>
            </w:r>
            <w:r>
              <w:t xml:space="preserve"> á samstæðugrunni.</w:t>
            </w:r>
          </w:p>
          <w:p w14:paraId="2AF71677" w14:textId="77777777" w:rsidR="008100E1" w:rsidRDefault="00C52444">
            <w:pPr>
              <w:pStyle w:val="AnnexTableCellLeft"/>
              <w:rPr>
                <w:szCs w:val="18"/>
              </w:rPr>
            </w:pPr>
            <w:r>
              <w:t>Ef um er að ræða yfirtöku með skiptiútboði, séu upplýsingarnar sem óskað er um félagið sem tilboðið tekur til ekki tiltækar skal leggja fram yfirlýsingu þar um.</w:t>
            </w:r>
          </w:p>
        </w:tc>
      </w:tr>
      <w:tr w:rsidR="008100E1" w14:paraId="6EC69095" w14:textId="77777777">
        <w:tc>
          <w:tcPr>
            <w:tcW w:w="779" w:type="pct"/>
            <w:tcMar>
              <w:top w:w="100" w:type="dxa"/>
              <w:left w:w="0" w:type="dxa"/>
              <w:bottom w:w="100" w:type="dxa"/>
              <w:right w:w="60" w:type="dxa"/>
            </w:tcMar>
          </w:tcPr>
          <w:p w14:paraId="13BE051A" w14:textId="77777777" w:rsidR="008100E1" w:rsidRDefault="00C52444">
            <w:pPr>
              <w:pStyle w:val="AnnexTableCellLeft"/>
              <w:spacing w:line="200" w:lineRule="exact"/>
              <w:rPr>
                <w:sz w:val="16"/>
                <w:szCs w:val="18"/>
              </w:rPr>
            </w:pPr>
            <w:r>
              <w:rPr>
                <w:b/>
                <w:sz w:val="16"/>
                <w:szCs w:val="18"/>
              </w:rPr>
              <w:t>3. ÞÁTTUR</w:t>
            </w:r>
          </w:p>
        </w:tc>
        <w:tc>
          <w:tcPr>
            <w:tcW w:w="4221" w:type="pct"/>
            <w:tcMar>
              <w:top w:w="100" w:type="dxa"/>
              <w:left w:w="60" w:type="dxa"/>
              <w:bottom w:w="100" w:type="dxa"/>
              <w:right w:w="0" w:type="dxa"/>
            </w:tcMar>
          </w:tcPr>
          <w:p w14:paraId="7BD67EAC" w14:textId="77777777" w:rsidR="008100E1" w:rsidRDefault="00C52444">
            <w:pPr>
              <w:pStyle w:val="AnnexTableCellLeft"/>
              <w:spacing w:line="200" w:lineRule="exact"/>
              <w:rPr>
                <w:sz w:val="16"/>
                <w:szCs w:val="18"/>
              </w:rPr>
            </w:pPr>
            <w:r>
              <w:rPr>
                <w:b/>
                <w:sz w:val="16"/>
                <w:szCs w:val="18"/>
              </w:rPr>
              <w:t>UPPLÝSINGAR UM HLUTABRÉFATENGD VERÐBRÉF SEM ERU BOÐIN Í ALMENNU ÚTBOÐI EÐA TEKIN TIL VIÐSKIPTA Á SKIPULEGUM MARKAÐI VEGNA VIÐSKIPTANNA</w:t>
            </w:r>
          </w:p>
        </w:tc>
      </w:tr>
      <w:tr w:rsidR="008100E1" w14:paraId="48D032B9" w14:textId="77777777">
        <w:tc>
          <w:tcPr>
            <w:tcW w:w="779" w:type="pct"/>
            <w:tcMar>
              <w:top w:w="100" w:type="dxa"/>
              <w:left w:w="0" w:type="dxa"/>
              <w:bottom w:w="100" w:type="dxa"/>
              <w:right w:w="60" w:type="dxa"/>
            </w:tcMar>
          </w:tcPr>
          <w:p w14:paraId="52A586F5" w14:textId="77777777" w:rsidR="008100E1" w:rsidRDefault="00C52444">
            <w:pPr>
              <w:pStyle w:val="AnnexTableCellLeft"/>
              <w:rPr>
                <w:szCs w:val="18"/>
              </w:rPr>
            </w:pPr>
            <w:r>
              <w:rPr>
                <w:b/>
                <w:szCs w:val="18"/>
              </w:rPr>
              <w:t>Liður 3.1</w:t>
            </w:r>
          </w:p>
        </w:tc>
        <w:tc>
          <w:tcPr>
            <w:tcW w:w="4221" w:type="pct"/>
            <w:tcMar>
              <w:top w:w="100" w:type="dxa"/>
              <w:left w:w="60" w:type="dxa"/>
              <w:bottom w:w="100" w:type="dxa"/>
              <w:right w:w="0" w:type="dxa"/>
            </w:tcMar>
          </w:tcPr>
          <w:p w14:paraId="33375553" w14:textId="77777777" w:rsidR="008100E1" w:rsidRDefault="00C52444">
            <w:pPr>
              <w:pStyle w:val="AnnexTableCellLeft"/>
              <w:spacing w:after="120"/>
              <w:rPr>
                <w:szCs w:val="18"/>
              </w:rPr>
            </w:pPr>
            <w:r>
              <w:t>Veita skal upplýsingarnar sem krafist er í 11. viðauka við framselda reglugerð (ESB) 2019/980, að undanskildum</w:t>
            </w:r>
            <w:r>
              <w:t xml:space="preserve"> 1. þætti þess viðauka.</w:t>
            </w:r>
          </w:p>
          <w:p w14:paraId="6CD10F57" w14:textId="77777777" w:rsidR="008100E1" w:rsidRDefault="00C52444">
            <w:pPr>
              <w:pStyle w:val="AnnexTableCellLeft"/>
              <w:spacing w:after="120"/>
              <w:rPr>
                <w:szCs w:val="18"/>
              </w:rPr>
            </w:pPr>
            <w:r>
              <w:t>Eftir atvikum, skal einnig veita þær upplýsingar fyrir undirliggjandi hlutabréf.</w:t>
            </w:r>
          </w:p>
          <w:p w14:paraId="2B4673AB" w14:textId="77777777" w:rsidR="008100E1" w:rsidRDefault="00C52444">
            <w:pPr>
              <w:pStyle w:val="AnnexTableCellLeft"/>
              <w:rPr>
                <w:szCs w:val="18"/>
              </w:rPr>
            </w:pPr>
            <w:r>
              <w:t>Sérhverja tilvísun til „verðbréfalýsingar“ eða „lýsingar“ í 11. viðauka við framselda reglugerð (ESB) 2019/980 skal túlka sem tilvísun til undanþáguskj</w:t>
            </w:r>
            <w:r>
              <w:t>alsins sem um getur í þessari reglugerð.</w:t>
            </w:r>
          </w:p>
        </w:tc>
      </w:tr>
      <w:tr w:rsidR="008100E1" w14:paraId="6EA4F31F" w14:textId="77777777">
        <w:tc>
          <w:tcPr>
            <w:tcW w:w="779" w:type="pct"/>
            <w:tcMar>
              <w:top w:w="100" w:type="dxa"/>
              <w:left w:w="0" w:type="dxa"/>
              <w:bottom w:w="100" w:type="dxa"/>
              <w:right w:w="60" w:type="dxa"/>
            </w:tcMar>
          </w:tcPr>
          <w:p w14:paraId="7636C79C" w14:textId="77777777" w:rsidR="008100E1" w:rsidRDefault="00C52444">
            <w:pPr>
              <w:pStyle w:val="AnnexTableCellLeft"/>
              <w:rPr>
                <w:szCs w:val="18"/>
              </w:rPr>
            </w:pPr>
            <w:r>
              <w:rPr>
                <w:b/>
                <w:szCs w:val="18"/>
              </w:rPr>
              <w:t>Liður 3.2.</w:t>
            </w:r>
          </w:p>
        </w:tc>
        <w:tc>
          <w:tcPr>
            <w:tcW w:w="4221" w:type="pct"/>
            <w:tcMar>
              <w:top w:w="100" w:type="dxa"/>
              <w:left w:w="60" w:type="dxa"/>
              <w:bottom w:w="100" w:type="dxa"/>
              <w:right w:w="0" w:type="dxa"/>
            </w:tcMar>
          </w:tcPr>
          <w:p w14:paraId="2E9494CC" w14:textId="77777777" w:rsidR="008100E1" w:rsidRDefault="00C52444">
            <w:pPr>
              <w:pStyle w:val="AnnexTableCellLeft"/>
              <w:spacing w:after="120"/>
              <w:rPr>
                <w:szCs w:val="18"/>
              </w:rPr>
            </w:pPr>
            <w:r>
              <w:t>Þrátt fyrir lið 3.1 skal veita eftirfarandi upplýsingar í eftirfarandi tilvikum:</w:t>
            </w:r>
          </w:p>
          <w:p w14:paraId="151D29F5" w14:textId="77777777" w:rsidR="008100E1" w:rsidRDefault="00C52444">
            <w:pPr>
              <w:pStyle w:val="AnnexNumberedText"/>
              <w:ind w:left="300" w:hanging="300"/>
              <w:rPr>
                <w:szCs w:val="18"/>
              </w:rPr>
            </w:pPr>
            <w:r>
              <w:t>a)</w:t>
            </w:r>
            <w:r>
              <w:tab/>
              <w:t xml:space="preserve">að því er varðar verðbréfin sem um getur í 1. eða 2. mgr. 19. gr. eða í 1. eða 2. mgr. 20. gr. framseldrar reglugerðar </w:t>
            </w:r>
            <w:r>
              <w:t>(ESB) 2019/980, séu þessi verðbréf ekki hlutabréf eða önnur framseljanleg verðbréf sem eru jafngild hlutabréfum skal veita upplýsingarnar sem krafist er í 14. viðauka við þá reglugerð (að undanskildum 1. þætti þess viðauka) sem og viðbótarupplýsingarnar se</w:t>
            </w:r>
            <w:r>
              <w:t>m um getur í 1. eða 2. mgr. 19. gr. eða í 1. eða 2. mgr. 20. gr.,</w:t>
            </w:r>
          </w:p>
          <w:p w14:paraId="1ADF594C" w14:textId="77777777" w:rsidR="008100E1" w:rsidRDefault="00C52444">
            <w:pPr>
              <w:pStyle w:val="AnnexNumberedText"/>
              <w:ind w:left="300" w:hanging="300"/>
              <w:rPr>
                <w:szCs w:val="18"/>
              </w:rPr>
            </w:pPr>
            <w:r>
              <w:t>b)</w:t>
            </w:r>
            <w:r>
              <w:tab/>
              <w:t>að því er varðar heimildarskírteini sem gefin eru út vegna hlutabréfa skal veita upplýsingarnar sem krafist er í 13. viðauka framseldrar reglugerðar (ESB) 2019/980.</w:t>
            </w:r>
          </w:p>
          <w:p w14:paraId="0571826B" w14:textId="77777777" w:rsidR="008100E1" w:rsidRDefault="00C52444">
            <w:pPr>
              <w:pStyle w:val="AnnexTableCellLeft"/>
              <w:rPr>
                <w:szCs w:val="18"/>
              </w:rPr>
            </w:pPr>
            <w:r>
              <w:t>Allar tilvísanir til „</w:t>
            </w:r>
            <w:r>
              <w:t>verðbréfalýsingar“ eða „lýsingar“ í viðkomandi viðaukum við framselda reglugerð (ESB) 2019/980 skal túlka sem tilvísun til undanþáguskjalsins sem um getur í þessari reglugerð.</w:t>
            </w:r>
          </w:p>
        </w:tc>
      </w:tr>
      <w:tr w:rsidR="008100E1" w14:paraId="0967FA7E" w14:textId="77777777">
        <w:tc>
          <w:tcPr>
            <w:tcW w:w="779" w:type="pct"/>
            <w:tcMar>
              <w:top w:w="100" w:type="dxa"/>
              <w:left w:w="0" w:type="dxa"/>
              <w:bottom w:w="100" w:type="dxa"/>
              <w:right w:w="60" w:type="dxa"/>
            </w:tcMar>
          </w:tcPr>
          <w:p w14:paraId="490FEB91" w14:textId="77777777" w:rsidR="008100E1" w:rsidRDefault="00C52444">
            <w:pPr>
              <w:pStyle w:val="AnnexTableCellLeft"/>
              <w:pageBreakBefore/>
              <w:spacing w:line="200" w:lineRule="exact"/>
              <w:rPr>
                <w:sz w:val="16"/>
                <w:szCs w:val="18"/>
              </w:rPr>
            </w:pPr>
            <w:r>
              <w:rPr>
                <w:b/>
                <w:sz w:val="16"/>
                <w:szCs w:val="18"/>
              </w:rPr>
              <w:lastRenderedPageBreak/>
              <w:t>4. ÞÁTTUR</w:t>
            </w:r>
          </w:p>
        </w:tc>
        <w:tc>
          <w:tcPr>
            <w:tcW w:w="4221" w:type="pct"/>
            <w:tcMar>
              <w:top w:w="100" w:type="dxa"/>
              <w:left w:w="60" w:type="dxa"/>
              <w:bottom w:w="100" w:type="dxa"/>
              <w:right w:w="0" w:type="dxa"/>
            </w:tcMar>
          </w:tcPr>
          <w:p w14:paraId="02CCE489" w14:textId="77777777" w:rsidR="008100E1" w:rsidRDefault="00C52444">
            <w:pPr>
              <w:pStyle w:val="AnnexTableCellLeft"/>
              <w:spacing w:line="200" w:lineRule="exact"/>
              <w:rPr>
                <w:sz w:val="16"/>
                <w:szCs w:val="18"/>
              </w:rPr>
            </w:pPr>
            <w:r>
              <w:rPr>
                <w:b/>
                <w:sz w:val="16"/>
                <w:szCs w:val="18"/>
              </w:rPr>
              <w:t>LÝSING Á VIÐSKIPTUNUM</w:t>
            </w:r>
          </w:p>
        </w:tc>
      </w:tr>
      <w:tr w:rsidR="008100E1" w14:paraId="47EB1406" w14:textId="77777777">
        <w:tc>
          <w:tcPr>
            <w:tcW w:w="779" w:type="pct"/>
            <w:tcMar>
              <w:top w:w="100" w:type="dxa"/>
              <w:left w:w="0" w:type="dxa"/>
              <w:bottom w:w="100" w:type="dxa"/>
              <w:right w:w="60" w:type="dxa"/>
            </w:tcMar>
          </w:tcPr>
          <w:p w14:paraId="75017962" w14:textId="77777777" w:rsidR="008100E1" w:rsidRDefault="008100E1">
            <w:pPr>
              <w:pStyle w:val="AnnexTableCellLeft"/>
              <w:rPr>
                <w:szCs w:val="18"/>
              </w:rPr>
            </w:pPr>
          </w:p>
        </w:tc>
        <w:tc>
          <w:tcPr>
            <w:tcW w:w="4221" w:type="pct"/>
            <w:tcMar>
              <w:top w:w="100" w:type="dxa"/>
              <w:left w:w="60" w:type="dxa"/>
              <w:bottom w:w="100" w:type="dxa"/>
              <w:right w:w="0" w:type="dxa"/>
            </w:tcMar>
          </w:tcPr>
          <w:p w14:paraId="549A8B9E" w14:textId="77777777" w:rsidR="008100E1" w:rsidRDefault="00C52444">
            <w:pPr>
              <w:pStyle w:val="AnnexTableCellLeft"/>
              <w:rPr>
                <w:szCs w:val="18"/>
              </w:rPr>
            </w:pPr>
            <w:r>
              <w:t>Veita skal upplýsingarnar sem krafist er í 3. þætti í I. viðauka við þessa reglugerð.</w:t>
            </w:r>
          </w:p>
        </w:tc>
      </w:tr>
      <w:tr w:rsidR="008100E1" w14:paraId="39C4A81A" w14:textId="77777777">
        <w:tc>
          <w:tcPr>
            <w:tcW w:w="779" w:type="pct"/>
            <w:tcMar>
              <w:top w:w="100" w:type="dxa"/>
              <w:left w:w="0" w:type="dxa"/>
              <w:bottom w:w="100" w:type="dxa"/>
              <w:right w:w="60" w:type="dxa"/>
            </w:tcMar>
          </w:tcPr>
          <w:p w14:paraId="206C0C0A" w14:textId="77777777" w:rsidR="008100E1" w:rsidRDefault="00C52444">
            <w:pPr>
              <w:pStyle w:val="AnnexTableCellLeft"/>
              <w:spacing w:line="200" w:lineRule="exact"/>
              <w:rPr>
                <w:sz w:val="16"/>
                <w:szCs w:val="18"/>
              </w:rPr>
            </w:pPr>
            <w:r>
              <w:rPr>
                <w:b/>
                <w:sz w:val="16"/>
                <w:szCs w:val="18"/>
              </w:rPr>
              <w:t>5. ÞÁTTUR</w:t>
            </w:r>
          </w:p>
        </w:tc>
        <w:tc>
          <w:tcPr>
            <w:tcW w:w="4221" w:type="pct"/>
            <w:tcMar>
              <w:top w:w="100" w:type="dxa"/>
              <w:left w:w="60" w:type="dxa"/>
              <w:bottom w:w="100" w:type="dxa"/>
              <w:right w:w="0" w:type="dxa"/>
            </w:tcMar>
          </w:tcPr>
          <w:p w14:paraId="6C1697A6" w14:textId="77777777" w:rsidR="008100E1" w:rsidRDefault="00C52444">
            <w:pPr>
              <w:pStyle w:val="AnnexTableCellLeft"/>
              <w:spacing w:line="200" w:lineRule="exact"/>
              <w:rPr>
                <w:sz w:val="16"/>
                <w:szCs w:val="18"/>
              </w:rPr>
            </w:pPr>
            <w:r>
              <w:rPr>
                <w:b/>
                <w:sz w:val="16"/>
                <w:szCs w:val="18"/>
              </w:rPr>
              <w:t>ÁHRIF VIÐSKIPTANNA Á ÚTGEFANDANN</w:t>
            </w:r>
          </w:p>
        </w:tc>
      </w:tr>
      <w:tr w:rsidR="008100E1" w14:paraId="7773509F" w14:textId="77777777">
        <w:tc>
          <w:tcPr>
            <w:tcW w:w="779" w:type="pct"/>
            <w:tcMar>
              <w:top w:w="100" w:type="dxa"/>
              <w:left w:w="0" w:type="dxa"/>
              <w:bottom w:w="100" w:type="dxa"/>
              <w:right w:w="60" w:type="dxa"/>
            </w:tcMar>
          </w:tcPr>
          <w:p w14:paraId="4871BD65" w14:textId="77777777" w:rsidR="008100E1" w:rsidRDefault="008100E1">
            <w:pPr>
              <w:pStyle w:val="AnnexTableCellLeft"/>
              <w:rPr>
                <w:szCs w:val="18"/>
              </w:rPr>
            </w:pPr>
          </w:p>
        </w:tc>
        <w:tc>
          <w:tcPr>
            <w:tcW w:w="4221" w:type="pct"/>
            <w:tcMar>
              <w:top w:w="100" w:type="dxa"/>
              <w:left w:w="60" w:type="dxa"/>
              <w:bottom w:w="100" w:type="dxa"/>
              <w:right w:w="0" w:type="dxa"/>
            </w:tcMar>
          </w:tcPr>
          <w:p w14:paraId="4E7B9E43" w14:textId="77777777" w:rsidR="008100E1" w:rsidRDefault="00C52444">
            <w:pPr>
              <w:pStyle w:val="AnnexTableCellLeft"/>
              <w:rPr>
                <w:szCs w:val="18"/>
              </w:rPr>
            </w:pPr>
            <w:r>
              <w:t>Veita skal upplýsingarnar sem krafist er í 5. þætti í I. viðauka við þessa reglugerð.</w:t>
            </w:r>
          </w:p>
        </w:tc>
      </w:tr>
    </w:tbl>
    <w:p w14:paraId="1DE8CD43" w14:textId="77777777" w:rsidR="008100E1" w:rsidRDefault="008100E1">
      <w:pPr>
        <w:pStyle w:val="Para"/>
      </w:pPr>
    </w:p>
    <w:sectPr w:rsidR="008100E1">
      <w:pgSz w:w="11906" w:h="16838" w:code="9"/>
      <w:pgMar w:top="1680" w:right="1333" w:bottom="840" w:left="1333" w:header="920"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6DF7" w14:textId="77777777" w:rsidR="008100E1" w:rsidRDefault="00C52444">
      <w:pPr>
        <w:spacing w:after="0" w:line="240" w:lineRule="auto"/>
      </w:pPr>
      <w:r>
        <w:separator/>
      </w:r>
    </w:p>
  </w:endnote>
  <w:endnote w:type="continuationSeparator" w:id="0">
    <w:p w14:paraId="62E6483B" w14:textId="77777777" w:rsidR="008100E1" w:rsidRDefault="00C5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75398" w14:textId="77777777" w:rsidR="008100E1" w:rsidRDefault="00C52444">
      <w:pPr>
        <w:pStyle w:val="FooterRule"/>
        <w:rPr>
          <w:lang w:val="de-DE"/>
        </w:rPr>
      </w:pPr>
      <w:r>
        <w:rPr>
          <w:lang w:val="de-DE"/>
        </w:rPr>
        <w:tab/>
      </w:r>
    </w:p>
  </w:footnote>
  <w:footnote w:type="continuationSeparator" w:id="0">
    <w:p w14:paraId="6F14B9FC" w14:textId="77777777" w:rsidR="008100E1" w:rsidRDefault="00C52444">
      <w:pPr>
        <w:spacing w:after="0" w:line="240" w:lineRule="auto"/>
      </w:pPr>
      <w:r>
        <w:continuationSeparator/>
      </w:r>
    </w:p>
  </w:footnote>
  <w:footnote w:type="continuationNotice" w:id="1">
    <w:p w14:paraId="0D393406" w14:textId="77777777" w:rsidR="008100E1" w:rsidRDefault="008100E1">
      <w:pPr>
        <w:spacing w:after="0" w:line="240" w:lineRule="auto"/>
      </w:pPr>
    </w:p>
  </w:footnote>
  <w:footnote w:id="2">
    <w:p w14:paraId="46AB2CEC" w14:textId="77777777" w:rsidR="008100E1" w:rsidRDefault="00C52444">
      <w:pPr>
        <w:pStyle w:val="Textineanmlsgreinar"/>
        <w:rPr>
          <w:szCs w:val="16"/>
        </w:rPr>
      </w:pPr>
      <w:r>
        <w:t>(</w:t>
      </w:r>
      <w:r>
        <w:rPr>
          <w:rStyle w:val="Tilvsunneanmlsgrein"/>
          <w:szCs w:val="16"/>
        </w:rPr>
        <w:footnoteRef/>
      </w:r>
      <w:r>
        <w:t>)</w:t>
      </w:r>
      <w:r>
        <w:tab/>
      </w:r>
      <w:proofErr w:type="spellStart"/>
      <w:r>
        <w:t>Stjtíð</w:t>
      </w:r>
      <w:proofErr w:type="spellEnd"/>
      <w:r>
        <w:t>. ESB L 168, 30.6. 2017, bls. 12.</w:t>
      </w:r>
    </w:p>
  </w:footnote>
  <w:footnote w:id="3">
    <w:p w14:paraId="2FE74230" w14:textId="77777777" w:rsidR="008100E1" w:rsidRDefault="00C52444">
      <w:pPr>
        <w:pStyle w:val="Textineanmlsgreinar"/>
        <w:rPr>
          <w:szCs w:val="16"/>
        </w:rPr>
      </w:pPr>
      <w:r>
        <w:t>(</w:t>
      </w:r>
      <w:r>
        <w:rPr>
          <w:rStyle w:val="Tilvsunneanmlsgrein"/>
          <w:szCs w:val="16"/>
        </w:rPr>
        <w:footnoteRef/>
      </w:r>
      <w:r>
        <w:t>)</w:t>
      </w:r>
      <w:r>
        <w:tab/>
      </w:r>
      <w:r>
        <w:t>Tilskipun Evrópuþingsins og ráðsins 2004/25/EB frá 21. apríl 2004 um yfirtökutilboð (</w:t>
      </w:r>
      <w:proofErr w:type="spellStart"/>
      <w:r>
        <w:t>Stjtíð</w:t>
      </w:r>
      <w:proofErr w:type="spellEnd"/>
      <w:r>
        <w:t>. ESB L 142, 30.4.2004, bls. 12).</w:t>
      </w:r>
    </w:p>
  </w:footnote>
  <w:footnote w:id="4">
    <w:p w14:paraId="55E2FDDC" w14:textId="77777777" w:rsidR="008100E1" w:rsidRDefault="00C52444">
      <w:pPr>
        <w:pStyle w:val="Textineanmlsgreinar"/>
        <w:rPr>
          <w:szCs w:val="16"/>
        </w:rPr>
      </w:pPr>
      <w:r>
        <w:t>(</w:t>
      </w:r>
      <w:r>
        <w:rPr>
          <w:rStyle w:val="Tilvsunneanmlsgrein"/>
          <w:szCs w:val="16"/>
        </w:rPr>
        <w:footnoteRef/>
      </w:r>
      <w:r>
        <w:t>)</w:t>
      </w:r>
      <w:r>
        <w:tab/>
        <w:t xml:space="preserve">Reglugerð framkvæmdastjórnarinnar (EB) nr. 1126/2008 frá 3. nóvember 2008 um innleiðingu tiltekinna alþjóðlegra </w:t>
      </w:r>
      <w:proofErr w:type="spellStart"/>
      <w:r>
        <w:t>reikningsskilas</w:t>
      </w:r>
      <w:r>
        <w:t>taðla</w:t>
      </w:r>
      <w:proofErr w:type="spellEnd"/>
      <w:r>
        <w:t xml:space="preserve"> í samræmi við reglugerð Evrópuþingsins og ráðsins (EB) nr. 1606/2002 (</w:t>
      </w:r>
      <w:proofErr w:type="spellStart"/>
      <w:r>
        <w:t>Stjtíð</w:t>
      </w:r>
      <w:proofErr w:type="spellEnd"/>
      <w:r>
        <w:t>. ESB L 320, 29.11.2008, bls. 1).</w:t>
      </w:r>
    </w:p>
  </w:footnote>
  <w:footnote w:id="5">
    <w:p w14:paraId="0031B346" w14:textId="77777777" w:rsidR="008100E1" w:rsidRDefault="00C52444">
      <w:pPr>
        <w:pStyle w:val="Textineanmlsgreinar"/>
        <w:rPr>
          <w:szCs w:val="16"/>
        </w:rPr>
      </w:pPr>
      <w:r>
        <w:t>(</w:t>
      </w:r>
      <w:r>
        <w:rPr>
          <w:rStyle w:val="Tilvsunneanmlsgrein"/>
          <w:szCs w:val="16"/>
        </w:rPr>
        <w:footnoteRef/>
      </w:r>
      <w:r>
        <w:t>)</w:t>
      </w:r>
      <w:r>
        <w:tab/>
        <w:t>Tilskipun Evrópuþingsins og ráðsins (ESB) 2017/1132 frá 14. júní 2017 um tiltekna þætti félagaréttar (</w:t>
      </w:r>
      <w:proofErr w:type="spellStart"/>
      <w:r>
        <w:t>Stjtíð</w:t>
      </w:r>
      <w:proofErr w:type="spellEnd"/>
      <w:r>
        <w:t>. ESB L 169, 30.6.2017, bls.</w:t>
      </w:r>
      <w:r>
        <w:t xml:space="preserve"> 46).</w:t>
      </w:r>
    </w:p>
  </w:footnote>
  <w:footnote w:id="6">
    <w:p w14:paraId="0DB72973" w14:textId="77777777" w:rsidR="008100E1" w:rsidRDefault="00C52444">
      <w:pPr>
        <w:pStyle w:val="Textineanmlsgreinar"/>
        <w:rPr>
          <w:szCs w:val="16"/>
        </w:rPr>
      </w:pPr>
      <w:r>
        <w:t>(</w:t>
      </w:r>
      <w:r>
        <w:rPr>
          <w:rStyle w:val="Tilvsunneanmlsgrein"/>
          <w:szCs w:val="16"/>
        </w:rPr>
        <w:footnoteRef/>
      </w:r>
      <w:r>
        <w:t>)</w:t>
      </w:r>
      <w:r>
        <w:tab/>
        <w:t>Framseld reglugerð framkvæmdastjórnarinnar 2019/980 frá 14. mars 2019 um viðbætur við reglugerð Evrópuþingsins og ráðsins (ESB) 2017/1129 að því er varðar sniðmát, efni, athugun og staðfestingu lýsinga sem birta skal þegar verðbréf eru boðin í al</w:t>
      </w:r>
      <w:r>
        <w:t>mennu útboði eða tekin til viðskipta á skipulegum markaði og um niðurfellingu á reglugerð framkvæmdastjórnarinnar (EB) nr. 809/2004 (</w:t>
      </w:r>
      <w:proofErr w:type="spellStart"/>
      <w:r>
        <w:t>Stjtíð</w:t>
      </w:r>
      <w:proofErr w:type="spellEnd"/>
      <w:r>
        <w:t>. ESB L 166, 21.6.2019, bls.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135622"/>
      <w:docPartObj>
        <w:docPartGallery w:val="Page Numbers (Top of Page)"/>
        <w:docPartUnique/>
      </w:docPartObj>
    </w:sdtPr>
    <w:sdtEndPr>
      <w:rPr>
        <w:noProof/>
      </w:rPr>
    </w:sdtEndPr>
    <w:sdtContent>
      <w:p w14:paraId="0E4EABEC" w14:textId="77777777" w:rsidR="008100E1" w:rsidRDefault="00C52444">
        <w:pPr>
          <w:pStyle w:val="Suhaus"/>
          <w:jc w:val="right"/>
        </w:pPr>
        <w:r>
          <w:fldChar w:fldCharType="begin"/>
        </w:r>
        <w:r>
          <w:instrText xml:space="preserve"> PAGE   \* MERGEFORMAT </w:instrText>
        </w:r>
        <w:r>
          <w:fldChar w:fldCharType="separate"/>
        </w:r>
        <w:r>
          <w:t>1</w:t>
        </w:r>
        <w: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D19D3"/>
    <w:multiLevelType w:val="hybridMultilevel"/>
    <w:tmpl w:val="C8CE26D2"/>
    <w:lvl w:ilvl="0" w:tplc="CD48D4A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4A12FEB"/>
    <w:multiLevelType w:val="hybridMultilevel"/>
    <w:tmpl w:val="5ED6C5BA"/>
    <w:lvl w:ilvl="0" w:tplc="57724CBC">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6CAF3640"/>
    <w:multiLevelType w:val="hybridMultilevel"/>
    <w:tmpl w:val="185CD1C6"/>
    <w:lvl w:ilvl="0" w:tplc="4300D4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20"/>
  <w:autoHyphenation/>
  <w:consecutiveHyphenLimit w:val="2"/>
  <w:hyphenationZone w:val="357"/>
  <w:doNotHyphenateCaps/>
  <w:defaultTableStyle w:val="EFTATable"/>
  <w:characterSpacingControl w:val="doNotCompress"/>
  <w:hdrShapeDefaults>
    <o:shapedefaults v:ext="edit" spidmax="8193"/>
  </w:hdrShapeDefaults>
  <w:footnotePr>
    <w:pos w:val="beneathTex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E1"/>
    <w:rsid w:val="008100E1"/>
    <w:rsid w:val="00C524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454B38"/>
  <w15:docId w15:val="{A7817BD2-D328-408A-9937-325C7E78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pPr>
      <w:shd w:val="clear" w:color="auto" w:fill="FF0000"/>
      <w:spacing w:line="240" w:lineRule="exact"/>
      <w:jc w:val="both"/>
    </w:pPr>
    <w:rPr>
      <w:rFonts w:ascii="Times New Roman" w:hAnsi="Times New Roman"/>
      <w:color w:val="00B050"/>
      <w:sz w:val="18"/>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line4">
    <w:name w:val="line4"/>
    <w:next w:val="Para"/>
    <w:qFormat/>
    <w:pPr>
      <w:widowControl w:val="0"/>
      <w:pBdr>
        <w:bottom w:val="single" w:sz="4" w:space="1" w:color="auto"/>
      </w:pBdr>
      <w:suppressAutoHyphens/>
      <w:spacing w:after="257" w:line="240" w:lineRule="exact"/>
      <w:ind w:left="4162" w:right="4162"/>
      <w:jc w:val="center"/>
    </w:pPr>
    <w:rPr>
      <w:rFonts w:ascii="Times New Roman" w:hAnsi="Times New Roman"/>
      <w:sz w:val="18"/>
    </w:rPr>
  </w:style>
  <w:style w:type="paragraph" w:customStyle="1" w:styleId="line2">
    <w:name w:val="line2"/>
    <w:basedOn w:val="line4"/>
    <w:next w:val="Para"/>
    <w:qFormat/>
    <w:pPr>
      <w:ind w:left="4282" w:right="4282"/>
    </w:pPr>
  </w:style>
  <w:style w:type="paragraph" w:customStyle="1" w:styleId="line8">
    <w:name w:val="line8"/>
    <w:basedOn w:val="line2"/>
    <w:next w:val="Para"/>
    <w:qFormat/>
    <w:pPr>
      <w:ind w:left="4126" w:right="4126"/>
    </w:pPr>
  </w:style>
  <w:style w:type="paragraph" w:customStyle="1" w:styleId="line12">
    <w:name w:val="line12"/>
    <w:basedOn w:val="line2"/>
    <w:next w:val="Para"/>
    <w:qFormat/>
    <w:pPr>
      <w:ind w:left="3614" w:right="3614"/>
    </w:pPr>
  </w:style>
  <w:style w:type="paragraph" w:styleId="Suhaus">
    <w:name w:val="header"/>
    <w:basedOn w:val="Para"/>
    <w:link w:val="SuhausStaf"/>
    <w:uiPriority w:val="99"/>
    <w:unhideWhenUsed/>
    <w:pPr>
      <w:spacing w:after="100" w:line="200" w:lineRule="exact"/>
    </w:pPr>
  </w:style>
  <w:style w:type="character" w:customStyle="1" w:styleId="SuhausStaf">
    <w:name w:val="Síðuhaus Staf"/>
    <w:basedOn w:val="Sjlfgefinleturgermlsgreinar"/>
    <w:link w:val="Suhaus"/>
    <w:uiPriority w:val="99"/>
    <w:rPr>
      <w:rFonts w:ascii="Times New Roman" w:hAnsi="Times New Roman"/>
      <w:sz w:val="18"/>
      <w14:ligatures w14:val="standard"/>
    </w:rPr>
  </w:style>
  <w:style w:type="paragraph" w:styleId="Suftur">
    <w:name w:val="footer"/>
    <w:basedOn w:val="Para"/>
    <w:link w:val="SufturStaf"/>
    <w:uiPriority w:val="99"/>
    <w:unhideWhenUsed/>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Pr>
      <w:rFonts w:ascii="Times New Roman" w:hAnsi="Times New Roman"/>
      <w:sz w:val="18"/>
      <w14:ligatures w14:val="standard"/>
    </w:rPr>
  </w:style>
  <w:style w:type="table" w:styleId="Hnitanettflu">
    <w:name w:val="Table Grid"/>
    <w:basedOn w:val="Tafla-venjuleg"/>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Title"/>
    <w:basedOn w:val="Para"/>
    <w:next w:val="SectionSubTitle"/>
    <w:qFormat/>
    <w:pPr>
      <w:keepNext/>
      <w:keepLines/>
      <w:suppressAutoHyphens/>
      <w:spacing w:line="680" w:lineRule="exact"/>
      <w:jc w:val="center"/>
      <w:outlineLvl w:val="0"/>
    </w:pPr>
    <w:rPr>
      <w:b/>
      <w:caps/>
      <w:color w:val="666666"/>
      <w:sz w:val="72"/>
    </w:rPr>
  </w:style>
  <w:style w:type="paragraph" w:customStyle="1" w:styleId="SectionSubTitle">
    <w:name w:val="SectionSubTitle"/>
    <w:basedOn w:val="Para"/>
    <w:next w:val="MainTitle"/>
    <w:qFormat/>
    <w:pPr>
      <w:keepNext/>
      <w:keepLines/>
      <w:suppressAutoHyphens/>
      <w:spacing w:after="500" w:line="400" w:lineRule="exact"/>
      <w:jc w:val="center"/>
      <w:outlineLvl w:val="1"/>
    </w:pPr>
    <w:rPr>
      <w:b/>
      <w:caps/>
      <w:color w:val="666666"/>
      <w:sz w:val="36"/>
    </w:rPr>
  </w:style>
  <w:style w:type="paragraph" w:customStyle="1" w:styleId="MainTitle">
    <w:name w:val="MainTitle"/>
    <w:basedOn w:val="Para"/>
    <w:qFormat/>
    <w:pPr>
      <w:keepNext/>
      <w:suppressAutoHyphens/>
      <w:spacing w:after="120"/>
      <w:jc w:val="center"/>
      <w:outlineLvl w:val="2"/>
    </w:pPr>
    <w:rPr>
      <w:b/>
    </w:rPr>
  </w:style>
  <w:style w:type="paragraph" w:customStyle="1" w:styleId="MainTitleItalic">
    <w:name w:val="MainTitleItalic"/>
    <w:basedOn w:val="MainTitle"/>
    <w:next w:val="Venjulegur"/>
    <w:qFormat/>
    <w:pPr>
      <w:spacing w:after="240"/>
    </w:pPr>
    <w:rPr>
      <w:b w:val="0"/>
      <w:i/>
    </w:rPr>
  </w:style>
  <w:style w:type="paragraph" w:customStyle="1" w:styleId="PreambleInit">
    <w:name w:val="PreambleInit"/>
    <w:basedOn w:val="ParaSmall"/>
    <w:qFormat/>
    <w:pPr>
      <w:spacing w:before="240" w:after="240"/>
    </w:pPr>
  </w:style>
  <w:style w:type="paragraph" w:customStyle="1" w:styleId="Pa8">
    <w:name w:val="Pa8"/>
    <w:basedOn w:val="Venjulegur"/>
    <w:next w:val="Venjulegur"/>
    <w:uiPriority w:val="99"/>
    <w:pPr>
      <w:autoSpaceDE w:val="0"/>
      <w:autoSpaceDN w:val="0"/>
      <w:adjustRightInd w:val="0"/>
      <w:spacing w:after="0" w:line="241" w:lineRule="atLeast"/>
    </w:pPr>
    <w:rPr>
      <w:rFonts w:cs="Times New Roman"/>
      <w:sz w:val="24"/>
      <w:szCs w:val="24"/>
    </w:rPr>
  </w:style>
  <w:style w:type="paragraph" w:customStyle="1" w:styleId="GrSeq1">
    <w:name w:val="GrSeq1"/>
    <w:basedOn w:val="Para"/>
    <w:qFormat/>
    <w:pPr>
      <w:keepNext/>
      <w:keepLines/>
      <w:tabs>
        <w:tab w:val="left" w:pos="2027"/>
      </w:tabs>
      <w:suppressAutoHyphens/>
      <w:ind w:left="1020" w:hanging="1020"/>
    </w:pPr>
    <w:rPr>
      <w:rFonts w:eastAsia="Times New Roman" w:cs="Times New Roman"/>
      <w:b/>
      <w:bCs/>
      <w:szCs w:val="18"/>
    </w:rPr>
  </w:style>
  <w:style w:type="paragraph" w:customStyle="1" w:styleId="NumberedText">
    <w:name w:val="NumberedText"/>
    <w:basedOn w:val="Para"/>
    <w:qFormat/>
    <w:pPr>
      <w:tabs>
        <w:tab w:val="left" w:pos="2047"/>
      </w:tabs>
      <w:ind w:left="1020" w:hanging="1020"/>
    </w:pPr>
    <w:rPr>
      <w:rFonts w:eastAsia="Times New Roman" w:cs="Times New Roman"/>
      <w:szCs w:val="18"/>
    </w:rPr>
  </w:style>
  <w:style w:type="paragraph" w:styleId="Textineanmlsgreinar">
    <w:name w:val="footnote text"/>
    <w:basedOn w:val="ParaSmall"/>
    <w:link w:val="TextineanmlsgreinarStaf"/>
    <w:uiPriority w:val="99"/>
    <w:semiHidden/>
    <w:unhideWhenUsed/>
    <w:pPr>
      <w:spacing w:after="0"/>
      <w:ind w:left="300" w:hanging="300"/>
    </w:pPr>
    <w:rPr>
      <w:szCs w:val="20"/>
    </w:rPr>
  </w:style>
  <w:style w:type="character" w:customStyle="1" w:styleId="TextineanmlsgreinarStaf">
    <w:name w:val="Texti neðanmálsgreinar Staf"/>
    <w:basedOn w:val="Sjlfgefinleturgermlsgreinar"/>
    <w:link w:val="Textineanmlsgreinar"/>
    <w:uiPriority w:val="99"/>
    <w:semiHidden/>
    <w:rPr>
      <w:rFonts w:ascii="Times New Roman" w:hAnsi="Times New Roman"/>
      <w:sz w:val="16"/>
      <w:szCs w:val="20"/>
      <w14:ligatures w14:val="standard"/>
    </w:rPr>
  </w:style>
  <w:style w:type="character" w:styleId="Tilvsunneanmlsgrein">
    <w:name w:val="footnote reference"/>
    <w:basedOn w:val="Sjlfgefinleturgermlsgreinar"/>
    <w:uiPriority w:val="99"/>
    <w:semiHidden/>
    <w:unhideWhenUsed/>
    <w:rPr>
      <w:rFonts w:ascii="Times New Roman" w:hAnsi="Times New Roman"/>
      <w:b w:val="0"/>
      <w:i w:val="0"/>
      <w:color w:val="auto"/>
      <w:position w:val="-2"/>
      <w:sz w:val="16"/>
      <w:vertAlign w:val="superscript"/>
    </w:rPr>
  </w:style>
  <w:style w:type="paragraph" w:customStyle="1" w:styleId="Footnote">
    <w:name w:val="Footnote"/>
    <w:basedOn w:val="Textineanmlsgreinar"/>
    <w:qFormat/>
    <w:pPr>
      <w:spacing w:line="180" w:lineRule="exact"/>
    </w:pPr>
    <w:rPr>
      <w:rFonts w:eastAsia="Times New Roman" w:cs="Times New Roman"/>
      <w:sz w:val="14"/>
      <w:szCs w:val="14"/>
    </w:rPr>
  </w:style>
  <w:style w:type="paragraph" w:customStyle="1" w:styleId="FooterRule">
    <w:name w:val="FooterRule"/>
    <w:basedOn w:val="Para"/>
    <w:next w:val="Para"/>
    <w:qFormat/>
    <w:pPr>
      <w:tabs>
        <w:tab w:val="left" w:pos="2041"/>
      </w:tabs>
      <w:adjustRightInd w:val="0"/>
      <w:snapToGrid w:val="0"/>
      <w:spacing w:after="20" w:line="200" w:lineRule="exact"/>
      <w:ind w:right="-57"/>
    </w:pPr>
    <w:rPr>
      <w:u w:val="single"/>
    </w:rPr>
  </w:style>
  <w:style w:type="paragraph" w:customStyle="1" w:styleId="PreambleFinal">
    <w:name w:val="PreambleFinal"/>
    <w:basedOn w:val="PreambleInit"/>
    <w:qFormat/>
    <w:pPr>
      <w:spacing w:before="480" w:after="480" w:line="240" w:lineRule="exact"/>
      <w:jc w:val="left"/>
    </w:pPr>
  </w:style>
  <w:style w:type="paragraph" w:customStyle="1" w:styleId="Visas">
    <w:name w:val="Visas"/>
    <w:basedOn w:val="PreambleInit"/>
    <w:qFormat/>
    <w:pPr>
      <w:spacing w:line="240" w:lineRule="exact"/>
    </w:pPr>
    <w:rPr>
      <w:sz w:val="18"/>
    </w:rPr>
  </w:style>
  <w:style w:type="paragraph" w:customStyle="1" w:styleId="GrSeq2">
    <w:name w:val="GrSeq2"/>
    <w:basedOn w:val="GrSeq1"/>
    <w:qFormat/>
    <w:rPr>
      <w:i/>
    </w:rPr>
  </w:style>
  <w:style w:type="paragraph" w:customStyle="1" w:styleId="GrSeq3">
    <w:name w:val="GrSeq3"/>
    <w:basedOn w:val="GrSeq2"/>
    <w:next w:val="Para"/>
    <w:qFormat/>
    <w:rPr>
      <w:b w:val="0"/>
    </w:rPr>
  </w:style>
  <w:style w:type="paragraph" w:customStyle="1" w:styleId="GrSeq4">
    <w:name w:val="GrSeq4"/>
    <w:basedOn w:val="GrSeq3"/>
    <w:next w:val="Para"/>
    <w:qFormat/>
    <w:rPr>
      <w:i w:val="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pPr>
      <w:spacing w:line="241" w:lineRule="atLeast"/>
    </w:pPr>
    <w:rPr>
      <w:color w:val="auto"/>
    </w:rPr>
  </w:style>
  <w:style w:type="paragraph" w:customStyle="1" w:styleId="TableTitle">
    <w:name w:val="TableTitle"/>
    <w:basedOn w:val="Para"/>
    <w:next w:val="Para"/>
    <w:qFormat/>
    <w:pPr>
      <w:keepNext/>
      <w:spacing w:after="120"/>
    </w:pPr>
  </w:style>
  <w:style w:type="paragraph" w:customStyle="1" w:styleId="Pa4">
    <w:name w:val="Pa4"/>
    <w:basedOn w:val="Default"/>
    <w:next w:val="Default"/>
    <w:uiPriority w:val="99"/>
    <w:pPr>
      <w:spacing w:line="241" w:lineRule="atLeast"/>
    </w:pPr>
    <w:rPr>
      <w:color w:val="auto"/>
    </w:rPr>
  </w:style>
  <w:style w:type="paragraph" w:customStyle="1" w:styleId="TableHeader">
    <w:name w:val="TableHeader"/>
    <w:basedOn w:val="Para"/>
    <w:qFormat/>
    <w:pPr>
      <w:spacing w:after="100" w:afterAutospacing="1" w:line="200" w:lineRule="exact"/>
      <w:jc w:val="center"/>
    </w:pPr>
    <w:rPr>
      <w:bCs/>
      <w:sz w:val="16"/>
    </w:rPr>
  </w:style>
  <w:style w:type="paragraph" w:customStyle="1" w:styleId="Pa15">
    <w:name w:val="Pa15"/>
    <w:basedOn w:val="Default"/>
    <w:next w:val="Default"/>
    <w:uiPriority w:val="99"/>
    <w:pPr>
      <w:spacing w:line="221" w:lineRule="atLeast"/>
    </w:pPr>
    <w:rPr>
      <w:color w:val="auto"/>
    </w:rPr>
  </w:style>
  <w:style w:type="paragraph" w:customStyle="1" w:styleId="Pa2">
    <w:name w:val="Pa2"/>
    <w:basedOn w:val="Default"/>
    <w:next w:val="Default"/>
    <w:uiPriority w:val="99"/>
    <w:pPr>
      <w:spacing w:line="241" w:lineRule="atLeast"/>
    </w:pPr>
    <w:rPr>
      <w:color w:val="auto"/>
    </w:rPr>
  </w:style>
  <w:style w:type="paragraph" w:customStyle="1" w:styleId="TableCell">
    <w:name w:val="TableCell"/>
    <w:basedOn w:val="TableHeader"/>
    <w:qFormat/>
    <w:rPr>
      <w:sz w:val="18"/>
    </w:rPr>
  </w:style>
  <w:style w:type="paragraph" w:customStyle="1" w:styleId="Pa16">
    <w:name w:val="Pa16"/>
    <w:basedOn w:val="Default"/>
    <w:next w:val="Default"/>
    <w:uiPriority w:val="99"/>
    <w:pPr>
      <w:spacing w:line="221" w:lineRule="atLeast"/>
    </w:pPr>
    <w:rPr>
      <w:color w:val="auto"/>
    </w:rPr>
  </w:style>
  <w:style w:type="paragraph" w:customStyle="1" w:styleId="TableCellRight">
    <w:name w:val="TableCellRight"/>
    <w:basedOn w:val="TableCell"/>
    <w:qFormat/>
    <w:pPr>
      <w:jc w:val="right"/>
    </w:pPr>
  </w:style>
  <w:style w:type="paragraph" w:customStyle="1" w:styleId="TableCellLeft">
    <w:name w:val="TableCellLeft"/>
    <w:basedOn w:val="TableCell"/>
    <w:qFormat/>
    <w:pPr>
      <w:jc w:val="left"/>
    </w:pPr>
  </w:style>
  <w:style w:type="paragraph" w:customStyle="1" w:styleId="TableGrNotes">
    <w:name w:val="TableGrNotes"/>
    <w:basedOn w:val="Para"/>
    <w:qFormat/>
    <w:pPr>
      <w:spacing w:after="0" w:line="180" w:lineRule="exact"/>
      <w:ind w:left="280" w:hanging="280"/>
    </w:pPr>
    <w:rPr>
      <w:sz w:val="16"/>
    </w:rPr>
  </w:style>
  <w:style w:type="paragraph" w:customStyle="1" w:styleId="NormalSmall">
    <w:name w:val="NormalSmall"/>
    <w:basedOn w:val="Venjulegur"/>
    <w:qFormat/>
    <w:pPr>
      <w:spacing w:after="120" w:line="200" w:lineRule="exact"/>
    </w:pPr>
    <w:rPr>
      <w:sz w:val="16"/>
    </w:rPr>
  </w:style>
  <w:style w:type="paragraph" w:customStyle="1" w:styleId="TIART">
    <w:name w:val="TIART"/>
    <w:basedOn w:val="Para"/>
    <w:qFormat/>
    <w:pPr>
      <w:keepNext/>
      <w:keepLines/>
      <w:suppressAutoHyphens/>
      <w:jc w:val="center"/>
    </w:pPr>
    <w:rPr>
      <w:i/>
    </w:rPr>
  </w:style>
  <w:style w:type="paragraph" w:customStyle="1" w:styleId="STIART">
    <w:name w:val="STIART"/>
    <w:basedOn w:val="Para"/>
    <w:qFormat/>
    <w:pPr>
      <w:keepNext/>
      <w:keepLines/>
      <w:suppressAutoHyphens/>
      <w:jc w:val="center"/>
    </w:pPr>
    <w:rPr>
      <w:b/>
    </w:rPr>
  </w:style>
  <w:style w:type="paragraph" w:customStyle="1" w:styleId="Final">
    <w:name w:val="Final"/>
    <w:basedOn w:val="Para"/>
    <w:qFormat/>
    <w:pPr>
      <w:ind w:left="547" w:right="547"/>
    </w:pPr>
  </w:style>
  <w:style w:type="paragraph" w:customStyle="1" w:styleId="AnnexTI">
    <w:name w:val="AnnexTI"/>
    <w:basedOn w:val="ParaSmall"/>
    <w:qFormat/>
    <w:pPr>
      <w:keepNext/>
      <w:keepLines/>
      <w:suppressAutoHyphens/>
      <w:jc w:val="center"/>
    </w:pPr>
    <w:rPr>
      <w:i/>
    </w:rPr>
  </w:style>
  <w:style w:type="paragraph" w:customStyle="1" w:styleId="AnnexSTI">
    <w:name w:val="AnnexSTI"/>
    <w:basedOn w:val="Para"/>
    <w:qFormat/>
    <w:pPr>
      <w:keepNext/>
      <w:keepLines/>
      <w:suppressAutoHyphens/>
      <w:spacing w:after="400"/>
      <w:jc w:val="center"/>
    </w:pPr>
    <w:rPr>
      <w:b/>
    </w:rPr>
  </w:style>
  <w:style w:type="paragraph" w:customStyle="1" w:styleId="SmallNumberedText">
    <w:name w:val="SmallNumberedText"/>
    <w:basedOn w:val="ParaSmall"/>
    <w:qFormat/>
    <w:pPr>
      <w:ind w:left="280" w:hanging="280"/>
    </w:pPr>
  </w:style>
  <w:style w:type="paragraph" w:customStyle="1" w:styleId="QuoteStart">
    <w:name w:val="QuoteStart"/>
    <w:basedOn w:val="NumberedText"/>
    <w:qFormat/>
    <w:pPr>
      <w:spacing w:after="100" w:afterAutospacing="1"/>
      <w:ind w:left="0" w:firstLine="0"/>
    </w:pPr>
    <w:rPr>
      <w:i/>
    </w:rPr>
  </w:style>
  <w:style w:type="character" w:styleId="Tengill">
    <w:name w:val="Hyperlink"/>
    <w:basedOn w:val="Sjlfgefinleturgermlsgreinar"/>
    <w:uiPriority w:val="99"/>
    <w:unhideWhenUsed/>
    <w:rPr>
      <w:color w:val="0000FF" w:themeColor="hyperlink"/>
      <w:u w:val="none"/>
    </w:rPr>
  </w:style>
  <w:style w:type="paragraph" w:customStyle="1" w:styleId="SNF">
    <w:name w:val="SNF"/>
    <w:basedOn w:val="Para"/>
    <w:qFormat/>
    <w:rPr>
      <w:color w:val="FF0000"/>
    </w:rPr>
  </w:style>
  <w:style w:type="paragraph" w:customStyle="1" w:styleId="QuoteFootnoteRule">
    <w:name w:val="QuoteFootnoteRule"/>
    <w:basedOn w:val="Para"/>
    <w:qFormat/>
    <w:pPr>
      <w:keepNext/>
      <w:keepLines/>
      <w:pBdr>
        <w:bottom w:val="single" w:sz="4" w:space="1" w:color="auto"/>
      </w:pBdr>
      <w:spacing w:after="0" w:line="180" w:lineRule="exact"/>
      <w:ind w:right="8226"/>
    </w:pPr>
  </w:style>
  <w:style w:type="character" w:styleId="Tilvsunathugasemd">
    <w:name w:val="annotation reference"/>
    <w:basedOn w:val="Sjlfgefinleturgermlsgreinar"/>
    <w:uiPriority w:val="99"/>
    <w:semiHidden/>
    <w:unhideWhenUsed/>
    <w:rPr>
      <w:sz w:val="16"/>
      <w:szCs w:val="16"/>
    </w:rPr>
  </w:style>
  <w:style w:type="paragraph" w:styleId="Textiathugasemdar">
    <w:name w:val="annotation text"/>
    <w:basedOn w:val="Venjulegur"/>
    <w:link w:val="TextiathugasemdarStaf"/>
    <w:uiPriority w:val="99"/>
    <w:semiHidden/>
    <w:unhideWhenUsed/>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Pr>
      <w:rFonts w:ascii="Times New Roman" w:hAnsi="Times New Roman"/>
      <w:sz w:val="20"/>
      <w:szCs w:val="20"/>
    </w:rPr>
  </w:style>
  <w:style w:type="paragraph" w:styleId="Efniathugasemdar">
    <w:name w:val="annotation subject"/>
    <w:basedOn w:val="Textiathugasemdar"/>
    <w:next w:val="Textiathugasemdar"/>
    <w:link w:val="EfniathugasemdarStaf"/>
    <w:uiPriority w:val="99"/>
    <w:semiHidden/>
    <w:unhideWhenUsed/>
    <w:rPr>
      <w:b/>
      <w:bCs/>
    </w:rPr>
  </w:style>
  <w:style w:type="character" w:customStyle="1" w:styleId="EfniathugasemdarStaf">
    <w:name w:val="Efni athugasemdar Staf"/>
    <w:basedOn w:val="TextiathugasemdarStaf"/>
    <w:link w:val="Efniathugasemdar"/>
    <w:uiPriority w:val="99"/>
    <w:semiHidden/>
    <w:rPr>
      <w:rFonts w:ascii="Times New Roman" w:hAnsi="Times New Roman"/>
      <w:b/>
      <w:bCs/>
      <w:sz w:val="20"/>
      <w:szCs w:val="20"/>
    </w:rPr>
  </w:style>
  <w:style w:type="paragraph" w:styleId="Endurskoun">
    <w:name w:val="Revision"/>
    <w:hidden/>
    <w:uiPriority w:val="99"/>
    <w:semiHidden/>
    <w:pPr>
      <w:spacing w:after="0" w:line="240" w:lineRule="auto"/>
    </w:pPr>
    <w:rPr>
      <w:rFonts w:ascii="Times New Roman" w:hAnsi="Times New Roman"/>
      <w:sz w:val="18"/>
    </w:rPr>
  </w:style>
  <w:style w:type="paragraph" w:styleId="Blrutexti">
    <w:name w:val="Balloon Text"/>
    <w:basedOn w:val="Venjulegur"/>
    <w:link w:val="BlrutextiStaf"/>
    <w:uiPriority w:val="99"/>
    <w:semiHidden/>
    <w:unhideWhenUsed/>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Pr>
      <w:rFonts w:ascii="Tahoma" w:hAnsi="Tahoma" w:cs="Tahoma"/>
      <w:sz w:val="16"/>
      <w:szCs w:val="16"/>
    </w:rPr>
  </w:style>
  <w:style w:type="paragraph" w:customStyle="1" w:styleId="Consid">
    <w:name w:val="Consid"/>
    <w:basedOn w:val="Para"/>
    <w:qFormat/>
    <w:pPr>
      <w:ind w:left="540" w:hanging="540"/>
    </w:pPr>
  </w:style>
  <w:style w:type="paragraph" w:customStyle="1" w:styleId="ConsidWithoutNumber">
    <w:name w:val="ConsidWithoutNumber"/>
    <w:basedOn w:val="Consid"/>
    <w:qFormat/>
    <w:pPr>
      <w:ind w:left="0" w:firstLine="0"/>
    </w:pPr>
  </w:style>
  <w:style w:type="paragraph" w:customStyle="1" w:styleId="Alinea">
    <w:name w:val="Alinea"/>
    <w:basedOn w:val="Para"/>
    <w:qFormat/>
  </w:style>
  <w:style w:type="paragraph" w:customStyle="1" w:styleId="AlineaWithParag">
    <w:name w:val="AlineaWithParag"/>
    <w:basedOn w:val="Para"/>
    <w:qFormat/>
    <w:pPr>
      <w:tabs>
        <w:tab w:val="left" w:pos="400"/>
      </w:tabs>
    </w:pPr>
  </w:style>
  <w:style w:type="paragraph" w:customStyle="1" w:styleId="SignatoryItalic">
    <w:name w:val="SignatoryItalic"/>
    <w:basedOn w:val="Para"/>
    <w:qFormat/>
    <w:pPr>
      <w:spacing w:after="60"/>
      <w:jc w:val="center"/>
    </w:pPr>
    <w:rPr>
      <w:i/>
    </w:rPr>
  </w:style>
  <w:style w:type="paragraph" w:customStyle="1" w:styleId="Signatory">
    <w:name w:val="Signatory"/>
    <w:basedOn w:val="Para"/>
    <w:qFormat/>
    <w:pPr>
      <w:keepNext/>
      <w:keepLines/>
      <w:suppressAutoHyphens/>
      <w:spacing w:after="60"/>
      <w:jc w:val="center"/>
    </w:pPr>
  </w:style>
  <w:style w:type="paragraph" w:customStyle="1" w:styleId="TIARTquoted">
    <w:name w:val="TIART_quoted"/>
    <w:basedOn w:val="TIART"/>
    <w:qFormat/>
    <w:pPr>
      <w:jc w:val="left"/>
    </w:pPr>
  </w:style>
  <w:style w:type="paragraph" w:customStyle="1" w:styleId="STIARTquoted">
    <w:name w:val="STIART_quoted"/>
    <w:basedOn w:val="STIART"/>
    <w:qFormat/>
    <w:pPr>
      <w:jc w:val="left"/>
    </w:pPr>
  </w:style>
  <w:style w:type="paragraph" w:customStyle="1" w:styleId="MainTitleRoman">
    <w:name w:val="MainTitleRoman"/>
    <w:basedOn w:val="MainTitle"/>
    <w:qFormat/>
    <w:rPr>
      <w:b w:val="0"/>
    </w:rPr>
  </w:style>
  <w:style w:type="paragraph" w:customStyle="1" w:styleId="MainTitleSmall">
    <w:name w:val="MainTitleSmall"/>
    <w:basedOn w:val="MainTitle"/>
    <w:qFormat/>
    <w:pPr>
      <w:spacing w:line="200" w:lineRule="exact"/>
    </w:pPr>
    <w:rPr>
      <w:sz w:val="16"/>
    </w:rPr>
  </w:style>
  <w:style w:type="paragraph" w:customStyle="1" w:styleId="MainTitleRomanSmall">
    <w:name w:val="MainTitleRomanSmall"/>
    <w:basedOn w:val="MainTitleSmall"/>
    <w:qFormat/>
    <w:rPr>
      <w:b w:val="0"/>
    </w:rPr>
  </w:style>
  <w:style w:type="paragraph" w:customStyle="1" w:styleId="Formula">
    <w:name w:val="Formula"/>
    <w:basedOn w:val="Para"/>
    <w:qFormat/>
    <w:pPr>
      <w:spacing w:line="240" w:lineRule="auto"/>
    </w:pPr>
    <w:rPr>
      <w:rFonts w:ascii="Cambria Math" w:hAnsi="Cambria Math"/>
    </w:rPr>
  </w:style>
  <w:style w:type="paragraph" w:customStyle="1" w:styleId="FormulaSmall">
    <w:name w:val="FormulaSmall"/>
    <w:basedOn w:val="Formula"/>
    <w:qFormat/>
    <w:rPr>
      <w:rFonts w:eastAsiaTheme="minorEastAsia"/>
      <w:sz w:val="16"/>
    </w:rPr>
  </w:style>
  <w:style w:type="table" w:customStyle="1" w:styleId="EFTATable">
    <w:name w:val="EFTATable"/>
    <w:basedOn w:val="Tafla-venjuleg"/>
    <w:uiPriority w:val="99"/>
    <w:pPr>
      <w:spacing w:after="0" w:line="200" w:lineRule="exact"/>
    </w:pPr>
    <w:rPr>
      <w:rFonts w:ascii="Times New Roman" w:hAnsi="Times New Roman"/>
      <w:sz w:val="16"/>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TableTIGrNotes">
    <w:name w:val="TableTIGrNotes"/>
    <w:basedOn w:val="TableGrNotes"/>
    <w:qFormat/>
    <w:pPr>
      <w:spacing w:after="120"/>
    </w:pPr>
  </w:style>
  <w:style w:type="paragraph" w:customStyle="1" w:styleId="TableGrAnnotations">
    <w:name w:val="TableGrAnnotations"/>
    <w:basedOn w:val="ParaSmall"/>
    <w:qFormat/>
    <w:pPr>
      <w:spacing w:after="0" w:line="180" w:lineRule="exact"/>
    </w:pPr>
    <w:rPr>
      <w:sz w:val="14"/>
    </w:rPr>
  </w:style>
  <w:style w:type="paragraph" w:customStyle="1" w:styleId="FigureTI">
    <w:name w:val="FigureTI"/>
    <w:basedOn w:val="Para"/>
    <w:qFormat/>
    <w:pPr>
      <w:keepNext/>
      <w:keepLines/>
      <w:suppressAutoHyphens/>
      <w:jc w:val="center"/>
    </w:pPr>
    <w:rPr>
      <w:i/>
    </w:rPr>
  </w:style>
  <w:style w:type="paragraph" w:customStyle="1" w:styleId="FigureSTI">
    <w:name w:val="FigureSTI"/>
    <w:basedOn w:val="Para"/>
    <w:qFormat/>
    <w:pPr>
      <w:keepNext/>
      <w:keepLines/>
      <w:suppressAutoHyphens/>
      <w:jc w:val="center"/>
    </w:pPr>
    <w:rPr>
      <w:b/>
    </w:rPr>
  </w:style>
  <w:style w:type="paragraph" w:customStyle="1" w:styleId="FigureTISmall">
    <w:name w:val="FigureTISmall"/>
    <w:basedOn w:val="ParaSmall"/>
    <w:qFormat/>
    <w:pPr>
      <w:keepNext/>
      <w:keepLines/>
      <w:suppressAutoHyphens/>
      <w:jc w:val="center"/>
    </w:pPr>
    <w:rPr>
      <w:i/>
    </w:rPr>
  </w:style>
  <w:style w:type="paragraph" w:customStyle="1" w:styleId="FigureSTISmall">
    <w:name w:val="FigureSTISmall"/>
    <w:basedOn w:val="ParaSmall"/>
    <w:qFormat/>
    <w:pPr>
      <w:keepNext/>
      <w:keepLines/>
      <w:suppressAutoHyphens/>
      <w:jc w:val="center"/>
    </w:pPr>
    <w:rPr>
      <w:b/>
    </w:rPr>
  </w:style>
  <w:style w:type="paragraph" w:customStyle="1" w:styleId="AnnexNumberedText">
    <w:name w:val="AnnexNumberedText"/>
    <w:basedOn w:val="AnnexNormal"/>
    <w:qFormat/>
    <w:pPr>
      <w:spacing w:after="120"/>
      <w:ind w:left="280" w:hanging="280"/>
    </w:pPr>
  </w:style>
  <w:style w:type="paragraph" w:customStyle="1" w:styleId="AnnexNormal">
    <w:name w:val="AnnexNormal"/>
    <w:basedOn w:val="Para"/>
    <w:qFormat/>
  </w:style>
  <w:style w:type="paragraph" w:customStyle="1" w:styleId="AnnexGrSeq4">
    <w:name w:val="AnnexGrSeq4"/>
    <w:basedOn w:val="ParaSmall"/>
    <w:qFormat/>
    <w:pPr>
      <w:keepNext/>
      <w:keepLines/>
      <w:suppressAutoHyphens/>
      <w:jc w:val="center"/>
    </w:pPr>
  </w:style>
  <w:style w:type="paragraph" w:customStyle="1" w:styleId="AnnexTableCellLeft">
    <w:name w:val="AnnexTableCellLeft"/>
    <w:basedOn w:val="Para"/>
    <w:qFormat/>
    <w:pPr>
      <w:spacing w:after="0"/>
    </w:pPr>
  </w:style>
  <w:style w:type="paragraph" w:customStyle="1" w:styleId="AnnexTableHeader">
    <w:name w:val="AnnexTableHeader"/>
    <w:basedOn w:val="Para"/>
    <w:qFormat/>
    <w:pPr>
      <w:spacing w:after="0"/>
      <w:jc w:val="center"/>
    </w:pPr>
    <w:rPr>
      <w:sz w:val="16"/>
    </w:rPr>
  </w:style>
  <w:style w:type="paragraph" w:customStyle="1" w:styleId="AnnexTableGrNotes">
    <w:name w:val="AnnexTableGrNotes"/>
    <w:basedOn w:val="Para"/>
    <w:qFormat/>
    <w:pPr>
      <w:spacing w:after="0" w:line="220" w:lineRule="exact"/>
      <w:ind w:left="280" w:hanging="280"/>
    </w:pPr>
    <w:rPr>
      <w:sz w:val="16"/>
    </w:rPr>
  </w:style>
  <w:style w:type="paragraph" w:customStyle="1" w:styleId="AnnexTableGrAnnotations">
    <w:name w:val="AnnexTableGrAnnotations"/>
    <w:basedOn w:val="AnnexTableGrNotes"/>
    <w:qFormat/>
    <w:pPr>
      <w:ind w:left="0" w:firstLine="0"/>
    </w:pPr>
  </w:style>
  <w:style w:type="paragraph" w:customStyle="1" w:styleId="AnnexTableCell">
    <w:name w:val="AnnexTableCell"/>
    <w:basedOn w:val="Para"/>
    <w:qFormat/>
    <w:pPr>
      <w:spacing w:after="0"/>
      <w:jc w:val="center"/>
    </w:pPr>
  </w:style>
  <w:style w:type="paragraph" w:customStyle="1" w:styleId="Style1">
    <w:name w:val="Style1"/>
    <w:basedOn w:val="AnnexTableCell"/>
    <w:qFormat/>
  </w:style>
  <w:style w:type="paragraph" w:customStyle="1" w:styleId="AnnexTableCellRight">
    <w:name w:val="AnnexTableCellRight"/>
    <w:basedOn w:val="AnnexTableCell"/>
    <w:qFormat/>
    <w:pPr>
      <w:jc w:val="right"/>
    </w:pPr>
  </w:style>
  <w:style w:type="paragraph" w:customStyle="1" w:styleId="AnnexGrSeq1">
    <w:name w:val="AnnexGrSeq1"/>
    <w:basedOn w:val="ParaSmall"/>
    <w:qFormat/>
    <w:pPr>
      <w:keepNext/>
      <w:keepLines/>
      <w:suppressAutoHyphens/>
      <w:jc w:val="center"/>
    </w:pPr>
  </w:style>
  <w:style w:type="paragraph" w:customStyle="1" w:styleId="AnnexGrSeq2">
    <w:name w:val="AnnexGrSeq2"/>
    <w:basedOn w:val="AnnexGrSeq1"/>
    <w:qFormat/>
    <w:pPr>
      <w:spacing w:line="240" w:lineRule="exact"/>
    </w:pPr>
    <w:rPr>
      <w:sz w:val="18"/>
    </w:rPr>
  </w:style>
  <w:style w:type="paragraph" w:customStyle="1" w:styleId="AnnexGrSeq3">
    <w:name w:val="AnnexGrSeq3"/>
    <w:basedOn w:val="AnnexGrSeq2"/>
    <w:qFormat/>
  </w:style>
  <w:style w:type="paragraph" w:customStyle="1" w:styleId="AnnexAlinea">
    <w:name w:val="AnnexAlinea"/>
    <w:basedOn w:val="ParaSmall"/>
    <w:qFormat/>
  </w:style>
  <w:style w:type="paragraph" w:customStyle="1" w:styleId="AnnexAlineaWithParag">
    <w:name w:val="AnnexAlineaWithParag"/>
    <w:basedOn w:val="AnnexNormal"/>
    <w:qFormat/>
    <w:pPr>
      <w:tabs>
        <w:tab w:val="left" w:pos="400"/>
      </w:tabs>
    </w:pPr>
  </w:style>
  <w:style w:type="paragraph" w:customStyle="1" w:styleId="AnnexTIART">
    <w:name w:val="AnnexTIART"/>
    <w:basedOn w:val="ParaSmall"/>
    <w:qFormat/>
    <w:pPr>
      <w:keepNext/>
      <w:keepLines/>
      <w:suppressAutoHyphens/>
      <w:jc w:val="center"/>
    </w:pPr>
    <w:rPr>
      <w:i/>
    </w:rPr>
  </w:style>
  <w:style w:type="paragraph" w:customStyle="1" w:styleId="AnnexSTIART">
    <w:name w:val="AnnexSTIART"/>
    <w:basedOn w:val="AnnexTIART"/>
    <w:qFormat/>
    <w:rPr>
      <w:b/>
      <w:i w:val="0"/>
    </w:rPr>
  </w:style>
  <w:style w:type="paragraph" w:customStyle="1" w:styleId="AnnexDivisionTI">
    <w:name w:val="AnnexDivisionTI"/>
    <w:basedOn w:val="ParaSmall"/>
    <w:qFormat/>
    <w:pPr>
      <w:keepNext/>
      <w:keepLines/>
      <w:suppressAutoHyphens/>
      <w:jc w:val="center"/>
    </w:pPr>
  </w:style>
  <w:style w:type="paragraph" w:customStyle="1" w:styleId="AnnexDivisionSTI">
    <w:name w:val="AnnexDivisionSTI"/>
    <w:basedOn w:val="ParaSmall"/>
    <w:qFormat/>
    <w:pPr>
      <w:keepNext/>
      <w:keepLines/>
      <w:suppressAutoHyphens/>
      <w:jc w:val="center"/>
    </w:pPr>
  </w:style>
  <w:style w:type="paragraph" w:customStyle="1" w:styleId="DivConsidTIlt51">
    <w:name w:val="DivConsidTIlt51"/>
    <w:basedOn w:val="Para"/>
    <w:qFormat/>
    <w:pPr>
      <w:keepNext/>
      <w:keepLines/>
      <w:suppressAutoHyphens/>
      <w:jc w:val="center"/>
    </w:pPr>
    <w:rPr>
      <w:caps/>
      <w:sz w:val="16"/>
    </w:rPr>
  </w:style>
  <w:style w:type="paragraph" w:customStyle="1" w:styleId="DivConsidSTIlt51">
    <w:name w:val="DivConsidSTIlt51"/>
    <w:basedOn w:val="Para"/>
    <w:qFormat/>
    <w:pPr>
      <w:keepNext/>
      <w:keepLines/>
      <w:suppressAutoHyphens/>
      <w:jc w:val="center"/>
    </w:pPr>
    <w:rPr>
      <w:b/>
    </w:rPr>
  </w:style>
  <w:style w:type="paragraph" w:customStyle="1" w:styleId="AnnexFigureSTI">
    <w:name w:val="AnnexFigureSTI"/>
    <w:basedOn w:val="ParaSmall"/>
    <w:qFormat/>
    <w:pPr>
      <w:keepNext/>
      <w:keepLines/>
      <w:suppressAutoHyphens/>
      <w:jc w:val="center"/>
    </w:pPr>
    <w:rPr>
      <w:b/>
    </w:rPr>
  </w:style>
  <w:style w:type="paragraph" w:customStyle="1" w:styleId="AnnexFigureTI">
    <w:name w:val="AnnexFigureTI"/>
    <w:basedOn w:val="ParaSmall"/>
    <w:qFormat/>
    <w:pPr>
      <w:keepNext/>
      <w:keepLines/>
      <w:suppressAutoHyphens/>
      <w:jc w:val="center"/>
    </w:pPr>
    <w:rPr>
      <w:i/>
    </w:rPr>
  </w:style>
  <w:style w:type="paragraph" w:customStyle="1" w:styleId="Para">
    <w:name w:val="Para"/>
    <w:qFormat/>
    <w:pPr>
      <w:spacing w:line="240" w:lineRule="exact"/>
      <w:jc w:val="both"/>
    </w:pPr>
    <w:rPr>
      <w:rFonts w:ascii="Times New Roman" w:hAnsi="Times New Roman"/>
      <w:sz w:val="18"/>
      <w14:ligatures w14:val="standard"/>
    </w:rPr>
  </w:style>
  <w:style w:type="paragraph" w:customStyle="1" w:styleId="ParaSmall">
    <w:name w:val="ParaSmall"/>
    <w:basedOn w:val="Para"/>
    <w:qFormat/>
    <w:pPr>
      <w:spacing w:line="200" w:lineRule="exact"/>
    </w:pPr>
    <w:rPr>
      <w:sz w:val="16"/>
    </w:rPr>
  </w:style>
  <w:style w:type="paragraph" w:styleId="Tilvitnun">
    <w:name w:val="Quote"/>
    <w:basedOn w:val="Para"/>
    <w:next w:val="Para"/>
    <w:link w:val="TilvitnunStaf"/>
    <w:uiPriority w:val="29"/>
    <w:qFormat/>
    <w:rPr>
      <w:i/>
      <w:iCs/>
      <w:color w:val="000000" w:themeColor="text1"/>
    </w:rPr>
  </w:style>
  <w:style w:type="character" w:customStyle="1" w:styleId="TilvitnunStaf">
    <w:name w:val="Tilvitnun Staf"/>
    <w:basedOn w:val="Sjlfgefinleturgermlsgreinar"/>
    <w:link w:val="Tilvitnun"/>
    <w:uiPriority w:val="29"/>
    <w:rPr>
      <w:rFonts w:ascii="Times New Roman" w:hAnsi="Times New Roman"/>
      <w:i/>
      <w:iCs/>
      <w:color w:val="000000" w:themeColor="text1"/>
      <w:sz w:val="18"/>
      <w14:ligatures w14:val="standard"/>
    </w:rPr>
  </w:style>
  <w:style w:type="paragraph" w:customStyle="1" w:styleId="SequenceNumber">
    <w:name w:val="SequenceNumber"/>
    <w:basedOn w:val="Para"/>
    <w:qFormat/>
    <w:pPr>
      <w:jc w:val="right"/>
    </w:pPr>
    <w:rPr>
      <w:b/>
    </w:rPr>
  </w:style>
  <w:style w:type="paragraph" w:customStyle="1" w:styleId="SignatorySmall">
    <w:name w:val="SignatorySmall"/>
    <w:basedOn w:val="ParaSmall"/>
    <w:qFormat/>
    <w:pPr>
      <w:spacing w:after="60"/>
      <w:jc w:val="center"/>
    </w:pPr>
  </w:style>
  <w:style w:type="paragraph" w:customStyle="1" w:styleId="SignatoryItalicSmall">
    <w:name w:val="SignatoryItalicSmall"/>
    <w:basedOn w:val="SignatorySmall"/>
    <w:qFormat/>
    <w:rPr>
      <w:i/>
    </w:rPr>
  </w:style>
  <w:style w:type="paragraph" w:customStyle="1" w:styleId="GrSeq5">
    <w:name w:val="GrSeq5"/>
    <w:basedOn w:val="GrSeq1"/>
    <w:qFormat/>
    <w:rPr>
      <w:b w:val="0"/>
    </w:rPr>
  </w:style>
  <w:style w:type="paragraph" w:customStyle="1" w:styleId="GrSeq6">
    <w:name w:val="GrSeq6"/>
    <w:basedOn w:val="GrSeq5"/>
    <w:qFormat/>
  </w:style>
  <w:style w:type="paragraph" w:customStyle="1" w:styleId="GrSeq7">
    <w:name w:val="GrSeq7"/>
    <w:basedOn w:val="GrSeq6"/>
    <w:qFormat/>
  </w:style>
  <w:style w:type="paragraph" w:customStyle="1" w:styleId="AnnexGrSeq5">
    <w:name w:val="AnnexGrSeq5"/>
    <w:basedOn w:val="AnnexGrSeq4"/>
    <w:qFormat/>
    <w:pPr>
      <w:spacing w:line="240" w:lineRule="exact"/>
    </w:pPr>
    <w:rPr>
      <w:sz w:val="18"/>
    </w:rPr>
  </w:style>
  <w:style w:type="paragraph" w:customStyle="1" w:styleId="AnnexGrSeq6">
    <w:name w:val="AnnexGrSeq6"/>
    <w:basedOn w:val="AnnexGrSeq5"/>
    <w:qFormat/>
  </w:style>
  <w:style w:type="paragraph" w:customStyle="1" w:styleId="AnnexGrSeq7">
    <w:name w:val="AnnexGrSeq7"/>
    <w:basedOn w:val="AnnexGrSeq6"/>
    <w:qFormat/>
  </w:style>
  <w:style w:type="paragraph" w:customStyle="1" w:styleId="AnnexQuoteFootnoteRule">
    <w:name w:val="AnnexQuoteFootnoteRule"/>
    <w:basedOn w:val="AnnexNormal"/>
    <w:qFormat/>
    <w:pPr>
      <w:pBdr>
        <w:bottom w:val="single" w:sz="4" w:space="1" w:color="auto"/>
      </w:pBdr>
      <w:spacing w:after="0"/>
      <w:ind w:right="7500"/>
    </w:pPr>
  </w:style>
  <w:style w:type="paragraph" w:customStyle="1" w:styleId="RotatedHeader">
    <w:name w:val="RotatedHeader"/>
    <w:basedOn w:val="Suhaus"/>
    <w:qFormat/>
    <w:pPr>
      <w:pBdr>
        <w:bottom w:val="single" w:sz="4" w:space="6" w:color="auto"/>
      </w:pBdr>
      <w:tabs>
        <w:tab w:val="center" w:pos="4848"/>
        <w:tab w:val="right" w:pos="9611"/>
      </w:tabs>
      <w:spacing w:after="120"/>
    </w:pPr>
  </w:style>
  <w:style w:type="paragraph" w:customStyle="1" w:styleId="DivConsidTIlt52">
    <w:name w:val="DivConsidTIlt52"/>
    <w:basedOn w:val="Para"/>
    <w:qFormat/>
    <w:pPr>
      <w:keepNext/>
      <w:keepLines/>
      <w:suppressAutoHyphens/>
      <w:jc w:val="center"/>
    </w:pPr>
    <w:rPr>
      <w:caps/>
      <w:sz w:val="16"/>
    </w:rPr>
  </w:style>
  <w:style w:type="paragraph" w:customStyle="1" w:styleId="DivConsidSTIlt52">
    <w:name w:val="DivConsidSTIlt52"/>
    <w:basedOn w:val="Para"/>
    <w:qFormat/>
    <w:pPr>
      <w:keepNext/>
      <w:suppressAutoHyphens/>
      <w:jc w:val="center"/>
    </w:pPr>
    <w:rPr>
      <w:b/>
    </w:rPr>
  </w:style>
  <w:style w:type="paragraph" w:customStyle="1" w:styleId="DivConsidTIlt53">
    <w:name w:val="DivConsidTIlt53"/>
    <w:basedOn w:val="Para"/>
    <w:qFormat/>
    <w:pPr>
      <w:keepNext/>
      <w:keepLines/>
      <w:suppressAutoHyphens/>
      <w:jc w:val="left"/>
    </w:pPr>
  </w:style>
  <w:style w:type="paragraph" w:customStyle="1" w:styleId="DivConsidSTIlt53">
    <w:name w:val="DivConsidSTIlt53"/>
    <w:basedOn w:val="Para"/>
    <w:qFormat/>
    <w:pPr>
      <w:keepNext/>
      <w:keepLines/>
      <w:suppressAutoHyphens/>
      <w:jc w:val="left"/>
    </w:pPr>
  </w:style>
  <w:style w:type="paragraph" w:customStyle="1" w:styleId="DivConsidTIlt54">
    <w:name w:val="DivConsidTIlt54"/>
    <w:basedOn w:val="Para"/>
    <w:qFormat/>
    <w:pPr>
      <w:keepNext/>
      <w:keepLines/>
      <w:suppressAutoHyphens/>
      <w:jc w:val="left"/>
    </w:pPr>
  </w:style>
  <w:style w:type="paragraph" w:customStyle="1" w:styleId="DivConsidSTIlt54">
    <w:name w:val="DivConsidSTIlt54"/>
    <w:basedOn w:val="Para"/>
    <w:qFormat/>
    <w:pPr>
      <w:keepNext/>
      <w:keepLines/>
      <w:suppressAutoHyphens/>
      <w:jc w:val="left"/>
    </w:pPr>
  </w:style>
  <w:style w:type="paragraph" w:customStyle="1" w:styleId="DivConsidTIgt51">
    <w:name w:val="DivConsidTIgt51"/>
    <w:basedOn w:val="Para"/>
    <w:qFormat/>
    <w:pPr>
      <w:jc w:val="center"/>
    </w:pPr>
    <w:rPr>
      <w:caps/>
      <w:sz w:val="16"/>
    </w:rPr>
  </w:style>
  <w:style w:type="paragraph" w:customStyle="1" w:styleId="DivConsidSTIgt55">
    <w:name w:val="DivConsidSTIgt55"/>
    <w:basedOn w:val="Para"/>
    <w:qFormat/>
    <w:pPr>
      <w:jc w:val="left"/>
    </w:pPr>
  </w:style>
  <w:style w:type="paragraph" w:customStyle="1" w:styleId="DivConsidTIgt56">
    <w:name w:val="DivConsidTIgt56"/>
    <w:basedOn w:val="Para"/>
    <w:qFormat/>
    <w:pPr>
      <w:keepNext/>
      <w:keepLines/>
      <w:suppressAutoHyphens/>
      <w:jc w:val="left"/>
    </w:pPr>
  </w:style>
  <w:style w:type="paragraph" w:customStyle="1" w:styleId="DivConsidSTIgt56">
    <w:name w:val="DivConsidSTIgt56"/>
    <w:basedOn w:val="Para"/>
    <w:qFormat/>
    <w:pPr>
      <w:jc w:val="left"/>
    </w:pPr>
  </w:style>
  <w:style w:type="paragraph" w:customStyle="1" w:styleId="DivConsidTIgt57">
    <w:name w:val="DivConsidTIgt57"/>
    <w:basedOn w:val="DivConsidTIgt56"/>
    <w:qFormat/>
  </w:style>
  <w:style w:type="paragraph" w:customStyle="1" w:styleId="DivConsidSTIgt57">
    <w:name w:val="DivConsidSTIgt57"/>
    <w:basedOn w:val="DivConsidSTIgt56"/>
    <w:qFormat/>
  </w:style>
  <w:style w:type="paragraph" w:customStyle="1" w:styleId="DivConsidTIgt58">
    <w:name w:val="DivConsidTIgt58"/>
    <w:basedOn w:val="DivConsidTIgt57"/>
    <w:qFormat/>
  </w:style>
  <w:style w:type="paragraph" w:customStyle="1" w:styleId="DivConsidSTIgt58">
    <w:name w:val="DivConsidSTIgt58"/>
    <w:basedOn w:val="DivConsidSTIgt57"/>
    <w:qFormat/>
  </w:style>
  <w:style w:type="paragraph" w:customStyle="1" w:styleId="DivisionTI1">
    <w:name w:val="DivisionTI1"/>
    <w:basedOn w:val="Para"/>
    <w:qFormat/>
    <w:pPr>
      <w:keepNext/>
      <w:keepLines/>
      <w:suppressAutoHyphens/>
      <w:jc w:val="center"/>
    </w:pPr>
    <w:rPr>
      <w:caps/>
      <w:sz w:val="16"/>
    </w:rPr>
  </w:style>
  <w:style w:type="paragraph" w:customStyle="1" w:styleId="DivisionSTI1">
    <w:name w:val="DivisionSTI1"/>
    <w:basedOn w:val="Para"/>
    <w:qFormat/>
    <w:pPr>
      <w:keepNext/>
      <w:keepLines/>
      <w:suppressAutoHyphens/>
      <w:jc w:val="center"/>
    </w:pPr>
  </w:style>
  <w:style w:type="paragraph" w:customStyle="1" w:styleId="DivisionTI2">
    <w:name w:val="DivisionTI2"/>
    <w:basedOn w:val="Para"/>
    <w:qFormat/>
    <w:pPr>
      <w:keepNext/>
      <w:keepLines/>
      <w:suppressAutoHyphens/>
      <w:jc w:val="center"/>
    </w:pPr>
  </w:style>
  <w:style w:type="paragraph" w:customStyle="1" w:styleId="DivisionSTI2">
    <w:name w:val="DivisionSTI2"/>
    <w:basedOn w:val="Para"/>
    <w:qFormat/>
    <w:pPr>
      <w:keepNext/>
      <w:keepLines/>
      <w:suppressAutoHyphens/>
      <w:jc w:val="center"/>
    </w:pPr>
  </w:style>
  <w:style w:type="paragraph" w:customStyle="1" w:styleId="DivisionTI3">
    <w:name w:val="DivisionTI3"/>
    <w:basedOn w:val="Para"/>
    <w:qFormat/>
    <w:pPr>
      <w:keepNext/>
      <w:keepLines/>
      <w:suppressAutoHyphens/>
      <w:jc w:val="left"/>
    </w:pPr>
  </w:style>
  <w:style w:type="paragraph" w:customStyle="1" w:styleId="DivisionSTI3">
    <w:name w:val="DivisionSTI3"/>
    <w:basedOn w:val="Para"/>
    <w:qFormat/>
    <w:pPr>
      <w:keepNext/>
      <w:keepLines/>
      <w:suppressAutoHyphens/>
      <w:jc w:val="left"/>
    </w:pPr>
  </w:style>
  <w:style w:type="paragraph" w:customStyle="1" w:styleId="DivisionTI4">
    <w:name w:val="DivisionTI4"/>
    <w:basedOn w:val="DivisionTI3"/>
    <w:qFormat/>
  </w:style>
  <w:style w:type="paragraph" w:customStyle="1" w:styleId="DivisionSTI4">
    <w:name w:val="DivisionSTI4"/>
    <w:basedOn w:val="DivisionSTI3"/>
    <w:qFormat/>
  </w:style>
  <w:style w:type="paragraph" w:customStyle="1" w:styleId="DivisionTI5">
    <w:name w:val="DivisionTI5"/>
    <w:basedOn w:val="DivisionTI4"/>
    <w:qFormat/>
  </w:style>
  <w:style w:type="paragraph" w:customStyle="1" w:styleId="DivisionSTI5">
    <w:name w:val="DivisionSTI5"/>
    <w:basedOn w:val="DivisionSTI4"/>
    <w:qFormat/>
  </w:style>
  <w:style w:type="paragraph" w:customStyle="1" w:styleId="DivisionTI6">
    <w:name w:val="DivisionTI6"/>
    <w:basedOn w:val="DivisionTI5"/>
    <w:qFormat/>
  </w:style>
  <w:style w:type="paragraph" w:customStyle="1" w:styleId="DivisionSTI6">
    <w:name w:val="DivisionSTI6"/>
    <w:basedOn w:val="DivisionSTI5"/>
    <w:qFormat/>
  </w:style>
  <w:style w:type="paragraph" w:customStyle="1" w:styleId="DivisionTI7">
    <w:name w:val="DivisionTI7"/>
    <w:basedOn w:val="DivisionTI6"/>
    <w:qFormat/>
  </w:style>
  <w:style w:type="paragraph" w:customStyle="1" w:styleId="DivisionSTI7">
    <w:name w:val="DivisionSTI7"/>
    <w:basedOn w:val="DivisionSTI6"/>
    <w:qFormat/>
  </w:style>
  <w:style w:type="paragraph" w:customStyle="1" w:styleId="DivisionTI8">
    <w:name w:val="DivisionTI8"/>
    <w:basedOn w:val="DivisionTI7"/>
    <w:qFormat/>
  </w:style>
  <w:style w:type="paragraph" w:customStyle="1" w:styleId="DivisionSTI8">
    <w:name w:val="DivisionSTI8"/>
    <w:basedOn w:val="DivisionSTI7"/>
    <w:qFormat/>
  </w:style>
  <w:style w:type="paragraph" w:customStyle="1" w:styleId="DivConsidSTIgt51">
    <w:name w:val="DivConsidSTIgt51"/>
    <w:basedOn w:val="DivConsidSTIgt55"/>
    <w:qFormat/>
    <w:pPr>
      <w:jc w:val="center"/>
    </w:pPr>
    <w:rPr>
      <w:sz w:val="16"/>
    </w:rPr>
  </w:style>
  <w:style w:type="paragraph" w:customStyle="1" w:styleId="DivConsidTIgt52">
    <w:name w:val="DivConsidTIgt52"/>
    <w:basedOn w:val="DivConsidTIgt51"/>
    <w:qFormat/>
  </w:style>
  <w:style w:type="paragraph" w:customStyle="1" w:styleId="DivConsidSTIgt52">
    <w:name w:val="DivConsidSTIgt52"/>
    <w:basedOn w:val="DivConsidSTIgt51"/>
    <w:qFormat/>
  </w:style>
  <w:style w:type="paragraph" w:customStyle="1" w:styleId="DivConsidTIgt53">
    <w:name w:val="DivConsidTIgt53"/>
    <w:basedOn w:val="DivConsidTIgt51"/>
    <w:qFormat/>
    <w:pPr>
      <w:jc w:val="left"/>
    </w:pPr>
  </w:style>
  <w:style w:type="paragraph" w:customStyle="1" w:styleId="DivConsidSTIgt53">
    <w:name w:val="DivConsidSTIgt53"/>
    <w:basedOn w:val="DivConsidSTIgt55"/>
    <w:qFormat/>
  </w:style>
  <w:style w:type="paragraph" w:customStyle="1" w:styleId="DivConsidTIgt54">
    <w:name w:val="DivConsidTIgt54"/>
    <w:basedOn w:val="DivConsidTIgt51"/>
    <w:qFormat/>
    <w:pPr>
      <w:jc w:val="left"/>
    </w:pPr>
    <w:rPr>
      <w:sz w:val="18"/>
    </w:rPr>
  </w:style>
  <w:style w:type="paragraph" w:customStyle="1" w:styleId="DivConsidSTIgt54">
    <w:name w:val="DivConsidSTIgt54"/>
    <w:basedOn w:val="DivConsidSTIgt55"/>
    <w:qFormat/>
  </w:style>
  <w:style w:type="paragraph" w:customStyle="1" w:styleId="DivConsidTIgt55">
    <w:name w:val="DivConsidTIgt55"/>
    <w:basedOn w:val="DivConsidTIgt51"/>
    <w:qFormat/>
    <w:pPr>
      <w:jc w:val="left"/>
    </w:pPr>
  </w:style>
  <w:style w:type="paragraph" w:customStyle="1" w:styleId="DivisionChapterTI1">
    <w:name w:val="DivisionChapterTI1"/>
    <w:basedOn w:val="Para"/>
    <w:qFormat/>
    <w:pPr>
      <w:keepNext/>
      <w:keepLines/>
      <w:suppressAutoHyphens/>
      <w:jc w:val="center"/>
    </w:pPr>
    <w:rPr>
      <w:caps/>
      <w:sz w:val="16"/>
    </w:rPr>
  </w:style>
  <w:style w:type="paragraph" w:customStyle="1" w:styleId="DivisionChapterSTI1">
    <w:name w:val="DivisionChapterSTI1"/>
    <w:basedOn w:val="Para"/>
    <w:qFormat/>
    <w:pPr>
      <w:keepNext/>
      <w:keepLines/>
      <w:suppressAutoHyphens/>
      <w:jc w:val="center"/>
    </w:pPr>
    <w:rPr>
      <w:b/>
      <w:caps/>
      <w:sz w:val="16"/>
    </w:rPr>
  </w:style>
  <w:style w:type="paragraph" w:customStyle="1" w:styleId="DivisionSectionTI1">
    <w:name w:val="DivisionSectionTI1"/>
    <w:basedOn w:val="Para"/>
    <w:qFormat/>
    <w:pPr>
      <w:keepNext/>
      <w:keepLines/>
      <w:suppressAutoHyphens/>
      <w:jc w:val="center"/>
    </w:pPr>
    <w:rPr>
      <w:caps/>
      <w:sz w:val="16"/>
    </w:rPr>
  </w:style>
  <w:style w:type="paragraph" w:customStyle="1" w:styleId="DivisionSectionSTI1">
    <w:name w:val="DivisionSectionSTI1"/>
    <w:basedOn w:val="Para"/>
    <w:qFormat/>
    <w:pPr>
      <w:jc w:val="center"/>
    </w:pPr>
    <w:rPr>
      <w:b/>
      <w:caps/>
      <w:sz w:val="16"/>
    </w:rPr>
  </w:style>
  <w:style w:type="character" w:styleId="NotaurTengill">
    <w:name w:val="FollowedHyperlink"/>
    <w:basedOn w:val="Sjlfgefinleturgermlsgreinar"/>
    <w:uiPriority w:val="99"/>
    <w:semiHidden/>
    <w:unhideWhenUsed/>
    <w:rPr>
      <w:color w:val="0000FF"/>
      <w:u w:val="none"/>
    </w:rPr>
  </w:style>
  <w:style w:type="character" w:customStyle="1" w:styleId="Footnote8pt">
    <w:name w:val="Footnote8pt"/>
    <w:basedOn w:val="Sjlfgefinleturgermlsgreinar"/>
    <w:uiPriority w:val="1"/>
    <w:qFormat/>
    <w:rPr>
      <w:rFonts w:ascii="Times New Roman" w:hAnsi="Times New Roman"/>
      <w:color w:val="auto"/>
      <w:sz w:val="16"/>
      <w:lang w:val="is-IS"/>
    </w:rPr>
  </w:style>
  <w:style w:type="character" w:customStyle="1" w:styleId="Footnote7pt">
    <w:name w:val="Footnote7pt"/>
    <w:basedOn w:val="Sjlfgefinleturgermlsgreinar"/>
    <w:uiPriority w:val="1"/>
    <w:qFormat/>
    <w:rPr>
      <w:rFonts w:ascii="Times New Roman" w:hAnsi="Times New Roman"/>
      <w:color w:val="auto"/>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0D6C-149E-4D79-BA28-98E06CD1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6025</Words>
  <Characters>34348</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amplexor</Company>
  <LinksUpToDate>false</LinksUpToDate>
  <CharactersWithSpaces>40293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EFTA</dc:creator>
  <cp:lastModifiedBy>Benedikt Hallgrímsson</cp:lastModifiedBy>
  <cp:revision>2</cp:revision>
  <cp:lastPrinted>2017-02-23T13:37:00Z</cp:lastPrinted>
  <dcterms:created xsi:type="dcterms:W3CDTF">2021-11-26T12:05:00Z</dcterms:created>
  <dcterms:modified xsi:type="dcterms:W3CDTF">2021-11-26T12:05:00Z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_date">
    <vt:lpwstr>27.10.2016</vt:lpwstr>
  </property>
  <property fmtid="{D5CDD505-2E9C-101B-9397-08002B2CF9AE}" pid="3" name="volume">
    <vt:lpwstr>56</vt:lpwstr>
  </property>
  <property fmtid="{D5CDD505-2E9C-101B-9397-08002B2CF9AE}" pid="4" name="rhead">
    <vt:lpwstr>EØS-tillegget til Den europeiske unions tidende</vt:lpwstr>
  </property>
  <property fmtid="{D5CDD505-2E9C-101B-9397-08002B2CF9AE}" pid="5" name="producer">
    <vt:lpwstr>amplexor</vt:lpwstr>
  </property>
  <property fmtid="{D5CDD505-2E9C-101B-9397-08002B2CF9AE}" pid="6" name="issue_nr">
    <vt:lpwstr>23</vt:lpwstr>
  </property>
</Properties>
</file>