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7DD08" w14:textId="77777777" w:rsidR="00F837B3" w:rsidRDefault="00392949" w:rsidP="00392949">
      <w:pPr>
        <w:jc w:val="center"/>
        <w:rPr>
          <w:rFonts w:ascii="Times" w:hAnsi="Times" w:cs="Times New Roman"/>
          <w:b/>
          <w:sz w:val="22"/>
          <w:szCs w:val="22"/>
          <w:lang w:val="is-IS"/>
        </w:rPr>
      </w:pPr>
      <w:bookmarkStart w:id="0" w:name="_GoBack"/>
      <w:bookmarkEnd w:id="0"/>
      <w:r w:rsidRPr="00212C35">
        <w:rPr>
          <w:rFonts w:ascii="Times" w:hAnsi="Times" w:cs="Times New Roman"/>
          <w:b/>
          <w:sz w:val="22"/>
          <w:szCs w:val="22"/>
          <w:lang w:val="is-IS"/>
        </w:rPr>
        <w:t xml:space="preserve">REGLUGERÐ </w:t>
      </w:r>
    </w:p>
    <w:p w14:paraId="35EE0D4E" w14:textId="2FC7675B" w:rsidR="00392949" w:rsidRPr="00212C35" w:rsidRDefault="00392949" w:rsidP="00392949">
      <w:pPr>
        <w:jc w:val="center"/>
        <w:rPr>
          <w:rFonts w:ascii="Times" w:hAnsi="Times" w:cs="Times New Roman"/>
          <w:b/>
          <w:sz w:val="22"/>
          <w:szCs w:val="22"/>
          <w:lang w:val="is-IS"/>
        </w:rPr>
      </w:pPr>
      <w:r w:rsidRPr="00212C35">
        <w:rPr>
          <w:rFonts w:ascii="Times" w:hAnsi="Times" w:cs="Times New Roman"/>
          <w:b/>
          <w:sz w:val="22"/>
          <w:szCs w:val="22"/>
          <w:lang w:val="is-IS"/>
        </w:rPr>
        <w:t>um áhættumat</w:t>
      </w:r>
      <w:r w:rsidR="00537AEC">
        <w:rPr>
          <w:rFonts w:ascii="Times" w:hAnsi="Times" w:cs="Times New Roman"/>
          <w:b/>
          <w:sz w:val="22"/>
          <w:szCs w:val="22"/>
          <w:lang w:val="is-IS"/>
        </w:rPr>
        <w:t xml:space="preserve"> vegna peningaþvættis og fjármögnunar hryðjuverka</w:t>
      </w:r>
    </w:p>
    <w:p w14:paraId="08814AE5" w14:textId="77777777" w:rsidR="00392949" w:rsidRPr="00212C35" w:rsidRDefault="00392949" w:rsidP="00392949">
      <w:pPr>
        <w:jc w:val="center"/>
        <w:rPr>
          <w:rFonts w:ascii="Times" w:hAnsi="Times" w:cs="Times New Roman"/>
          <w:b/>
          <w:sz w:val="22"/>
          <w:szCs w:val="22"/>
          <w:lang w:val="is-IS"/>
        </w:rPr>
      </w:pPr>
    </w:p>
    <w:p w14:paraId="6322F9B2" w14:textId="77777777" w:rsidR="00392949" w:rsidRPr="00212C35" w:rsidRDefault="00392949" w:rsidP="00392949">
      <w:pPr>
        <w:rPr>
          <w:rFonts w:ascii="Times" w:hAnsi="Times" w:cs="Times New Roman"/>
          <w:b/>
          <w:sz w:val="22"/>
          <w:szCs w:val="22"/>
          <w:highlight w:val="yellow"/>
          <w:lang w:val="is-IS"/>
        </w:rPr>
      </w:pPr>
    </w:p>
    <w:p w14:paraId="72B9E871" w14:textId="77777777" w:rsidR="00392949" w:rsidRPr="00212C35" w:rsidRDefault="00392949" w:rsidP="00F837B3">
      <w:pPr>
        <w:rPr>
          <w:rFonts w:ascii="Times" w:hAnsi="Times" w:cs="Times New Roman"/>
          <w:b/>
          <w:sz w:val="22"/>
          <w:szCs w:val="22"/>
          <w:lang w:val="is-IS"/>
        </w:rPr>
      </w:pPr>
    </w:p>
    <w:p w14:paraId="6F17060C" w14:textId="77777777" w:rsidR="00392949" w:rsidRPr="00212C35" w:rsidRDefault="00392949" w:rsidP="00392949">
      <w:pPr>
        <w:rPr>
          <w:rFonts w:ascii="Times" w:hAnsi="Times" w:cs="Times New Roman"/>
          <w:sz w:val="22"/>
          <w:szCs w:val="22"/>
          <w:lang w:val="is-IS"/>
        </w:rPr>
      </w:pPr>
    </w:p>
    <w:p w14:paraId="614FDACA" w14:textId="77777777" w:rsidR="00392949" w:rsidRPr="00212C35" w:rsidRDefault="00392949" w:rsidP="00392949">
      <w:pPr>
        <w:widowControl w:val="0"/>
        <w:autoSpaceDE w:val="0"/>
        <w:autoSpaceDN w:val="0"/>
        <w:adjustRightInd w:val="0"/>
        <w:jc w:val="center"/>
        <w:rPr>
          <w:rFonts w:ascii="Times" w:hAnsi="Times" w:cs="Times New Roman"/>
          <w:color w:val="1D1D1D"/>
          <w:sz w:val="22"/>
          <w:szCs w:val="22"/>
          <w:lang w:val="is-IS"/>
        </w:rPr>
      </w:pPr>
      <w:r w:rsidRPr="00212C35">
        <w:rPr>
          <w:rFonts w:ascii="Times" w:hAnsi="Times" w:cs="Times New Roman"/>
          <w:color w:val="1D1D1D"/>
          <w:sz w:val="22"/>
          <w:szCs w:val="22"/>
          <w:lang w:val="is-IS"/>
        </w:rPr>
        <w:t>1. gr.</w:t>
      </w:r>
    </w:p>
    <w:p w14:paraId="4F896EE5" w14:textId="77777777" w:rsidR="00392949" w:rsidRPr="00212C35" w:rsidRDefault="00392949" w:rsidP="00392949">
      <w:pPr>
        <w:widowControl w:val="0"/>
        <w:autoSpaceDE w:val="0"/>
        <w:autoSpaceDN w:val="0"/>
        <w:adjustRightInd w:val="0"/>
        <w:jc w:val="center"/>
        <w:rPr>
          <w:rFonts w:ascii="Times" w:hAnsi="Times" w:cs="Times New Roman"/>
          <w:i/>
          <w:color w:val="1D1D1D"/>
          <w:sz w:val="22"/>
          <w:szCs w:val="22"/>
          <w:lang w:val="is-IS"/>
        </w:rPr>
      </w:pPr>
      <w:r w:rsidRPr="00212C35">
        <w:rPr>
          <w:rFonts w:ascii="Times" w:hAnsi="Times" w:cs="Times New Roman"/>
          <w:i/>
          <w:iCs/>
          <w:color w:val="1D1D1D"/>
          <w:sz w:val="22"/>
          <w:szCs w:val="22"/>
          <w:lang w:val="is-IS"/>
        </w:rPr>
        <w:t>Gildissvið</w:t>
      </w:r>
    </w:p>
    <w:p w14:paraId="6670162A" w14:textId="77777777" w:rsidR="00392949" w:rsidRPr="00A2779E" w:rsidRDefault="009B29B8" w:rsidP="00A2779E">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sidRPr="00A2779E">
        <w:rPr>
          <w:rFonts w:ascii="Times" w:hAnsi="Times" w:cs="Times New Roman"/>
          <w:color w:val="242424"/>
          <w:sz w:val="22"/>
          <w:szCs w:val="22"/>
          <w:shd w:val="clear" w:color="auto" w:fill="FFFFFF"/>
          <w:lang w:val="is-IS"/>
        </w:rPr>
        <w:t xml:space="preserve">Reglugerðin gildir um tilkynningarskylda aðila skv. 2. gr. laga nr. 140/2018 um aðgerðir gegn peningaþvætti og fjármögnun hryðjuverka. </w:t>
      </w:r>
    </w:p>
    <w:p w14:paraId="210A3E18" w14:textId="77777777" w:rsidR="00392949" w:rsidRPr="00212C35" w:rsidRDefault="00392949" w:rsidP="00392949">
      <w:pPr>
        <w:rPr>
          <w:rFonts w:ascii="Times" w:hAnsi="Times" w:cs="Times New Roman"/>
          <w:sz w:val="22"/>
          <w:szCs w:val="22"/>
          <w:lang w:val="is-IS"/>
        </w:rPr>
      </w:pPr>
    </w:p>
    <w:p w14:paraId="20FCEFD5" w14:textId="074FEBE7" w:rsidR="00F436B3" w:rsidRPr="00212C35" w:rsidRDefault="00F837B3" w:rsidP="00F436B3">
      <w:pPr>
        <w:widowControl w:val="0"/>
        <w:autoSpaceDE w:val="0"/>
        <w:autoSpaceDN w:val="0"/>
        <w:adjustRightInd w:val="0"/>
        <w:jc w:val="center"/>
        <w:rPr>
          <w:rFonts w:ascii="Times" w:hAnsi="Times" w:cs="Times New Roman"/>
          <w:color w:val="1D1D1D"/>
          <w:sz w:val="22"/>
          <w:szCs w:val="22"/>
          <w:lang w:val="is-IS"/>
        </w:rPr>
      </w:pPr>
      <w:r>
        <w:rPr>
          <w:rFonts w:ascii="Times" w:hAnsi="Times" w:cs="Times New Roman"/>
          <w:color w:val="1D1D1D"/>
          <w:sz w:val="22"/>
          <w:szCs w:val="22"/>
          <w:lang w:val="is-IS"/>
        </w:rPr>
        <w:t>2</w:t>
      </w:r>
      <w:r w:rsidR="00F436B3" w:rsidRPr="00212C35">
        <w:rPr>
          <w:rFonts w:ascii="Times" w:hAnsi="Times" w:cs="Times New Roman"/>
          <w:color w:val="1D1D1D"/>
          <w:sz w:val="22"/>
          <w:szCs w:val="22"/>
          <w:lang w:val="is-IS"/>
        </w:rPr>
        <w:t>. gr.</w:t>
      </w:r>
    </w:p>
    <w:p w14:paraId="228976B1" w14:textId="77777777" w:rsidR="00F436B3" w:rsidRPr="00212C35" w:rsidRDefault="00917ED0" w:rsidP="00F436B3">
      <w:pPr>
        <w:widowControl w:val="0"/>
        <w:autoSpaceDE w:val="0"/>
        <w:autoSpaceDN w:val="0"/>
        <w:adjustRightInd w:val="0"/>
        <w:jc w:val="center"/>
        <w:rPr>
          <w:rFonts w:ascii="Times" w:hAnsi="Times" w:cs="Times New Roman"/>
          <w:i/>
          <w:color w:val="1D1D1D"/>
          <w:sz w:val="22"/>
          <w:szCs w:val="22"/>
          <w:lang w:val="is-IS"/>
        </w:rPr>
      </w:pPr>
      <w:r>
        <w:rPr>
          <w:rFonts w:ascii="Times" w:hAnsi="Times" w:cs="Times New Roman"/>
          <w:i/>
          <w:color w:val="1D1D1D"/>
          <w:sz w:val="22"/>
          <w:szCs w:val="22"/>
          <w:lang w:val="is-IS"/>
        </w:rPr>
        <w:t>Skylda til að gera áhættumat</w:t>
      </w:r>
    </w:p>
    <w:p w14:paraId="0E9B17E4" w14:textId="17EE53BB" w:rsidR="00F436B3" w:rsidRDefault="00F436B3" w:rsidP="00F436B3">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sidRPr="00212C35">
        <w:rPr>
          <w:rFonts w:ascii="Times" w:hAnsi="Times" w:cs="Times New Roman"/>
          <w:color w:val="242424"/>
          <w:sz w:val="22"/>
          <w:szCs w:val="22"/>
          <w:shd w:val="clear" w:color="auto" w:fill="FFFFFF"/>
          <w:lang w:val="is-IS"/>
        </w:rPr>
        <w:t>Tilkynningarskyldum aðilum er skylt að gera</w:t>
      </w:r>
      <w:r>
        <w:rPr>
          <w:rFonts w:ascii="Times" w:hAnsi="Times" w:cs="Times New Roman"/>
          <w:color w:val="242424"/>
          <w:sz w:val="22"/>
          <w:szCs w:val="22"/>
          <w:shd w:val="clear" w:color="auto" w:fill="FFFFFF"/>
          <w:lang w:val="is-IS"/>
        </w:rPr>
        <w:t xml:space="preserve"> skriflegt</w:t>
      </w:r>
      <w:r w:rsidRPr="00212C35">
        <w:rPr>
          <w:rFonts w:ascii="Times" w:hAnsi="Times" w:cs="Times New Roman"/>
          <w:color w:val="242424"/>
          <w:sz w:val="22"/>
          <w:szCs w:val="22"/>
          <w:shd w:val="clear" w:color="auto" w:fill="FFFFFF"/>
          <w:lang w:val="is-IS"/>
        </w:rPr>
        <w:t xml:space="preserve"> </w:t>
      </w:r>
      <w:r w:rsidR="00C37CAE">
        <w:rPr>
          <w:rFonts w:ascii="Times" w:hAnsi="Times" w:cs="Times New Roman"/>
          <w:color w:val="242424"/>
          <w:sz w:val="22"/>
          <w:szCs w:val="22"/>
          <w:shd w:val="clear" w:color="auto" w:fill="FFFFFF"/>
          <w:lang w:val="is-IS"/>
        </w:rPr>
        <w:t xml:space="preserve">heildstætt </w:t>
      </w:r>
      <w:r w:rsidRPr="00212C35">
        <w:rPr>
          <w:rFonts w:ascii="Times" w:hAnsi="Times" w:cs="Times New Roman"/>
          <w:color w:val="242424"/>
          <w:sz w:val="22"/>
          <w:szCs w:val="22"/>
          <w:shd w:val="clear" w:color="auto" w:fill="FFFFFF"/>
          <w:lang w:val="is-IS"/>
        </w:rPr>
        <w:t>áhættumat á rekstri sínum og viðskiptum.</w:t>
      </w:r>
      <w:r>
        <w:rPr>
          <w:rFonts w:ascii="Times" w:hAnsi="Times" w:cs="Times New Roman"/>
          <w:color w:val="242424"/>
          <w:sz w:val="22"/>
          <w:szCs w:val="22"/>
          <w:shd w:val="clear" w:color="auto" w:fill="FFFFFF"/>
          <w:lang w:val="is-IS"/>
        </w:rPr>
        <w:t xml:space="preserve"> Áhættumat</w:t>
      </w:r>
      <w:r w:rsidRPr="003318F5">
        <w:rPr>
          <w:rFonts w:ascii="Times" w:hAnsi="Times" w:cs="Times New Roman"/>
          <w:color w:val="242424"/>
          <w:sz w:val="22"/>
          <w:szCs w:val="22"/>
          <w:shd w:val="clear" w:color="auto" w:fill="FFFFFF"/>
          <w:lang w:val="is-IS"/>
        </w:rPr>
        <w:t xml:space="preserve"> felur í sér að bera kennsl á og meta </w:t>
      </w:r>
      <w:r w:rsidR="00592FFF">
        <w:rPr>
          <w:rFonts w:ascii="Times" w:hAnsi="Times" w:cs="Times New Roman"/>
          <w:color w:val="242424"/>
          <w:sz w:val="22"/>
          <w:szCs w:val="22"/>
          <w:shd w:val="clear" w:color="auto" w:fill="FFFFFF"/>
          <w:lang w:val="is-IS"/>
        </w:rPr>
        <w:t>áhættu</w:t>
      </w:r>
      <w:r>
        <w:rPr>
          <w:rFonts w:ascii="Times" w:hAnsi="Times" w:cs="Times New Roman"/>
          <w:color w:val="242424"/>
          <w:sz w:val="22"/>
          <w:szCs w:val="22"/>
          <w:shd w:val="clear" w:color="auto" w:fill="FFFFFF"/>
          <w:lang w:val="is-IS"/>
        </w:rPr>
        <w:t xml:space="preserve"> á peningaþvætti og fjármögnun hryðjuverka</w:t>
      </w:r>
      <w:r w:rsidRPr="003318F5">
        <w:rPr>
          <w:rFonts w:ascii="Times" w:hAnsi="Times" w:cs="Times New Roman"/>
          <w:color w:val="242424"/>
          <w:sz w:val="22"/>
          <w:szCs w:val="22"/>
          <w:shd w:val="clear" w:color="auto" w:fill="FFFFFF"/>
          <w:lang w:val="is-IS"/>
        </w:rPr>
        <w:t xml:space="preserve"> </w:t>
      </w:r>
      <w:r w:rsidR="00592FFF">
        <w:rPr>
          <w:rFonts w:ascii="Times" w:hAnsi="Times" w:cs="Times New Roman"/>
          <w:color w:val="242424"/>
          <w:sz w:val="22"/>
          <w:szCs w:val="22"/>
          <w:shd w:val="clear" w:color="auto" w:fill="FFFFFF"/>
          <w:lang w:val="is-IS"/>
        </w:rPr>
        <w:t>í starfsemi tilkynningarskylds aðila</w:t>
      </w:r>
      <w:r w:rsidR="000376A4">
        <w:rPr>
          <w:rFonts w:ascii="Times" w:hAnsi="Times" w:cs="Times New Roman"/>
          <w:color w:val="242424"/>
          <w:sz w:val="22"/>
          <w:szCs w:val="22"/>
          <w:shd w:val="clear" w:color="auto" w:fill="FFFFFF"/>
          <w:lang w:val="is-IS"/>
        </w:rPr>
        <w:t>, út frá helstu veikleikum og ógnum sem að honum beinast</w:t>
      </w:r>
      <w:r w:rsidRPr="003318F5">
        <w:rPr>
          <w:rFonts w:ascii="Times" w:hAnsi="Times" w:cs="Times New Roman"/>
          <w:color w:val="242424"/>
          <w:sz w:val="22"/>
          <w:szCs w:val="22"/>
          <w:shd w:val="clear" w:color="auto" w:fill="FFFFFF"/>
          <w:lang w:val="is-IS"/>
        </w:rPr>
        <w:t xml:space="preserve">. </w:t>
      </w:r>
      <w:r w:rsidR="00592FFF">
        <w:rPr>
          <w:rFonts w:ascii="Times" w:hAnsi="Times" w:cs="Times New Roman"/>
          <w:color w:val="242424"/>
          <w:sz w:val="22"/>
          <w:szCs w:val="22"/>
          <w:shd w:val="clear" w:color="auto" w:fill="FFFFFF"/>
          <w:lang w:val="is-IS"/>
        </w:rPr>
        <w:t>Nota skal</w:t>
      </w:r>
      <w:r>
        <w:rPr>
          <w:rFonts w:ascii="Times" w:hAnsi="Times" w:cs="Times New Roman"/>
          <w:color w:val="242424"/>
          <w:sz w:val="22"/>
          <w:szCs w:val="22"/>
          <w:shd w:val="clear" w:color="auto" w:fill="FFFFFF"/>
          <w:lang w:val="is-IS"/>
        </w:rPr>
        <w:t xml:space="preserve"> áhættumatið til að útbúa </w:t>
      </w:r>
      <w:r w:rsidRPr="00EA0CF0">
        <w:rPr>
          <w:rFonts w:ascii="Times" w:hAnsi="Times" w:cs="Times New Roman"/>
          <w:color w:val="242424"/>
          <w:sz w:val="22"/>
          <w:szCs w:val="22"/>
          <w:shd w:val="clear" w:color="auto" w:fill="FFFFFF"/>
          <w:lang w:val="is-IS"/>
        </w:rPr>
        <w:t xml:space="preserve">stýringar og verkferla til að draga úr og stýra </w:t>
      </w:r>
      <w:r w:rsidR="00592FFF">
        <w:rPr>
          <w:rFonts w:ascii="Times" w:hAnsi="Times" w:cs="Times New Roman"/>
          <w:color w:val="242424"/>
          <w:sz w:val="22"/>
          <w:szCs w:val="22"/>
          <w:shd w:val="clear" w:color="auto" w:fill="FFFFFF"/>
          <w:lang w:val="is-IS"/>
        </w:rPr>
        <w:t>greind</w:t>
      </w:r>
      <w:r w:rsidR="006D7D4F">
        <w:rPr>
          <w:rFonts w:ascii="Times" w:hAnsi="Times" w:cs="Times New Roman"/>
          <w:color w:val="242424"/>
          <w:sz w:val="22"/>
          <w:szCs w:val="22"/>
          <w:shd w:val="clear" w:color="auto" w:fill="FFFFFF"/>
          <w:lang w:val="is-IS"/>
        </w:rPr>
        <w:t>ri</w:t>
      </w:r>
      <w:r w:rsidR="00592FFF">
        <w:rPr>
          <w:rFonts w:ascii="Times" w:hAnsi="Times" w:cs="Times New Roman"/>
          <w:color w:val="242424"/>
          <w:sz w:val="22"/>
          <w:szCs w:val="22"/>
          <w:shd w:val="clear" w:color="auto" w:fill="FFFFFF"/>
          <w:lang w:val="is-IS"/>
        </w:rPr>
        <w:t xml:space="preserve"> </w:t>
      </w:r>
      <w:r w:rsidRPr="00EA0CF0">
        <w:rPr>
          <w:rFonts w:ascii="Times" w:hAnsi="Times" w:cs="Times New Roman"/>
          <w:color w:val="242424"/>
          <w:sz w:val="22"/>
          <w:szCs w:val="22"/>
          <w:shd w:val="clear" w:color="auto" w:fill="FFFFFF"/>
          <w:lang w:val="is-IS"/>
        </w:rPr>
        <w:t>áhættu</w:t>
      </w:r>
      <w:r w:rsidR="00592FFF">
        <w:rPr>
          <w:rFonts w:ascii="Times" w:hAnsi="Times" w:cs="Times New Roman"/>
          <w:color w:val="242424"/>
          <w:sz w:val="22"/>
          <w:szCs w:val="22"/>
          <w:shd w:val="clear" w:color="auto" w:fill="FFFFFF"/>
          <w:lang w:val="is-IS"/>
        </w:rPr>
        <w:t>.</w:t>
      </w:r>
    </w:p>
    <w:p w14:paraId="0A369C38" w14:textId="77777777" w:rsidR="00C37CAE" w:rsidRDefault="00C37CAE" w:rsidP="00F436B3">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p>
    <w:p w14:paraId="7BBFA2E6" w14:textId="152EFD41" w:rsidR="00965C0F" w:rsidRPr="00212C35" w:rsidRDefault="00F837B3" w:rsidP="00416ED8">
      <w:pPr>
        <w:widowControl w:val="0"/>
        <w:autoSpaceDE w:val="0"/>
        <w:autoSpaceDN w:val="0"/>
        <w:adjustRightInd w:val="0"/>
        <w:jc w:val="center"/>
        <w:rPr>
          <w:rFonts w:ascii="Times" w:hAnsi="Times" w:cs="Times New Roman"/>
          <w:color w:val="1D1D1D"/>
          <w:sz w:val="22"/>
          <w:szCs w:val="22"/>
          <w:lang w:val="is-IS"/>
        </w:rPr>
      </w:pPr>
      <w:r>
        <w:rPr>
          <w:rFonts w:ascii="Times" w:hAnsi="Times" w:cs="Times New Roman"/>
          <w:color w:val="1D1D1D"/>
          <w:sz w:val="22"/>
          <w:szCs w:val="22"/>
          <w:lang w:val="is-IS"/>
        </w:rPr>
        <w:t>3</w:t>
      </w:r>
      <w:r w:rsidR="00965C0F" w:rsidRPr="00212C35">
        <w:rPr>
          <w:rFonts w:ascii="Times" w:hAnsi="Times" w:cs="Times New Roman"/>
          <w:color w:val="1D1D1D"/>
          <w:sz w:val="22"/>
          <w:szCs w:val="22"/>
          <w:lang w:val="is-IS"/>
        </w:rPr>
        <w:t>. gr.</w:t>
      </w:r>
    </w:p>
    <w:p w14:paraId="01D95C07" w14:textId="77777777" w:rsidR="00965C0F" w:rsidRPr="00212C35" w:rsidRDefault="00965C0F" w:rsidP="00416ED8">
      <w:pPr>
        <w:widowControl w:val="0"/>
        <w:autoSpaceDE w:val="0"/>
        <w:autoSpaceDN w:val="0"/>
        <w:adjustRightInd w:val="0"/>
        <w:jc w:val="center"/>
        <w:rPr>
          <w:rFonts w:ascii="Times" w:hAnsi="Times" w:cs="Times New Roman"/>
          <w:i/>
          <w:color w:val="1D1D1D"/>
          <w:sz w:val="22"/>
          <w:szCs w:val="22"/>
          <w:lang w:val="is-IS"/>
        </w:rPr>
      </w:pPr>
      <w:r w:rsidRPr="00212C35">
        <w:rPr>
          <w:rFonts w:ascii="Times" w:hAnsi="Times" w:cs="Times New Roman"/>
          <w:i/>
          <w:color w:val="1D1D1D"/>
          <w:sz w:val="22"/>
          <w:szCs w:val="22"/>
          <w:lang w:val="is-IS"/>
        </w:rPr>
        <w:t>Undanþága frá gerð áhættumats</w:t>
      </w:r>
    </w:p>
    <w:p w14:paraId="0AAC1F6F" w14:textId="77777777" w:rsidR="00965C0F" w:rsidRDefault="00416ED8" w:rsidP="008565F9">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sidRPr="00212C35">
        <w:rPr>
          <w:rFonts w:ascii="Times" w:hAnsi="Times" w:cs="Times New Roman"/>
          <w:color w:val="242424"/>
          <w:sz w:val="22"/>
          <w:szCs w:val="22"/>
          <w:shd w:val="clear" w:color="auto" w:fill="FFFFFF"/>
          <w:lang w:val="is-IS"/>
        </w:rPr>
        <w:t>Eftirlitsaðilar geta veitt undanþágu frá skyldu til að framkvæma áhættumat sé sýnt fram á að tiltekin starfsemi eða viðskipti séu þess eðlis að áhættuþættir eru skýrir og þekktir og viðeigandi ráðstafanir til að draga úr þekktri áhættu eru til staðar. </w:t>
      </w:r>
    </w:p>
    <w:p w14:paraId="083EA339" w14:textId="36E56194" w:rsidR="00487CC0" w:rsidRPr="00212C35" w:rsidRDefault="00487CC0" w:rsidP="008565F9">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Beiðni tilkynningarskylds aðila um undanþágu skv. 1. mgr. skulu fylgja greinagóðar upplýsingar og rökstuðningur</w:t>
      </w:r>
      <w:r w:rsidR="006D7D4F">
        <w:rPr>
          <w:rFonts w:ascii="Times" w:hAnsi="Times" w:cs="Times New Roman"/>
          <w:color w:val="242424"/>
          <w:sz w:val="22"/>
          <w:szCs w:val="22"/>
          <w:shd w:val="clear" w:color="auto" w:fill="FFFFFF"/>
          <w:lang w:val="is-IS"/>
        </w:rPr>
        <w:t xml:space="preserve"> um</w:t>
      </w:r>
      <w:r>
        <w:rPr>
          <w:rFonts w:ascii="Times" w:hAnsi="Times" w:cs="Times New Roman"/>
          <w:color w:val="242424"/>
          <w:sz w:val="22"/>
          <w:szCs w:val="22"/>
          <w:shd w:val="clear" w:color="auto" w:fill="FFFFFF"/>
          <w:lang w:val="is-IS"/>
        </w:rPr>
        <w:t xml:space="preserve"> með hvaða hætti skilyrði ákvæðisins eru uppfyllt.</w:t>
      </w:r>
    </w:p>
    <w:p w14:paraId="66086729" w14:textId="77777777" w:rsidR="00487CC0" w:rsidRDefault="00487CC0" w:rsidP="007E3A12">
      <w:pPr>
        <w:widowControl w:val="0"/>
        <w:autoSpaceDE w:val="0"/>
        <w:autoSpaceDN w:val="0"/>
        <w:adjustRightInd w:val="0"/>
        <w:jc w:val="center"/>
        <w:rPr>
          <w:rFonts w:ascii="Times" w:hAnsi="Times" w:cs="Times New Roman"/>
          <w:color w:val="1D1D1D"/>
          <w:sz w:val="22"/>
          <w:szCs w:val="22"/>
          <w:lang w:val="is-IS"/>
        </w:rPr>
      </w:pPr>
    </w:p>
    <w:p w14:paraId="6B6A79F2" w14:textId="5D20D0B9" w:rsidR="007E3A12" w:rsidRPr="00212C35" w:rsidRDefault="00F837B3" w:rsidP="007E3A12">
      <w:pPr>
        <w:widowControl w:val="0"/>
        <w:autoSpaceDE w:val="0"/>
        <w:autoSpaceDN w:val="0"/>
        <w:adjustRightInd w:val="0"/>
        <w:jc w:val="center"/>
        <w:rPr>
          <w:rFonts w:ascii="Times" w:hAnsi="Times" w:cs="Times New Roman"/>
          <w:color w:val="1D1D1D"/>
          <w:sz w:val="22"/>
          <w:szCs w:val="22"/>
          <w:lang w:val="is-IS"/>
        </w:rPr>
      </w:pPr>
      <w:r>
        <w:rPr>
          <w:rFonts w:ascii="Times" w:hAnsi="Times" w:cs="Times New Roman"/>
          <w:color w:val="1D1D1D"/>
          <w:sz w:val="22"/>
          <w:szCs w:val="22"/>
          <w:lang w:val="is-IS"/>
        </w:rPr>
        <w:t>4</w:t>
      </w:r>
      <w:r w:rsidR="007E3A12" w:rsidRPr="00212C35">
        <w:rPr>
          <w:rFonts w:ascii="Times" w:hAnsi="Times" w:cs="Times New Roman"/>
          <w:color w:val="1D1D1D"/>
          <w:sz w:val="22"/>
          <w:szCs w:val="22"/>
          <w:lang w:val="is-IS"/>
        </w:rPr>
        <w:t>. gr.</w:t>
      </w:r>
    </w:p>
    <w:p w14:paraId="6ED51AFE" w14:textId="77777777" w:rsidR="007E3A12" w:rsidRPr="00212C35" w:rsidRDefault="007E3A12" w:rsidP="007E3A12">
      <w:pPr>
        <w:widowControl w:val="0"/>
        <w:autoSpaceDE w:val="0"/>
        <w:autoSpaceDN w:val="0"/>
        <w:adjustRightInd w:val="0"/>
        <w:jc w:val="center"/>
        <w:rPr>
          <w:rFonts w:ascii="Times" w:hAnsi="Times" w:cs="Times New Roman"/>
          <w:i/>
          <w:color w:val="1D1D1D"/>
          <w:sz w:val="22"/>
          <w:szCs w:val="22"/>
          <w:lang w:val="is-IS"/>
        </w:rPr>
      </w:pPr>
      <w:r w:rsidRPr="00212C35">
        <w:rPr>
          <w:rFonts w:ascii="Times" w:hAnsi="Times" w:cs="Times New Roman"/>
          <w:i/>
          <w:color w:val="1D1D1D"/>
          <w:sz w:val="22"/>
          <w:szCs w:val="22"/>
          <w:lang w:val="is-IS"/>
        </w:rPr>
        <w:t>Aðferðafræði við gerð áhættumats</w:t>
      </w:r>
    </w:p>
    <w:p w14:paraId="4F3C2354" w14:textId="7FE96A09" w:rsidR="00DA5684" w:rsidRDefault="00DA5684" w:rsidP="00CF5B63">
      <w:pPr>
        <w:widowControl w:val="0"/>
        <w:autoSpaceDE w:val="0"/>
        <w:autoSpaceDN w:val="0"/>
        <w:adjustRightInd w:val="0"/>
        <w:ind w:firstLine="284"/>
        <w:jc w:val="both"/>
        <w:rPr>
          <w:rFonts w:ascii="Times" w:hAnsi="Times" w:cs="Times New Roman"/>
          <w:color w:val="1D1D1D"/>
          <w:sz w:val="22"/>
          <w:szCs w:val="22"/>
          <w:lang w:val="is-IS"/>
        </w:rPr>
      </w:pPr>
      <w:r w:rsidRPr="00DA5684">
        <w:rPr>
          <w:rFonts w:ascii="Times" w:hAnsi="Times" w:cs="Times New Roman"/>
          <w:color w:val="1D1D1D"/>
          <w:sz w:val="22"/>
          <w:szCs w:val="22"/>
          <w:lang w:val="is-IS"/>
        </w:rPr>
        <w:t xml:space="preserve">Áður en áhættumat er unnið skal tilkynningarskyldur aðili skjalfesta þá aðferðarfræði sem notuð verður við gerð áhættumatsins. </w:t>
      </w:r>
      <w:r>
        <w:rPr>
          <w:rFonts w:ascii="Times" w:hAnsi="Times" w:cs="Times New Roman"/>
          <w:color w:val="1D1D1D"/>
          <w:sz w:val="22"/>
          <w:szCs w:val="22"/>
          <w:lang w:val="is-IS"/>
        </w:rPr>
        <w:t xml:space="preserve">Þar </w:t>
      </w:r>
      <w:r w:rsidRPr="00DA5684">
        <w:rPr>
          <w:rFonts w:ascii="Times" w:hAnsi="Times" w:cs="Times New Roman"/>
          <w:color w:val="1D1D1D"/>
          <w:sz w:val="22"/>
          <w:szCs w:val="22"/>
          <w:lang w:val="is-IS"/>
        </w:rPr>
        <w:t xml:space="preserve">skal </w:t>
      </w:r>
      <w:r w:rsidR="002A6377">
        <w:rPr>
          <w:rFonts w:ascii="Times" w:hAnsi="Times" w:cs="Times New Roman"/>
          <w:color w:val="1D1D1D"/>
          <w:sz w:val="22"/>
          <w:szCs w:val="22"/>
          <w:lang w:val="is-IS"/>
        </w:rPr>
        <w:t>koma fram með skýrum hætti hvernig matið fer fram, m.a. hvernig bera skal kennsl á áhættuþætti, hvar og hvernig gagna er aflað, hvernig áhættuflokkun fer fram</w:t>
      </w:r>
      <w:r w:rsidR="006D7D4F">
        <w:rPr>
          <w:rFonts w:ascii="Times" w:hAnsi="Times" w:cs="Times New Roman"/>
          <w:color w:val="1D1D1D"/>
          <w:sz w:val="22"/>
          <w:szCs w:val="22"/>
          <w:lang w:val="is-IS"/>
        </w:rPr>
        <w:t xml:space="preserve"> og</w:t>
      </w:r>
      <w:r w:rsidR="00302C12">
        <w:rPr>
          <w:rFonts w:ascii="Times" w:hAnsi="Times" w:cs="Times New Roman"/>
          <w:color w:val="1D1D1D"/>
          <w:sz w:val="22"/>
          <w:szCs w:val="22"/>
          <w:lang w:val="is-IS"/>
        </w:rPr>
        <w:t xml:space="preserve"> hvaða viðmið eru notuð við áhættuflokkun</w:t>
      </w:r>
      <w:r w:rsidR="006D7D4F">
        <w:rPr>
          <w:rFonts w:ascii="Times" w:hAnsi="Times" w:cs="Times New Roman"/>
          <w:color w:val="1D1D1D"/>
          <w:sz w:val="22"/>
          <w:szCs w:val="22"/>
          <w:lang w:val="is-IS"/>
        </w:rPr>
        <w:t>. F</w:t>
      </w:r>
      <w:r w:rsidR="00302C12">
        <w:rPr>
          <w:rFonts w:ascii="Times" w:hAnsi="Times" w:cs="Times New Roman"/>
          <w:color w:val="1D1D1D"/>
          <w:sz w:val="22"/>
          <w:szCs w:val="22"/>
          <w:lang w:val="is-IS"/>
        </w:rPr>
        <w:t xml:space="preserve">æra skal rök fyrir þeirri nálgun sem tilkynningarskyldur aðili kýs að beita við áhættumat sitt. </w:t>
      </w:r>
      <w:r w:rsidR="000E618C" w:rsidRPr="000E618C">
        <w:rPr>
          <w:rFonts w:ascii="Times" w:hAnsi="Times" w:cs="Times New Roman"/>
          <w:color w:val="1D1D1D"/>
          <w:sz w:val="22"/>
          <w:szCs w:val="22"/>
          <w:lang w:val="is-IS"/>
        </w:rPr>
        <w:t>Fara skal fram reglulegt mat á aðferðafræði og hún uppfærð ef tilefni er til.</w:t>
      </w:r>
    </w:p>
    <w:p w14:paraId="51242170" w14:textId="77777777" w:rsidR="00487CC0" w:rsidRDefault="00487CC0">
      <w:pPr>
        <w:rPr>
          <w:rFonts w:ascii="Times" w:hAnsi="Times" w:cs="Times New Roman"/>
          <w:sz w:val="22"/>
          <w:szCs w:val="22"/>
          <w:lang w:val="is-IS"/>
        </w:rPr>
      </w:pPr>
    </w:p>
    <w:p w14:paraId="72239569" w14:textId="0A4CCE5E" w:rsidR="00F303A1" w:rsidRPr="00CF5B63" w:rsidRDefault="00F837B3" w:rsidP="00F303A1">
      <w:pPr>
        <w:jc w:val="center"/>
        <w:rPr>
          <w:rFonts w:ascii="Times" w:hAnsi="Times" w:cs="Times New Roman"/>
          <w:sz w:val="22"/>
          <w:szCs w:val="22"/>
          <w:lang w:val="is-IS"/>
        </w:rPr>
      </w:pPr>
      <w:r>
        <w:rPr>
          <w:rFonts w:ascii="Times" w:hAnsi="Times" w:cs="Times New Roman"/>
          <w:sz w:val="22"/>
          <w:szCs w:val="22"/>
          <w:lang w:val="is-IS"/>
        </w:rPr>
        <w:t>5</w:t>
      </w:r>
      <w:r w:rsidR="00F303A1" w:rsidRPr="00CF5B63">
        <w:rPr>
          <w:rFonts w:ascii="Times" w:hAnsi="Times" w:cs="Times New Roman"/>
          <w:sz w:val="22"/>
          <w:szCs w:val="22"/>
          <w:lang w:val="is-IS"/>
        </w:rPr>
        <w:t>. gr.</w:t>
      </w:r>
    </w:p>
    <w:p w14:paraId="5A27C12C" w14:textId="77777777" w:rsidR="00F303A1" w:rsidRPr="00917ED0" w:rsidRDefault="00F303A1" w:rsidP="00F303A1">
      <w:pPr>
        <w:jc w:val="center"/>
        <w:rPr>
          <w:rFonts w:ascii="Times" w:hAnsi="Times" w:cs="Times New Roman"/>
          <w:i/>
          <w:sz w:val="22"/>
          <w:szCs w:val="22"/>
          <w:lang w:val="is-IS"/>
        </w:rPr>
      </w:pPr>
      <w:r w:rsidRPr="00917ED0">
        <w:rPr>
          <w:rFonts w:ascii="Times" w:hAnsi="Times" w:cs="Times New Roman"/>
          <w:i/>
          <w:sz w:val="22"/>
          <w:szCs w:val="22"/>
          <w:lang w:val="is-IS"/>
        </w:rPr>
        <w:t>Áhættumat</w:t>
      </w:r>
    </w:p>
    <w:p w14:paraId="788A65BB" w14:textId="7E87A82E" w:rsidR="00F303A1" w:rsidRPr="00212C35" w:rsidRDefault="00C37CAE" w:rsidP="00F303A1">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Áhættumat</w:t>
      </w:r>
      <w:r w:rsidR="00F303A1" w:rsidRPr="00212C35">
        <w:rPr>
          <w:rFonts w:ascii="Times" w:hAnsi="Times" w:cs="Times New Roman"/>
          <w:color w:val="242424"/>
          <w:sz w:val="22"/>
          <w:szCs w:val="22"/>
          <w:shd w:val="clear" w:color="auto" w:fill="FFFFFF"/>
          <w:lang w:val="is-IS"/>
        </w:rPr>
        <w:t xml:space="preserve"> skal taka til allra rekstrarþátta tilkynningarskylds aðila</w:t>
      </w:r>
      <w:r w:rsidR="00594998">
        <w:rPr>
          <w:rFonts w:ascii="Times" w:hAnsi="Times" w:cs="Times New Roman"/>
          <w:color w:val="242424"/>
          <w:sz w:val="22"/>
          <w:szCs w:val="22"/>
          <w:shd w:val="clear" w:color="auto" w:fill="FFFFFF"/>
          <w:lang w:val="is-IS"/>
        </w:rPr>
        <w:t xml:space="preserve">, </w:t>
      </w:r>
      <w:r w:rsidR="00594998" w:rsidRPr="00212C35">
        <w:rPr>
          <w:rFonts w:ascii="Times" w:hAnsi="Times" w:cs="Times New Roman"/>
          <w:sz w:val="22"/>
          <w:szCs w:val="22"/>
          <w:lang w:val="is-IS"/>
        </w:rPr>
        <w:t>byggja á heildstæðum, viðeigandi og fullnægjandi gögnum</w:t>
      </w:r>
      <w:r w:rsidR="00594998">
        <w:rPr>
          <w:rFonts w:ascii="Times" w:hAnsi="Times" w:cs="Times New Roman"/>
          <w:sz w:val="22"/>
          <w:szCs w:val="22"/>
          <w:lang w:val="is-IS"/>
        </w:rPr>
        <w:t xml:space="preserve"> og upplýsingum</w:t>
      </w:r>
      <w:r w:rsidR="00F303A1" w:rsidRPr="00212C35">
        <w:rPr>
          <w:rFonts w:ascii="Times" w:hAnsi="Times" w:cs="Times New Roman"/>
          <w:color w:val="242424"/>
          <w:sz w:val="22"/>
          <w:szCs w:val="22"/>
          <w:shd w:val="clear" w:color="auto" w:fill="FFFFFF"/>
          <w:lang w:val="is-IS"/>
        </w:rPr>
        <w:t xml:space="preserve"> og ná til allra mögulegra áhættuþátta sem tengjast peningaþvætti og fjármögnun hryðjuverka. Matið skal m.a. fjalla um áhættu tengda:</w:t>
      </w:r>
    </w:p>
    <w:p w14:paraId="706DB3FC" w14:textId="77777777" w:rsidR="00F303A1" w:rsidRPr="00B574B8" w:rsidRDefault="00F303A1" w:rsidP="00F303A1">
      <w:pPr>
        <w:pStyle w:val="Mlsgreinlista"/>
        <w:widowControl w:val="0"/>
        <w:numPr>
          <w:ilvl w:val="0"/>
          <w:numId w:val="4"/>
        </w:numPr>
        <w:autoSpaceDE w:val="0"/>
        <w:autoSpaceDN w:val="0"/>
        <w:adjustRightInd w:val="0"/>
        <w:jc w:val="both"/>
        <w:rPr>
          <w:rFonts w:ascii="Times" w:hAnsi="Times" w:cs="Times New Roman"/>
          <w:color w:val="242424"/>
          <w:sz w:val="22"/>
          <w:szCs w:val="22"/>
          <w:shd w:val="clear" w:color="auto" w:fill="FFFFFF"/>
          <w:lang w:val="is-IS"/>
        </w:rPr>
      </w:pPr>
      <w:r w:rsidRPr="00212C35">
        <w:rPr>
          <w:rFonts w:ascii="Times" w:hAnsi="Times" w:cs="Times New Roman"/>
          <w:color w:val="242424"/>
          <w:sz w:val="22"/>
          <w:szCs w:val="22"/>
          <w:shd w:val="clear" w:color="auto" w:fill="FFFFFF"/>
          <w:lang w:val="is-IS"/>
        </w:rPr>
        <w:t>viðskiptamönnum,</w:t>
      </w:r>
    </w:p>
    <w:p w14:paraId="3B9ED0E5" w14:textId="77777777" w:rsidR="00F303A1" w:rsidRPr="00212C35" w:rsidRDefault="00F303A1" w:rsidP="00F303A1">
      <w:pPr>
        <w:pStyle w:val="Mlsgreinlista"/>
        <w:widowControl w:val="0"/>
        <w:numPr>
          <w:ilvl w:val="0"/>
          <w:numId w:val="4"/>
        </w:numPr>
        <w:autoSpaceDE w:val="0"/>
        <w:autoSpaceDN w:val="0"/>
        <w:adjustRightInd w:val="0"/>
        <w:jc w:val="both"/>
        <w:rPr>
          <w:rFonts w:ascii="Times" w:hAnsi="Times" w:cs="Times New Roman"/>
          <w:color w:val="242424"/>
          <w:sz w:val="22"/>
          <w:szCs w:val="22"/>
          <w:shd w:val="clear" w:color="auto" w:fill="FFFFFF"/>
          <w:lang w:val="is-IS"/>
        </w:rPr>
      </w:pPr>
      <w:r w:rsidRPr="00212C35">
        <w:rPr>
          <w:rFonts w:ascii="Times" w:hAnsi="Times" w:cs="Times New Roman"/>
          <w:color w:val="242424"/>
          <w:sz w:val="22"/>
          <w:szCs w:val="22"/>
          <w:shd w:val="clear" w:color="auto" w:fill="FFFFFF"/>
          <w:lang w:val="is-IS"/>
        </w:rPr>
        <w:t>viðskiptalöndum og svæðum,</w:t>
      </w:r>
    </w:p>
    <w:p w14:paraId="56C0AEE4" w14:textId="77777777" w:rsidR="00F303A1" w:rsidRPr="00212C35" w:rsidRDefault="00F303A1" w:rsidP="00F303A1">
      <w:pPr>
        <w:pStyle w:val="Mlsgreinlista"/>
        <w:widowControl w:val="0"/>
        <w:numPr>
          <w:ilvl w:val="0"/>
          <w:numId w:val="4"/>
        </w:numPr>
        <w:autoSpaceDE w:val="0"/>
        <w:autoSpaceDN w:val="0"/>
        <w:adjustRightInd w:val="0"/>
        <w:jc w:val="both"/>
        <w:rPr>
          <w:rFonts w:ascii="Times" w:hAnsi="Times" w:cs="Times New Roman"/>
          <w:color w:val="242424"/>
          <w:sz w:val="22"/>
          <w:szCs w:val="22"/>
          <w:shd w:val="clear" w:color="auto" w:fill="FFFFFF"/>
          <w:lang w:val="is-IS"/>
        </w:rPr>
      </w:pPr>
      <w:r w:rsidRPr="00212C35">
        <w:rPr>
          <w:rFonts w:ascii="Times" w:hAnsi="Times" w:cs="Times New Roman"/>
          <w:color w:val="242424"/>
          <w:sz w:val="22"/>
          <w:szCs w:val="22"/>
          <w:shd w:val="clear" w:color="auto" w:fill="FFFFFF"/>
          <w:lang w:val="is-IS"/>
        </w:rPr>
        <w:t>vörum, þjónustu og viðskiptum,</w:t>
      </w:r>
    </w:p>
    <w:p w14:paraId="39024888" w14:textId="77777777" w:rsidR="00F303A1" w:rsidRPr="00212C35" w:rsidRDefault="00F303A1" w:rsidP="00F303A1">
      <w:pPr>
        <w:pStyle w:val="Mlsgreinlista"/>
        <w:widowControl w:val="0"/>
        <w:numPr>
          <w:ilvl w:val="0"/>
          <w:numId w:val="4"/>
        </w:numPr>
        <w:autoSpaceDE w:val="0"/>
        <w:autoSpaceDN w:val="0"/>
        <w:adjustRightInd w:val="0"/>
        <w:jc w:val="both"/>
        <w:rPr>
          <w:rFonts w:ascii="Times" w:hAnsi="Times" w:cs="Times New Roman"/>
          <w:color w:val="242424"/>
          <w:sz w:val="22"/>
          <w:szCs w:val="22"/>
          <w:shd w:val="clear" w:color="auto" w:fill="FFFFFF"/>
          <w:lang w:val="is-IS"/>
        </w:rPr>
      </w:pPr>
      <w:r w:rsidRPr="00212C35">
        <w:rPr>
          <w:rFonts w:ascii="Times" w:hAnsi="Times" w:cs="Times New Roman"/>
          <w:color w:val="242424"/>
          <w:sz w:val="22"/>
          <w:szCs w:val="22"/>
          <w:shd w:val="clear" w:color="auto" w:fill="FFFFFF"/>
          <w:lang w:val="is-IS"/>
        </w:rPr>
        <w:t xml:space="preserve">dreifileiðum og </w:t>
      </w:r>
    </w:p>
    <w:p w14:paraId="27A54BDF" w14:textId="77777777" w:rsidR="00F303A1" w:rsidRPr="00212C35" w:rsidRDefault="00F303A1" w:rsidP="00F303A1">
      <w:pPr>
        <w:pStyle w:val="Mlsgreinlista"/>
        <w:widowControl w:val="0"/>
        <w:numPr>
          <w:ilvl w:val="0"/>
          <w:numId w:val="4"/>
        </w:numPr>
        <w:autoSpaceDE w:val="0"/>
        <w:autoSpaceDN w:val="0"/>
        <w:adjustRightInd w:val="0"/>
        <w:jc w:val="both"/>
        <w:rPr>
          <w:rFonts w:ascii="Times" w:hAnsi="Times" w:cs="Times New Roman"/>
          <w:color w:val="242424"/>
          <w:sz w:val="22"/>
          <w:szCs w:val="22"/>
          <w:shd w:val="clear" w:color="auto" w:fill="FFFFFF"/>
          <w:lang w:val="is-IS"/>
        </w:rPr>
      </w:pPr>
      <w:r w:rsidRPr="00212C35">
        <w:rPr>
          <w:rFonts w:ascii="Times" w:hAnsi="Times" w:cs="Times New Roman"/>
          <w:color w:val="242424"/>
          <w:sz w:val="22"/>
          <w:szCs w:val="22"/>
          <w:shd w:val="clear" w:color="auto" w:fill="FFFFFF"/>
          <w:lang w:val="is-IS"/>
        </w:rPr>
        <w:t>tækni.</w:t>
      </w:r>
    </w:p>
    <w:p w14:paraId="0B5C61E9" w14:textId="77777777" w:rsidR="001E5DB7" w:rsidRDefault="001E5DB7" w:rsidP="00727E01">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Ávallt skal framkvæma skjalfest</w:t>
      </w:r>
      <w:r w:rsidRPr="006D0202">
        <w:rPr>
          <w:rFonts w:ascii="Times" w:hAnsi="Times" w:cs="Times New Roman"/>
          <w:color w:val="242424"/>
          <w:sz w:val="22"/>
          <w:szCs w:val="22"/>
          <w:shd w:val="clear" w:color="auto" w:fill="FFFFFF"/>
          <w:lang w:val="is-IS"/>
        </w:rPr>
        <w:t xml:space="preserve"> áhættumat áður en </w:t>
      </w:r>
      <w:r>
        <w:rPr>
          <w:rFonts w:ascii="Times" w:hAnsi="Times" w:cs="Times New Roman"/>
          <w:color w:val="242424"/>
          <w:sz w:val="22"/>
          <w:szCs w:val="22"/>
          <w:shd w:val="clear" w:color="auto" w:fill="FFFFFF"/>
          <w:lang w:val="is-IS"/>
        </w:rPr>
        <w:t xml:space="preserve">boðið er upp á </w:t>
      </w:r>
      <w:r w:rsidRPr="006D0202">
        <w:rPr>
          <w:rFonts w:ascii="Times" w:hAnsi="Times" w:cs="Times New Roman"/>
          <w:color w:val="242424"/>
          <w:sz w:val="22"/>
          <w:szCs w:val="22"/>
          <w:shd w:val="clear" w:color="auto" w:fill="FFFFFF"/>
          <w:lang w:val="is-IS"/>
        </w:rPr>
        <w:t>nýjar vörur eða þjónust</w:t>
      </w:r>
      <w:r>
        <w:rPr>
          <w:rFonts w:ascii="Times" w:hAnsi="Times" w:cs="Times New Roman"/>
          <w:color w:val="242424"/>
          <w:sz w:val="22"/>
          <w:szCs w:val="22"/>
          <w:shd w:val="clear" w:color="auto" w:fill="FFFFFF"/>
          <w:lang w:val="is-IS"/>
        </w:rPr>
        <w:t>u</w:t>
      </w:r>
      <w:r w:rsidRPr="006D0202">
        <w:rPr>
          <w:rFonts w:ascii="Times" w:hAnsi="Times" w:cs="Times New Roman"/>
          <w:color w:val="242424"/>
          <w:sz w:val="22"/>
          <w:szCs w:val="22"/>
          <w:shd w:val="clear" w:color="auto" w:fill="FFFFFF"/>
          <w:lang w:val="is-IS"/>
        </w:rPr>
        <w:t xml:space="preserve"> og þegar teknar eru í notkun nýjar dreifileiðir og ný tækni</w:t>
      </w:r>
      <w:r>
        <w:rPr>
          <w:rFonts w:ascii="Times" w:hAnsi="Times" w:cs="Times New Roman"/>
          <w:color w:val="242424"/>
          <w:sz w:val="22"/>
          <w:szCs w:val="22"/>
          <w:shd w:val="clear" w:color="auto" w:fill="FFFFFF"/>
          <w:lang w:val="is-IS"/>
        </w:rPr>
        <w:t xml:space="preserve">. </w:t>
      </w:r>
    </w:p>
    <w:p w14:paraId="7224EE73" w14:textId="77777777" w:rsidR="00F303A1" w:rsidRPr="00212C35" w:rsidRDefault="00F303A1" w:rsidP="00727E01">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sidRPr="00212C35">
        <w:rPr>
          <w:rFonts w:ascii="Times" w:hAnsi="Times" w:cs="Times New Roman"/>
          <w:color w:val="242424"/>
          <w:sz w:val="22"/>
          <w:szCs w:val="22"/>
          <w:shd w:val="clear" w:color="auto" w:fill="FFFFFF"/>
          <w:lang w:val="is-IS"/>
        </w:rPr>
        <w:t xml:space="preserve">Áhættumat skal taka mið af stærð, eðli og umfangi starfsemi tilkynningarskyldra aðila og </w:t>
      </w:r>
      <w:proofErr w:type="spellStart"/>
      <w:r w:rsidRPr="00212C35">
        <w:rPr>
          <w:rFonts w:ascii="Times" w:hAnsi="Times" w:cs="Times New Roman"/>
          <w:color w:val="242424"/>
          <w:sz w:val="22"/>
          <w:szCs w:val="22"/>
          <w:shd w:val="clear" w:color="auto" w:fill="FFFFFF"/>
          <w:lang w:val="is-IS"/>
        </w:rPr>
        <w:t>margbreytileika</w:t>
      </w:r>
      <w:proofErr w:type="spellEnd"/>
      <w:r w:rsidRPr="00212C35">
        <w:rPr>
          <w:rFonts w:ascii="Times" w:hAnsi="Times" w:cs="Times New Roman"/>
          <w:color w:val="242424"/>
          <w:sz w:val="22"/>
          <w:szCs w:val="22"/>
          <w:shd w:val="clear" w:color="auto" w:fill="FFFFFF"/>
          <w:lang w:val="is-IS"/>
        </w:rPr>
        <w:t xml:space="preserve"> starfseminnar.</w:t>
      </w:r>
      <w:r w:rsidR="00727E01">
        <w:rPr>
          <w:rFonts w:ascii="Times" w:hAnsi="Times" w:cs="Times New Roman"/>
          <w:color w:val="242424"/>
          <w:sz w:val="22"/>
          <w:szCs w:val="22"/>
          <w:shd w:val="clear" w:color="auto" w:fill="FFFFFF"/>
          <w:lang w:val="is-IS"/>
        </w:rPr>
        <w:t xml:space="preserve"> </w:t>
      </w:r>
      <w:r w:rsidR="00B975CA">
        <w:rPr>
          <w:rFonts w:ascii="Times" w:hAnsi="Times" w:cs="Times New Roman"/>
          <w:color w:val="242424"/>
          <w:sz w:val="22"/>
          <w:szCs w:val="22"/>
          <w:shd w:val="clear" w:color="auto" w:fill="FFFFFF"/>
          <w:lang w:val="is-IS"/>
        </w:rPr>
        <w:t>Áhættumat t</w:t>
      </w:r>
      <w:r w:rsidRPr="00212C35">
        <w:rPr>
          <w:rFonts w:ascii="Times" w:hAnsi="Times" w:cs="Times New Roman"/>
          <w:color w:val="242424"/>
          <w:sz w:val="22"/>
          <w:szCs w:val="22"/>
          <w:shd w:val="clear" w:color="auto" w:fill="FFFFFF"/>
          <w:lang w:val="is-IS"/>
        </w:rPr>
        <w:t>ilkynningarskyl</w:t>
      </w:r>
      <w:r w:rsidR="00B975CA">
        <w:rPr>
          <w:rFonts w:ascii="Times" w:hAnsi="Times" w:cs="Times New Roman"/>
          <w:color w:val="242424"/>
          <w:sz w:val="22"/>
          <w:szCs w:val="22"/>
          <w:shd w:val="clear" w:color="auto" w:fill="FFFFFF"/>
          <w:lang w:val="is-IS"/>
        </w:rPr>
        <w:t>dra</w:t>
      </w:r>
      <w:r w:rsidRPr="00212C35">
        <w:rPr>
          <w:rFonts w:ascii="Times" w:hAnsi="Times" w:cs="Times New Roman"/>
          <w:color w:val="242424"/>
          <w:sz w:val="22"/>
          <w:szCs w:val="22"/>
          <w:shd w:val="clear" w:color="auto" w:fill="FFFFFF"/>
          <w:lang w:val="is-IS"/>
        </w:rPr>
        <w:t xml:space="preserve"> aðil</w:t>
      </w:r>
      <w:r w:rsidR="00B975CA">
        <w:rPr>
          <w:rFonts w:ascii="Times" w:hAnsi="Times" w:cs="Times New Roman"/>
          <w:color w:val="242424"/>
          <w:sz w:val="22"/>
          <w:szCs w:val="22"/>
          <w:shd w:val="clear" w:color="auto" w:fill="FFFFFF"/>
          <w:lang w:val="is-IS"/>
        </w:rPr>
        <w:t>a</w:t>
      </w:r>
      <w:r w:rsidR="00260FF0">
        <w:rPr>
          <w:rFonts w:ascii="Times" w:hAnsi="Times" w:cs="Times New Roman"/>
          <w:color w:val="242424"/>
          <w:sz w:val="22"/>
          <w:szCs w:val="22"/>
          <w:shd w:val="clear" w:color="auto" w:fill="FFFFFF"/>
          <w:lang w:val="is-IS"/>
        </w:rPr>
        <w:t>,</w:t>
      </w:r>
      <w:r w:rsidRPr="00212C35">
        <w:rPr>
          <w:rFonts w:ascii="Times" w:hAnsi="Times" w:cs="Times New Roman"/>
          <w:color w:val="242424"/>
          <w:sz w:val="22"/>
          <w:szCs w:val="22"/>
          <w:shd w:val="clear" w:color="auto" w:fill="FFFFFF"/>
          <w:lang w:val="is-IS"/>
        </w:rPr>
        <w:t xml:space="preserve"> sem stunda einsleita og einfalda starfsemi þar sem áhætta er vel þekkt </w:t>
      </w:r>
      <w:r w:rsidR="00D766C9">
        <w:rPr>
          <w:rFonts w:ascii="Times" w:hAnsi="Times" w:cs="Times New Roman"/>
          <w:color w:val="242424"/>
          <w:sz w:val="22"/>
          <w:szCs w:val="22"/>
          <w:shd w:val="clear" w:color="auto" w:fill="FFFFFF"/>
          <w:lang w:val="is-IS"/>
        </w:rPr>
        <w:t xml:space="preserve">eða </w:t>
      </w:r>
      <w:r w:rsidR="00B975CA">
        <w:rPr>
          <w:rFonts w:ascii="Times" w:hAnsi="Times" w:cs="Times New Roman"/>
          <w:color w:val="242424"/>
          <w:sz w:val="22"/>
          <w:szCs w:val="22"/>
          <w:shd w:val="clear" w:color="auto" w:fill="FFFFFF"/>
          <w:lang w:val="is-IS"/>
        </w:rPr>
        <w:t xml:space="preserve">stunda </w:t>
      </w:r>
      <w:r w:rsidR="00693E87">
        <w:rPr>
          <w:rFonts w:ascii="Times" w:hAnsi="Times" w:cs="Times New Roman"/>
          <w:color w:val="242424"/>
          <w:sz w:val="22"/>
          <w:szCs w:val="22"/>
          <w:shd w:val="clear" w:color="auto" w:fill="FFFFFF"/>
          <w:lang w:val="is-IS"/>
        </w:rPr>
        <w:t>starfsemi</w:t>
      </w:r>
      <w:r w:rsidR="00D766C9">
        <w:rPr>
          <w:rFonts w:ascii="Times" w:hAnsi="Times" w:cs="Times New Roman"/>
          <w:color w:val="242424"/>
          <w:sz w:val="22"/>
          <w:szCs w:val="22"/>
          <w:shd w:val="clear" w:color="auto" w:fill="FFFFFF"/>
          <w:lang w:val="is-IS"/>
        </w:rPr>
        <w:t xml:space="preserve"> </w:t>
      </w:r>
      <w:r w:rsidR="00B975CA">
        <w:rPr>
          <w:rFonts w:ascii="Times" w:hAnsi="Times" w:cs="Times New Roman"/>
          <w:color w:val="242424"/>
          <w:sz w:val="22"/>
          <w:szCs w:val="22"/>
          <w:shd w:val="clear" w:color="auto" w:fill="FFFFFF"/>
          <w:lang w:val="is-IS"/>
        </w:rPr>
        <w:t>sem</w:t>
      </w:r>
      <w:r w:rsidR="00856462">
        <w:rPr>
          <w:rFonts w:ascii="Times" w:hAnsi="Times" w:cs="Times New Roman"/>
          <w:color w:val="242424"/>
          <w:sz w:val="22"/>
          <w:szCs w:val="22"/>
          <w:shd w:val="clear" w:color="auto" w:fill="FFFFFF"/>
          <w:lang w:val="is-IS"/>
        </w:rPr>
        <w:t xml:space="preserve"> er eingöngu </w:t>
      </w:r>
      <w:r w:rsidR="00D766C9">
        <w:rPr>
          <w:rFonts w:ascii="Times" w:hAnsi="Times" w:cs="Times New Roman"/>
          <w:color w:val="242424"/>
          <w:sz w:val="22"/>
          <w:szCs w:val="22"/>
          <w:shd w:val="clear" w:color="auto" w:fill="FFFFFF"/>
          <w:lang w:val="is-IS"/>
        </w:rPr>
        <w:t>bundin við</w:t>
      </w:r>
      <w:r w:rsidR="00FF6985">
        <w:rPr>
          <w:rFonts w:ascii="Times" w:hAnsi="Times" w:cs="Times New Roman"/>
          <w:color w:val="242424"/>
          <w:sz w:val="22"/>
          <w:szCs w:val="22"/>
          <w:shd w:val="clear" w:color="auto" w:fill="FFFFFF"/>
          <w:lang w:val="is-IS"/>
        </w:rPr>
        <w:t xml:space="preserve"> áhættulítil</w:t>
      </w:r>
      <w:r w:rsidR="00D766C9">
        <w:rPr>
          <w:rFonts w:ascii="Times" w:hAnsi="Times" w:cs="Times New Roman"/>
          <w:color w:val="242424"/>
          <w:sz w:val="22"/>
          <w:szCs w:val="22"/>
          <w:shd w:val="clear" w:color="auto" w:fill="FFFFFF"/>
          <w:lang w:val="is-IS"/>
        </w:rPr>
        <w:t xml:space="preserve"> innlend viðskipti, </w:t>
      </w:r>
      <w:r w:rsidR="00B975CA">
        <w:rPr>
          <w:rFonts w:ascii="Times" w:hAnsi="Times" w:cs="Times New Roman"/>
          <w:color w:val="242424"/>
          <w:sz w:val="22"/>
          <w:szCs w:val="22"/>
          <w:shd w:val="clear" w:color="auto" w:fill="FFFFFF"/>
          <w:lang w:val="is-IS"/>
        </w:rPr>
        <w:t>þarf hvorki að vera ítarlegt n</w:t>
      </w:r>
      <w:r w:rsidR="00727E01">
        <w:rPr>
          <w:rFonts w:ascii="Times" w:hAnsi="Times" w:cs="Times New Roman"/>
          <w:color w:val="242424"/>
          <w:sz w:val="22"/>
          <w:szCs w:val="22"/>
          <w:shd w:val="clear" w:color="auto" w:fill="FFFFFF"/>
          <w:lang w:val="is-IS"/>
        </w:rPr>
        <w:t>é</w:t>
      </w:r>
      <w:r w:rsidR="00B975CA">
        <w:rPr>
          <w:rFonts w:ascii="Times" w:hAnsi="Times" w:cs="Times New Roman"/>
          <w:color w:val="242424"/>
          <w:sz w:val="22"/>
          <w:szCs w:val="22"/>
          <w:shd w:val="clear" w:color="auto" w:fill="FFFFFF"/>
          <w:lang w:val="is-IS"/>
        </w:rPr>
        <w:t xml:space="preserve"> margbrotið. </w:t>
      </w:r>
    </w:p>
    <w:p w14:paraId="0DDCA492" w14:textId="77777777" w:rsidR="009F046D" w:rsidRPr="00B975CA" w:rsidRDefault="009F046D" w:rsidP="00693831">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sidRPr="00B975CA">
        <w:rPr>
          <w:rFonts w:ascii="Times" w:hAnsi="Times" w:cs="Times New Roman"/>
          <w:color w:val="242424"/>
          <w:sz w:val="22"/>
          <w:szCs w:val="22"/>
          <w:shd w:val="clear" w:color="auto" w:fill="FFFFFF"/>
          <w:lang w:val="is-IS"/>
        </w:rPr>
        <w:t>Við gerð áhættumats skal:</w:t>
      </w:r>
    </w:p>
    <w:p w14:paraId="64A23301" w14:textId="77777777" w:rsidR="009F046D" w:rsidRPr="00212C35" w:rsidRDefault="009F046D" w:rsidP="00693831">
      <w:pPr>
        <w:pStyle w:val="Mlsgreinlista"/>
        <w:numPr>
          <w:ilvl w:val="0"/>
          <w:numId w:val="5"/>
        </w:numPr>
        <w:jc w:val="both"/>
        <w:rPr>
          <w:rFonts w:ascii="Times" w:hAnsi="Times" w:cs="Times New Roman"/>
          <w:sz w:val="22"/>
          <w:szCs w:val="22"/>
          <w:lang w:val="is-IS"/>
        </w:rPr>
      </w:pPr>
      <w:r w:rsidRPr="00212C35">
        <w:rPr>
          <w:rFonts w:ascii="Times" w:hAnsi="Times" w:cs="Times New Roman"/>
          <w:sz w:val="22"/>
          <w:szCs w:val="22"/>
          <w:lang w:val="is-IS"/>
        </w:rPr>
        <w:t>skilgreina áhættuþætti</w:t>
      </w:r>
      <w:r>
        <w:rPr>
          <w:rFonts w:ascii="Times" w:hAnsi="Times" w:cs="Times New Roman"/>
          <w:sz w:val="22"/>
          <w:szCs w:val="22"/>
          <w:lang w:val="is-IS"/>
        </w:rPr>
        <w:t xml:space="preserve"> í teng</w:t>
      </w:r>
      <w:r w:rsidR="00EB6B63">
        <w:rPr>
          <w:rFonts w:ascii="Times" w:hAnsi="Times" w:cs="Times New Roman"/>
          <w:sz w:val="22"/>
          <w:szCs w:val="22"/>
          <w:lang w:val="is-IS"/>
        </w:rPr>
        <w:t>s</w:t>
      </w:r>
      <w:r>
        <w:rPr>
          <w:rFonts w:ascii="Times" w:hAnsi="Times" w:cs="Times New Roman"/>
          <w:sz w:val="22"/>
          <w:szCs w:val="22"/>
          <w:lang w:val="is-IS"/>
        </w:rPr>
        <w:t xml:space="preserve">lum við </w:t>
      </w:r>
      <w:r w:rsidRPr="00400D81">
        <w:rPr>
          <w:rFonts w:ascii="Times" w:hAnsi="Times" w:cs="Times New Roman"/>
          <w:sz w:val="22"/>
          <w:szCs w:val="22"/>
          <w:lang w:val="is-IS"/>
        </w:rPr>
        <w:t>peningaþvætti og fjármögnun hryðjuverka</w:t>
      </w:r>
      <w:r w:rsidRPr="00212C35">
        <w:rPr>
          <w:rFonts w:ascii="Times" w:hAnsi="Times" w:cs="Times New Roman"/>
          <w:sz w:val="22"/>
          <w:szCs w:val="22"/>
          <w:lang w:val="is-IS"/>
        </w:rPr>
        <w:t xml:space="preserve">, </w:t>
      </w:r>
    </w:p>
    <w:p w14:paraId="3D8B8F85" w14:textId="6BE7DE53" w:rsidR="009F046D" w:rsidRPr="00212C35" w:rsidRDefault="009F046D" w:rsidP="00693831">
      <w:pPr>
        <w:pStyle w:val="Mlsgreinlista"/>
        <w:numPr>
          <w:ilvl w:val="0"/>
          <w:numId w:val="5"/>
        </w:numPr>
        <w:jc w:val="both"/>
        <w:rPr>
          <w:rFonts w:ascii="Times" w:hAnsi="Times" w:cs="Times New Roman"/>
          <w:sz w:val="22"/>
          <w:szCs w:val="22"/>
          <w:lang w:val="is-IS"/>
        </w:rPr>
      </w:pPr>
      <w:r w:rsidRPr="00212C35">
        <w:rPr>
          <w:rFonts w:ascii="Times" w:hAnsi="Times" w:cs="Times New Roman"/>
          <w:sz w:val="22"/>
          <w:szCs w:val="22"/>
          <w:lang w:val="is-IS"/>
        </w:rPr>
        <w:t xml:space="preserve">afla viðeigandi upplýsinga </w:t>
      </w:r>
      <w:r>
        <w:rPr>
          <w:rFonts w:ascii="Times" w:hAnsi="Times" w:cs="Times New Roman"/>
          <w:sz w:val="22"/>
          <w:szCs w:val="22"/>
          <w:lang w:val="is-IS"/>
        </w:rPr>
        <w:t>og gagna</w:t>
      </w:r>
      <w:r w:rsidR="00E3309E">
        <w:rPr>
          <w:rFonts w:ascii="Times" w:hAnsi="Times" w:cs="Times New Roman"/>
          <w:sz w:val="22"/>
          <w:szCs w:val="22"/>
          <w:lang w:val="is-IS"/>
        </w:rPr>
        <w:t xml:space="preserve"> sem nýtast við gerð áhættumats; og</w:t>
      </w:r>
    </w:p>
    <w:p w14:paraId="2E0DB935" w14:textId="77777777" w:rsidR="009F046D" w:rsidRDefault="009F046D" w:rsidP="00693831">
      <w:pPr>
        <w:pStyle w:val="Mlsgreinlista"/>
        <w:numPr>
          <w:ilvl w:val="0"/>
          <w:numId w:val="5"/>
        </w:numPr>
        <w:jc w:val="both"/>
        <w:rPr>
          <w:rFonts w:ascii="Times" w:hAnsi="Times" w:cs="Times New Roman"/>
          <w:sz w:val="22"/>
          <w:szCs w:val="22"/>
          <w:lang w:val="is-IS"/>
        </w:rPr>
      </w:pPr>
      <w:r w:rsidRPr="00212C35">
        <w:rPr>
          <w:rFonts w:ascii="Times" w:hAnsi="Times" w:cs="Times New Roman"/>
          <w:sz w:val="22"/>
          <w:szCs w:val="22"/>
          <w:lang w:val="is-IS"/>
        </w:rPr>
        <w:t>greina eðli, umfang og líkur á peningaþvætti og fjármögnun hryðjuverka</w:t>
      </w:r>
      <w:r w:rsidR="00A633A0">
        <w:rPr>
          <w:rFonts w:ascii="Times" w:hAnsi="Times" w:cs="Times New Roman"/>
          <w:sz w:val="22"/>
          <w:szCs w:val="22"/>
          <w:lang w:val="is-IS"/>
        </w:rPr>
        <w:t>.</w:t>
      </w:r>
    </w:p>
    <w:p w14:paraId="5F870290" w14:textId="77777777" w:rsidR="009F046D" w:rsidRPr="00E91E95" w:rsidRDefault="009F046D" w:rsidP="00693831">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sidRPr="00E91E95">
        <w:rPr>
          <w:rFonts w:ascii="Times" w:hAnsi="Times" w:cs="Times New Roman"/>
          <w:color w:val="242424"/>
          <w:sz w:val="22"/>
          <w:szCs w:val="22"/>
          <w:shd w:val="clear" w:color="auto" w:fill="FFFFFF"/>
          <w:lang w:val="is-IS"/>
        </w:rPr>
        <w:lastRenderedPageBreak/>
        <w:t xml:space="preserve">Áhættumatið á að endurspegla hættu á peningaþvætti og fjármögnun hryðjuverka í starfsemi tilkynningarskylds aðila og þær stýringar og aðferðir sem notaðar eru til að draga úr áhættunni. </w:t>
      </w:r>
    </w:p>
    <w:p w14:paraId="597A461F" w14:textId="77777777" w:rsidR="009F046D" w:rsidRPr="005B1293" w:rsidRDefault="009F046D" w:rsidP="00693831">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sidRPr="005B1293">
        <w:rPr>
          <w:rFonts w:ascii="Times" w:hAnsi="Times" w:cs="Times New Roman"/>
          <w:color w:val="242424"/>
          <w:sz w:val="22"/>
          <w:szCs w:val="22"/>
          <w:shd w:val="clear" w:color="auto" w:fill="FFFFFF"/>
          <w:lang w:val="is-IS"/>
        </w:rPr>
        <w:t>Í áhættumati skal m.a. fjallað um:</w:t>
      </w:r>
    </w:p>
    <w:p w14:paraId="42E0FE1C" w14:textId="77777777" w:rsidR="0073171C" w:rsidRPr="00212C35" w:rsidRDefault="0073171C" w:rsidP="0073171C">
      <w:pPr>
        <w:pStyle w:val="Mlsgreinlista"/>
        <w:numPr>
          <w:ilvl w:val="0"/>
          <w:numId w:val="6"/>
        </w:numPr>
        <w:jc w:val="both"/>
        <w:rPr>
          <w:rFonts w:ascii="Times" w:hAnsi="Times" w:cs="Times New Roman"/>
          <w:sz w:val="22"/>
          <w:szCs w:val="22"/>
          <w:lang w:val="is-IS"/>
        </w:rPr>
      </w:pPr>
      <w:r>
        <w:rPr>
          <w:rFonts w:ascii="Times" w:hAnsi="Times" w:cs="Times New Roman"/>
          <w:sz w:val="22"/>
          <w:szCs w:val="22"/>
          <w:lang w:val="is-IS"/>
        </w:rPr>
        <w:t>greiningu á því hvar lítil og mikil áhætta er í rekstrinum</w:t>
      </w:r>
      <w:r w:rsidRPr="00212C35">
        <w:rPr>
          <w:rFonts w:ascii="Times" w:hAnsi="Times" w:cs="Times New Roman"/>
          <w:sz w:val="22"/>
          <w:szCs w:val="22"/>
          <w:lang w:val="is-IS"/>
        </w:rPr>
        <w:t xml:space="preserve"> og forsendur þeirrar niðurstöðu,</w:t>
      </w:r>
    </w:p>
    <w:p w14:paraId="4C8152C2" w14:textId="77777777" w:rsidR="009F046D" w:rsidRPr="00212C35" w:rsidRDefault="009F046D" w:rsidP="00693831">
      <w:pPr>
        <w:pStyle w:val="Mlsgreinlista"/>
        <w:numPr>
          <w:ilvl w:val="0"/>
          <w:numId w:val="6"/>
        </w:numPr>
        <w:jc w:val="both"/>
        <w:rPr>
          <w:rFonts w:ascii="Times" w:hAnsi="Times" w:cs="Times New Roman"/>
          <w:sz w:val="22"/>
          <w:szCs w:val="22"/>
          <w:lang w:val="is-IS"/>
        </w:rPr>
      </w:pPr>
      <w:r w:rsidRPr="00212C35">
        <w:rPr>
          <w:rFonts w:ascii="Times" w:hAnsi="Times" w:cs="Times New Roman"/>
          <w:sz w:val="22"/>
          <w:szCs w:val="22"/>
          <w:lang w:val="is-IS"/>
        </w:rPr>
        <w:t>áhættu</w:t>
      </w:r>
      <w:r>
        <w:rPr>
          <w:rFonts w:ascii="Times" w:hAnsi="Times" w:cs="Times New Roman"/>
          <w:sz w:val="22"/>
          <w:szCs w:val="22"/>
          <w:lang w:val="is-IS"/>
        </w:rPr>
        <w:t>flokkun</w:t>
      </w:r>
      <w:r w:rsidRPr="00212C35">
        <w:rPr>
          <w:rFonts w:ascii="Times" w:hAnsi="Times" w:cs="Times New Roman"/>
          <w:sz w:val="22"/>
          <w:szCs w:val="22"/>
          <w:lang w:val="is-IS"/>
        </w:rPr>
        <w:t>,</w:t>
      </w:r>
      <w:r w:rsidR="00CA7E20">
        <w:rPr>
          <w:rFonts w:ascii="Times" w:hAnsi="Times" w:cs="Times New Roman"/>
          <w:sz w:val="22"/>
          <w:szCs w:val="22"/>
          <w:lang w:val="is-IS"/>
        </w:rPr>
        <w:t xml:space="preserve"> </w:t>
      </w:r>
    </w:p>
    <w:p w14:paraId="1850CD79" w14:textId="77777777" w:rsidR="009F046D" w:rsidRDefault="009F046D" w:rsidP="00693831">
      <w:pPr>
        <w:pStyle w:val="Mlsgreinlista"/>
        <w:numPr>
          <w:ilvl w:val="0"/>
          <w:numId w:val="6"/>
        </w:numPr>
        <w:jc w:val="both"/>
        <w:rPr>
          <w:rFonts w:ascii="Times" w:hAnsi="Times" w:cs="Times New Roman"/>
          <w:sz w:val="22"/>
          <w:szCs w:val="22"/>
          <w:lang w:val="is-IS"/>
        </w:rPr>
      </w:pPr>
      <w:r w:rsidRPr="00212C35">
        <w:rPr>
          <w:rFonts w:ascii="Times" w:hAnsi="Times" w:cs="Times New Roman"/>
          <w:sz w:val="22"/>
          <w:szCs w:val="22"/>
          <w:lang w:val="is-IS"/>
        </w:rPr>
        <w:t xml:space="preserve">hvaða aðferðir </w:t>
      </w:r>
      <w:r w:rsidR="005B1293">
        <w:rPr>
          <w:rFonts w:ascii="Times" w:hAnsi="Times" w:cs="Times New Roman"/>
          <w:sz w:val="22"/>
          <w:szCs w:val="22"/>
          <w:lang w:val="is-IS"/>
        </w:rPr>
        <w:t>verði</w:t>
      </w:r>
      <w:r w:rsidR="005B1293" w:rsidRPr="00212C35">
        <w:rPr>
          <w:rFonts w:ascii="Times" w:hAnsi="Times" w:cs="Times New Roman"/>
          <w:sz w:val="22"/>
          <w:szCs w:val="22"/>
          <w:lang w:val="is-IS"/>
        </w:rPr>
        <w:t xml:space="preserve"> </w:t>
      </w:r>
      <w:r w:rsidRPr="00212C35">
        <w:rPr>
          <w:rFonts w:ascii="Times" w:hAnsi="Times" w:cs="Times New Roman"/>
          <w:sz w:val="22"/>
          <w:szCs w:val="22"/>
          <w:lang w:val="is-IS"/>
        </w:rPr>
        <w:t>notaðar til að draga úr og stýra einstökum áhættuþáttum,</w:t>
      </w:r>
    </w:p>
    <w:p w14:paraId="6EE74B22" w14:textId="40F494F3" w:rsidR="00AD4CCC" w:rsidRPr="00212C35" w:rsidRDefault="005B1293" w:rsidP="00693831">
      <w:pPr>
        <w:pStyle w:val="Mlsgreinlista"/>
        <w:numPr>
          <w:ilvl w:val="0"/>
          <w:numId w:val="6"/>
        </w:numPr>
        <w:jc w:val="both"/>
        <w:rPr>
          <w:rFonts w:ascii="Times" w:hAnsi="Times" w:cs="Times New Roman"/>
          <w:sz w:val="22"/>
          <w:szCs w:val="22"/>
          <w:lang w:val="is-IS"/>
        </w:rPr>
      </w:pPr>
      <w:proofErr w:type="spellStart"/>
      <w:r>
        <w:rPr>
          <w:rFonts w:ascii="Times" w:hAnsi="Times" w:cs="Times New Roman"/>
          <w:sz w:val="22"/>
          <w:szCs w:val="22"/>
          <w:lang w:val="is-IS"/>
        </w:rPr>
        <w:t>eftirstæða</w:t>
      </w:r>
      <w:proofErr w:type="spellEnd"/>
      <w:r w:rsidR="00AD4CCC">
        <w:rPr>
          <w:rFonts w:ascii="Times" w:hAnsi="Times" w:cs="Times New Roman"/>
          <w:sz w:val="22"/>
          <w:szCs w:val="22"/>
          <w:lang w:val="is-IS"/>
        </w:rPr>
        <w:t xml:space="preserve"> áhætt</w:t>
      </w:r>
      <w:r>
        <w:rPr>
          <w:rFonts w:ascii="Times" w:hAnsi="Times" w:cs="Times New Roman"/>
          <w:sz w:val="22"/>
          <w:szCs w:val="22"/>
          <w:lang w:val="is-IS"/>
        </w:rPr>
        <w:t>u</w:t>
      </w:r>
      <w:r w:rsidR="00AD4CCC">
        <w:rPr>
          <w:rFonts w:ascii="Times" w:hAnsi="Times" w:cs="Times New Roman"/>
          <w:sz w:val="22"/>
          <w:szCs w:val="22"/>
          <w:lang w:val="is-IS"/>
        </w:rPr>
        <w:t xml:space="preserve"> eftir að aðferð</w:t>
      </w:r>
      <w:r>
        <w:rPr>
          <w:rFonts w:ascii="Times" w:hAnsi="Times" w:cs="Times New Roman"/>
          <w:sz w:val="22"/>
          <w:szCs w:val="22"/>
          <w:lang w:val="is-IS"/>
        </w:rPr>
        <w:t>um</w:t>
      </w:r>
      <w:r w:rsidR="00AD4CCC">
        <w:rPr>
          <w:rFonts w:ascii="Times" w:hAnsi="Times" w:cs="Times New Roman"/>
          <w:sz w:val="22"/>
          <w:szCs w:val="22"/>
          <w:lang w:val="is-IS"/>
        </w:rPr>
        <w:t xml:space="preserve"> og stýring</w:t>
      </w:r>
      <w:r>
        <w:rPr>
          <w:rFonts w:ascii="Times" w:hAnsi="Times" w:cs="Times New Roman"/>
          <w:sz w:val="22"/>
          <w:szCs w:val="22"/>
          <w:lang w:val="is-IS"/>
        </w:rPr>
        <w:t>um</w:t>
      </w:r>
      <w:r w:rsidR="00AD4CCC">
        <w:rPr>
          <w:rFonts w:ascii="Times" w:hAnsi="Times" w:cs="Times New Roman"/>
          <w:sz w:val="22"/>
          <w:szCs w:val="22"/>
          <w:lang w:val="is-IS"/>
        </w:rPr>
        <w:t xml:space="preserve"> til að </w:t>
      </w:r>
      <w:r w:rsidR="000E4CCD">
        <w:rPr>
          <w:rFonts w:ascii="Times" w:hAnsi="Times" w:cs="Times New Roman"/>
          <w:sz w:val="22"/>
          <w:szCs w:val="22"/>
          <w:lang w:val="is-IS"/>
        </w:rPr>
        <w:t>draga</w:t>
      </w:r>
      <w:r w:rsidR="00AD4CCC">
        <w:rPr>
          <w:rFonts w:ascii="Times" w:hAnsi="Times" w:cs="Times New Roman"/>
          <w:sz w:val="22"/>
          <w:szCs w:val="22"/>
          <w:lang w:val="is-IS"/>
        </w:rPr>
        <w:t xml:space="preserve"> úr áhættu</w:t>
      </w:r>
      <w:r w:rsidR="00E3309E">
        <w:rPr>
          <w:rFonts w:ascii="Times" w:hAnsi="Times" w:cs="Times New Roman"/>
          <w:sz w:val="22"/>
          <w:szCs w:val="22"/>
          <w:lang w:val="is-IS"/>
        </w:rPr>
        <w:t xml:space="preserve"> hefur verið beitt;</w:t>
      </w:r>
      <w:r w:rsidR="00C37CAE">
        <w:rPr>
          <w:rFonts w:ascii="Times" w:hAnsi="Times" w:cs="Times New Roman"/>
          <w:sz w:val="22"/>
          <w:szCs w:val="22"/>
          <w:lang w:val="is-IS"/>
        </w:rPr>
        <w:t xml:space="preserve"> og</w:t>
      </w:r>
    </w:p>
    <w:p w14:paraId="3A3A4FB0" w14:textId="77777777" w:rsidR="009F046D" w:rsidRPr="00212C35" w:rsidRDefault="009F046D" w:rsidP="00693831">
      <w:pPr>
        <w:pStyle w:val="Mlsgreinlista"/>
        <w:numPr>
          <w:ilvl w:val="0"/>
          <w:numId w:val="6"/>
        </w:numPr>
        <w:jc w:val="both"/>
        <w:rPr>
          <w:rFonts w:ascii="Times" w:hAnsi="Times" w:cs="Times New Roman"/>
          <w:sz w:val="22"/>
          <w:szCs w:val="22"/>
          <w:lang w:val="is-IS"/>
        </w:rPr>
      </w:pPr>
      <w:r w:rsidRPr="00212C35">
        <w:rPr>
          <w:rFonts w:ascii="Times" w:hAnsi="Times" w:cs="Times New Roman"/>
          <w:sz w:val="22"/>
          <w:szCs w:val="22"/>
          <w:lang w:val="is-IS"/>
        </w:rPr>
        <w:t>hvaða eftirlit skuli haft með einstökum áhættuþáttum og tíðni eftirlits.</w:t>
      </w:r>
    </w:p>
    <w:p w14:paraId="6A0FE1FC" w14:textId="6BAF4507" w:rsidR="009F046D" w:rsidRDefault="00F837B3" w:rsidP="00F837B3">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Tilkynningarskyldir aðilar skulu geta rökstutt fyrir eftirlitsaðila að áhættumat og áhættustýringar hans séu fullnægjandi.</w:t>
      </w:r>
    </w:p>
    <w:p w14:paraId="3DF81C06" w14:textId="77777777" w:rsidR="00F837B3" w:rsidRPr="00F837B3" w:rsidRDefault="00F837B3" w:rsidP="00F837B3">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p>
    <w:p w14:paraId="7E5D7296" w14:textId="6958F776" w:rsidR="00487CC0" w:rsidRDefault="00F837B3" w:rsidP="00487CC0">
      <w:pPr>
        <w:widowControl w:val="0"/>
        <w:autoSpaceDE w:val="0"/>
        <w:autoSpaceDN w:val="0"/>
        <w:adjustRightInd w:val="0"/>
        <w:jc w:val="center"/>
        <w:rPr>
          <w:rFonts w:ascii="Times" w:hAnsi="Times" w:cs="Times New Roman"/>
          <w:color w:val="1D1D1D"/>
          <w:sz w:val="22"/>
          <w:szCs w:val="22"/>
          <w:lang w:val="is-IS"/>
        </w:rPr>
      </w:pPr>
      <w:r>
        <w:rPr>
          <w:rFonts w:ascii="Times" w:hAnsi="Times" w:cs="Times New Roman"/>
          <w:color w:val="1D1D1D"/>
          <w:sz w:val="22"/>
          <w:szCs w:val="22"/>
          <w:lang w:val="is-IS"/>
        </w:rPr>
        <w:t>6</w:t>
      </w:r>
      <w:r w:rsidR="00487CC0">
        <w:rPr>
          <w:rFonts w:ascii="Times" w:hAnsi="Times" w:cs="Times New Roman"/>
          <w:color w:val="1D1D1D"/>
          <w:sz w:val="22"/>
          <w:szCs w:val="22"/>
          <w:lang w:val="is-IS"/>
        </w:rPr>
        <w:t>. gr.</w:t>
      </w:r>
    </w:p>
    <w:p w14:paraId="6201CFDD" w14:textId="77777777" w:rsidR="00487CC0" w:rsidRDefault="00487CC0" w:rsidP="00487CC0">
      <w:pPr>
        <w:widowControl w:val="0"/>
        <w:autoSpaceDE w:val="0"/>
        <w:autoSpaceDN w:val="0"/>
        <w:adjustRightInd w:val="0"/>
        <w:jc w:val="center"/>
        <w:rPr>
          <w:rFonts w:ascii="Times" w:hAnsi="Times" w:cs="Times New Roman"/>
          <w:i/>
          <w:color w:val="1D1D1D"/>
          <w:sz w:val="22"/>
          <w:szCs w:val="22"/>
          <w:lang w:val="is-IS"/>
        </w:rPr>
      </w:pPr>
      <w:r>
        <w:rPr>
          <w:rFonts w:ascii="Times" w:hAnsi="Times" w:cs="Times New Roman"/>
          <w:i/>
          <w:color w:val="1D1D1D"/>
          <w:sz w:val="22"/>
          <w:szCs w:val="22"/>
          <w:lang w:val="is-IS"/>
        </w:rPr>
        <w:t>Upplýsingar og gögn við gerð áhættumats</w:t>
      </w:r>
    </w:p>
    <w:p w14:paraId="7A90365C" w14:textId="77777777" w:rsidR="00487CC0" w:rsidRDefault="00693E87" w:rsidP="00487CC0">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 xml:space="preserve">Við gerð áhættumats skal byggja á </w:t>
      </w:r>
      <w:r w:rsidR="00487CC0">
        <w:rPr>
          <w:rFonts w:ascii="Times" w:hAnsi="Times" w:cs="Times New Roman"/>
          <w:color w:val="242424"/>
          <w:sz w:val="22"/>
          <w:szCs w:val="22"/>
          <w:shd w:val="clear" w:color="auto" w:fill="FFFFFF"/>
          <w:lang w:val="is-IS"/>
        </w:rPr>
        <w:t>fjölbreytt</w:t>
      </w:r>
      <w:r>
        <w:rPr>
          <w:rFonts w:ascii="Times" w:hAnsi="Times" w:cs="Times New Roman"/>
          <w:color w:val="242424"/>
          <w:sz w:val="22"/>
          <w:szCs w:val="22"/>
          <w:shd w:val="clear" w:color="auto" w:fill="FFFFFF"/>
          <w:lang w:val="is-IS"/>
        </w:rPr>
        <w:t>um</w:t>
      </w:r>
      <w:r w:rsidR="00487CC0">
        <w:rPr>
          <w:rFonts w:ascii="Times" w:hAnsi="Times" w:cs="Times New Roman"/>
          <w:color w:val="242424"/>
          <w:sz w:val="22"/>
          <w:szCs w:val="22"/>
          <w:shd w:val="clear" w:color="auto" w:fill="FFFFFF"/>
          <w:lang w:val="is-IS"/>
        </w:rPr>
        <w:t xml:space="preserve"> upplýsing</w:t>
      </w:r>
      <w:r>
        <w:rPr>
          <w:rFonts w:ascii="Times" w:hAnsi="Times" w:cs="Times New Roman"/>
          <w:color w:val="242424"/>
          <w:sz w:val="22"/>
          <w:szCs w:val="22"/>
          <w:shd w:val="clear" w:color="auto" w:fill="FFFFFF"/>
          <w:lang w:val="is-IS"/>
        </w:rPr>
        <w:t>um</w:t>
      </w:r>
      <w:r w:rsidR="00487CC0">
        <w:rPr>
          <w:rFonts w:ascii="Times" w:hAnsi="Times" w:cs="Times New Roman"/>
          <w:color w:val="242424"/>
          <w:sz w:val="22"/>
          <w:szCs w:val="22"/>
          <w:shd w:val="clear" w:color="auto" w:fill="FFFFFF"/>
          <w:lang w:val="is-IS"/>
        </w:rPr>
        <w:t xml:space="preserve"> um þekkta áhættu og áhættuþætti, hvort sem er frá opinberum aðilum eða öðrum viðeigandi aðilum. </w:t>
      </w:r>
    </w:p>
    <w:p w14:paraId="428FA609" w14:textId="2444C91C" w:rsidR="00C37CAE" w:rsidRDefault="00C37CAE" w:rsidP="00487CC0">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Hafa skal áhættumat skv. 4. gr. laga nr. 140/2018 um aðgerðir gegn peningaþvætti og fjármögnun hryðjuverka til hliðsjónar og eftir atvikum líta til eftirfarandi:</w:t>
      </w:r>
    </w:p>
    <w:p w14:paraId="56C611A4" w14:textId="77777777" w:rsidR="00487CC0" w:rsidRDefault="00487CC0" w:rsidP="00487CC0">
      <w:pPr>
        <w:pStyle w:val="Mlsgreinlista"/>
        <w:widowControl w:val="0"/>
        <w:numPr>
          <w:ilvl w:val="0"/>
          <w:numId w:val="10"/>
        </w:numPr>
        <w:autoSpaceDE w:val="0"/>
        <w:autoSpaceDN w:val="0"/>
        <w:adjustRightInd w:val="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áhættumats Evrópusambandsins</w:t>
      </w:r>
      <w:r w:rsidR="00041147">
        <w:rPr>
          <w:rFonts w:ascii="Times" w:hAnsi="Times" w:cs="Times New Roman"/>
          <w:color w:val="242424"/>
          <w:sz w:val="22"/>
          <w:szCs w:val="22"/>
          <w:shd w:val="clear" w:color="auto" w:fill="FFFFFF"/>
          <w:lang w:val="is-IS"/>
        </w:rPr>
        <w:t>,</w:t>
      </w:r>
    </w:p>
    <w:p w14:paraId="079F9553" w14:textId="6EE5C527" w:rsidR="00487CC0" w:rsidRDefault="00487CC0" w:rsidP="00487CC0">
      <w:pPr>
        <w:pStyle w:val="Mlsgreinlista"/>
        <w:widowControl w:val="0"/>
        <w:numPr>
          <w:ilvl w:val="0"/>
          <w:numId w:val="10"/>
        </w:numPr>
        <w:autoSpaceDE w:val="0"/>
        <w:autoSpaceDN w:val="0"/>
        <w:adjustRightInd w:val="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 xml:space="preserve">upplýsinga frá </w:t>
      </w:r>
      <w:r w:rsidR="00E3309E">
        <w:rPr>
          <w:rFonts w:ascii="Times" w:hAnsi="Times" w:cs="Times New Roman"/>
          <w:color w:val="242424"/>
          <w:sz w:val="22"/>
          <w:szCs w:val="22"/>
          <w:shd w:val="clear" w:color="auto" w:fill="FFFFFF"/>
          <w:lang w:val="is-IS"/>
        </w:rPr>
        <w:t>stjórnvöldum, s.s. stefnumótun, viðvaranir</w:t>
      </w:r>
      <w:r>
        <w:rPr>
          <w:rFonts w:ascii="Times" w:hAnsi="Times" w:cs="Times New Roman"/>
          <w:color w:val="242424"/>
          <w:sz w:val="22"/>
          <w:szCs w:val="22"/>
          <w:shd w:val="clear" w:color="auto" w:fill="FFFFFF"/>
          <w:lang w:val="is-IS"/>
        </w:rPr>
        <w:t xml:space="preserve"> og skýringa</w:t>
      </w:r>
      <w:r w:rsidR="00E3309E">
        <w:rPr>
          <w:rFonts w:ascii="Times" w:hAnsi="Times" w:cs="Times New Roman"/>
          <w:color w:val="242424"/>
          <w:sz w:val="22"/>
          <w:szCs w:val="22"/>
          <w:shd w:val="clear" w:color="auto" w:fill="FFFFFF"/>
          <w:lang w:val="is-IS"/>
        </w:rPr>
        <w:t>r</w:t>
      </w:r>
      <w:r>
        <w:rPr>
          <w:rFonts w:ascii="Times" w:hAnsi="Times" w:cs="Times New Roman"/>
          <w:color w:val="242424"/>
          <w:sz w:val="22"/>
          <w:szCs w:val="22"/>
          <w:shd w:val="clear" w:color="auto" w:fill="FFFFFF"/>
          <w:lang w:val="is-IS"/>
        </w:rPr>
        <w:t xml:space="preserve"> við löggjöf</w:t>
      </w:r>
      <w:r w:rsidR="00041147">
        <w:rPr>
          <w:rFonts w:ascii="Times" w:hAnsi="Times" w:cs="Times New Roman"/>
          <w:color w:val="242424"/>
          <w:sz w:val="22"/>
          <w:szCs w:val="22"/>
          <w:shd w:val="clear" w:color="auto" w:fill="FFFFFF"/>
          <w:lang w:val="is-IS"/>
        </w:rPr>
        <w:t>,</w:t>
      </w:r>
    </w:p>
    <w:p w14:paraId="10305557" w14:textId="77777777" w:rsidR="00487CC0" w:rsidRDefault="00487CC0" w:rsidP="00487CC0">
      <w:pPr>
        <w:pStyle w:val="Mlsgreinlista"/>
        <w:widowControl w:val="0"/>
        <w:numPr>
          <w:ilvl w:val="0"/>
          <w:numId w:val="10"/>
        </w:numPr>
        <w:autoSpaceDE w:val="0"/>
        <w:autoSpaceDN w:val="0"/>
        <w:adjustRightInd w:val="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upplýsinga frá eftirlitsaðilum, s.s. leiðbeininga</w:t>
      </w:r>
      <w:r w:rsidR="00041147">
        <w:rPr>
          <w:rFonts w:ascii="Times" w:hAnsi="Times" w:cs="Times New Roman"/>
          <w:color w:val="242424"/>
          <w:sz w:val="22"/>
          <w:szCs w:val="22"/>
          <w:shd w:val="clear" w:color="auto" w:fill="FFFFFF"/>
          <w:lang w:val="is-IS"/>
        </w:rPr>
        <w:t>r,</w:t>
      </w:r>
    </w:p>
    <w:p w14:paraId="2946A952" w14:textId="77777777" w:rsidR="00487CC0" w:rsidRDefault="00487CC0" w:rsidP="00487CC0">
      <w:pPr>
        <w:pStyle w:val="Mlsgreinlista"/>
        <w:widowControl w:val="0"/>
        <w:numPr>
          <w:ilvl w:val="0"/>
          <w:numId w:val="10"/>
        </w:numPr>
        <w:autoSpaceDE w:val="0"/>
        <w:autoSpaceDN w:val="0"/>
        <w:adjustRightInd w:val="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upplýsinga</w:t>
      </w:r>
      <w:r w:rsidR="00041147">
        <w:rPr>
          <w:rFonts w:ascii="Times" w:hAnsi="Times" w:cs="Times New Roman"/>
          <w:color w:val="242424"/>
          <w:sz w:val="22"/>
          <w:szCs w:val="22"/>
          <w:shd w:val="clear" w:color="auto" w:fill="FFFFFF"/>
          <w:lang w:val="is-IS"/>
        </w:rPr>
        <w:t>r</w:t>
      </w:r>
      <w:r>
        <w:rPr>
          <w:rFonts w:ascii="Times" w:hAnsi="Times" w:cs="Times New Roman"/>
          <w:color w:val="242424"/>
          <w:sz w:val="22"/>
          <w:szCs w:val="22"/>
          <w:shd w:val="clear" w:color="auto" w:fill="FFFFFF"/>
          <w:lang w:val="is-IS"/>
        </w:rPr>
        <w:t xml:space="preserve"> frá skrifstofu fjármálagreininga lögreglu og löggæslustofnunum, s.s. </w:t>
      </w:r>
      <w:r w:rsidR="00693E87">
        <w:rPr>
          <w:rFonts w:ascii="Times" w:hAnsi="Times" w:cs="Times New Roman"/>
          <w:color w:val="242424"/>
          <w:sz w:val="22"/>
          <w:szCs w:val="22"/>
          <w:shd w:val="clear" w:color="auto" w:fill="FFFFFF"/>
          <w:lang w:val="is-IS"/>
        </w:rPr>
        <w:t>um ógnir</w:t>
      </w:r>
      <w:r>
        <w:rPr>
          <w:rFonts w:ascii="Times" w:hAnsi="Times" w:cs="Times New Roman"/>
          <w:color w:val="242424"/>
          <w:sz w:val="22"/>
          <w:szCs w:val="22"/>
          <w:shd w:val="clear" w:color="auto" w:fill="FFFFFF"/>
          <w:lang w:val="is-IS"/>
        </w:rPr>
        <w:t>, viðvaran</w:t>
      </w:r>
      <w:r w:rsidR="00041147">
        <w:rPr>
          <w:rFonts w:ascii="Times" w:hAnsi="Times" w:cs="Times New Roman"/>
          <w:color w:val="242424"/>
          <w:sz w:val="22"/>
          <w:szCs w:val="22"/>
          <w:shd w:val="clear" w:color="auto" w:fill="FFFFFF"/>
          <w:lang w:val="is-IS"/>
        </w:rPr>
        <w:t>ir</w:t>
      </w:r>
      <w:r>
        <w:rPr>
          <w:rFonts w:ascii="Times" w:hAnsi="Times" w:cs="Times New Roman"/>
          <w:color w:val="242424"/>
          <w:sz w:val="22"/>
          <w:szCs w:val="22"/>
          <w:shd w:val="clear" w:color="auto" w:fill="FFFFFF"/>
          <w:lang w:val="is-IS"/>
        </w:rPr>
        <w:t xml:space="preserve"> og aðferð</w:t>
      </w:r>
      <w:r w:rsidR="00041147">
        <w:rPr>
          <w:rFonts w:ascii="Times" w:hAnsi="Times" w:cs="Times New Roman"/>
          <w:color w:val="242424"/>
          <w:sz w:val="22"/>
          <w:szCs w:val="22"/>
          <w:shd w:val="clear" w:color="auto" w:fill="FFFFFF"/>
          <w:lang w:val="is-IS"/>
        </w:rPr>
        <w:t>ir,</w:t>
      </w:r>
      <w:r>
        <w:rPr>
          <w:rFonts w:ascii="Times" w:hAnsi="Times" w:cs="Times New Roman"/>
          <w:color w:val="242424"/>
          <w:sz w:val="22"/>
          <w:szCs w:val="22"/>
          <w:shd w:val="clear" w:color="auto" w:fill="FFFFFF"/>
          <w:lang w:val="is-IS"/>
        </w:rPr>
        <w:t xml:space="preserve"> </w:t>
      </w:r>
    </w:p>
    <w:p w14:paraId="16DA89E8" w14:textId="77777777" w:rsidR="00487CC0" w:rsidRDefault="00487CC0" w:rsidP="00487CC0">
      <w:pPr>
        <w:pStyle w:val="Mlsgreinlista"/>
        <w:widowControl w:val="0"/>
        <w:numPr>
          <w:ilvl w:val="0"/>
          <w:numId w:val="10"/>
        </w:numPr>
        <w:autoSpaceDE w:val="0"/>
        <w:autoSpaceDN w:val="0"/>
        <w:adjustRightInd w:val="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upplýsinga sem hefur verið aflað við áreiðanleikakannanir</w:t>
      </w:r>
      <w:r w:rsidR="00041147">
        <w:rPr>
          <w:rFonts w:ascii="Times" w:hAnsi="Times" w:cs="Times New Roman"/>
          <w:color w:val="242424"/>
          <w:sz w:val="22"/>
          <w:szCs w:val="22"/>
          <w:shd w:val="clear" w:color="auto" w:fill="FFFFFF"/>
          <w:lang w:val="is-IS"/>
        </w:rPr>
        <w:t>; og</w:t>
      </w:r>
    </w:p>
    <w:p w14:paraId="58E937F6" w14:textId="094E9F61" w:rsidR="00041147" w:rsidRPr="00A2779E" w:rsidRDefault="00041147" w:rsidP="00A2779E">
      <w:pPr>
        <w:pStyle w:val="Mlsgreinlista"/>
        <w:widowControl w:val="0"/>
        <w:numPr>
          <w:ilvl w:val="0"/>
          <w:numId w:val="10"/>
        </w:numPr>
        <w:autoSpaceDE w:val="0"/>
        <w:autoSpaceDN w:val="0"/>
        <w:adjustRightInd w:val="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áhættumat</w:t>
      </w:r>
      <w:r w:rsidR="00C37CAE">
        <w:rPr>
          <w:rFonts w:ascii="Times" w:hAnsi="Times" w:cs="Times New Roman"/>
          <w:color w:val="242424"/>
          <w:sz w:val="22"/>
          <w:szCs w:val="22"/>
          <w:shd w:val="clear" w:color="auto" w:fill="FFFFFF"/>
          <w:lang w:val="is-IS"/>
        </w:rPr>
        <w:t xml:space="preserve">s sem </w:t>
      </w:r>
      <w:r>
        <w:rPr>
          <w:rFonts w:ascii="Times" w:hAnsi="Times" w:cs="Times New Roman"/>
          <w:color w:val="242424"/>
          <w:sz w:val="22"/>
          <w:szCs w:val="22"/>
          <w:shd w:val="clear" w:color="auto" w:fill="FFFFFF"/>
          <w:lang w:val="is-IS"/>
        </w:rPr>
        <w:t>gef</w:t>
      </w:r>
      <w:r w:rsidR="0054409B">
        <w:rPr>
          <w:rFonts w:ascii="Times" w:hAnsi="Times" w:cs="Times New Roman"/>
          <w:color w:val="242424"/>
          <w:sz w:val="22"/>
          <w:szCs w:val="22"/>
          <w:shd w:val="clear" w:color="auto" w:fill="FFFFFF"/>
          <w:lang w:val="is-IS"/>
        </w:rPr>
        <w:t>ið</w:t>
      </w:r>
      <w:r>
        <w:rPr>
          <w:rFonts w:ascii="Times" w:hAnsi="Times" w:cs="Times New Roman"/>
          <w:color w:val="242424"/>
          <w:sz w:val="22"/>
          <w:szCs w:val="22"/>
          <w:shd w:val="clear" w:color="auto" w:fill="FFFFFF"/>
          <w:lang w:val="is-IS"/>
        </w:rPr>
        <w:t xml:space="preserve"> </w:t>
      </w:r>
      <w:r w:rsidR="00C37CAE">
        <w:rPr>
          <w:rFonts w:ascii="Times" w:hAnsi="Times" w:cs="Times New Roman"/>
          <w:color w:val="242424"/>
          <w:sz w:val="22"/>
          <w:szCs w:val="22"/>
          <w:shd w:val="clear" w:color="auto" w:fill="FFFFFF"/>
          <w:lang w:val="is-IS"/>
        </w:rPr>
        <w:t xml:space="preserve">er </w:t>
      </w:r>
      <w:r>
        <w:rPr>
          <w:rFonts w:ascii="Times" w:hAnsi="Times" w:cs="Times New Roman"/>
          <w:color w:val="242424"/>
          <w:sz w:val="22"/>
          <w:szCs w:val="22"/>
          <w:shd w:val="clear" w:color="auto" w:fill="FFFFFF"/>
          <w:lang w:val="is-IS"/>
        </w:rPr>
        <w:t xml:space="preserve">út af </w:t>
      </w:r>
      <w:proofErr w:type="spellStart"/>
      <w:r>
        <w:rPr>
          <w:rFonts w:ascii="Times" w:hAnsi="Times" w:cs="Times New Roman"/>
          <w:color w:val="242424"/>
          <w:sz w:val="22"/>
          <w:szCs w:val="22"/>
          <w:shd w:val="clear" w:color="auto" w:fill="FFFFFF"/>
          <w:lang w:val="is-IS"/>
        </w:rPr>
        <w:t>lögbærum</w:t>
      </w:r>
      <w:proofErr w:type="spellEnd"/>
      <w:r>
        <w:rPr>
          <w:rFonts w:ascii="Times" w:hAnsi="Times" w:cs="Times New Roman"/>
          <w:color w:val="242424"/>
          <w:sz w:val="22"/>
          <w:szCs w:val="22"/>
          <w:shd w:val="clear" w:color="auto" w:fill="FFFFFF"/>
          <w:lang w:val="is-IS"/>
        </w:rPr>
        <w:t xml:space="preserve"> stjó</w:t>
      </w:r>
      <w:r w:rsidR="00A2779E">
        <w:rPr>
          <w:rFonts w:ascii="Times" w:hAnsi="Times" w:cs="Times New Roman"/>
          <w:color w:val="242424"/>
          <w:sz w:val="22"/>
          <w:szCs w:val="22"/>
          <w:shd w:val="clear" w:color="auto" w:fill="FFFFFF"/>
          <w:lang w:val="is-IS"/>
        </w:rPr>
        <w:t>rnvöldum í þeim ríkjum sem tilkynningarskyldur aðili starfar í.</w:t>
      </w:r>
    </w:p>
    <w:p w14:paraId="0614B86E" w14:textId="77777777" w:rsidR="00487CC0" w:rsidRDefault="00487CC0" w:rsidP="00487CC0">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Aðrir þættir sem geta nýst við gerð áhættumats eru m.a.:</w:t>
      </w:r>
    </w:p>
    <w:p w14:paraId="63F40231" w14:textId="77777777" w:rsidR="00487CC0" w:rsidRPr="00693E87" w:rsidRDefault="00487CC0" w:rsidP="00487CC0">
      <w:pPr>
        <w:pStyle w:val="Mlsgreinlista"/>
        <w:widowControl w:val="0"/>
        <w:numPr>
          <w:ilvl w:val="0"/>
          <w:numId w:val="11"/>
        </w:numPr>
        <w:autoSpaceDE w:val="0"/>
        <w:autoSpaceDN w:val="0"/>
        <w:adjustRightInd w:val="0"/>
        <w:jc w:val="both"/>
        <w:rPr>
          <w:rFonts w:ascii="Times" w:hAnsi="Times" w:cs="Times New Roman"/>
          <w:color w:val="242424"/>
          <w:sz w:val="22"/>
          <w:szCs w:val="22"/>
          <w:shd w:val="clear" w:color="auto" w:fill="FFFFFF"/>
          <w:lang w:val="is-IS"/>
        </w:rPr>
      </w:pPr>
      <w:r w:rsidRPr="00693E87">
        <w:rPr>
          <w:rFonts w:ascii="Times" w:hAnsi="Times" w:cs="Times New Roman"/>
          <w:color w:val="242424"/>
          <w:sz w:val="22"/>
          <w:szCs w:val="22"/>
          <w:shd w:val="clear" w:color="auto" w:fill="FFFFFF"/>
          <w:lang w:val="is-IS"/>
        </w:rPr>
        <w:t>kunnátta og sérfræðiþekking innan tilkynningarskyldra aðila,</w:t>
      </w:r>
    </w:p>
    <w:p w14:paraId="2304EE6A" w14:textId="5C0B40DA" w:rsidR="00487CC0" w:rsidRPr="00693E87" w:rsidRDefault="00487CC0" w:rsidP="00487CC0">
      <w:pPr>
        <w:pStyle w:val="Mlsgreinlista"/>
        <w:widowControl w:val="0"/>
        <w:numPr>
          <w:ilvl w:val="0"/>
          <w:numId w:val="11"/>
        </w:numPr>
        <w:autoSpaceDE w:val="0"/>
        <w:autoSpaceDN w:val="0"/>
        <w:adjustRightInd w:val="0"/>
        <w:jc w:val="both"/>
        <w:rPr>
          <w:rFonts w:ascii="Times" w:hAnsi="Times" w:cs="Times New Roman"/>
          <w:color w:val="242424"/>
          <w:sz w:val="22"/>
          <w:szCs w:val="22"/>
          <w:shd w:val="clear" w:color="auto" w:fill="FFFFFF"/>
          <w:lang w:val="is-IS"/>
        </w:rPr>
      </w:pPr>
      <w:r w:rsidRPr="00693E87">
        <w:rPr>
          <w:rFonts w:ascii="Times" w:hAnsi="Times" w:cs="Times New Roman"/>
          <w:color w:val="242424"/>
          <w:sz w:val="22"/>
          <w:szCs w:val="22"/>
          <w:shd w:val="clear" w:color="auto" w:fill="FFFFFF"/>
          <w:lang w:val="is-IS"/>
        </w:rPr>
        <w:t xml:space="preserve">upplýsingar frá hagsmunasamtökum tilkynningarskyldra aðila um aðferðir og </w:t>
      </w:r>
      <w:r w:rsidR="0054409B">
        <w:rPr>
          <w:rFonts w:ascii="Times" w:hAnsi="Times" w:cs="Times New Roman"/>
          <w:color w:val="242424"/>
          <w:sz w:val="22"/>
          <w:szCs w:val="22"/>
          <w:shd w:val="clear" w:color="auto" w:fill="FFFFFF"/>
          <w:lang w:val="is-IS"/>
        </w:rPr>
        <w:t>hættumerki</w:t>
      </w:r>
      <w:r w:rsidRPr="00693E87">
        <w:rPr>
          <w:rFonts w:ascii="Times" w:hAnsi="Times" w:cs="Times New Roman"/>
          <w:color w:val="242424"/>
          <w:sz w:val="22"/>
          <w:szCs w:val="22"/>
          <w:shd w:val="clear" w:color="auto" w:fill="FFFFFF"/>
          <w:lang w:val="is-IS"/>
        </w:rPr>
        <w:t>,</w:t>
      </w:r>
    </w:p>
    <w:p w14:paraId="0F3B1F78" w14:textId="2CB64081" w:rsidR="00487CC0" w:rsidRPr="00693E87" w:rsidRDefault="00487CC0" w:rsidP="00487CC0">
      <w:pPr>
        <w:pStyle w:val="Mlsgreinlista"/>
        <w:widowControl w:val="0"/>
        <w:numPr>
          <w:ilvl w:val="0"/>
          <w:numId w:val="11"/>
        </w:numPr>
        <w:autoSpaceDE w:val="0"/>
        <w:autoSpaceDN w:val="0"/>
        <w:adjustRightInd w:val="0"/>
        <w:jc w:val="both"/>
        <w:rPr>
          <w:rFonts w:ascii="Times" w:hAnsi="Times" w:cs="Times New Roman"/>
          <w:color w:val="242424"/>
          <w:sz w:val="22"/>
          <w:szCs w:val="22"/>
          <w:shd w:val="clear" w:color="auto" w:fill="FFFFFF"/>
          <w:lang w:val="is-IS"/>
        </w:rPr>
      </w:pPr>
      <w:r w:rsidRPr="00693E87">
        <w:rPr>
          <w:rFonts w:ascii="Times" w:hAnsi="Times" w:cs="Times New Roman"/>
          <w:color w:val="242424"/>
          <w:sz w:val="22"/>
          <w:szCs w:val="22"/>
          <w:shd w:val="clear" w:color="auto" w:fill="FFFFFF"/>
          <w:lang w:val="is-IS"/>
        </w:rPr>
        <w:t>opinberar upplýsingar um viðskiptalön</w:t>
      </w:r>
      <w:r w:rsidR="004B3C75">
        <w:rPr>
          <w:rFonts w:ascii="Times" w:hAnsi="Times" w:cs="Times New Roman"/>
          <w:color w:val="242424"/>
          <w:sz w:val="22"/>
          <w:szCs w:val="22"/>
          <w:shd w:val="clear" w:color="auto" w:fill="FFFFFF"/>
          <w:lang w:val="is-IS"/>
        </w:rPr>
        <w:t>d, t.d. um spillingu og gagnsæi,</w:t>
      </w:r>
    </w:p>
    <w:p w14:paraId="6A32F297" w14:textId="712F7CD3" w:rsidR="00487CC0" w:rsidRPr="00F837B3" w:rsidRDefault="00487CC0" w:rsidP="00487CC0">
      <w:pPr>
        <w:pStyle w:val="Mlsgreinlista"/>
        <w:widowControl w:val="0"/>
        <w:numPr>
          <w:ilvl w:val="0"/>
          <w:numId w:val="11"/>
        </w:numPr>
        <w:autoSpaceDE w:val="0"/>
        <w:autoSpaceDN w:val="0"/>
        <w:adjustRightInd w:val="0"/>
        <w:jc w:val="both"/>
        <w:rPr>
          <w:rFonts w:ascii="Times" w:hAnsi="Times" w:cs="Times New Roman"/>
          <w:color w:val="242424"/>
          <w:sz w:val="22"/>
          <w:szCs w:val="22"/>
          <w:shd w:val="clear" w:color="auto" w:fill="FFFFFF"/>
          <w:lang w:val="is-IS"/>
        </w:rPr>
      </w:pPr>
      <w:r w:rsidRPr="00693E87">
        <w:rPr>
          <w:rFonts w:ascii="Times" w:hAnsi="Times" w:cs="Times New Roman"/>
          <w:color w:val="242424"/>
          <w:sz w:val="22"/>
          <w:szCs w:val="22"/>
          <w:shd w:val="clear" w:color="auto" w:fill="FFFFFF"/>
          <w:lang w:val="is-IS"/>
        </w:rPr>
        <w:t>upplýsingar frá alþjóðlegum stofnunum og aðilum</w:t>
      </w:r>
      <w:r w:rsidRPr="00693E87">
        <w:rPr>
          <w:rFonts w:ascii="Times" w:hAnsi="Times" w:cs="Times New Roman"/>
          <w:sz w:val="22"/>
          <w:szCs w:val="22"/>
          <w:lang w:val="nb-NO"/>
        </w:rPr>
        <w:t xml:space="preserve">, s.s. úttektarskýrslur og </w:t>
      </w:r>
      <w:proofErr w:type="spellStart"/>
      <w:r w:rsidR="00F837B3">
        <w:rPr>
          <w:rFonts w:ascii="Times" w:hAnsi="Times" w:cs="Times New Roman"/>
          <w:sz w:val="22"/>
          <w:szCs w:val="22"/>
          <w:lang w:val="is-IS"/>
        </w:rPr>
        <w:t>válistar</w:t>
      </w:r>
      <w:proofErr w:type="spellEnd"/>
      <w:r w:rsidR="004B3C75" w:rsidRPr="00F837B3">
        <w:rPr>
          <w:rFonts w:ascii="Times" w:hAnsi="Times" w:cs="Times New Roman"/>
          <w:sz w:val="22"/>
          <w:szCs w:val="22"/>
          <w:lang w:val="is-IS"/>
        </w:rPr>
        <w:t>,</w:t>
      </w:r>
    </w:p>
    <w:p w14:paraId="3F918D4E" w14:textId="6BD5CEBF" w:rsidR="00487CC0" w:rsidRPr="00F837B3" w:rsidRDefault="00487CC0" w:rsidP="00487CC0">
      <w:pPr>
        <w:pStyle w:val="Mlsgreinlista"/>
        <w:widowControl w:val="0"/>
        <w:numPr>
          <w:ilvl w:val="0"/>
          <w:numId w:val="11"/>
        </w:numPr>
        <w:autoSpaceDE w:val="0"/>
        <w:autoSpaceDN w:val="0"/>
        <w:adjustRightInd w:val="0"/>
        <w:jc w:val="both"/>
        <w:rPr>
          <w:rFonts w:ascii="Times" w:hAnsi="Times" w:cs="Times New Roman"/>
          <w:color w:val="242424"/>
          <w:sz w:val="22"/>
          <w:szCs w:val="22"/>
          <w:shd w:val="clear" w:color="auto" w:fill="FFFFFF"/>
          <w:lang w:val="is-IS"/>
        </w:rPr>
      </w:pPr>
      <w:r w:rsidRPr="00F837B3">
        <w:rPr>
          <w:rFonts w:ascii="Times" w:hAnsi="Times" w:cs="Times New Roman"/>
          <w:color w:val="242424"/>
          <w:sz w:val="22"/>
          <w:szCs w:val="22"/>
          <w:shd w:val="clear" w:color="auto" w:fill="FFFFFF"/>
          <w:lang w:val="is-IS"/>
        </w:rPr>
        <w:t>upplýsingar samkvæmt áreiðanlegum opinberum heimildum,</w:t>
      </w:r>
    </w:p>
    <w:p w14:paraId="4DE6CC3E" w14:textId="77777777" w:rsidR="00487CC0" w:rsidRPr="00693E87" w:rsidRDefault="00487CC0" w:rsidP="00487CC0">
      <w:pPr>
        <w:pStyle w:val="Mlsgreinlista"/>
        <w:widowControl w:val="0"/>
        <w:numPr>
          <w:ilvl w:val="0"/>
          <w:numId w:val="11"/>
        </w:numPr>
        <w:autoSpaceDE w:val="0"/>
        <w:autoSpaceDN w:val="0"/>
        <w:adjustRightInd w:val="0"/>
        <w:jc w:val="both"/>
        <w:rPr>
          <w:rFonts w:ascii="Times" w:hAnsi="Times" w:cs="Times New Roman"/>
          <w:color w:val="242424"/>
          <w:sz w:val="22"/>
          <w:szCs w:val="22"/>
          <w:shd w:val="clear" w:color="auto" w:fill="FFFFFF"/>
          <w:lang w:val="is-IS"/>
        </w:rPr>
      </w:pPr>
      <w:r w:rsidRPr="00693E87">
        <w:rPr>
          <w:rFonts w:ascii="Times" w:hAnsi="Times" w:cs="Times New Roman"/>
          <w:color w:val="242424"/>
          <w:sz w:val="22"/>
          <w:szCs w:val="22"/>
          <w:shd w:val="clear" w:color="auto" w:fill="FFFFFF"/>
          <w:lang w:val="is-IS"/>
        </w:rPr>
        <w:t>upplýsingar frá áreiðanlegum einkaaðilum, s.s. áhættumats- og greiningarskýrslur; og</w:t>
      </w:r>
    </w:p>
    <w:p w14:paraId="2A36375F" w14:textId="77777777" w:rsidR="00487CC0" w:rsidRPr="00693E87" w:rsidRDefault="00487CC0" w:rsidP="00487CC0">
      <w:pPr>
        <w:pStyle w:val="Mlsgreinlista"/>
        <w:widowControl w:val="0"/>
        <w:numPr>
          <w:ilvl w:val="0"/>
          <w:numId w:val="11"/>
        </w:numPr>
        <w:autoSpaceDE w:val="0"/>
        <w:autoSpaceDN w:val="0"/>
        <w:adjustRightInd w:val="0"/>
        <w:jc w:val="both"/>
        <w:rPr>
          <w:rFonts w:ascii="Times" w:hAnsi="Times" w:cs="Times New Roman"/>
          <w:color w:val="242424"/>
          <w:sz w:val="22"/>
          <w:szCs w:val="22"/>
          <w:shd w:val="clear" w:color="auto" w:fill="FFFFFF"/>
          <w:lang w:val="is-IS"/>
        </w:rPr>
      </w:pPr>
      <w:r w:rsidRPr="00693E87">
        <w:rPr>
          <w:rFonts w:ascii="Times" w:hAnsi="Times" w:cs="Times New Roman"/>
          <w:color w:val="242424"/>
          <w:sz w:val="22"/>
          <w:szCs w:val="22"/>
          <w:shd w:val="clear" w:color="auto" w:fill="FFFFFF"/>
          <w:lang w:val="is-IS"/>
        </w:rPr>
        <w:t>upplýsingar frá tölfræði- og fræðastofnunum</w:t>
      </w:r>
      <w:r w:rsidR="00A2779E" w:rsidRPr="00693E87">
        <w:rPr>
          <w:rFonts w:ascii="Times" w:hAnsi="Times" w:cs="Times New Roman"/>
          <w:color w:val="242424"/>
          <w:sz w:val="22"/>
          <w:szCs w:val="22"/>
          <w:shd w:val="clear" w:color="auto" w:fill="FFFFFF"/>
          <w:lang w:val="is-IS"/>
        </w:rPr>
        <w:t>.</w:t>
      </w:r>
    </w:p>
    <w:p w14:paraId="7CF710F9" w14:textId="77777777" w:rsidR="005B00F5" w:rsidRDefault="005B00F5">
      <w:pPr>
        <w:rPr>
          <w:rFonts w:ascii="Times" w:hAnsi="Times" w:cs="Times New Roman"/>
          <w:sz w:val="22"/>
          <w:szCs w:val="22"/>
        </w:rPr>
      </w:pPr>
    </w:p>
    <w:p w14:paraId="2D531C04" w14:textId="2CB55C24" w:rsidR="009F046D" w:rsidRPr="00DD11AC" w:rsidRDefault="00F837B3" w:rsidP="009F046D">
      <w:pPr>
        <w:widowControl w:val="0"/>
        <w:autoSpaceDE w:val="0"/>
        <w:autoSpaceDN w:val="0"/>
        <w:adjustRightInd w:val="0"/>
        <w:jc w:val="center"/>
        <w:rPr>
          <w:rFonts w:ascii="Times" w:hAnsi="Times" w:cs="Times New Roman"/>
          <w:color w:val="1D1D1D"/>
          <w:sz w:val="22"/>
          <w:szCs w:val="22"/>
          <w:lang w:val="is-IS"/>
        </w:rPr>
      </w:pPr>
      <w:r>
        <w:rPr>
          <w:rFonts w:ascii="Times" w:hAnsi="Times" w:cs="Times New Roman"/>
          <w:color w:val="1D1D1D"/>
          <w:sz w:val="22"/>
          <w:szCs w:val="22"/>
          <w:lang w:val="is-IS"/>
        </w:rPr>
        <w:t>7</w:t>
      </w:r>
      <w:r w:rsidR="009F046D" w:rsidRPr="00DD11AC">
        <w:rPr>
          <w:rFonts w:ascii="Times" w:hAnsi="Times" w:cs="Times New Roman"/>
          <w:color w:val="1D1D1D"/>
          <w:sz w:val="22"/>
          <w:szCs w:val="22"/>
          <w:lang w:val="is-IS"/>
        </w:rPr>
        <w:t>. gr.</w:t>
      </w:r>
    </w:p>
    <w:p w14:paraId="68668D28" w14:textId="77777777" w:rsidR="009F046D" w:rsidRPr="00DD11AC" w:rsidRDefault="009F046D" w:rsidP="009F046D">
      <w:pPr>
        <w:widowControl w:val="0"/>
        <w:autoSpaceDE w:val="0"/>
        <w:autoSpaceDN w:val="0"/>
        <w:adjustRightInd w:val="0"/>
        <w:jc w:val="center"/>
        <w:rPr>
          <w:rFonts w:ascii="Times" w:hAnsi="Times" w:cs="Times New Roman"/>
          <w:i/>
          <w:color w:val="1D1D1D"/>
          <w:sz w:val="22"/>
          <w:szCs w:val="22"/>
          <w:lang w:val="is-IS"/>
        </w:rPr>
      </w:pPr>
      <w:r w:rsidRPr="00DD11AC">
        <w:rPr>
          <w:rFonts w:ascii="Times" w:hAnsi="Times" w:cs="Times New Roman"/>
          <w:i/>
          <w:color w:val="1D1D1D"/>
          <w:sz w:val="22"/>
          <w:szCs w:val="22"/>
          <w:lang w:val="is-IS"/>
        </w:rPr>
        <w:t>Áhættuflokkun og vægi</w:t>
      </w:r>
    </w:p>
    <w:p w14:paraId="41423137" w14:textId="3D01F15E" w:rsidR="009B29B8" w:rsidRDefault="00693831" w:rsidP="00BA5963">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sidRPr="00DD11AC">
        <w:rPr>
          <w:rFonts w:ascii="Times" w:hAnsi="Times" w:cs="Times New Roman"/>
          <w:color w:val="242424"/>
          <w:sz w:val="22"/>
          <w:szCs w:val="22"/>
          <w:shd w:val="clear" w:color="auto" w:fill="FFFFFF"/>
          <w:lang w:val="is-IS"/>
        </w:rPr>
        <w:t>Tilkynningarskyld</w:t>
      </w:r>
      <w:r w:rsidR="009B29B8" w:rsidRPr="00DD11AC">
        <w:rPr>
          <w:rFonts w:ascii="Times" w:hAnsi="Times" w:cs="Times New Roman"/>
          <w:color w:val="242424"/>
          <w:sz w:val="22"/>
          <w:szCs w:val="22"/>
          <w:shd w:val="clear" w:color="auto" w:fill="FFFFFF"/>
          <w:lang w:val="is-IS"/>
        </w:rPr>
        <w:t xml:space="preserve">ir aðilar skulu </w:t>
      </w:r>
      <w:r w:rsidR="00F837B3">
        <w:rPr>
          <w:rFonts w:ascii="Times" w:hAnsi="Times" w:cs="Times New Roman"/>
          <w:color w:val="242424"/>
          <w:sz w:val="22"/>
          <w:szCs w:val="22"/>
          <w:shd w:val="clear" w:color="auto" w:fill="FFFFFF"/>
          <w:lang w:val="is-IS"/>
        </w:rPr>
        <w:t>tilgreina í aðferðafræði skv. 4</w:t>
      </w:r>
      <w:r w:rsidR="009B29B8" w:rsidRPr="00DD11AC">
        <w:rPr>
          <w:rFonts w:ascii="Times" w:hAnsi="Times" w:cs="Times New Roman"/>
          <w:color w:val="242424"/>
          <w:sz w:val="22"/>
          <w:szCs w:val="22"/>
          <w:shd w:val="clear" w:color="auto" w:fill="FFFFFF"/>
          <w:lang w:val="is-IS"/>
        </w:rPr>
        <w:t xml:space="preserve">. gr. hvaða </w:t>
      </w:r>
      <w:r w:rsidR="00BA5963" w:rsidRPr="00DD11AC">
        <w:rPr>
          <w:rFonts w:ascii="Times" w:hAnsi="Times" w:cs="Times New Roman"/>
          <w:color w:val="242424"/>
          <w:sz w:val="22"/>
          <w:szCs w:val="22"/>
          <w:shd w:val="clear" w:color="auto" w:fill="FFFFFF"/>
          <w:lang w:val="is-IS"/>
        </w:rPr>
        <w:t>áhættuflokka þeir nota</w:t>
      </w:r>
      <w:r w:rsidR="00DD11AC" w:rsidRPr="00DD11AC">
        <w:rPr>
          <w:rFonts w:ascii="Times" w:hAnsi="Times" w:cs="Times New Roman"/>
          <w:color w:val="242424"/>
          <w:sz w:val="22"/>
          <w:szCs w:val="22"/>
          <w:shd w:val="clear" w:color="auto" w:fill="FFFFFF"/>
          <w:lang w:val="is-IS"/>
        </w:rPr>
        <w:t xml:space="preserve">, </w:t>
      </w:r>
      <w:r w:rsidR="0091098D" w:rsidRPr="00DD11AC">
        <w:rPr>
          <w:rFonts w:ascii="Times" w:hAnsi="Times" w:cs="Times New Roman"/>
          <w:color w:val="242424"/>
          <w:sz w:val="22"/>
          <w:szCs w:val="22"/>
          <w:shd w:val="clear" w:color="auto" w:fill="FFFFFF"/>
          <w:lang w:val="is-IS"/>
        </w:rPr>
        <w:t>viðmið að baki hverjum flokki</w:t>
      </w:r>
      <w:r w:rsidR="00BA5963" w:rsidRPr="00DD11AC">
        <w:rPr>
          <w:rFonts w:ascii="Times" w:hAnsi="Times" w:cs="Times New Roman"/>
          <w:color w:val="242424"/>
          <w:sz w:val="22"/>
          <w:szCs w:val="22"/>
          <w:shd w:val="clear" w:color="auto" w:fill="FFFFFF"/>
          <w:lang w:val="is-IS"/>
        </w:rPr>
        <w:t xml:space="preserve"> og vægi hvers áhættuþáttar.</w:t>
      </w:r>
    </w:p>
    <w:p w14:paraId="2366E439" w14:textId="7CF891FA" w:rsidR="00693831" w:rsidRPr="004C7B72" w:rsidRDefault="00693831" w:rsidP="00693831">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sidRPr="00CE13C0">
        <w:rPr>
          <w:rFonts w:ascii="Times" w:hAnsi="Times" w:cs="Times New Roman"/>
          <w:color w:val="1D1D1D"/>
          <w:sz w:val="22"/>
          <w:szCs w:val="22"/>
          <w:lang w:val="is-IS"/>
        </w:rPr>
        <w:t xml:space="preserve">Þegar </w:t>
      </w:r>
      <w:r w:rsidR="00BA5963">
        <w:rPr>
          <w:rFonts w:ascii="Times" w:hAnsi="Times" w:cs="Times New Roman"/>
          <w:color w:val="1D1D1D"/>
          <w:sz w:val="22"/>
          <w:szCs w:val="22"/>
          <w:lang w:val="is-IS"/>
        </w:rPr>
        <w:t>einstakur áhættuþáttur er metinn</w:t>
      </w:r>
      <w:r w:rsidRPr="00CE13C0">
        <w:rPr>
          <w:rFonts w:ascii="Times" w:hAnsi="Times" w:cs="Times New Roman"/>
          <w:color w:val="1D1D1D"/>
          <w:sz w:val="22"/>
          <w:szCs w:val="22"/>
          <w:lang w:val="is-IS"/>
        </w:rPr>
        <w:t xml:space="preserve"> skulu tilkynningarskyldir aðilar að lágmarki tryggja</w:t>
      </w:r>
      <w:r w:rsidR="004B3C75">
        <w:rPr>
          <w:rFonts w:ascii="Times" w:hAnsi="Times" w:cs="Times New Roman"/>
          <w:color w:val="1D1D1D"/>
          <w:sz w:val="22"/>
          <w:szCs w:val="22"/>
          <w:lang w:val="is-IS"/>
        </w:rPr>
        <w:t xml:space="preserve"> að</w:t>
      </w:r>
      <w:r w:rsidRPr="00CE13C0">
        <w:rPr>
          <w:rFonts w:ascii="Times" w:hAnsi="Times" w:cs="Times New Roman"/>
          <w:color w:val="1D1D1D"/>
          <w:sz w:val="22"/>
          <w:szCs w:val="22"/>
          <w:lang w:val="is-IS"/>
        </w:rPr>
        <w:t>:</w:t>
      </w:r>
    </w:p>
    <w:p w14:paraId="3D4E1EFF" w14:textId="67052E5C" w:rsidR="00693831" w:rsidRPr="00572A06" w:rsidRDefault="00693831" w:rsidP="00693831">
      <w:pPr>
        <w:pStyle w:val="Mlsgreinlista"/>
        <w:widowControl w:val="0"/>
        <w:numPr>
          <w:ilvl w:val="0"/>
          <w:numId w:val="15"/>
        </w:numPr>
        <w:autoSpaceDE w:val="0"/>
        <w:autoSpaceDN w:val="0"/>
        <w:adjustRightInd w:val="0"/>
        <w:jc w:val="both"/>
        <w:rPr>
          <w:rFonts w:ascii="Times" w:hAnsi="Times" w:cs="Times New Roman"/>
          <w:color w:val="1D1D1D"/>
          <w:sz w:val="22"/>
          <w:szCs w:val="22"/>
          <w:lang w:val="is-IS"/>
        </w:rPr>
      </w:pPr>
      <w:r w:rsidRPr="00D44972">
        <w:rPr>
          <w:rFonts w:ascii="Times" w:hAnsi="Times" w:cs="Times New Roman"/>
          <w:color w:val="1D1D1D"/>
          <w:sz w:val="22"/>
          <w:szCs w:val="22"/>
          <w:lang w:val="is-IS"/>
        </w:rPr>
        <w:t xml:space="preserve">einn </w:t>
      </w:r>
      <w:r w:rsidR="00D44972" w:rsidRPr="00D44972">
        <w:rPr>
          <w:rFonts w:ascii="Times" w:hAnsi="Times" w:cs="Times New Roman"/>
          <w:color w:val="1D1D1D"/>
          <w:sz w:val="22"/>
          <w:szCs w:val="22"/>
          <w:lang w:val="is-IS"/>
        </w:rPr>
        <w:t>mats</w:t>
      </w:r>
      <w:r w:rsidRPr="00D44972">
        <w:rPr>
          <w:rFonts w:ascii="Times" w:hAnsi="Times" w:cs="Times New Roman"/>
          <w:color w:val="1D1D1D"/>
          <w:sz w:val="22"/>
          <w:szCs w:val="22"/>
          <w:lang w:val="is-IS"/>
        </w:rPr>
        <w:t xml:space="preserve">þáttur hafi ekki </w:t>
      </w:r>
      <w:r w:rsidRPr="00572A06">
        <w:rPr>
          <w:rFonts w:ascii="Times" w:hAnsi="Times" w:cs="Times New Roman"/>
          <w:color w:val="1D1D1D"/>
          <w:sz w:val="22"/>
          <w:szCs w:val="22"/>
          <w:lang w:val="is-IS"/>
        </w:rPr>
        <w:t xml:space="preserve">óeðlileg áhrif </w:t>
      </w:r>
      <w:r w:rsidR="00E27BAF" w:rsidRPr="00572A06">
        <w:rPr>
          <w:rFonts w:ascii="Times" w:hAnsi="Times" w:cs="Times New Roman"/>
          <w:color w:val="1D1D1D"/>
          <w:sz w:val="22"/>
          <w:szCs w:val="22"/>
          <w:lang w:val="is-IS"/>
        </w:rPr>
        <w:t xml:space="preserve">til lækkunar </w:t>
      </w:r>
      <w:r w:rsidRPr="00572A06">
        <w:rPr>
          <w:rFonts w:ascii="Times" w:hAnsi="Times" w:cs="Times New Roman"/>
          <w:color w:val="1D1D1D"/>
          <w:sz w:val="22"/>
          <w:szCs w:val="22"/>
          <w:lang w:val="is-IS"/>
        </w:rPr>
        <w:t xml:space="preserve">á </w:t>
      </w:r>
      <w:r w:rsidR="00D44972" w:rsidRPr="00572A06">
        <w:rPr>
          <w:rFonts w:ascii="Times" w:hAnsi="Times" w:cs="Times New Roman"/>
          <w:color w:val="1D1D1D"/>
          <w:sz w:val="22"/>
          <w:szCs w:val="22"/>
          <w:lang w:val="is-IS"/>
        </w:rPr>
        <w:t>áhættuflokkun,</w:t>
      </w:r>
    </w:p>
    <w:p w14:paraId="7907F0A1" w14:textId="1F12B486" w:rsidR="00E27BAF" w:rsidRPr="00572A06" w:rsidRDefault="004B3C75" w:rsidP="00E27BAF">
      <w:pPr>
        <w:pStyle w:val="Mlsgreinlista"/>
        <w:widowControl w:val="0"/>
        <w:numPr>
          <w:ilvl w:val="0"/>
          <w:numId w:val="15"/>
        </w:numPr>
        <w:autoSpaceDE w:val="0"/>
        <w:autoSpaceDN w:val="0"/>
        <w:adjustRightInd w:val="0"/>
        <w:jc w:val="both"/>
        <w:rPr>
          <w:rFonts w:ascii="Times" w:hAnsi="Times" w:cs="Times New Roman"/>
          <w:color w:val="1D1D1D"/>
          <w:sz w:val="22"/>
          <w:szCs w:val="22"/>
          <w:lang w:val="is-IS"/>
        </w:rPr>
      </w:pPr>
      <w:r>
        <w:rPr>
          <w:rFonts w:ascii="Times" w:hAnsi="Times" w:cs="Times New Roman"/>
          <w:color w:val="1D1D1D"/>
          <w:sz w:val="22"/>
          <w:szCs w:val="22"/>
          <w:lang w:val="is-IS"/>
        </w:rPr>
        <w:t>á</w:t>
      </w:r>
      <w:r w:rsidR="00E27BAF" w:rsidRPr="00572A06">
        <w:rPr>
          <w:rFonts w:ascii="Times" w:hAnsi="Times" w:cs="Times New Roman"/>
          <w:color w:val="1D1D1D"/>
          <w:sz w:val="22"/>
          <w:szCs w:val="22"/>
          <w:lang w:val="is-IS"/>
        </w:rPr>
        <w:t>kvörðun um vægi einstakra áhættuþátta komi ekki í veg fyrir að samningssambönd geti verið flokkuð sem mikil áhætta,</w:t>
      </w:r>
    </w:p>
    <w:p w14:paraId="40A74214" w14:textId="136A7EE4" w:rsidR="00693831" w:rsidRPr="00572A06" w:rsidRDefault="00693831" w:rsidP="00693831">
      <w:pPr>
        <w:pStyle w:val="Mlsgreinlista"/>
        <w:widowControl w:val="0"/>
        <w:numPr>
          <w:ilvl w:val="0"/>
          <w:numId w:val="15"/>
        </w:numPr>
        <w:autoSpaceDE w:val="0"/>
        <w:autoSpaceDN w:val="0"/>
        <w:adjustRightInd w:val="0"/>
        <w:jc w:val="both"/>
        <w:rPr>
          <w:rFonts w:ascii="Times" w:hAnsi="Times" w:cs="Times New Roman"/>
          <w:color w:val="1D1D1D"/>
          <w:sz w:val="22"/>
          <w:szCs w:val="22"/>
          <w:lang w:val="is-IS"/>
        </w:rPr>
      </w:pPr>
      <w:r w:rsidRPr="00572A06">
        <w:rPr>
          <w:rFonts w:ascii="Times" w:hAnsi="Times" w:cs="Times New Roman"/>
          <w:color w:val="1D1D1D"/>
          <w:sz w:val="22"/>
          <w:szCs w:val="22"/>
          <w:lang w:val="is-IS"/>
        </w:rPr>
        <w:t xml:space="preserve">fjárhagsleg og hagnaðardrifin sjónarmið hafi ekki áhrif á </w:t>
      </w:r>
      <w:r w:rsidR="00100293" w:rsidRPr="00572A06">
        <w:rPr>
          <w:rFonts w:ascii="Times" w:hAnsi="Times" w:cs="Times New Roman"/>
          <w:color w:val="1D1D1D"/>
          <w:sz w:val="22"/>
          <w:szCs w:val="22"/>
          <w:lang w:val="is-IS"/>
        </w:rPr>
        <w:t>áhættuflokkun</w:t>
      </w:r>
      <w:r w:rsidR="00D44972" w:rsidRPr="00572A06">
        <w:rPr>
          <w:rFonts w:ascii="Times" w:hAnsi="Times" w:cs="Times New Roman"/>
          <w:color w:val="1D1D1D"/>
          <w:sz w:val="22"/>
          <w:szCs w:val="22"/>
          <w:lang w:val="is-IS"/>
        </w:rPr>
        <w:t>,</w:t>
      </w:r>
    </w:p>
    <w:p w14:paraId="6B9EE130" w14:textId="77777777" w:rsidR="00693831" w:rsidRPr="00572A06" w:rsidRDefault="00693831" w:rsidP="00693831">
      <w:pPr>
        <w:pStyle w:val="Mlsgreinlista"/>
        <w:widowControl w:val="0"/>
        <w:numPr>
          <w:ilvl w:val="0"/>
          <w:numId w:val="15"/>
        </w:numPr>
        <w:autoSpaceDE w:val="0"/>
        <w:autoSpaceDN w:val="0"/>
        <w:adjustRightInd w:val="0"/>
        <w:jc w:val="both"/>
        <w:rPr>
          <w:rFonts w:ascii="Times" w:hAnsi="Times" w:cs="Times New Roman"/>
          <w:color w:val="1D1D1D"/>
          <w:sz w:val="22"/>
          <w:szCs w:val="22"/>
          <w:lang w:val="is-IS"/>
        </w:rPr>
      </w:pPr>
      <w:r w:rsidRPr="00572A06">
        <w:rPr>
          <w:rFonts w:ascii="Times" w:hAnsi="Times" w:cs="Times New Roman"/>
          <w:color w:val="1D1D1D"/>
          <w:sz w:val="22"/>
          <w:szCs w:val="22"/>
          <w:lang w:val="is-IS"/>
        </w:rPr>
        <w:t xml:space="preserve">ákvæði laga nr. 140/2018 varðandi tilvik þar sem ávallt á að beita aukinni áreiðanleikakönnun gangi alltaf framar en </w:t>
      </w:r>
      <w:r w:rsidR="00D44972" w:rsidRPr="00572A06">
        <w:rPr>
          <w:rFonts w:ascii="Times" w:hAnsi="Times" w:cs="Times New Roman"/>
          <w:color w:val="1D1D1D"/>
          <w:sz w:val="22"/>
          <w:szCs w:val="22"/>
          <w:lang w:val="is-IS"/>
        </w:rPr>
        <w:t>áhættuflokkun</w:t>
      </w:r>
      <w:r w:rsidRPr="00572A06">
        <w:rPr>
          <w:rFonts w:ascii="Times" w:hAnsi="Times" w:cs="Times New Roman"/>
          <w:color w:val="1D1D1D"/>
          <w:sz w:val="22"/>
          <w:szCs w:val="22"/>
          <w:lang w:val="is-IS"/>
        </w:rPr>
        <w:t xml:space="preserve"> tilkynningarskylds aðila</w:t>
      </w:r>
      <w:r w:rsidR="006877D1" w:rsidRPr="00572A06">
        <w:rPr>
          <w:rFonts w:ascii="Times" w:hAnsi="Times" w:cs="Times New Roman"/>
          <w:color w:val="1D1D1D"/>
          <w:sz w:val="22"/>
          <w:szCs w:val="22"/>
          <w:lang w:val="is-IS"/>
        </w:rPr>
        <w:t>,</w:t>
      </w:r>
    </w:p>
    <w:p w14:paraId="4931EC2B" w14:textId="2BA43E11" w:rsidR="00693831" w:rsidRPr="00572A06" w:rsidRDefault="00693831" w:rsidP="00693831">
      <w:pPr>
        <w:pStyle w:val="Mlsgreinlista"/>
        <w:widowControl w:val="0"/>
        <w:numPr>
          <w:ilvl w:val="0"/>
          <w:numId w:val="15"/>
        </w:numPr>
        <w:autoSpaceDE w:val="0"/>
        <w:autoSpaceDN w:val="0"/>
        <w:adjustRightInd w:val="0"/>
        <w:jc w:val="both"/>
        <w:rPr>
          <w:rFonts w:ascii="Times" w:hAnsi="Times" w:cs="Times New Roman"/>
          <w:color w:val="1D1D1D"/>
          <w:sz w:val="22"/>
          <w:szCs w:val="22"/>
          <w:lang w:val="is-IS"/>
        </w:rPr>
      </w:pPr>
      <w:r w:rsidRPr="00572A06">
        <w:rPr>
          <w:rFonts w:ascii="Times" w:hAnsi="Times" w:cs="Times New Roman"/>
          <w:sz w:val="22"/>
          <w:szCs w:val="22"/>
          <w:lang w:val="is-IS"/>
        </w:rPr>
        <w:t>möguleiki sé á að ganga fram hjá sjálfvirk</w:t>
      </w:r>
      <w:r w:rsidR="00572A06" w:rsidRPr="00572A06">
        <w:rPr>
          <w:rFonts w:ascii="Times" w:hAnsi="Times" w:cs="Times New Roman"/>
          <w:sz w:val="22"/>
          <w:szCs w:val="22"/>
          <w:lang w:val="is-IS"/>
        </w:rPr>
        <w:t>ri</w:t>
      </w:r>
      <w:r w:rsidRPr="00572A06">
        <w:rPr>
          <w:rFonts w:ascii="Times" w:hAnsi="Times" w:cs="Times New Roman"/>
          <w:sz w:val="22"/>
          <w:szCs w:val="22"/>
          <w:lang w:val="is-IS"/>
        </w:rPr>
        <w:t xml:space="preserve"> áhættu</w:t>
      </w:r>
      <w:r w:rsidR="00572A06" w:rsidRPr="00572A06">
        <w:rPr>
          <w:rFonts w:ascii="Times" w:hAnsi="Times" w:cs="Times New Roman"/>
          <w:sz w:val="22"/>
          <w:szCs w:val="22"/>
          <w:lang w:val="is-IS"/>
        </w:rPr>
        <w:t>flokkun</w:t>
      </w:r>
      <w:r w:rsidRPr="00572A06">
        <w:rPr>
          <w:rFonts w:ascii="Times" w:hAnsi="Times" w:cs="Times New Roman"/>
          <w:sz w:val="22"/>
          <w:szCs w:val="22"/>
          <w:lang w:val="is-IS"/>
        </w:rPr>
        <w:t xml:space="preserve"> þar sem það er talið nauðsynlegt. Skjalfesta skal rökstuðning fyrir slíkri ákvörðun. </w:t>
      </w:r>
    </w:p>
    <w:p w14:paraId="1B3DFFAC" w14:textId="07ADA368" w:rsidR="00693831" w:rsidRPr="00C51685" w:rsidRDefault="00693831" w:rsidP="00693831">
      <w:pPr>
        <w:widowControl w:val="0"/>
        <w:autoSpaceDE w:val="0"/>
        <w:autoSpaceDN w:val="0"/>
        <w:adjustRightInd w:val="0"/>
        <w:ind w:firstLine="360"/>
        <w:jc w:val="both"/>
        <w:rPr>
          <w:rFonts w:ascii="Times" w:hAnsi="Times" w:cs="Times New Roman"/>
          <w:color w:val="1D1D1D"/>
          <w:sz w:val="22"/>
          <w:szCs w:val="22"/>
          <w:lang w:val="is-IS"/>
        </w:rPr>
      </w:pPr>
      <w:r w:rsidRPr="00693831">
        <w:rPr>
          <w:rFonts w:ascii="Times" w:hAnsi="Times" w:cs="Times New Roman"/>
          <w:color w:val="1D1D1D"/>
          <w:sz w:val="22"/>
          <w:szCs w:val="22"/>
          <w:lang w:val="is-IS"/>
        </w:rPr>
        <w:t>Tilkynningarskyldum aðilum er heimilt að nota sjálfvirk upplýsingatæknikerfi til þess að komast að niðurstöðu um áhættu</w:t>
      </w:r>
      <w:r w:rsidR="00A2779E">
        <w:rPr>
          <w:rFonts w:ascii="Times" w:hAnsi="Times" w:cs="Times New Roman"/>
          <w:color w:val="1D1D1D"/>
          <w:sz w:val="22"/>
          <w:szCs w:val="22"/>
          <w:lang w:val="is-IS"/>
        </w:rPr>
        <w:t>flokkun</w:t>
      </w:r>
      <w:r w:rsidRPr="00C51685">
        <w:rPr>
          <w:rFonts w:ascii="Times" w:hAnsi="Times" w:cs="Times New Roman"/>
          <w:color w:val="1D1D1D"/>
          <w:sz w:val="22"/>
          <w:szCs w:val="22"/>
          <w:lang w:val="is-IS"/>
        </w:rPr>
        <w:t xml:space="preserve"> </w:t>
      </w:r>
      <w:r w:rsidR="006A3811">
        <w:rPr>
          <w:rFonts w:ascii="Times" w:hAnsi="Times" w:cs="Times New Roman"/>
          <w:color w:val="1D1D1D"/>
          <w:sz w:val="22"/>
          <w:szCs w:val="22"/>
          <w:lang w:val="is-IS"/>
        </w:rPr>
        <w:t>í því skyni</w:t>
      </w:r>
      <w:r w:rsidRPr="00C51685">
        <w:rPr>
          <w:rFonts w:ascii="Times" w:hAnsi="Times" w:cs="Times New Roman"/>
          <w:color w:val="1D1D1D"/>
          <w:sz w:val="22"/>
          <w:szCs w:val="22"/>
          <w:lang w:val="is-IS"/>
        </w:rPr>
        <w:t xml:space="preserve"> að flokka samningssambönd og einstök viðskipti. Tilkynningarskyldur aðili þarf </w:t>
      </w:r>
      <w:r w:rsidR="00012726">
        <w:rPr>
          <w:rFonts w:ascii="Times" w:hAnsi="Times" w:cs="Times New Roman"/>
          <w:color w:val="1D1D1D"/>
          <w:sz w:val="22"/>
          <w:szCs w:val="22"/>
          <w:lang w:val="is-IS"/>
        </w:rPr>
        <w:t>geta útskýrt fyrir eftirlitsaðila</w:t>
      </w:r>
      <w:r w:rsidRPr="00C51685">
        <w:rPr>
          <w:rFonts w:ascii="Times" w:hAnsi="Times" w:cs="Times New Roman"/>
          <w:color w:val="1D1D1D"/>
          <w:sz w:val="22"/>
          <w:szCs w:val="22"/>
          <w:lang w:val="is-IS"/>
        </w:rPr>
        <w:t xml:space="preserve"> hvernig kerfið virkar og hvernig það sameinar áhættuþætti til þess að komast að endanlegri niðurstöðu varðandi áhættu</w:t>
      </w:r>
      <w:r w:rsidR="00572A06">
        <w:rPr>
          <w:rFonts w:ascii="Times" w:hAnsi="Times" w:cs="Times New Roman"/>
          <w:color w:val="1D1D1D"/>
          <w:sz w:val="22"/>
          <w:szCs w:val="22"/>
          <w:lang w:val="is-IS"/>
        </w:rPr>
        <w:t>flokkun</w:t>
      </w:r>
      <w:r w:rsidRPr="00C51685">
        <w:rPr>
          <w:rFonts w:ascii="Times" w:hAnsi="Times" w:cs="Times New Roman"/>
          <w:color w:val="1D1D1D"/>
          <w:sz w:val="22"/>
          <w:szCs w:val="22"/>
          <w:lang w:val="is-IS"/>
        </w:rPr>
        <w:t xml:space="preserve">. Tilkynningarskyldur aðili þarf að tryggja að niðurstaðan endurspegli skilning viðkomandi á hættu á peningaþvætti og fjármögnun hryðjuverka og geti rökstutt slíka niðurstöðu gagnvart eftirlitsaðilum. </w:t>
      </w:r>
    </w:p>
    <w:p w14:paraId="177981E5" w14:textId="77777777" w:rsidR="009F046D" w:rsidRPr="00212C35" w:rsidRDefault="009F046D">
      <w:pPr>
        <w:rPr>
          <w:rFonts w:ascii="Times" w:hAnsi="Times" w:cs="Times New Roman"/>
          <w:sz w:val="22"/>
          <w:szCs w:val="22"/>
        </w:rPr>
      </w:pPr>
    </w:p>
    <w:p w14:paraId="2B78FBD2" w14:textId="085E63B0" w:rsidR="00D17B95" w:rsidRDefault="00F837B3" w:rsidP="00A94012">
      <w:pPr>
        <w:widowControl w:val="0"/>
        <w:autoSpaceDE w:val="0"/>
        <w:autoSpaceDN w:val="0"/>
        <w:adjustRightInd w:val="0"/>
        <w:jc w:val="center"/>
        <w:rPr>
          <w:rFonts w:ascii="Times" w:hAnsi="Times" w:cs="Times New Roman"/>
          <w:color w:val="1D1D1D"/>
          <w:sz w:val="22"/>
          <w:szCs w:val="22"/>
          <w:lang w:val="is-IS"/>
        </w:rPr>
      </w:pPr>
      <w:r>
        <w:rPr>
          <w:rFonts w:ascii="Times" w:hAnsi="Times" w:cs="Times New Roman"/>
          <w:color w:val="1D1D1D"/>
          <w:sz w:val="22"/>
          <w:szCs w:val="22"/>
          <w:lang w:val="is-IS"/>
        </w:rPr>
        <w:t>8</w:t>
      </w:r>
      <w:r w:rsidR="00D17B95">
        <w:rPr>
          <w:rFonts w:ascii="Times" w:hAnsi="Times" w:cs="Times New Roman"/>
          <w:color w:val="1D1D1D"/>
          <w:sz w:val="22"/>
          <w:szCs w:val="22"/>
          <w:lang w:val="is-IS"/>
        </w:rPr>
        <w:t>. gr.</w:t>
      </w:r>
    </w:p>
    <w:p w14:paraId="5B6161A8" w14:textId="77777777" w:rsidR="00D17B95" w:rsidRPr="00C51685" w:rsidRDefault="00D17B95" w:rsidP="00A94012">
      <w:pPr>
        <w:widowControl w:val="0"/>
        <w:autoSpaceDE w:val="0"/>
        <w:autoSpaceDN w:val="0"/>
        <w:adjustRightInd w:val="0"/>
        <w:jc w:val="center"/>
        <w:rPr>
          <w:rFonts w:ascii="Times" w:hAnsi="Times" w:cs="Times New Roman"/>
          <w:i/>
          <w:color w:val="1D1D1D"/>
          <w:sz w:val="22"/>
          <w:szCs w:val="22"/>
          <w:lang w:val="is-IS"/>
        </w:rPr>
      </w:pPr>
      <w:r w:rsidRPr="00C51685">
        <w:rPr>
          <w:rFonts w:ascii="Times" w:hAnsi="Times" w:cs="Times New Roman"/>
          <w:i/>
          <w:color w:val="1D1D1D"/>
          <w:sz w:val="22"/>
          <w:szCs w:val="22"/>
          <w:lang w:val="is-IS"/>
        </w:rPr>
        <w:lastRenderedPageBreak/>
        <w:t>Notkun áhættumats</w:t>
      </w:r>
    </w:p>
    <w:p w14:paraId="41EC56FA" w14:textId="046959B8" w:rsidR="00693E87" w:rsidRPr="00572A06" w:rsidRDefault="00693E87" w:rsidP="00572A06">
      <w:pPr>
        <w:widowControl w:val="0"/>
        <w:autoSpaceDE w:val="0"/>
        <w:autoSpaceDN w:val="0"/>
        <w:adjustRightInd w:val="0"/>
        <w:ind w:firstLine="284"/>
        <w:jc w:val="both"/>
        <w:rPr>
          <w:rFonts w:ascii="Times" w:hAnsi="Times" w:cs="Times New Roman"/>
          <w:color w:val="242424"/>
          <w:sz w:val="22"/>
          <w:szCs w:val="22"/>
          <w:shd w:val="clear" w:color="auto" w:fill="FFFFFF"/>
          <w:lang w:val="is-IS"/>
        </w:rPr>
      </w:pPr>
      <w:r w:rsidRPr="00572A06">
        <w:rPr>
          <w:rFonts w:ascii="Times" w:hAnsi="Times" w:cs="Times New Roman"/>
          <w:color w:val="242424"/>
          <w:sz w:val="22"/>
          <w:szCs w:val="22"/>
          <w:shd w:val="clear" w:color="auto" w:fill="FFFFFF"/>
          <w:lang w:val="is-IS"/>
        </w:rPr>
        <w:t xml:space="preserve">Áhættumat er grundvöllur </w:t>
      </w:r>
      <w:r w:rsidR="006A3811">
        <w:rPr>
          <w:rFonts w:ascii="Times" w:hAnsi="Times" w:cs="Times New Roman"/>
          <w:color w:val="242424"/>
          <w:sz w:val="22"/>
          <w:szCs w:val="22"/>
          <w:shd w:val="clear" w:color="auto" w:fill="FFFFFF"/>
          <w:lang w:val="is-IS"/>
        </w:rPr>
        <w:t xml:space="preserve">ákvörðunar um </w:t>
      </w:r>
      <w:r w:rsidR="00572A06">
        <w:rPr>
          <w:rFonts w:ascii="Times" w:hAnsi="Times" w:cs="Times New Roman"/>
          <w:color w:val="242424"/>
          <w:sz w:val="22"/>
          <w:szCs w:val="22"/>
          <w:shd w:val="clear" w:color="auto" w:fill="FFFFFF"/>
          <w:lang w:val="is-IS"/>
        </w:rPr>
        <w:t>með hvaða hætti</w:t>
      </w:r>
      <w:r w:rsidRPr="00572A06">
        <w:rPr>
          <w:rFonts w:ascii="Times" w:hAnsi="Times" w:cs="Times New Roman"/>
          <w:color w:val="242424"/>
          <w:sz w:val="22"/>
          <w:szCs w:val="22"/>
          <w:shd w:val="clear" w:color="auto" w:fill="FFFFFF"/>
          <w:lang w:val="is-IS"/>
        </w:rPr>
        <w:t xml:space="preserve"> eftirlit með peningaþvætti og fjármögnun hryðjuverka skuli </w:t>
      </w:r>
      <w:r w:rsidR="00572A06">
        <w:rPr>
          <w:rFonts w:ascii="Times" w:hAnsi="Times" w:cs="Times New Roman"/>
          <w:color w:val="242424"/>
          <w:sz w:val="22"/>
          <w:szCs w:val="22"/>
          <w:shd w:val="clear" w:color="auto" w:fill="FFFFFF"/>
          <w:lang w:val="is-IS"/>
        </w:rPr>
        <w:t>framkvæmt hjá tilkynningarskyldum aðilum.</w:t>
      </w:r>
    </w:p>
    <w:p w14:paraId="22D192B5" w14:textId="72F15E02" w:rsidR="00693E87" w:rsidRPr="006A7AEC" w:rsidRDefault="00572A06" w:rsidP="006A7AEC">
      <w:pPr>
        <w:widowControl w:val="0"/>
        <w:autoSpaceDE w:val="0"/>
        <w:autoSpaceDN w:val="0"/>
        <w:adjustRightInd w:val="0"/>
        <w:ind w:firstLine="284"/>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 xml:space="preserve">Áhættumatið skal notað til </w:t>
      </w:r>
      <w:r w:rsidR="00795811">
        <w:rPr>
          <w:rFonts w:ascii="Times" w:hAnsi="Times" w:cs="Times New Roman"/>
          <w:color w:val="242424"/>
          <w:sz w:val="22"/>
          <w:szCs w:val="22"/>
          <w:shd w:val="clear" w:color="auto" w:fill="FFFFFF"/>
          <w:lang w:val="is-IS"/>
        </w:rPr>
        <w:t xml:space="preserve">að </w:t>
      </w:r>
      <w:r>
        <w:rPr>
          <w:rFonts w:ascii="Times" w:hAnsi="Times" w:cs="Times New Roman"/>
          <w:color w:val="242424"/>
          <w:sz w:val="22"/>
          <w:szCs w:val="22"/>
          <w:shd w:val="clear" w:color="auto" w:fill="FFFFFF"/>
          <w:lang w:val="is-IS"/>
        </w:rPr>
        <w:t xml:space="preserve">ákveða </w:t>
      </w:r>
      <w:r w:rsidR="006A7AEC">
        <w:rPr>
          <w:rFonts w:ascii="Times" w:hAnsi="Times" w:cs="Times New Roman"/>
          <w:color w:val="242424"/>
          <w:sz w:val="22"/>
          <w:szCs w:val="22"/>
          <w:shd w:val="clear" w:color="auto" w:fill="FFFFFF"/>
          <w:lang w:val="is-IS"/>
        </w:rPr>
        <w:t xml:space="preserve">tegund og </w:t>
      </w:r>
      <w:r>
        <w:rPr>
          <w:rFonts w:ascii="Times" w:hAnsi="Times" w:cs="Times New Roman"/>
          <w:color w:val="242424"/>
          <w:sz w:val="22"/>
          <w:szCs w:val="22"/>
          <w:shd w:val="clear" w:color="auto" w:fill="FFFFFF"/>
          <w:lang w:val="is-IS"/>
        </w:rPr>
        <w:t xml:space="preserve">umfang áreiðanleikakönnunar </w:t>
      </w:r>
      <w:r w:rsidR="00693E87" w:rsidRPr="006A7AEC">
        <w:rPr>
          <w:rFonts w:ascii="Times" w:hAnsi="Times" w:cs="Times New Roman"/>
          <w:color w:val="242424"/>
          <w:sz w:val="22"/>
          <w:szCs w:val="22"/>
          <w:shd w:val="clear" w:color="auto" w:fill="FFFFFF"/>
          <w:lang w:val="is-IS"/>
        </w:rPr>
        <w:t xml:space="preserve">sem framkvæma skal </w:t>
      </w:r>
      <w:r w:rsidR="006A7AEC">
        <w:rPr>
          <w:rFonts w:ascii="Times" w:hAnsi="Times" w:cs="Times New Roman"/>
          <w:color w:val="242424"/>
          <w:sz w:val="22"/>
          <w:szCs w:val="22"/>
          <w:shd w:val="clear" w:color="auto" w:fill="FFFFFF"/>
          <w:lang w:val="is-IS"/>
        </w:rPr>
        <w:t xml:space="preserve">vegna </w:t>
      </w:r>
      <w:r>
        <w:rPr>
          <w:rFonts w:ascii="Times" w:hAnsi="Times" w:cs="Times New Roman"/>
          <w:color w:val="242424"/>
          <w:sz w:val="22"/>
          <w:szCs w:val="22"/>
          <w:shd w:val="clear" w:color="auto" w:fill="FFFFFF"/>
          <w:lang w:val="is-IS"/>
        </w:rPr>
        <w:t>samningssamb</w:t>
      </w:r>
      <w:r w:rsidR="006A7AEC">
        <w:rPr>
          <w:rFonts w:ascii="Times" w:hAnsi="Times" w:cs="Times New Roman"/>
          <w:color w:val="242424"/>
          <w:sz w:val="22"/>
          <w:szCs w:val="22"/>
          <w:shd w:val="clear" w:color="auto" w:fill="FFFFFF"/>
          <w:lang w:val="is-IS"/>
        </w:rPr>
        <w:t>anda</w:t>
      </w:r>
      <w:r w:rsidR="00693E87" w:rsidRPr="006A7AEC">
        <w:rPr>
          <w:rFonts w:ascii="Times" w:hAnsi="Times" w:cs="Times New Roman"/>
          <w:color w:val="242424"/>
          <w:sz w:val="22"/>
          <w:szCs w:val="22"/>
          <w:shd w:val="clear" w:color="auto" w:fill="FFFFFF"/>
          <w:lang w:val="is-IS"/>
        </w:rPr>
        <w:t xml:space="preserve"> og einst</w:t>
      </w:r>
      <w:r w:rsidR="006A7AEC">
        <w:rPr>
          <w:rFonts w:ascii="Times" w:hAnsi="Times" w:cs="Times New Roman"/>
          <w:color w:val="242424"/>
          <w:sz w:val="22"/>
          <w:szCs w:val="22"/>
          <w:shd w:val="clear" w:color="auto" w:fill="FFFFFF"/>
          <w:lang w:val="is-IS"/>
        </w:rPr>
        <w:t>akra</w:t>
      </w:r>
      <w:r w:rsidR="00693E87" w:rsidRPr="006A7AEC">
        <w:rPr>
          <w:rFonts w:ascii="Times" w:hAnsi="Times" w:cs="Times New Roman"/>
          <w:color w:val="242424"/>
          <w:sz w:val="22"/>
          <w:szCs w:val="22"/>
          <w:shd w:val="clear" w:color="auto" w:fill="FFFFFF"/>
          <w:lang w:val="is-IS"/>
        </w:rPr>
        <w:t xml:space="preserve"> viðskipt</w:t>
      </w:r>
      <w:r w:rsidR="006A7AEC">
        <w:rPr>
          <w:rFonts w:ascii="Times" w:hAnsi="Times" w:cs="Times New Roman"/>
          <w:color w:val="242424"/>
          <w:sz w:val="22"/>
          <w:szCs w:val="22"/>
          <w:shd w:val="clear" w:color="auto" w:fill="FFFFFF"/>
          <w:lang w:val="is-IS"/>
        </w:rPr>
        <w:t xml:space="preserve">a, m.a. til þess að meta </w:t>
      </w:r>
      <w:r w:rsidR="006A3811">
        <w:rPr>
          <w:rFonts w:ascii="Times" w:hAnsi="Times" w:cs="Times New Roman"/>
          <w:color w:val="242424"/>
          <w:sz w:val="22"/>
          <w:szCs w:val="22"/>
          <w:shd w:val="clear" w:color="auto" w:fill="FFFFFF"/>
          <w:lang w:val="is-IS"/>
        </w:rPr>
        <w:t>í hvaða tilvikum</w:t>
      </w:r>
      <w:r w:rsidR="006A7AEC">
        <w:rPr>
          <w:rFonts w:ascii="Times" w:hAnsi="Times" w:cs="Times New Roman"/>
          <w:color w:val="242424"/>
          <w:sz w:val="22"/>
          <w:szCs w:val="22"/>
          <w:shd w:val="clear" w:color="auto" w:fill="FFFFFF"/>
          <w:lang w:val="is-IS"/>
        </w:rPr>
        <w:t xml:space="preserve"> beri að beita aukinni áreiðanleikakönnun og </w:t>
      </w:r>
      <w:r w:rsidR="006A3811">
        <w:rPr>
          <w:rFonts w:ascii="Times" w:hAnsi="Times" w:cs="Times New Roman"/>
          <w:color w:val="242424"/>
          <w:sz w:val="22"/>
          <w:szCs w:val="22"/>
          <w:shd w:val="clear" w:color="auto" w:fill="FFFFFF"/>
          <w:lang w:val="is-IS"/>
        </w:rPr>
        <w:t xml:space="preserve">hvenær </w:t>
      </w:r>
      <w:r w:rsidR="006A7AEC">
        <w:rPr>
          <w:rFonts w:ascii="Times" w:hAnsi="Times" w:cs="Times New Roman"/>
          <w:color w:val="242424"/>
          <w:sz w:val="22"/>
          <w:szCs w:val="22"/>
          <w:shd w:val="clear" w:color="auto" w:fill="FFFFFF"/>
          <w:lang w:val="is-IS"/>
        </w:rPr>
        <w:t>heimilt</w:t>
      </w:r>
      <w:r w:rsidR="006A3811">
        <w:rPr>
          <w:rFonts w:ascii="Times" w:hAnsi="Times" w:cs="Times New Roman"/>
          <w:color w:val="242424"/>
          <w:sz w:val="22"/>
          <w:szCs w:val="22"/>
          <w:shd w:val="clear" w:color="auto" w:fill="FFFFFF"/>
          <w:lang w:val="is-IS"/>
        </w:rPr>
        <w:t xml:space="preserve"> sé</w:t>
      </w:r>
      <w:r w:rsidR="006A7AEC">
        <w:rPr>
          <w:rFonts w:ascii="Times" w:hAnsi="Times" w:cs="Times New Roman"/>
          <w:color w:val="242424"/>
          <w:sz w:val="22"/>
          <w:szCs w:val="22"/>
          <w:shd w:val="clear" w:color="auto" w:fill="FFFFFF"/>
          <w:lang w:val="is-IS"/>
        </w:rPr>
        <w:t xml:space="preserve"> að beita einfaldaðri áreiðanleikakönnun.</w:t>
      </w:r>
    </w:p>
    <w:p w14:paraId="5CF5F415" w14:textId="77777777" w:rsidR="00826AC1" w:rsidRDefault="00826AC1" w:rsidP="00A94012">
      <w:pPr>
        <w:widowControl w:val="0"/>
        <w:autoSpaceDE w:val="0"/>
        <w:autoSpaceDN w:val="0"/>
        <w:adjustRightInd w:val="0"/>
        <w:jc w:val="center"/>
        <w:rPr>
          <w:rFonts w:ascii="Times" w:hAnsi="Times" w:cs="Times New Roman"/>
          <w:color w:val="1D1D1D"/>
          <w:sz w:val="22"/>
          <w:szCs w:val="22"/>
          <w:lang w:val="is-IS"/>
        </w:rPr>
      </w:pPr>
    </w:p>
    <w:p w14:paraId="62A1AAA9" w14:textId="624DC1F2" w:rsidR="009F046D" w:rsidRPr="00212C35" w:rsidRDefault="00F837B3" w:rsidP="009F046D">
      <w:pPr>
        <w:widowControl w:val="0"/>
        <w:autoSpaceDE w:val="0"/>
        <w:autoSpaceDN w:val="0"/>
        <w:adjustRightInd w:val="0"/>
        <w:jc w:val="center"/>
        <w:rPr>
          <w:rFonts w:ascii="Times" w:hAnsi="Times" w:cs="Times New Roman"/>
          <w:color w:val="1D1D1D"/>
          <w:sz w:val="22"/>
          <w:szCs w:val="22"/>
          <w:lang w:val="is-IS"/>
        </w:rPr>
      </w:pPr>
      <w:r>
        <w:rPr>
          <w:rFonts w:ascii="Times" w:hAnsi="Times" w:cs="Times New Roman"/>
          <w:color w:val="1D1D1D"/>
          <w:sz w:val="22"/>
          <w:szCs w:val="22"/>
          <w:lang w:val="is-IS"/>
        </w:rPr>
        <w:t>9</w:t>
      </w:r>
      <w:r w:rsidR="009F046D" w:rsidRPr="00212C35">
        <w:rPr>
          <w:rFonts w:ascii="Times" w:hAnsi="Times" w:cs="Times New Roman"/>
          <w:color w:val="1D1D1D"/>
          <w:sz w:val="22"/>
          <w:szCs w:val="22"/>
          <w:lang w:val="is-IS"/>
        </w:rPr>
        <w:t>. gr.</w:t>
      </w:r>
    </w:p>
    <w:p w14:paraId="6F1CF7D9" w14:textId="77777777" w:rsidR="00693831" w:rsidRDefault="00693831" w:rsidP="00693831">
      <w:pPr>
        <w:widowControl w:val="0"/>
        <w:autoSpaceDE w:val="0"/>
        <w:autoSpaceDN w:val="0"/>
        <w:adjustRightInd w:val="0"/>
        <w:jc w:val="center"/>
        <w:rPr>
          <w:rFonts w:ascii="Times" w:hAnsi="Times" w:cs="Times New Roman"/>
          <w:i/>
          <w:color w:val="242424"/>
          <w:sz w:val="22"/>
          <w:szCs w:val="22"/>
          <w:shd w:val="clear" w:color="auto" w:fill="FFFFFF"/>
          <w:lang w:val="is-IS"/>
        </w:rPr>
      </w:pPr>
      <w:r>
        <w:rPr>
          <w:rFonts w:ascii="Times" w:hAnsi="Times" w:cs="Times New Roman"/>
          <w:i/>
          <w:color w:val="242424"/>
          <w:sz w:val="22"/>
          <w:szCs w:val="22"/>
          <w:shd w:val="clear" w:color="auto" w:fill="FFFFFF"/>
          <w:lang w:val="is-IS"/>
        </w:rPr>
        <w:t xml:space="preserve">Vöktun og eftirlit </w:t>
      </w:r>
    </w:p>
    <w:p w14:paraId="6F19BA97" w14:textId="77777777" w:rsidR="00ED7BE8" w:rsidRPr="009E1DB9" w:rsidRDefault="00ED7BE8" w:rsidP="00ED7BE8">
      <w:pPr>
        <w:widowControl w:val="0"/>
        <w:autoSpaceDE w:val="0"/>
        <w:autoSpaceDN w:val="0"/>
        <w:adjustRightInd w:val="0"/>
        <w:ind w:firstLine="284"/>
        <w:jc w:val="both"/>
        <w:rPr>
          <w:rFonts w:ascii="Times" w:hAnsi="Times" w:cs="Times New Roman"/>
          <w:color w:val="242424"/>
          <w:sz w:val="22"/>
          <w:szCs w:val="22"/>
          <w:shd w:val="clear" w:color="auto" w:fill="FFFFFF"/>
          <w:lang w:val="is-IS"/>
        </w:rPr>
      </w:pPr>
      <w:r w:rsidRPr="009E1DB9">
        <w:rPr>
          <w:rFonts w:ascii="Times" w:hAnsi="Times" w:cs="Times New Roman"/>
          <w:color w:val="242424"/>
          <w:sz w:val="22"/>
          <w:szCs w:val="22"/>
          <w:shd w:val="clear" w:color="auto" w:fill="FFFFFF"/>
          <w:lang w:val="is-IS"/>
        </w:rPr>
        <w:t xml:space="preserve">Tilkynningarskyldir aðilar skulu </w:t>
      </w:r>
      <w:r>
        <w:rPr>
          <w:rFonts w:ascii="Times" w:hAnsi="Times" w:cs="Times New Roman"/>
          <w:color w:val="242424"/>
          <w:sz w:val="22"/>
          <w:szCs w:val="22"/>
          <w:shd w:val="clear" w:color="auto" w:fill="FFFFFF"/>
          <w:lang w:val="is-IS"/>
        </w:rPr>
        <w:t xml:space="preserve">viðhafa reglulega vöktun og eftirlit með áhættumati sínu og uppfæra það á tveggja ára fresti eða oftar ef tilefni er til. </w:t>
      </w:r>
    </w:p>
    <w:p w14:paraId="49182D23" w14:textId="77777777" w:rsidR="00ED7BE8" w:rsidRDefault="00ED7BE8" w:rsidP="00ED7BE8">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 xml:space="preserve">Vöktun og eftirlit skv. 1. mgr. skal felast í því að tryggja að: </w:t>
      </w:r>
    </w:p>
    <w:p w14:paraId="3F888257" w14:textId="77777777" w:rsidR="00ED7BE8" w:rsidRPr="00344009" w:rsidRDefault="00ED7BE8" w:rsidP="00ED7BE8">
      <w:pPr>
        <w:pStyle w:val="Mlsgreinlista"/>
        <w:widowControl w:val="0"/>
        <w:numPr>
          <w:ilvl w:val="0"/>
          <w:numId w:val="18"/>
        </w:numPr>
        <w:autoSpaceDE w:val="0"/>
        <w:autoSpaceDN w:val="0"/>
        <w:adjustRightInd w:val="0"/>
        <w:jc w:val="both"/>
        <w:rPr>
          <w:rFonts w:ascii="Times" w:hAnsi="Times" w:cs="Times New Roman"/>
          <w:color w:val="242424"/>
          <w:sz w:val="22"/>
          <w:szCs w:val="22"/>
          <w:shd w:val="clear" w:color="auto" w:fill="FFFFFF"/>
          <w:lang w:val="is-IS"/>
        </w:rPr>
      </w:pPr>
      <w:r w:rsidRPr="00873552">
        <w:rPr>
          <w:rFonts w:ascii="Times" w:hAnsi="Times" w:cs="Times New Roman"/>
          <w:color w:val="242424"/>
          <w:sz w:val="22"/>
          <w:szCs w:val="22"/>
          <w:shd w:val="clear" w:color="auto" w:fill="FFFFFF"/>
          <w:lang w:val="is-IS"/>
        </w:rPr>
        <w:t xml:space="preserve">viðskiptamenn séu áhættuflokkaðir í samræmi við þau viðskipti sem þeir stunda, </w:t>
      </w:r>
    </w:p>
    <w:p w14:paraId="72FD0949" w14:textId="77777777" w:rsidR="00ED7BE8" w:rsidRDefault="00ED7BE8" w:rsidP="00ED7BE8">
      <w:pPr>
        <w:pStyle w:val="Mlsgreinlista"/>
        <w:widowControl w:val="0"/>
        <w:numPr>
          <w:ilvl w:val="0"/>
          <w:numId w:val="18"/>
        </w:numPr>
        <w:autoSpaceDE w:val="0"/>
        <w:autoSpaceDN w:val="0"/>
        <w:adjustRightInd w:val="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 xml:space="preserve">gögn og upplýsingar um viðskiptasambönd séu uppfærð til að </w:t>
      </w:r>
      <w:r w:rsidRPr="00873552">
        <w:rPr>
          <w:rFonts w:ascii="Times" w:hAnsi="Times" w:cs="Times New Roman"/>
          <w:color w:val="242424"/>
          <w:sz w:val="22"/>
          <w:szCs w:val="22"/>
          <w:shd w:val="clear" w:color="auto" w:fill="FFFFFF"/>
          <w:lang w:val="is-IS"/>
        </w:rPr>
        <w:t>met</w:t>
      </w:r>
      <w:r>
        <w:rPr>
          <w:rFonts w:ascii="Times" w:hAnsi="Times" w:cs="Times New Roman"/>
          <w:color w:val="242424"/>
          <w:sz w:val="22"/>
          <w:szCs w:val="22"/>
          <w:shd w:val="clear" w:color="auto" w:fill="FFFFFF"/>
          <w:lang w:val="is-IS"/>
        </w:rPr>
        <w:t xml:space="preserve">a </w:t>
      </w:r>
      <w:r w:rsidRPr="00873552">
        <w:rPr>
          <w:rFonts w:ascii="Times" w:hAnsi="Times" w:cs="Times New Roman"/>
          <w:color w:val="242424"/>
          <w:sz w:val="22"/>
          <w:szCs w:val="22"/>
          <w:shd w:val="clear" w:color="auto" w:fill="FFFFFF"/>
          <w:lang w:val="is-IS"/>
        </w:rPr>
        <w:t>hvort áhætta vegna viðskiptasamband</w:t>
      </w:r>
      <w:r>
        <w:rPr>
          <w:rFonts w:ascii="Times" w:hAnsi="Times" w:cs="Times New Roman"/>
          <w:color w:val="242424"/>
          <w:sz w:val="22"/>
          <w:szCs w:val="22"/>
          <w:shd w:val="clear" w:color="auto" w:fill="FFFFFF"/>
          <w:lang w:val="is-IS"/>
        </w:rPr>
        <w:t>sins</w:t>
      </w:r>
      <w:r w:rsidRPr="00873552">
        <w:rPr>
          <w:rFonts w:ascii="Times" w:hAnsi="Times" w:cs="Times New Roman"/>
          <w:color w:val="242424"/>
          <w:sz w:val="22"/>
          <w:szCs w:val="22"/>
          <w:shd w:val="clear" w:color="auto" w:fill="FFFFFF"/>
          <w:lang w:val="is-IS"/>
        </w:rPr>
        <w:t xml:space="preserve"> hafi breyst,</w:t>
      </w:r>
    </w:p>
    <w:p w14:paraId="705A32DF" w14:textId="77777777" w:rsidR="00ED7BE8" w:rsidRDefault="00ED7BE8" w:rsidP="00ED7BE8">
      <w:pPr>
        <w:pStyle w:val="Mlsgreinlista"/>
        <w:widowControl w:val="0"/>
        <w:numPr>
          <w:ilvl w:val="0"/>
          <w:numId w:val="18"/>
        </w:numPr>
        <w:autoSpaceDE w:val="0"/>
        <w:autoSpaceDN w:val="0"/>
        <w:adjustRightInd w:val="0"/>
        <w:jc w:val="both"/>
        <w:rPr>
          <w:rFonts w:ascii="Times" w:hAnsi="Times" w:cs="Times New Roman"/>
          <w:color w:val="242424"/>
          <w:sz w:val="22"/>
          <w:szCs w:val="22"/>
          <w:shd w:val="clear" w:color="auto" w:fill="FFFFFF"/>
          <w:lang w:val="is-IS"/>
        </w:rPr>
      </w:pPr>
      <w:r w:rsidRPr="00873552">
        <w:rPr>
          <w:rFonts w:ascii="Times" w:hAnsi="Times" w:cs="Times New Roman"/>
          <w:color w:val="242424"/>
          <w:sz w:val="22"/>
          <w:szCs w:val="22"/>
          <w:shd w:val="clear" w:color="auto" w:fill="FFFFFF"/>
          <w:lang w:val="is-IS"/>
        </w:rPr>
        <w:t>met</w:t>
      </w:r>
      <w:r>
        <w:rPr>
          <w:rFonts w:ascii="Times" w:hAnsi="Times" w:cs="Times New Roman"/>
          <w:color w:val="242424"/>
          <w:sz w:val="22"/>
          <w:szCs w:val="22"/>
          <w:shd w:val="clear" w:color="auto" w:fill="FFFFFF"/>
          <w:lang w:val="is-IS"/>
        </w:rPr>
        <w:t>ið sé</w:t>
      </w:r>
      <w:r w:rsidRPr="00873552">
        <w:rPr>
          <w:rFonts w:ascii="Times" w:hAnsi="Times" w:cs="Times New Roman"/>
          <w:color w:val="242424"/>
          <w:sz w:val="22"/>
          <w:szCs w:val="22"/>
          <w:shd w:val="clear" w:color="auto" w:fill="FFFFFF"/>
          <w:lang w:val="is-IS"/>
        </w:rPr>
        <w:t xml:space="preserve"> með reglubundnum hætti hvort viðskiptamaður sé í áhættuhópi vegna stjórnmálalegra tengsla,</w:t>
      </w:r>
    </w:p>
    <w:p w14:paraId="79E8783A" w14:textId="29B9D871" w:rsidR="00ED7BE8" w:rsidRPr="00873552" w:rsidRDefault="00ED7BE8" w:rsidP="00ED7BE8">
      <w:pPr>
        <w:pStyle w:val="Mlsgreinlista"/>
        <w:widowControl w:val="0"/>
        <w:numPr>
          <w:ilvl w:val="0"/>
          <w:numId w:val="18"/>
        </w:numPr>
        <w:autoSpaceDE w:val="0"/>
        <w:autoSpaceDN w:val="0"/>
        <w:adjustRightInd w:val="0"/>
        <w:jc w:val="both"/>
        <w:rPr>
          <w:rFonts w:ascii="Times" w:hAnsi="Times" w:cs="Times New Roman"/>
          <w:color w:val="242424"/>
          <w:sz w:val="22"/>
          <w:szCs w:val="22"/>
          <w:shd w:val="clear" w:color="auto" w:fill="FFFFFF"/>
          <w:lang w:val="is-IS"/>
        </w:rPr>
      </w:pPr>
      <w:r w:rsidRPr="00873552">
        <w:rPr>
          <w:rFonts w:ascii="Times" w:hAnsi="Times" w:cs="Times New Roman"/>
          <w:color w:val="242424"/>
          <w:sz w:val="22"/>
          <w:szCs w:val="22"/>
          <w:shd w:val="clear" w:color="auto" w:fill="FFFFFF"/>
          <w:lang w:val="is-IS"/>
        </w:rPr>
        <w:t xml:space="preserve">vitað sé </w:t>
      </w:r>
      <w:r w:rsidR="00E37E62">
        <w:rPr>
          <w:rFonts w:ascii="Times" w:hAnsi="Times" w:cs="Times New Roman"/>
          <w:color w:val="242424"/>
          <w:sz w:val="22"/>
          <w:szCs w:val="22"/>
          <w:shd w:val="clear" w:color="auto" w:fill="FFFFFF"/>
          <w:lang w:val="is-IS"/>
        </w:rPr>
        <w:t xml:space="preserve">um </w:t>
      </w:r>
      <w:r w:rsidRPr="00873552">
        <w:rPr>
          <w:rFonts w:ascii="Times" w:hAnsi="Times" w:cs="Times New Roman"/>
          <w:color w:val="242424"/>
          <w:sz w:val="22"/>
          <w:szCs w:val="22"/>
          <w:shd w:val="clear" w:color="auto" w:fill="FFFFFF"/>
          <w:lang w:val="is-IS"/>
        </w:rPr>
        <w:t>uppruna þess fjár sem notað er í viðskiptum,</w:t>
      </w:r>
      <w:r>
        <w:rPr>
          <w:rFonts w:ascii="Times" w:hAnsi="Times" w:cs="Times New Roman"/>
          <w:color w:val="242424"/>
          <w:sz w:val="22"/>
          <w:szCs w:val="22"/>
          <w:shd w:val="clear" w:color="auto" w:fill="FFFFFF"/>
          <w:lang w:val="is-IS"/>
        </w:rPr>
        <w:t xml:space="preserve"> þegar það á við; og</w:t>
      </w:r>
    </w:p>
    <w:p w14:paraId="66593245" w14:textId="77777777" w:rsidR="00ED7BE8" w:rsidRPr="0028398B" w:rsidRDefault="00ED7BE8" w:rsidP="00ED7BE8">
      <w:pPr>
        <w:pStyle w:val="Mlsgreinlista"/>
        <w:widowControl w:val="0"/>
        <w:numPr>
          <w:ilvl w:val="0"/>
          <w:numId w:val="18"/>
        </w:numPr>
        <w:autoSpaceDE w:val="0"/>
        <w:autoSpaceDN w:val="0"/>
        <w:adjustRightInd w:val="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viðhaft sé aukið eða kerfisbundið eftirlit með áhættumeiri viðskiptum og viðskiptasamböndum.</w:t>
      </w:r>
    </w:p>
    <w:p w14:paraId="06EA5BCF" w14:textId="13DFD161" w:rsidR="00ED7BE8" w:rsidRDefault="00ED7BE8" w:rsidP="00ED7BE8">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 xml:space="preserve">Sýni niðurstaða áhættumats litla áhættu má aðlaga eftirlit með viðskiptasambandi þannig að gögn og upplýsingar séu uppfærðar sjaldnar eða </w:t>
      </w:r>
      <w:r w:rsidR="00DA571B">
        <w:rPr>
          <w:rFonts w:ascii="Times" w:hAnsi="Times" w:cs="Times New Roman"/>
          <w:color w:val="242424"/>
          <w:sz w:val="22"/>
          <w:szCs w:val="22"/>
          <w:shd w:val="clear" w:color="auto" w:fill="FFFFFF"/>
          <w:lang w:val="is-IS"/>
        </w:rPr>
        <w:t xml:space="preserve">einungis í þeim tilvikum </w:t>
      </w:r>
      <w:r>
        <w:rPr>
          <w:rFonts w:ascii="Times" w:hAnsi="Times" w:cs="Times New Roman"/>
          <w:color w:val="242424"/>
          <w:sz w:val="22"/>
          <w:szCs w:val="22"/>
          <w:shd w:val="clear" w:color="auto" w:fill="FFFFFF"/>
          <w:lang w:val="is-IS"/>
        </w:rPr>
        <w:t xml:space="preserve">þegar viðskiptavinur bætir við sig vöru eða þjónustu sem telst áhættumeiri. Jafnframt er heimilt að haga eftirliti með þeim hætti að það fari fram þegar viðskipti fara yfir tiltekin fjárhæðarmörk. Slík fjárhæðarmörk skulu ákveðin með hliðsjón af hættu á peningaþvætti og fjármögnun hryðjuverka og vera hæfilega lág. Kerfi tilkynningarskyldra aðila skulu geta greint tengdar greiðslur sem myndu leiða til þess að viðskipti fari yfir þau fjárhæðarmörk sem tilkynningarskyldur aðili hefur sett. </w:t>
      </w:r>
    </w:p>
    <w:p w14:paraId="0AA53FF4" w14:textId="77777777" w:rsidR="009F046D" w:rsidRPr="00212C35" w:rsidRDefault="009F046D" w:rsidP="00693831">
      <w:pPr>
        <w:widowControl w:val="0"/>
        <w:autoSpaceDE w:val="0"/>
        <w:autoSpaceDN w:val="0"/>
        <w:adjustRightInd w:val="0"/>
        <w:rPr>
          <w:rFonts w:ascii="Times" w:hAnsi="Times" w:cs="Times New Roman"/>
          <w:i/>
          <w:color w:val="242424"/>
          <w:sz w:val="22"/>
          <w:szCs w:val="22"/>
          <w:shd w:val="clear" w:color="auto" w:fill="FFFFFF"/>
          <w:lang w:val="is-IS"/>
        </w:rPr>
      </w:pPr>
    </w:p>
    <w:p w14:paraId="00932EFD" w14:textId="603CBD38" w:rsidR="009F046D" w:rsidRPr="00212C35" w:rsidRDefault="009F046D" w:rsidP="009F046D">
      <w:pPr>
        <w:widowControl w:val="0"/>
        <w:autoSpaceDE w:val="0"/>
        <w:autoSpaceDN w:val="0"/>
        <w:adjustRightInd w:val="0"/>
        <w:jc w:val="center"/>
        <w:rPr>
          <w:rFonts w:ascii="Times" w:hAnsi="Times" w:cs="Times New Roman"/>
          <w:color w:val="1D1D1D"/>
          <w:sz w:val="22"/>
          <w:szCs w:val="22"/>
          <w:lang w:val="is-IS"/>
        </w:rPr>
      </w:pPr>
      <w:r w:rsidRPr="00212C35">
        <w:rPr>
          <w:rFonts w:ascii="Times" w:hAnsi="Times" w:cs="Times New Roman"/>
          <w:color w:val="1D1D1D"/>
          <w:sz w:val="22"/>
          <w:szCs w:val="22"/>
          <w:lang w:val="is-IS"/>
        </w:rPr>
        <w:t>1</w:t>
      </w:r>
      <w:r w:rsidR="00F837B3">
        <w:rPr>
          <w:rFonts w:ascii="Times" w:hAnsi="Times" w:cs="Times New Roman"/>
          <w:color w:val="1D1D1D"/>
          <w:sz w:val="22"/>
          <w:szCs w:val="22"/>
          <w:lang w:val="is-IS"/>
        </w:rPr>
        <w:t>0</w:t>
      </w:r>
      <w:r w:rsidRPr="00212C35">
        <w:rPr>
          <w:rFonts w:ascii="Times" w:hAnsi="Times" w:cs="Times New Roman"/>
          <w:color w:val="1D1D1D"/>
          <w:sz w:val="22"/>
          <w:szCs w:val="22"/>
          <w:lang w:val="is-IS"/>
        </w:rPr>
        <w:t>. gr.</w:t>
      </w:r>
    </w:p>
    <w:p w14:paraId="297E4DFE" w14:textId="77777777" w:rsidR="009F046D" w:rsidRPr="00212C35" w:rsidRDefault="00A2779E" w:rsidP="009F046D">
      <w:pPr>
        <w:widowControl w:val="0"/>
        <w:autoSpaceDE w:val="0"/>
        <w:autoSpaceDN w:val="0"/>
        <w:adjustRightInd w:val="0"/>
        <w:jc w:val="center"/>
        <w:rPr>
          <w:rFonts w:ascii="Times" w:hAnsi="Times" w:cs="Times New Roman"/>
          <w:i/>
          <w:color w:val="242424"/>
          <w:sz w:val="22"/>
          <w:szCs w:val="22"/>
          <w:shd w:val="clear" w:color="auto" w:fill="FFFFFF"/>
          <w:lang w:val="is-IS"/>
        </w:rPr>
      </w:pPr>
      <w:r>
        <w:rPr>
          <w:rFonts w:ascii="Times" w:hAnsi="Times" w:cs="Times New Roman"/>
          <w:i/>
          <w:color w:val="242424"/>
          <w:sz w:val="22"/>
          <w:szCs w:val="22"/>
          <w:shd w:val="clear" w:color="auto" w:fill="FFFFFF"/>
          <w:lang w:val="is-IS"/>
        </w:rPr>
        <w:t>Stýringar og verkferlar</w:t>
      </w:r>
    </w:p>
    <w:p w14:paraId="6D82D7F2" w14:textId="30B06AEA" w:rsidR="0028398B" w:rsidRDefault="004C7B72" w:rsidP="00A633A0">
      <w:pPr>
        <w:shd w:val="clear" w:color="auto" w:fill="FFFFFF"/>
        <w:jc w:val="both"/>
        <w:rPr>
          <w:rFonts w:ascii="Times" w:eastAsia="Times New Roman" w:hAnsi="Times" w:cs="Times New Roman"/>
          <w:color w:val="242424"/>
          <w:sz w:val="22"/>
          <w:szCs w:val="22"/>
          <w:shd w:val="clear" w:color="auto" w:fill="FFFFFF"/>
          <w:lang w:val="is-IS"/>
        </w:rPr>
      </w:pPr>
      <w:r w:rsidRPr="004C7B72">
        <w:rPr>
          <w:rFonts w:ascii="Times" w:eastAsia="Times New Roman" w:hAnsi="Times" w:cs="Times New Roman"/>
          <w:color w:val="242424"/>
          <w:sz w:val="22"/>
          <w:szCs w:val="22"/>
          <w:shd w:val="clear" w:color="auto" w:fill="FFFFFF"/>
          <w:lang w:val="is-IS"/>
        </w:rPr>
        <w:t xml:space="preserve">    Tilkynningarskyldir aðilar skulu hafa skjalfesta stefnu, stýringar og verkferla til að draga úr og stýra áhættu sem stafar af hættu á peningaþvætti og fjármögnun hryðjuverka. Ráðstafanir tilkynningarskyldra aðila samkvæmt þessu ákvæði skulu vera í samræmi við stærð, eðli og umfang starfsemi tilkynningarskylds aðila og </w:t>
      </w:r>
      <w:proofErr w:type="spellStart"/>
      <w:r w:rsidRPr="004C7B72">
        <w:rPr>
          <w:rFonts w:ascii="Times" w:eastAsia="Times New Roman" w:hAnsi="Times" w:cs="Times New Roman"/>
          <w:color w:val="242424"/>
          <w:sz w:val="22"/>
          <w:szCs w:val="22"/>
          <w:shd w:val="clear" w:color="auto" w:fill="FFFFFF"/>
          <w:lang w:val="is-IS"/>
        </w:rPr>
        <w:t>margbreytileika</w:t>
      </w:r>
      <w:proofErr w:type="spellEnd"/>
      <w:r w:rsidRPr="004C7B72">
        <w:rPr>
          <w:rFonts w:ascii="Times" w:eastAsia="Times New Roman" w:hAnsi="Times" w:cs="Times New Roman"/>
          <w:color w:val="242424"/>
          <w:sz w:val="22"/>
          <w:szCs w:val="22"/>
          <w:shd w:val="clear" w:color="auto" w:fill="FFFFFF"/>
          <w:lang w:val="is-IS"/>
        </w:rPr>
        <w:t xml:space="preserve"> starfseminnar</w:t>
      </w:r>
      <w:r w:rsidR="002F341F">
        <w:rPr>
          <w:rFonts w:ascii="Times" w:eastAsia="Times New Roman" w:hAnsi="Times" w:cs="Times New Roman"/>
          <w:color w:val="242424"/>
          <w:sz w:val="22"/>
          <w:szCs w:val="22"/>
          <w:shd w:val="clear" w:color="auto" w:fill="FFFFFF"/>
          <w:lang w:val="is-IS"/>
        </w:rPr>
        <w:t>,</w:t>
      </w:r>
      <w:r w:rsidR="00BA253A">
        <w:rPr>
          <w:rFonts w:ascii="Times" w:eastAsia="Times New Roman" w:hAnsi="Times" w:cs="Times New Roman"/>
          <w:color w:val="242424"/>
          <w:sz w:val="22"/>
          <w:szCs w:val="22"/>
          <w:shd w:val="clear" w:color="auto" w:fill="FFFFFF"/>
          <w:lang w:val="is-IS"/>
        </w:rPr>
        <w:t xml:space="preserve"> sbr. 5. gr. </w:t>
      </w:r>
      <w:r w:rsidR="00A633A0">
        <w:rPr>
          <w:rFonts w:ascii="Times" w:eastAsia="Times New Roman" w:hAnsi="Times" w:cs="Times New Roman"/>
          <w:color w:val="242424"/>
          <w:sz w:val="22"/>
          <w:szCs w:val="22"/>
          <w:shd w:val="clear" w:color="auto" w:fill="FFFFFF"/>
          <w:lang w:val="is-IS"/>
        </w:rPr>
        <w:t>l</w:t>
      </w:r>
      <w:r w:rsidR="00BA253A">
        <w:rPr>
          <w:rFonts w:ascii="Times" w:eastAsia="Times New Roman" w:hAnsi="Times" w:cs="Times New Roman"/>
          <w:color w:val="242424"/>
          <w:sz w:val="22"/>
          <w:szCs w:val="22"/>
          <w:shd w:val="clear" w:color="auto" w:fill="FFFFFF"/>
          <w:lang w:val="is-IS"/>
        </w:rPr>
        <w:t>aga nr. 140/2018.</w:t>
      </w:r>
    </w:p>
    <w:p w14:paraId="4FA35FFA" w14:textId="77777777" w:rsidR="009F046D" w:rsidRDefault="009F046D" w:rsidP="009F046D">
      <w:pPr>
        <w:widowControl w:val="0"/>
        <w:autoSpaceDE w:val="0"/>
        <w:autoSpaceDN w:val="0"/>
        <w:adjustRightInd w:val="0"/>
        <w:jc w:val="center"/>
        <w:rPr>
          <w:rFonts w:ascii="Times" w:hAnsi="Times" w:cs="Times New Roman"/>
          <w:color w:val="1D1D1D"/>
          <w:sz w:val="22"/>
          <w:szCs w:val="22"/>
          <w:lang w:val="is-IS"/>
        </w:rPr>
      </w:pPr>
    </w:p>
    <w:p w14:paraId="49A5E232" w14:textId="0324A8A8" w:rsidR="0062267E" w:rsidRPr="00212C35" w:rsidRDefault="00F837B3" w:rsidP="0062267E">
      <w:pPr>
        <w:widowControl w:val="0"/>
        <w:autoSpaceDE w:val="0"/>
        <w:autoSpaceDN w:val="0"/>
        <w:adjustRightInd w:val="0"/>
        <w:jc w:val="center"/>
        <w:rPr>
          <w:rFonts w:ascii="Times" w:hAnsi="Times" w:cs="Times New Roman"/>
          <w:color w:val="1D1D1D"/>
          <w:sz w:val="22"/>
          <w:szCs w:val="22"/>
          <w:lang w:val="is-IS"/>
        </w:rPr>
      </w:pPr>
      <w:r>
        <w:rPr>
          <w:rFonts w:ascii="Times" w:hAnsi="Times" w:cs="Times New Roman"/>
          <w:color w:val="1D1D1D"/>
          <w:sz w:val="22"/>
          <w:szCs w:val="22"/>
          <w:lang w:val="is-IS"/>
        </w:rPr>
        <w:t>11</w:t>
      </w:r>
      <w:r w:rsidR="0062267E" w:rsidRPr="00212C35">
        <w:rPr>
          <w:rFonts w:ascii="Times" w:hAnsi="Times" w:cs="Times New Roman"/>
          <w:color w:val="1D1D1D"/>
          <w:sz w:val="22"/>
          <w:szCs w:val="22"/>
          <w:lang w:val="is-IS"/>
        </w:rPr>
        <w:t>. gr.</w:t>
      </w:r>
    </w:p>
    <w:p w14:paraId="7BE372F9" w14:textId="77777777" w:rsidR="003E29A8" w:rsidRPr="003E29A8" w:rsidRDefault="0062267E" w:rsidP="003E29A8">
      <w:pPr>
        <w:widowControl w:val="0"/>
        <w:autoSpaceDE w:val="0"/>
        <w:autoSpaceDN w:val="0"/>
        <w:adjustRightInd w:val="0"/>
        <w:jc w:val="center"/>
        <w:rPr>
          <w:rFonts w:ascii="Times" w:hAnsi="Times" w:cs="Times New Roman"/>
          <w:i/>
          <w:color w:val="1D1D1D"/>
          <w:sz w:val="22"/>
          <w:szCs w:val="22"/>
          <w:lang w:val="is-IS"/>
        </w:rPr>
      </w:pPr>
      <w:r>
        <w:rPr>
          <w:rFonts w:ascii="Times" w:hAnsi="Times" w:cs="Times New Roman"/>
          <w:i/>
          <w:color w:val="1D1D1D"/>
          <w:sz w:val="22"/>
          <w:szCs w:val="22"/>
          <w:lang w:val="is-IS"/>
        </w:rPr>
        <w:t>Varðveisla gagna</w:t>
      </w:r>
    </w:p>
    <w:p w14:paraId="5FBEC05A" w14:textId="77777777" w:rsidR="00151824" w:rsidRDefault="003E29A8" w:rsidP="003E29A8">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sidRPr="003E29A8">
        <w:rPr>
          <w:rFonts w:ascii="Times" w:hAnsi="Times" w:cs="Times New Roman"/>
          <w:color w:val="242424"/>
          <w:sz w:val="22"/>
          <w:szCs w:val="22"/>
          <w:shd w:val="clear" w:color="auto" w:fill="FFFFFF"/>
          <w:lang w:val="is-IS"/>
        </w:rPr>
        <w:t xml:space="preserve"> Tilkynningarskyldir aðilar skulu varðveita </w:t>
      </w:r>
      <w:r w:rsidRPr="005C497E">
        <w:rPr>
          <w:rFonts w:ascii="Times" w:hAnsi="Times" w:cs="Times New Roman"/>
          <w:color w:val="1D1D1D"/>
          <w:sz w:val="22"/>
          <w:szCs w:val="22"/>
          <w:lang w:val="is-IS"/>
        </w:rPr>
        <w:t xml:space="preserve">öll </w:t>
      </w:r>
      <w:r w:rsidR="00151824" w:rsidRPr="003E29A8">
        <w:rPr>
          <w:rFonts w:ascii="Times" w:hAnsi="Times" w:cs="Times New Roman"/>
          <w:color w:val="242424"/>
          <w:sz w:val="22"/>
          <w:szCs w:val="22"/>
          <w:shd w:val="clear" w:color="auto" w:fill="FFFFFF"/>
          <w:lang w:val="is-IS"/>
        </w:rPr>
        <w:t xml:space="preserve">eftirfarandi gögn og upplýsingar, þar á meðal upplýsingar sem aflað hefur verið með rafrænum hætti, að lágmarki í fimm ár frá </w:t>
      </w:r>
      <w:r w:rsidR="00151824">
        <w:rPr>
          <w:rFonts w:ascii="Times" w:hAnsi="Times" w:cs="Times New Roman"/>
          <w:color w:val="242424"/>
          <w:sz w:val="22"/>
          <w:szCs w:val="22"/>
          <w:shd w:val="clear" w:color="auto" w:fill="FFFFFF"/>
          <w:lang w:val="is-IS"/>
        </w:rPr>
        <w:t>útgáfu áhættumats:</w:t>
      </w:r>
    </w:p>
    <w:p w14:paraId="33E62D50" w14:textId="77777777" w:rsidR="0006135C" w:rsidRPr="0006135C" w:rsidRDefault="00A633A0" w:rsidP="0006135C">
      <w:pPr>
        <w:pStyle w:val="Mlsgreinlista"/>
        <w:widowControl w:val="0"/>
        <w:numPr>
          <w:ilvl w:val="0"/>
          <w:numId w:val="12"/>
        </w:numPr>
        <w:autoSpaceDE w:val="0"/>
        <w:autoSpaceDN w:val="0"/>
        <w:adjustRightInd w:val="0"/>
        <w:jc w:val="both"/>
        <w:rPr>
          <w:rFonts w:ascii="Times" w:hAnsi="Times" w:cs="Times New Roman"/>
          <w:color w:val="1D1D1D"/>
          <w:sz w:val="22"/>
          <w:szCs w:val="22"/>
          <w:lang w:val="is-IS"/>
        </w:rPr>
      </w:pPr>
      <w:r>
        <w:rPr>
          <w:rFonts w:ascii="Times" w:hAnsi="Times" w:cs="Times New Roman"/>
          <w:color w:val="1D1D1D"/>
          <w:sz w:val="22"/>
          <w:szCs w:val="22"/>
          <w:lang w:val="is-IS"/>
        </w:rPr>
        <w:t>skjalfesta</w:t>
      </w:r>
      <w:r w:rsidR="0006135C" w:rsidRPr="0006135C">
        <w:rPr>
          <w:rFonts w:ascii="Times" w:hAnsi="Times" w:cs="Times New Roman"/>
          <w:color w:val="1D1D1D"/>
          <w:sz w:val="22"/>
          <w:szCs w:val="22"/>
          <w:lang w:val="is-IS"/>
        </w:rPr>
        <w:t xml:space="preserve"> aðferðarfræði við gerð áhættumats,</w:t>
      </w:r>
    </w:p>
    <w:p w14:paraId="20653021" w14:textId="2AB00022" w:rsidR="0006135C" w:rsidRPr="0006135C" w:rsidRDefault="0006135C" w:rsidP="0006135C">
      <w:pPr>
        <w:pStyle w:val="Mlsgreinlista"/>
        <w:widowControl w:val="0"/>
        <w:numPr>
          <w:ilvl w:val="0"/>
          <w:numId w:val="12"/>
        </w:numPr>
        <w:autoSpaceDE w:val="0"/>
        <w:autoSpaceDN w:val="0"/>
        <w:adjustRightInd w:val="0"/>
        <w:jc w:val="both"/>
        <w:rPr>
          <w:rFonts w:ascii="Times" w:hAnsi="Times" w:cs="Times New Roman"/>
          <w:color w:val="1D1D1D"/>
          <w:sz w:val="22"/>
          <w:szCs w:val="22"/>
          <w:lang w:val="is-IS"/>
        </w:rPr>
      </w:pPr>
      <w:r w:rsidRPr="0006135C">
        <w:rPr>
          <w:rFonts w:ascii="Times" w:hAnsi="Times" w:cs="Times New Roman"/>
          <w:color w:val="1D1D1D"/>
          <w:sz w:val="22"/>
          <w:szCs w:val="22"/>
          <w:lang w:val="is-IS"/>
        </w:rPr>
        <w:t xml:space="preserve">yfirlit yfir </w:t>
      </w:r>
      <w:r w:rsidR="002F341F">
        <w:rPr>
          <w:rFonts w:ascii="Times" w:hAnsi="Times" w:cs="Times New Roman"/>
          <w:color w:val="1D1D1D"/>
          <w:sz w:val="22"/>
          <w:szCs w:val="22"/>
          <w:lang w:val="is-IS"/>
        </w:rPr>
        <w:t>þau</w:t>
      </w:r>
      <w:r w:rsidRPr="0006135C">
        <w:rPr>
          <w:rFonts w:ascii="Times" w:hAnsi="Times" w:cs="Times New Roman"/>
          <w:color w:val="1D1D1D"/>
          <w:sz w:val="22"/>
          <w:szCs w:val="22"/>
          <w:lang w:val="is-IS"/>
        </w:rPr>
        <w:t xml:space="preserve"> g</w:t>
      </w:r>
      <w:r w:rsidR="002F341F">
        <w:rPr>
          <w:rFonts w:ascii="Times" w:hAnsi="Times" w:cs="Times New Roman"/>
          <w:color w:val="1D1D1D"/>
          <w:sz w:val="22"/>
          <w:szCs w:val="22"/>
          <w:lang w:val="is-IS"/>
        </w:rPr>
        <w:t>ö</w:t>
      </w:r>
      <w:r w:rsidRPr="0006135C">
        <w:rPr>
          <w:rFonts w:ascii="Times" w:hAnsi="Times" w:cs="Times New Roman"/>
          <w:color w:val="1D1D1D"/>
          <w:sz w:val="22"/>
          <w:szCs w:val="22"/>
          <w:lang w:val="is-IS"/>
        </w:rPr>
        <w:t>gn og upplýsinga</w:t>
      </w:r>
      <w:r w:rsidR="002F341F">
        <w:rPr>
          <w:rFonts w:ascii="Times" w:hAnsi="Times" w:cs="Times New Roman"/>
          <w:color w:val="1D1D1D"/>
          <w:sz w:val="22"/>
          <w:szCs w:val="22"/>
          <w:lang w:val="is-IS"/>
        </w:rPr>
        <w:t>r sem</w:t>
      </w:r>
      <w:r w:rsidRPr="0006135C">
        <w:rPr>
          <w:rFonts w:ascii="Times" w:hAnsi="Times" w:cs="Times New Roman"/>
          <w:color w:val="1D1D1D"/>
          <w:sz w:val="22"/>
          <w:szCs w:val="22"/>
          <w:lang w:val="is-IS"/>
        </w:rPr>
        <w:t xml:space="preserve"> aflað</w:t>
      </w:r>
      <w:r w:rsidR="002F341F">
        <w:rPr>
          <w:rFonts w:ascii="Times" w:hAnsi="Times" w:cs="Times New Roman"/>
          <w:color w:val="1D1D1D"/>
          <w:sz w:val="22"/>
          <w:szCs w:val="22"/>
          <w:lang w:val="is-IS"/>
        </w:rPr>
        <w:t xml:space="preserve"> var</w:t>
      </w:r>
      <w:r w:rsidRPr="0006135C">
        <w:rPr>
          <w:rFonts w:ascii="Times" w:hAnsi="Times" w:cs="Times New Roman"/>
          <w:color w:val="1D1D1D"/>
          <w:sz w:val="22"/>
          <w:szCs w:val="22"/>
          <w:lang w:val="is-IS"/>
        </w:rPr>
        <w:t xml:space="preserve"> við mat á hverjum áhættuþætti og hva</w:t>
      </w:r>
      <w:r w:rsidR="002F341F">
        <w:rPr>
          <w:rFonts w:ascii="Times" w:hAnsi="Times" w:cs="Times New Roman"/>
          <w:color w:val="1D1D1D"/>
          <w:sz w:val="22"/>
          <w:szCs w:val="22"/>
          <w:lang w:val="is-IS"/>
        </w:rPr>
        <w:t>ðan</w:t>
      </w:r>
      <w:r w:rsidRPr="0006135C">
        <w:rPr>
          <w:rFonts w:ascii="Times" w:hAnsi="Times" w:cs="Times New Roman"/>
          <w:color w:val="1D1D1D"/>
          <w:sz w:val="22"/>
          <w:szCs w:val="22"/>
          <w:lang w:val="is-IS"/>
        </w:rPr>
        <w:t xml:space="preserve"> þeirra var aflað</w:t>
      </w:r>
      <w:r>
        <w:rPr>
          <w:rFonts w:ascii="Times" w:hAnsi="Times" w:cs="Times New Roman"/>
          <w:color w:val="1D1D1D"/>
          <w:sz w:val="22"/>
          <w:szCs w:val="22"/>
          <w:lang w:val="is-IS"/>
        </w:rPr>
        <w:t>,</w:t>
      </w:r>
    </w:p>
    <w:p w14:paraId="64F42233" w14:textId="77777777" w:rsidR="0006135C" w:rsidRDefault="0006135C" w:rsidP="0006135C">
      <w:pPr>
        <w:pStyle w:val="Mlsgreinlista"/>
        <w:widowControl w:val="0"/>
        <w:numPr>
          <w:ilvl w:val="0"/>
          <w:numId w:val="12"/>
        </w:numPr>
        <w:autoSpaceDE w:val="0"/>
        <w:autoSpaceDN w:val="0"/>
        <w:adjustRightInd w:val="0"/>
        <w:jc w:val="both"/>
        <w:rPr>
          <w:rFonts w:ascii="Times" w:hAnsi="Times" w:cs="Times New Roman"/>
          <w:color w:val="1D1D1D"/>
          <w:sz w:val="22"/>
          <w:szCs w:val="22"/>
          <w:lang w:val="is-IS"/>
        </w:rPr>
      </w:pPr>
      <w:r w:rsidRPr="0006135C">
        <w:rPr>
          <w:rFonts w:ascii="Times" w:hAnsi="Times" w:cs="Times New Roman"/>
          <w:color w:val="1D1D1D"/>
          <w:sz w:val="22"/>
          <w:szCs w:val="22"/>
          <w:lang w:val="is-IS"/>
        </w:rPr>
        <w:t xml:space="preserve">undirbúningsgögn áhættumatsins, </w:t>
      </w:r>
    </w:p>
    <w:p w14:paraId="04D0F1EC" w14:textId="5FC2F701" w:rsidR="0006135C" w:rsidRDefault="00F837B3" w:rsidP="0006135C">
      <w:pPr>
        <w:pStyle w:val="Mlsgreinlista"/>
        <w:widowControl w:val="0"/>
        <w:numPr>
          <w:ilvl w:val="0"/>
          <w:numId w:val="12"/>
        </w:numPr>
        <w:autoSpaceDE w:val="0"/>
        <w:autoSpaceDN w:val="0"/>
        <w:adjustRightInd w:val="0"/>
        <w:jc w:val="both"/>
        <w:rPr>
          <w:rFonts w:ascii="Times" w:hAnsi="Times" w:cs="Times New Roman"/>
          <w:color w:val="1D1D1D"/>
          <w:sz w:val="22"/>
          <w:szCs w:val="22"/>
          <w:lang w:val="is-IS"/>
        </w:rPr>
      </w:pPr>
      <w:r>
        <w:rPr>
          <w:rFonts w:ascii="Times" w:hAnsi="Times" w:cs="Times New Roman"/>
          <w:color w:val="1D1D1D"/>
          <w:sz w:val="22"/>
          <w:szCs w:val="22"/>
          <w:lang w:val="is-IS"/>
        </w:rPr>
        <w:t>rökstuðning fyrir áhættuflokkun; og</w:t>
      </w:r>
    </w:p>
    <w:p w14:paraId="5EDD93B8" w14:textId="77777777" w:rsidR="00693E87" w:rsidRPr="0006135C" w:rsidRDefault="00693E87" w:rsidP="0006135C">
      <w:pPr>
        <w:pStyle w:val="Mlsgreinlista"/>
        <w:widowControl w:val="0"/>
        <w:numPr>
          <w:ilvl w:val="0"/>
          <w:numId w:val="12"/>
        </w:numPr>
        <w:autoSpaceDE w:val="0"/>
        <w:autoSpaceDN w:val="0"/>
        <w:adjustRightInd w:val="0"/>
        <w:jc w:val="both"/>
        <w:rPr>
          <w:rFonts w:ascii="Times" w:hAnsi="Times" w:cs="Times New Roman"/>
          <w:color w:val="1D1D1D"/>
          <w:sz w:val="22"/>
          <w:szCs w:val="22"/>
          <w:lang w:val="is-IS"/>
        </w:rPr>
      </w:pPr>
      <w:r>
        <w:rPr>
          <w:rFonts w:ascii="Times" w:hAnsi="Times" w:cs="Times New Roman"/>
          <w:color w:val="1D1D1D"/>
          <w:sz w:val="22"/>
          <w:szCs w:val="22"/>
          <w:lang w:val="is-IS"/>
        </w:rPr>
        <w:t>áhættumat</w:t>
      </w:r>
      <w:r w:rsidR="00A633A0">
        <w:rPr>
          <w:rFonts w:ascii="Times" w:hAnsi="Times" w:cs="Times New Roman"/>
          <w:color w:val="1D1D1D"/>
          <w:sz w:val="22"/>
          <w:szCs w:val="22"/>
          <w:lang w:val="is-IS"/>
        </w:rPr>
        <w:t>.</w:t>
      </w:r>
    </w:p>
    <w:p w14:paraId="7578E164" w14:textId="4B21D32D" w:rsidR="003E29A8" w:rsidRPr="00A633A0" w:rsidRDefault="00C51685" w:rsidP="00A633A0">
      <w:pPr>
        <w:widowControl w:val="0"/>
        <w:autoSpaceDE w:val="0"/>
        <w:autoSpaceDN w:val="0"/>
        <w:adjustRightInd w:val="0"/>
        <w:ind w:firstLine="360"/>
        <w:jc w:val="both"/>
        <w:rPr>
          <w:rFonts w:ascii="Times" w:hAnsi="Times" w:cs="Times New Roman"/>
          <w:color w:val="242424"/>
          <w:sz w:val="22"/>
          <w:szCs w:val="22"/>
          <w:shd w:val="clear" w:color="auto" w:fill="FFFFFF"/>
          <w:lang w:val="is-IS"/>
        </w:rPr>
      </w:pPr>
      <w:r w:rsidRPr="00A633A0">
        <w:rPr>
          <w:rFonts w:ascii="Times" w:hAnsi="Times" w:cs="Times New Roman"/>
          <w:color w:val="242424"/>
          <w:sz w:val="22"/>
          <w:szCs w:val="22"/>
          <w:shd w:val="clear" w:color="auto" w:fill="FFFFFF"/>
          <w:lang w:val="is-IS"/>
        </w:rPr>
        <w:t>Gögn samkvæmt 1. mgr. skulu varðveitt með þeim hætti að unnt sé að afhenda eftirlitsaðila þ</w:t>
      </w:r>
      <w:r w:rsidR="00A633A0" w:rsidRPr="00A633A0">
        <w:rPr>
          <w:rFonts w:ascii="Times" w:hAnsi="Times" w:cs="Times New Roman"/>
          <w:color w:val="242424"/>
          <w:sz w:val="22"/>
          <w:szCs w:val="22"/>
          <w:shd w:val="clear" w:color="auto" w:fill="FFFFFF"/>
          <w:lang w:val="is-IS"/>
        </w:rPr>
        <w:t>au án tafar sé þess óskað.</w:t>
      </w:r>
      <w:r w:rsidR="00A633A0">
        <w:rPr>
          <w:rFonts w:ascii="Times" w:hAnsi="Times" w:cs="Times New Roman"/>
          <w:color w:val="242424"/>
          <w:sz w:val="22"/>
          <w:szCs w:val="22"/>
          <w:shd w:val="clear" w:color="auto" w:fill="FFFFFF"/>
          <w:lang w:val="is-IS"/>
        </w:rPr>
        <w:t xml:space="preserve"> </w:t>
      </w:r>
    </w:p>
    <w:p w14:paraId="40FF17F8" w14:textId="77777777" w:rsidR="00AA7F3D" w:rsidRPr="004C7B72" w:rsidRDefault="00AA7F3D" w:rsidP="00D653CD">
      <w:pPr>
        <w:rPr>
          <w:rFonts w:ascii="Times New Roman" w:hAnsi="Times New Roman" w:cs="Times New Roman"/>
          <w:sz w:val="22"/>
          <w:szCs w:val="22"/>
          <w:lang w:val="is-IS"/>
        </w:rPr>
      </w:pPr>
    </w:p>
    <w:p w14:paraId="1930F079" w14:textId="77777777" w:rsidR="00B9013F" w:rsidRDefault="00B9013F">
      <w:pPr>
        <w:spacing w:after="160" w:line="259" w:lineRule="auto"/>
        <w:rPr>
          <w:rFonts w:ascii="Times New Roman" w:hAnsi="Times New Roman" w:cs="Times New Roman"/>
          <w:sz w:val="22"/>
          <w:szCs w:val="22"/>
          <w:lang w:val="is-IS"/>
        </w:rPr>
      </w:pPr>
      <w:r>
        <w:rPr>
          <w:rFonts w:ascii="Times New Roman" w:hAnsi="Times New Roman" w:cs="Times New Roman"/>
          <w:sz w:val="22"/>
          <w:szCs w:val="22"/>
          <w:lang w:val="is-IS"/>
        </w:rPr>
        <w:br w:type="page"/>
      </w:r>
    </w:p>
    <w:p w14:paraId="15476BAC" w14:textId="0027FD66" w:rsidR="005C129E" w:rsidRPr="004C7B72" w:rsidRDefault="005C129E" w:rsidP="00AA7F3D">
      <w:pPr>
        <w:jc w:val="center"/>
        <w:rPr>
          <w:rFonts w:ascii="Times New Roman" w:hAnsi="Times New Roman" w:cs="Times New Roman"/>
          <w:sz w:val="22"/>
          <w:szCs w:val="22"/>
          <w:lang w:val="is-IS"/>
        </w:rPr>
      </w:pPr>
      <w:r w:rsidRPr="004C7B72">
        <w:rPr>
          <w:rFonts w:ascii="Times New Roman" w:hAnsi="Times New Roman" w:cs="Times New Roman"/>
          <w:sz w:val="22"/>
          <w:szCs w:val="22"/>
          <w:lang w:val="is-IS"/>
        </w:rPr>
        <w:lastRenderedPageBreak/>
        <w:t>1</w:t>
      </w:r>
      <w:r w:rsidR="00F837B3">
        <w:rPr>
          <w:rFonts w:ascii="Times New Roman" w:hAnsi="Times New Roman" w:cs="Times New Roman"/>
          <w:sz w:val="22"/>
          <w:szCs w:val="22"/>
          <w:lang w:val="is-IS"/>
        </w:rPr>
        <w:t>2</w:t>
      </w:r>
      <w:r w:rsidR="00AA7F3D" w:rsidRPr="004C7B72">
        <w:rPr>
          <w:rFonts w:ascii="Times New Roman" w:hAnsi="Times New Roman" w:cs="Times New Roman"/>
          <w:sz w:val="22"/>
          <w:szCs w:val="22"/>
          <w:lang w:val="is-IS"/>
        </w:rPr>
        <w:t xml:space="preserve">. gr. </w:t>
      </w:r>
    </w:p>
    <w:p w14:paraId="6FFA7282" w14:textId="77777777" w:rsidR="00AA7F3D" w:rsidRPr="004C7B72" w:rsidRDefault="00AA7F3D" w:rsidP="00AA7F3D">
      <w:pPr>
        <w:jc w:val="center"/>
        <w:rPr>
          <w:rFonts w:ascii="Times New Roman" w:hAnsi="Times New Roman" w:cs="Times New Roman"/>
          <w:i/>
          <w:sz w:val="22"/>
          <w:szCs w:val="22"/>
          <w:lang w:val="is-IS"/>
        </w:rPr>
      </w:pPr>
      <w:r w:rsidRPr="004C7B72">
        <w:rPr>
          <w:rFonts w:ascii="Times New Roman" w:hAnsi="Times New Roman" w:cs="Times New Roman"/>
          <w:i/>
          <w:sz w:val="22"/>
          <w:szCs w:val="22"/>
          <w:lang w:val="is-IS"/>
        </w:rPr>
        <w:t>Upplýsingar til eftirlitsaðila</w:t>
      </w:r>
    </w:p>
    <w:p w14:paraId="7607DAF0" w14:textId="77777777" w:rsidR="00AA7F3D" w:rsidRPr="004C7B72" w:rsidRDefault="004C7B72" w:rsidP="004C7B72">
      <w:pPr>
        <w:widowControl w:val="0"/>
        <w:autoSpaceDE w:val="0"/>
        <w:autoSpaceDN w:val="0"/>
        <w:adjustRightInd w:val="0"/>
        <w:ind w:firstLine="284"/>
        <w:jc w:val="both"/>
        <w:rPr>
          <w:rFonts w:ascii="Times" w:hAnsi="Times" w:cs="Times New Roman"/>
          <w:color w:val="242424"/>
          <w:sz w:val="22"/>
          <w:szCs w:val="22"/>
          <w:shd w:val="clear" w:color="auto" w:fill="FFFFFF"/>
          <w:lang w:val="is-IS"/>
        </w:rPr>
      </w:pPr>
      <w:r w:rsidRPr="004C7B72">
        <w:rPr>
          <w:rFonts w:ascii="Times" w:hAnsi="Times" w:cs="Times New Roman"/>
          <w:color w:val="242424"/>
          <w:sz w:val="22"/>
          <w:szCs w:val="22"/>
          <w:shd w:val="clear" w:color="auto" w:fill="FFFFFF"/>
          <w:lang w:val="is-IS"/>
        </w:rPr>
        <w:t>   Eftirlitsaðilum og öðrum viðeigandi stjórnvöldum samkvæmt lögum þessum skal afhent afrit af áhættumati ef þess er óskað. </w:t>
      </w:r>
    </w:p>
    <w:p w14:paraId="266710D1" w14:textId="7C7B1C0C" w:rsidR="00AA7F3D" w:rsidRDefault="00AA7F3D" w:rsidP="008F5CB1">
      <w:pPr>
        <w:widowControl w:val="0"/>
        <w:autoSpaceDE w:val="0"/>
        <w:autoSpaceDN w:val="0"/>
        <w:adjustRightInd w:val="0"/>
        <w:jc w:val="center"/>
        <w:rPr>
          <w:rFonts w:ascii="Times" w:hAnsi="Times" w:cs="Times New Roman"/>
          <w:color w:val="242424"/>
          <w:sz w:val="22"/>
          <w:szCs w:val="22"/>
          <w:shd w:val="clear" w:color="auto" w:fill="FFFFFF"/>
          <w:lang w:val="is-IS"/>
        </w:rPr>
      </w:pPr>
    </w:p>
    <w:p w14:paraId="2F972DA6" w14:textId="6512ECA6" w:rsidR="00A4203A" w:rsidRPr="004C7B72" w:rsidRDefault="00A4203A" w:rsidP="00A4203A">
      <w:pPr>
        <w:jc w:val="center"/>
        <w:rPr>
          <w:rFonts w:ascii="Times New Roman" w:hAnsi="Times New Roman" w:cs="Times New Roman"/>
          <w:sz w:val="22"/>
          <w:szCs w:val="22"/>
          <w:lang w:val="is-IS"/>
        </w:rPr>
      </w:pPr>
      <w:r w:rsidRPr="004C7B72">
        <w:rPr>
          <w:rFonts w:ascii="Times New Roman" w:hAnsi="Times New Roman" w:cs="Times New Roman"/>
          <w:sz w:val="22"/>
          <w:szCs w:val="22"/>
          <w:lang w:val="is-IS"/>
        </w:rPr>
        <w:t>1</w:t>
      </w:r>
      <w:r>
        <w:rPr>
          <w:rFonts w:ascii="Times New Roman" w:hAnsi="Times New Roman" w:cs="Times New Roman"/>
          <w:sz w:val="22"/>
          <w:szCs w:val="22"/>
          <w:lang w:val="is-IS"/>
        </w:rPr>
        <w:t>3</w:t>
      </w:r>
      <w:r w:rsidRPr="004C7B72">
        <w:rPr>
          <w:rFonts w:ascii="Times New Roman" w:hAnsi="Times New Roman" w:cs="Times New Roman"/>
          <w:sz w:val="22"/>
          <w:szCs w:val="22"/>
          <w:lang w:val="is-IS"/>
        </w:rPr>
        <w:t xml:space="preserve">. gr. </w:t>
      </w:r>
    </w:p>
    <w:p w14:paraId="55BF1697" w14:textId="1E9078BC" w:rsidR="00A4203A" w:rsidRPr="004C7B72" w:rsidRDefault="00A4203A" w:rsidP="00A4203A">
      <w:pPr>
        <w:jc w:val="center"/>
        <w:rPr>
          <w:rFonts w:ascii="Times New Roman" w:hAnsi="Times New Roman" w:cs="Times New Roman"/>
          <w:i/>
          <w:sz w:val="22"/>
          <w:szCs w:val="22"/>
          <w:lang w:val="is-IS"/>
        </w:rPr>
      </w:pPr>
      <w:r>
        <w:rPr>
          <w:rFonts w:ascii="Times New Roman" w:hAnsi="Times New Roman" w:cs="Times New Roman"/>
          <w:i/>
          <w:sz w:val="22"/>
          <w:szCs w:val="22"/>
          <w:lang w:val="is-IS"/>
        </w:rPr>
        <w:t>Viðurlög</w:t>
      </w:r>
    </w:p>
    <w:p w14:paraId="1ED27E2B" w14:textId="0F611E50" w:rsidR="00A4203A" w:rsidRDefault="00A4203A" w:rsidP="00A4203A">
      <w:pPr>
        <w:widowControl w:val="0"/>
        <w:autoSpaceDE w:val="0"/>
        <w:autoSpaceDN w:val="0"/>
        <w:adjustRightInd w:val="0"/>
        <w:ind w:firstLine="284"/>
        <w:jc w:val="both"/>
        <w:rPr>
          <w:rFonts w:ascii="Times" w:hAnsi="Times" w:cs="Times New Roman"/>
          <w:color w:val="242424"/>
          <w:sz w:val="22"/>
          <w:szCs w:val="22"/>
          <w:shd w:val="clear" w:color="auto" w:fill="FFFFFF"/>
          <w:lang w:val="is-IS"/>
        </w:rPr>
      </w:pPr>
      <w:r>
        <w:rPr>
          <w:rFonts w:ascii="Times" w:hAnsi="Times" w:cs="Times New Roman"/>
          <w:color w:val="242424"/>
          <w:sz w:val="22"/>
          <w:szCs w:val="22"/>
          <w:shd w:val="clear" w:color="auto" w:fill="FFFFFF"/>
          <w:lang w:val="is-IS"/>
        </w:rPr>
        <w:t>Brot gegn eftirfarandi ákvæðum reglugerðarinnar geta varðað stjórnvaldssektum skv. 46. gr. laga um aðgerðir gegn peningaþvætti og fjármögnun hryðjuverka nr. 140/2018:</w:t>
      </w:r>
    </w:p>
    <w:p w14:paraId="63A96A33" w14:textId="4459A348" w:rsidR="00012726" w:rsidRDefault="00012726" w:rsidP="00012726">
      <w:pPr>
        <w:pStyle w:val="Mlsgreinlista"/>
        <w:widowControl w:val="0"/>
        <w:numPr>
          <w:ilvl w:val="0"/>
          <w:numId w:val="19"/>
        </w:numPr>
        <w:autoSpaceDE w:val="0"/>
        <w:autoSpaceDN w:val="0"/>
        <w:adjustRightInd w:val="0"/>
        <w:jc w:val="both"/>
        <w:rPr>
          <w:rFonts w:ascii="Times" w:hAnsi="Times" w:cs="Times New Roman"/>
          <w:sz w:val="22"/>
          <w:szCs w:val="22"/>
          <w:lang w:val="is-IS"/>
        </w:rPr>
      </w:pPr>
      <w:r w:rsidRPr="00012726">
        <w:rPr>
          <w:rFonts w:ascii="Times" w:hAnsi="Times" w:cs="Times New Roman"/>
          <w:sz w:val="22"/>
          <w:szCs w:val="22"/>
          <w:lang w:val="is-IS"/>
        </w:rPr>
        <w:t xml:space="preserve">vanræksla tilkynningarskylds aðila að </w:t>
      </w:r>
      <w:r w:rsidR="008F62AA">
        <w:rPr>
          <w:rFonts w:ascii="Times" w:hAnsi="Times" w:cs="Times New Roman"/>
          <w:sz w:val="22"/>
          <w:szCs w:val="22"/>
          <w:lang w:val="is-IS"/>
        </w:rPr>
        <w:t>gera skjalfesta aðferðarfræði</w:t>
      </w:r>
      <w:r w:rsidRPr="00012726">
        <w:rPr>
          <w:rFonts w:ascii="Times" w:hAnsi="Times" w:cs="Times New Roman"/>
          <w:sz w:val="22"/>
          <w:szCs w:val="22"/>
          <w:lang w:val="is-IS"/>
        </w:rPr>
        <w:t xml:space="preserve"> skv. 4. gr.</w:t>
      </w:r>
      <w:r>
        <w:rPr>
          <w:rFonts w:ascii="Times" w:hAnsi="Times" w:cs="Times New Roman"/>
          <w:sz w:val="22"/>
          <w:szCs w:val="22"/>
          <w:lang w:val="is-IS"/>
        </w:rPr>
        <w:t>,</w:t>
      </w:r>
    </w:p>
    <w:p w14:paraId="3908A662" w14:textId="6A5CFCFF" w:rsidR="00012726" w:rsidRDefault="00012726" w:rsidP="00012726">
      <w:pPr>
        <w:pStyle w:val="Mlsgreinlista"/>
        <w:widowControl w:val="0"/>
        <w:numPr>
          <w:ilvl w:val="0"/>
          <w:numId w:val="19"/>
        </w:numPr>
        <w:autoSpaceDE w:val="0"/>
        <w:autoSpaceDN w:val="0"/>
        <w:adjustRightInd w:val="0"/>
        <w:jc w:val="both"/>
        <w:rPr>
          <w:rFonts w:ascii="Times" w:hAnsi="Times" w:cs="Times New Roman"/>
          <w:sz w:val="22"/>
          <w:szCs w:val="22"/>
          <w:lang w:val="is-IS"/>
        </w:rPr>
      </w:pPr>
      <w:r>
        <w:rPr>
          <w:rFonts w:ascii="Times" w:hAnsi="Times" w:cs="Times New Roman"/>
          <w:sz w:val="22"/>
          <w:szCs w:val="22"/>
          <w:lang w:val="is-IS"/>
        </w:rPr>
        <w:t>vanræksla að viðhafa reglulegar vöktun og eftirlit með áhættumati skv. 9. gr.,</w:t>
      </w:r>
    </w:p>
    <w:p w14:paraId="4090284F" w14:textId="129146FC" w:rsidR="00012726" w:rsidRPr="00012726" w:rsidRDefault="00012726" w:rsidP="00012726">
      <w:pPr>
        <w:pStyle w:val="Mlsgreinlista"/>
        <w:widowControl w:val="0"/>
        <w:numPr>
          <w:ilvl w:val="0"/>
          <w:numId w:val="19"/>
        </w:numPr>
        <w:autoSpaceDE w:val="0"/>
        <w:autoSpaceDN w:val="0"/>
        <w:adjustRightInd w:val="0"/>
        <w:jc w:val="both"/>
        <w:rPr>
          <w:rFonts w:ascii="Times" w:hAnsi="Times" w:cs="Times New Roman"/>
          <w:sz w:val="22"/>
          <w:szCs w:val="22"/>
          <w:lang w:val="is-IS"/>
        </w:rPr>
      </w:pPr>
      <w:r>
        <w:rPr>
          <w:rFonts w:ascii="Times" w:hAnsi="Times" w:cs="Times New Roman"/>
          <w:sz w:val="22"/>
          <w:szCs w:val="22"/>
          <w:lang w:val="is-IS"/>
        </w:rPr>
        <w:t>vanræksla á því að varðveita gögn og upplýsingar skv. 11. gr.</w:t>
      </w:r>
    </w:p>
    <w:p w14:paraId="7FE5D7DD" w14:textId="77777777" w:rsidR="00A4203A" w:rsidRDefault="00A4203A" w:rsidP="00012726">
      <w:pPr>
        <w:widowControl w:val="0"/>
        <w:autoSpaceDE w:val="0"/>
        <w:autoSpaceDN w:val="0"/>
        <w:adjustRightInd w:val="0"/>
        <w:rPr>
          <w:rFonts w:ascii="Times" w:hAnsi="Times" w:cs="Times New Roman"/>
          <w:color w:val="242424"/>
          <w:sz w:val="22"/>
          <w:szCs w:val="22"/>
          <w:shd w:val="clear" w:color="auto" w:fill="FFFFFF"/>
          <w:lang w:val="is-IS"/>
        </w:rPr>
      </w:pPr>
    </w:p>
    <w:p w14:paraId="5AFCDD7E" w14:textId="2B6285BA" w:rsidR="005B00F5" w:rsidRPr="00212C35" w:rsidRDefault="008F5CB1" w:rsidP="008F5CB1">
      <w:pPr>
        <w:widowControl w:val="0"/>
        <w:autoSpaceDE w:val="0"/>
        <w:autoSpaceDN w:val="0"/>
        <w:adjustRightInd w:val="0"/>
        <w:jc w:val="center"/>
        <w:rPr>
          <w:rFonts w:ascii="Times" w:hAnsi="Times" w:cs="Times New Roman"/>
          <w:color w:val="242424"/>
          <w:sz w:val="22"/>
          <w:szCs w:val="22"/>
          <w:shd w:val="clear" w:color="auto" w:fill="FFFFFF"/>
          <w:lang w:val="is-IS"/>
        </w:rPr>
      </w:pPr>
      <w:r w:rsidRPr="00212C35">
        <w:rPr>
          <w:rFonts w:ascii="Times" w:hAnsi="Times" w:cs="Times New Roman"/>
          <w:color w:val="242424"/>
          <w:sz w:val="22"/>
          <w:szCs w:val="22"/>
          <w:shd w:val="clear" w:color="auto" w:fill="FFFFFF"/>
          <w:lang w:val="is-IS"/>
        </w:rPr>
        <w:t>1</w:t>
      </w:r>
      <w:r w:rsidR="00A4203A">
        <w:rPr>
          <w:rFonts w:ascii="Times" w:hAnsi="Times" w:cs="Times New Roman"/>
          <w:color w:val="242424"/>
          <w:sz w:val="22"/>
          <w:szCs w:val="22"/>
          <w:shd w:val="clear" w:color="auto" w:fill="FFFFFF"/>
          <w:lang w:val="is-IS"/>
        </w:rPr>
        <w:t>4</w:t>
      </w:r>
      <w:r w:rsidRPr="00212C35">
        <w:rPr>
          <w:rFonts w:ascii="Times" w:hAnsi="Times" w:cs="Times New Roman"/>
          <w:color w:val="242424"/>
          <w:sz w:val="22"/>
          <w:szCs w:val="22"/>
          <w:shd w:val="clear" w:color="auto" w:fill="FFFFFF"/>
          <w:lang w:val="is-IS"/>
        </w:rPr>
        <w:t>. gr.</w:t>
      </w:r>
    </w:p>
    <w:p w14:paraId="31CA1420" w14:textId="77777777" w:rsidR="008F5CB1" w:rsidRPr="00212C35" w:rsidRDefault="008F5CB1" w:rsidP="008F5CB1">
      <w:pPr>
        <w:widowControl w:val="0"/>
        <w:autoSpaceDE w:val="0"/>
        <w:autoSpaceDN w:val="0"/>
        <w:adjustRightInd w:val="0"/>
        <w:jc w:val="center"/>
        <w:rPr>
          <w:rFonts w:ascii="Times" w:hAnsi="Times" w:cs="Times New Roman"/>
          <w:i/>
          <w:color w:val="242424"/>
          <w:sz w:val="22"/>
          <w:szCs w:val="22"/>
          <w:shd w:val="clear" w:color="auto" w:fill="FFFFFF"/>
          <w:lang w:val="is-IS"/>
        </w:rPr>
      </w:pPr>
      <w:r w:rsidRPr="00212C35">
        <w:rPr>
          <w:rFonts w:ascii="Times" w:hAnsi="Times" w:cs="Times New Roman"/>
          <w:i/>
          <w:color w:val="242424"/>
          <w:sz w:val="22"/>
          <w:szCs w:val="22"/>
          <w:shd w:val="clear" w:color="auto" w:fill="FFFFFF"/>
          <w:lang w:val="is-IS"/>
        </w:rPr>
        <w:t>Gildistaka</w:t>
      </w:r>
    </w:p>
    <w:p w14:paraId="3072D1F0" w14:textId="77777777" w:rsidR="006877D1" w:rsidRPr="006877D1" w:rsidRDefault="006877D1" w:rsidP="006877D1">
      <w:pPr>
        <w:widowControl w:val="0"/>
        <w:autoSpaceDE w:val="0"/>
        <w:autoSpaceDN w:val="0"/>
        <w:adjustRightInd w:val="0"/>
        <w:ind w:firstLine="284"/>
        <w:jc w:val="both"/>
        <w:rPr>
          <w:rFonts w:ascii="Times" w:hAnsi="Times" w:cs="Times New Roman"/>
          <w:color w:val="242424"/>
          <w:sz w:val="22"/>
          <w:szCs w:val="22"/>
          <w:shd w:val="clear" w:color="auto" w:fill="FFFFFF"/>
          <w:lang w:val="is-IS"/>
        </w:rPr>
      </w:pPr>
      <w:r w:rsidRPr="006877D1">
        <w:rPr>
          <w:rFonts w:ascii="Times" w:hAnsi="Times" w:cs="Times New Roman"/>
          <w:color w:val="242424"/>
          <w:sz w:val="22"/>
          <w:szCs w:val="22"/>
          <w:shd w:val="clear" w:color="auto" w:fill="FFFFFF"/>
          <w:lang w:val="is-IS"/>
        </w:rPr>
        <w:t>Regluger</w:t>
      </w:r>
      <w:r>
        <w:rPr>
          <w:rFonts w:ascii="Times" w:hAnsi="Times" w:cs="Times New Roman"/>
          <w:color w:val="242424"/>
          <w:sz w:val="22"/>
          <w:szCs w:val="22"/>
          <w:shd w:val="clear" w:color="auto" w:fill="FFFFFF"/>
          <w:lang w:val="is-IS"/>
        </w:rPr>
        <w:t>ð þessi er sett með heimild í 56</w:t>
      </w:r>
      <w:r w:rsidRPr="006877D1">
        <w:rPr>
          <w:rFonts w:ascii="Times" w:hAnsi="Times" w:cs="Times New Roman"/>
          <w:color w:val="242424"/>
          <w:sz w:val="22"/>
          <w:szCs w:val="22"/>
          <w:shd w:val="clear" w:color="auto" w:fill="FFFFFF"/>
          <w:lang w:val="is-IS"/>
        </w:rPr>
        <w:t xml:space="preserve">. gr. laga um aðgerðir gegn peningaþvætti og fjármögnun hryðjuverka nr. </w:t>
      </w:r>
      <w:r>
        <w:rPr>
          <w:rFonts w:ascii="Times" w:hAnsi="Times" w:cs="Times New Roman"/>
          <w:color w:val="242424"/>
          <w:sz w:val="22"/>
          <w:szCs w:val="22"/>
          <w:shd w:val="clear" w:color="auto" w:fill="FFFFFF"/>
          <w:lang w:val="is-IS"/>
        </w:rPr>
        <w:t>140/2018</w:t>
      </w:r>
      <w:r w:rsidRPr="006877D1">
        <w:rPr>
          <w:rFonts w:ascii="Times" w:hAnsi="Times" w:cs="Times New Roman"/>
          <w:color w:val="242424"/>
          <w:sz w:val="22"/>
          <w:szCs w:val="22"/>
          <w:shd w:val="clear" w:color="auto" w:fill="FFFFFF"/>
          <w:lang w:val="is-IS"/>
        </w:rPr>
        <w:t xml:space="preserve"> og öðlast þegar gildi.</w:t>
      </w:r>
    </w:p>
    <w:p w14:paraId="3FECB483" w14:textId="77777777" w:rsidR="008F5CB1" w:rsidRDefault="008F5CB1" w:rsidP="006877D1">
      <w:pPr>
        <w:widowControl w:val="0"/>
        <w:autoSpaceDE w:val="0"/>
        <w:autoSpaceDN w:val="0"/>
        <w:adjustRightInd w:val="0"/>
        <w:ind w:firstLine="284"/>
        <w:jc w:val="both"/>
        <w:rPr>
          <w:rFonts w:ascii="Times" w:hAnsi="Times" w:cs="Times New Roman"/>
          <w:color w:val="242424"/>
          <w:sz w:val="22"/>
          <w:szCs w:val="22"/>
          <w:shd w:val="clear" w:color="auto" w:fill="FFFFFF"/>
          <w:lang w:val="is-IS"/>
        </w:rPr>
      </w:pPr>
    </w:p>
    <w:p w14:paraId="76D5D4A3" w14:textId="77777777" w:rsidR="00487CC0" w:rsidRDefault="00487CC0" w:rsidP="005B00F5">
      <w:pPr>
        <w:widowControl w:val="0"/>
        <w:autoSpaceDE w:val="0"/>
        <w:autoSpaceDN w:val="0"/>
        <w:adjustRightInd w:val="0"/>
        <w:jc w:val="both"/>
        <w:rPr>
          <w:rFonts w:ascii="Times" w:hAnsi="Times" w:cs="Times New Roman"/>
          <w:color w:val="242424"/>
          <w:sz w:val="22"/>
          <w:szCs w:val="22"/>
          <w:shd w:val="clear" w:color="auto" w:fill="FFFFFF"/>
          <w:lang w:val="is-IS"/>
        </w:rPr>
      </w:pPr>
    </w:p>
    <w:p w14:paraId="50824E0E" w14:textId="5679C459" w:rsidR="003E574D" w:rsidRPr="00212C35" w:rsidRDefault="003E574D" w:rsidP="00D653CD">
      <w:pPr>
        <w:spacing w:after="160" w:line="259" w:lineRule="auto"/>
        <w:rPr>
          <w:rFonts w:ascii="Times" w:hAnsi="Times" w:cs="Times New Roman"/>
          <w:sz w:val="22"/>
          <w:szCs w:val="22"/>
        </w:rPr>
      </w:pPr>
    </w:p>
    <w:sectPr w:rsidR="003E574D" w:rsidRPr="00212C35" w:rsidSect="00E00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2FC4"/>
    <w:multiLevelType w:val="hybridMultilevel"/>
    <w:tmpl w:val="5692899E"/>
    <w:lvl w:ilvl="0" w:tplc="040F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05658F2"/>
    <w:multiLevelType w:val="hybridMultilevel"/>
    <w:tmpl w:val="82186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226B7B"/>
    <w:multiLevelType w:val="hybridMultilevel"/>
    <w:tmpl w:val="E6F4B8D8"/>
    <w:lvl w:ilvl="0" w:tplc="06B217D6">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7D13C23"/>
    <w:multiLevelType w:val="hybridMultilevel"/>
    <w:tmpl w:val="4DAAC56E"/>
    <w:lvl w:ilvl="0" w:tplc="848ED99C">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9CC12AC"/>
    <w:multiLevelType w:val="hybridMultilevel"/>
    <w:tmpl w:val="13C85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7163C"/>
    <w:multiLevelType w:val="hybridMultilevel"/>
    <w:tmpl w:val="69D6AAFA"/>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441A55F8"/>
    <w:multiLevelType w:val="hybridMultilevel"/>
    <w:tmpl w:val="82186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BE73AE"/>
    <w:multiLevelType w:val="hybridMultilevel"/>
    <w:tmpl w:val="4CD02CEC"/>
    <w:lvl w:ilvl="0" w:tplc="040F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 w15:restartNumberingAfterBreak="0">
    <w:nsid w:val="4A7703E4"/>
    <w:multiLevelType w:val="hybridMultilevel"/>
    <w:tmpl w:val="CCC66AEE"/>
    <w:lvl w:ilvl="0" w:tplc="040F0019">
      <w:start w:val="1"/>
      <w:numFmt w:val="lowerLetter"/>
      <w:lvlText w:val="%1."/>
      <w:lvlJc w:val="left"/>
      <w:pPr>
        <w:ind w:left="720" w:hanging="360"/>
      </w:pPr>
    </w:lvl>
    <w:lvl w:ilvl="1" w:tplc="0409001B">
      <w:start w:val="1"/>
      <w:numFmt w:val="lowerRoman"/>
      <w:lvlText w:val="%2."/>
      <w:lvlJc w:val="righ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4CA17BF6"/>
    <w:multiLevelType w:val="hybridMultilevel"/>
    <w:tmpl w:val="B8262E42"/>
    <w:lvl w:ilvl="0" w:tplc="040F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4E9871C9"/>
    <w:multiLevelType w:val="hybridMultilevel"/>
    <w:tmpl w:val="015ECC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56CA3DBF"/>
    <w:multiLevelType w:val="hybridMultilevel"/>
    <w:tmpl w:val="6ADE59FA"/>
    <w:lvl w:ilvl="0" w:tplc="1AC6843C">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59F00E3B"/>
    <w:multiLevelType w:val="hybridMultilevel"/>
    <w:tmpl w:val="42646542"/>
    <w:lvl w:ilvl="0" w:tplc="040F0001">
      <w:start w:val="1"/>
      <w:numFmt w:val="bullet"/>
      <w:lvlText w:val=""/>
      <w:lvlJc w:val="left"/>
      <w:pPr>
        <w:ind w:left="780" w:hanging="360"/>
      </w:pPr>
      <w:rPr>
        <w:rFonts w:ascii="Symbol" w:hAnsi="Symbol"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13" w15:restartNumberingAfterBreak="0">
    <w:nsid w:val="684577C2"/>
    <w:multiLevelType w:val="hybridMultilevel"/>
    <w:tmpl w:val="29D4F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8686C"/>
    <w:multiLevelType w:val="hybridMultilevel"/>
    <w:tmpl w:val="8968E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367A9"/>
    <w:multiLevelType w:val="hybridMultilevel"/>
    <w:tmpl w:val="2FAEA8C6"/>
    <w:lvl w:ilvl="0" w:tplc="040F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6" w15:restartNumberingAfterBreak="0">
    <w:nsid w:val="72C0079D"/>
    <w:multiLevelType w:val="hybridMultilevel"/>
    <w:tmpl w:val="9992FA2A"/>
    <w:lvl w:ilvl="0" w:tplc="040F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abstractNumId w:val="11"/>
  </w:num>
  <w:num w:numId="2">
    <w:abstractNumId w:val="2"/>
  </w:num>
  <w:num w:numId="3">
    <w:abstractNumId w:val="3"/>
  </w:num>
  <w:num w:numId="4">
    <w:abstractNumId w:val="9"/>
  </w:num>
  <w:num w:numId="5">
    <w:abstractNumId w:val="0"/>
  </w:num>
  <w:num w:numId="6">
    <w:abstractNumId w:val="4"/>
  </w:num>
  <w:num w:numId="7">
    <w:abstractNumId w:val="6"/>
  </w:num>
  <w:num w:numId="8">
    <w:abstractNumId w:val="14"/>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2"/>
  </w:num>
  <w:num w:numId="15">
    <w:abstractNumId w:val="13"/>
  </w:num>
  <w:num w:numId="16">
    <w:abstractNumId w:val="5"/>
  </w:num>
  <w:num w:numId="17">
    <w:abstractNumId w:va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49"/>
    <w:rsid w:val="0000118D"/>
    <w:rsid w:val="00012726"/>
    <w:rsid w:val="000376A4"/>
    <w:rsid w:val="00041147"/>
    <w:rsid w:val="00047572"/>
    <w:rsid w:val="0006135C"/>
    <w:rsid w:val="00072A4F"/>
    <w:rsid w:val="000A30DE"/>
    <w:rsid w:val="000B6572"/>
    <w:rsid w:val="000E4CCD"/>
    <w:rsid w:val="000E618C"/>
    <w:rsid w:val="000F6E59"/>
    <w:rsid w:val="00100293"/>
    <w:rsid w:val="00131ED6"/>
    <w:rsid w:val="00151824"/>
    <w:rsid w:val="001D65E9"/>
    <w:rsid w:val="001E4E97"/>
    <w:rsid w:val="001E5BD4"/>
    <w:rsid w:val="001E5DB7"/>
    <w:rsid w:val="00201055"/>
    <w:rsid w:val="00212C35"/>
    <w:rsid w:val="002150AC"/>
    <w:rsid w:val="002213BD"/>
    <w:rsid w:val="00233C05"/>
    <w:rsid w:val="00257450"/>
    <w:rsid w:val="00260FF0"/>
    <w:rsid w:val="0028398B"/>
    <w:rsid w:val="00294376"/>
    <w:rsid w:val="002A2A3E"/>
    <w:rsid w:val="002A6377"/>
    <w:rsid w:val="002F341F"/>
    <w:rsid w:val="00302C12"/>
    <w:rsid w:val="003049F4"/>
    <w:rsid w:val="00344009"/>
    <w:rsid w:val="00367B2F"/>
    <w:rsid w:val="00392757"/>
    <w:rsid w:val="00392949"/>
    <w:rsid w:val="003A35CC"/>
    <w:rsid w:val="003D12C2"/>
    <w:rsid w:val="003D14C4"/>
    <w:rsid w:val="003D28D1"/>
    <w:rsid w:val="003E29A8"/>
    <w:rsid w:val="003E40E1"/>
    <w:rsid w:val="003E574D"/>
    <w:rsid w:val="00416ED8"/>
    <w:rsid w:val="00470BF7"/>
    <w:rsid w:val="004725CD"/>
    <w:rsid w:val="00487CC0"/>
    <w:rsid w:val="004B3C75"/>
    <w:rsid w:val="004C7B72"/>
    <w:rsid w:val="00537047"/>
    <w:rsid w:val="00537AEC"/>
    <w:rsid w:val="0054409B"/>
    <w:rsid w:val="00572A06"/>
    <w:rsid w:val="00592FFF"/>
    <w:rsid w:val="00594998"/>
    <w:rsid w:val="005A53CC"/>
    <w:rsid w:val="005B00F5"/>
    <w:rsid w:val="005B1293"/>
    <w:rsid w:val="005C129E"/>
    <w:rsid w:val="005C497E"/>
    <w:rsid w:val="005F25B2"/>
    <w:rsid w:val="0062267E"/>
    <w:rsid w:val="00651BC0"/>
    <w:rsid w:val="006877D1"/>
    <w:rsid w:val="00693831"/>
    <w:rsid w:val="00693E87"/>
    <w:rsid w:val="006A3811"/>
    <w:rsid w:val="006A7AEC"/>
    <w:rsid w:val="006B4D4C"/>
    <w:rsid w:val="006D7D4F"/>
    <w:rsid w:val="006F3479"/>
    <w:rsid w:val="00701525"/>
    <w:rsid w:val="007222DA"/>
    <w:rsid w:val="00727E01"/>
    <w:rsid w:val="0073171C"/>
    <w:rsid w:val="00733061"/>
    <w:rsid w:val="00757086"/>
    <w:rsid w:val="00761561"/>
    <w:rsid w:val="00795811"/>
    <w:rsid w:val="007A7931"/>
    <w:rsid w:val="007B420E"/>
    <w:rsid w:val="007E3A12"/>
    <w:rsid w:val="007E6306"/>
    <w:rsid w:val="00826AC1"/>
    <w:rsid w:val="0083492C"/>
    <w:rsid w:val="00856462"/>
    <w:rsid w:val="008565F9"/>
    <w:rsid w:val="00873552"/>
    <w:rsid w:val="0087642E"/>
    <w:rsid w:val="00876BC8"/>
    <w:rsid w:val="008F5CB1"/>
    <w:rsid w:val="008F62AA"/>
    <w:rsid w:val="0091098D"/>
    <w:rsid w:val="00917ED0"/>
    <w:rsid w:val="0093438F"/>
    <w:rsid w:val="00935BF5"/>
    <w:rsid w:val="0096597F"/>
    <w:rsid w:val="00965C0F"/>
    <w:rsid w:val="009B0541"/>
    <w:rsid w:val="009B29B8"/>
    <w:rsid w:val="009C0F62"/>
    <w:rsid w:val="009D3310"/>
    <w:rsid w:val="009F046D"/>
    <w:rsid w:val="00A01281"/>
    <w:rsid w:val="00A016F6"/>
    <w:rsid w:val="00A2779E"/>
    <w:rsid w:val="00A37890"/>
    <w:rsid w:val="00A4016D"/>
    <w:rsid w:val="00A4203A"/>
    <w:rsid w:val="00A633A0"/>
    <w:rsid w:val="00A7132C"/>
    <w:rsid w:val="00A72ECA"/>
    <w:rsid w:val="00A94012"/>
    <w:rsid w:val="00AA7F3D"/>
    <w:rsid w:val="00AD4CCC"/>
    <w:rsid w:val="00AE7078"/>
    <w:rsid w:val="00B447C2"/>
    <w:rsid w:val="00B47E89"/>
    <w:rsid w:val="00B56C26"/>
    <w:rsid w:val="00B574B8"/>
    <w:rsid w:val="00B86BFA"/>
    <w:rsid w:val="00B9013F"/>
    <w:rsid w:val="00B949E5"/>
    <w:rsid w:val="00B975CA"/>
    <w:rsid w:val="00BA253A"/>
    <w:rsid w:val="00BA5963"/>
    <w:rsid w:val="00BB3626"/>
    <w:rsid w:val="00BB479B"/>
    <w:rsid w:val="00BE6F1E"/>
    <w:rsid w:val="00C079F4"/>
    <w:rsid w:val="00C20C75"/>
    <w:rsid w:val="00C37CAE"/>
    <w:rsid w:val="00C459BD"/>
    <w:rsid w:val="00C51685"/>
    <w:rsid w:val="00C62A7C"/>
    <w:rsid w:val="00C81246"/>
    <w:rsid w:val="00C867F9"/>
    <w:rsid w:val="00CA7E20"/>
    <w:rsid w:val="00CB3BF5"/>
    <w:rsid w:val="00CE13C0"/>
    <w:rsid w:val="00CF24BC"/>
    <w:rsid w:val="00CF5B63"/>
    <w:rsid w:val="00D10310"/>
    <w:rsid w:val="00D17B95"/>
    <w:rsid w:val="00D42480"/>
    <w:rsid w:val="00D44972"/>
    <w:rsid w:val="00D653CD"/>
    <w:rsid w:val="00D678BF"/>
    <w:rsid w:val="00D766C9"/>
    <w:rsid w:val="00DA561D"/>
    <w:rsid w:val="00DA5684"/>
    <w:rsid w:val="00DA571B"/>
    <w:rsid w:val="00DC3605"/>
    <w:rsid w:val="00DD11AC"/>
    <w:rsid w:val="00DD1BBA"/>
    <w:rsid w:val="00DE6487"/>
    <w:rsid w:val="00E00BCB"/>
    <w:rsid w:val="00E27BAF"/>
    <w:rsid w:val="00E3309E"/>
    <w:rsid w:val="00E37E62"/>
    <w:rsid w:val="00E727D8"/>
    <w:rsid w:val="00E76DDA"/>
    <w:rsid w:val="00E91E95"/>
    <w:rsid w:val="00EA1788"/>
    <w:rsid w:val="00EB6B63"/>
    <w:rsid w:val="00ED7BE8"/>
    <w:rsid w:val="00F303A1"/>
    <w:rsid w:val="00F436B3"/>
    <w:rsid w:val="00F67001"/>
    <w:rsid w:val="00F71D47"/>
    <w:rsid w:val="00F74E35"/>
    <w:rsid w:val="00F837B3"/>
    <w:rsid w:val="00FD48A9"/>
    <w:rsid w:val="00FF6985"/>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74DA7"/>
  <w15:docId w15:val="{B76E63F0-C43A-4EA9-B82F-DA7BD5D0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392949"/>
    <w:pPr>
      <w:spacing w:after="0" w:line="240" w:lineRule="auto"/>
    </w:pPr>
    <w:rPr>
      <w:rFonts w:eastAsiaTheme="minorEastAsia"/>
      <w:sz w:val="24"/>
      <w:szCs w:val="24"/>
      <w:lang w:val="en-US"/>
    </w:rPr>
  </w:style>
  <w:style w:type="paragraph" w:styleId="Fyrirsgn1">
    <w:name w:val="heading 1"/>
    <w:basedOn w:val="Venjulegur"/>
    <w:next w:val="Venjulegur"/>
    <w:link w:val="Fyrirsgn1Staf"/>
    <w:uiPriority w:val="9"/>
    <w:qFormat/>
    <w:rsid w:val="001D65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1D65E9"/>
    <w:rPr>
      <w:rFonts w:asciiTheme="majorHAnsi" w:eastAsiaTheme="majorEastAsia" w:hAnsiTheme="majorHAnsi" w:cstheme="majorBidi"/>
      <w:b/>
      <w:bCs/>
      <w:color w:val="365F91" w:themeColor="accent1" w:themeShade="BF"/>
      <w:sz w:val="28"/>
      <w:szCs w:val="28"/>
    </w:rPr>
  </w:style>
  <w:style w:type="paragraph" w:styleId="Mlsgreinlista">
    <w:name w:val="List Paragraph"/>
    <w:aliases w:val="Noise heading,RUS List,TOC style,lp1,Bullet OSM,Proposal Bullet List,Cell bullets,Issue Action POC,3,POCG Table Text,Dot pt,F5 List Paragraph,List Paragraph Char Char Char,Indicator Text,Colorful List - Accent 11,Bullet 1"/>
    <w:basedOn w:val="Venjulegur"/>
    <w:link w:val="MlsgreinlistaStaf"/>
    <w:uiPriority w:val="34"/>
    <w:qFormat/>
    <w:rsid w:val="001D65E9"/>
    <w:pPr>
      <w:ind w:left="720"/>
      <w:contextualSpacing/>
    </w:pPr>
  </w:style>
  <w:style w:type="character" w:styleId="Tengill">
    <w:name w:val="Hyperlink"/>
    <w:basedOn w:val="Sjlfgefinleturgermlsgreinar"/>
    <w:uiPriority w:val="99"/>
    <w:semiHidden/>
    <w:unhideWhenUsed/>
    <w:rsid w:val="00392949"/>
    <w:rPr>
      <w:color w:val="0563C1"/>
      <w:u w:val="single"/>
    </w:rPr>
  </w:style>
  <w:style w:type="table" w:styleId="Hnitanettflu">
    <w:name w:val="Table Grid"/>
    <w:basedOn w:val="Tafla-venjuleg"/>
    <w:uiPriority w:val="59"/>
    <w:rsid w:val="00965C0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lvsunathugasemd">
    <w:name w:val="annotation reference"/>
    <w:basedOn w:val="Sjlfgefinleturgermlsgreinar"/>
    <w:uiPriority w:val="99"/>
    <w:semiHidden/>
    <w:unhideWhenUsed/>
    <w:rsid w:val="005C129E"/>
    <w:rPr>
      <w:sz w:val="16"/>
      <w:szCs w:val="16"/>
    </w:rPr>
  </w:style>
  <w:style w:type="paragraph" w:styleId="Textiathugasemdar">
    <w:name w:val="annotation text"/>
    <w:basedOn w:val="Venjulegur"/>
    <w:link w:val="TextiathugasemdarStaf"/>
    <w:uiPriority w:val="99"/>
    <w:semiHidden/>
    <w:unhideWhenUsed/>
    <w:rsid w:val="005C129E"/>
    <w:rPr>
      <w:sz w:val="20"/>
      <w:szCs w:val="20"/>
    </w:rPr>
  </w:style>
  <w:style w:type="character" w:customStyle="1" w:styleId="TextiathugasemdarStaf">
    <w:name w:val="Texti athugasemdar Staf"/>
    <w:basedOn w:val="Sjlfgefinleturgermlsgreinar"/>
    <w:link w:val="Textiathugasemdar"/>
    <w:uiPriority w:val="99"/>
    <w:semiHidden/>
    <w:rsid w:val="005C129E"/>
    <w:rPr>
      <w:rFonts w:eastAsiaTheme="minorEastAsia"/>
      <w:sz w:val="20"/>
      <w:szCs w:val="20"/>
      <w:lang w:val="en-US"/>
    </w:rPr>
  </w:style>
  <w:style w:type="paragraph" w:styleId="Efniathugasemdar">
    <w:name w:val="annotation subject"/>
    <w:basedOn w:val="Textiathugasemdar"/>
    <w:next w:val="Textiathugasemdar"/>
    <w:link w:val="EfniathugasemdarStaf"/>
    <w:uiPriority w:val="99"/>
    <w:semiHidden/>
    <w:unhideWhenUsed/>
    <w:rsid w:val="005C129E"/>
    <w:rPr>
      <w:b/>
      <w:bCs/>
    </w:rPr>
  </w:style>
  <w:style w:type="character" w:customStyle="1" w:styleId="EfniathugasemdarStaf">
    <w:name w:val="Efni athugasemdar Staf"/>
    <w:basedOn w:val="TextiathugasemdarStaf"/>
    <w:link w:val="Efniathugasemdar"/>
    <w:uiPriority w:val="99"/>
    <w:semiHidden/>
    <w:rsid w:val="005C129E"/>
    <w:rPr>
      <w:rFonts w:eastAsiaTheme="minorEastAsia"/>
      <w:b/>
      <w:bCs/>
      <w:sz w:val="20"/>
      <w:szCs w:val="20"/>
      <w:lang w:val="en-US"/>
    </w:rPr>
  </w:style>
  <w:style w:type="paragraph" w:styleId="Blrutexti">
    <w:name w:val="Balloon Text"/>
    <w:basedOn w:val="Venjulegur"/>
    <w:link w:val="BlrutextiStaf"/>
    <w:uiPriority w:val="99"/>
    <w:semiHidden/>
    <w:unhideWhenUsed/>
    <w:rsid w:val="005C129E"/>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5C129E"/>
    <w:rPr>
      <w:rFonts w:ascii="Segoe UI" w:eastAsiaTheme="minorEastAsia" w:hAnsi="Segoe UI" w:cs="Segoe UI"/>
      <w:sz w:val="18"/>
      <w:szCs w:val="18"/>
      <w:lang w:val="en-US"/>
    </w:rPr>
  </w:style>
  <w:style w:type="character" w:customStyle="1" w:styleId="MlsgreinlistaStaf">
    <w:name w:val="Málsgrein í lista Staf"/>
    <w:aliases w:val="Noise heading Staf,RUS List Staf,TOC style Staf,lp1 Staf,Bullet OSM Staf,Proposal Bullet List Staf,Cell bullets Staf,Issue Action POC Staf,3 Staf,POCG Table Text Staf,Dot pt Staf,F5 List Paragraph Staf,Indicator Text Staf"/>
    <w:link w:val="Mlsgreinlista"/>
    <w:uiPriority w:val="34"/>
    <w:locked/>
    <w:rsid w:val="00693831"/>
    <w:rPr>
      <w:rFonts w:eastAsiaTheme="minorEastAsia"/>
      <w:sz w:val="24"/>
      <w:szCs w:val="24"/>
      <w:lang w:val="en-US"/>
    </w:rPr>
  </w:style>
  <w:style w:type="paragraph" w:styleId="Venjulegtvefur">
    <w:name w:val="Normal (Web)"/>
    <w:basedOn w:val="Venjulegur"/>
    <w:uiPriority w:val="99"/>
    <w:semiHidden/>
    <w:unhideWhenUsed/>
    <w:rsid w:val="00CE13C0"/>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4227">
      <w:bodyDiv w:val="1"/>
      <w:marLeft w:val="0"/>
      <w:marRight w:val="0"/>
      <w:marTop w:val="0"/>
      <w:marBottom w:val="0"/>
      <w:divBdr>
        <w:top w:val="none" w:sz="0" w:space="0" w:color="auto"/>
        <w:left w:val="none" w:sz="0" w:space="0" w:color="auto"/>
        <w:bottom w:val="none" w:sz="0" w:space="0" w:color="auto"/>
        <w:right w:val="none" w:sz="0" w:space="0" w:color="auto"/>
      </w:divBdr>
    </w:div>
    <w:div w:id="435757340">
      <w:bodyDiv w:val="1"/>
      <w:marLeft w:val="0"/>
      <w:marRight w:val="0"/>
      <w:marTop w:val="0"/>
      <w:marBottom w:val="0"/>
      <w:divBdr>
        <w:top w:val="none" w:sz="0" w:space="0" w:color="auto"/>
        <w:left w:val="none" w:sz="0" w:space="0" w:color="auto"/>
        <w:bottom w:val="none" w:sz="0" w:space="0" w:color="auto"/>
        <w:right w:val="none" w:sz="0" w:space="0" w:color="auto"/>
      </w:divBdr>
    </w:div>
    <w:div w:id="887569147">
      <w:bodyDiv w:val="1"/>
      <w:marLeft w:val="0"/>
      <w:marRight w:val="0"/>
      <w:marTop w:val="0"/>
      <w:marBottom w:val="0"/>
      <w:divBdr>
        <w:top w:val="none" w:sz="0" w:space="0" w:color="auto"/>
        <w:left w:val="none" w:sz="0" w:space="0" w:color="auto"/>
        <w:bottom w:val="none" w:sz="0" w:space="0" w:color="auto"/>
        <w:right w:val="none" w:sz="0" w:space="0" w:color="auto"/>
      </w:divBdr>
    </w:div>
    <w:div w:id="1016158737">
      <w:bodyDiv w:val="1"/>
      <w:marLeft w:val="0"/>
      <w:marRight w:val="0"/>
      <w:marTop w:val="0"/>
      <w:marBottom w:val="0"/>
      <w:divBdr>
        <w:top w:val="none" w:sz="0" w:space="0" w:color="auto"/>
        <w:left w:val="none" w:sz="0" w:space="0" w:color="auto"/>
        <w:bottom w:val="none" w:sz="0" w:space="0" w:color="auto"/>
        <w:right w:val="none" w:sz="0" w:space="0" w:color="auto"/>
      </w:divBdr>
    </w:div>
    <w:div w:id="1329868360">
      <w:bodyDiv w:val="1"/>
      <w:marLeft w:val="0"/>
      <w:marRight w:val="0"/>
      <w:marTop w:val="0"/>
      <w:marBottom w:val="0"/>
      <w:divBdr>
        <w:top w:val="none" w:sz="0" w:space="0" w:color="auto"/>
        <w:left w:val="none" w:sz="0" w:space="0" w:color="auto"/>
        <w:bottom w:val="none" w:sz="0" w:space="0" w:color="auto"/>
        <w:right w:val="none" w:sz="0" w:space="0" w:color="auto"/>
      </w:divBdr>
    </w:div>
    <w:div w:id="1360356860">
      <w:bodyDiv w:val="1"/>
      <w:marLeft w:val="0"/>
      <w:marRight w:val="0"/>
      <w:marTop w:val="0"/>
      <w:marBottom w:val="0"/>
      <w:divBdr>
        <w:top w:val="none" w:sz="0" w:space="0" w:color="auto"/>
        <w:left w:val="none" w:sz="0" w:space="0" w:color="auto"/>
        <w:bottom w:val="none" w:sz="0" w:space="0" w:color="auto"/>
        <w:right w:val="none" w:sz="0" w:space="0" w:color="auto"/>
      </w:divBdr>
    </w:div>
    <w:div w:id="1860580451">
      <w:bodyDiv w:val="1"/>
      <w:marLeft w:val="0"/>
      <w:marRight w:val="0"/>
      <w:marTop w:val="0"/>
      <w:marBottom w:val="0"/>
      <w:divBdr>
        <w:top w:val="none" w:sz="0" w:space="0" w:color="auto"/>
        <w:left w:val="none" w:sz="0" w:space="0" w:color="auto"/>
        <w:bottom w:val="none" w:sz="0" w:space="0" w:color="auto"/>
        <w:right w:val="none" w:sz="0" w:space="0" w:color="auto"/>
      </w:divBdr>
      <w:divsChild>
        <w:div w:id="817960040">
          <w:marLeft w:val="0"/>
          <w:marRight w:val="0"/>
          <w:marTop w:val="0"/>
          <w:marBottom w:val="0"/>
          <w:divBdr>
            <w:top w:val="none" w:sz="0" w:space="0" w:color="auto"/>
            <w:left w:val="none" w:sz="0" w:space="0" w:color="auto"/>
            <w:bottom w:val="none" w:sz="0" w:space="0" w:color="auto"/>
            <w:right w:val="none" w:sz="0" w:space="0" w:color="auto"/>
          </w:divBdr>
          <w:divsChild>
            <w:div w:id="9381505">
              <w:marLeft w:val="0"/>
              <w:marRight w:val="0"/>
              <w:marTop w:val="0"/>
              <w:marBottom w:val="0"/>
              <w:divBdr>
                <w:top w:val="none" w:sz="0" w:space="0" w:color="auto"/>
                <w:left w:val="none" w:sz="0" w:space="0" w:color="auto"/>
                <w:bottom w:val="none" w:sz="0" w:space="0" w:color="auto"/>
                <w:right w:val="none" w:sz="0" w:space="0" w:color="auto"/>
              </w:divBdr>
              <w:divsChild>
                <w:div w:id="346716789">
                  <w:marLeft w:val="0"/>
                  <w:marRight w:val="0"/>
                  <w:marTop w:val="0"/>
                  <w:marBottom w:val="0"/>
                  <w:divBdr>
                    <w:top w:val="none" w:sz="0" w:space="0" w:color="auto"/>
                    <w:left w:val="none" w:sz="0" w:space="0" w:color="auto"/>
                    <w:bottom w:val="none" w:sz="0" w:space="0" w:color="auto"/>
                    <w:right w:val="none" w:sz="0" w:space="0" w:color="auto"/>
                  </w:divBdr>
                  <w:divsChild>
                    <w:div w:id="602302809">
                      <w:marLeft w:val="0"/>
                      <w:marRight w:val="0"/>
                      <w:marTop w:val="0"/>
                      <w:marBottom w:val="0"/>
                      <w:divBdr>
                        <w:top w:val="none" w:sz="0" w:space="0" w:color="auto"/>
                        <w:left w:val="none" w:sz="0" w:space="0" w:color="auto"/>
                        <w:bottom w:val="none" w:sz="0" w:space="0" w:color="auto"/>
                        <w:right w:val="none" w:sz="0" w:space="0" w:color="auto"/>
                      </w:divBdr>
                      <w:divsChild>
                        <w:div w:id="120345570">
                          <w:marLeft w:val="0"/>
                          <w:marRight w:val="0"/>
                          <w:marTop w:val="0"/>
                          <w:marBottom w:val="0"/>
                          <w:divBdr>
                            <w:top w:val="none" w:sz="0" w:space="0" w:color="auto"/>
                            <w:left w:val="none" w:sz="0" w:space="0" w:color="auto"/>
                            <w:bottom w:val="none" w:sz="0" w:space="0" w:color="auto"/>
                            <w:right w:val="none" w:sz="0" w:space="0" w:color="auto"/>
                          </w:divBdr>
                          <w:divsChild>
                            <w:div w:id="1204098436">
                              <w:marLeft w:val="0"/>
                              <w:marRight w:val="0"/>
                              <w:marTop w:val="0"/>
                              <w:marBottom w:val="0"/>
                              <w:divBdr>
                                <w:top w:val="none" w:sz="0" w:space="0" w:color="auto"/>
                                <w:left w:val="none" w:sz="0" w:space="0" w:color="auto"/>
                                <w:bottom w:val="none" w:sz="0" w:space="0" w:color="auto"/>
                                <w:right w:val="none" w:sz="0" w:space="0" w:color="auto"/>
                              </w:divBdr>
                              <w:divsChild>
                                <w:div w:id="1414008311">
                                  <w:marLeft w:val="0"/>
                                  <w:marRight w:val="0"/>
                                  <w:marTop w:val="0"/>
                                  <w:marBottom w:val="0"/>
                                  <w:divBdr>
                                    <w:top w:val="none" w:sz="0" w:space="0" w:color="auto"/>
                                    <w:left w:val="none" w:sz="0" w:space="0" w:color="auto"/>
                                    <w:bottom w:val="none" w:sz="0" w:space="0" w:color="auto"/>
                                    <w:right w:val="none" w:sz="0" w:space="0" w:color="auto"/>
                                  </w:divBdr>
                                  <w:divsChild>
                                    <w:div w:id="2102290641">
                                      <w:marLeft w:val="0"/>
                                      <w:marRight w:val="0"/>
                                      <w:marTop w:val="0"/>
                                      <w:marBottom w:val="0"/>
                                      <w:divBdr>
                                        <w:top w:val="none" w:sz="0" w:space="0" w:color="auto"/>
                                        <w:left w:val="none" w:sz="0" w:space="0" w:color="auto"/>
                                        <w:bottom w:val="none" w:sz="0" w:space="0" w:color="auto"/>
                                        <w:right w:val="none" w:sz="0" w:space="0" w:color="auto"/>
                                      </w:divBdr>
                                      <w:divsChild>
                                        <w:div w:id="27531499">
                                          <w:marLeft w:val="0"/>
                                          <w:marRight w:val="0"/>
                                          <w:marTop w:val="0"/>
                                          <w:marBottom w:val="495"/>
                                          <w:divBdr>
                                            <w:top w:val="none" w:sz="0" w:space="0" w:color="auto"/>
                                            <w:left w:val="none" w:sz="0" w:space="0" w:color="auto"/>
                                            <w:bottom w:val="none" w:sz="0" w:space="0" w:color="auto"/>
                                            <w:right w:val="none" w:sz="0" w:space="0" w:color="auto"/>
                                          </w:divBdr>
                                          <w:divsChild>
                                            <w:div w:id="16790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39780-1623-4B5B-83B7-0721818F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8402</Characters>
  <Application>Microsoft Office Word</Application>
  <DocSecurity>0</DocSecurity>
  <Lines>70</Lines>
  <Paragraphs>19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Áslaug Jósepsdóttir</dc:creator>
  <cp:keywords/>
  <dc:description/>
  <cp:lastModifiedBy>Sunna Diðriksdóttir</cp:lastModifiedBy>
  <cp:revision>2</cp:revision>
  <dcterms:created xsi:type="dcterms:W3CDTF">2019-02-22T08:47:00Z</dcterms:created>
  <dcterms:modified xsi:type="dcterms:W3CDTF">2019-02-22T08:47:00Z</dcterms:modified>
</cp:coreProperties>
</file>