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681CD06B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A33027" w14:textId="1B0622C3" w:rsidR="00883508" w:rsidRPr="00E34B42" w:rsidRDefault="006244A6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</w:t>
            </w:r>
            <w:r w:rsidR="00883508"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14B9D7B" wp14:editId="5CE54755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B4B24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53FE9166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B47480" w14:paraId="0DFD647F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47474F6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49054116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B7BDE8" w14:textId="32120C9E" w:rsidR="00135B40" w:rsidRPr="00E34B42" w:rsidRDefault="00FF504E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</w:t>
                </w:r>
                <w:r w:rsidR="004E458C">
                  <w:rPr>
                    <w:rFonts w:ascii="Times New Roman" w:hAnsi="Times New Roman" w:cs="Times New Roman"/>
                    <w:lang w:val="is-IS"/>
                  </w:rPr>
                  <w:t>lögum um Seðlabanka Íslands</w:t>
                </w:r>
                <w:r w:rsidR="005143A6">
                  <w:rPr>
                    <w:rFonts w:ascii="Times New Roman" w:hAnsi="Times New Roman" w:cs="Times New Roman"/>
                    <w:lang w:val="is-IS"/>
                  </w:rPr>
                  <w:t>, nr. 92/2019</w:t>
                </w:r>
              </w:p>
            </w:tc>
          </w:sdtContent>
        </w:sdt>
      </w:tr>
      <w:tr w:rsidR="00E34B42" w:rsidRPr="00E34B42" w14:paraId="095E109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D050F50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01020889" w:edGrp="everyone" w:colFirst="1" w:colLast="1"/>
            <w:permEnd w:id="2049054116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56294C39" w14:textId="338F9F87" w:rsidR="00135B40" w:rsidRPr="00E34B42" w:rsidRDefault="00FF504E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Forsætisráðuneytið.</w:t>
                </w:r>
              </w:p>
            </w:tc>
          </w:sdtContent>
        </w:sdt>
      </w:tr>
      <w:tr w:rsidR="00E34B42" w:rsidRPr="00E34B42" w14:paraId="1A41FDD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8AEF0DA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36952586" w:edGrp="everyone" w:colFirst="1" w:colLast="1"/>
            <w:permEnd w:id="1101020889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A5ADB65" w14:textId="77777777" w:rsidR="00135B40" w:rsidRPr="00E34B42" w:rsidRDefault="00F37EE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3A9FA9CD" w14:textId="097FF380" w:rsidR="00135B40" w:rsidRPr="00E34B42" w:rsidRDefault="00F37EE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04E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188CD1CE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E7B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93875920" w:edGrp="everyone" w:colFirst="1" w:colLast="1"/>
            <w:permEnd w:id="2136952586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D3C72D" w14:textId="7777777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1093875920"/>
    </w:tbl>
    <w:p w14:paraId="6D59981C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65D27C9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12D66EE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B47480" w14:paraId="2006C1B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592881982" w:edGrp="everyone" w:displacedByCustomXml="prev"/>
              <w:p w14:paraId="2BBF7E20" w14:textId="113EE3AB" w:rsidR="00C345C6" w:rsidRDefault="00133146" w:rsidP="00C345C6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34B0DBFB" w14:textId="60130CA2" w:rsidR="00C345C6" w:rsidRPr="00FF504E" w:rsidRDefault="00C345C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lögum nr. 92/2019 </w:t>
                </w:r>
                <w:r w:rsidR="003833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Seðlabanka Íslands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var eftirlit með fjármálastarfsemi </w:t>
                </w:r>
                <w:r w:rsidR="0038338E">
                  <w:rPr>
                    <w:rFonts w:ascii="Times New Roman" w:hAnsi="Times New Roman" w:cs="Times New Roman"/>
                    <w:bCs/>
                    <w:lang w:val="is-IS"/>
                  </w:rPr>
                  <w:t>flutt til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Seðlabanka Íslands.</w:t>
                </w:r>
                <w:r w:rsidR="003833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Jafnframt voru gerðar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breytingar á stjórnkerfi Seðlabankans</w:t>
                </w:r>
                <w:r w:rsidR="0038338E">
                  <w:rPr>
                    <w:rFonts w:ascii="Times New Roman" w:hAnsi="Times New Roman" w:cs="Times New Roman"/>
                    <w:bCs/>
                    <w:lang w:val="is-IS"/>
                  </w:rPr>
                  <w:t>. Þannig var m.a. lögfest að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þrjár nefndir </w:t>
                </w:r>
                <w:r w:rsidR="0038338E">
                  <w:rPr>
                    <w:rFonts w:ascii="Times New Roman" w:hAnsi="Times New Roman" w:cs="Times New Roman"/>
                    <w:bCs/>
                    <w:lang w:val="is-IS"/>
                  </w:rPr>
                  <w:t>skyldu taka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ákvarðanir um beitingu valdheimilda Seðlabankans varðandi peningastefnu og fjármálastöðugleika og á sviði fjármálaeftirlits.</w:t>
                </w:r>
              </w:p>
              <w:p w14:paraId="2D64245D" w14:textId="3AC12AB9" w:rsidR="00C345C6" w:rsidRPr="00FF504E" w:rsidRDefault="00C345C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Í meðförum þingsin</w:t>
                </w:r>
                <w:r w:rsidR="0075142D">
                  <w:rPr>
                    <w:rFonts w:ascii="Times New Roman" w:hAnsi="Times New Roman" w:cs="Times New Roman"/>
                    <w:bCs/>
                    <w:lang w:val="is-IS"/>
                  </w:rPr>
                  <w:t>s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var </w:t>
                </w:r>
                <w:r w:rsidR="003833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bætt við frumvarp það sem varð að lögum nr. 92/2019 ákvæði til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bráðabirgða sem fól í sér að fyrir lok árs</w:t>
                </w:r>
                <w:r w:rsidR="006244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2021 skyldi ráðherra flytja Alþingi skýrslu þriggja óháðra sérfræðinga á sviði peninga- og fjármálahagfræði og fjármálaeftirlits um reynsluna af starfi nefnda Seðlabanka Íslands eftir gildistöku laganna, m.a. með hliðsjón af skiptingu verkefna á milli fjármálastöðugleikanefndar og fjármálaeftirlitsnefndar.</w:t>
                </w:r>
              </w:p>
              <w:p w14:paraId="6FB4208B" w14:textId="75199E30" w:rsidR="00C345C6" w:rsidRPr="00FF504E" w:rsidRDefault="00C345C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Forsætisráðherra skipaði þann 9. júní 2021 nefnd sérfræðinga til að annast úttektina og skilaði nefndin skýrslu til ráðherra í nóvember 2021. Ráðherra flutti Alþingi skýrslu sína í </w:t>
                </w:r>
                <w:r w:rsidR="004D18C2"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lok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janúar 2022.</w:t>
                </w:r>
              </w:p>
              <w:p w14:paraId="61D5B22F" w14:textId="77777777" w:rsidR="008D4AAD" w:rsidRDefault="008D4AAD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Helsta niðurstaða nefndarinnar var að a</w:t>
                </w:r>
                <w:r w:rsidRPr="008D4AAD">
                  <w:rPr>
                    <w:rFonts w:ascii="Times New Roman" w:hAnsi="Times New Roman" w:cs="Times New Roman"/>
                    <w:bCs/>
                    <w:lang w:val="is-IS"/>
                  </w:rPr>
                  <w:t>f öllum merkjum að dæma hef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ði</w:t>
                </w:r>
                <w:r w:rsidRPr="008D4AA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verið gengið rösklega til verks við sameiningu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8D4AAD">
                  <w:rPr>
                    <w:rFonts w:ascii="Times New Roman" w:hAnsi="Times New Roman" w:cs="Times New Roman"/>
                    <w:bCs/>
                    <w:lang w:val="is-IS"/>
                  </w:rPr>
                  <w:t>Seðlabanka Íslands og Fjármálaeftirlitsins og það með góðum árangri.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skýrslunni kemur fram að nefndin hafi lagt</w:t>
                </w:r>
                <w:r w:rsidRPr="008D4AA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áherslu á að greina hvort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8D4AAD">
                  <w:rPr>
                    <w:rFonts w:ascii="Times New Roman" w:hAnsi="Times New Roman" w:cs="Times New Roman"/>
                    <w:bCs/>
                    <w:lang w:val="is-IS"/>
                  </w:rPr>
                  <w:t>markmiðin um valddreifingu, gagnsæi og fullnægjandi aðkomu ytri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8D4AAD">
                  <w:rPr>
                    <w:rFonts w:ascii="Times New Roman" w:hAnsi="Times New Roman" w:cs="Times New Roman"/>
                    <w:bCs/>
                    <w:lang w:val="is-IS"/>
                  </w:rPr>
                  <w:t>nefndarmanna hafi náðst.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4D961D94" w14:textId="10CA1D15" w:rsidR="008D4AAD" w:rsidRDefault="008D4AAD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Meginábendingar úttektarnefndarinnar lúta að </w:t>
                </w:r>
                <w:r w:rsidR="004D18C2" w:rsidRPr="00FF504E">
                  <w:rPr>
                    <w:rFonts w:ascii="Times New Roman" w:hAnsi="Times New Roman" w:cs="Times New Roman"/>
                    <w:bCs/>
                    <w:lang w:val="is-IS"/>
                  </w:rPr>
                  <w:t>fyrirkomulagi fjármálaeftirlits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ákvarðanatöku á því sviði</w:t>
                </w:r>
                <w:r w:rsidR="004D18C2"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FB2E7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Áformaðar lagabreytingar </w:t>
                </w:r>
                <w:r w:rsidR="0047665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lúta í meginatriðum </w:t>
                </w:r>
                <w:r w:rsidR="00FB2E7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</w:t>
                </w:r>
                <w:r w:rsidR="006A2D0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fjármáleftirliti </w:t>
                </w:r>
                <w:r w:rsidR="00FB2E7F">
                  <w:rPr>
                    <w:rFonts w:ascii="Times New Roman" w:hAnsi="Times New Roman" w:cs="Times New Roman"/>
                    <w:bCs/>
                    <w:lang w:val="is-IS"/>
                  </w:rPr>
                  <w:t>enda eru þær brýnastar</w:t>
                </w:r>
                <w:r w:rsidR="00E8394A">
                  <w:rPr>
                    <w:rFonts w:ascii="Times New Roman" w:hAnsi="Times New Roman" w:cs="Times New Roman"/>
                    <w:bCs/>
                    <w:lang w:val="is-IS"/>
                  </w:rPr>
                  <w:t>, e</w:t>
                </w:r>
                <w:r w:rsidR="00FB2E7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 frekari úttektir kunna að </w:t>
                </w:r>
                <w:r w:rsidR="00CC0B5A">
                  <w:rPr>
                    <w:rFonts w:ascii="Times New Roman" w:hAnsi="Times New Roman" w:cs="Times New Roman"/>
                    <w:bCs/>
                    <w:lang w:val="is-IS"/>
                  </w:rPr>
                  <w:t>verða tilefni</w:t>
                </w:r>
                <w:r w:rsidR="00FB2E7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frekari breytinga. </w:t>
                </w:r>
              </w:p>
              <w:p w14:paraId="659732FE" w14:textId="7FC77F82" w:rsidR="00F86DE5" w:rsidRDefault="00094FB0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Taldi nefndin að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stað þess að fela fjármálaeftirlitsnefnd ákvörðunarvald í öllum málum á sviði fjármálaeftirlits og heimila framsal á töku ákvarðana til varaseðlabankastjóra fjármálaeftirlits, líkt og í núgildandi lögum, færi betur á því að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skilgreina með fullnægjandi hætti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lögum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hvaða verkefni fjármálaeftirlits þurfi að fela sérstakri nefnd og hvaða þættir tilheyri hefðbundinni stjórnsýslu innan Seðlabankans.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Segir í skýrslu nefndarinnar að v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íðtækt starfssvið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fjármálaeftirlits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nefndar sé óraunhæft og í raun sé brugðist við því með víðtæku framsali frá nefndinni til varaseðlabankastjóra sem f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ari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málefni fjármálaeftirlits. Í því sambandi ben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ti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nefndin á að til greina kæmi að einungis ákvarðanir um </w:t>
                </w:r>
                <w:proofErr w:type="spellStart"/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refsikennd</w:t>
                </w:r>
                <w:proofErr w:type="spellEnd"/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viðurlög og íþyngjandi stjórnsýsluákvarðanir verði teknar á vettvangi þar sem réttlát málsmeðferð er betur tryggð en í núverandi fyrirkomulagi, en í slíkum málum reynir fyrst og fremst á lagalega þætti. </w:t>
                </w:r>
                <w:r w:rsidR="00CC0B5A">
                  <w:rPr>
                    <w:rFonts w:ascii="Times New Roman" w:hAnsi="Times New Roman" w:cs="Times New Roman"/>
                    <w:bCs/>
                    <w:lang w:val="is-IS"/>
                  </w:rPr>
                  <w:t>T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il greina </w:t>
                </w:r>
                <w:r w:rsidR="00CC0B5A" w:rsidRPr="00FF504E">
                  <w:rPr>
                    <w:rFonts w:ascii="Times New Roman" w:hAnsi="Times New Roman" w:cs="Times New Roman"/>
                    <w:bCs/>
                    <w:lang w:val="is-IS"/>
                  </w:rPr>
                  <w:t>kæm</w:t>
                </w:r>
                <w:r w:rsidR="00CC0B5A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CC0B5A"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verkefni fjármálaeftirlitsnefndar yrðu einskorðuð við slík mál og skipan hennar þá ákveðin með það í huga. </w:t>
                </w:r>
              </w:p>
              <w:p w14:paraId="55BF140F" w14:textId="7A60E5B0" w:rsidR="004D18C2" w:rsidRDefault="00F86DE5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Einnig benti úttektarnefndin á að mögulegt væri að kveða á um að Seðlabanki Íslands tæki sjálfur ákvarðanir á svið</w:t>
                </w:r>
                <w:r w:rsidR="00E6631C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fjármálaeftirlits </w:t>
                </w:r>
                <w:r w:rsidR="004D18C2"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 svipuðum hætti og ýmis önnur stjórnvöld og þau verkefni sem eftir væru á sviði fjármálaeftirlits og fjármálastöðugleika myndu þá eiga heima hjá einni og sömu nefndinni, þ.e. fjármálastöðugleikanefnd. </w:t>
                </w:r>
              </w:p>
              <w:p w14:paraId="645551AD" w14:textId="1A04037D" w:rsidR="004D18C2" w:rsidRPr="00565EAA" w:rsidRDefault="00565EAA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Úttektarnefndin benti einnig á atriði er varða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verkaskiptingu milli Seðlabanka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Íslands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og peningastefnunefndar annars vegar og fjármálastöðugleikanefndar og peningastefnunefndar hins vegar</w:t>
                </w:r>
                <w:r w:rsidR="00F3615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</w:t>
                </w:r>
                <w:r w:rsidR="00F36152"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en nefndin taldi að þar mætti kveða skýrar á um beitingu stjórntækja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Þá benti nefndin á að álitamál væri hvort að ákvarðanir varðandi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>eigin- og lausafjárkröfur fjármálafyrirtækja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sem heyra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nú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undir fjármálaeftirlitsnefnd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gætu verið betur komnar hjá fjármálastöðugleikanefnd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 Einnig benti nefndin á að s</w:t>
                </w:r>
                <w:r w:rsidR="004D18C2" w:rsidRPr="00565EAA">
                  <w:rPr>
                    <w:rFonts w:ascii="Times New Roman" w:hAnsi="Times New Roman" w:cs="Times New Roman"/>
                    <w:bCs/>
                    <w:lang w:val="is-IS"/>
                  </w:rPr>
                  <w:t>koða þ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yrfti</w:t>
                </w:r>
                <w:r w:rsidR="004D18C2" w:rsidRPr="00565EA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fyrirkomulag varðandi ákvarðanir um hvernig úrskurðað skuli um verkaskiptingu á milli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fastanefnda Seðlabankans</w:t>
                </w:r>
                <w:r w:rsidR="004D18C2" w:rsidRPr="00565EA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ef vafamál kom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="004D18C2" w:rsidRPr="00565EA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upp.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Loks lagði nefndin til að staða ytri nefndarmanna í nefndum Seðlabanka yrði styrkt og að þeir fengju meiri stuðning í aðdraganda nefndarfunda. </w:t>
                </w:r>
                <w:r w:rsidR="004D18C2" w:rsidRPr="00565EA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9AAC0FB" w14:textId="1866001A" w:rsidR="004D18C2" w:rsidRPr="00FF504E" w:rsidRDefault="004D18C2" w:rsidP="009B1553">
                <w:pPr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Forsætisráðherra skipaði starfshóp í maí 2022 sem hefur það hlutverk að yfirfara tillögur úttektarnefndarinnar og setja fram tillögur til breytinga á lögum nr. 92/2019 þar að lútandi. </w:t>
                </w:r>
              </w:p>
              <w:p w14:paraId="1C1EA942" w14:textId="77777777" w:rsidR="004D18C2" w:rsidRPr="00FF504E" w:rsidRDefault="004D18C2" w:rsidP="004D18C2">
                <w:pPr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ADB5009" w14:textId="195758F7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46FCCE00" w14:textId="4A9C55E9" w:rsidR="004D18C2" w:rsidRPr="00FF504E" w:rsidRDefault="004D18C2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Úrlausnarefnið er að innleiða </w:t>
                </w:r>
                <w:r w:rsidR="007217E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hluta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þær umbótatillögur sem úttektanefndin setti fram í skýrslu sinni sem þjóna sem best því meginhlutverki Seðlabanka Íslands að stuðla að stöðugu verðlagi, fjármálastöðugleika og traustri og öruggri fjármálastarfsemi. </w:t>
                </w:r>
              </w:p>
              <w:p w14:paraId="00473988" w14:textId="77777777" w:rsidR="004D18C2" w:rsidRPr="00FF504E" w:rsidRDefault="004D18C2" w:rsidP="004D18C2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12740AA" w14:textId="77777777" w:rsidR="002266EF" w:rsidRDefault="007822E4" w:rsidP="002266EF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8BA0679" w14:textId="4AD1AC88" w:rsidR="00565EAA" w:rsidRDefault="00565EAA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Ný heildarlög um Seðlabanka Íslands, nr. 92/2019, tóku gildi 1. janúar 2020. </w:t>
                </w:r>
                <w:r w:rsidR="005C37D5">
                  <w:rPr>
                    <w:rFonts w:ascii="Times New Roman" w:hAnsi="Times New Roman" w:cs="Times New Roman"/>
                    <w:bCs/>
                    <w:lang w:val="is-IS"/>
                  </w:rPr>
                  <w:t>Með lögunum voru gerðar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C37D5">
                  <w:rPr>
                    <w:rFonts w:ascii="Times New Roman" w:hAnsi="Times New Roman" w:cs="Times New Roman"/>
                    <w:bCs/>
                    <w:lang w:val="is-IS"/>
                  </w:rPr>
                  <w:t>nokkuð miklar breytingar á stjórnskipulagi Seðlabankans auk þess sem eftirlit með fjármálastarfsemi var fært til bankans.</w:t>
                </w:r>
                <w:r w:rsidR="00A56B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Af umræðum um frumvarp það sem varð að lögum nr. 92/2019 á Alþingi má ráða að talið var nauðsynlegt að </w:t>
                </w:r>
                <w:r w:rsidR="00E6631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innan fárra ára yrði lagt sérstakt mat á m.a. </w:t>
                </w:r>
                <w:r w:rsidR="00A56BD4">
                  <w:rPr>
                    <w:rFonts w:ascii="Times New Roman" w:hAnsi="Times New Roman" w:cs="Times New Roman"/>
                    <w:bCs/>
                    <w:lang w:val="is-IS"/>
                  </w:rPr>
                  <w:t>reynsl</w:t>
                </w:r>
                <w:r w:rsidR="00E6631C">
                  <w:rPr>
                    <w:rFonts w:ascii="Times New Roman" w:hAnsi="Times New Roman" w:cs="Times New Roman"/>
                    <w:bCs/>
                    <w:lang w:val="is-IS"/>
                  </w:rPr>
                  <w:t>una</w:t>
                </w:r>
                <w:r w:rsidR="00A56B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af verkaskiptingu fastanefndanna. Því var lögfest ákvæði til bráðabirgða um</w:t>
                </w:r>
                <w:r w:rsidR="00A56BD4"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innan tveggja ára frá gildistöku laganna sk</w:t>
                </w:r>
                <w:r w:rsidR="00A56BD4">
                  <w:rPr>
                    <w:rFonts w:ascii="Times New Roman" w:hAnsi="Times New Roman" w:cs="Times New Roman"/>
                    <w:bCs/>
                    <w:lang w:val="is-IS"/>
                  </w:rPr>
                  <w:t>yldi</w:t>
                </w:r>
                <w:r w:rsidR="00A56BD4"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ráðherra flytja Alþingi skýrslu um reynsluna af starfi nefnda Seðlabankans frá gildistökunni, m.a. með hliðsjón af verkaskiptingu þeirra.</w:t>
                </w:r>
              </w:p>
              <w:p w14:paraId="4A9A644D" w14:textId="6A6CE0F4" w:rsidR="00CA3381" w:rsidRPr="00A56BD4" w:rsidRDefault="00A56BD4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ljósi athugasemda úttektarnefndarinnar varðandi fjármálaeftirlitsnefnd er brýnt að gera breytingar á lögunum til að tryggja </w:t>
                </w:r>
                <w:r w:rsidR="006244A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skilvirkni og gagnsæi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við ákvarðanatökuna.</w:t>
                </w:r>
              </w:p>
            </w:sdtContent>
          </w:sdt>
          <w:permEnd w:id="1592881982" w:displacedByCustomXml="prev"/>
        </w:tc>
      </w:tr>
      <w:tr w:rsidR="00E34B42" w:rsidRPr="00E34B42" w14:paraId="014E08C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E41E72A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B47480" w14:paraId="06AB6BB9" w14:textId="77777777" w:rsidTr="005E6791">
        <w:trPr>
          <w:trHeight w:val="747"/>
        </w:trPr>
        <w:tc>
          <w:tcPr>
            <w:tcW w:w="9288" w:type="dxa"/>
          </w:tcPr>
          <w:permStart w:id="153092440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9B2AD6E" w14:textId="02EC0E02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3AF52EFD" w14:textId="797AE88E" w:rsidR="00191B26" w:rsidRDefault="00191B2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033DB">
                  <w:rPr>
                    <w:rFonts w:ascii="Times New Roman" w:hAnsi="Times New Roman" w:cs="Times New Roman"/>
                    <w:bCs/>
                    <w:lang w:val="is-IS"/>
                  </w:rPr>
                  <w:t>Það er hlutverk Seðlabanka Íslands að stuðla að stöðugu verðlagi, fjármálastöðugleika og traustri og öruggri fjármálastarfsemi. Þá skal bankinn varðveita gjaldeyrisforða og stuðla að virku og öruggu fjármálakerfi, þ.m.t. greiðslumiðlun í landinu og við útlönd auk annarra verkefna er samrýmast hlutverki hans sem seðlabanka.</w:t>
                </w:r>
              </w:p>
              <w:p w14:paraId="7B3883A6" w14:textId="77777777" w:rsidR="005143A6" w:rsidRPr="000033DB" w:rsidRDefault="005143A6" w:rsidP="000033DB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CCDE86C" w14:textId="77777777" w:rsidR="004E458C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  <w:r w:rsidR="004E458C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46B41C38" w14:textId="031F9078" w:rsidR="00CA3381" w:rsidRPr="000033DB" w:rsidRDefault="00191B2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033DB">
                  <w:rPr>
                    <w:rFonts w:ascii="Times New Roman" w:hAnsi="Times New Roman" w:cs="Times New Roman"/>
                    <w:bCs/>
                    <w:lang w:val="is-IS"/>
                  </w:rPr>
                  <w:t>Að bæta lagarammann um ákvarðanatöku á sviði fjármálaeftirlits</w:t>
                </w:r>
                <w:r w:rsidR="005E534F" w:rsidRPr="000033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skýra valdsvið fjármálaeftirlitsnefndar Seðlabanka Íslands.</w:t>
                </w:r>
              </w:p>
            </w:sdtContent>
          </w:sdt>
        </w:tc>
      </w:tr>
      <w:permEnd w:id="1530924404"/>
      <w:tr w:rsidR="00E34B42" w:rsidRPr="00E34B42" w14:paraId="1882A99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9504C0E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B47480" w14:paraId="718428C0" w14:textId="77777777" w:rsidTr="00FD2097">
        <w:trPr>
          <w:trHeight w:val="826"/>
        </w:trPr>
        <w:tc>
          <w:tcPr>
            <w:tcW w:w="9288" w:type="dxa"/>
          </w:tcPr>
          <w:permStart w:id="5092689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67B13DCD" w14:textId="3C02389A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CE0E58D" w14:textId="38D43BBE" w:rsidR="00B164D7" w:rsidRDefault="00B164D7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033DB">
                  <w:rPr>
                    <w:rFonts w:ascii="Times New Roman" w:hAnsi="Times New Roman" w:cs="Times New Roman"/>
                    <w:bCs/>
                    <w:lang w:val="is-IS"/>
                  </w:rPr>
                  <w:t>Til að bregðast við athugasemdum nefndar sem falið var að gera úttekt á nefndum Seðlabanka Íslands um fjármálaeftirlitsnefnd er nauðsynlegt að leggja til breytingar á lögum. Eru breytingarnar nauðsynlegar m.a. í ljósi ummæla í skýrslu úttektarnefndar um að ekki sé hægt að fullyrða að með núverandi fyrirkomulagi sé í raun stutt nægjanlega við valddreifingu eða aukið til muna við réttaröryggi þeirra sem ákvarðanir beinast að</w:t>
                </w:r>
                <w:r w:rsidR="005143A6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4104B43A" w14:textId="77777777" w:rsidR="005143A6" w:rsidRPr="000033DB" w:rsidRDefault="005143A6" w:rsidP="000033DB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59CDEE8" w14:textId="1796BF3C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4742DB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D331C12" w14:textId="4B0041E9" w:rsidR="004742DB" w:rsidRDefault="000033DB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033DB">
                  <w:rPr>
                    <w:rFonts w:ascii="Times New Roman" w:hAnsi="Times New Roman" w:cs="Times New Roman"/>
                    <w:bCs/>
                    <w:lang w:val="is-IS"/>
                  </w:rPr>
                  <w:t>Þegar hafa verið gerðar breytingar á verkferlum innan Seðlabankans til að koma til móts við athugasemdir þær sem fram koma í skýrslu úttektarnefndar. Hins vegar liggur fyrir að breytingar á lögum um Seðlabanka Íslands eru nauðsynlegar til að bregðast við ábendingum sem fram koma í skýrslunni.</w:t>
                </w:r>
              </w:p>
              <w:p w14:paraId="63ED7364" w14:textId="77777777" w:rsidR="005143A6" w:rsidRPr="000033DB" w:rsidRDefault="005143A6" w:rsidP="000033DB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5BCFE07D" w14:textId="77777777" w:rsidR="00BB68D9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3E20204E" w14:textId="45E27967" w:rsidR="00CA3381" w:rsidRPr="000033DB" w:rsidRDefault="009B1553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Ekki eru aðrar leiðir færar við lagasetningu en að g</w:t>
                </w:r>
                <w:r w:rsidR="000033DB" w:rsidRPr="000033DB">
                  <w:rPr>
                    <w:rFonts w:ascii="Times New Roman" w:hAnsi="Times New Roman" w:cs="Times New Roman"/>
                    <w:bCs/>
                    <w:lang w:val="is-IS"/>
                  </w:rPr>
                  <w:t>era breytingar á ákvæðum laga um Seðlabanka Íslands, nr. 92/2019, einkum 3. og 15. gr. laganna þar sem fjallað er um yfirstjórn bankans og fjármálaeftirlitsnefnd.</w:t>
                </w:r>
              </w:p>
            </w:sdtContent>
          </w:sdt>
        </w:tc>
      </w:tr>
      <w:permEnd w:id="50926893"/>
      <w:tr w:rsidR="00E34B42" w:rsidRPr="00B47480" w14:paraId="3316075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61C3479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C345C6" w14:paraId="2D41CFB0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61225920" w:edGrp="everyone" w:displacedByCustomXml="prev"/>
              <w:p w14:paraId="6F252292" w14:textId="62339F46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71721BB1" w14:textId="11784911" w:rsidR="00BB68D9" w:rsidRDefault="00FE069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fyrsta lagi er lagt til að lögfest verði að seðlabankastjóri eigi sæti í fjármálastöðugleikanefnd og verði formaður nefndarinnar </w:t>
                </w:r>
                <w:r w:rsidRPr="00FE069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</w:t>
                </w:r>
                <w:r w:rsidRPr="00FE069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varaseðlabankastjóri fjármálaeftirlits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verði </w:t>
                </w:r>
                <w:r w:rsidRPr="00FE0696">
                  <w:rPr>
                    <w:rFonts w:ascii="Times New Roman" w:hAnsi="Times New Roman" w:cs="Times New Roman"/>
                    <w:bCs/>
                    <w:lang w:val="is-IS"/>
                  </w:rPr>
                  <w:t>staðgengill hans.</w:t>
                </w:r>
              </w:p>
              <w:p w14:paraId="6E600A7B" w14:textId="77777777" w:rsidR="00764916" w:rsidRDefault="001D70EC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frumvarpi til laga um Seðlabanka Íslands, sem samþykkt var sem lög nr. 92/2019 var upprunalega lagt til að 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>seðlabankastjóri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yrði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formaður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fjármálaeftirlits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>nefndarinnar og varaseðlabankastjóri fjármálaeftirlits staðgengill han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s. Í meðförum Alþingis var gerð breyting á frumvarpinu hvað þetta varðar þannig að seðlabankastjóri á almennt ekki sæti í nefndinni, heldur veitir varaseðlabankastjóri fjármálaeftirlits nefndinni að jafnaði formennsku. 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>Seðlabankastjóri t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ekur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þó sæti í nefndinni, og veiti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henni formennsku, við töku ákvarðana um setningu starfsreglna hennar, framsal ákvörðunarvalds til varaseðlabankastjóra fjármálaeftirlits og ákvarðana sem varða eigið fé, laust fé og fjármögnun kerfislega mikilvægra fjármálafyrirtækja.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Segir í rökstuðningi í nefndaráliti að breytingin sé lögð til í því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skyni að draga úr orðsporsáhættu sem gæti rýrt trúverðugleika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Seðlabankans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haft neikvæð áhrif á starfsemi hans á öðrum sviðum og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að 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>milda áhrif þeirrar miklu samþjöppunar valds sem fel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Pr="001D70EC">
                  <w:rPr>
                    <w:rFonts w:ascii="Times New Roman" w:hAnsi="Times New Roman" w:cs="Times New Roman"/>
                    <w:bCs/>
                    <w:lang w:val="is-IS"/>
                  </w:rPr>
                  <w:t>st í sameiningu Seðlabankans og Fjármálaeftirlitsins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E23CA95" w14:textId="608B5F0F" w:rsidR="00764916" w:rsidRDefault="00D327E1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Bent er á það í</w:t>
                </w:r>
                <w:r w:rsidR="007649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skýrslu úttektarnefndar að s</w:t>
                </w:r>
                <w:r w:rsidR="00764916" w:rsidRPr="00764916">
                  <w:rPr>
                    <w:rFonts w:ascii="Times New Roman" w:hAnsi="Times New Roman" w:cs="Times New Roman"/>
                    <w:bCs/>
                    <w:lang w:val="is-IS"/>
                  </w:rPr>
                  <w:t>eðlabankastjóri ætti að gegna formennsku í fjármálaeftirlitsnefnd, eins og í</w:t>
                </w:r>
                <w:r w:rsidR="007649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öðrum fastanefndum bankans</w:t>
                </w:r>
                <w:r w:rsidR="00764916" w:rsidRPr="00764916">
                  <w:rPr>
                    <w:rFonts w:ascii="Times New Roman" w:hAnsi="Times New Roman" w:cs="Times New Roman"/>
                    <w:bCs/>
                    <w:lang w:val="is-IS"/>
                  </w:rPr>
                  <w:t>, eins og lagt var til í upphaflegu frumvarpi til laga árið 2019.</w:t>
                </w:r>
                <w:r w:rsidR="007649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Segir í skýrslu úttektarnefndar að m</w:t>
                </w:r>
                <w:r w:rsidR="00764916" w:rsidRPr="00764916">
                  <w:rPr>
                    <w:rFonts w:ascii="Times New Roman" w:hAnsi="Times New Roman" w:cs="Times New Roman"/>
                    <w:bCs/>
                    <w:lang w:val="is-IS"/>
                  </w:rPr>
                  <w:t>ismunandi formennska b</w:t>
                </w:r>
                <w:r w:rsidR="00764916">
                  <w:rPr>
                    <w:rFonts w:ascii="Times New Roman" w:hAnsi="Times New Roman" w:cs="Times New Roman"/>
                    <w:bCs/>
                    <w:lang w:val="is-IS"/>
                  </w:rPr>
                  <w:t>úi</w:t>
                </w:r>
                <w:r w:rsidR="00764916" w:rsidRPr="0076491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 flækjustig</w:t>
                </w:r>
                <w:r w:rsidR="00764916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6DA8163F" w14:textId="77777777" w:rsidR="00D327E1" w:rsidRDefault="00764916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umræðum á Alþingi um skýrslu forsætisráðherra í janúar 2022 komu einnig fram </w:t>
                </w:r>
                <w:r w:rsidR="00D72CA7">
                  <w:rPr>
                    <w:rFonts w:ascii="Times New Roman" w:hAnsi="Times New Roman" w:cs="Times New Roman"/>
                    <w:bCs/>
                    <w:lang w:val="is-IS"/>
                  </w:rPr>
                  <w:t>þau sjónarmið að rétt væri að breyta ákvæðum laga um Seðlabanka um formennsku í fjármálaeftirlitsnefnd.</w:t>
                </w:r>
              </w:p>
              <w:p w14:paraId="0C38F661" w14:textId="584A873B" w:rsidR="00764916" w:rsidRDefault="00D327E1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Því er</w:t>
                </w:r>
                <w:r w:rsidR="00D72CA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framangreind breyting lögð til.</w:t>
                </w:r>
              </w:p>
              <w:p w14:paraId="1E8933EF" w14:textId="59F34185" w:rsidR="00D327E1" w:rsidRDefault="00D327E1" w:rsidP="009B1553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öðru lagi er lagt til að ákvæðum laga um Seðlabanka Íslands um töku ákvarðana á sviði fjármálaeftirlits verði breytt. </w:t>
                </w:r>
              </w:p>
              <w:p w14:paraId="1166A0BC" w14:textId="320D8F64" w:rsidR="00D327E1" w:rsidRDefault="00D327E1" w:rsidP="0019056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Ákvæði 3. og 15. gr. laga um Seðlabanka gera ráð fyrir því að f</w:t>
                </w:r>
                <w:r w:rsidRPr="00D327E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jármálaeftirlitsnefnd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taki</w:t>
                </w:r>
                <w:r w:rsidRPr="00D327E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ákvarðanir sem faldar eru Fjármálaeftirlitinu samkvæmt lögum og stjórnvaldsfyrirmælum. Nefndin getur framselt til varaseðlabankastjóra fjármálaeftirlits vald sitt til töku ákvarðana sem ekki teljast meiri háttar.</w:t>
                </w:r>
              </w:p>
              <w:p w14:paraId="205E677E" w14:textId="513BAA7A" w:rsidR="00140D7F" w:rsidRDefault="00140D7F" w:rsidP="0019056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skýrslu nefndar um úttekt á fastanefndum Seðlabanka Íslands eru gerðar athugasemdir við það fyrirkomulag að löggjafinn feli fjármálaeftirlitsnefnd að taka allar ákvarðanir á sviði fjármálaeftirlits og heimili nefndinni að framselja vald sitt vegna hluta ákvarðananna til varaseðlabankastjóra fjármálaeftirlits sem að einhverju leyti framselji valdið enn á ný til annarra starfsmanna eða sviða bankans. Segir í skýrslunni að miðað við þetta margbrotna framsal valds og lagskipta stjórnsýslu sem búin sé til í kringum eftirlitsverkefni innan sömu stofnunar sé ekki hægt að fullyrða að réttaröryggi og réttlát málsmeðferð séu tryggð</w:t>
                </w:r>
                <w:r w:rsidR="00FB54B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að heppilegra væri að koma í veg fyrir lagaleg álitamál sem geti skapast með endurbótum á löggjöf eða framkvæmd.</w:t>
                </w:r>
              </w:p>
              <w:p w14:paraId="6CEF375B" w14:textId="13EA468C" w:rsidR="00FB54B9" w:rsidRDefault="00FB54B9" w:rsidP="0019056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samræmi við þetta er áætlað að leggja til breytingar á lögum um Seðlabanka Íslands þar sem kveðið verði á um að Seðlabanki Íslands taki ákvarðanir sem faldar eru Fjármálaeftirlitinu samkvæmt lögum og stjórnvaldsfyrirmælum</w:t>
                </w:r>
                <w:r w:rsid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AF3F4A" w:rsidRP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og kveða </w:t>
                </w:r>
                <w:r w:rsidR="00AF3F4A">
                  <w:rPr>
                    <w:rFonts w:ascii="Times New Roman" w:hAnsi="Times New Roman" w:cs="Times New Roman"/>
                    <w:bCs/>
                    <w:lang w:val="is-IS"/>
                  </w:rPr>
                  <w:t>jafnframt</w:t>
                </w:r>
                <w:r w:rsidR="00AF3F4A" w:rsidRP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um að fjármálaeftirlitsnefnd skuli taka </w:t>
                </w:r>
                <w:r w:rsidR="00F720B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íþyngjandi </w:t>
                </w:r>
                <w:r w:rsidR="00AF3F4A" w:rsidRPr="00AF3F4A">
                  <w:rPr>
                    <w:rFonts w:ascii="Times New Roman" w:hAnsi="Times New Roman" w:cs="Times New Roman"/>
                    <w:bCs/>
                    <w:lang w:val="is-IS"/>
                  </w:rPr>
                  <w:t>ákvarðanir</w:t>
                </w:r>
                <w:r w:rsidR="00F720B4">
                  <w:rPr>
                    <w:rFonts w:ascii="Times New Roman" w:hAnsi="Times New Roman" w:cs="Times New Roman"/>
                    <w:bCs/>
                    <w:lang w:val="is-IS"/>
                  </w:rPr>
                  <w:t>, svo sem um álagningu stjórnvaldssekta</w:t>
                </w:r>
                <w:r w:rsidR="00AF3F4A" w:rsidRP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  <w:r w:rsid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Hvað </w:t>
                </w:r>
                <w:r w:rsidR="00F720B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undir það </w:t>
                </w:r>
                <w:r w:rsidR="00E8394A">
                  <w:rPr>
                    <w:rFonts w:ascii="Times New Roman" w:hAnsi="Times New Roman" w:cs="Times New Roman"/>
                    <w:bCs/>
                    <w:lang w:val="is-IS"/>
                  </w:rPr>
                  <w:t>fellur verður</w:t>
                </w:r>
                <w:r w:rsid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hluta til skilgreint í lögum en að hluta til útfært í</w:t>
                </w:r>
                <w:r w:rsidR="00AF3F4A" w:rsidRP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starfsreglum nefndarinnar. </w:t>
                </w:r>
              </w:p>
              <w:p w14:paraId="5C534053" w14:textId="77777777" w:rsidR="005143A6" w:rsidRPr="000033DB" w:rsidRDefault="005143A6" w:rsidP="000033DB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87D7853" w14:textId="77777777" w:rsidR="00BB68D9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1F4EB75C" w14:textId="150C1420" w:rsidR="00D327E1" w:rsidRDefault="00D327E1" w:rsidP="0019056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Lagt er til að ákvæðum 15. gr. laga um Seðlabanka Íslands verði breytt þannig að seðlabankastjóri verði formaður fjármálaeftirlitsnefndar og að varaseðlabankastjóri fjármálaeftirlits verði staðgengill hans.</w:t>
                </w:r>
              </w:p>
              <w:p w14:paraId="0E488553" w14:textId="7D4F6F36" w:rsidR="009D1958" w:rsidRDefault="00F136F5" w:rsidP="00190567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Einnig er l</w:t>
                </w:r>
                <w:r w:rsidR="00AF3F4A">
                  <w:rPr>
                    <w:rFonts w:ascii="Times New Roman" w:hAnsi="Times New Roman" w:cs="Times New Roman"/>
                    <w:bCs/>
                    <w:lang w:val="is-IS"/>
                  </w:rPr>
                  <w:t>ag</w:t>
                </w:r>
                <w:r w:rsidR="00694E8A">
                  <w:rPr>
                    <w:rFonts w:ascii="Times New Roman" w:hAnsi="Times New Roman" w:cs="Times New Roman"/>
                    <w:bCs/>
                    <w:lang w:val="is-IS"/>
                  </w:rPr>
                  <w:t>t</w:t>
                </w:r>
                <w:r w:rsidR="00AF3F4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til að ákvæðum </w:t>
                </w:r>
                <w:r w:rsidR="009D1958">
                  <w:rPr>
                    <w:rFonts w:ascii="Times New Roman" w:hAnsi="Times New Roman" w:cs="Times New Roman"/>
                    <w:bCs/>
                    <w:lang w:val="is-IS"/>
                  </w:rPr>
                  <w:t>2. mgr. 3. gr. og 15. gr. laga um Seðlabanka Íslands verði breytt þannig að Seðlabanka Íslands verði falið að taka</w:t>
                </w:r>
                <w:r w:rsidR="009D1958" w:rsidRPr="009D195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ákvarðanir sem faldar eru Fjármálaeftirlitinu samkvæmt lögum </w:t>
                </w:r>
                <w:r w:rsidR="009D1958" w:rsidRPr="009D1958"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og stjórnvaldsfyrirmælum</w:t>
                </w:r>
                <w:r w:rsidR="009D1958">
                  <w:rPr>
                    <w:rFonts w:ascii="Times New Roman" w:hAnsi="Times New Roman" w:cs="Times New Roman"/>
                    <w:bCs/>
                    <w:lang w:val="is-IS"/>
                  </w:rPr>
                  <w:t>, en</w:t>
                </w:r>
                <w:r w:rsidR="009D1958" w:rsidRPr="009D195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fjármálaeftirlitsnefnd skuli taka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nánar skilgreindar </w:t>
                </w:r>
                <w:r w:rsidR="009D1958" w:rsidRPr="009D1958">
                  <w:rPr>
                    <w:rFonts w:ascii="Times New Roman" w:hAnsi="Times New Roman" w:cs="Times New Roman"/>
                    <w:bCs/>
                    <w:lang w:val="is-IS"/>
                  </w:rPr>
                  <w:t>ákvarðanir sem teljast meiri háttar.</w:t>
                </w:r>
                <w:r w:rsidR="00BA4BB1" w:rsidRPr="00D72C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EAC262F" w14:textId="6FA0FE4B" w:rsidR="000D6E33" w:rsidRPr="009D1958" w:rsidRDefault="00F37EE4" w:rsidP="00D72CA7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ermEnd w:id="61225920" w:displacedByCustomXml="next"/>
            </w:sdtContent>
          </w:sdt>
        </w:tc>
      </w:tr>
      <w:tr w:rsidR="00E34B42" w:rsidRPr="00C345C6" w14:paraId="57B87E7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0C95B18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C345C6" w14:paraId="4BB41F51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833558403" w:edGrp="everyone" w:displacedByCustomXml="prev"/>
              <w:p w14:paraId="5BD941EC" w14:textId="497C408D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EC54028" w14:textId="030C74AD" w:rsidR="00B164D7" w:rsidRDefault="00B164D7" w:rsidP="00B164D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0FE4B857" w14:textId="77777777" w:rsidR="005143A6" w:rsidRPr="00B164D7" w:rsidRDefault="005143A6" w:rsidP="00B164D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8C2E3A2" w14:textId="046657CB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542CC21" w14:textId="3AE05CDB" w:rsidR="00B164D7" w:rsidRDefault="00B164D7" w:rsidP="00B164D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4C570710" w14:textId="77777777" w:rsidR="005143A6" w:rsidRPr="00B164D7" w:rsidRDefault="005143A6" w:rsidP="00B164D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288B6DA" w14:textId="77777777" w:rsidR="00B164D7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7A3A315" w14:textId="1A585CBB" w:rsidR="00CA3381" w:rsidRPr="00E34B42" w:rsidRDefault="00B164D7" w:rsidP="00B164D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ermEnd w:id="833558403" w:displacedByCustomXml="next"/>
            </w:sdtContent>
          </w:sdt>
        </w:tc>
      </w:tr>
      <w:tr w:rsidR="00E34B42" w:rsidRPr="00E34B42" w14:paraId="331418E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822333A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B47480" w14:paraId="069BF40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677779845" w:edGrp="everyone" w:displacedByCustomXml="prev"/>
              <w:p w14:paraId="250B3D4B" w14:textId="62B89124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5DA505B1" w14:textId="366500CB" w:rsidR="00BB68D9" w:rsidRDefault="005143A6" w:rsidP="00BB68D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</w:t>
                </w:r>
                <w:r w:rsidR="00BB68D9">
                  <w:rPr>
                    <w:rFonts w:ascii="Times New Roman" w:hAnsi="Times New Roman" w:cs="Times New Roman"/>
                    <w:bCs/>
                    <w:lang w:val="is-IS"/>
                  </w:rPr>
                  <w:t>jármála- og efnahagsráðuneytið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Seðlabanki Íslands</w:t>
                </w:r>
                <w:r w:rsidR="005E534F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184B91BC" w14:textId="77777777" w:rsidR="00345A93" w:rsidRPr="00345A93" w:rsidRDefault="00345A93" w:rsidP="00345A93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B3B19A6" w14:textId="022317E0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17579750" w14:textId="63A1607D" w:rsidR="00BB68D9" w:rsidRDefault="00BB68D9" w:rsidP="00BB68D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B68D9"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BB68D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stjórnarmálefni fjármála- og efnahagsráðuneytisins. </w:t>
                </w:r>
              </w:p>
              <w:p w14:paraId="40FF8E6D" w14:textId="77777777" w:rsidR="00345A93" w:rsidRPr="00BB68D9" w:rsidRDefault="00345A93" w:rsidP="00BB68D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553C002" w14:textId="7F7981DE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68AC418F" w14:textId="72BD0DD0" w:rsidR="00345A93" w:rsidRDefault="005E534F" w:rsidP="00190567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E53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Forsætisráðherra skipaði þann 9. júní 2021 nefnd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þriggja </w:t>
                </w:r>
                <w:r w:rsidRPr="005E534F">
                  <w:rPr>
                    <w:rFonts w:ascii="Times New Roman" w:hAnsi="Times New Roman" w:cs="Times New Roman"/>
                    <w:bCs/>
                    <w:lang w:val="is-IS"/>
                  </w:rPr>
                  <w:t>sérfræðinga til að annast úttek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 á fastanefndum Seðlabankans. Í störfum sínum ræddi nefndin við </w:t>
                </w:r>
                <w:r w:rsidR="004C08D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fjölda aðila. </w:t>
                </w:r>
              </w:p>
              <w:p w14:paraId="694D9511" w14:textId="77777777" w:rsidR="00345A93" w:rsidRDefault="004C08D0" w:rsidP="00190567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Forsætisráðherra flutti Alþingi skýrslu sína um úttektina í janúar 2022. </w:t>
                </w:r>
              </w:p>
              <w:p w14:paraId="11083F9E" w14:textId="605CA2E3" w:rsidR="005E534F" w:rsidRDefault="004C08D0" w:rsidP="00190567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maí 2022 skipaði forsætisráðherra starfshóp til að </w:t>
                </w:r>
                <w:r w:rsidRPr="00FF50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yfirfara tillögur úttektarnefndarinnar og setja fram tillögur til breytinga á lögum nr. 92/2019 þar að lútandi.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starfshópnum eiga m.a. sæti fulltrúar forsætisráðuneytis, fjármála- og efnahagsráðuneytis og Seðlabanka Íslands.</w:t>
                </w:r>
              </w:p>
              <w:p w14:paraId="5CE1C604" w14:textId="77777777" w:rsidR="00345A93" w:rsidRPr="004C08D0" w:rsidRDefault="00345A93" w:rsidP="004C08D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1C25AF3" w14:textId="77777777" w:rsidR="00BB68D9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58F9EA3C" w14:textId="71D23DD1" w:rsidR="00CA3381" w:rsidRPr="00E34B42" w:rsidRDefault="00BB68D9" w:rsidP="00190567">
                <w:pPr>
                  <w:pStyle w:val="Mlsgreinlista"/>
                  <w:spacing w:before="60" w:after="60"/>
                  <w:ind w:left="714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 um lagasetningu og frummat á áhrifum verður kynnt í almennu samráði í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samráðsgátt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stjórnvalda og drög að frumvarpi ásamt endanlegu mati á áhrifum sömuleiðis. </w:t>
                </w:r>
                <w:r w:rsidRPr="00BB68D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677779845" w:displacedByCustomXml="next"/>
            </w:sdtContent>
          </w:sdt>
        </w:tc>
      </w:tr>
      <w:tr w:rsidR="00E34B42" w:rsidRPr="00B47480" w14:paraId="464E5E5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7ECE65E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2529B3A9" w14:textId="77777777" w:rsidTr="007414CB">
        <w:trPr>
          <w:trHeight w:val="283"/>
        </w:trPr>
        <w:tc>
          <w:tcPr>
            <w:tcW w:w="9288" w:type="dxa"/>
          </w:tcPr>
          <w:permStart w:id="173978501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68971B4" w14:textId="77777777" w:rsidR="00BB68D9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47871B28" w14:textId="4FFBAF44" w:rsidR="00F93B5C" w:rsidRPr="00D63ED7" w:rsidRDefault="00BB68D9" w:rsidP="00BB68D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</w:p>
            </w:sdtContent>
          </w:sdt>
        </w:tc>
      </w:tr>
      <w:permEnd w:id="1739785014"/>
      <w:tr w:rsidR="00E34B42" w:rsidRPr="00E34B42" w14:paraId="2416EF8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BDE23F9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C345C6" w14:paraId="1B8C39CC" w14:textId="77777777" w:rsidTr="00FD2097">
        <w:trPr>
          <w:trHeight w:val="826"/>
        </w:trPr>
        <w:tc>
          <w:tcPr>
            <w:tcW w:w="9288" w:type="dxa"/>
          </w:tcPr>
          <w:permStart w:id="190992775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630819CD" w14:textId="77777777" w:rsidR="00BB68D9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1EF019B6" w14:textId="4EE468B7" w:rsidR="009941D2" w:rsidRPr="00BB68D9" w:rsidRDefault="00BB68D9" w:rsidP="00BB68D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BB68D9"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  <w:r w:rsidR="00E67F09" w:rsidRPr="00BB68D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7C1724C5" w14:textId="16CE16D7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7B4F0574" w14:textId="07F8C422" w:rsidR="00BB68D9" w:rsidRDefault="004C08D0" w:rsidP="00BB68D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Gildistaka fyrirhugaðs frumvarps kallar ekki á sérstaka aðlögun eða frestun á innleiðingu.</w:t>
                </w:r>
              </w:p>
              <w:p w14:paraId="6D88FABB" w14:textId="77777777" w:rsidR="00345A93" w:rsidRPr="00BB68D9" w:rsidRDefault="00345A93" w:rsidP="00BB68D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EEA889D" w14:textId="7E2F275D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2062480" w14:textId="0A6F1578" w:rsidR="0088215D" w:rsidRDefault="004C08D0" w:rsidP="008821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Ákvæði laga þurfa að vera skýr. Þá þ</w:t>
                </w:r>
                <w:r w:rsidR="002553C8">
                  <w:rPr>
                    <w:rFonts w:ascii="Times New Roman" w:hAnsi="Times New Roman" w:cs="Times New Roman"/>
                    <w:bCs/>
                    <w:lang w:val="is-IS"/>
                  </w:rPr>
                  <w:t>arf Seðlabanki Íslands að uppfæra starfsreglur í samræmi við breytingar á lögum.</w:t>
                </w:r>
              </w:p>
              <w:p w14:paraId="6297571C" w14:textId="77777777" w:rsidR="00345A93" w:rsidRPr="0088215D" w:rsidRDefault="00345A93" w:rsidP="008821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687AA01" w14:textId="3BBFF1BA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88215D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D6A49F" w14:textId="60A10885" w:rsidR="0088215D" w:rsidRDefault="00724ECC" w:rsidP="008821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ákvarðanataka á sviði fjármálamarkaðar verði byggð á skýrum reglum og að réttaröryggi verði tryggt. </w:t>
                </w:r>
              </w:p>
              <w:p w14:paraId="1CD0CBA8" w14:textId="77777777" w:rsidR="00345A93" w:rsidRPr="0088215D" w:rsidRDefault="00345A93" w:rsidP="008821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998AA61" w14:textId="77777777" w:rsidR="0088215D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D91C054" w14:textId="5E08A338" w:rsidR="009941D2" w:rsidRPr="00E34B42" w:rsidRDefault="00B164D7" w:rsidP="008821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</w:sdtContent>
          </w:sdt>
        </w:tc>
      </w:tr>
      <w:permEnd w:id="1909927751"/>
      <w:tr w:rsidR="00E34B42" w:rsidRPr="00E34B42" w14:paraId="1826D18D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6D92146F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1120141773" w:edGrp="everyone" w:colFirst="0" w:colLast="0"/>
      <w:tr w:rsidR="00E34B42" w:rsidRPr="00E34B42" w14:paraId="0949465C" w14:textId="77777777" w:rsidTr="00744E3E">
        <w:trPr>
          <w:trHeight w:val="300"/>
        </w:trPr>
        <w:tc>
          <w:tcPr>
            <w:tcW w:w="9288" w:type="dxa"/>
          </w:tcPr>
          <w:p w14:paraId="2441BF01" w14:textId="77777777" w:rsidR="00E34B42" w:rsidRPr="00E34B42" w:rsidRDefault="00F37EE4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120141773"/>
      <w:tr w:rsidR="00E34B42" w:rsidRPr="00E34B42" w14:paraId="7E9794CB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B1CE55A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1AB73D0A" w14:textId="77777777" w:rsidTr="007414CB">
        <w:trPr>
          <w:trHeight w:val="300"/>
        </w:trPr>
        <w:tc>
          <w:tcPr>
            <w:tcW w:w="9288" w:type="dxa"/>
          </w:tcPr>
          <w:permStart w:id="1259018002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8342D8E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24C4532A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259018002"/>
    </w:tbl>
    <w:p w14:paraId="02AD66C1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824F" w14:textId="77777777" w:rsidR="00F37EE4" w:rsidRDefault="00F37EE4" w:rsidP="007478E0">
      <w:pPr>
        <w:spacing w:after="0" w:line="240" w:lineRule="auto"/>
      </w:pPr>
      <w:r>
        <w:separator/>
      </w:r>
    </w:p>
  </w:endnote>
  <w:endnote w:type="continuationSeparator" w:id="0">
    <w:p w14:paraId="51A9FD26" w14:textId="77777777" w:rsidR="00F37EE4" w:rsidRDefault="00F37EE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9E94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7D079A11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2B67" w14:textId="77777777" w:rsidR="00F37EE4" w:rsidRDefault="00F37EE4" w:rsidP="007478E0">
      <w:pPr>
        <w:spacing w:after="0" w:line="240" w:lineRule="auto"/>
      </w:pPr>
      <w:r>
        <w:separator/>
      </w:r>
    </w:p>
  </w:footnote>
  <w:footnote w:type="continuationSeparator" w:id="0">
    <w:p w14:paraId="3BEEE0AE" w14:textId="77777777" w:rsidR="00F37EE4" w:rsidRDefault="00F37EE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4F7"/>
    <w:multiLevelType w:val="hybridMultilevel"/>
    <w:tmpl w:val="EAA2DFB8"/>
    <w:lvl w:ilvl="0" w:tplc="834A0C3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5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B27"/>
    <w:rsid w:val="00000C39"/>
    <w:rsid w:val="000033DB"/>
    <w:rsid w:val="00005502"/>
    <w:rsid w:val="000249A2"/>
    <w:rsid w:val="00034A55"/>
    <w:rsid w:val="00043E61"/>
    <w:rsid w:val="00050DAE"/>
    <w:rsid w:val="00051DC6"/>
    <w:rsid w:val="00063E97"/>
    <w:rsid w:val="00081ED8"/>
    <w:rsid w:val="000829E4"/>
    <w:rsid w:val="0008494B"/>
    <w:rsid w:val="00094FB0"/>
    <w:rsid w:val="00096B1D"/>
    <w:rsid w:val="000A7176"/>
    <w:rsid w:val="000C58BD"/>
    <w:rsid w:val="000D6E33"/>
    <w:rsid w:val="000E1312"/>
    <w:rsid w:val="000E34DF"/>
    <w:rsid w:val="00100138"/>
    <w:rsid w:val="00105552"/>
    <w:rsid w:val="0012646E"/>
    <w:rsid w:val="00126525"/>
    <w:rsid w:val="00133146"/>
    <w:rsid w:val="00135B40"/>
    <w:rsid w:val="0013710B"/>
    <w:rsid w:val="00140D7F"/>
    <w:rsid w:val="00143B7A"/>
    <w:rsid w:val="00176943"/>
    <w:rsid w:val="00186BE9"/>
    <w:rsid w:val="00187E36"/>
    <w:rsid w:val="00190567"/>
    <w:rsid w:val="00191B26"/>
    <w:rsid w:val="001928E6"/>
    <w:rsid w:val="001972B9"/>
    <w:rsid w:val="001C723A"/>
    <w:rsid w:val="001D117E"/>
    <w:rsid w:val="001D5BCE"/>
    <w:rsid w:val="001D70EC"/>
    <w:rsid w:val="001E2499"/>
    <w:rsid w:val="001E7950"/>
    <w:rsid w:val="001F1687"/>
    <w:rsid w:val="001F2301"/>
    <w:rsid w:val="001F7268"/>
    <w:rsid w:val="002115E6"/>
    <w:rsid w:val="0021293B"/>
    <w:rsid w:val="002266EF"/>
    <w:rsid w:val="00242342"/>
    <w:rsid w:val="00244F3D"/>
    <w:rsid w:val="00251D26"/>
    <w:rsid w:val="002553C8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20F08"/>
    <w:rsid w:val="00335A2A"/>
    <w:rsid w:val="00345A93"/>
    <w:rsid w:val="00350CD3"/>
    <w:rsid w:val="0035270D"/>
    <w:rsid w:val="00360301"/>
    <w:rsid w:val="00363190"/>
    <w:rsid w:val="00364D97"/>
    <w:rsid w:val="003821A7"/>
    <w:rsid w:val="0038338E"/>
    <w:rsid w:val="003A1821"/>
    <w:rsid w:val="003B784E"/>
    <w:rsid w:val="003D01BF"/>
    <w:rsid w:val="003D1515"/>
    <w:rsid w:val="003D1ABF"/>
    <w:rsid w:val="003E270A"/>
    <w:rsid w:val="003E611E"/>
    <w:rsid w:val="00403139"/>
    <w:rsid w:val="0043227F"/>
    <w:rsid w:val="00441AD0"/>
    <w:rsid w:val="00450029"/>
    <w:rsid w:val="004742DB"/>
    <w:rsid w:val="0047580A"/>
    <w:rsid w:val="00476654"/>
    <w:rsid w:val="00480BB0"/>
    <w:rsid w:val="004978E5"/>
    <w:rsid w:val="004A515F"/>
    <w:rsid w:val="004C08D0"/>
    <w:rsid w:val="004D18C2"/>
    <w:rsid w:val="004E0322"/>
    <w:rsid w:val="004E458C"/>
    <w:rsid w:val="004E4F53"/>
    <w:rsid w:val="004F0024"/>
    <w:rsid w:val="004F142F"/>
    <w:rsid w:val="004F1C38"/>
    <w:rsid w:val="004F5331"/>
    <w:rsid w:val="005143A6"/>
    <w:rsid w:val="00532D45"/>
    <w:rsid w:val="00535EC4"/>
    <w:rsid w:val="005641B1"/>
    <w:rsid w:val="00564856"/>
    <w:rsid w:val="00565EAA"/>
    <w:rsid w:val="00592E19"/>
    <w:rsid w:val="005B46C8"/>
    <w:rsid w:val="005C123A"/>
    <w:rsid w:val="005C1678"/>
    <w:rsid w:val="005C37D5"/>
    <w:rsid w:val="005C43A4"/>
    <w:rsid w:val="005C5DEB"/>
    <w:rsid w:val="005D7CA2"/>
    <w:rsid w:val="005E51EA"/>
    <w:rsid w:val="005E534F"/>
    <w:rsid w:val="005E6791"/>
    <w:rsid w:val="00614066"/>
    <w:rsid w:val="00614FAD"/>
    <w:rsid w:val="006244A6"/>
    <w:rsid w:val="00631C8F"/>
    <w:rsid w:val="00645781"/>
    <w:rsid w:val="00670F44"/>
    <w:rsid w:val="00676A80"/>
    <w:rsid w:val="00683957"/>
    <w:rsid w:val="006909D6"/>
    <w:rsid w:val="00694183"/>
    <w:rsid w:val="00694E8A"/>
    <w:rsid w:val="006960C1"/>
    <w:rsid w:val="00697B19"/>
    <w:rsid w:val="006A2D00"/>
    <w:rsid w:val="006B7AE2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217E5"/>
    <w:rsid w:val="00724ECC"/>
    <w:rsid w:val="00730F7B"/>
    <w:rsid w:val="00731AD2"/>
    <w:rsid w:val="007365C0"/>
    <w:rsid w:val="007414CB"/>
    <w:rsid w:val="007478E0"/>
    <w:rsid w:val="0075142D"/>
    <w:rsid w:val="00753051"/>
    <w:rsid w:val="00764916"/>
    <w:rsid w:val="00770869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215D"/>
    <w:rsid w:val="00883508"/>
    <w:rsid w:val="00886AC9"/>
    <w:rsid w:val="00892071"/>
    <w:rsid w:val="008A2C75"/>
    <w:rsid w:val="008D09FC"/>
    <w:rsid w:val="008D4AAD"/>
    <w:rsid w:val="008E14CF"/>
    <w:rsid w:val="0091519C"/>
    <w:rsid w:val="00923554"/>
    <w:rsid w:val="0092759D"/>
    <w:rsid w:val="00932BC6"/>
    <w:rsid w:val="00933946"/>
    <w:rsid w:val="00941142"/>
    <w:rsid w:val="00942D67"/>
    <w:rsid w:val="009439F8"/>
    <w:rsid w:val="00944199"/>
    <w:rsid w:val="009449CA"/>
    <w:rsid w:val="00951F81"/>
    <w:rsid w:val="00956B33"/>
    <w:rsid w:val="0096071F"/>
    <w:rsid w:val="00960D10"/>
    <w:rsid w:val="00976B6E"/>
    <w:rsid w:val="00993115"/>
    <w:rsid w:val="00994012"/>
    <w:rsid w:val="009941D2"/>
    <w:rsid w:val="009B1553"/>
    <w:rsid w:val="009B7A52"/>
    <w:rsid w:val="009C1771"/>
    <w:rsid w:val="009C2DA3"/>
    <w:rsid w:val="009C3565"/>
    <w:rsid w:val="009D1958"/>
    <w:rsid w:val="009F64EA"/>
    <w:rsid w:val="00A30C51"/>
    <w:rsid w:val="00A339B6"/>
    <w:rsid w:val="00A51298"/>
    <w:rsid w:val="00A56BD4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AE7EE9"/>
    <w:rsid w:val="00AF3F4A"/>
    <w:rsid w:val="00B01FF3"/>
    <w:rsid w:val="00B164D7"/>
    <w:rsid w:val="00B339AF"/>
    <w:rsid w:val="00B3771A"/>
    <w:rsid w:val="00B47480"/>
    <w:rsid w:val="00B50990"/>
    <w:rsid w:val="00B62208"/>
    <w:rsid w:val="00B65214"/>
    <w:rsid w:val="00B745CC"/>
    <w:rsid w:val="00B863E2"/>
    <w:rsid w:val="00BA1F90"/>
    <w:rsid w:val="00BA4BB1"/>
    <w:rsid w:val="00BA5089"/>
    <w:rsid w:val="00BB2B30"/>
    <w:rsid w:val="00BB68D9"/>
    <w:rsid w:val="00BE1D1C"/>
    <w:rsid w:val="00BE6C35"/>
    <w:rsid w:val="00BF3B4A"/>
    <w:rsid w:val="00BF5ACD"/>
    <w:rsid w:val="00C10C94"/>
    <w:rsid w:val="00C171B2"/>
    <w:rsid w:val="00C209C4"/>
    <w:rsid w:val="00C22E8B"/>
    <w:rsid w:val="00C24145"/>
    <w:rsid w:val="00C24861"/>
    <w:rsid w:val="00C345C6"/>
    <w:rsid w:val="00C412C9"/>
    <w:rsid w:val="00C454D6"/>
    <w:rsid w:val="00C5037E"/>
    <w:rsid w:val="00C61306"/>
    <w:rsid w:val="00C67F5E"/>
    <w:rsid w:val="00C7397C"/>
    <w:rsid w:val="00C86883"/>
    <w:rsid w:val="00CA3381"/>
    <w:rsid w:val="00CC0B5A"/>
    <w:rsid w:val="00CC774F"/>
    <w:rsid w:val="00CD28FE"/>
    <w:rsid w:val="00CD60E4"/>
    <w:rsid w:val="00CE190D"/>
    <w:rsid w:val="00CF146C"/>
    <w:rsid w:val="00CF477F"/>
    <w:rsid w:val="00D03E7A"/>
    <w:rsid w:val="00D0424B"/>
    <w:rsid w:val="00D121DE"/>
    <w:rsid w:val="00D148DB"/>
    <w:rsid w:val="00D23EAD"/>
    <w:rsid w:val="00D30286"/>
    <w:rsid w:val="00D327E1"/>
    <w:rsid w:val="00D46483"/>
    <w:rsid w:val="00D503AC"/>
    <w:rsid w:val="00D62AAC"/>
    <w:rsid w:val="00D62CC3"/>
    <w:rsid w:val="00D63ED7"/>
    <w:rsid w:val="00D72CA7"/>
    <w:rsid w:val="00D87B33"/>
    <w:rsid w:val="00D913A8"/>
    <w:rsid w:val="00DA4633"/>
    <w:rsid w:val="00DB645F"/>
    <w:rsid w:val="00DC253A"/>
    <w:rsid w:val="00DC4A56"/>
    <w:rsid w:val="00DD7EA1"/>
    <w:rsid w:val="00DE5326"/>
    <w:rsid w:val="00DF2AA7"/>
    <w:rsid w:val="00E02D04"/>
    <w:rsid w:val="00E05538"/>
    <w:rsid w:val="00E17DA4"/>
    <w:rsid w:val="00E231B6"/>
    <w:rsid w:val="00E31C26"/>
    <w:rsid w:val="00E34B42"/>
    <w:rsid w:val="00E57920"/>
    <w:rsid w:val="00E6631C"/>
    <w:rsid w:val="00E664C8"/>
    <w:rsid w:val="00E67F09"/>
    <w:rsid w:val="00E71099"/>
    <w:rsid w:val="00E832C9"/>
    <w:rsid w:val="00E8379D"/>
    <w:rsid w:val="00E8394A"/>
    <w:rsid w:val="00E85F2E"/>
    <w:rsid w:val="00EA460C"/>
    <w:rsid w:val="00F136F5"/>
    <w:rsid w:val="00F36152"/>
    <w:rsid w:val="00F37EE4"/>
    <w:rsid w:val="00F5004B"/>
    <w:rsid w:val="00F51F2D"/>
    <w:rsid w:val="00F60EE8"/>
    <w:rsid w:val="00F656C4"/>
    <w:rsid w:val="00F720B4"/>
    <w:rsid w:val="00F7438A"/>
    <w:rsid w:val="00F841D8"/>
    <w:rsid w:val="00F86DE5"/>
    <w:rsid w:val="00F93B5C"/>
    <w:rsid w:val="00F9608F"/>
    <w:rsid w:val="00FA7664"/>
    <w:rsid w:val="00FB2E7F"/>
    <w:rsid w:val="00FB54B9"/>
    <w:rsid w:val="00FD2097"/>
    <w:rsid w:val="00FE0696"/>
    <w:rsid w:val="00FE119E"/>
    <w:rsid w:val="00FE2816"/>
    <w:rsid w:val="00FE75D3"/>
    <w:rsid w:val="00FF504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E5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F78AE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17ECF"/>
    <w:rsid w:val="003742E6"/>
    <w:rsid w:val="0057537A"/>
    <w:rsid w:val="00611376"/>
    <w:rsid w:val="0062144B"/>
    <w:rsid w:val="00640000"/>
    <w:rsid w:val="00651AC2"/>
    <w:rsid w:val="006B17C6"/>
    <w:rsid w:val="006F1B63"/>
    <w:rsid w:val="0070759F"/>
    <w:rsid w:val="00757EF8"/>
    <w:rsid w:val="00805AC3"/>
    <w:rsid w:val="0088333A"/>
    <w:rsid w:val="008E61E5"/>
    <w:rsid w:val="00940263"/>
    <w:rsid w:val="009F53A8"/>
    <w:rsid w:val="00A719A4"/>
    <w:rsid w:val="00AF12E0"/>
    <w:rsid w:val="00B14A1B"/>
    <w:rsid w:val="00C2106A"/>
    <w:rsid w:val="00C5044D"/>
    <w:rsid w:val="00D57567"/>
    <w:rsid w:val="00DE4646"/>
    <w:rsid w:val="00DE681D"/>
    <w:rsid w:val="00E05F57"/>
    <w:rsid w:val="00E424E4"/>
    <w:rsid w:val="00E641C6"/>
    <w:rsid w:val="00F10F47"/>
    <w:rsid w:val="00F46674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2022-08-03T15:23:00Z</dcterms:created>
  <dcterms:modified xsi:type="dcterms:W3CDTF">2022-08-03T15:23:00Z</dcterms:modified>
</cp:coreProperties>
</file>