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628C9" w14:textId="19BED218" w:rsidR="007E0724" w:rsidRDefault="00EE1A1B">
      <w:pPr>
        <w:pStyle w:val="MainTitle"/>
      </w:pPr>
      <w:r>
        <w:t xml:space="preserve">FRAMSELD REGLUGERÐ FRAMKVÆMDASTJÓRNARINNAR </w:t>
      </w:r>
      <w:r w:rsidR="00C4775C">
        <w:t>(ESB) 2021/2139</w:t>
      </w:r>
    </w:p>
    <w:p w14:paraId="4A3791F1" w14:textId="77777777" w:rsidR="007E0724" w:rsidRDefault="00C4775C">
      <w:pPr>
        <w:pStyle w:val="MainTitle"/>
      </w:pPr>
      <w:r>
        <w:t>frá 4. júní 2021</w:t>
      </w:r>
    </w:p>
    <w:p w14:paraId="50E6AC1B" w14:textId="77777777" w:rsidR="007E0724" w:rsidRDefault="00C4775C">
      <w:pPr>
        <w:pStyle w:val="MainTitle"/>
        <w:spacing w:after="360"/>
      </w:pPr>
      <w:r>
        <w:t>um viðbætur við reglugerð Evrópuþingsins og ráðsins (ESB) 2020/852 með því að fastsetja tæknileg matsviðmið til að ákvarða við hvaða skilyrði atvinnustarfsemi telst stuðla verulega að mildun loftslagsbreytinga eða aðlögun að loftslagsbreytingum og til að ákvarða hvort þessi atvinnustarfsemi veldur umtalsverðu tjóni á einhverjum öðrum almennum umhverfismarkmiðum</w:t>
      </w:r>
    </w:p>
    <w:p w14:paraId="3C6574AE" w14:textId="77777777" w:rsidR="007E0724" w:rsidRDefault="00C4775C">
      <w:pPr>
        <w:pStyle w:val="PreambleInit"/>
        <w:spacing w:after="700"/>
      </w:pPr>
      <w:r>
        <w:t>FRAMKVÆMDASTJÓRN EVRÓPUSAMBANDSINS HEFUR,</w:t>
      </w:r>
    </w:p>
    <w:p w14:paraId="1B3A0E21" w14:textId="77777777" w:rsidR="007E0724" w:rsidRDefault="00C4775C">
      <w:pPr>
        <w:pStyle w:val="Para"/>
        <w:spacing w:after="700"/>
      </w:pPr>
      <w:r>
        <w:t>með hliðsjón af sáttmálanum um starfshætti Evrópusambandsins,</w:t>
      </w:r>
    </w:p>
    <w:p w14:paraId="1D3CD671" w14:textId="77777777" w:rsidR="007E0724" w:rsidRDefault="00C4775C">
      <w:pPr>
        <w:pStyle w:val="Para"/>
        <w:spacing w:after="700"/>
        <w:rPr>
          <w:szCs w:val="18"/>
        </w:rPr>
      </w:pPr>
      <w:r>
        <w:t>með hliðsjón af reglugerð Evrópuþingsins og ráðsins (ESB) 2020/852 frá 18. júní 2020 um að koma á fót ramma til að greiða fyrir sjálfbærri fjárfestingu og um breytingu á reglugerð (ESB) 2019/2088 (</w:t>
      </w:r>
      <w:bookmarkStart w:id="0" w:name="NOTE_1"/>
      <w:r>
        <w:rPr>
          <w:rStyle w:val="Tilvsunneanmlsgrein"/>
          <w:sz w:val="18"/>
          <w:szCs w:val="18"/>
        </w:rPr>
        <w:footnoteReference w:id="2"/>
      </w:r>
      <w:bookmarkEnd w:id="0"/>
      <w:r>
        <w:t>), einkum 3. mgr. 10. gr. og 3. mgr. 11. gr.,</w:t>
      </w:r>
    </w:p>
    <w:p w14:paraId="41FB6758" w14:textId="77777777" w:rsidR="007E0724" w:rsidRDefault="00C4775C">
      <w:pPr>
        <w:pStyle w:val="Para"/>
        <w:spacing w:after="700"/>
      </w:pPr>
      <w:r>
        <w:t>og að teknu tilliti til eftirfarandi:</w:t>
      </w:r>
    </w:p>
    <w:p w14:paraId="64B880F2" w14:textId="77777777" w:rsidR="007E0724" w:rsidRDefault="00C4775C">
      <w:pPr>
        <w:pStyle w:val="Consid"/>
        <w:spacing w:after="700"/>
        <w:rPr>
          <w:szCs w:val="18"/>
        </w:rPr>
      </w:pPr>
      <w:r>
        <w:t>1)</w:t>
      </w:r>
      <w:r>
        <w:tab/>
        <w:t>Í reglugerð (ESB) 2020/852 er fastsettur almennur rammi til að ákvarða hvort atvinnustarfsemi uppfyllir skilyrði til að teljast umhverfislega sjálfbær í þeim tilgangi að ákveða að hve miklu leyti fjárfesting er umhverfislega sjálfbær. Sú reglugerð gildir um ráðstafanir sem Sambandið eða aðildarríki samþykkja þar sem settar eru fram kröfur á þátttakendur á fjármálamarkaði eða útgefendur að því er varðar fjármálaafurðir eða fyrirtækjaskuldabréf sem boðin eru sem umhverfislega sjálfbær, á þátttakendur á fjármálamarkaði sem bjóða fjármálaafurðir og á fyrirtæki sem falla undir skuldbindinguna um að birta skýrslu yfir ófjárhagsleg atriði skv. 19. gr. a í tilskipun Evrópuþingsins og ráðsins 2013/24/ESB (</w:t>
      </w:r>
      <w:bookmarkStart w:id="1" w:name="NOTE_2"/>
      <w:r>
        <w:rPr>
          <w:rStyle w:val="Tilvsunneanmlsgrein"/>
          <w:sz w:val="18"/>
          <w:szCs w:val="18"/>
        </w:rPr>
        <w:footnoteReference w:id="3"/>
      </w:r>
      <w:bookmarkEnd w:id="1"/>
      <w:r>
        <w:t>) eða samstæðuskýrslu yfir ófjárhagsleg atriði skv. 29. gr. a í þeirri tilskipun. Rekstraraðilum eða opinberum yfirvöldum sem falla ekki undir reglugerð (ESB) 2020/852 er einnig heimilt, að eigin frumkvæði, að beita þeirri reglugerð.</w:t>
      </w:r>
    </w:p>
    <w:p w14:paraId="1537A5EC" w14:textId="77777777" w:rsidR="007E0724" w:rsidRDefault="00C4775C">
      <w:pPr>
        <w:pStyle w:val="Consid"/>
        <w:spacing w:after="700"/>
      </w:pPr>
      <w:r>
        <w:t>2)</w:t>
      </w:r>
      <w:r>
        <w:tab/>
        <w:t>Samkvæmt 3. mgr. 10. gr. og 3. mgr. 11. gr. reglugerðar (ESB) 2020/852 er þess krafist að framkvæmdastjórnin samþykki framseldar gerðir til að fastsetja tæknileg matsviðmið til að ákvarða við hvaða skilyrði tiltekin atvinnustarfsemi telst stuðla verulega að mildun loftslagsbreytinga eða aðlögun að loftslagsbreytingum, eftir því sem við á, og til að fastsetja, fyrir hvert viðkomandi almennt umhverfismarkmið sem mælt er fyrir um í 9. gr. þeirrar reglugerðar, tæknileg matsviðmið til að ákvarða hvort þessi atvinnustarfsemi veldur umtalsverðu tjóni á einu eða fleiri þessara almennu umhverfismarkmiða.</w:t>
      </w:r>
    </w:p>
    <w:p w14:paraId="12E518B1" w14:textId="77777777" w:rsidR="007E0724" w:rsidRDefault="00C4775C">
      <w:pPr>
        <w:pStyle w:val="Consid"/>
        <w:spacing w:after="0"/>
      </w:pPr>
      <w:r>
        <w:t>3)</w:t>
      </w:r>
      <w:r>
        <w:tab/>
        <w:t xml:space="preserve">Samkvæmt </w:t>
      </w:r>
      <w:proofErr w:type="spellStart"/>
      <w:r>
        <w:t>h-lið</w:t>
      </w:r>
      <w:proofErr w:type="spellEnd"/>
      <w:r>
        <w:t xml:space="preserve"> 1. mgr. 19. gr. reglugerðar (ESB) 2020/852 á í tæknilegu matsviðmiðunum að taka tillit til eðlis og umfangs atvinnustarfseminnar og geirans sem þau vísa til og hvort atvinnustarfsemin er umbreytingaratvinnustarfsemi, eins og um getur í 2. mgr. 10. gr. reglugerðar (ESB) 2020/852, eða starfsemi sem gerir annarri starfsemi kleift að stuðla að umhverfismarkmiðum eins og um getur í 16. gr. þeirrar reglugerðar. Til að tæknilegu matsviðmiðin uppfylli kröfurnar í 19. gr. reglugerðar (ESB) 2020/82 á skilvirkan og jafnvægan hátt ætti að fastsetja þau sem </w:t>
      </w:r>
      <w:proofErr w:type="spellStart"/>
      <w:r>
        <w:t>megindleg</w:t>
      </w:r>
      <w:proofErr w:type="spellEnd"/>
      <w:r>
        <w:t xml:space="preserve"> viðmiðunarmörk eða lágmarkskröfu, sem hlutfallslegar framfarir, sem mengi </w:t>
      </w:r>
      <w:proofErr w:type="spellStart"/>
      <w:r>
        <w:t>eigindlegra</w:t>
      </w:r>
      <w:proofErr w:type="spellEnd"/>
      <w:r>
        <w:t xml:space="preserve"> </w:t>
      </w:r>
      <w:proofErr w:type="spellStart"/>
      <w:r>
        <w:t>nothæfiskrafna</w:t>
      </w:r>
      <w:proofErr w:type="spellEnd"/>
      <w:r>
        <w:t>, sem kröfur sem byggjast á ferli eða verklagi eða sem nákvæma lýsingu á eðli atvinnustarfseminnar sjálfrar þegar sú starfsemi getur, eðlis síns vegna, stuðlað verulega að mildun loftslagsbreytinga.</w:t>
      </w:r>
      <w:r>
        <w:br w:type="page"/>
      </w:r>
    </w:p>
    <w:p w14:paraId="79F0FC7D" w14:textId="77777777" w:rsidR="007E0724" w:rsidRDefault="00C4775C">
      <w:pPr>
        <w:pStyle w:val="Consid"/>
        <w:spacing w:after="400"/>
      </w:pPr>
      <w:r>
        <w:lastRenderedPageBreak/>
        <w:t>4)</w:t>
      </w:r>
      <w:r>
        <w:tab/>
        <w:t>Tæknilegu matsviðmiðin til að ákvarða hvort atvinnustarfsemi stuðlar verulega að mildun loftslagsbreytinga eða aðlögun að loftslagsbreytingum ættu að tryggja að atvinnustarfsemin hafi jákvæð áhrif á loftslagsmarkmið eða dragi úr neikvæðum áhrifum á loftslagsmarkmið. Þessi tæknilegu matsviðmið ættu því að vísa til viðmiðunarmarka eða árangursstigs sem atvinnustarfsemin ætti að ná til að teljast stuðla verulega að einu af þessum loftslagsmarkmiðum. Tæknilegu matsviðmiðin fyrir „ekki valda umtalsverðu tjóni“ ættu að tryggja að atvinnustarfsemi hafi ekki umtalsverð neikvæð umhverfisáhrif. Af þessum sökum ætti í þessum tæknilegu matsviðmiðum að tilgreina lágmarkskröfurnar sem atvinnustarfsemin ætti að uppfylla til að teljast vera umhverfislega sjálfbær.</w:t>
      </w:r>
    </w:p>
    <w:p w14:paraId="2D133E79" w14:textId="77777777" w:rsidR="007E0724" w:rsidRDefault="00C4775C">
      <w:pPr>
        <w:pStyle w:val="Consid"/>
        <w:spacing w:after="400"/>
      </w:pPr>
      <w:r>
        <w:t>5)</w:t>
      </w:r>
      <w:r>
        <w:tab/>
        <w:t>Tæknileg matsviðmið til að ákvarða hvort atvinnustarfsemi stuðlar verulega að mildun loftslagsbreytinga eða aðlögun að loftslagsbreytingum og veldur ekki umtalsverðu tjóni á neinum af almennu umhverfismarkmiðunum ættu að byggjast á, þar sem við á, gildandi lögum Sambandsins, bestu starfsvenjum, stöðlum og aðferðafræði sem og viðteknum stöðlum, starfsvenjum og aðferðafræði sem alþjóðlega þekktir opinberir aðilar hafa þróað. Í tilvikum þegar engir raunhæfir staðgöngukostir finnast á hlutlægan hátt fyrir tiltekinn málaflokk geta tæknilegu matsviðmiðin einnig byggst á viðteknum stöðlum sem alþjóðlega þekktir einkaaðilar hafa þróað.</w:t>
      </w:r>
    </w:p>
    <w:p w14:paraId="5650738F" w14:textId="77777777" w:rsidR="007E0724" w:rsidRDefault="00C4775C">
      <w:pPr>
        <w:pStyle w:val="Consid"/>
        <w:spacing w:after="400"/>
        <w:rPr>
          <w:szCs w:val="18"/>
        </w:rPr>
      </w:pPr>
      <w:r>
        <w:t>6)</w:t>
      </w:r>
      <w:r>
        <w:tab/>
        <w:t xml:space="preserve">Til að tryggja jöfn samkeppnisskilyrði ættu sömu flokkar atvinnustarfsemi að falla undir sömu tæknilegu matsviðmiðin fyrir hvert loftslagsmarkmið. Þess vegna er nauðsynlegt að tæknilegu matsviðmiðin, ef mögulegt er, fylgi flokkuninni á atvinnustarfsemi sem mælt er fyrir um í flokkunarkerfinu fyrir atvinnustarfsemi í atvinnugreinaflokkun Evrópusambandsins (NACE, 2. </w:t>
      </w:r>
      <w:proofErr w:type="spellStart"/>
      <w:r>
        <w:t>endursk</w:t>
      </w:r>
      <w:proofErr w:type="spellEnd"/>
      <w:r>
        <w:t>.) sem komið var á með reglugerð Evrópuþingsins og ráðsins (EB) nr. 1893/2006 (</w:t>
      </w:r>
      <w:bookmarkStart w:id="2" w:name="NOTE_3"/>
      <w:r>
        <w:rPr>
          <w:rStyle w:val="Tilvsunneanmlsgrein"/>
          <w:sz w:val="18"/>
          <w:szCs w:val="18"/>
        </w:rPr>
        <w:footnoteReference w:id="4"/>
      </w:r>
      <w:bookmarkEnd w:id="2"/>
      <w:r>
        <w:t>). Til að auðvelda fyrirtækjum og þátttakendum á fjármálamarkaði að auðkenna viðkomandi atvinnustarfsemi, sem fastsetja ætti tæknileg matsviðmið fyrir, ætti sérstaka lýsingin á atvinnustarfsemi einnig að innihalda tilvísun í kóða atvinnugreinaflokkunar Evrópusambandsins sem hægt er að tengja við þá starfsemi. Þessar tilvísanir ætti að skilja sem leiðbeinandi og þær ættu ekki að ganga framar sérstöku skilgreiningunni á starfseminni sem gefin er í lýsingunni á henni.</w:t>
      </w:r>
    </w:p>
    <w:p w14:paraId="676E195A" w14:textId="77777777" w:rsidR="007E0724" w:rsidRDefault="00C4775C">
      <w:pPr>
        <w:pStyle w:val="Consid"/>
        <w:spacing w:after="400"/>
      </w:pPr>
      <w:r>
        <w:t>7)</w:t>
      </w:r>
      <w:r>
        <w:tab/>
        <w:t>Tæknileg matsviðmið til að ákvarða við hvaða skilyrði atvinnustarfsemi telst stuðla verulega að mildun loftslagsbreytinga ættu að endurspegla þörfina fyrir að komast hjá því að leiða til losunar gróðurhúsalofttegunda, að draga úr slíkri losun eða auka upptöku gróðurhúsalofttegunda og langtímageymslu kolefnis. Því er rétt að leggja fyrst áherslu á þá atvinnustarfsemi og geira sem hafa mesta möguleika á að ná þessum markmiðum. Valið á þessari atvinnustarfsemi og þessum geirum ætti að byggjast á hlutdeild þeirra í heildarlosun gróðurhúsalofttegunda og á sönnunum er varða möguleika þeirra til að stuðla að því að komast hjá losun gróðurhúsalofttegunda, til að draga úr slíkri losun eða stuðla að upptöku gróðurhúsalofttegunda, eða til að stuðla að því að komist verði hjá slíkri losun, að samdrætti, upptöku eða langtímageymslu hjá annarri starfsemi.</w:t>
      </w:r>
    </w:p>
    <w:p w14:paraId="05CF7AD3" w14:textId="77777777" w:rsidR="007E0724" w:rsidRDefault="00C4775C">
      <w:pPr>
        <w:pStyle w:val="Consid"/>
        <w:spacing w:after="400"/>
      </w:pPr>
      <w:r>
        <w:t>8)</w:t>
      </w:r>
      <w:r>
        <w:tab/>
        <w:t xml:space="preserve">Aðferðin við að reikna út losun gróðurhúsalofttegunda á vistferlinum ætti að vera traust og almennt nothæf og stuðla þannig að samanburðarhæfi útreiknings á losun gróðurhúsalofttegunda innan og á milli geira. Því er rétt að gera kröfu um sömu aðferð við útreikninginn fyrir alla starfsemi, þegar slíks útreiknings er krafist, en sjá jafnframt fyrir nægum sveigjanleika fyrir aðila sem beita reglugerð (ESB) 2020/852. Til samræmis við það eru tilmæli framkvæmdastjórnarinnar 2013/179/ESB gagnleg til að reikna út losun gróðurhúsalofttegunda á vistferlinum með þann möguleika að nota, sem staðgöngukost, </w:t>
      </w:r>
      <w:proofErr w:type="spellStart"/>
      <w:r>
        <w:t>staðlana</w:t>
      </w:r>
      <w:proofErr w:type="spellEnd"/>
      <w:r>
        <w:t xml:space="preserve"> ISO 14067 eða ISO 14064-1. Ef önnur viðtekin verkfæri eða staðlar eru sérstaklega hentug til að veita nákvæmar og samanburðarhæfar upplýsingar um útreikning á losun gróðurhúsalofttegunda á vistferlinum fyrir tiltekinn geira, s.s. verkfærið </w:t>
      </w:r>
      <w:proofErr w:type="spellStart"/>
      <w:r>
        <w:t>G-res</w:t>
      </w:r>
      <w:proofErr w:type="spellEnd"/>
      <w:r>
        <w:t xml:space="preserve"> fyrir vatnsaflsgeirann og ETSI-staðallinn ES 203 199 fyrir upplýsinga- og fjarskiptatæknigeirann, er við hæfi að taka með slík verkfæri eða staðla sem viðbótarstaðgöngukosti fyrir þann geira.</w:t>
      </w:r>
    </w:p>
    <w:p w14:paraId="03A79E10" w14:textId="77777777" w:rsidR="007E0724" w:rsidRDefault="00C4775C">
      <w:pPr>
        <w:pStyle w:val="Consid"/>
        <w:spacing w:after="0"/>
      </w:pPr>
      <w:r>
        <w:t>9)</w:t>
      </w:r>
      <w:r>
        <w:tab/>
        <w:t xml:space="preserve">Aðferðin við að reikna út losun gróðurhúsalofttegunda á vistferlinum fyrir vatnsaflsgeirann ætti að endurspegla séreinkenni þess geira, þ.m.t. nýjar aðferðir við líkanasmíði, vísindaþekking og raunmælingar frá uppistöðulónum á heimsvísu. Til að nákvæm skýrslugjöf um nettóáhrif á losun gróðurhúsalofttegunda fyrir vatnsaflsgeirann sé möguleg er því rétt að heimila notkun verkfærisins </w:t>
      </w:r>
      <w:proofErr w:type="spellStart"/>
      <w:r>
        <w:t>G-res</w:t>
      </w:r>
      <w:proofErr w:type="spellEnd"/>
      <w:r>
        <w:t xml:space="preserve"> sem er öllum aðgengilegt án endurgjalds og sem Alþjóða vatnsaflssamtökin (International </w:t>
      </w:r>
      <w:proofErr w:type="spellStart"/>
      <w:r>
        <w:t>Hydropower</w:t>
      </w:r>
      <w:proofErr w:type="spellEnd"/>
      <w:r>
        <w:t xml:space="preserve"> Association) þróuðu í samstarfi við formann Menningarmálastofnunar Sameinuðu þjóðanna (UNESCO) fyrir hnattrænar umhverfisbreytingar.</w:t>
      </w:r>
      <w:r>
        <w:br w:type="page"/>
      </w:r>
    </w:p>
    <w:p w14:paraId="50678223" w14:textId="77777777" w:rsidR="007E0724" w:rsidRDefault="00C4775C">
      <w:pPr>
        <w:pStyle w:val="Consid"/>
      </w:pPr>
      <w:r>
        <w:lastRenderedPageBreak/>
        <w:t>10)</w:t>
      </w:r>
      <w:r>
        <w:tab/>
        <w:t>Aðferðin við að reikna út losun gróðurhúsalofttegunda á vistferlinum fyrir starfsemi innan upplýsinga- og fjarskiptatæknigeirans ætti að endurspegla séreinkenni þess geira, einkum sérhæft starf og leiðbeiningar sem Fjarskiptastaðlastofnun Evrópu (ETSI) hefur látið í té í tengslum við framkvæmd vistferilsgreininga í upplýsinga- og fjarskiptatæknigeiranum. Því er rétt að heimila notkun á ETSI-staðlinum ES 203 199 sem aðferðar til að reikna af nákvæmni út losun gróðurhúsalofttegunda í þeim geira.</w:t>
      </w:r>
    </w:p>
    <w:p w14:paraId="2DF846A4" w14:textId="77777777" w:rsidR="007E0724" w:rsidRDefault="00C4775C">
      <w:pPr>
        <w:pStyle w:val="Consid"/>
      </w:pPr>
      <w:r>
        <w:t>11)</w:t>
      </w:r>
      <w:r>
        <w:tab/>
        <w:t>Í tæknilegum matsviðmiðum fyrir tiltekna starfsemi er treyst á verulega tæknilega flókna þætti og matið á því hvort þessum viðmiðunum hafi verið fylgt getur útheimt sérþekkingu og er e.t.v. ekki á færi fjárfesta. Til að auðvelda þetta mat ætti óháður þriðji aðili að sannprófa fylgnina við slík tæknileg matsviðmið fyrir slíka starfsemi.</w:t>
      </w:r>
    </w:p>
    <w:p w14:paraId="28BAD7D3" w14:textId="77777777" w:rsidR="007E0724" w:rsidRDefault="00C4775C">
      <w:pPr>
        <w:pStyle w:val="Consid"/>
      </w:pPr>
      <w:r>
        <w:t>12)</w:t>
      </w:r>
      <w:r>
        <w:tab/>
        <w:t xml:space="preserve">Atvinnustarfsemi sem gerir annarri starfsemi kleift að stuðla að umhverfismarkmiðum, eins og um getur í </w:t>
      </w:r>
      <w:proofErr w:type="spellStart"/>
      <w:r>
        <w:t>i-lið</w:t>
      </w:r>
      <w:proofErr w:type="spellEnd"/>
      <w:r>
        <w:t xml:space="preserve"> 1. mgr. 10. gr. reglugerðar (ESB) 2020/852, stuðlar ekki verulega að mildun loftslagsbreytinga með eigin árangri. Slík starfsemi gegnir mikilvægu hlutverki í </w:t>
      </w:r>
      <w:proofErr w:type="spellStart"/>
      <w:r>
        <w:t>afkolun</w:t>
      </w:r>
      <w:proofErr w:type="spellEnd"/>
      <w:r>
        <w:t xml:space="preserve"> hagkerfisins með því að gera það kleift með beinum hætti að stunda aðra starfsemi með umhverfisárangri sem tryggir lágt kolefnisstig. Þess vegna ætti að fastsetja tæknileg matsviðmið fyrir þá atvinnustarfsemi sem gegnir mikilvægu hlutverki við að gera markstarfseminni kleift að verða með litla losun kolefna eða leiða til samdráttar í losun gróðurhúsalofttegunda. Þessi tæknilegu matsviðmið ættu að tryggja að við starfsemi sem fylgir þeim séu varúðarráðstafanirnar í 16. gr. reglugerðar (ESB) 2020/852 virtar, einkum um að starfsemin leiði ekki til sjálfheldu eigna og hafi verulega jákvæð umhverfisleg áhrif.</w:t>
      </w:r>
    </w:p>
    <w:p w14:paraId="22F66FC1" w14:textId="77777777" w:rsidR="007E0724" w:rsidRDefault="00C4775C">
      <w:pPr>
        <w:pStyle w:val="Consid"/>
      </w:pPr>
      <w:r>
        <w:t>13)</w:t>
      </w:r>
      <w:r>
        <w:tab/>
        <w:t xml:space="preserve">Enn sem komið er er ekki unnt að skipta út umbreytingaratvinnustarfsemi, eins og um getur í 2. mgr. 10. gr. reglugerðar (ESB) 2020/82, með tæknilega og efnahagslega framkvæmanlegum lágkolefnisvalkostum en hún styður umskiptin yfir í loftslagshlutlaust hagkerfi. Þessi starfsemi getur gegnt mikilvægu hlutverki við að milda loftslagsbreytingar með því að minnka kolefnisspor hennar sem er sem stendur mikið, þ.m.t. með því að stuðla að því að draga í áföngum úr þörfinni fyrir jarðefnaeldsneyti. Þess vegna ætti að fastsetja tæknileg matsviðmið fyrir atvinnustarfsemi þar sem lausnir með kolefnislosun nálægt núlli eru ekki </w:t>
      </w:r>
      <w:proofErr w:type="spellStart"/>
      <w:r>
        <w:t>ennþá</w:t>
      </w:r>
      <w:proofErr w:type="spellEnd"/>
      <w:r>
        <w:t xml:space="preserve"> raunhæfar, eða þar sem starfsemi með kolefnislosun nálægt núlli er til staðar en er enn ekki gerleg á stærri skala, sem hefur mestan möguleika á umtalsverðum samdrætti í losun gróðurhúsalofttegunda. Þessi tæknilegu matsviðmið ættu að tryggja að við starfsemi sem uppfyllir þau séu varúðarráðstafanirnar í 2. mgr. 10. gr. reglugerðar (ESB) 2020/852 virtar, einkum að losun gróðurhúsalofttegunda frá starfseminni samsvari besta árangri innan geirans eða iðnaðarins, hindri ekki þróun og notkun lágkolefnisvalkosta og leiði ekki til sjálfheldu kolefnisfrekra eigna.</w:t>
      </w:r>
    </w:p>
    <w:p w14:paraId="6329F822" w14:textId="77777777" w:rsidR="007E0724" w:rsidRDefault="00C4775C">
      <w:pPr>
        <w:pStyle w:val="Consid"/>
      </w:pPr>
      <w:r>
        <w:t>14)</w:t>
      </w:r>
      <w:r>
        <w:tab/>
        <w:t xml:space="preserve">Í ljósi yfirstandandi samningaviðræðna um sameiginlegu landbúnaðarstefnuna (CAP) og til að ná betra samræmi milli mismunandi </w:t>
      </w:r>
      <w:proofErr w:type="spellStart"/>
      <w:r>
        <w:t>gerninga</w:t>
      </w:r>
      <w:proofErr w:type="spellEnd"/>
      <w:r>
        <w:t xml:space="preserve"> til að ná fram metnaðarmálum í umhverfis- og loftslagsmálum í græna samkomulaginu ætti að seinka því að fastsetja tæknileg matsviðmið fyrir landbúnað.</w:t>
      </w:r>
    </w:p>
    <w:p w14:paraId="5C2112F5" w14:textId="77777777" w:rsidR="007E0724" w:rsidRDefault="00C4775C">
      <w:pPr>
        <w:pStyle w:val="Consid"/>
        <w:spacing w:after="0"/>
      </w:pPr>
      <w:r>
        <w:t>15)</w:t>
      </w:r>
      <w:r>
        <w:tab/>
        <w:t xml:space="preserve">Skógar eru undir auknu álagi vegna loftslagsbreytinga sem eykur á aðra lykildrifkrafta sem skapa álag, s.s. </w:t>
      </w:r>
      <w:proofErr w:type="spellStart"/>
      <w:r>
        <w:t>skaðvalda</w:t>
      </w:r>
      <w:proofErr w:type="spellEnd"/>
      <w:r>
        <w:t xml:space="preserve">, sjúkdóma, veðurhamfarir og skógarelda. Annað álag stafar af </w:t>
      </w:r>
      <w:proofErr w:type="spellStart"/>
      <w:r>
        <w:t>brottflutningi</w:t>
      </w:r>
      <w:proofErr w:type="spellEnd"/>
      <w:r>
        <w:t xml:space="preserve"> frá landsbyggðinni, skorti á stjórnun og uppskiptingu vegna breytinga á landnotkun, auknu stjórnunarumfangi vegna vaxandi eftirspurnar eftir viði, skógarafurðum og orku, þróun grunnvirkja, þéttbýlismyndun og landtöku. Á sama tíma gegna skógar mikilvægu hlutverki við að ná markmiðum Sambandsins um að snúa við tapi á líffræðilegri fjölbreytni og auka metnað varðandi mildun loftslagsbreytinga og aðlögun, að draga úr og stjórna áhættu á hamförum sem stafar einkum af flóðum, þurrkum eða gróðureldum og efla hringrásarlífhagkerfi. Til að ná loftslagshlutleysi og heilbrigðu umhverfi er nauðsynlegt að auka bæði gæði og fjölga skógarsvæðum sem eru stærsti kolefnisviðtakinn í geira landnotkunar, breyttrar landnotkunar og skógræktar („LULUCF“). Starfsemi tengd skógum getur stuðlað að mildun loftslagsbreytinga með því að auka nettóupptöku koltvísýrings, með því að varðveita kolefnisbirgðir og með því að leggja til efniviði og endurnýjanlega orku, skapa viðbótarávinninga fyrir aðlögun að loftslagsbreytingum, líffræðilega fjölbreytni, hringrásarhagkerfi, sjálfbæra notkun og verndun vatns- og sjávarauðlinda og mengunarvarnir og eftirlit með mengun. Þess vegna ætti að mæla fyrir um tæknileg matsviðmið fyrir starfsemi á sviði nýskógræktar, endurheimt skógar, stjórnun skóga og varðveislu skóga. Þessi tæknilegu matsviðmið ættu að öllu leyti að vera í samræmi við markmið Sambandsins um aðlögun að loftslagsbreytingum, líffræðilega fjölbreytni og hringrásarhagkerfi.</w:t>
      </w:r>
      <w:r>
        <w:br w:type="page"/>
      </w:r>
    </w:p>
    <w:p w14:paraId="7BE11C57" w14:textId="77777777" w:rsidR="007E0724" w:rsidRDefault="00C4775C">
      <w:pPr>
        <w:pStyle w:val="Consid"/>
        <w:rPr>
          <w:szCs w:val="18"/>
        </w:rPr>
      </w:pPr>
      <w:r>
        <w:lastRenderedPageBreak/>
        <w:t>16)</w:t>
      </w:r>
      <w:r>
        <w:tab/>
        <w:t>Til að mæla þróunina í minnkun á losun gróðurhúsalofttegunda og kolefnisbirgðum í skógarvistkerfum er við hæfi að eigendur skóga ættu að framkvæma greiningu á loftslagsávinningi. Til að endurspegla meðalhóf og til að lágmarka stjórnsýslubyrði, einkum fyrir eigendur minni háttar skóga, ætti ekki að gera kröfu um að skógræktarbú undir 13 hekturum framkvæmi greiningu á loftslagsávinningi. Til að draga enn frekar úr stjórnsýslukostnaði ætti að heimila eigendum minni háttar skóga að framkvæma hópmat með öðrum búum á 10 ára fresti til að votta útreikninga þeirra. Fullnægjandi verkfæri án endurgjalds, s.s. verkfæri sem Matvæla- og landbúnaðarstofnun Sameinuðu þjóðanna (FAO) lætur í té, sem byggjast á gögnum milliríkjanefndarinnar um loftslagsbreytingar (IPCC) (</w:t>
      </w:r>
      <w:bookmarkStart w:id="3" w:name="NOTE_4"/>
      <w:r>
        <w:rPr>
          <w:rStyle w:val="Tilvsunneanmlsgrein"/>
          <w:sz w:val="18"/>
          <w:szCs w:val="18"/>
        </w:rPr>
        <w:footnoteReference w:id="5"/>
      </w:r>
      <w:bookmarkEnd w:id="3"/>
      <w:r>
        <w:t>), eru tiltæk til að meta umfang kostnaðar og lágmarka kostnað og byrði fyrir eigendur minni háttar skóga. Verkfærið er einkum hægt að laga að mismunandi umfangi greiningar, s.s. sérstökum gildum og nákvæmum útreikningi fyrir stór bú, sjálfgefnum gildum og einfölduðum útreikningi fyrir smærri eigendur.</w:t>
      </w:r>
    </w:p>
    <w:p w14:paraId="06091F8F" w14:textId="77777777" w:rsidR="007E0724" w:rsidRDefault="00C4775C">
      <w:pPr>
        <w:pStyle w:val="Consid"/>
        <w:rPr>
          <w:szCs w:val="18"/>
        </w:rPr>
      </w:pPr>
      <w:r>
        <w:t>17)</w:t>
      </w:r>
      <w:r>
        <w:tab/>
        <w:t>Sem eftirfylgni við orðsendingu frá framkvæmdastjórninni frá 11. desember 2019 um „Grænt samkomulag í Evrópu“ (</w:t>
      </w:r>
      <w:bookmarkStart w:id="4" w:name="NOTE_5"/>
      <w:r>
        <w:rPr>
          <w:rStyle w:val="Tilvsunneanmlsgrein"/>
          <w:sz w:val="18"/>
          <w:szCs w:val="18"/>
        </w:rPr>
        <w:footnoteReference w:id="6"/>
      </w:r>
      <w:bookmarkEnd w:id="4"/>
      <w:r>
        <w:t>), frá 20. maí 2020 um „Áætlun ESB um líffræðilega fjölbreytni til 2030“ (</w:t>
      </w:r>
      <w:bookmarkStart w:id="5" w:name="NOTE_6"/>
      <w:r>
        <w:rPr>
          <w:rStyle w:val="Tilvsunneanmlsgrein"/>
          <w:sz w:val="18"/>
          <w:szCs w:val="18"/>
        </w:rPr>
        <w:footnoteReference w:id="7"/>
      </w:r>
      <w:bookmarkEnd w:id="5"/>
      <w:r>
        <w:t>) og frá 17. september 2020 „</w:t>
      </w:r>
      <w:proofErr w:type="spellStart"/>
      <w:r>
        <w:t>Stepping</w:t>
      </w:r>
      <w:proofErr w:type="spellEnd"/>
      <w:r>
        <w:t xml:space="preserve"> </w:t>
      </w:r>
      <w:proofErr w:type="spellStart"/>
      <w:r>
        <w:t>up</w:t>
      </w:r>
      <w:proofErr w:type="spellEnd"/>
      <w:r>
        <w:t xml:space="preserve"> </w:t>
      </w:r>
      <w:proofErr w:type="spellStart"/>
      <w:r>
        <w:t>Europe’s</w:t>
      </w:r>
      <w:proofErr w:type="spellEnd"/>
      <w:r>
        <w:t xml:space="preserve"> 2030 </w:t>
      </w:r>
      <w:proofErr w:type="spellStart"/>
      <w:r>
        <w:t>climate</w:t>
      </w:r>
      <w:proofErr w:type="spellEnd"/>
      <w:r>
        <w:t xml:space="preserve"> </w:t>
      </w:r>
      <w:proofErr w:type="spellStart"/>
      <w:r>
        <w:t>ambition</w:t>
      </w:r>
      <w:proofErr w:type="spellEnd"/>
      <w:r>
        <w:t xml:space="preserve"> – </w:t>
      </w:r>
      <w:proofErr w:type="spellStart"/>
      <w:r>
        <w:t>Investing</w:t>
      </w:r>
      <w:proofErr w:type="spellEnd"/>
      <w:r>
        <w:t xml:space="preserve"> </w:t>
      </w:r>
      <w:proofErr w:type="spellStart"/>
      <w:r>
        <w:t>in</w:t>
      </w:r>
      <w:proofErr w:type="spellEnd"/>
      <w:r>
        <w:t xml:space="preserve"> a </w:t>
      </w:r>
      <w:proofErr w:type="spellStart"/>
      <w:r>
        <w:t>climate-neutral</w:t>
      </w:r>
      <w:proofErr w:type="spellEnd"/>
      <w:r>
        <w:t xml:space="preserve"> </w:t>
      </w:r>
      <w:proofErr w:type="spellStart"/>
      <w:r>
        <w:t>future</w:t>
      </w:r>
      <w:proofErr w:type="spellEnd"/>
      <w:r>
        <w:t xml:space="preserve"> for </w:t>
      </w:r>
      <w:proofErr w:type="spellStart"/>
      <w:r>
        <w:t>the</w:t>
      </w:r>
      <w:proofErr w:type="spellEnd"/>
      <w:r>
        <w:t xml:space="preserve"> </w:t>
      </w:r>
      <w:proofErr w:type="spellStart"/>
      <w:r>
        <w:t>benefit</w:t>
      </w:r>
      <w:proofErr w:type="spellEnd"/>
      <w:r>
        <w:t xml:space="preserve"> of </w:t>
      </w:r>
      <w:proofErr w:type="spellStart"/>
      <w:r>
        <w:t>our</w:t>
      </w:r>
      <w:proofErr w:type="spellEnd"/>
      <w:r>
        <w:t xml:space="preserve"> people“ (markið sett hærra í loftslagsmálum í Evrópu fram til 2030 – fjárfesting í loftslagshlutlausri framtíð í þágu samborgara okkar) (</w:t>
      </w:r>
      <w:bookmarkStart w:id="6" w:name="NOTE_7"/>
      <w:r>
        <w:rPr>
          <w:rStyle w:val="Tilvsunneanmlsgrein"/>
          <w:sz w:val="18"/>
          <w:szCs w:val="18"/>
        </w:rPr>
        <w:footnoteReference w:id="8"/>
      </w:r>
      <w:bookmarkEnd w:id="6"/>
      <w:r>
        <w:t>), í samræmi við umfangsmeiri metnað Sambandsins um líffræðilega fjölbreytni og loftslagshlutleysi, orðsendingu frá framkvæmdastjórninni frá 24. febrúar 2021 „</w:t>
      </w:r>
      <w:proofErr w:type="spellStart"/>
      <w:r>
        <w:t>Forging</w:t>
      </w:r>
      <w:proofErr w:type="spellEnd"/>
      <w:r>
        <w:t xml:space="preserve"> a </w:t>
      </w:r>
      <w:proofErr w:type="spellStart"/>
      <w:r>
        <w:t>climate-resilient</w:t>
      </w:r>
      <w:proofErr w:type="spellEnd"/>
      <w:r>
        <w:t xml:space="preserve"> Europe – </w:t>
      </w:r>
      <w:proofErr w:type="spellStart"/>
      <w:r>
        <w:t>the</w:t>
      </w:r>
      <w:proofErr w:type="spellEnd"/>
      <w:r>
        <w:t xml:space="preserve"> </w:t>
      </w:r>
      <w:proofErr w:type="spellStart"/>
      <w:r>
        <w:t>new</w:t>
      </w:r>
      <w:proofErr w:type="spellEnd"/>
      <w:r>
        <w:t xml:space="preserve"> EU </w:t>
      </w:r>
      <w:proofErr w:type="spellStart"/>
      <w:r>
        <w:t>Strategy</w:t>
      </w:r>
      <w:proofErr w:type="spellEnd"/>
      <w:r>
        <w:t xml:space="preserve"> on Adaptation </w:t>
      </w:r>
      <w:proofErr w:type="spellStart"/>
      <w:r>
        <w:t>to</w:t>
      </w:r>
      <w:proofErr w:type="spellEnd"/>
      <w:r>
        <w:t xml:space="preserve"> </w:t>
      </w:r>
      <w:proofErr w:type="spellStart"/>
      <w:r>
        <w:t>Climate</w:t>
      </w:r>
      <w:proofErr w:type="spellEnd"/>
      <w:r>
        <w:t xml:space="preserve"> </w:t>
      </w:r>
      <w:proofErr w:type="spellStart"/>
      <w:r>
        <w:t>Change</w:t>
      </w:r>
      <w:proofErr w:type="spellEnd"/>
      <w:r>
        <w:t>“ (mótun loftslagsþolinnar Evrópu – ný stefna ESB um aðlögun að loftslagsbreytingum) (</w:t>
      </w:r>
      <w:bookmarkStart w:id="7" w:name="NOTE_8"/>
      <w:r>
        <w:rPr>
          <w:rStyle w:val="Tilvsunneanmlsgrein"/>
          <w:sz w:val="18"/>
          <w:szCs w:val="18"/>
        </w:rPr>
        <w:footnoteReference w:id="9"/>
      </w:r>
      <w:bookmarkEnd w:id="7"/>
      <w:r>
        <w:t>), og nýja áætlun um skóga sem er áætluð á árinu 2021 ætti að vera búið að bæta við tæknileg matsviðmið fyrir starfsemi tengda skógum, yfirfara þau og, ef nauðsyn krefur, endurskoða þegar framselda gerðin, sem um getur í 2. mgr. 15. gr. reglugerðar (ESB) 2020/852, verður samþykkt. Þessi tæknilegu matsviðmið ætti að endurskoða til að taka betra tillit til starfsvenja sem skaða ekki líffræðilega fjölbreytni sem eru í þróun, s.s. skógrækt sem tekur mið af náttúrunni.</w:t>
      </w:r>
    </w:p>
    <w:p w14:paraId="270C5E6F" w14:textId="77777777" w:rsidR="007E0724" w:rsidRDefault="00C4775C">
      <w:pPr>
        <w:pStyle w:val="Consid"/>
      </w:pPr>
      <w:r>
        <w:t>18)</w:t>
      </w:r>
      <w:r>
        <w:tab/>
        <w:t xml:space="preserve">Vegna </w:t>
      </w:r>
      <w:proofErr w:type="spellStart"/>
      <w:r>
        <w:t>mikilvægis</w:t>
      </w:r>
      <w:proofErr w:type="spellEnd"/>
      <w:r>
        <w:t xml:space="preserve"> þess að draga úr losun gróðurhúsalofttegunda og styrkja kolefnisviðtaka á landi hefur endurheimt votlendis möguleika til að stuðla verulega að mildun loftslagsbreytinga. Endurheimt votlendis getur einnig skilað ávinningi fyrir aðlögun að loftslagsbreytingum, þ.m.t. með því að draga úr áhrifum loftslagsbreytinga og hjálpa til við að snúa við tapi á líffræðilegri fjölbreytni og varðveita magn og gæði vatns. Til að tryggja samræmi við „Grænt samkomulag í Evrópu“, við orðsendinguna „markið sett hærra í loftslagsmálum í Evrópu fram til 2030“ og við „Áætlun ESB um líffræðilega fjölbreytni til 2030“ ættu tæknileg matsviðmið einnig að ná yfir endurheimt votlendis.</w:t>
      </w:r>
    </w:p>
    <w:p w14:paraId="208F859E" w14:textId="77777777" w:rsidR="007E0724" w:rsidRDefault="00C4775C">
      <w:pPr>
        <w:pStyle w:val="Consid"/>
        <w:rPr>
          <w:szCs w:val="18"/>
        </w:rPr>
      </w:pPr>
      <w:r>
        <w:t>19)</w:t>
      </w:r>
      <w:r>
        <w:tab/>
        <w:t>Losun frá framleiðslugeiranum er u.þ.b. 21% af beinni losun gróðurhúsalofttegunda í Sambandinu (</w:t>
      </w:r>
      <w:bookmarkStart w:id="8" w:name="NOTE_9"/>
      <w:r>
        <w:rPr>
          <w:rStyle w:val="Tilvsunneanmlsgrein"/>
          <w:sz w:val="18"/>
          <w:szCs w:val="18"/>
        </w:rPr>
        <w:footnoteReference w:id="10"/>
      </w:r>
      <w:bookmarkEnd w:id="8"/>
      <w:r>
        <w:t>). Hann er þriðja stærsta uppspretta þessarar losunar í Sambandinu og getur því gegnt lykilhlutverki við mildun loftslagsbreytinga. Á sama tíma getur framleiðslugeirinn verið mikilvægur til að stuðla að því að komast hjá losun gróðurhúsalofttegunda og að samdrætti í losun í öðrum greinum atvinnulífsins með því að framleiða vörur og tækni sem þessir aðrir geirar þarfnast til að verða eða halda áfram að vera lágkolefnisgeirar. Því ættu tæknilegu matsviðmiðin fyrir framleiðslugeirann að vera sértæk bæði fyrir framleiðslustarfsemi sem tengist mesta magni losunar á gróðurhúsalofttegundum og framleiðslu vara og tækni með litla losun kolefna.</w:t>
      </w:r>
    </w:p>
    <w:p w14:paraId="3D05C834" w14:textId="77777777" w:rsidR="007E0724" w:rsidRDefault="00C4775C">
      <w:pPr>
        <w:pStyle w:val="Consid"/>
        <w:spacing w:after="0"/>
      </w:pPr>
      <w:r>
        <w:t>20)</w:t>
      </w:r>
      <w:r>
        <w:tab/>
        <w:t>Framleiðslustarfsemi þar sem ekki eru til neinir tæknilega og fjárhagslega hagkvæmir staðgöngukostir með litla losun kolefna en sem styður umskiptin yfir í loftslagshlutlaust hagkerfi ætti að teljast umbreytingaratvinnustarfsemi eins og um getur í 2. mgr. 10. gr. reglugerðar (ESB) 2020/852. Til að hvetja til samdráttar í losun gróðurhúsalofttegunda ættu viðmiðunarmörk tæknilegu matsviðmiðanna fyrir þessa starfsemi að vera fastsett við gildi sem eingöngu þeir sem skila bestum árangri innan hvers geira koma til með að ná og sem í flestum tilvikum byggjast á losun gróðurhúsalofttegunda á hverja framleidda frálagseiningu.</w:t>
      </w:r>
      <w:r>
        <w:br w:type="page"/>
      </w:r>
    </w:p>
    <w:p w14:paraId="21DE4983" w14:textId="77777777" w:rsidR="007E0724" w:rsidRDefault="00C4775C">
      <w:pPr>
        <w:pStyle w:val="Consid"/>
      </w:pPr>
      <w:r>
        <w:lastRenderedPageBreak/>
        <w:t>21)</w:t>
      </w:r>
      <w:r>
        <w:tab/>
        <w:t xml:space="preserve">Til að tryggja að umbreytingarframleiðslustarfsemi, eins og um getur í 2. mgr. 10. gr. reglugerðar (ESB) 2020/852, fylgi áfram trúverðugu ferli í átt að </w:t>
      </w:r>
      <w:proofErr w:type="spellStart"/>
      <w:r>
        <w:t>afkolun</w:t>
      </w:r>
      <w:proofErr w:type="spellEnd"/>
      <w:r>
        <w:t xml:space="preserve"> og í samræmi við 5. mgr. 19. gr. þeirrar reglugerðar ætti að endurskoða tæknilegu matsviðmiðin fyrir þessa atvinnustarfsemi a.m.k. þriðja hvert ár. Sú endurskoðun ætti að innihalda greiningu á því hvort tæknilegu matsviðmiðin séu studd af þeim stöðlum sem mestu máli skipta og hvort tekið sé nægilegt tillit til losunar frá þessari starfsemi á vistferlinum. Í þessari endurskoðun ætti einnig að meta mögulega notkun á fönguðu kolefni í ljósi tækniþróunar. Að því er varðar framleiðslu á járni og stáli ætti að taka til frekari athugunar ný gögn og sannanir frá tilraunaferlum í stálframleiðslu með litla losun kolefna þar sem vetni er notað og einnig ætti að meta enn frekar notkunina á viðskiptakerfi ESB með losunarheimildir og önnur möguleg viðmiðunarmörk í tæknilegu matsviðmiðunum.</w:t>
      </w:r>
    </w:p>
    <w:p w14:paraId="67B6D92A" w14:textId="77777777" w:rsidR="007E0724" w:rsidRDefault="00C4775C">
      <w:pPr>
        <w:pStyle w:val="Consid"/>
      </w:pPr>
      <w:r>
        <w:t>22)</w:t>
      </w:r>
      <w:r>
        <w:tab/>
        <w:t xml:space="preserve">Að því er varðar framleiðslustarfsemi sem skal teljast vera starfsemi sem gerir annarri starfsemi kleift að stuðla að umhverfismarkmiðum, sem um getur í </w:t>
      </w:r>
      <w:proofErr w:type="spellStart"/>
      <w:r>
        <w:t>i-lið</w:t>
      </w:r>
      <w:proofErr w:type="spellEnd"/>
      <w:r>
        <w:t xml:space="preserve"> 1. mgr. 10. gr. reglugerðar (ESB) 2020/852, ættu tæknilegu matsviðmiðin fyrst og fremst að byggjast á eðli framleiddu varanna ásamt með, eftir því sem við á, </w:t>
      </w:r>
      <w:proofErr w:type="spellStart"/>
      <w:r>
        <w:t>megindlegum</w:t>
      </w:r>
      <w:proofErr w:type="spellEnd"/>
      <w:r>
        <w:t xml:space="preserve"> viðbótarviðmiðunarmörkum til að tryggja að þessar vörur geti lagt verulega af mörkum til að stuðla að því að komast hjá eða draga úr losun gróðurhúsalofttegunda í öðrum geirum. Til að endurspegla þá staðreynd að starfsemi sem hefur mesta möguleika á að komast hjá því að leiða til losunar gróðurhúsalofttegunda, að draga úr slíkri losun eða að auka upptöku gróðurhúsalofttegunda og langtímageymslu kolefnis nýtur forgangs ætti, í framleiðslu sem gerir annarri starfsemi kleift að stuðla að umhverfismarkmiðum, að leggja áherslu á framleiðslu vara sem eru nauðsynlegar til að stunda þessa atvinnustarfsemi.</w:t>
      </w:r>
    </w:p>
    <w:p w14:paraId="6CB61166" w14:textId="77777777" w:rsidR="007E0724" w:rsidRDefault="00C4775C">
      <w:pPr>
        <w:pStyle w:val="Consid"/>
      </w:pPr>
      <w:r>
        <w:t>23)</w:t>
      </w:r>
      <w:r>
        <w:tab/>
        <w:t xml:space="preserve">Framleiðsla á </w:t>
      </w:r>
      <w:proofErr w:type="spellStart"/>
      <w:r>
        <w:t>rafbúnaði</w:t>
      </w:r>
      <w:proofErr w:type="spellEnd"/>
      <w:r>
        <w:t xml:space="preserve"> fyrir raforkugeirann gegnir mikilvægu hlutverki fyrir uppfærslu, útbreiðslu og jöfnun sveiflna í raforku sem kemur frá endurnýjanlegum orkugjöfum í raforkudreifikerfi Sambandsins, </w:t>
      </w:r>
      <w:proofErr w:type="spellStart"/>
      <w:r>
        <w:t>endurhleðslu</w:t>
      </w:r>
      <w:proofErr w:type="spellEnd"/>
      <w:r>
        <w:t xml:space="preserve"> farartækja með enga losun og notkun á grænum </w:t>
      </w:r>
      <w:proofErr w:type="spellStart"/>
      <w:r>
        <w:t>snjallbúnaði</w:t>
      </w:r>
      <w:proofErr w:type="spellEnd"/>
      <w:r>
        <w:t xml:space="preserve"> á heimilum. Á sama tíma gæti framleiðsla á </w:t>
      </w:r>
      <w:proofErr w:type="spellStart"/>
      <w:r>
        <w:t>rafbúnaði</w:t>
      </w:r>
      <w:proofErr w:type="spellEnd"/>
      <w:r>
        <w:t xml:space="preserve"> fyrir raforkugeirann gert það kleift að þróa hugmyndina um </w:t>
      </w:r>
      <w:proofErr w:type="spellStart"/>
      <w:r>
        <w:t>snjallhúsnæði</w:t>
      </w:r>
      <w:proofErr w:type="spellEnd"/>
      <w:r>
        <w:t xml:space="preserve"> með það að markmiði að efla enn frekar notkun endurnýjanlegra orkugjafa og góða stjórnun á heimilisbúnaði. Þess vegna gæti reynst nauðsynlegt að bæta við tæknilegu matsviðmiðin í framleiðslugeiranum og meta möguleika framleiðslunnar á </w:t>
      </w:r>
      <w:proofErr w:type="spellStart"/>
      <w:r>
        <w:t>rafbúnaði</w:t>
      </w:r>
      <w:proofErr w:type="spellEnd"/>
      <w:r>
        <w:t xml:space="preserve"> á að leggja verulega af mörkum til </w:t>
      </w:r>
      <w:proofErr w:type="spellStart"/>
      <w:r>
        <w:t>mildunar</w:t>
      </w:r>
      <w:proofErr w:type="spellEnd"/>
      <w:r>
        <w:t xml:space="preserve"> loftslagsbreytinga og aðlögunar að loftslagsbreytingum.</w:t>
      </w:r>
    </w:p>
    <w:p w14:paraId="1FC65A89" w14:textId="77777777" w:rsidR="007E0724" w:rsidRDefault="00C4775C">
      <w:pPr>
        <w:pStyle w:val="Consid"/>
      </w:pPr>
      <w:r>
        <w:t>24)</w:t>
      </w:r>
      <w:r>
        <w:tab/>
        <w:t xml:space="preserve">Ráðstafanir um </w:t>
      </w:r>
      <w:proofErr w:type="spellStart"/>
      <w:r>
        <w:t>orkunýtni</w:t>
      </w:r>
      <w:proofErr w:type="spellEnd"/>
      <w:r>
        <w:t xml:space="preserve"> og aðrar ráðstafanir varðandi mildun loftslagsbreytinga, s.s. notkun tækni á sviði endurnýjanlegrar orku á vettvangi, og nýjasta tækni sem er til staðar geta leitt til umtalsverðs samdráttar í losun gróðurhúsalofttegunda í framleiðslugeiranum. Þessar ráðstafanir geta því gegnt mikilvægu hlutverki við að stuðla að því að atvinnustarfsemi í framleiðslugeiranum, sem fastsetja ætti tæknileg matsviðmið fyrir, uppfylli viðkomandi staðla um frammistöðu og viðmiðunarmörk fyrir verulegt framlag til </w:t>
      </w:r>
      <w:proofErr w:type="spellStart"/>
      <w:r>
        <w:t>mildunar</w:t>
      </w:r>
      <w:proofErr w:type="spellEnd"/>
      <w:r>
        <w:t xml:space="preserve"> loftslagsbreytinga.</w:t>
      </w:r>
    </w:p>
    <w:p w14:paraId="178C0394" w14:textId="77777777" w:rsidR="007E0724" w:rsidRDefault="00C4775C">
      <w:pPr>
        <w:pStyle w:val="Consid"/>
      </w:pPr>
      <w:r>
        <w:t>25)</w:t>
      </w:r>
      <w:r>
        <w:tab/>
        <w:t>Rekja má u.þ.b. 22% af beinni losun gróðurhúsalofttegunda í Sambandinu til orkugeirans og u.þ.b. 75% af þeirri losun þegar tekið er tillit til orkunotkunar í öðrum geirum. Hann gegnir þannig lykilhlutverki við mildun loftslagsbreytinga. Orkugeirinn hefur umtalsverða möguleika til að draga úr losun gróðurhúsalofttegunda og ýmis starfsemi í þeim geira gegnir hlutverki starfsemi sem gerir annarri starfsemi kleift að stuðla að umhverfismarkmiðum sem greiðir fyrir umskiptum orkugeirans í áttina að raforku eða varma sem eru endurnýjanleg eða með litla losun kolefna. Því er rétt að fastsetja tæknileg matsviðmið fyrir margvíslega starfsemi sem tengist orkuframboðskeðjunni, allt frá framleiðslu rafmagns eða varma frá mismunandi uppsprettum yfir flutnings- og dreifikerfi til geymslu, sem og varmadælur og framleiðslu á lífgasi og lífeldsneyti.</w:t>
      </w:r>
    </w:p>
    <w:p w14:paraId="7171F504" w14:textId="77777777" w:rsidR="007E0724" w:rsidRDefault="00C4775C">
      <w:pPr>
        <w:pStyle w:val="Consid"/>
      </w:pPr>
      <w:r>
        <w:t>26)</w:t>
      </w:r>
      <w:r>
        <w:tab/>
        <w:t xml:space="preserve">Tæknileg matsviðmið til að ákvarða hvort framleiðsla rafmagns eða varma, þ.m.t. </w:t>
      </w:r>
      <w:proofErr w:type="spellStart"/>
      <w:r>
        <w:t>samþætt</w:t>
      </w:r>
      <w:proofErr w:type="spellEnd"/>
      <w:r>
        <w:t xml:space="preserve"> varma- og raforkuvinnsla, stuðli verulega að mildun loftslagsbreytinga ættu að tryggja að dregið sé úr eða komist hjá losun gróðurhúsalofttegunda. Í tæknilegum matsviðmiðum sem byggjast á losun gróðurhúsalofttegunda ætti að vísa veginn fyrir </w:t>
      </w:r>
      <w:proofErr w:type="spellStart"/>
      <w:r>
        <w:t>afkolun</w:t>
      </w:r>
      <w:proofErr w:type="spellEnd"/>
      <w:r>
        <w:t xml:space="preserve"> þessarar starfsemi. Tæknileg matsviðmið fyrir starfsemi sem gerir annarri starfsemi kleift að stuðla að umhverfismarkmiðum og greiðir fyrir </w:t>
      </w:r>
      <w:proofErr w:type="spellStart"/>
      <w:r>
        <w:t>afkolun</w:t>
      </w:r>
      <w:proofErr w:type="spellEnd"/>
      <w:r>
        <w:t xml:space="preserve"> til langs tíma ættu fyrst og fremst að byggjast á eðli starfseminnar eða á bestu aðgengilegu tækni.</w:t>
      </w:r>
    </w:p>
    <w:p w14:paraId="3BD199C2" w14:textId="77777777" w:rsidR="007E0724" w:rsidRDefault="00C4775C">
      <w:pPr>
        <w:pStyle w:val="Consid"/>
        <w:spacing w:after="0"/>
      </w:pPr>
      <w:r>
        <w:t>27)</w:t>
      </w:r>
      <w:r>
        <w:tab/>
        <w:t xml:space="preserve">Í reglugerð (ESB) 2020/852 er mikilvægi „loftslagshlutlausrar orku“ viðurkennt og gerð krafa um að framkvæmdastjórnin meti mögulegt framlag og hagkvæmni allrar fyrirliggjandi tækni sem við á. Að því er varðar kjarnorku stendur það mat </w:t>
      </w:r>
      <w:proofErr w:type="spellStart"/>
      <w:r>
        <w:t>ennþá</w:t>
      </w:r>
      <w:proofErr w:type="spellEnd"/>
      <w:r>
        <w:t xml:space="preserve"> yfir og um leið og því sérstaka ferli lýkur mun framkvæmdastjórnin fylgja niðurstöðum þess eftir í tengslum við þessa reglugerð.</w:t>
      </w:r>
      <w:r>
        <w:br w:type="page"/>
      </w:r>
    </w:p>
    <w:p w14:paraId="73047254" w14:textId="77777777" w:rsidR="007E0724" w:rsidRDefault="00C4775C">
      <w:pPr>
        <w:pStyle w:val="Consid"/>
        <w:rPr>
          <w:szCs w:val="18"/>
        </w:rPr>
      </w:pPr>
      <w:r>
        <w:lastRenderedPageBreak/>
        <w:t>28)</w:t>
      </w:r>
      <w:r>
        <w:tab/>
        <w:t xml:space="preserve">Lagaleg mörk fyrir umbreytingarstarfsemi, sem sett eru fram í 2. mgr. 10. gr. reglugerðar (ESB) 2020/852, setja takmörk að því er varðar starfsemi með mikla losun gróðurhúsalofttegunda sem hefur mikla möguleika til samdráttar á losun. Slík umbreytingarstarfsemi ætti að leggja verulega af mörkum til </w:t>
      </w:r>
      <w:proofErr w:type="spellStart"/>
      <w:r>
        <w:t>mildunar</w:t>
      </w:r>
      <w:proofErr w:type="spellEnd"/>
      <w:r>
        <w:t xml:space="preserve"> loftslagsbreytinga þegar ekki eru til staðar neinir tæknilega eða efnahagslega framkvæmanlegir lágkolefnisstaðgöngukostir, að því tilskildu að hún sé samrýmanleg við ferli til að takmarka hækkun hitastigs við 1,5 °C yfir gildum fyrir iðnvæðingu, endurspegli besta árangur á sínu sviði, hamli ekki þróun og notkun lágkolefnisvalkosta og leiði ekki til sjálfheldu kolefnisfrekra eigna. Að auki er einkum gerð sú krafa skv. 19. gr. sömu reglugerðar að tæknilegu matsviðmiðin ættu að byggjast á endanlegum vísindalegum sönnunum. Ef starfsemi á sviði jarðgass uppfyllir þessar kröfur verður hún tekin með í framselda gerð í framtíðinni. Að því er varðar þessa starfsemi verða tæknileg matsviðmið til að meta verulegt framlag til </w:t>
      </w:r>
      <w:proofErr w:type="spellStart"/>
      <w:r>
        <w:t>mildunar</w:t>
      </w:r>
      <w:proofErr w:type="spellEnd"/>
      <w:r>
        <w:t xml:space="preserve"> loftslagsbreytinga og „ekki valda umtalsverðu tjóni“ fyrir önnur almenn umhverfismarkmið tilgreind nánar í þessari framseldu gerð í framtíðinni. Starfsemi sem ekki uppfyllir þessar kröfur er ekki hægt að viðurkenna samkvæmt reglugerð (ESB) 2020/852. Til að viðurkenna hlutverk jarðgass sem mikilvægrar tækni til að draga úr losun gróðurhúsalofttegunda mun framkvæmdastjórnin taka til athugunar sérstaka löggjöf til að tryggja að starfsemi sem leggur sitt af mörkum til samdráttar á losun verði ekki undanskilin viðeigandi fjármögnun.</w:t>
      </w:r>
    </w:p>
    <w:p w14:paraId="0CA2EBF7" w14:textId="77777777" w:rsidR="007E0724" w:rsidRDefault="00C4775C">
      <w:pPr>
        <w:pStyle w:val="Consid"/>
        <w:rPr>
          <w:szCs w:val="18"/>
        </w:rPr>
      </w:pPr>
      <w:r>
        <w:t>29)</w:t>
      </w:r>
      <w:r>
        <w:tab/>
        <w:t xml:space="preserve">Tæknileg matsviðmið fyrir framleiðslu rafmagns eða varma sem og fyrir flutnings- og dreifikerfi ættu að tryggja samræmi við orðsendinguna frá framkvæmdastjórninni frá 14. október 2020 um stefnuáætlun ESB um að draga úr </w:t>
      </w:r>
      <w:proofErr w:type="spellStart"/>
      <w:r>
        <w:t>metanlosun</w:t>
      </w:r>
      <w:proofErr w:type="spellEnd"/>
      <w:r>
        <w:t xml:space="preserve"> (</w:t>
      </w:r>
      <w:bookmarkStart w:id="9" w:name="NOTE_10"/>
      <w:r>
        <w:rPr>
          <w:rStyle w:val="Tilvsunneanmlsgrein"/>
          <w:sz w:val="18"/>
          <w:szCs w:val="18"/>
        </w:rPr>
        <w:footnoteReference w:id="11"/>
      </w:r>
      <w:bookmarkEnd w:id="9"/>
      <w:r>
        <w:t xml:space="preserve">). Því getur reynst nauðsynlegt að yfirfara, bæta við og, ef nauðsyn krefur, endurskoða þessi tæknilegu matsviðmið til að þau endurspegli allar </w:t>
      </w:r>
      <w:proofErr w:type="spellStart"/>
      <w:r>
        <w:t>framtíðarmælistikur</w:t>
      </w:r>
      <w:proofErr w:type="spellEnd"/>
      <w:r>
        <w:t xml:space="preserve"> og -kröfur sem verða fastsettar til að fylgja þessari stefnu eftir.</w:t>
      </w:r>
    </w:p>
    <w:p w14:paraId="6143287D" w14:textId="77777777" w:rsidR="007E0724" w:rsidRDefault="00C4775C">
      <w:pPr>
        <w:pStyle w:val="Consid"/>
        <w:rPr>
          <w:szCs w:val="18"/>
        </w:rPr>
      </w:pPr>
      <w:r>
        <w:t>30)</w:t>
      </w:r>
      <w:r>
        <w:tab/>
        <w:t>Tæknileg matsviðmið fyrir framleiðslu á varma, kælingu og rafmagni frá líforku og framleiðslu á lífeldsneyti og lífgasi fyrir flutningastarfsemi ættu að vera í samræmi við yfirgripsmikinn sjálfbærniramma fyrir þessa geira sem mælt er fyrir um samkvæmt tilskipun Evrópuþingsins og ráðsins (ESB) 2018/2001 (</w:t>
      </w:r>
      <w:bookmarkStart w:id="10" w:name="NOTE_11"/>
      <w:r>
        <w:rPr>
          <w:rStyle w:val="Tilvsunneanmlsgrein"/>
          <w:sz w:val="18"/>
          <w:szCs w:val="18"/>
        </w:rPr>
        <w:footnoteReference w:id="12"/>
      </w:r>
      <w:bookmarkEnd w:id="10"/>
      <w:r>
        <w:t>) þar sem settar eru kröfur um sjálfbæra nýtingu, kolefnisbókhald og minnkun á losun gróðurhúsalofttegunda.</w:t>
      </w:r>
    </w:p>
    <w:p w14:paraId="6875215E" w14:textId="77777777" w:rsidR="007E0724" w:rsidRDefault="00C4775C">
      <w:pPr>
        <w:pStyle w:val="Consid"/>
        <w:rPr>
          <w:szCs w:val="18"/>
        </w:rPr>
      </w:pPr>
      <w:r>
        <w:t>31)</w:t>
      </w:r>
      <w:r>
        <w:tab/>
        <w:t>Sem eftirfylgni við Grænt samkomulag í Evrópu, tillöguna um evrópsku loftslagslögin (</w:t>
      </w:r>
      <w:bookmarkStart w:id="11" w:name="NOTE_12"/>
      <w:r>
        <w:rPr>
          <w:rStyle w:val="Tilvsunneanmlsgrein"/>
          <w:sz w:val="18"/>
          <w:szCs w:val="18"/>
        </w:rPr>
        <w:footnoteReference w:id="13"/>
      </w:r>
      <w:bookmarkEnd w:id="11"/>
      <w:r>
        <w:t xml:space="preserve">), áætlun ESB um líffræðilega fjölbreytni til 2030 og í samræmi við metnað Sambandsins um líffræðilega fjölbreytni og loftslagshlutleysi ætti að vera búið að bæta við tæknileg matsviðmið fyrir starfsemi á sviði líforku, yfirfara þau og, ef nauðsyn krefur, endurskoða til að taka tillit til nýjustu sannana til grundvallar og stefnumótunar þegar framselda gerðin, sem um getur í 2. mgr. 15. reglugerðar (ESB) 2020/852, verður samþykkt og að teknu tilliti til viðkomandi laga Sambandsins, þ.m.t. tilskipun (ESB) 2018/2001 og </w:t>
      </w:r>
      <w:proofErr w:type="spellStart"/>
      <w:r>
        <w:t>framtíðarendurskoðanir</w:t>
      </w:r>
      <w:proofErr w:type="spellEnd"/>
      <w:r>
        <w:t xml:space="preserve"> á henni.</w:t>
      </w:r>
    </w:p>
    <w:p w14:paraId="708E0ACE" w14:textId="77777777" w:rsidR="007E0724" w:rsidRDefault="00C4775C">
      <w:pPr>
        <w:pStyle w:val="Consid"/>
        <w:spacing w:after="0"/>
        <w:jc w:val="left"/>
      </w:pPr>
      <w:r>
        <w:t>32)</w:t>
      </w:r>
      <w:r>
        <w:tab/>
        <w:t xml:space="preserve">Losun gróðurhúsalofttegunda í Sambandinu sem stafar frá geira vatns, fráveitukerfis, úrgangs og hreinsunar er tiltölulega lítil. Sá geiri býr engu að síður yfir miklum möguleikum til að stuðla að því að draga úr losun gróðurhúsalofttegunda í öðrum geirum, einkum með framboði á endurunnum hráefnum til að koma í stað nýrra hráefna, með því að skipta út vörum, áburði og orku úr jarðefnaeldsneyti og með flutningi og varanlegri geymslu fangaðs koltvísýrings. Enn fremur er starfsemi sem felur í sér </w:t>
      </w:r>
      <w:proofErr w:type="spellStart"/>
      <w:r>
        <w:t>loftfirrða</w:t>
      </w:r>
      <w:proofErr w:type="spellEnd"/>
      <w:r>
        <w:t xml:space="preserve"> meltun sem og </w:t>
      </w:r>
      <w:proofErr w:type="spellStart"/>
      <w:r>
        <w:t>myltingu</w:t>
      </w:r>
      <w:proofErr w:type="spellEnd"/>
      <w:r>
        <w:t xml:space="preserve"> lífúrgangs, sem er safnað á aðskilinn hátt, þar sem komist er hjá því að urða lífúrgang sérlega mikilvæg til að draga úr losun </w:t>
      </w:r>
      <w:proofErr w:type="spellStart"/>
      <w:r>
        <w:t>metans</w:t>
      </w:r>
      <w:proofErr w:type="spellEnd"/>
      <w:r>
        <w:t xml:space="preserve">. Í tæknilegum matsviðmiðum fyrir starfsemi á sviði úrgangs ætti því að taka til greina að þessi starfsemi stuðlar verulega að mildun loftslagsbreytinga, að því tilskildu að í þessari starfsemi sé tilteknum bestu starfsvenjum beitt fyrir þann geira. Þessi tæknilegu matsviðmið ættu einnig að tryggja að valkostir við meðhöndlun úrgangs séu í samræmi við efri þrep úrgangsmetakerfisins. Í tæknilegum matsviðmiðum ætti að taka til greina að þessi starfsemi, þar sem samræmt tilgreint lágmarkshlutfall af flokkuðum hættulausum úrgangi, sem er safnað á aðskilinn hátt, er unnið í endurunnin hráefni, stuðlar verulega að mildun loftslagsbreytinga. Sem stendur er þó ekki mögulegt að tæknileg matsviðmið, sem byggjast á samræmdu tilgreindu markmiði fyrir endurvinnslu úrgangs, taki að fullu á möguleikum einstakra efnisstrauma til </w:t>
      </w:r>
      <w:proofErr w:type="spellStart"/>
      <w:r>
        <w:t>mildunar</w:t>
      </w:r>
      <w:proofErr w:type="spellEnd"/>
      <w:r>
        <w:t xml:space="preserve"> loftslagsbreytinga. Þess vegna getur verið nauðsynlegt að meta þessi tæknilegu matsviðmið enn frekar og endurskoða þau. Samræmt tilgreint markmið ætti ekki að hafa áhrif á úrgangsstjórnunarmarkmiðin sem beint er til aðildarríkjanna í löggjöf Sambandsins um úrgang. Að því er varðar starfsemi sem tengist vatnsöflunar-, </w:t>
      </w:r>
      <w:proofErr w:type="spellStart"/>
      <w:r>
        <w:t>vatnshreinsi</w:t>
      </w:r>
      <w:proofErr w:type="spellEnd"/>
      <w:r>
        <w:t xml:space="preserve">- og vatnsveitukerfum, sem og miðlægum </w:t>
      </w:r>
      <w:proofErr w:type="spellStart"/>
      <w:r>
        <w:t>skólphreinsunarkerfum</w:t>
      </w:r>
      <w:proofErr w:type="spellEnd"/>
      <w:r>
        <w:t xml:space="preserve">, ætti í þessum tæknilegu matsviðmiðum að taka tillit til altæks árangurs og hlutfallslegs árangurs við að ná markmiðum um úrbætur í tengslum við orkunotkun og aðrar </w:t>
      </w:r>
      <w:proofErr w:type="spellStart"/>
      <w:r>
        <w:t>mælistikur</w:t>
      </w:r>
      <w:proofErr w:type="spellEnd"/>
      <w:r>
        <w:t>, ef við á, s.s. lekagildi í vatnsveitukerfum.</w:t>
      </w:r>
    </w:p>
    <w:p w14:paraId="1441841D" w14:textId="77777777" w:rsidR="007E0724" w:rsidRDefault="00C4775C">
      <w:pPr>
        <w:pStyle w:val="Consid"/>
        <w:pageBreakBefore/>
        <w:spacing w:after="600"/>
      </w:pPr>
      <w:r>
        <w:lastRenderedPageBreak/>
        <w:t>33)</w:t>
      </w:r>
      <w:r>
        <w:tab/>
        <w:t xml:space="preserve">Flutningastarfsemi notar einn þriðja af allri orku í Sambandinu og rekja má u.þ.b. 23% af beinni heildarlosun gróðurhúsalofttegunda í Sambandinu til hennar. </w:t>
      </w:r>
      <w:proofErr w:type="spellStart"/>
      <w:r>
        <w:t>Afkolun</w:t>
      </w:r>
      <w:proofErr w:type="spellEnd"/>
      <w:r>
        <w:t xml:space="preserve"> flutningaflotans og grunnvirkja getur því gegnt lykilhlutverki við mildun loftslagsbreytinga. Í tæknilegum matsviðmiðum fyrir flutningageirann ætti að leggja áherslu á samdrátt frá helstu upptökum losunar frá þeim geira jafnframt sem tekið er tilliti til þarfarinnar fyrir að skipta yfir í flutningamáta með minni losun til að flytja fólk og vörur og byggja upp grunnvirki sem gera umhverfisvænan samgönguhreyfanleika (e. </w:t>
      </w:r>
      <w:proofErr w:type="spellStart"/>
      <w:r>
        <w:rPr>
          <w:i/>
          <w:iCs/>
        </w:rPr>
        <w:t>clean</w:t>
      </w:r>
      <w:proofErr w:type="spellEnd"/>
      <w:r>
        <w:rPr>
          <w:i/>
          <w:iCs/>
        </w:rPr>
        <w:t xml:space="preserve"> </w:t>
      </w:r>
      <w:proofErr w:type="spellStart"/>
      <w:r>
        <w:rPr>
          <w:i/>
          <w:iCs/>
        </w:rPr>
        <w:t>mobility</w:t>
      </w:r>
      <w:proofErr w:type="spellEnd"/>
      <w:r>
        <w:t>) mögulegan. Í tæknilegum matsviðmiðum fyrir flutningageirann ætti því að leggja áherslu á árangur innan eins flutningsmáta en taka jafnframt tillit til árangurs þess flutningsmáta í samanburði við aðra flutningsmáta.</w:t>
      </w:r>
    </w:p>
    <w:p w14:paraId="30760901" w14:textId="77777777" w:rsidR="007E0724" w:rsidRDefault="00C4775C">
      <w:pPr>
        <w:pStyle w:val="Consid"/>
        <w:spacing w:after="600"/>
        <w:rPr>
          <w:szCs w:val="18"/>
        </w:rPr>
      </w:pPr>
      <w:r>
        <w:t>34)</w:t>
      </w:r>
      <w:r>
        <w:tab/>
        <w:t xml:space="preserve">Í ljósi möguleika sjóflutninga og loftflutninga til að draga úr losun gróðurhúsalofttegunda og stuðla þannig að því að </w:t>
      </w:r>
      <w:proofErr w:type="spellStart"/>
      <w:r>
        <w:t>grænka</w:t>
      </w:r>
      <w:proofErr w:type="spellEnd"/>
      <w:r>
        <w:t xml:space="preserve"> flutningageirann eru þeir mikilvægir flutningsmátar í tengslum við umskiptin yfir í lágkolefnishagkerfi. Samkvæmt orðsendingu frá framkvæmdastjórninni frá 9. desember 2020 „</w:t>
      </w:r>
      <w:proofErr w:type="spellStart"/>
      <w:r>
        <w:t>Sustainable</w:t>
      </w:r>
      <w:proofErr w:type="spellEnd"/>
      <w:r>
        <w:t xml:space="preserve"> </w:t>
      </w:r>
      <w:proofErr w:type="spellStart"/>
      <w:r>
        <w:t>and</w:t>
      </w:r>
      <w:proofErr w:type="spellEnd"/>
      <w:r>
        <w:t xml:space="preserve"> Smart </w:t>
      </w:r>
      <w:proofErr w:type="spellStart"/>
      <w:r>
        <w:t>Mobility</w:t>
      </w:r>
      <w:proofErr w:type="spellEnd"/>
      <w:r>
        <w:t xml:space="preserve"> </w:t>
      </w:r>
      <w:proofErr w:type="spellStart"/>
      <w:r>
        <w:t>Strategy</w:t>
      </w:r>
      <w:proofErr w:type="spellEnd"/>
      <w:r>
        <w:t xml:space="preserve"> – </w:t>
      </w:r>
      <w:proofErr w:type="spellStart"/>
      <w:r>
        <w:t>putting</w:t>
      </w:r>
      <w:proofErr w:type="spellEnd"/>
      <w:r>
        <w:t xml:space="preserve"> European </w:t>
      </w:r>
      <w:proofErr w:type="spellStart"/>
      <w:r>
        <w:t>transport</w:t>
      </w:r>
      <w:proofErr w:type="spellEnd"/>
      <w:r>
        <w:t xml:space="preserve"> on </w:t>
      </w:r>
      <w:proofErr w:type="spellStart"/>
      <w:r>
        <w:t>track</w:t>
      </w:r>
      <w:proofErr w:type="spellEnd"/>
      <w:r>
        <w:t xml:space="preserve"> for </w:t>
      </w:r>
      <w:proofErr w:type="spellStart"/>
      <w:r>
        <w:t>the</w:t>
      </w:r>
      <w:proofErr w:type="spellEnd"/>
      <w:r>
        <w:t xml:space="preserve"> </w:t>
      </w:r>
      <w:proofErr w:type="spellStart"/>
      <w:r>
        <w:t>future</w:t>
      </w:r>
      <w:proofErr w:type="spellEnd"/>
      <w:r>
        <w:t>“ (stefnuáætlun fyrir sjálfbæran og snjallan samgönguhreyfanleika – evrópskri flutningastarfsemi komið á rétta braut fyrir framtíðina) (</w:t>
      </w:r>
      <w:bookmarkStart w:id="12" w:name="NOTE_13"/>
      <w:r>
        <w:rPr>
          <w:rStyle w:val="Tilvsunneanmlsgrein"/>
          <w:sz w:val="18"/>
          <w:szCs w:val="18"/>
        </w:rPr>
        <w:footnoteReference w:id="14"/>
      </w:r>
      <w:bookmarkEnd w:id="12"/>
      <w:r>
        <w:t xml:space="preserve">), er gert ráð fyrir að skip með enga losun verði tilbúin fyrir markaðinn eigi síðar en 2030. Samkvæmt þeirri stefnuáætlun er gert ráð fyrir að stór loftför með enga losun verði komin á markað eigi síðar en 2035 fyrir stuttar vegalengdir en gert er ráð fyrir að fyrir </w:t>
      </w:r>
      <w:proofErr w:type="spellStart"/>
      <w:r>
        <w:t>afkolun</w:t>
      </w:r>
      <w:proofErr w:type="spellEnd"/>
      <w:r>
        <w:t xml:space="preserve"> á lengri vegalengdum verði treyst á endurnýjanlega orkugjafa og lágkolefniseldsneyti. Einnig hafa verið gerðar aðskildar rannsóknir á viðmiðunum fyrir sjálfbæra fjármögnun þessara geira. Þess vegna ættu sjóflutningar að teljast til umbreytingaratvinnustarfsemi eins og um getur í 2. mgr. 10. gr. reglugerðar (ESB) 2020/852. Sjóflutningar eru sá vöruflutningsmáti sem síst er kolefnisfrekur. Til að tryggja jafna meðferð á sjóflutningum í samanburði við aðra flutningsmáta ætti að fastsetja tæknileg matsviðmið fyrir sjóflutninga sem ættu að gilda til loka ársins 2025. Þó verður nauðsynlegt að meta sjóflutninga nánar og, eftir því sem við á, fastsetja tæknileg matsviðmið fyrir sjóflutninga sem gilda frá og með árinu 2026. Einnig verður nauðsynlegt að meta flugsamgöngur nánar og, eftir því sem við á, fastsetja viðeigandi tæknileg matsviðmið. Enn fremur ætti að fastsetja tæknileg matsviðmið fyrir samgöngugrunnvirki með litla losun kolefna fyrir tiltekna flutningsmáta. Í ljósi möguleika samgöngugrunnvirkja til að stuðla að umskiptum í flutningum verður þó nauðsynlegt að meta og, eftir því sem við á, fastsetja viðeigandi tæknileg matsviðmið fyrir grunnvirki í heild sinni sem eru mikilvæg fyrir flutningsmáta með litla losun kolefna, einkum skipgengar vatnaleiðir. Með hliðsjón af niðurstöðunni úr tæknimatinu ætti einnig að fastsetja viðeigandi tæknileg matsviðmið fyrir atvinnustarfsemina sem um getur í þessari forsendu þegar framselda gerðin, sem um getur í 12. gr. (2. mgr.), 13. gr. (2. mgr.), 14. gr. (2. mgr.) og 15. gr. (2. mgr.) reglugerðar (ESB) 2020/852, verður samþykkt.</w:t>
      </w:r>
    </w:p>
    <w:p w14:paraId="3B44353E" w14:textId="77777777" w:rsidR="007E0724" w:rsidRDefault="00C4775C">
      <w:pPr>
        <w:pStyle w:val="Consid"/>
        <w:spacing w:after="600"/>
        <w:rPr>
          <w:szCs w:val="18"/>
        </w:rPr>
      </w:pPr>
      <w:r>
        <w:t>35)</w:t>
      </w:r>
      <w:r>
        <w:tab/>
        <w:t>Til að tryggja að flutningastarfsemi sem telst vera sjálfbær stuðli ekki að notkun jarðefnaeldsneytis ætti í tæknilegum matsviðmiðum fyrir viðkomandi starfsemi að undanskilja eignir, rekstur og grunnvirki sem eru ætluð til flutnings á jarðefnaeldsneyti. Þegar þessari viðmiðun er beitt er nauðsynlegt að taka til greina margs konar notkun, ólíkt eignarhald, notendafyrirkomulag og blöndunarhlutfall eldsneytis í samræmi við viðkomandi gildandi markaðsvenjur. Meta ætti nothæfi þessarar viðmiðunar á vettvanginum fyrir sjálfbær fjármál með tilliti til þess að uppfylla umboð hans.</w:t>
      </w:r>
    </w:p>
    <w:p w14:paraId="42BB691C" w14:textId="77777777" w:rsidR="007E0724" w:rsidRDefault="00C4775C">
      <w:pPr>
        <w:pStyle w:val="Consid"/>
        <w:spacing w:after="600"/>
        <w:rPr>
          <w:szCs w:val="18"/>
        </w:rPr>
      </w:pPr>
      <w:r>
        <w:t>36)</w:t>
      </w:r>
      <w:r>
        <w:tab/>
        <w:t xml:space="preserve">Í Sambandinu skrifast 40% af orkunotkun og 36% af kolefnislosun á byggingar í öllum geirum. Byggingar geta því gegnt mikilvægu hlutverki við mildun loftslagsbreytinga. Þess vegna ætti að mæla fyrir um tæknileg matsviðmið fyrir smíði nýrra bygginga, endurnýjun bygginga, uppsetningu mismunandi </w:t>
      </w:r>
      <w:proofErr w:type="spellStart"/>
      <w:r>
        <w:t>orkunýtins</w:t>
      </w:r>
      <w:proofErr w:type="spellEnd"/>
      <w:r>
        <w:t xml:space="preserve"> búnaðar, staðbundins endurnýjanlegs orkugjafa, veitingu orkuþjónustu og fyrir kaup og eignarhald á byggingum. Þessi tæknilegu matsviðmið ættu að byggjast á mögulegum áhrifum af þessari starfsemi, orkunýtingu bygginga og tengdri losun gróðurhúsalofttegunda og innbyggðri kolefnislosun (e. </w:t>
      </w:r>
      <w:proofErr w:type="spellStart"/>
      <w:r>
        <w:rPr>
          <w:i/>
          <w:iCs/>
        </w:rPr>
        <w:t>embedded</w:t>
      </w:r>
      <w:proofErr w:type="spellEnd"/>
      <w:r>
        <w:rPr>
          <w:i/>
          <w:iCs/>
        </w:rPr>
        <w:t xml:space="preserve"> </w:t>
      </w:r>
      <w:proofErr w:type="spellStart"/>
      <w:r>
        <w:rPr>
          <w:i/>
          <w:iCs/>
        </w:rPr>
        <w:t>carbon</w:t>
      </w:r>
      <w:proofErr w:type="spellEnd"/>
      <w:r>
        <w:t>). Að því er varðar nýjar byggingar gæti verið nauðsynlegt að endurskoða tæknilegu matsviðmiðin til að tryggja að þessi viðmið haldist samræmd við markmið Sambandsins í loftslags- og orkumálum.</w:t>
      </w:r>
    </w:p>
    <w:p w14:paraId="2ABC2BFE" w14:textId="77777777" w:rsidR="007E0724" w:rsidRDefault="00C4775C">
      <w:pPr>
        <w:pStyle w:val="Consid"/>
        <w:spacing w:after="0"/>
      </w:pPr>
      <w:r>
        <w:t>37)</w:t>
      </w:r>
      <w:r>
        <w:tab/>
        <w:t xml:space="preserve">Bygging eignar eða aðstöðu sem er óaðskiljanlegur hluti af starfseminni, sem fastsetja ætti tæknileg matsviðmið fyrir til að ákvarða við hvaða skilyrði sú starfsemi telst stuðla verulega að mildun loftslagsbreytinga, getur verið mikilvægt skilyrði fyrir því að sú atvinnustarfsemi sé stunduð. Því er rétt að taka byggingu slíkra eigna eða aðstöðu með sem hluta af </w:t>
      </w:r>
      <w:r>
        <w:lastRenderedPageBreak/>
        <w:t>starfseminni sem sú uppbygging skiptir máli fyrir, einkum vegna starfsemi í geirum orku, vatns, fráveitukerfis, úrgangs og hreinsunar sem og í flutningageiranum.</w:t>
      </w:r>
      <w:r>
        <w:br w:type="page"/>
      </w:r>
    </w:p>
    <w:p w14:paraId="0FF07A6E" w14:textId="77777777" w:rsidR="007E0724" w:rsidRDefault="00C4775C">
      <w:pPr>
        <w:pStyle w:val="Consid"/>
      </w:pPr>
      <w:r>
        <w:lastRenderedPageBreak/>
        <w:t>38)</w:t>
      </w:r>
      <w:r>
        <w:tab/>
        <w:t xml:space="preserve">Upplýsinga- og fjarskiptatæknigeirinn stækkar stöðugt og hlutdeild hans í losun gróðurhúsalofttegunda fer vaxandi. Á sama tíma hefur upplýsinga- og fjarskiptatæknin möguleika á að stuðla að mildun loftslagsbreytinga og að samdrætti í losun gróðurhúsalofttegunda í öðrum geirum, s.s. með því að sjá fyrir lausnum sem geta hjálpað til við ákvarðanatöku sem gerir það kleift að draga úr losun gróðurhúsalofttegunda. Þess vegna ætti að mæla fyrir um tæknileg matsviðmið fyrir gagnavinnslu- og </w:t>
      </w:r>
      <w:proofErr w:type="spellStart"/>
      <w:r>
        <w:t>hýsingarstarfsemi</w:t>
      </w:r>
      <w:proofErr w:type="spellEnd"/>
      <w:r>
        <w:t xml:space="preserve"> sem losar mikið magn gróðurhúsalofttegunda og gagnadrifnar lausnir sem stuðla að samdrætti í losun gróðurhúsalofttegunda í öðrum geirum. Tæknileg matsviðmið fyrir þessa starfsemi ættu að byggjast á bestu starfsvenjum og stöðlum í þeim geira. Það gæti þurft að endurskoða þau og uppfæra í framtíðinni til að taka tillit til getu til samdráttar í losun gróðurhúsalofttegunda sem liggur í auknum varanleika vélbúnaðarlausna í upplýsinga- og fjarskiptatækni og möguleikanum á að nota stafræna tækni með beinum hætti í hverjum geira til að auðvelda samdrátt í losun gróðurhúsalofttegunda. Þar að auki er verulegt magn af orku notað við dreifingu og rekstur á rafrænu fjarskiptaneti og þar er möguleiki á umtalsverðum samdrætti í losun gróðurhúsalofttegunda. Þess vegna gæti verið nauðsynlegt að meta þessa starfsemi og fastsetja viðeigandi tæknileg matsviðmið, eftir því sem við á.</w:t>
      </w:r>
    </w:p>
    <w:p w14:paraId="1795888F" w14:textId="77777777" w:rsidR="007E0724" w:rsidRDefault="00C4775C">
      <w:pPr>
        <w:pStyle w:val="Consid"/>
      </w:pPr>
      <w:r>
        <w:t>39)</w:t>
      </w:r>
      <w:r>
        <w:tab/>
        <w:t xml:space="preserve">Upplýsinga- og fjarskiptatæknilausnir sem eru óaðskiljanlegur hluti af þessari atvinnustarfsemi, þar sem fastsetja ætti tæknileg matsviðmið fyrir verulegt framlag til </w:t>
      </w:r>
      <w:proofErr w:type="spellStart"/>
      <w:r>
        <w:t>mildunar</w:t>
      </w:r>
      <w:proofErr w:type="spellEnd"/>
      <w:r>
        <w:t xml:space="preserve"> loftslagsbreytinga með tilliti til þeirra eigin árangurs, geta enn fremur einnig verið sérstaklega mikilvægar til aðstoðar fyrir þessa mismunandi starfsemi við að uppfylla staðla og viðmiðunarmörk sem eru fastsett samkvæmt þessum viðmiðunum.</w:t>
      </w:r>
    </w:p>
    <w:p w14:paraId="5EA48B12" w14:textId="77777777" w:rsidR="007E0724" w:rsidRDefault="00C4775C">
      <w:pPr>
        <w:pStyle w:val="Consid"/>
      </w:pPr>
      <w:r>
        <w:t>40)</w:t>
      </w:r>
      <w:r>
        <w:tab/>
        <w:t xml:space="preserve">Rannsóknir, þróun og nýsköpun geta gert öðrum geirum kleift að uppfylla viðkomandi markmið sín um mildun loftslagsbreytinga. Í tæknilegu matsviðmiðunum fyrir rannsóknir, þróun og nýsköpun ætti þess vegna að leggja áherslu á möguleikann sem felst í lausnum, úrvinnslu, tækniþekkingu og öðrum vörum til að draga úr losun gróðurhúsalofttegunda. Rannsóknir sem miðast við starfsemi sem gerir annarri starfsemi kleift að stuðla að umhverfismarkmiðum, eins og um getur í </w:t>
      </w:r>
      <w:proofErr w:type="spellStart"/>
      <w:r>
        <w:t>i-lið</w:t>
      </w:r>
      <w:proofErr w:type="spellEnd"/>
      <w:r>
        <w:t xml:space="preserve"> 1. mgr. 10. gr. reglugerðar (ESB) 2020/852, geta einnig gegnt mikilvægu hlutverki við að gera þessari atvinnustarfsemi og markstarfsemi hennar kleift að draga verulega úr losun gróðurhúsalofttegunda eða til að bæta tækni þeirra og efnahagslega hagkvæmni og að endingu auðvelda uppbyggingu þeirra. Rannsóknir geta einnig gegnt mikilvægu hlutverki við frekari </w:t>
      </w:r>
      <w:proofErr w:type="spellStart"/>
      <w:r>
        <w:t>afkolun</w:t>
      </w:r>
      <w:proofErr w:type="spellEnd"/>
      <w:r>
        <w:t xml:space="preserve"> umbreytingarstarfsemi, eins og um getur í 2. mgr. 10. gr. reglugerðar (ESB) 2020/852, með því að gera það kleift að þessi starfsemi sé stunduð þannig að losað magn gróðurhúsalofttegunda sé verulega mikið minna í samanburði við viðmiðunarmörkin sem tilgreind eru í tæknilegum matsviðmiðum fyrir verulegt framlag til </w:t>
      </w:r>
      <w:proofErr w:type="spellStart"/>
      <w:r>
        <w:t>mildunar</w:t>
      </w:r>
      <w:proofErr w:type="spellEnd"/>
      <w:r>
        <w:t xml:space="preserve"> loftslagsbreytinga fyrir þessa starfsemi.</w:t>
      </w:r>
    </w:p>
    <w:p w14:paraId="6978296C" w14:textId="77777777" w:rsidR="007E0724" w:rsidRDefault="00C4775C">
      <w:pPr>
        <w:pStyle w:val="Consid"/>
      </w:pPr>
      <w:r>
        <w:t>41)</w:t>
      </w:r>
      <w:r>
        <w:tab/>
        <w:t xml:space="preserve">Rannsóknir, þróun og nýsköpun sem eru óaðskiljanlegur hluti af þessari atvinnustarfsemi, þar sem fastsetja ætti tæknileg matsviðmið fyrir verulegt framlag til </w:t>
      </w:r>
      <w:proofErr w:type="spellStart"/>
      <w:r>
        <w:t>mildunar</w:t>
      </w:r>
      <w:proofErr w:type="spellEnd"/>
      <w:r>
        <w:t xml:space="preserve"> loftslagsbreytinga með tilliti til þeirra eigin árangurs, geta enn fremur einnig verið sérstaklega mikilvægar til aðstoðar fyrir þessa mismunandi starfsemi við að uppfylla staðla og viðmiðunarmörk sem eru fastsett samkvæmt þessum viðmiðunum.</w:t>
      </w:r>
    </w:p>
    <w:p w14:paraId="41DA060D" w14:textId="77777777" w:rsidR="007E0724" w:rsidRDefault="00C4775C">
      <w:pPr>
        <w:pStyle w:val="Consid"/>
      </w:pPr>
      <w:r>
        <w:t>42)</w:t>
      </w:r>
      <w:r>
        <w:tab/>
        <w:t>Tæknileg matsviðmið til að ákvarða við hvaða skilyrði atvinnustarfsemi telst stuðla verulega að aðlögun að loftslagsbreytingum ættu að endurspegla þá staðreynd að loftslagsbreytingar eru líklegar til að hafa áhrif á allar greinar atvinnulífsins. Af því leiðir að laga þarf alla geira að neikvæðum áhrifum núverandi loftslags og loftslags sem vænst er í framtíðinni. Þó þarf að tryggja að atvinnustarfsemi sem stuðlar verulega að aðlögun að loftslagsbreytingum valdi ekki einnig umtalsverðu tjóni á einhverjum öðrum almennum umhverfismarkmiðum sem mælt er fyrir um í 9. gr. reglugerðar (ESB) 2020/852. Því er rétt að fastsetja fyrst tæknileg matsviðmið fyrir aðlögun að loftslagsbreytingum fyrir þessa geira og atvinnustarfsemi sem falla undir tæknilegu matsviðmiðin fyrir mildun loftslagsbreytinga, þ.m.t. viðkomandi viðmið fyrir „ekki valda umtalsverðu tjóni“ fyrir almennu umhverfismarkmiðin. Lýsingar á atvinnustarfsemi sem telst stuðla verulega að aðlögun að loftslagsbreytingum ættu að svara til umfangsins sem unnt er að ákvarða viðeigandi viðmið fyrir „ekki valda umtalsverðu tjóni“. Í ljósi þarfarinnar fyrir að auka heildarviðnám hagkerfisins gegn loftslagsbreytingum ætti að þróa tæknileg matsviðmið, þ.m.t. viðkomandi viðmið fyrir „ekki valda umtalsverðu tjóni“, í framtíðinni fyrir fleiri tegundir atvinnustarfsemi.</w:t>
      </w:r>
    </w:p>
    <w:p w14:paraId="6426F730" w14:textId="77777777" w:rsidR="007E0724" w:rsidRDefault="00C4775C">
      <w:pPr>
        <w:pStyle w:val="Consid"/>
        <w:spacing w:after="0"/>
      </w:pPr>
      <w:r>
        <w:t>43)</w:t>
      </w:r>
      <w:r>
        <w:tab/>
        <w:t>Tæknileg matsviðmið ættu að tryggja að sem flest möguleg svið mikilvægra grunnvirkja, þ.m.t. einkum grunnvirki til orkuflutnings eða -geymslu, eða samgöngugrunnvirki, séu löguð að neikvæðum áhrifum núverandi loftslags og loftslags sem vænst er í framtíðinni og koma þannig í veg fyrir alvarleg neikvæð áhrif á heilbrigði, öryggi eða efnahagslega velferð borgaranna eða skilvirkt starf ríkisstjórna í aðildarríkjum. Þó gæti reynst nauðsynlegt að endurskoða þessi tæknilegu matsviðmið til að taka betur tillit til séreinkenna grunnvirkja til varnar flóðum.</w:t>
      </w:r>
      <w:r>
        <w:br w:type="page"/>
      </w:r>
    </w:p>
    <w:p w14:paraId="45E5DDCE" w14:textId="77777777" w:rsidR="007E0724" w:rsidRDefault="00C4775C">
      <w:pPr>
        <w:pStyle w:val="Consid"/>
      </w:pPr>
      <w:r>
        <w:lastRenderedPageBreak/>
        <w:t>44)</w:t>
      </w:r>
      <w:r>
        <w:tab/>
        <w:t>Enn fremur ætti að fastsetja tæknileg matsviðmið fyrir starfsemi á sviði menntunar, heilbrigðis manna, samfélagsstarfs, menningar, íþrótta og tómstunda. Þessi starfsemi veitir mikilvæga þjónustu og lausnir til að auka sameiginlegt viðnám alls samfélagsins og þær geta aukið loftslagslæsi og skilning.</w:t>
      </w:r>
    </w:p>
    <w:p w14:paraId="1E7AFADC" w14:textId="77777777" w:rsidR="007E0724" w:rsidRDefault="00C4775C">
      <w:pPr>
        <w:pStyle w:val="Consid"/>
      </w:pPr>
      <w:r>
        <w:t>45)</w:t>
      </w:r>
      <w:r>
        <w:tab/>
        <w:t>Tæknileg matsviðmið til að ákvarða hvort atvinnustarfsemi telst stuðla verulega að aðlögun að loftslagsbreytingum með því að fela í sér aðlögunarlausnir, í samræmi við a-lið 1. mgr. 11. gr. reglugerðar (ESB) 2020/852, ættu að miða að því að auka viðnám atvinnustarfseminnar gegn greindri loftlagsáhættu sem hefur mikla þýðingu fyrir þessa starfsemi. Í tæknilegu matsviðmiðunum ætti að vera krafa um að hlutaðeigandi rekstraraðilar framkvæmi áhættumat vegna loftslagsbreytinga og komi aðlögunarlausnum í framkvæmd sem draga úr helstu áhættunum sem greindust í því mati. Í tæknilegu matsviðmiðunum ætti einnig að taka tillit til samhengis- og staðsértæks eðlis aðlögunarþarfa og -lausna. Tæknilegu matsviðmiðin ættu enn fremur að tryggja heilleika umhverfis- og loftslagsmarkmiðanna og þau ættu ekki að vera óhóflega ströng að því er varðar tegund lausna sem komið er í framkvæmd. Í þessum tæknilegu matsviðmiðum ætti að taka tillit til þarfarinnar fyrir að hindra loftslags- og veðurfarstengdar hamfarir og að stjórna áhættu vegna slíkra hamfara og tryggja viðnám mikilvægra grunnvirkja í samræmi við viðkomandi lög Sambandsins sem tengjast því að meta áhættuna og milda áhrifin af slíkum hamförum.</w:t>
      </w:r>
    </w:p>
    <w:p w14:paraId="6EF68749" w14:textId="77777777" w:rsidR="007E0724" w:rsidRDefault="00C4775C">
      <w:pPr>
        <w:pStyle w:val="Consid"/>
      </w:pPr>
      <w:r>
        <w:t>46)</w:t>
      </w:r>
      <w:r>
        <w:tab/>
        <w:t xml:space="preserve">Fastsetja ætti tæknileg matsviðmið til að ákvarða hvort atvinnustarfsemi telst stuðla verulega að aðlögun að loftslagsbreytingum með því að láta í té aðlögunarlausnir, í samræmi við </w:t>
      </w:r>
      <w:proofErr w:type="spellStart"/>
      <w:r>
        <w:t>b-lið</w:t>
      </w:r>
      <w:proofErr w:type="spellEnd"/>
      <w:r>
        <w:t xml:space="preserve"> 1. mgr. 11. gr. reglugerðar (ESB) 2020/852, fyrir verkfræðistarfsemi og tengda tæknilega ráðgjöf sem miðast við aðlögun að loftslagsbreytingum, rannsóknir, þróun og nýsköpun, skaðatryggingu sem samanstendur af tryggingu vegna loftslagstengds </w:t>
      </w:r>
      <w:proofErr w:type="spellStart"/>
      <w:r>
        <w:t>háska</w:t>
      </w:r>
      <w:proofErr w:type="spellEnd"/>
      <w:r>
        <w:t xml:space="preserve">, og </w:t>
      </w:r>
      <w:proofErr w:type="spellStart"/>
      <w:r>
        <w:t>endurtryggingu</w:t>
      </w:r>
      <w:proofErr w:type="spellEnd"/>
      <w:r>
        <w:t>. Þessi starfsemi hefur möguleika á að veita aðlögunarlausnir sem stuðla verulega að því að koma í veg fyrir eða draga úr áhættunni af neikvæðum áhrifum núverandi loftslags og loftslags sem vænst er í framtíðinni á fólk, náttúru eða eignir, án þess að auka áhættu á neikvæðum áhrifum.</w:t>
      </w:r>
    </w:p>
    <w:p w14:paraId="02B0F2A9" w14:textId="77777777" w:rsidR="007E0724" w:rsidRDefault="00C4775C">
      <w:pPr>
        <w:pStyle w:val="Consid"/>
      </w:pPr>
      <w:r>
        <w:t>47)</w:t>
      </w:r>
      <w:r>
        <w:tab/>
        <w:t xml:space="preserve">Í tæknilegum matsviðmiðum ætti að taka til greina að tiltekin atvinnustarfsemi getur stuðlað verulega að aðlögun að loftslagsbreytingum með því að láta í té aðlögunarlausnir, í samræmi við </w:t>
      </w:r>
      <w:proofErr w:type="spellStart"/>
      <w:r>
        <w:t>b-lið</w:t>
      </w:r>
      <w:proofErr w:type="spellEnd"/>
      <w:r>
        <w:t xml:space="preserve"> 1. mgr. 11. gr. reglugerðar (ESB) 2020/852, eða með því að fela í sér aðlögunarlausnir í samræmi við a-lið 1. mgr. 11. gr. þeirrar reglugerðar. Í tæknilegum matsviðmiðum fyrir starfsemi tengda skógrækt, endurheimt votlendis, þáttagerð og útsendingar, sem og fyrir starfsemi á sviði menntunar, skapandi starfsemi, menningar og íþrótta, ætti að taka þann möguleika til greina. Samtímis því að það ætti að laga þessa starfsemi að neikvæðum áhrifum núverandi loftslags og loftslags sem vænst er í framtíðinni hefur hún einnig möguleika á að veita aðlögunarlausnir sem stuðla verulega að því að koma í veg fyrir eða draga úr áhættunni af þessum neikvæðu áhrifum á fólk, náttúru eða eignir.</w:t>
      </w:r>
    </w:p>
    <w:p w14:paraId="5959E9AD" w14:textId="77777777" w:rsidR="007E0724" w:rsidRDefault="00C4775C">
      <w:pPr>
        <w:pStyle w:val="Consid"/>
        <w:spacing w:after="0"/>
      </w:pPr>
      <w:r>
        <w:t>48)</w:t>
      </w:r>
      <w:r>
        <w:tab/>
        <w:t xml:space="preserve">Tæknileg matsviðmið til að ákvarða hvort atvinnustarfsemi stuðlar verulega að aðlögun að loftslagsbreytingum ættu að tryggja að atvinnustarfsemin verði gerð loftslagsbreytingaþolin eða láti í té lausnir fyrir aðra starfsemi til að hún verði loftslagsbreytingaþolin. Ef atvinnustarfsemi er gerð loftslagsbreytingaþolin er innleiðing efnislegra og óefnislegra lausna, sem draga verulega úr helstu efnislegu loftslagsáhættunum sem hafa mikla þýðingu fyrir þá atvinnustarfsemi, verulegt framlag þeirrar starfsemi í áttina að aðlögun að loftslagsbreytingum. Því er rétt að líta einungis á fjárfestingarútgjöld, sem stofnað hefur verið til vegna allra skrefa sem eru nauðsynleg til að gera starfsemina loftslagsbreytingaþolna, sem það hlutfall fjármagns- og rekstrargjalda sem varðar eignir eða ferla sem tengjast atvinnustarfsemi sem telst vera umhverfislega sjálfbær og velta frá þeirri atvinnustarfsemi sem gerð hefur verið þolin ætti ekki að teljast stafa frá vörum eða þjónustu sem tengist atvinnustarfsemi sem telst vera umhverfislega sjálfbær. Þegar kjarnastarfsemi atvinnustarfsemi sem gerir aðlögun mögulega í samræmi við </w:t>
      </w:r>
      <w:proofErr w:type="spellStart"/>
      <w:r>
        <w:t>b-lið</w:t>
      </w:r>
      <w:proofErr w:type="spellEnd"/>
      <w:r>
        <w:t xml:space="preserve"> 1. mgr. 11. gr. reglugerðar (ESB) 2020/852 felst í að útvega tækni, vörur, þjónustu, upplýsingar eða aðferðir með það að markmiði að auka viðnámið fyrir annað fólk, náttúru, menningararfleifð, eignir eða aðra atvinnustarfsemi, til viðbótar við fjárfestingarútgjöld, gegn efnislegri loftslagsáhættu ætti þó að líta svo á að velta frá vörum eða þjónustu sem tengist þessari atvinnustarfsemi sé það hlutfall veltu frá vörum eða þjónustu sem tengist atvinnustarfsemi sem telst vera umhverfislega sjálfbær.</w:t>
      </w:r>
      <w:r>
        <w:br w:type="page"/>
      </w:r>
    </w:p>
    <w:p w14:paraId="69667919" w14:textId="77777777" w:rsidR="007E0724" w:rsidRDefault="00C4775C">
      <w:pPr>
        <w:pStyle w:val="Consid"/>
      </w:pPr>
      <w:r>
        <w:lastRenderedPageBreak/>
        <w:t>49)</w:t>
      </w:r>
      <w:r>
        <w:tab/>
        <w:t>Tæknileg matsviðmið til að ákvarða hvort atvinnustarfsemi sem stuðlar verulega að mildun loftslagsbreytinga eða aðlögun að loftslagsbreytingum veldur umtalsverðu tjóni á einhverjum öðrum almennum umhverfismarkmiðum ættu að miða að því að tryggja að framlag til eins af umhverfismarkmiðunum sé ekki á kostað annarra umhverfismarkmiða. Viðmiðið „ekki valda umtalsverðu tjóni“ gegnir þess vegna lykilhlutverki við að tryggja umhverfisheilleika flokkunar á umhverfislega sjálfbærri starfsemi. Tilgreina ætti viðmiðið „ekki valda umtalsverðu tjóni“ fyrir tiltekið almennt umhverfismarkmið fyrir þá starfsemi sem getur valdið áhættu á að valda umtalsverðu tjóni fyrir það markmið. Í viðmiðinu „ekki valda umtalsverðu tjóni“ ætti að taka tillit til og byggja á viðkomandi kröfum í gildandi lögum Sambandsins.</w:t>
      </w:r>
    </w:p>
    <w:p w14:paraId="1B40B077" w14:textId="77777777" w:rsidR="007E0724" w:rsidRDefault="00C4775C">
      <w:pPr>
        <w:pStyle w:val="Consid"/>
      </w:pPr>
      <w:r>
        <w:t>50)</w:t>
      </w:r>
      <w:r>
        <w:tab/>
        <w:t>Fastsetja ætti tæknileg matsviðmið til að tryggja að starfsemi sem stuðlar verulega að aðlögun að loftslagsbreytingum valdi ekki umtalsverðu tjóni fyrir mildun loftslagsbreytinga fyrir þá starfsemi sem felur í sér áhættu á að valda verulegri losun gróðurhúsalofttegunda samtímis því sem hún hefur möguleika til að stuðla verulega að aðlögun að loftslagsbreytingum.</w:t>
      </w:r>
    </w:p>
    <w:p w14:paraId="1BBE8CCA" w14:textId="77777777" w:rsidR="007E0724" w:rsidRDefault="00C4775C">
      <w:pPr>
        <w:pStyle w:val="Consid"/>
      </w:pPr>
      <w:r>
        <w:t>51)</w:t>
      </w:r>
      <w:r>
        <w:tab/>
        <w:t>Loftslagsbreytingar eru líklegar til að hafa áhrif á allar greinar atvinnulífsins. Tæknilegu matsviðmiðin til að tryggja að atvinnustarfsemi sem stuðlar verulega að mildun loftslagsbreytinga valdi ekki umtalsverðu tjóni fyrir aðlögun að loftslagsbreytingum ættu því að gilda um alla þessa atvinnustarfsemi. Þessi viðmið ættu að tryggja að núverandi áhætta og áhætta í framtíðinni sem hefur mikla þýðingu fyrir starfsemina sé tilgreind og aðlögunarlausnum komið í framkvæmd til að lágmarka eða forðast mögulegt tap eða áhrif á rekstrarsamfellu.</w:t>
      </w:r>
    </w:p>
    <w:p w14:paraId="782BE6C3" w14:textId="77777777" w:rsidR="007E0724" w:rsidRDefault="00C4775C">
      <w:pPr>
        <w:pStyle w:val="Consid"/>
      </w:pPr>
      <w:r>
        <w:t>52)</w:t>
      </w:r>
      <w:r>
        <w:tab/>
        <w:t xml:space="preserve">Tilgreina ætti tæknileg matsviðmið fyrir að valda ekki umtalsverðu tjóni fyrir sjálfbæra notkun og verndun vatns- og sjávarauðlinda fyrir alla starfsemi sem getur skapað áhættu fyrir slíka sjálfbæra nýtingu og verndun. Þessi viðmið ættu að miða að því forðast að starfsemi sé skaðleg fyrir góða stöðu eða gott </w:t>
      </w:r>
      <w:proofErr w:type="spellStart"/>
      <w:r>
        <w:t>vistmegin</w:t>
      </w:r>
      <w:proofErr w:type="spellEnd"/>
      <w:r>
        <w:t xml:space="preserve"> </w:t>
      </w:r>
      <w:proofErr w:type="spellStart"/>
      <w:r>
        <w:t>vatnshlota</w:t>
      </w:r>
      <w:proofErr w:type="spellEnd"/>
      <w:r>
        <w:t xml:space="preserve">, þ.m.t. yfirborðsvatn og grunnvatn, eða fyrir góða umhverfislega stöðu hafsvæða með því að gera þá kröfu að áhætta á hnignun umhverfisins sé tilgreind og tekið á henni í samræmi við stjórnunaráætlun fyrir notkun og verndun </w:t>
      </w:r>
      <w:proofErr w:type="spellStart"/>
      <w:r>
        <w:t>vatnshlota</w:t>
      </w:r>
      <w:proofErr w:type="spellEnd"/>
      <w:r>
        <w:t>.</w:t>
      </w:r>
    </w:p>
    <w:p w14:paraId="4740CEAF" w14:textId="77777777" w:rsidR="007E0724" w:rsidRDefault="00C4775C">
      <w:pPr>
        <w:pStyle w:val="Consid"/>
      </w:pPr>
      <w:r>
        <w:t>53)</w:t>
      </w:r>
      <w:r>
        <w:tab/>
        <w:t>Tæknilegu matsviðmiðin fyrir að valda ekki umtalsverðu tjóni fyrir umskipti yfir í hringrásarhagkerfi ættu að vera sniðin að sértækum geirum til að tryggja að atvinnustarfsemi leiði ekki til óskilvirkrar notkunar á tilföngum eða sjálfheldu í línulegum framleiðslulíkönum, að komist sé hjá úrgangi eða dregið úr honum og, ef það er ekki unnt, honum stjórnað í samræmi við úrgangsmetakerfið. Þessi viðmið ættu einnig að tryggja að atvinnustarfsemi grafi ekki undan markmiðinu um umskipti yfir í hringrásarhagkerfi.</w:t>
      </w:r>
    </w:p>
    <w:p w14:paraId="1C45F58E" w14:textId="77777777" w:rsidR="007E0724" w:rsidRDefault="00C4775C">
      <w:pPr>
        <w:pStyle w:val="Consid"/>
        <w:rPr>
          <w:szCs w:val="18"/>
        </w:rPr>
      </w:pPr>
      <w:r>
        <w:t>54)</w:t>
      </w:r>
      <w:r>
        <w:tab/>
        <w:t>Tæknileg matsviðmið fyrir að valda ekki umtalsverðu tjóni fyrir mengunarvarnir og eftirlit með mengun ættu að endurspegla séreinkenni geirans við að taka á viðkomandi upptökum og tegundum mengunar út í andrúmsloft, vatn eða land með vísun til, ef við á, niðurstaðna um bestu aðgengilegu tækni sem eru fastsettar samkvæmt tilskipun Evrópuþingsins og ráðsins 2010/75/ESB (</w:t>
      </w:r>
      <w:bookmarkStart w:id="13" w:name="NOTE_14"/>
      <w:r>
        <w:rPr>
          <w:rStyle w:val="Tilvsunneanmlsgrein"/>
          <w:sz w:val="18"/>
          <w:szCs w:val="18"/>
        </w:rPr>
        <w:footnoteReference w:id="15"/>
      </w:r>
      <w:bookmarkEnd w:id="13"/>
      <w:r>
        <w:t>).</w:t>
      </w:r>
    </w:p>
    <w:p w14:paraId="42EA043B" w14:textId="77777777" w:rsidR="007E0724" w:rsidRDefault="00C4775C">
      <w:pPr>
        <w:pStyle w:val="Consid"/>
      </w:pPr>
      <w:r>
        <w:t>55)</w:t>
      </w:r>
      <w:r>
        <w:tab/>
        <w:t xml:space="preserve">Tilgreina ætti viðmið fyrir „ekki valda umtalsverðu tjóni“ fyrir vernd og endurheimt líffræðilegrar fjölbreytni og vistkerfa fyrir alla starfsemi sem getur skapað áhættu fyrir stöðu eða ástand búsvæða, tegundir eða vistkerfi og þess krafist, ef við á, að gerð séu möt á umhverfisáhrifum eða viðeigandi möt og að niðurstöðunum úr slíkum mötum sé komið í framkvæmd. Þessar viðmiðanir ætti að tryggja að jafnvel þótt ekki sé gerð krafa um að framkvæmt sé mat á umhverfisáhrifum eða annað viðeigandi mat leiði starfsemi ekki til röskunar, </w:t>
      </w:r>
      <w:proofErr w:type="spellStart"/>
      <w:r>
        <w:t>föngunar</w:t>
      </w:r>
      <w:proofErr w:type="spellEnd"/>
      <w:r>
        <w:t xml:space="preserve"> eða aflífunar á lagalega vernduðum tegundum eða hnignunar á lagalega vernduðum búsvæðum.</w:t>
      </w:r>
    </w:p>
    <w:p w14:paraId="26B11564" w14:textId="77777777" w:rsidR="007E0724" w:rsidRDefault="00C4775C">
      <w:pPr>
        <w:pStyle w:val="Consid"/>
      </w:pPr>
      <w:r>
        <w:t>56)</w:t>
      </w:r>
      <w:r>
        <w:tab/>
        <w:t xml:space="preserve">Tæknileg matsviðmið ættu ekki að hafa áhrif á kröfuna um að fara að ákvæðum sem tengjast umhverfi, heilbrigði, öryggi og félagslegri sjálfbærni sem mælt er fyrir um í lögum Sambandsins og landslögum og um að samþykkja viðeigandi </w:t>
      </w:r>
      <w:proofErr w:type="spellStart"/>
      <w:r>
        <w:t>mildunarráðstafanir</w:t>
      </w:r>
      <w:proofErr w:type="spellEnd"/>
      <w:r>
        <w:t xml:space="preserve"> að því er þetta varðar, eftir atvikum.</w:t>
      </w:r>
    </w:p>
    <w:p w14:paraId="728E5B84" w14:textId="77777777" w:rsidR="007E0724" w:rsidRDefault="00C4775C">
      <w:pPr>
        <w:pStyle w:val="Consid"/>
        <w:spacing w:after="0"/>
      </w:pPr>
      <w:r>
        <w:t>57)</w:t>
      </w:r>
      <w:r>
        <w:tab/>
        <w:t>Ákvæðin í þessari reglugerð eru nátengd þar eð þau fjalla um viðmiðanir til að ákvarða hvort atvinnustarfsemi stuðlar verulega að mildun loftslagsbreytinga, eða aðlögun að loftslagsbreytingum, og hvort slík atvinnustarfsemi veldur umtalsverðu tjóni á einu eða fleiri öðrum almennum umhverfismarkmiðum sem mælt er fyrir um í 9. gr. reglugerðar (ESB) 2020/852. Til að tryggja samræmi milli þessara ákvæða, sem ættu að öðlast gildi á sama tíma, til að auðvelda hagsmunaaðilum að hafa heildaryfirsýn yfir lagarammann og til að auðvelda beitingu reglugerðar (ESB) 2020/852 er nauðsynlegt að safna þessum ákvæðum saman í eina reglugerð.</w:t>
      </w:r>
      <w:r>
        <w:br w:type="page"/>
      </w:r>
    </w:p>
    <w:p w14:paraId="5A59CE03" w14:textId="77777777" w:rsidR="007E0724" w:rsidRDefault="00C4775C">
      <w:pPr>
        <w:pStyle w:val="Consid"/>
      </w:pPr>
      <w:r>
        <w:lastRenderedPageBreak/>
        <w:t>58)</w:t>
      </w:r>
      <w:r>
        <w:tab/>
        <w:t>Til að tryggja að beiting reglugerðar (ESB) 2020/852 þróist í takt við þróun á sviði tækni, markaðs og stefnumála ætti að endurskoða þessa reglugerð reglulega og, eftir því sem við á, breyta henni að því er varðar starfsemi sem telst stuðla verulega að mildun loftslagsbreytinga eða aðlögun að loftslagsbreytingum og samsvarandi tæknileg matsviðmið.</w:t>
      </w:r>
    </w:p>
    <w:p w14:paraId="42413B0E" w14:textId="77777777" w:rsidR="007E0724" w:rsidRDefault="00C4775C">
      <w:pPr>
        <w:pStyle w:val="Consid"/>
      </w:pPr>
      <w:r>
        <w:t>59)</w:t>
      </w:r>
      <w:r>
        <w:tab/>
        <w:t>Í því skyni að fara að ákvæðum 6. mgr. 10. gr. og 6. mgr. 11. gr. reglugerðar (ESB) 2020/852 ætti þessi reglugerð að koma til framkvæmda frá og með 1. janúar 2022.</w:t>
      </w:r>
    </w:p>
    <w:p w14:paraId="5B836C7D" w14:textId="77777777" w:rsidR="007E0724" w:rsidRDefault="00C4775C">
      <w:pPr>
        <w:pStyle w:val="PreambleFinal"/>
        <w:spacing w:line="200" w:lineRule="exact"/>
      </w:pPr>
      <w:r>
        <w:t>SAMÞYKKT REGLUGERÐ ÞESSA:</w:t>
      </w:r>
    </w:p>
    <w:p w14:paraId="5BE5E088" w14:textId="77777777" w:rsidR="007E0724" w:rsidRDefault="00C4775C">
      <w:pPr>
        <w:pStyle w:val="TIART"/>
      </w:pPr>
      <w:r>
        <w:t>1. gr.</w:t>
      </w:r>
    </w:p>
    <w:p w14:paraId="1CE3BB8B" w14:textId="77777777" w:rsidR="007E0724" w:rsidRDefault="00C4775C">
      <w:pPr>
        <w:pStyle w:val="Alinea"/>
      </w:pPr>
      <w:r>
        <w:t>Tæknileg matsviðmið til að ákvarða við hvaða skilyrði atvinnustarfsemi telst stuðla verulega að mildun loftslagsbreytinga og til að ákvarða hvort þessi atvinnustarfsemi veldur umtalsverðu tjóni á einhverjum öðrum almennum umhverfismarkmiðum, sem mælt er fyrir um í 9. gr. reglugerðar (ESB) 2020/852, eru sett fram í I. viðauka við þessa reglugerð.</w:t>
      </w:r>
    </w:p>
    <w:p w14:paraId="679E79D1" w14:textId="77777777" w:rsidR="007E0724" w:rsidRDefault="00C4775C">
      <w:pPr>
        <w:pStyle w:val="TIART"/>
      </w:pPr>
      <w:r>
        <w:t>2. gr.</w:t>
      </w:r>
    </w:p>
    <w:p w14:paraId="45B43B37" w14:textId="77777777" w:rsidR="007E0724" w:rsidRDefault="00C4775C">
      <w:pPr>
        <w:pStyle w:val="Alinea"/>
      </w:pPr>
      <w:r>
        <w:t>Tæknileg matsviðmið til að ákvarða við hvaða skilyrði atvinnustarfsemi telst stuðla verulega að aðlögun að loftslagsbreytingum og til að ákvarða hvort þessi atvinnustarfsemi veldur umtalsverðu tjóni á einhverjum öðrum almennum umhverfismarkmiðum, sem mælt er fyrir um í 9. gr. reglugerðar (ESB) 2020/852, eru sett fram í II. viðauka við þessa reglugerð.</w:t>
      </w:r>
    </w:p>
    <w:p w14:paraId="2E508339" w14:textId="77777777" w:rsidR="007E0724" w:rsidRDefault="00C4775C">
      <w:pPr>
        <w:pStyle w:val="TIART"/>
      </w:pPr>
      <w:r>
        <w:t>3. gr.</w:t>
      </w:r>
    </w:p>
    <w:p w14:paraId="61C6FE2B" w14:textId="77777777" w:rsidR="007E0724" w:rsidRDefault="00C4775C">
      <w:pPr>
        <w:pStyle w:val="Alinea"/>
      </w:pPr>
      <w:r>
        <w:t xml:space="preserve">Reglugerð þessi öðlast gildi á tuttugasta degi eftir að hún birtist í </w:t>
      </w:r>
      <w:r>
        <w:rPr>
          <w:i/>
          <w:iCs/>
        </w:rPr>
        <w:t>Stjórnartíðindum Evrópusambandsins</w:t>
      </w:r>
      <w:r>
        <w:t>.</w:t>
      </w:r>
    </w:p>
    <w:p w14:paraId="2A119702" w14:textId="77777777" w:rsidR="007E0724" w:rsidRDefault="00C4775C">
      <w:pPr>
        <w:pStyle w:val="Alinea"/>
        <w:spacing w:after="600"/>
      </w:pPr>
      <w:r>
        <w:t>Hún kemur til framkvæmda frá og með 1. janúar 2022.</w:t>
      </w:r>
    </w:p>
    <w:p w14:paraId="7FDAE3F7" w14:textId="77777777" w:rsidR="007E0724" w:rsidRDefault="00C4775C">
      <w:pPr>
        <w:pStyle w:val="Final"/>
        <w:spacing w:after="300"/>
        <w:ind w:left="1020" w:right="0"/>
      </w:pPr>
      <w:r>
        <w:t>Reglugerð þessi er bindandi í heild sinni og gildir í öllum aðildarríkjunum án frekari lögfestingar.</w:t>
      </w:r>
    </w:p>
    <w:p w14:paraId="0B687C6F" w14:textId="77777777" w:rsidR="007E0724" w:rsidRDefault="00C4775C">
      <w:pPr>
        <w:pStyle w:val="Final"/>
        <w:spacing w:after="300"/>
        <w:ind w:left="1020" w:right="0"/>
      </w:pPr>
      <w:r>
        <w:t>Gjört í Brussel 4. júní 2021.</w:t>
      </w:r>
    </w:p>
    <w:tbl>
      <w:tblPr>
        <w:tblW w:w="7908" w:type="dxa"/>
        <w:tblInd w:w="670" w:type="dxa"/>
        <w:tblLook w:val="04A0" w:firstRow="1" w:lastRow="0" w:firstColumn="1" w:lastColumn="0" w:noHBand="0" w:noVBand="1"/>
      </w:tblPr>
      <w:tblGrid>
        <w:gridCol w:w="3954"/>
        <w:gridCol w:w="3954"/>
      </w:tblGrid>
      <w:tr w:rsidR="007E0724" w14:paraId="535FE979" w14:textId="77777777">
        <w:trPr>
          <w:trHeight w:val="440"/>
        </w:trPr>
        <w:tc>
          <w:tcPr>
            <w:tcW w:w="3954" w:type="dxa"/>
            <w:vMerge w:val="restart"/>
          </w:tcPr>
          <w:p w14:paraId="427A71FC" w14:textId="77777777" w:rsidR="007E0724" w:rsidRDefault="007E0724">
            <w:pPr>
              <w:pStyle w:val="Para"/>
            </w:pPr>
          </w:p>
        </w:tc>
        <w:tc>
          <w:tcPr>
            <w:tcW w:w="3954" w:type="dxa"/>
            <w:vMerge w:val="restart"/>
          </w:tcPr>
          <w:p w14:paraId="6E73AB35" w14:textId="77777777" w:rsidR="007E0724" w:rsidRDefault="00C4775C">
            <w:pPr>
              <w:pStyle w:val="Signatory"/>
              <w:spacing w:after="120"/>
            </w:pPr>
            <w:r>
              <w:t>Fyrir hönd framkvæmdastjórnarinnar,</w:t>
            </w:r>
          </w:p>
          <w:p w14:paraId="667C0836" w14:textId="77777777" w:rsidR="007E0724" w:rsidRDefault="00C4775C">
            <w:pPr>
              <w:pStyle w:val="Signatory"/>
              <w:spacing w:after="120"/>
            </w:pPr>
            <w:r>
              <w:t>Fyrir hönd forsetans,</w:t>
            </w:r>
          </w:p>
          <w:p w14:paraId="3F53F87A" w14:textId="77777777" w:rsidR="007E0724" w:rsidRDefault="00C4775C">
            <w:pPr>
              <w:pStyle w:val="SignatorySmall"/>
              <w:spacing w:after="120"/>
            </w:pPr>
            <w:proofErr w:type="spellStart"/>
            <w:r>
              <w:t>Mairead</w:t>
            </w:r>
            <w:proofErr w:type="spellEnd"/>
            <w:r>
              <w:t xml:space="preserve"> </w:t>
            </w:r>
            <w:proofErr w:type="spellStart"/>
            <w:r>
              <w:t>Mc</w:t>
            </w:r>
            <w:r>
              <w:rPr>
                <w:caps/>
              </w:rPr>
              <w:t>guinness</w:t>
            </w:r>
            <w:proofErr w:type="spellEnd"/>
          </w:p>
          <w:p w14:paraId="137039A3" w14:textId="77777777" w:rsidR="007E0724" w:rsidRDefault="00C4775C">
            <w:pPr>
              <w:pStyle w:val="Signatory"/>
            </w:pPr>
            <w:r>
              <w:rPr>
                <w:i/>
              </w:rPr>
              <w:t>framkvæmdastjóri.</w:t>
            </w:r>
          </w:p>
        </w:tc>
      </w:tr>
    </w:tbl>
    <w:p w14:paraId="218C96D5" w14:textId="77777777" w:rsidR="007E0724" w:rsidRDefault="00C4775C">
      <w:pPr>
        <w:pStyle w:val="line2"/>
        <w:pBdr>
          <w:bottom w:val="none" w:sz="0" w:space="0" w:color="auto"/>
        </w:pBdr>
        <w:tabs>
          <w:tab w:val="left" w:pos="538"/>
        </w:tabs>
        <w:spacing w:before="300" w:after="12000"/>
        <w:ind w:left="0" w:right="0"/>
        <w:rPr>
          <w:u w:val="single"/>
        </w:rPr>
      </w:pPr>
      <w:r>
        <w:rPr>
          <w:u w:val="single"/>
        </w:rPr>
        <w:tab/>
      </w:r>
    </w:p>
    <w:p w14:paraId="298334FC" w14:textId="77777777" w:rsidR="007E0724" w:rsidRDefault="007E0724">
      <w:pPr>
        <w:pStyle w:val="AnnexTI"/>
        <w:sectPr w:rsidR="007E0724">
          <w:headerReference w:type="default" r:id="rId8"/>
          <w:footnotePr>
            <w:pos w:val="beneathText"/>
          </w:footnotePr>
          <w:pgSz w:w="11906" w:h="16838" w:code="9"/>
          <w:pgMar w:top="1680" w:right="1333" w:bottom="840" w:left="1333" w:header="920" w:footer="280" w:gutter="0"/>
          <w:cols w:space="708"/>
          <w:vAlign w:val="both"/>
          <w:docGrid w:linePitch="360"/>
        </w:sectPr>
      </w:pPr>
    </w:p>
    <w:p w14:paraId="29946597" w14:textId="77777777" w:rsidR="007E0724" w:rsidRDefault="00C4775C">
      <w:pPr>
        <w:pStyle w:val="AnnexTI"/>
        <w:spacing w:after="360"/>
      </w:pPr>
      <w:r>
        <w:lastRenderedPageBreak/>
        <w:t>I. VIÐAUKI</w:t>
      </w:r>
    </w:p>
    <w:p w14:paraId="3D0A149E" w14:textId="77777777" w:rsidR="007E0724" w:rsidRDefault="00C4775C">
      <w:pPr>
        <w:pStyle w:val="AnnexSTI"/>
        <w:spacing w:after="200"/>
      </w:pPr>
      <w:r>
        <w:t>Tæknileg matsviðmið til að ákvarða við hvaða skilyrði atvinnustarfsemi telst stuðla verulega að mildun loftslagsbreytinga og til að ákvarða hvort þessi atvinnustarfsemi veldur umtalsverðu tjóni á einhverjum öðrum almennum umhverfismarkmiðum</w:t>
      </w:r>
    </w:p>
    <w:p w14:paraId="46C5C52B" w14:textId="77777777" w:rsidR="007E0724" w:rsidRDefault="00C4775C">
      <w:pPr>
        <w:pStyle w:val="AnnexNormal"/>
        <w:jc w:val="center"/>
      </w:pPr>
      <w:r>
        <w:t>EFNISYFIRLIT</w:t>
      </w:r>
    </w:p>
    <w:tbl>
      <w:tblPr>
        <w:tblW w:w="9240" w:type="dxa"/>
        <w:tblLayout w:type="fixed"/>
        <w:tblLook w:val="04A0" w:firstRow="1" w:lastRow="0" w:firstColumn="1" w:lastColumn="0" w:noHBand="0" w:noVBand="1"/>
      </w:tblPr>
      <w:tblGrid>
        <w:gridCol w:w="588"/>
        <w:gridCol w:w="444"/>
        <w:gridCol w:w="7830"/>
        <w:gridCol w:w="378"/>
      </w:tblGrid>
      <w:tr w:rsidR="007E0724" w14:paraId="21D0A19D" w14:textId="77777777">
        <w:trPr>
          <w:trHeight w:val="440"/>
        </w:trPr>
        <w:tc>
          <w:tcPr>
            <w:tcW w:w="588" w:type="dxa"/>
            <w:tcMar>
              <w:left w:w="0" w:type="dxa"/>
            </w:tcMar>
          </w:tcPr>
          <w:p w14:paraId="2C29DF4F" w14:textId="77777777" w:rsidR="007E0724" w:rsidRDefault="00C4775C">
            <w:pPr>
              <w:pStyle w:val="AnnexNormal"/>
              <w:spacing w:after="280"/>
            </w:pPr>
            <w:r>
              <w:t>1.</w:t>
            </w:r>
          </w:p>
        </w:tc>
        <w:tc>
          <w:tcPr>
            <w:tcW w:w="8274" w:type="dxa"/>
            <w:gridSpan w:val="2"/>
          </w:tcPr>
          <w:p w14:paraId="5D68A7A0" w14:textId="77777777" w:rsidR="007E0724" w:rsidRDefault="00C4775C">
            <w:pPr>
              <w:pStyle w:val="AnnexNormal"/>
              <w:tabs>
                <w:tab w:val="right" w:leader="dot" w:pos="8052"/>
              </w:tabs>
              <w:spacing w:after="280"/>
            </w:pPr>
            <w:r>
              <w:t>Skógrækt</w:t>
            </w:r>
            <w:r>
              <w:tab/>
            </w:r>
          </w:p>
        </w:tc>
        <w:tc>
          <w:tcPr>
            <w:tcW w:w="378" w:type="dxa"/>
            <w:tcMar>
              <w:right w:w="0" w:type="dxa"/>
            </w:tcMar>
          </w:tcPr>
          <w:p w14:paraId="12F37B5F" w14:textId="77777777" w:rsidR="007E0724" w:rsidRDefault="00C4775C">
            <w:pPr>
              <w:pStyle w:val="AnnexNormal"/>
              <w:spacing w:after="280"/>
            </w:pPr>
            <w:r>
              <w:t>16</w:t>
            </w:r>
          </w:p>
        </w:tc>
      </w:tr>
      <w:tr w:rsidR="007E0724" w14:paraId="29BB582A" w14:textId="77777777">
        <w:trPr>
          <w:trHeight w:val="440"/>
        </w:trPr>
        <w:tc>
          <w:tcPr>
            <w:tcW w:w="588" w:type="dxa"/>
            <w:tcMar>
              <w:left w:w="0" w:type="dxa"/>
            </w:tcMar>
          </w:tcPr>
          <w:p w14:paraId="5BD4BD0E" w14:textId="77777777" w:rsidR="007E0724" w:rsidRDefault="00C4775C">
            <w:pPr>
              <w:pStyle w:val="AnnexNormal"/>
              <w:spacing w:after="280"/>
            </w:pPr>
            <w:r>
              <w:t>1.1.</w:t>
            </w:r>
          </w:p>
        </w:tc>
        <w:tc>
          <w:tcPr>
            <w:tcW w:w="8274" w:type="dxa"/>
            <w:gridSpan w:val="2"/>
          </w:tcPr>
          <w:p w14:paraId="0B65A4B2" w14:textId="77777777" w:rsidR="007E0724" w:rsidRDefault="00C4775C">
            <w:pPr>
              <w:pStyle w:val="AnnexNormal"/>
              <w:tabs>
                <w:tab w:val="right" w:leader="dot" w:pos="8052"/>
              </w:tabs>
              <w:spacing w:after="280"/>
            </w:pPr>
            <w:r>
              <w:t>Nýskógrækt</w:t>
            </w:r>
            <w:r>
              <w:tab/>
            </w:r>
          </w:p>
        </w:tc>
        <w:tc>
          <w:tcPr>
            <w:tcW w:w="378" w:type="dxa"/>
            <w:tcMar>
              <w:right w:w="0" w:type="dxa"/>
            </w:tcMar>
          </w:tcPr>
          <w:p w14:paraId="556BF5A3" w14:textId="77777777" w:rsidR="007E0724" w:rsidRDefault="00C4775C">
            <w:pPr>
              <w:pStyle w:val="AnnexNormal"/>
              <w:spacing w:after="280"/>
            </w:pPr>
            <w:r>
              <w:t>16</w:t>
            </w:r>
          </w:p>
        </w:tc>
      </w:tr>
      <w:tr w:rsidR="007E0724" w14:paraId="760CA475" w14:textId="77777777">
        <w:trPr>
          <w:trHeight w:val="440"/>
        </w:trPr>
        <w:tc>
          <w:tcPr>
            <w:tcW w:w="588" w:type="dxa"/>
            <w:tcMar>
              <w:left w:w="0" w:type="dxa"/>
            </w:tcMar>
          </w:tcPr>
          <w:p w14:paraId="133216F5" w14:textId="77777777" w:rsidR="007E0724" w:rsidRDefault="00C4775C">
            <w:pPr>
              <w:pStyle w:val="AnnexNormal"/>
              <w:spacing w:after="280"/>
            </w:pPr>
            <w:r>
              <w:t>1.2.</w:t>
            </w:r>
          </w:p>
        </w:tc>
        <w:tc>
          <w:tcPr>
            <w:tcW w:w="8274" w:type="dxa"/>
            <w:gridSpan w:val="2"/>
          </w:tcPr>
          <w:p w14:paraId="03A7645D" w14:textId="77777777" w:rsidR="007E0724" w:rsidRDefault="00C4775C">
            <w:pPr>
              <w:pStyle w:val="AnnexNormal"/>
              <w:tabs>
                <w:tab w:val="right" w:leader="dot" w:pos="8052"/>
              </w:tabs>
              <w:spacing w:after="280"/>
            </w:pPr>
            <w:r>
              <w:t xml:space="preserve">Endurreisn og endurheimt skóga, þ.m.t. </w:t>
            </w:r>
            <w:proofErr w:type="spellStart"/>
            <w:r>
              <w:t>endurræktun</w:t>
            </w:r>
            <w:proofErr w:type="spellEnd"/>
            <w:r>
              <w:t xml:space="preserve"> skóga og endurnýjun náttúrulegra skóga eftir aftakaviðburð</w:t>
            </w:r>
            <w:r>
              <w:tab/>
            </w:r>
          </w:p>
        </w:tc>
        <w:tc>
          <w:tcPr>
            <w:tcW w:w="378" w:type="dxa"/>
            <w:tcMar>
              <w:right w:w="0" w:type="dxa"/>
            </w:tcMar>
          </w:tcPr>
          <w:p w14:paraId="47C1EF78" w14:textId="77777777" w:rsidR="007E0724" w:rsidRDefault="00C4775C">
            <w:pPr>
              <w:pStyle w:val="AnnexNormal"/>
              <w:spacing w:after="280"/>
            </w:pPr>
            <w:r>
              <w:t>21</w:t>
            </w:r>
          </w:p>
        </w:tc>
      </w:tr>
      <w:tr w:rsidR="007E0724" w14:paraId="54C84DA7" w14:textId="77777777">
        <w:trPr>
          <w:trHeight w:val="440"/>
        </w:trPr>
        <w:tc>
          <w:tcPr>
            <w:tcW w:w="588" w:type="dxa"/>
            <w:tcMar>
              <w:left w:w="0" w:type="dxa"/>
            </w:tcMar>
          </w:tcPr>
          <w:p w14:paraId="5E0E22D9" w14:textId="77777777" w:rsidR="007E0724" w:rsidRDefault="00C4775C">
            <w:pPr>
              <w:pStyle w:val="AnnexNormal"/>
              <w:spacing w:after="280"/>
            </w:pPr>
            <w:r>
              <w:t>1.3.</w:t>
            </w:r>
          </w:p>
        </w:tc>
        <w:tc>
          <w:tcPr>
            <w:tcW w:w="8274" w:type="dxa"/>
            <w:gridSpan w:val="2"/>
          </w:tcPr>
          <w:p w14:paraId="5F5BD2E5" w14:textId="77777777" w:rsidR="007E0724" w:rsidRDefault="00C4775C">
            <w:pPr>
              <w:pStyle w:val="AnnexNormal"/>
              <w:tabs>
                <w:tab w:val="right" w:leader="dot" w:pos="8052"/>
              </w:tabs>
              <w:spacing w:after="280"/>
            </w:pPr>
            <w:r>
              <w:t>Stjórnun skóga</w:t>
            </w:r>
            <w:r>
              <w:tab/>
            </w:r>
          </w:p>
        </w:tc>
        <w:tc>
          <w:tcPr>
            <w:tcW w:w="378" w:type="dxa"/>
            <w:tcMar>
              <w:right w:w="0" w:type="dxa"/>
            </w:tcMar>
          </w:tcPr>
          <w:p w14:paraId="60B682E4" w14:textId="77777777" w:rsidR="007E0724" w:rsidRDefault="00C4775C">
            <w:pPr>
              <w:pStyle w:val="AnnexNormal"/>
              <w:spacing w:after="280"/>
            </w:pPr>
            <w:r>
              <w:t>27</w:t>
            </w:r>
          </w:p>
        </w:tc>
      </w:tr>
      <w:tr w:rsidR="007E0724" w14:paraId="498E871A" w14:textId="77777777">
        <w:trPr>
          <w:trHeight w:val="440"/>
        </w:trPr>
        <w:tc>
          <w:tcPr>
            <w:tcW w:w="588" w:type="dxa"/>
            <w:tcMar>
              <w:left w:w="0" w:type="dxa"/>
            </w:tcMar>
          </w:tcPr>
          <w:p w14:paraId="2357DDEE" w14:textId="77777777" w:rsidR="007E0724" w:rsidRDefault="00C4775C">
            <w:pPr>
              <w:pStyle w:val="AnnexNormal"/>
              <w:spacing w:after="280"/>
            </w:pPr>
            <w:r>
              <w:t>1.4.</w:t>
            </w:r>
          </w:p>
        </w:tc>
        <w:tc>
          <w:tcPr>
            <w:tcW w:w="8274" w:type="dxa"/>
            <w:gridSpan w:val="2"/>
          </w:tcPr>
          <w:p w14:paraId="7CE9BA44" w14:textId="77777777" w:rsidR="007E0724" w:rsidRDefault="00C4775C">
            <w:pPr>
              <w:pStyle w:val="AnnexNormal"/>
              <w:tabs>
                <w:tab w:val="right" w:leader="dot" w:pos="8052"/>
              </w:tabs>
              <w:spacing w:after="280"/>
            </w:pPr>
            <w:r>
              <w:t>Varðveisluskógrækt</w:t>
            </w:r>
            <w:r>
              <w:tab/>
            </w:r>
          </w:p>
        </w:tc>
        <w:tc>
          <w:tcPr>
            <w:tcW w:w="378" w:type="dxa"/>
            <w:tcMar>
              <w:right w:w="0" w:type="dxa"/>
            </w:tcMar>
          </w:tcPr>
          <w:p w14:paraId="2D9BB57F" w14:textId="77777777" w:rsidR="007E0724" w:rsidRDefault="00C4775C">
            <w:pPr>
              <w:pStyle w:val="AnnexNormal"/>
              <w:spacing w:after="280"/>
            </w:pPr>
            <w:r>
              <w:t>32</w:t>
            </w:r>
          </w:p>
        </w:tc>
      </w:tr>
      <w:tr w:rsidR="007E0724" w14:paraId="3BE3DD67" w14:textId="77777777">
        <w:trPr>
          <w:trHeight w:val="440"/>
        </w:trPr>
        <w:tc>
          <w:tcPr>
            <w:tcW w:w="588" w:type="dxa"/>
            <w:tcMar>
              <w:left w:w="0" w:type="dxa"/>
            </w:tcMar>
          </w:tcPr>
          <w:p w14:paraId="7BE1D299" w14:textId="77777777" w:rsidR="007E0724" w:rsidRDefault="00C4775C">
            <w:pPr>
              <w:pStyle w:val="AnnexNormal"/>
              <w:spacing w:after="280"/>
            </w:pPr>
            <w:r>
              <w:t>2.</w:t>
            </w:r>
          </w:p>
        </w:tc>
        <w:tc>
          <w:tcPr>
            <w:tcW w:w="8274" w:type="dxa"/>
            <w:gridSpan w:val="2"/>
          </w:tcPr>
          <w:p w14:paraId="215935D7" w14:textId="77777777" w:rsidR="007E0724" w:rsidRDefault="00C4775C">
            <w:pPr>
              <w:pStyle w:val="AnnexNormal"/>
              <w:tabs>
                <w:tab w:val="right" w:leader="dot" w:pos="8052"/>
              </w:tabs>
              <w:spacing w:after="280"/>
            </w:pPr>
            <w:r>
              <w:t>Starfsemi á sviði umhverfisverndar og endurheimtar</w:t>
            </w:r>
            <w:r>
              <w:tab/>
            </w:r>
          </w:p>
        </w:tc>
        <w:tc>
          <w:tcPr>
            <w:tcW w:w="378" w:type="dxa"/>
            <w:tcMar>
              <w:right w:w="0" w:type="dxa"/>
            </w:tcMar>
          </w:tcPr>
          <w:p w14:paraId="76732F20" w14:textId="77777777" w:rsidR="007E0724" w:rsidRDefault="00C4775C">
            <w:pPr>
              <w:pStyle w:val="AnnexNormal"/>
              <w:spacing w:after="280"/>
            </w:pPr>
            <w:r>
              <w:t>37</w:t>
            </w:r>
          </w:p>
        </w:tc>
      </w:tr>
      <w:tr w:rsidR="007E0724" w14:paraId="5A9489C4" w14:textId="77777777">
        <w:trPr>
          <w:trHeight w:val="440"/>
        </w:trPr>
        <w:tc>
          <w:tcPr>
            <w:tcW w:w="588" w:type="dxa"/>
            <w:tcMar>
              <w:left w:w="0" w:type="dxa"/>
            </w:tcMar>
          </w:tcPr>
          <w:p w14:paraId="2FB19F25" w14:textId="77777777" w:rsidR="007E0724" w:rsidRDefault="00C4775C">
            <w:pPr>
              <w:pStyle w:val="AnnexNormal"/>
              <w:spacing w:after="280"/>
            </w:pPr>
            <w:r>
              <w:t>2.1.</w:t>
            </w:r>
          </w:p>
        </w:tc>
        <w:tc>
          <w:tcPr>
            <w:tcW w:w="8274" w:type="dxa"/>
            <w:gridSpan w:val="2"/>
          </w:tcPr>
          <w:p w14:paraId="4C332967" w14:textId="77777777" w:rsidR="007E0724" w:rsidRDefault="00C4775C">
            <w:pPr>
              <w:pStyle w:val="AnnexNormal"/>
              <w:tabs>
                <w:tab w:val="right" w:leader="dot" w:pos="8052"/>
              </w:tabs>
              <w:spacing w:after="280"/>
            </w:pPr>
            <w:r>
              <w:t>Endurheimt votlendis</w:t>
            </w:r>
            <w:r>
              <w:tab/>
            </w:r>
          </w:p>
        </w:tc>
        <w:tc>
          <w:tcPr>
            <w:tcW w:w="378" w:type="dxa"/>
            <w:tcMar>
              <w:right w:w="0" w:type="dxa"/>
            </w:tcMar>
          </w:tcPr>
          <w:p w14:paraId="61C841E3" w14:textId="77777777" w:rsidR="007E0724" w:rsidRDefault="00C4775C">
            <w:pPr>
              <w:pStyle w:val="AnnexNormal"/>
              <w:spacing w:after="280"/>
            </w:pPr>
            <w:r>
              <w:t>37</w:t>
            </w:r>
          </w:p>
        </w:tc>
      </w:tr>
      <w:tr w:rsidR="007E0724" w14:paraId="312BB998" w14:textId="77777777">
        <w:trPr>
          <w:trHeight w:val="440"/>
        </w:trPr>
        <w:tc>
          <w:tcPr>
            <w:tcW w:w="588" w:type="dxa"/>
            <w:tcMar>
              <w:left w:w="0" w:type="dxa"/>
            </w:tcMar>
          </w:tcPr>
          <w:p w14:paraId="0F75F80D" w14:textId="77777777" w:rsidR="007E0724" w:rsidRDefault="00C4775C">
            <w:pPr>
              <w:pStyle w:val="AnnexNormal"/>
              <w:spacing w:after="280"/>
            </w:pPr>
            <w:r>
              <w:t>3.</w:t>
            </w:r>
          </w:p>
        </w:tc>
        <w:tc>
          <w:tcPr>
            <w:tcW w:w="8274" w:type="dxa"/>
            <w:gridSpan w:val="2"/>
          </w:tcPr>
          <w:p w14:paraId="3BB9C804" w14:textId="77777777" w:rsidR="007E0724" w:rsidRDefault="00C4775C">
            <w:pPr>
              <w:pStyle w:val="AnnexNormal"/>
              <w:tabs>
                <w:tab w:val="right" w:leader="dot" w:pos="8052"/>
              </w:tabs>
              <w:spacing w:after="280"/>
            </w:pPr>
            <w:r>
              <w:t>Framleiðsla</w:t>
            </w:r>
            <w:r>
              <w:tab/>
            </w:r>
          </w:p>
        </w:tc>
        <w:tc>
          <w:tcPr>
            <w:tcW w:w="378" w:type="dxa"/>
            <w:tcMar>
              <w:right w:w="0" w:type="dxa"/>
            </w:tcMar>
          </w:tcPr>
          <w:p w14:paraId="613B0B41" w14:textId="77777777" w:rsidR="007E0724" w:rsidRDefault="00C4775C">
            <w:pPr>
              <w:pStyle w:val="AnnexNormal"/>
              <w:spacing w:after="280"/>
            </w:pPr>
            <w:r>
              <w:t>40</w:t>
            </w:r>
          </w:p>
        </w:tc>
      </w:tr>
      <w:tr w:rsidR="007E0724" w14:paraId="5BA31F33" w14:textId="77777777">
        <w:trPr>
          <w:trHeight w:val="440"/>
        </w:trPr>
        <w:tc>
          <w:tcPr>
            <w:tcW w:w="588" w:type="dxa"/>
            <w:tcMar>
              <w:left w:w="0" w:type="dxa"/>
            </w:tcMar>
          </w:tcPr>
          <w:p w14:paraId="757BD528" w14:textId="77777777" w:rsidR="007E0724" w:rsidRDefault="00C4775C">
            <w:pPr>
              <w:pStyle w:val="AnnexNormal"/>
              <w:spacing w:after="280"/>
            </w:pPr>
            <w:r>
              <w:t>3.1.</w:t>
            </w:r>
          </w:p>
        </w:tc>
        <w:tc>
          <w:tcPr>
            <w:tcW w:w="8274" w:type="dxa"/>
            <w:gridSpan w:val="2"/>
          </w:tcPr>
          <w:p w14:paraId="2AAD50AD" w14:textId="77777777" w:rsidR="007E0724" w:rsidRDefault="00C4775C">
            <w:pPr>
              <w:pStyle w:val="AnnexNormal"/>
              <w:tabs>
                <w:tab w:val="right" w:leader="dot" w:pos="8052"/>
              </w:tabs>
              <w:spacing w:after="280"/>
            </w:pPr>
            <w:r>
              <w:t>Framleiðsla á tækni á sviði endurnýjanlegrar orku</w:t>
            </w:r>
            <w:r>
              <w:tab/>
            </w:r>
          </w:p>
        </w:tc>
        <w:tc>
          <w:tcPr>
            <w:tcW w:w="378" w:type="dxa"/>
            <w:tcMar>
              <w:right w:w="0" w:type="dxa"/>
            </w:tcMar>
          </w:tcPr>
          <w:p w14:paraId="55FCBB1D" w14:textId="77777777" w:rsidR="007E0724" w:rsidRDefault="00C4775C">
            <w:pPr>
              <w:pStyle w:val="AnnexNormal"/>
              <w:spacing w:after="280"/>
            </w:pPr>
            <w:r>
              <w:t>40</w:t>
            </w:r>
          </w:p>
        </w:tc>
      </w:tr>
      <w:tr w:rsidR="007E0724" w14:paraId="2EB7C860" w14:textId="77777777">
        <w:trPr>
          <w:trHeight w:val="440"/>
        </w:trPr>
        <w:tc>
          <w:tcPr>
            <w:tcW w:w="588" w:type="dxa"/>
            <w:tcMar>
              <w:left w:w="0" w:type="dxa"/>
            </w:tcMar>
          </w:tcPr>
          <w:p w14:paraId="1BF0D54D" w14:textId="77777777" w:rsidR="007E0724" w:rsidRDefault="00C4775C">
            <w:pPr>
              <w:pStyle w:val="AnnexNormal"/>
              <w:spacing w:after="280"/>
            </w:pPr>
            <w:r>
              <w:t>3.2.</w:t>
            </w:r>
          </w:p>
        </w:tc>
        <w:tc>
          <w:tcPr>
            <w:tcW w:w="8274" w:type="dxa"/>
            <w:gridSpan w:val="2"/>
          </w:tcPr>
          <w:p w14:paraId="0133A26C" w14:textId="77777777" w:rsidR="007E0724" w:rsidRDefault="00C4775C">
            <w:pPr>
              <w:pStyle w:val="AnnexNormal"/>
              <w:tabs>
                <w:tab w:val="right" w:leader="dot" w:pos="8052"/>
              </w:tabs>
              <w:spacing w:after="280"/>
            </w:pPr>
            <w:r>
              <w:t>Framleiðsla á tækjum fyrir framleiðslu og notkun á vetni</w:t>
            </w:r>
            <w:r>
              <w:tab/>
            </w:r>
          </w:p>
        </w:tc>
        <w:tc>
          <w:tcPr>
            <w:tcW w:w="378" w:type="dxa"/>
            <w:tcMar>
              <w:right w:w="0" w:type="dxa"/>
            </w:tcMar>
          </w:tcPr>
          <w:p w14:paraId="34EACC99" w14:textId="77777777" w:rsidR="007E0724" w:rsidRDefault="00C4775C">
            <w:pPr>
              <w:pStyle w:val="AnnexNormal"/>
              <w:spacing w:after="280"/>
            </w:pPr>
            <w:r>
              <w:t>41</w:t>
            </w:r>
          </w:p>
        </w:tc>
      </w:tr>
      <w:tr w:rsidR="007E0724" w14:paraId="65E660D9" w14:textId="77777777">
        <w:trPr>
          <w:trHeight w:val="440"/>
        </w:trPr>
        <w:tc>
          <w:tcPr>
            <w:tcW w:w="588" w:type="dxa"/>
            <w:tcMar>
              <w:left w:w="0" w:type="dxa"/>
            </w:tcMar>
          </w:tcPr>
          <w:p w14:paraId="5B8ED218" w14:textId="77777777" w:rsidR="007E0724" w:rsidRDefault="00C4775C">
            <w:pPr>
              <w:pStyle w:val="AnnexNormal"/>
              <w:spacing w:after="280"/>
            </w:pPr>
            <w:r>
              <w:t>3.3.</w:t>
            </w:r>
          </w:p>
        </w:tc>
        <w:tc>
          <w:tcPr>
            <w:tcW w:w="8274" w:type="dxa"/>
            <w:gridSpan w:val="2"/>
          </w:tcPr>
          <w:p w14:paraId="111EC24B" w14:textId="77777777" w:rsidR="007E0724" w:rsidRDefault="00C4775C">
            <w:pPr>
              <w:pStyle w:val="AnnexNormal"/>
              <w:tabs>
                <w:tab w:val="right" w:leader="dot" w:pos="8052"/>
              </w:tabs>
              <w:spacing w:after="280"/>
            </w:pPr>
            <w:r>
              <w:t>Framleiðsla á lágkolefnistækni fyrir flutninga</w:t>
            </w:r>
            <w:r>
              <w:tab/>
            </w:r>
          </w:p>
        </w:tc>
        <w:tc>
          <w:tcPr>
            <w:tcW w:w="378" w:type="dxa"/>
            <w:tcMar>
              <w:right w:w="0" w:type="dxa"/>
            </w:tcMar>
          </w:tcPr>
          <w:p w14:paraId="641071B0" w14:textId="77777777" w:rsidR="007E0724" w:rsidRDefault="00C4775C">
            <w:pPr>
              <w:pStyle w:val="AnnexNormal"/>
              <w:spacing w:after="280"/>
            </w:pPr>
            <w:r>
              <w:t>42</w:t>
            </w:r>
          </w:p>
        </w:tc>
      </w:tr>
      <w:tr w:rsidR="007E0724" w14:paraId="5ED2EC92" w14:textId="77777777">
        <w:trPr>
          <w:trHeight w:val="440"/>
        </w:trPr>
        <w:tc>
          <w:tcPr>
            <w:tcW w:w="588" w:type="dxa"/>
            <w:tcMar>
              <w:left w:w="0" w:type="dxa"/>
            </w:tcMar>
          </w:tcPr>
          <w:p w14:paraId="521E64F5" w14:textId="77777777" w:rsidR="007E0724" w:rsidRDefault="00C4775C">
            <w:pPr>
              <w:pStyle w:val="AnnexNormal"/>
              <w:spacing w:after="280"/>
            </w:pPr>
            <w:r>
              <w:t>3.4.</w:t>
            </w:r>
          </w:p>
        </w:tc>
        <w:tc>
          <w:tcPr>
            <w:tcW w:w="8274" w:type="dxa"/>
            <w:gridSpan w:val="2"/>
          </w:tcPr>
          <w:p w14:paraId="7313FC11" w14:textId="77777777" w:rsidR="007E0724" w:rsidRDefault="00C4775C">
            <w:pPr>
              <w:pStyle w:val="AnnexNormal"/>
              <w:tabs>
                <w:tab w:val="right" w:leader="dot" w:pos="8052"/>
              </w:tabs>
              <w:spacing w:after="280"/>
            </w:pPr>
            <w:r>
              <w:t>Framleiðsla á rafhlöðum</w:t>
            </w:r>
            <w:r>
              <w:tab/>
            </w:r>
          </w:p>
        </w:tc>
        <w:tc>
          <w:tcPr>
            <w:tcW w:w="378" w:type="dxa"/>
            <w:tcMar>
              <w:right w:w="0" w:type="dxa"/>
            </w:tcMar>
          </w:tcPr>
          <w:p w14:paraId="60BA1C0C" w14:textId="77777777" w:rsidR="007E0724" w:rsidRDefault="00C4775C">
            <w:pPr>
              <w:pStyle w:val="AnnexNormal"/>
              <w:spacing w:after="280"/>
            </w:pPr>
            <w:r>
              <w:t>45</w:t>
            </w:r>
          </w:p>
        </w:tc>
      </w:tr>
      <w:tr w:rsidR="007E0724" w14:paraId="220C9139" w14:textId="77777777">
        <w:trPr>
          <w:trHeight w:val="440"/>
        </w:trPr>
        <w:tc>
          <w:tcPr>
            <w:tcW w:w="588" w:type="dxa"/>
            <w:tcMar>
              <w:left w:w="0" w:type="dxa"/>
            </w:tcMar>
          </w:tcPr>
          <w:p w14:paraId="5CCA92AD" w14:textId="77777777" w:rsidR="007E0724" w:rsidRDefault="00C4775C">
            <w:pPr>
              <w:pStyle w:val="AnnexNormal"/>
              <w:spacing w:after="280"/>
            </w:pPr>
            <w:r>
              <w:t>3.5.</w:t>
            </w:r>
          </w:p>
        </w:tc>
        <w:tc>
          <w:tcPr>
            <w:tcW w:w="8274" w:type="dxa"/>
            <w:gridSpan w:val="2"/>
          </w:tcPr>
          <w:p w14:paraId="6269D76E" w14:textId="77777777" w:rsidR="007E0724" w:rsidRDefault="00C4775C">
            <w:pPr>
              <w:pStyle w:val="AnnexNormal"/>
              <w:tabs>
                <w:tab w:val="right" w:leader="dot" w:pos="8052"/>
              </w:tabs>
              <w:spacing w:after="280"/>
            </w:pPr>
            <w:r>
              <w:t xml:space="preserve">Framleiðsla á </w:t>
            </w:r>
            <w:proofErr w:type="spellStart"/>
            <w:r>
              <w:t>orkunýtnum</w:t>
            </w:r>
            <w:proofErr w:type="spellEnd"/>
            <w:r>
              <w:t xml:space="preserve"> búnaði fyrir byggingar</w:t>
            </w:r>
            <w:r>
              <w:tab/>
            </w:r>
          </w:p>
        </w:tc>
        <w:tc>
          <w:tcPr>
            <w:tcW w:w="378" w:type="dxa"/>
            <w:tcMar>
              <w:right w:w="0" w:type="dxa"/>
            </w:tcMar>
          </w:tcPr>
          <w:p w14:paraId="117A75F9" w14:textId="77777777" w:rsidR="007E0724" w:rsidRDefault="00C4775C">
            <w:pPr>
              <w:pStyle w:val="AnnexNormal"/>
              <w:spacing w:after="280"/>
            </w:pPr>
            <w:r>
              <w:t>46</w:t>
            </w:r>
          </w:p>
        </w:tc>
      </w:tr>
      <w:tr w:rsidR="007E0724" w14:paraId="3272F756" w14:textId="77777777">
        <w:trPr>
          <w:trHeight w:val="440"/>
        </w:trPr>
        <w:tc>
          <w:tcPr>
            <w:tcW w:w="588" w:type="dxa"/>
            <w:tcMar>
              <w:left w:w="0" w:type="dxa"/>
            </w:tcMar>
          </w:tcPr>
          <w:p w14:paraId="572C0149" w14:textId="77777777" w:rsidR="007E0724" w:rsidRDefault="00C4775C">
            <w:pPr>
              <w:pStyle w:val="AnnexNormal"/>
              <w:spacing w:after="280"/>
            </w:pPr>
            <w:r>
              <w:t>3.6.</w:t>
            </w:r>
          </w:p>
        </w:tc>
        <w:tc>
          <w:tcPr>
            <w:tcW w:w="8274" w:type="dxa"/>
            <w:gridSpan w:val="2"/>
          </w:tcPr>
          <w:p w14:paraId="4E3A3598" w14:textId="77777777" w:rsidR="007E0724" w:rsidRDefault="00C4775C">
            <w:pPr>
              <w:pStyle w:val="AnnexNormal"/>
              <w:tabs>
                <w:tab w:val="right" w:leader="dot" w:pos="8052"/>
              </w:tabs>
              <w:spacing w:after="280"/>
            </w:pPr>
            <w:r>
              <w:t>Framleiðsla á annarri lágkolefnistækni</w:t>
            </w:r>
            <w:r>
              <w:tab/>
            </w:r>
          </w:p>
        </w:tc>
        <w:tc>
          <w:tcPr>
            <w:tcW w:w="378" w:type="dxa"/>
            <w:tcMar>
              <w:right w:w="0" w:type="dxa"/>
            </w:tcMar>
          </w:tcPr>
          <w:p w14:paraId="2A26ED86" w14:textId="77777777" w:rsidR="007E0724" w:rsidRDefault="00C4775C">
            <w:pPr>
              <w:pStyle w:val="AnnexNormal"/>
              <w:spacing w:after="280"/>
            </w:pPr>
            <w:r>
              <w:t>48</w:t>
            </w:r>
          </w:p>
        </w:tc>
      </w:tr>
      <w:tr w:rsidR="007E0724" w14:paraId="2BB11D73" w14:textId="77777777">
        <w:trPr>
          <w:trHeight w:val="440"/>
        </w:trPr>
        <w:tc>
          <w:tcPr>
            <w:tcW w:w="588" w:type="dxa"/>
            <w:tcMar>
              <w:left w:w="0" w:type="dxa"/>
            </w:tcMar>
          </w:tcPr>
          <w:p w14:paraId="7F8766EB" w14:textId="77777777" w:rsidR="007E0724" w:rsidRDefault="00C4775C">
            <w:pPr>
              <w:pStyle w:val="AnnexNormal"/>
              <w:spacing w:after="280"/>
            </w:pPr>
            <w:r>
              <w:t>3.7.</w:t>
            </w:r>
          </w:p>
        </w:tc>
        <w:tc>
          <w:tcPr>
            <w:tcW w:w="8274" w:type="dxa"/>
            <w:gridSpan w:val="2"/>
          </w:tcPr>
          <w:p w14:paraId="08844CEC" w14:textId="77777777" w:rsidR="007E0724" w:rsidRDefault="00C4775C">
            <w:pPr>
              <w:pStyle w:val="AnnexNormal"/>
              <w:tabs>
                <w:tab w:val="right" w:leader="dot" w:pos="8052"/>
              </w:tabs>
              <w:spacing w:after="280"/>
            </w:pPr>
            <w:r>
              <w:t xml:space="preserve">Framleiðsla á </w:t>
            </w:r>
            <w:proofErr w:type="spellStart"/>
            <w:r>
              <w:t>sementi</w:t>
            </w:r>
            <w:proofErr w:type="spellEnd"/>
            <w:r>
              <w:tab/>
            </w:r>
          </w:p>
        </w:tc>
        <w:tc>
          <w:tcPr>
            <w:tcW w:w="378" w:type="dxa"/>
            <w:tcMar>
              <w:right w:w="0" w:type="dxa"/>
            </w:tcMar>
          </w:tcPr>
          <w:p w14:paraId="56879D79" w14:textId="77777777" w:rsidR="007E0724" w:rsidRDefault="00C4775C">
            <w:pPr>
              <w:pStyle w:val="AnnexNormal"/>
              <w:spacing w:after="280"/>
            </w:pPr>
            <w:r>
              <w:t>49</w:t>
            </w:r>
          </w:p>
        </w:tc>
      </w:tr>
      <w:tr w:rsidR="007E0724" w14:paraId="28FC15A5" w14:textId="77777777">
        <w:trPr>
          <w:trHeight w:val="440"/>
        </w:trPr>
        <w:tc>
          <w:tcPr>
            <w:tcW w:w="588" w:type="dxa"/>
            <w:tcMar>
              <w:left w:w="0" w:type="dxa"/>
            </w:tcMar>
          </w:tcPr>
          <w:p w14:paraId="44C38D3C" w14:textId="77777777" w:rsidR="007E0724" w:rsidRDefault="00C4775C">
            <w:pPr>
              <w:pStyle w:val="AnnexNormal"/>
              <w:spacing w:after="280"/>
            </w:pPr>
            <w:r>
              <w:t>3.8.</w:t>
            </w:r>
          </w:p>
        </w:tc>
        <w:tc>
          <w:tcPr>
            <w:tcW w:w="8274" w:type="dxa"/>
            <w:gridSpan w:val="2"/>
          </w:tcPr>
          <w:p w14:paraId="1D0E0314" w14:textId="77777777" w:rsidR="007E0724" w:rsidRDefault="00C4775C">
            <w:pPr>
              <w:pStyle w:val="AnnexNormal"/>
              <w:tabs>
                <w:tab w:val="right" w:leader="dot" w:pos="8052"/>
              </w:tabs>
              <w:spacing w:after="280"/>
            </w:pPr>
            <w:r>
              <w:t>Framleiðsla á áli</w:t>
            </w:r>
            <w:r>
              <w:tab/>
            </w:r>
          </w:p>
        </w:tc>
        <w:tc>
          <w:tcPr>
            <w:tcW w:w="378" w:type="dxa"/>
            <w:tcMar>
              <w:right w:w="0" w:type="dxa"/>
            </w:tcMar>
          </w:tcPr>
          <w:p w14:paraId="3D98C64C" w14:textId="77777777" w:rsidR="007E0724" w:rsidRDefault="00C4775C">
            <w:pPr>
              <w:pStyle w:val="AnnexNormal"/>
              <w:spacing w:after="280"/>
            </w:pPr>
            <w:r>
              <w:t>50</w:t>
            </w:r>
          </w:p>
        </w:tc>
      </w:tr>
      <w:tr w:rsidR="007E0724" w14:paraId="72BA3C47" w14:textId="77777777">
        <w:trPr>
          <w:trHeight w:val="440"/>
        </w:trPr>
        <w:tc>
          <w:tcPr>
            <w:tcW w:w="588" w:type="dxa"/>
            <w:tcMar>
              <w:left w:w="0" w:type="dxa"/>
            </w:tcMar>
          </w:tcPr>
          <w:p w14:paraId="69D73215" w14:textId="77777777" w:rsidR="007E0724" w:rsidRDefault="00C4775C">
            <w:pPr>
              <w:pStyle w:val="AnnexNormal"/>
              <w:spacing w:after="280"/>
            </w:pPr>
            <w:r>
              <w:t>3.9.</w:t>
            </w:r>
          </w:p>
        </w:tc>
        <w:tc>
          <w:tcPr>
            <w:tcW w:w="8274" w:type="dxa"/>
            <w:gridSpan w:val="2"/>
          </w:tcPr>
          <w:p w14:paraId="7FA932FB" w14:textId="77777777" w:rsidR="007E0724" w:rsidRDefault="00C4775C">
            <w:pPr>
              <w:pStyle w:val="AnnexNormal"/>
              <w:tabs>
                <w:tab w:val="right" w:leader="dot" w:pos="8052"/>
              </w:tabs>
              <w:spacing w:after="280"/>
            </w:pPr>
            <w:r>
              <w:t>Framleiðsla á járni og stáli</w:t>
            </w:r>
            <w:r>
              <w:tab/>
            </w:r>
          </w:p>
        </w:tc>
        <w:tc>
          <w:tcPr>
            <w:tcW w:w="378" w:type="dxa"/>
            <w:tcMar>
              <w:right w:w="0" w:type="dxa"/>
            </w:tcMar>
          </w:tcPr>
          <w:p w14:paraId="1915C1D8" w14:textId="77777777" w:rsidR="007E0724" w:rsidRDefault="00C4775C">
            <w:pPr>
              <w:pStyle w:val="AnnexNormal"/>
              <w:spacing w:after="280"/>
            </w:pPr>
            <w:r>
              <w:t>51</w:t>
            </w:r>
          </w:p>
        </w:tc>
      </w:tr>
      <w:tr w:rsidR="007E0724" w14:paraId="56509FD2" w14:textId="77777777">
        <w:trPr>
          <w:trHeight w:val="440"/>
        </w:trPr>
        <w:tc>
          <w:tcPr>
            <w:tcW w:w="588" w:type="dxa"/>
            <w:tcMar>
              <w:left w:w="0" w:type="dxa"/>
            </w:tcMar>
          </w:tcPr>
          <w:p w14:paraId="6DA77490" w14:textId="77777777" w:rsidR="007E0724" w:rsidRDefault="00C4775C">
            <w:pPr>
              <w:pStyle w:val="AnnexNormal"/>
              <w:spacing w:after="280"/>
            </w:pPr>
            <w:r>
              <w:t>3.10.</w:t>
            </w:r>
          </w:p>
        </w:tc>
        <w:tc>
          <w:tcPr>
            <w:tcW w:w="8274" w:type="dxa"/>
            <w:gridSpan w:val="2"/>
          </w:tcPr>
          <w:p w14:paraId="4C2FB36B" w14:textId="77777777" w:rsidR="007E0724" w:rsidRDefault="00C4775C">
            <w:pPr>
              <w:pStyle w:val="AnnexNormal"/>
              <w:tabs>
                <w:tab w:val="right" w:leader="dot" w:pos="8052"/>
              </w:tabs>
              <w:spacing w:after="280"/>
            </w:pPr>
            <w:r>
              <w:t>Framleiðsla á vetni</w:t>
            </w:r>
            <w:r>
              <w:tab/>
            </w:r>
          </w:p>
        </w:tc>
        <w:tc>
          <w:tcPr>
            <w:tcW w:w="378" w:type="dxa"/>
            <w:tcMar>
              <w:right w:w="0" w:type="dxa"/>
            </w:tcMar>
          </w:tcPr>
          <w:p w14:paraId="5D02FA7E" w14:textId="77777777" w:rsidR="007E0724" w:rsidRDefault="00C4775C">
            <w:pPr>
              <w:pStyle w:val="AnnexNormal"/>
              <w:spacing w:after="280"/>
            </w:pPr>
            <w:r>
              <w:t>53</w:t>
            </w:r>
          </w:p>
        </w:tc>
      </w:tr>
      <w:tr w:rsidR="007E0724" w14:paraId="05DE859E" w14:textId="77777777">
        <w:trPr>
          <w:trHeight w:val="440"/>
        </w:trPr>
        <w:tc>
          <w:tcPr>
            <w:tcW w:w="588" w:type="dxa"/>
            <w:tcMar>
              <w:left w:w="0" w:type="dxa"/>
            </w:tcMar>
          </w:tcPr>
          <w:p w14:paraId="6E101247" w14:textId="77777777" w:rsidR="007E0724" w:rsidRDefault="00C4775C">
            <w:pPr>
              <w:pStyle w:val="AnnexNormal"/>
              <w:spacing w:after="280"/>
            </w:pPr>
            <w:r>
              <w:t>3.11.</w:t>
            </w:r>
          </w:p>
        </w:tc>
        <w:tc>
          <w:tcPr>
            <w:tcW w:w="8274" w:type="dxa"/>
            <w:gridSpan w:val="2"/>
          </w:tcPr>
          <w:p w14:paraId="799A2992" w14:textId="77777777" w:rsidR="007E0724" w:rsidRDefault="00C4775C">
            <w:pPr>
              <w:pStyle w:val="AnnexNormal"/>
              <w:tabs>
                <w:tab w:val="right" w:leader="dot" w:pos="8052"/>
              </w:tabs>
              <w:spacing w:after="280"/>
            </w:pPr>
            <w:r>
              <w:t xml:space="preserve">Framleiðsla á </w:t>
            </w:r>
            <w:proofErr w:type="spellStart"/>
            <w:r>
              <w:t>kinroki</w:t>
            </w:r>
            <w:proofErr w:type="spellEnd"/>
            <w:r>
              <w:tab/>
            </w:r>
          </w:p>
        </w:tc>
        <w:tc>
          <w:tcPr>
            <w:tcW w:w="378" w:type="dxa"/>
            <w:tcMar>
              <w:right w:w="0" w:type="dxa"/>
            </w:tcMar>
          </w:tcPr>
          <w:p w14:paraId="2A39C8F1" w14:textId="77777777" w:rsidR="007E0724" w:rsidRDefault="00C4775C">
            <w:pPr>
              <w:pStyle w:val="AnnexNormal"/>
              <w:spacing w:after="280"/>
            </w:pPr>
            <w:r>
              <w:t>54</w:t>
            </w:r>
          </w:p>
        </w:tc>
      </w:tr>
      <w:tr w:rsidR="007E0724" w14:paraId="13944468" w14:textId="77777777">
        <w:trPr>
          <w:trHeight w:val="440"/>
        </w:trPr>
        <w:tc>
          <w:tcPr>
            <w:tcW w:w="588" w:type="dxa"/>
            <w:tcMar>
              <w:left w:w="0" w:type="dxa"/>
            </w:tcMar>
          </w:tcPr>
          <w:p w14:paraId="44B8BD7D" w14:textId="77777777" w:rsidR="007E0724" w:rsidRDefault="00C4775C">
            <w:pPr>
              <w:pStyle w:val="AnnexNormal"/>
              <w:spacing w:after="280"/>
            </w:pPr>
            <w:r>
              <w:t>3.12.</w:t>
            </w:r>
          </w:p>
        </w:tc>
        <w:tc>
          <w:tcPr>
            <w:tcW w:w="8274" w:type="dxa"/>
            <w:gridSpan w:val="2"/>
          </w:tcPr>
          <w:p w14:paraId="7E4A3BFF" w14:textId="77777777" w:rsidR="007E0724" w:rsidRDefault="00C4775C">
            <w:pPr>
              <w:pStyle w:val="AnnexNormal"/>
              <w:tabs>
                <w:tab w:val="right" w:leader="dot" w:pos="8052"/>
              </w:tabs>
              <w:spacing w:after="280"/>
            </w:pPr>
            <w:r>
              <w:t xml:space="preserve">Framleiðsla á </w:t>
            </w:r>
            <w:proofErr w:type="spellStart"/>
            <w:r>
              <w:t>sóda</w:t>
            </w:r>
            <w:proofErr w:type="spellEnd"/>
            <w:r>
              <w:tab/>
            </w:r>
          </w:p>
        </w:tc>
        <w:tc>
          <w:tcPr>
            <w:tcW w:w="378" w:type="dxa"/>
            <w:tcMar>
              <w:right w:w="0" w:type="dxa"/>
            </w:tcMar>
          </w:tcPr>
          <w:p w14:paraId="00ECB2CE" w14:textId="77777777" w:rsidR="007E0724" w:rsidRDefault="00C4775C">
            <w:pPr>
              <w:pStyle w:val="AnnexNormal"/>
              <w:spacing w:after="280"/>
            </w:pPr>
            <w:r>
              <w:t>55</w:t>
            </w:r>
          </w:p>
        </w:tc>
      </w:tr>
      <w:tr w:rsidR="007E0724" w14:paraId="5DB28603" w14:textId="77777777">
        <w:trPr>
          <w:trHeight w:val="440"/>
        </w:trPr>
        <w:tc>
          <w:tcPr>
            <w:tcW w:w="588" w:type="dxa"/>
            <w:tcMar>
              <w:left w:w="0" w:type="dxa"/>
            </w:tcMar>
          </w:tcPr>
          <w:p w14:paraId="3A110CC5" w14:textId="77777777" w:rsidR="007E0724" w:rsidRDefault="00C4775C">
            <w:pPr>
              <w:pStyle w:val="AnnexNormal"/>
              <w:spacing w:after="280"/>
            </w:pPr>
            <w:r>
              <w:t>3.13.</w:t>
            </w:r>
          </w:p>
        </w:tc>
        <w:tc>
          <w:tcPr>
            <w:tcW w:w="8274" w:type="dxa"/>
            <w:gridSpan w:val="2"/>
          </w:tcPr>
          <w:p w14:paraId="3B23AF61" w14:textId="77777777" w:rsidR="007E0724" w:rsidRDefault="00C4775C">
            <w:pPr>
              <w:pStyle w:val="AnnexNormal"/>
              <w:tabs>
                <w:tab w:val="right" w:leader="dot" w:pos="8052"/>
              </w:tabs>
              <w:spacing w:after="280"/>
            </w:pPr>
            <w:r>
              <w:t xml:space="preserve">Framleiðsla á </w:t>
            </w:r>
            <w:proofErr w:type="spellStart"/>
            <w:r>
              <w:t>klór</w:t>
            </w:r>
            <w:proofErr w:type="spellEnd"/>
            <w:r>
              <w:tab/>
            </w:r>
          </w:p>
        </w:tc>
        <w:tc>
          <w:tcPr>
            <w:tcW w:w="378" w:type="dxa"/>
            <w:tcMar>
              <w:right w:w="0" w:type="dxa"/>
            </w:tcMar>
          </w:tcPr>
          <w:p w14:paraId="630BFB3F" w14:textId="77777777" w:rsidR="007E0724" w:rsidRDefault="00C4775C">
            <w:pPr>
              <w:pStyle w:val="AnnexNormal"/>
              <w:spacing w:after="280"/>
            </w:pPr>
            <w:r>
              <w:t>56</w:t>
            </w:r>
          </w:p>
        </w:tc>
      </w:tr>
      <w:tr w:rsidR="007E0724" w14:paraId="314D7E11" w14:textId="77777777">
        <w:trPr>
          <w:trHeight w:val="440"/>
        </w:trPr>
        <w:tc>
          <w:tcPr>
            <w:tcW w:w="588" w:type="dxa"/>
            <w:tcMar>
              <w:left w:w="0" w:type="dxa"/>
            </w:tcMar>
          </w:tcPr>
          <w:p w14:paraId="24CC1109" w14:textId="77777777" w:rsidR="007E0724" w:rsidRDefault="00C4775C">
            <w:pPr>
              <w:pStyle w:val="AnnexNormal"/>
              <w:spacing w:after="280"/>
            </w:pPr>
            <w:r>
              <w:t>3.14.</w:t>
            </w:r>
          </w:p>
        </w:tc>
        <w:tc>
          <w:tcPr>
            <w:tcW w:w="8274" w:type="dxa"/>
            <w:gridSpan w:val="2"/>
          </w:tcPr>
          <w:p w14:paraId="43B647FB" w14:textId="77777777" w:rsidR="007E0724" w:rsidRDefault="00C4775C">
            <w:pPr>
              <w:pStyle w:val="AnnexNormal"/>
              <w:tabs>
                <w:tab w:val="right" w:leader="dot" w:pos="8052"/>
              </w:tabs>
              <w:spacing w:after="280"/>
            </w:pPr>
            <w:r>
              <w:t>Framleiðsla á lífrænum grunnefnum</w:t>
            </w:r>
            <w:r>
              <w:tab/>
            </w:r>
          </w:p>
        </w:tc>
        <w:tc>
          <w:tcPr>
            <w:tcW w:w="378" w:type="dxa"/>
            <w:tcMar>
              <w:right w:w="0" w:type="dxa"/>
            </w:tcMar>
          </w:tcPr>
          <w:p w14:paraId="42F44D7D" w14:textId="77777777" w:rsidR="007E0724" w:rsidRDefault="00C4775C">
            <w:pPr>
              <w:pStyle w:val="AnnexNormal"/>
              <w:spacing w:after="280"/>
            </w:pPr>
            <w:r>
              <w:t>57</w:t>
            </w:r>
          </w:p>
        </w:tc>
      </w:tr>
      <w:tr w:rsidR="007E0724" w14:paraId="652B793E" w14:textId="77777777">
        <w:trPr>
          <w:trHeight w:val="440"/>
        </w:trPr>
        <w:tc>
          <w:tcPr>
            <w:tcW w:w="588" w:type="dxa"/>
            <w:tcMar>
              <w:left w:w="0" w:type="dxa"/>
            </w:tcMar>
          </w:tcPr>
          <w:p w14:paraId="04EA1ADC" w14:textId="77777777" w:rsidR="007E0724" w:rsidRDefault="00C4775C">
            <w:pPr>
              <w:pStyle w:val="AnnexNormal"/>
              <w:spacing w:after="280"/>
            </w:pPr>
            <w:r>
              <w:t>3.15.</w:t>
            </w:r>
          </w:p>
        </w:tc>
        <w:tc>
          <w:tcPr>
            <w:tcW w:w="8274" w:type="dxa"/>
            <w:gridSpan w:val="2"/>
          </w:tcPr>
          <w:p w14:paraId="241524BE" w14:textId="77777777" w:rsidR="007E0724" w:rsidRDefault="00C4775C">
            <w:pPr>
              <w:pStyle w:val="AnnexNormal"/>
              <w:tabs>
                <w:tab w:val="right" w:leader="dot" w:pos="8052"/>
              </w:tabs>
              <w:spacing w:after="280"/>
            </w:pPr>
            <w:r>
              <w:t xml:space="preserve">Framleiðsla á vatnsfríu </w:t>
            </w:r>
            <w:proofErr w:type="spellStart"/>
            <w:r>
              <w:t>ammoníaki</w:t>
            </w:r>
            <w:proofErr w:type="spellEnd"/>
            <w:r>
              <w:tab/>
            </w:r>
          </w:p>
        </w:tc>
        <w:tc>
          <w:tcPr>
            <w:tcW w:w="378" w:type="dxa"/>
            <w:tcMar>
              <w:right w:w="0" w:type="dxa"/>
            </w:tcMar>
          </w:tcPr>
          <w:p w14:paraId="5A2F570D" w14:textId="77777777" w:rsidR="007E0724" w:rsidRDefault="00C4775C">
            <w:pPr>
              <w:pStyle w:val="AnnexNormal"/>
              <w:spacing w:after="280"/>
            </w:pPr>
            <w:r>
              <w:t>59</w:t>
            </w:r>
          </w:p>
        </w:tc>
      </w:tr>
      <w:tr w:rsidR="007E0724" w14:paraId="05B55659" w14:textId="77777777">
        <w:trPr>
          <w:trHeight w:val="440"/>
        </w:trPr>
        <w:tc>
          <w:tcPr>
            <w:tcW w:w="588" w:type="dxa"/>
            <w:tcMar>
              <w:left w:w="0" w:type="dxa"/>
            </w:tcMar>
          </w:tcPr>
          <w:p w14:paraId="4FD73276" w14:textId="77777777" w:rsidR="007E0724" w:rsidRDefault="00C4775C">
            <w:pPr>
              <w:pStyle w:val="AnnexNormal"/>
              <w:pageBreakBefore/>
            </w:pPr>
            <w:r>
              <w:lastRenderedPageBreak/>
              <w:t>3.16.</w:t>
            </w:r>
          </w:p>
        </w:tc>
        <w:tc>
          <w:tcPr>
            <w:tcW w:w="8274" w:type="dxa"/>
            <w:gridSpan w:val="2"/>
          </w:tcPr>
          <w:p w14:paraId="0DB7CB23" w14:textId="77777777" w:rsidR="007E0724" w:rsidRDefault="00C4775C">
            <w:pPr>
              <w:pStyle w:val="AnnexNormal"/>
              <w:tabs>
                <w:tab w:val="right" w:leader="dot" w:pos="8052"/>
              </w:tabs>
              <w:spacing w:after="260"/>
            </w:pPr>
            <w:r>
              <w:t>Framleiðsla á saltpéturssýru</w:t>
            </w:r>
            <w:r>
              <w:tab/>
            </w:r>
          </w:p>
        </w:tc>
        <w:tc>
          <w:tcPr>
            <w:tcW w:w="378" w:type="dxa"/>
            <w:tcMar>
              <w:right w:w="0" w:type="dxa"/>
            </w:tcMar>
          </w:tcPr>
          <w:p w14:paraId="5EF8B144" w14:textId="77777777" w:rsidR="007E0724" w:rsidRDefault="00C4775C">
            <w:pPr>
              <w:pStyle w:val="AnnexNormal"/>
            </w:pPr>
            <w:r>
              <w:t>60</w:t>
            </w:r>
          </w:p>
        </w:tc>
      </w:tr>
      <w:tr w:rsidR="007E0724" w14:paraId="146C3E47" w14:textId="77777777">
        <w:trPr>
          <w:trHeight w:val="440"/>
        </w:trPr>
        <w:tc>
          <w:tcPr>
            <w:tcW w:w="588" w:type="dxa"/>
            <w:tcMar>
              <w:left w:w="0" w:type="dxa"/>
            </w:tcMar>
          </w:tcPr>
          <w:p w14:paraId="18BE433D" w14:textId="77777777" w:rsidR="007E0724" w:rsidRDefault="00C4775C">
            <w:pPr>
              <w:pStyle w:val="AnnexNormal"/>
            </w:pPr>
            <w:r>
              <w:t>3.17.</w:t>
            </w:r>
          </w:p>
        </w:tc>
        <w:tc>
          <w:tcPr>
            <w:tcW w:w="8274" w:type="dxa"/>
            <w:gridSpan w:val="2"/>
          </w:tcPr>
          <w:p w14:paraId="562649C2" w14:textId="77777777" w:rsidR="007E0724" w:rsidRDefault="00C4775C">
            <w:pPr>
              <w:pStyle w:val="AnnexNormal"/>
              <w:tabs>
                <w:tab w:val="right" w:leader="dot" w:pos="8052"/>
              </w:tabs>
              <w:spacing w:after="260"/>
            </w:pPr>
            <w:r>
              <w:t>Framleiðsla á plasthráefni</w:t>
            </w:r>
            <w:r>
              <w:tab/>
            </w:r>
          </w:p>
        </w:tc>
        <w:tc>
          <w:tcPr>
            <w:tcW w:w="378" w:type="dxa"/>
            <w:tcMar>
              <w:right w:w="0" w:type="dxa"/>
            </w:tcMar>
          </w:tcPr>
          <w:p w14:paraId="15E88613" w14:textId="77777777" w:rsidR="007E0724" w:rsidRDefault="00C4775C">
            <w:pPr>
              <w:pStyle w:val="AnnexNormal"/>
            </w:pPr>
            <w:r>
              <w:t>61</w:t>
            </w:r>
          </w:p>
        </w:tc>
      </w:tr>
      <w:tr w:rsidR="007E0724" w14:paraId="4578BE14" w14:textId="77777777">
        <w:trPr>
          <w:trHeight w:val="440"/>
        </w:trPr>
        <w:tc>
          <w:tcPr>
            <w:tcW w:w="588" w:type="dxa"/>
            <w:tcMar>
              <w:left w:w="0" w:type="dxa"/>
            </w:tcMar>
          </w:tcPr>
          <w:p w14:paraId="179DE630" w14:textId="77777777" w:rsidR="007E0724" w:rsidRDefault="00C4775C">
            <w:pPr>
              <w:pStyle w:val="AnnexNormal"/>
            </w:pPr>
            <w:r>
              <w:t>4.</w:t>
            </w:r>
          </w:p>
        </w:tc>
        <w:tc>
          <w:tcPr>
            <w:tcW w:w="8274" w:type="dxa"/>
            <w:gridSpan w:val="2"/>
          </w:tcPr>
          <w:p w14:paraId="1F94825A" w14:textId="77777777" w:rsidR="007E0724" w:rsidRDefault="00C4775C">
            <w:pPr>
              <w:pStyle w:val="AnnexNormal"/>
              <w:tabs>
                <w:tab w:val="right" w:leader="dot" w:pos="8052"/>
              </w:tabs>
              <w:spacing w:after="260"/>
            </w:pPr>
            <w:r>
              <w:t>Orka</w:t>
            </w:r>
            <w:r>
              <w:tab/>
            </w:r>
          </w:p>
        </w:tc>
        <w:tc>
          <w:tcPr>
            <w:tcW w:w="378" w:type="dxa"/>
            <w:tcMar>
              <w:right w:w="0" w:type="dxa"/>
            </w:tcMar>
          </w:tcPr>
          <w:p w14:paraId="1F59720A" w14:textId="77777777" w:rsidR="007E0724" w:rsidRDefault="00C4775C">
            <w:pPr>
              <w:pStyle w:val="AnnexNormal"/>
            </w:pPr>
            <w:r>
              <w:t>62</w:t>
            </w:r>
          </w:p>
        </w:tc>
      </w:tr>
      <w:tr w:rsidR="007E0724" w14:paraId="14F500EB" w14:textId="77777777">
        <w:trPr>
          <w:trHeight w:val="440"/>
        </w:trPr>
        <w:tc>
          <w:tcPr>
            <w:tcW w:w="588" w:type="dxa"/>
            <w:tcMar>
              <w:left w:w="0" w:type="dxa"/>
            </w:tcMar>
          </w:tcPr>
          <w:p w14:paraId="4420D3F1" w14:textId="77777777" w:rsidR="007E0724" w:rsidRDefault="00C4775C">
            <w:pPr>
              <w:pStyle w:val="AnnexNormal"/>
            </w:pPr>
            <w:r>
              <w:t>4.1.</w:t>
            </w:r>
          </w:p>
        </w:tc>
        <w:tc>
          <w:tcPr>
            <w:tcW w:w="8274" w:type="dxa"/>
            <w:gridSpan w:val="2"/>
          </w:tcPr>
          <w:p w14:paraId="3A6F93C0" w14:textId="77777777" w:rsidR="007E0724" w:rsidRDefault="00C4775C">
            <w:pPr>
              <w:pStyle w:val="AnnexNormal"/>
              <w:tabs>
                <w:tab w:val="right" w:leader="dot" w:pos="8052"/>
              </w:tabs>
              <w:spacing w:after="260"/>
            </w:pPr>
            <w:r>
              <w:t>Raforkuframleiðsla með notkun sólarraforkutækni</w:t>
            </w:r>
            <w:r>
              <w:tab/>
            </w:r>
          </w:p>
        </w:tc>
        <w:tc>
          <w:tcPr>
            <w:tcW w:w="378" w:type="dxa"/>
            <w:tcMar>
              <w:right w:w="0" w:type="dxa"/>
            </w:tcMar>
          </w:tcPr>
          <w:p w14:paraId="6584065D" w14:textId="77777777" w:rsidR="007E0724" w:rsidRDefault="00C4775C">
            <w:pPr>
              <w:pStyle w:val="AnnexNormal"/>
            </w:pPr>
            <w:r>
              <w:t>62</w:t>
            </w:r>
          </w:p>
        </w:tc>
      </w:tr>
      <w:tr w:rsidR="007E0724" w14:paraId="45DC2A14" w14:textId="77777777">
        <w:trPr>
          <w:trHeight w:val="440"/>
        </w:trPr>
        <w:tc>
          <w:tcPr>
            <w:tcW w:w="588" w:type="dxa"/>
            <w:tcMar>
              <w:left w:w="0" w:type="dxa"/>
            </w:tcMar>
          </w:tcPr>
          <w:p w14:paraId="1630F6C3" w14:textId="77777777" w:rsidR="007E0724" w:rsidRDefault="00C4775C">
            <w:pPr>
              <w:pStyle w:val="AnnexNormal"/>
            </w:pPr>
            <w:r>
              <w:t>4.2.</w:t>
            </w:r>
          </w:p>
        </w:tc>
        <w:tc>
          <w:tcPr>
            <w:tcW w:w="8274" w:type="dxa"/>
            <w:gridSpan w:val="2"/>
          </w:tcPr>
          <w:p w14:paraId="6F7763F0" w14:textId="77777777" w:rsidR="007E0724" w:rsidRDefault="00C4775C">
            <w:pPr>
              <w:pStyle w:val="AnnexNormal"/>
              <w:tabs>
                <w:tab w:val="right" w:leader="dot" w:pos="8052"/>
              </w:tabs>
              <w:spacing w:after="260"/>
            </w:pPr>
            <w:r>
              <w:t>Raforkuframleiðsla með notkun þjappaðrar sólarorkutækni (CSP)</w:t>
            </w:r>
            <w:r>
              <w:tab/>
            </w:r>
          </w:p>
        </w:tc>
        <w:tc>
          <w:tcPr>
            <w:tcW w:w="378" w:type="dxa"/>
            <w:tcMar>
              <w:right w:w="0" w:type="dxa"/>
            </w:tcMar>
          </w:tcPr>
          <w:p w14:paraId="5241EADE" w14:textId="77777777" w:rsidR="007E0724" w:rsidRDefault="00C4775C">
            <w:pPr>
              <w:pStyle w:val="AnnexNormal"/>
            </w:pPr>
            <w:r>
              <w:t>63</w:t>
            </w:r>
          </w:p>
        </w:tc>
      </w:tr>
      <w:tr w:rsidR="007E0724" w14:paraId="10A8CEFC" w14:textId="77777777">
        <w:trPr>
          <w:trHeight w:val="440"/>
        </w:trPr>
        <w:tc>
          <w:tcPr>
            <w:tcW w:w="588" w:type="dxa"/>
            <w:tcMar>
              <w:left w:w="0" w:type="dxa"/>
            </w:tcMar>
          </w:tcPr>
          <w:p w14:paraId="2A471C88" w14:textId="77777777" w:rsidR="007E0724" w:rsidRDefault="00C4775C">
            <w:pPr>
              <w:pStyle w:val="AnnexNormal"/>
            </w:pPr>
            <w:r>
              <w:t>4.3.</w:t>
            </w:r>
          </w:p>
        </w:tc>
        <w:tc>
          <w:tcPr>
            <w:tcW w:w="8274" w:type="dxa"/>
            <w:gridSpan w:val="2"/>
          </w:tcPr>
          <w:p w14:paraId="051E4A07" w14:textId="77777777" w:rsidR="007E0724" w:rsidRDefault="00C4775C">
            <w:pPr>
              <w:pStyle w:val="AnnexNormal"/>
              <w:tabs>
                <w:tab w:val="right" w:leader="dot" w:pos="8052"/>
              </w:tabs>
              <w:spacing w:after="260"/>
            </w:pPr>
            <w:r>
              <w:t>Raforkuframleiðsla úr vindorku</w:t>
            </w:r>
            <w:r>
              <w:tab/>
            </w:r>
          </w:p>
        </w:tc>
        <w:tc>
          <w:tcPr>
            <w:tcW w:w="378" w:type="dxa"/>
            <w:tcMar>
              <w:right w:w="0" w:type="dxa"/>
            </w:tcMar>
          </w:tcPr>
          <w:p w14:paraId="760A9FFE" w14:textId="77777777" w:rsidR="007E0724" w:rsidRDefault="00C4775C">
            <w:pPr>
              <w:pStyle w:val="AnnexNormal"/>
            </w:pPr>
            <w:r>
              <w:t>63</w:t>
            </w:r>
          </w:p>
        </w:tc>
      </w:tr>
      <w:tr w:rsidR="007E0724" w14:paraId="3918E15D" w14:textId="77777777">
        <w:trPr>
          <w:trHeight w:val="440"/>
        </w:trPr>
        <w:tc>
          <w:tcPr>
            <w:tcW w:w="588" w:type="dxa"/>
            <w:tcMar>
              <w:left w:w="0" w:type="dxa"/>
            </w:tcMar>
          </w:tcPr>
          <w:p w14:paraId="371948D4" w14:textId="77777777" w:rsidR="007E0724" w:rsidRDefault="00C4775C">
            <w:pPr>
              <w:pStyle w:val="AnnexNormal"/>
            </w:pPr>
            <w:r>
              <w:t>4.4.</w:t>
            </w:r>
          </w:p>
        </w:tc>
        <w:tc>
          <w:tcPr>
            <w:tcW w:w="8274" w:type="dxa"/>
            <w:gridSpan w:val="2"/>
          </w:tcPr>
          <w:p w14:paraId="600BB818" w14:textId="77777777" w:rsidR="007E0724" w:rsidRDefault="00C4775C">
            <w:pPr>
              <w:pStyle w:val="AnnexNormal"/>
              <w:tabs>
                <w:tab w:val="right" w:leader="dot" w:pos="8052"/>
              </w:tabs>
              <w:spacing w:after="260"/>
            </w:pPr>
            <w:r>
              <w:t>Raforkuframleiðsla úr sjávarorkutækni</w:t>
            </w:r>
            <w:r>
              <w:tab/>
            </w:r>
          </w:p>
        </w:tc>
        <w:tc>
          <w:tcPr>
            <w:tcW w:w="378" w:type="dxa"/>
            <w:tcMar>
              <w:right w:w="0" w:type="dxa"/>
            </w:tcMar>
          </w:tcPr>
          <w:p w14:paraId="3CA24AB5" w14:textId="77777777" w:rsidR="007E0724" w:rsidRDefault="00C4775C">
            <w:pPr>
              <w:pStyle w:val="AnnexNormal"/>
            </w:pPr>
            <w:r>
              <w:t>64</w:t>
            </w:r>
          </w:p>
        </w:tc>
      </w:tr>
      <w:tr w:rsidR="007E0724" w14:paraId="3B5A8548" w14:textId="77777777">
        <w:trPr>
          <w:trHeight w:val="440"/>
        </w:trPr>
        <w:tc>
          <w:tcPr>
            <w:tcW w:w="588" w:type="dxa"/>
            <w:tcMar>
              <w:left w:w="0" w:type="dxa"/>
            </w:tcMar>
          </w:tcPr>
          <w:p w14:paraId="0A8A7DF0" w14:textId="77777777" w:rsidR="007E0724" w:rsidRDefault="00C4775C">
            <w:pPr>
              <w:pStyle w:val="AnnexNormal"/>
            </w:pPr>
            <w:r>
              <w:t>4.5.</w:t>
            </w:r>
          </w:p>
        </w:tc>
        <w:tc>
          <w:tcPr>
            <w:tcW w:w="8274" w:type="dxa"/>
            <w:gridSpan w:val="2"/>
          </w:tcPr>
          <w:p w14:paraId="7E0E08CC" w14:textId="77777777" w:rsidR="007E0724" w:rsidRDefault="00C4775C">
            <w:pPr>
              <w:pStyle w:val="AnnexNormal"/>
              <w:tabs>
                <w:tab w:val="right" w:leader="dot" w:pos="8052"/>
              </w:tabs>
              <w:spacing w:after="260"/>
            </w:pPr>
            <w:r>
              <w:t>Raforkuframleiðsla úr vatnsorku</w:t>
            </w:r>
            <w:r>
              <w:tab/>
            </w:r>
          </w:p>
        </w:tc>
        <w:tc>
          <w:tcPr>
            <w:tcW w:w="378" w:type="dxa"/>
            <w:tcMar>
              <w:right w:w="0" w:type="dxa"/>
            </w:tcMar>
          </w:tcPr>
          <w:p w14:paraId="7B74652E" w14:textId="77777777" w:rsidR="007E0724" w:rsidRDefault="00C4775C">
            <w:pPr>
              <w:pStyle w:val="AnnexNormal"/>
            </w:pPr>
            <w:r>
              <w:t>65</w:t>
            </w:r>
          </w:p>
        </w:tc>
      </w:tr>
      <w:tr w:rsidR="007E0724" w14:paraId="6DAB6505" w14:textId="77777777">
        <w:trPr>
          <w:trHeight w:val="440"/>
        </w:trPr>
        <w:tc>
          <w:tcPr>
            <w:tcW w:w="588" w:type="dxa"/>
            <w:tcMar>
              <w:left w:w="0" w:type="dxa"/>
            </w:tcMar>
          </w:tcPr>
          <w:p w14:paraId="1AB7E078" w14:textId="77777777" w:rsidR="007E0724" w:rsidRDefault="00C4775C">
            <w:pPr>
              <w:pStyle w:val="AnnexNormal"/>
            </w:pPr>
            <w:r>
              <w:t>4.6.</w:t>
            </w:r>
          </w:p>
        </w:tc>
        <w:tc>
          <w:tcPr>
            <w:tcW w:w="8274" w:type="dxa"/>
            <w:gridSpan w:val="2"/>
          </w:tcPr>
          <w:p w14:paraId="1B2B0FBF" w14:textId="77777777" w:rsidR="007E0724" w:rsidRDefault="00C4775C">
            <w:pPr>
              <w:pStyle w:val="AnnexNormal"/>
              <w:tabs>
                <w:tab w:val="right" w:leader="dot" w:pos="8052"/>
              </w:tabs>
              <w:spacing w:after="260"/>
            </w:pPr>
            <w:r>
              <w:t>Raforkuframleiðsla úr jarðvarmaorku</w:t>
            </w:r>
            <w:r>
              <w:tab/>
            </w:r>
          </w:p>
        </w:tc>
        <w:tc>
          <w:tcPr>
            <w:tcW w:w="378" w:type="dxa"/>
            <w:tcMar>
              <w:right w:w="0" w:type="dxa"/>
            </w:tcMar>
          </w:tcPr>
          <w:p w14:paraId="5E07D60C" w14:textId="77777777" w:rsidR="007E0724" w:rsidRDefault="00C4775C">
            <w:pPr>
              <w:pStyle w:val="AnnexNormal"/>
            </w:pPr>
            <w:r>
              <w:t>68</w:t>
            </w:r>
          </w:p>
        </w:tc>
      </w:tr>
      <w:tr w:rsidR="007E0724" w14:paraId="3DA14C49" w14:textId="77777777">
        <w:trPr>
          <w:trHeight w:val="440"/>
        </w:trPr>
        <w:tc>
          <w:tcPr>
            <w:tcW w:w="588" w:type="dxa"/>
            <w:tcMar>
              <w:left w:w="0" w:type="dxa"/>
            </w:tcMar>
          </w:tcPr>
          <w:p w14:paraId="634F68C6" w14:textId="77777777" w:rsidR="007E0724" w:rsidRDefault="00C4775C">
            <w:pPr>
              <w:pStyle w:val="AnnexNormal"/>
            </w:pPr>
            <w:r>
              <w:t>4.7.</w:t>
            </w:r>
          </w:p>
        </w:tc>
        <w:tc>
          <w:tcPr>
            <w:tcW w:w="8274" w:type="dxa"/>
            <w:gridSpan w:val="2"/>
          </w:tcPr>
          <w:p w14:paraId="78736CC9" w14:textId="77777777" w:rsidR="007E0724" w:rsidRDefault="00C4775C">
            <w:pPr>
              <w:pStyle w:val="AnnexNormal"/>
              <w:tabs>
                <w:tab w:val="right" w:leader="dot" w:pos="8052"/>
              </w:tabs>
              <w:spacing w:after="260"/>
            </w:pPr>
            <w:r>
              <w:t>Raforkuframleiðsla úr endurnýjanlegu loftkenndu eldsneyti sem er ekki jarðefnaeldsneyti og fljótandi eldsneyti</w:t>
            </w:r>
            <w:r>
              <w:tab/>
            </w:r>
          </w:p>
        </w:tc>
        <w:tc>
          <w:tcPr>
            <w:tcW w:w="378" w:type="dxa"/>
            <w:tcMar>
              <w:right w:w="0" w:type="dxa"/>
            </w:tcMar>
          </w:tcPr>
          <w:p w14:paraId="7F215AB2" w14:textId="77777777" w:rsidR="007E0724" w:rsidRDefault="00C4775C">
            <w:pPr>
              <w:pStyle w:val="AnnexNormal"/>
            </w:pPr>
            <w:r>
              <w:t>69</w:t>
            </w:r>
          </w:p>
        </w:tc>
      </w:tr>
      <w:tr w:rsidR="007E0724" w14:paraId="107F8060" w14:textId="77777777">
        <w:trPr>
          <w:trHeight w:val="440"/>
        </w:trPr>
        <w:tc>
          <w:tcPr>
            <w:tcW w:w="588" w:type="dxa"/>
            <w:tcMar>
              <w:left w:w="0" w:type="dxa"/>
            </w:tcMar>
          </w:tcPr>
          <w:p w14:paraId="6FF85C77" w14:textId="77777777" w:rsidR="007E0724" w:rsidRDefault="00C4775C">
            <w:pPr>
              <w:pStyle w:val="AnnexNormal"/>
            </w:pPr>
            <w:r>
              <w:t>4.8.</w:t>
            </w:r>
          </w:p>
        </w:tc>
        <w:tc>
          <w:tcPr>
            <w:tcW w:w="8274" w:type="dxa"/>
            <w:gridSpan w:val="2"/>
          </w:tcPr>
          <w:p w14:paraId="26003A2B" w14:textId="77777777" w:rsidR="007E0724" w:rsidRDefault="00C4775C">
            <w:pPr>
              <w:pStyle w:val="AnnexNormal"/>
              <w:tabs>
                <w:tab w:val="right" w:leader="dot" w:pos="8052"/>
              </w:tabs>
              <w:spacing w:after="260"/>
            </w:pPr>
            <w:r>
              <w:t>Raforkuframleiðsla úr líforku</w:t>
            </w:r>
            <w:r>
              <w:tab/>
            </w:r>
          </w:p>
        </w:tc>
        <w:tc>
          <w:tcPr>
            <w:tcW w:w="378" w:type="dxa"/>
            <w:tcMar>
              <w:right w:w="0" w:type="dxa"/>
            </w:tcMar>
          </w:tcPr>
          <w:p w14:paraId="71C43DB0" w14:textId="77777777" w:rsidR="007E0724" w:rsidRDefault="00C4775C">
            <w:pPr>
              <w:pStyle w:val="AnnexNormal"/>
            </w:pPr>
            <w:r>
              <w:t>70</w:t>
            </w:r>
          </w:p>
        </w:tc>
      </w:tr>
      <w:tr w:rsidR="007E0724" w14:paraId="7E36F351" w14:textId="77777777">
        <w:trPr>
          <w:trHeight w:val="440"/>
        </w:trPr>
        <w:tc>
          <w:tcPr>
            <w:tcW w:w="588" w:type="dxa"/>
            <w:tcMar>
              <w:left w:w="0" w:type="dxa"/>
            </w:tcMar>
          </w:tcPr>
          <w:p w14:paraId="066CAB09" w14:textId="77777777" w:rsidR="007E0724" w:rsidRDefault="00C4775C">
            <w:pPr>
              <w:pStyle w:val="AnnexNormal"/>
            </w:pPr>
            <w:r>
              <w:t>4.9.</w:t>
            </w:r>
          </w:p>
        </w:tc>
        <w:tc>
          <w:tcPr>
            <w:tcW w:w="8274" w:type="dxa"/>
            <w:gridSpan w:val="2"/>
          </w:tcPr>
          <w:p w14:paraId="11EA28AD" w14:textId="77777777" w:rsidR="007E0724" w:rsidRDefault="00C4775C">
            <w:pPr>
              <w:pStyle w:val="AnnexNormal"/>
              <w:tabs>
                <w:tab w:val="right" w:leader="dot" w:pos="8052"/>
              </w:tabs>
              <w:spacing w:after="260"/>
            </w:pPr>
            <w:r>
              <w:t>Flutningur og dreifing á raforku</w:t>
            </w:r>
            <w:r>
              <w:tab/>
            </w:r>
          </w:p>
        </w:tc>
        <w:tc>
          <w:tcPr>
            <w:tcW w:w="378" w:type="dxa"/>
            <w:tcMar>
              <w:right w:w="0" w:type="dxa"/>
            </w:tcMar>
          </w:tcPr>
          <w:p w14:paraId="5F27355C" w14:textId="77777777" w:rsidR="007E0724" w:rsidRDefault="00C4775C">
            <w:pPr>
              <w:pStyle w:val="AnnexNormal"/>
            </w:pPr>
            <w:r>
              <w:t>72</w:t>
            </w:r>
          </w:p>
        </w:tc>
      </w:tr>
      <w:tr w:rsidR="007E0724" w14:paraId="556B2174" w14:textId="77777777">
        <w:trPr>
          <w:trHeight w:val="440"/>
        </w:trPr>
        <w:tc>
          <w:tcPr>
            <w:tcW w:w="588" w:type="dxa"/>
            <w:tcMar>
              <w:left w:w="0" w:type="dxa"/>
            </w:tcMar>
          </w:tcPr>
          <w:p w14:paraId="1D217605" w14:textId="77777777" w:rsidR="007E0724" w:rsidRDefault="00C4775C">
            <w:pPr>
              <w:pStyle w:val="AnnexNormal"/>
            </w:pPr>
            <w:r>
              <w:t>4.10.</w:t>
            </w:r>
          </w:p>
        </w:tc>
        <w:tc>
          <w:tcPr>
            <w:tcW w:w="8274" w:type="dxa"/>
            <w:gridSpan w:val="2"/>
          </w:tcPr>
          <w:p w14:paraId="27B96094" w14:textId="77777777" w:rsidR="007E0724" w:rsidRDefault="00C4775C">
            <w:pPr>
              <w:pStyle w:val="AnnexNormal"/>
              <w:tabs>
                <w:tab w:val="right" w:leader="dot" w:pos="8052"/>
              </w:tabs>
              <w:spacing w:after="260"/>
            </w:pPr>
            <w:r>
              <w:t>Geymsla á raforku</w:t>
            </w:r>
            <w:r>
              <w:tab/>
            </w:r>
          </w:p>
        </w:tc>
        <w:tc>
          <w:tcPr>
            <w:tcW w:w="378" w:type="dxa"/>
            <w:tcMar>
              <w:right w:w="0" w:type="dxa"/>
            </w:tcMar>
          </w:tcPr>
          <w:p w14:paraId="0DBAE18A" w14:textId="77777777" w:rsidR="007E0724" w:rsidRDefault="00C4775C">
            <w:pPr>
              <w:pStyle w:val="AnnexNormal"/>
            </w:pPr>
            <w:r>
              <w:t>75</w:t>
            </w:r>
          </w:p>
        </w:tc>
      </w:tr>
      <w:tr w:rsidR="007E0724" w14:paraId="33790815" w14:textId="77777777">
        <w:trPr>
          <w:trHeight w:val="440"/>
        </w:trPr>
        <w:tc>
          <w:tcPr>
            <w:tcW w:w="588" w:type="dxa"/>
            <w:tcMar>
              <w:left w:w="0" w:type="dxa"/>
            </w:tcMar>
          </w:tcPr>
          <w:p w14:paraId="09EF536F" w14:textId="77777777" w:rsidR="007E0724" w:rsidRDefault="00C4775C">
            <w:pPr>
              <w:pStyle w:val="AnnexNormal"/>
            </w:pPr>
            <w:r>
              <w:t>4.11.</w:t>
            </w:r>
          </w:p>
        </w:tc>
        <w:tc>
          <w:tcPr>
            <w:tcW w:w="8274" w:type="dxa"/>
            <w:gridSpan w:val="2"/>
          </w:tcPr>
          <w:p w14:paraId="3D607934" w14:textId="77777777" w:rsidR="007E0724" w:rsidRDefault="00C4775C">
            <w:pPr>
              <w:pStyle w:val="AnnexNormal"/>
              <w:tabs>
                <w:tab w:val="right" w:leader="dot" w:pos="8052"/>
              </w:tabs>
              <w:spacing w:after="260"/>
            </w:pPr>
            <w:r>
              <w:t>Geymsla á varmaorku</w:t>
            </w:r>
            <w:r>
              <w:tab/>
            </w:r>
          </w:p>
        </w:tc>
        <w:tc>
          <w:tcPr>
            <w:tcW w:w="378" w:type="dxa"/>
            <w:tcMar>
              <w:right w:w="0" w:type="dxa"/>
            </w:tcMar>
          </w:tcPr>
          <w:p w14:paraId="39169C5A" w14:textId="77777777" w:rsidR="007E0724" w:rsidRDefault="00C4775C">
            <w:pPr>
              <w:pStyle w:val="AnnexNormal"/>
            </w:pPr>
            <w:r>
              <w:t>76</w:t>
            </w:r>
          </w:p>
        </w:tc>
      </w:tr>
      <w:tr w:rsidR="007E0724" w14:paraId="2E42C0DA" w14:textId="77777777">
        <w:trPr>
          <w:trHeight w:val="440"/>
        </w:trPr>
        <w:tc>
          <w:tcPr>
            <w:tcW w:w="588" w:type="dxa"/>
            <w:tcMar>
              <w:left w:w="0" w:type="dxa"/>
            </w:tcMar>
          </w:tcPr>
          <w:p w14:paraId="4537C9DF" w14:textId="77777777" w:rsidR="007E0724" w:rsidRDefault="00C4775C">
            <w:pPr>
              <w:pStyle w:val="AnnexNormal"/>
            </w:pPr>
            <w:r>
              <w:t>4.12.</w:t>
            </w:r>
          </w:p>
        </w:tc>
        <w:tc>
          <w:tcPr>
            <w:tcW w:w="8274" w:type="dxa"/>
            <w:gridSpan w:val="2"/>
          </w:tcPr>
          <w:p w14:paraId="08484B5A" w14:textId="77777777" w:rsidR="007E0724" w:rsidRDefault="00C4775C">
            <w:pPr>
              <w:pStyle w:val="AnnexNormal"/>
              <w:tabs>
                <w:tab w:val="right" w:leader="dot" w:pos="8052"/>
              </w:tabs>
              <w:spacing w:after="260"/>
            </w:pPr>
            <w:r>
              <w:t>Geymsla á vetni</w:t>
            </w:r>
            <w:r>
              <w:tab/>
            </w:r>
          </w:p>
        </w:tc>
        <w:tc>
          <w:tcPr>
            <w:tcW w:w="378" w:type="dxa"/>
            <w:tcMar>
              <w:right w:w="0" w:type="dxa"/>
            </w:tcMar>
          </w:tcPr>
          <w:p w14:paraId="587F7F48" w14:textId="77777777" w:rsidR="007E0724" w:rsidRDefault="00C4775C">
            <w:pPr>
              <w:pStyle w:val="AnnexNormal"/>
            </w:pPr>
            <w:r>
              <w:t>77</w:t>
            </w:r>
          </w:p>
        </w:tc>
      </w:tr>
      <w:tr w:rsidR="007E0724" w14:paraId="6AC4619F" w14:textId="77777777">
        <w:trPr>
          <w:trHeight w:val="440"/>
        </w:trPr>
        <w:tc>
          <w:tcPr>
            <w:tcW w:w="588" w:type="dxa"/>
            <w:tcMar>
              <w:left w:w="0" w:type="dxa"/>
            </w:tcMar>
          </w:tcPr>
          <w:p w14:paraId="51ED40EA" w14:textId="77777777" w:rsidR="007E0724" w:rsidRDefault="00C4775C">
            <w:pPr>
              <w:pStyle w:val="AnnexNormal"/>
            </w:pPr>
            <w:r>
              <w:t>4.13.</w:t>
            </w:r>
          </w:p>
        </w:tc>
        <w:tc>
          <w:tcPr>
            <w:tcW w:w="8274" w:type="dxa"/>
            <w:gridSpan w:val="2"/>
          </w:tcPr>
          <w:p w14:paraId="15E0230F" w14:textId="77777777" w:rsidR="007E0724" w:rsidRDefault="00C4775C">
            <w:pPr>
              <w:pStyle w:val="AnnexNormal"/>
              <w:tabs>
                <w:tab w:val="right" w:leader="dot" w:pos="8052"/>
              </w:tabs>
              <w:spacing w:after="260"/>
            </w:pPr>
            <w:r>
              <w:t>Framleiðsla á lífgasi og lífeldsneyti til notkunar í flutningum og á fljótandi lífeldsneyti</w:t>
            </w:r>
            <w:r>
              <w:tab/>
            </w:r>
          </w:p>
        </w:tc>
        <w:tc>
          <w:tcPr>
            <w:tcW w:w="378" w:type="dxa"/>
            <w:tcMar>
              <w:right w:w="0" w:type="dxa"/>
            </w:tcMar>
          </w:tcPr>
          <w:p w14:paraId="52ADA5F4" w14:textId="77777777" w:rsidR="007E0724" w:rsidRDefault="00C4775C">
            <w:pPr>
              <w:pStyle w:val="AnnexNormal"/>
            </w:pPr>
            <w:r>
              <w:t>77</w:t>
            </w:r>
          </w:p>
        </w:tc>
      </w:tr>
      <w:tr w:rsidR="007E0724" w14:paraId="1FD67760" w14:textId="77777777">
        <w:trPr>
          <w:trHeight w:val="440"/>
        </w:trPr>
        <w:tc>
          <w:tcPr>
            <w:tcW w:w="588" w:type="dxa"/>
            <w:tcMar>
              <w:left w:w="0" w:type="dxa"/>
            </w:tcMar>
          </w:tcPr>
          <w:p w14:paraId="0AE204C1" w14:textId="77777777" w:rsidR="007E0724" w:rsidRDefault="00C4775C">
            <w:pPr>
              <w:pStyle w:val="AnnexNormal"/>
            </w:pPr>
            <w:r>
              <w:t>4.14.</w:t>
            </w:r>
          </w:p>
        </w:tc>
        <w:tc>
          <w:tcPr>
            <w:tcW w:w="8274" w:type="dxa"/>
            <w:gridSpan w:val="2"/>
          </w:tcPr>
          <w:p w14:paraId="1BDD1A7C" w14:textId="77777777" w:rsidR="007E0724" w:rsidRDefault="00C4775C">
            <w:pPr>
              <w:pStyle w:val="AnnexNormal"/>
              <w:tabs>
                <w:tab w:val="right" w:leader="dot" w:pos="8052"/>
              </w:tabs>
              <w:spacing w:after="260"/>
            </w:pPr>
            <w:r>
              <w:t>Flutnings- og dreifikerfi fyrir endurnýjanlegt gas og lágkolefnisgas</w:t>
            </w:r>
            <w:r>
              <w:tab/>
            </w:r>
          </w:p>
        </w:tc>
        <w:tc>
          <w:tcPr>
            <w:tcW w:w="378" w:type="dxa"/>
            <w:tcMar>
              <w:right w:w="0" w:type="dxa"/>
            </w:tcMar>
          </w:tcPr>
          <w:p w14:paraId="0C4DCDA2" w14:textId="77777777" w:rsidR="007E0724" w:rsidRDefault="00C4775C">
            <w:pPr>
              <w:pStyle w:val="AnnexNormal"/>
            </w:pPr>
            <w:r>
              <w:t>79</w:t>
            </w:r>
          </w:p>
        </w:tc>
      </w:tr>
      <w:tr w:rsidR="007E0724" w14:paraId="413CC734" w14:textId="77777777">
        <w:trPr>
          <w:trHeight w:val="440"/>
        </w:trPr>
        <w:tc>
          <w:tcPr>
            <w:tcW w:w="588" w:type="dxa"/>
            <w:tcMar>
              <w:left w:w="0" w:type="dxa"/>
            </w:tcMar>
          </w:tcPr>
          <w:p w14:paraId="01AE6835" w14:textId="77777777" w:rsidR="007E0724" w:rsidRDefault="00C4775C">
            <w:pPr>
              <w:pStyle w:val="AnnexNormal"/>
            </w:pPr>
            <w:r>
              <w:t>4.15.</w:t>
            </w:r>
          </w:p>
        </w:tc>
        <w:tc>
          <w:tcPr>
            <w:tcW w:w="8274" w:type="dxa"/>
            <w:gridSpan w:val="2"/>
          </w:tcPr>
          <w:p w14:paraId="1AE073ED" w14:textId="77777777" w:rsidR="007E0724" w:rsidRDefault="00C4775C">
            <w:pPr>
              <w:pStyle w:val="AnnexNormal"/>
              <w:tabs>
                <w:tab w:val="right" w:leader="dot" w:pos="8052"/>
              </w:tabs>
              <w:spacing w:after="260"/>
            </w:pPr>
            <w:r>
              <w:t xml:space="preserve">Dreifing </w:t>
            </w:r>
            <w:proofErr w:type="spellStart"/>
            <w:r>
              <w:t>fjarhitunar</w:t>
            </w:r>
            <w:proofErr w:type="spellEnd"/>
            <w:r>
              <w:t>/-kælingar</w:t>
            </w:r>
            <w:r>
              <w:tab/>
            </w:r>
          </w:p>
        </w:tc>
        <w:tc>
          <w:tcPr>
            <w:tcW w:w="378" w:type="dxa"/>
            <w:tcMar>
              <w:right w:w="0" w:type="dxa"/>
            </w:tcMar>
          </w:tcPr>
          <w:p w14:paraId="2FCC0732" w14:textId="77777777" w:rsidR="007E0724" w:rsidRDefault="00C4775C">
            <w:pPr>
              <w:pStyle w:val="AnnexNormal"/>
            </w:pPr>
            <w:r>
              <w:t>79</w:t>
            </w:r>
          </w:p>
        </w:tc>
      </w:tr>
      <w:tr w:rsidR="007E0724" w14:paraId="3FE6EB9E" w14:textId="77777777">
        <w:trPr>
          <w:trHeight w:val="440"/>
        </w:trPr>
        <w:tc>
          <w:tcPr>
            <w:tcW w:w="588" w:type="dxa"/>
            <w:tcMar>
              <w:left w:w="0" w:type="dxa"/>
            </w:tcMar>
          </w:tcPr>
          <w:p w14:paraId="53B2FF04" w14:textId="77777777" w:rsidR="007E0724" w:rsidRDefault="00C4775C">
            <w:pPr>
              <w:pStyle w:val="AnnexNormal"/>
            </w:pPr>
            <w:r>
              <w:t>4.16.</w:t>
            </w:r>
          </w:p>
        </w:tc>
        <w:tc>
          <w:tcPr>
            <w:tcW w:w="8274" w:type="dxa"/>
            <w:gridSpan w:val="2"/>
          </w:tcPr>
          <w:p w14:paraId="14EE103A" w14:textId="77777777" w:rsidR="007E0724" w:rsidRDefault="00C4775C">
            <w:pPr>
              <w:pStyle w:val="AnnexNormal"/>
              <w:tabs>
                <w:tab w:val="right" w:leader="dot" w:pos="8052"/>
              </w:tabs>
              <w:spacing w:after="260"/>
            </w:pPr>
            <w:r>
              <w:t xml:space="preserve">Uppsetning og </w:t>
            </w:r>
            <w:proofErr w:type="spellStart"/>
            <w:r>
              <w:t>starfræksla</w:t>
            </w:r>
            <w:proofErr w:type="spellEnd"/>
            <w:r>
              <w:t xml:space="preserve"> rafmagnsvarmadæla</w:t>
            </w:r>
            <w:r>
              <w:tab/>
            </w:r>
          </w:p>
        </w:tc>
        <w:tc>
          <w:tcPr>
            <w:tcW w:w="378" w:type="dxa"/>
            <w:tcMar>
              <w:right w:w="0" w:type="dxa"/>
            </w:tcMar>
          </w:tcPr>
          <w:p w14:paraId="0BF13766" w14:textId="77777777" w:rsidR="007E0724" w:rsidRDefault="00C4775C">
            <w:pPr>
              <w:pStyle w:val="AnnexNormal"/>
            </w:pPr>
            <w:r>
              <w:t>80</w:t>
            </w:r>
          </w:p>
        </w:tc>
      </w:tr>
      <w:tr w:rsidR="007E0724" w14:paraId="10965910" w14:textId="77777777">
        <w:trPr>
          <w:trHeight w:val="440"/>
        </w:trPr>
        <w:tc>
          <w:tcPr>
            <w:tcW w:w="588" w:type="dxa"/>
            <w:tcMar>
              <w:left w:w="0" w:type="dxa"/>
            </w:tcMar>
          </w:tcPr>
          <w:p w14:paraId="18E9E2A5" w14:textId="77777777" w:rsidR="007E0724" w:rsidRDefault="00C4775C">
            <w:pPr>
              <w:pStyle w:val="AnnexNormal"/>
            </w:pPr>
            <w:r>
              <w:t>4.17.</w:t>
            </w:r>
          </w:p>
        </w:tc>
        <w:tc>
          <w:tcPr>
            <w:tcW w:w="8274" w:type="dxa"/>
            <w:gridSpan w:val="2"/>
          </w:tcPr>
          <w:p w14:paraId="5FA88A0A" w14:textId="77777777" w:rsidR="007E0724" w:rsidRDefault="00C4775C">
            <w:pPr>
              <w:pStyle w:val="AnnexNormal"/>
              <w:tabs>
                <w:tab w:val="right" w:leader="dot" w:pos="8052"/>
              </w:tabs>
              <w:spacing w:after="260"/>
            </w:pPr>
            <w:proofErr w:type="spellStart"/>
            <w:r>
              <w:t>Samþætt</w:t>
            </w:r>
            <w:proofErr w:type="spellEnd"/>
            <w:r>
              <w:t xml:space="preserve"> vinnsla varma/kælingar og raforku úr sólarorku</w:t>
            </w:r>
            <w:r>
              <w:tab/>
            </w:r>
          </w:p>
        </w:tc>
        <w:tc>
          <w:tcPr>
            <w:tcW w:w="378" w:type="dxa"/>
            <w:tcMar>
              <w:right w:w="0" w:type="dxa"/>
            </w:tcMar>
          </w:tcPr>
          <w:p w14:paraId="5FC48104" w14:textId="77777777" w:rsidR="007E0724" w:rsidRDefault="00C4775C">
            <w:pPr>
              <w:pStyle w:val="AnnexNormal"/>
            </w:pPr>
            <w:r>
              <w:t>81</w:t>
            </w:r>
          </w:p>
        </w:tc>
      </w:tr>
      <w:tr w:rsidR="007E0724" w14:paraId="63C236D7" w14:textId="77777777">
        <w:trPr>
          <w:trHeight w:val="440"/>
        </w:trPr>
        <w:tc>
          <w:tcPr>
            <w:tcW w:w="588" w:type="dxa"/>
            <w:tcMar>
              <w:left w:w="0" w:type="dxa"/>
            </w:tcMar>
          </w:tcPr>
          <w:p w14:paraId="72E36FC9" w14:textId="77777777" w:rsidR="007E0724" w:rsidRDefault="00C4775C">
            <w:pPr>
              <w:pStyle w:val="AnnexNormal"/>
            </w:pPr>
            <w:r>
              <w:t>4.18.</w:t>
            </w:r>
          </w:p>
        </w:tc>
        <w:tc>
          <w:tcPr>
            <w:tcW w:w="8274" w:type="dxa"/>
            <w:gridSpan w:val="2"/>
          </w:tcPr>
          <w:p w14:paraId="1A445BF9" w14:textId="77777777" w:rsidR="007E0724" w:rsidRDefault="00C4775C">
            <w:pPr>
              <w:pStyle w:val="AnnexNormal"/>
              <w:tabs>
                <w:tab w:val="right" w:leader="dot" w:pos="8052"/>
              </w:tabs>
              <w:spacing w:after="260"/>
            </w:pPr>
            <w:proofErr w:type="spellStart"/>
            <w:r>
              <w:t>Samþætt</w:t>
            </w:r>
            <w:proofErr w:type="spellEnd"/>
            <w:r>
              <w:t xml:space="preserve"> vinnsla varma/kælingar og raforku úr jarðvarmaorku</w:t>
            </w:r>
            <w:r>
              <w:tab/>
            </w:r>
          </w:p>
        </w:tc>
        <w:tc>
          <w:tcPr>
            <w:tcW w:w="378" w:type="dxa"/>
            <w:tcMar>
              <w:right w:w="0" w:type="dxa"/>
            </w:tcMar>
          </w:tcPr>
          <w:p w14:paraId="4B890CF0" w14:textId="77777777" w:rsidR="007E0724" w:rsidRDefault="00C4775C">
            <w:pPr>
              <w:pStyle w:val="AnnexNormal"/>
            </w:pPr>
            <w:r>
              <w:t>82</w:t>
            </w:r>
          </w:p>
        </w:tc>
      </w:tr>
      <w:tr w:rsidR="007E0724" w14:paraId="62A717C0" w14:textId="77777777">
        <w:trPr>
          <w:trHeight w:val="440"/>
        </w:trPr>
        <w:tc>
          <w:tcPr>
            <w:tcW w:w="588" w:type="dxa"/>
            <w:tcMar>
              <w:left w:w="0" w:type="dxa"/>
            </w:tcMar>
          </w:tcPr>
          <w:p w14:paraId="2CBEC646" w14:textId="77777777" w:rsidR="007E0724" w:rsidRDefault="00C4775C">
            <w:pPr>
              <w:pStyle w:val="AnnexNormal"/>
            </w:pPr>
            <w:r>
              <w:t>4.19.</w:t>
            </w:r>
          </w:p>
        </w:tc>
        <w:tc>
          <w:tcPr>
            <w:tcW w:w="8274" w:type="dxa"/>
            <w:gridSpan w:val="2"/>
          </w:tcPr>
          <w:p w14:paraId="2DC9420C" w14:textId="77777777" w:rsidR="007E0724" w:rsidRDefault="00C4775C">
            <w:pPr>
              <w:pStyle w:val="AnnexNormal"/>
              <w:tabs>
                <w:tab w:val="right" w:leader="dot" w:pos="8052"/>
              </w:tabs>
              <w:spacing w:after="260"/>
            </w:pPr>
            <w:proofErr w:type="spellStart"/>
            <w:r>
              <w:t>Samþætt</w:t>
            </w:r>
            <w:proofErr w:type="spellEnd"/>
            <w:r>
              <w:t xml:space="preserve"> vinnsla varma/kælingar og raforku úr endurnýjanlegu loftkenndu eldsneyti sem er ekki jarðefnaeldsneyti og fljótandi eldsneyti</w:t>
            </w:r>
            <w:r>
              <w:tab/>
            </w:r>
          </w:p>
        </w:tc>
        <w:tc>
          <w:tcPr>
            <w:tcW w:w="378" w:type="dxa"/>
            <w:tcMar>
              <w:right w:w="0" w:type="dxa"/>
            </w:tcMar>
          </w:tcPr>
          <w:p w14:paraId="1CF79F4D" w14:textId="77777777" w:rsidR="007E0724" w:rsidRDefault="00C4775C">
            <w:pPr>
              <w:pStyle w:val="AnnexNormal"/>
            </w:pPr>
            <w:r>
              <w:t>83</w:t>
            </w:r>
          </w:p>
        </w:tc>
      </w:tr>
      <w:tr w:rsidR="007E0724" w14:paraId="791F9557" w14:textId="77777777">
        <w:trPr>
          <w:trHeight w:val="440"/>
        </w:trPr>
        <w:tc>
          <w:tcPr>
            <w:tcW w:w="588" w:type="dxa"/>
            <w:tcMar>
              <w:left w:w="0" w:type="dxa"/>
            </w:tcMar>
          </w:tcPr>
          <w:p w14:paraId="3F47053B" w14:textId="77777777" w:rsidR="007E0724" w:rsidRDefault="00C4775C">
            <w:pPr>
              <w:pStyle w:val="AnnexNormal"/>
            </w:pPr>
            <w:r>
              <w:t>4.20.</w:t>
            </w:r>
          </w:p>
        </w:tc>
        <w:tc>
          <w:tcPr>
            <w:tcW w:w="8274" w:type="dxa"/>
            <w:gridSpan w:val="2"/>
          </w:tcPr>
          <w:p w14:paraId="22A0722A" w14:textId="77777777" w:rsidR="007E0724" w:rsidRDefault="00C4775C">
            <w:pPr>
              <w:pStyle w:val="AnnexNormal"/>
              <w:tabs>
                <w:tab w:val="right" w:leader="dot" w:pos="8052"/>
              </w:tabs>
              <w:spacing w:after="260"/>
            </w:pPr>
            <w:proofErr w:type="spellStart"/>
            <w:r>
              <w:t>Samþætt</w:t>
            </w:r>
            <w:proofErr w:type="spellEnd"/>
            <w:r>
              <w:t xml:space="preserve"> vinnsla varma/kælingar og raforku úr líforku</w:t>
            </w:r>
            <w:r>
              <w:tab/>
            </w:r>
          </w:p>
        </w:tc>
        <w:tc>
          <w:tcPr>
            <w:tcW w:w="378" w:type="dxa"/>
            <w:tcMar>
              <w:right w:w="0" w:type="dxa"/>
            </w:tcMar>
          </w:tcPr>
          <w:p w14:paraId="004884E9" w14:textId="77777777" w:rsidR="007E0724" w:rsidRDefault="00C4775C">
            <w:pPr>
              <w:pStyle w:val="AnnexNormal"/>
            </w:pPr>
            <w:r>
              <w:t>84</w:t>
            </w:r>
          </w:p>
        </w:tc>
      </w:tr>
      <w:tr w:rsidR="007E0724" w14:paraId="325F14C6" w14:textId="77777777">
        <w:trPr>
          <w:trHeight w:val="440"/>
        </w:trPr>
        <w:tc>
          <w:tcPr>
            <w:tcW w:w="588" w:type="dxa"/>
            <w:tcMar>
              <w:left w:w="0" w:type="dxa"/>
            </w:tcMar>
          </w:tcPr>
          <w:p w14:paraId="4BB11B60" w14:textId="77777777" w:rsidR="007E0724" w:rsidRDefault="00C4775C">
            <w:pPr>
              <w:pStyle w:val="AnnexNormal"/>
            </w:pPr>
            <w:r>
              <w:t>4.21.</w:t>
            </w:r>
          </w:p>
        </w:tc>
        <w:tc>
          <w:tcPr>
            <w:tcW w:w="8274" w:type="dxa"/>
            <w:gridSpan w:val="2"/>
          </w:tcPr>
          <w:p w14:paraId="647401F9" w14:textId="77777777" w:rsidR="007E0724" w:rsidRDefault="00C4775C">
            <w:pPr>
              <w:pStyle w:val="AnnexNormal"/>
              <w:tabs>
                <w:tab w:val="right" w:leader="dot" w:pos="8052"/>
              </w:tabs>
              <w:spacing w:after="260"/>
            </w:pPr>
            <w:r>
              <w:t>Framleiðsla á varma/kælingu úr sólarvarmaorku</w:t>
            </w:r>
            <w:r>
              <w:tab/>
            </w:r>
          </w:p>
        </w:tc>
        <w:tc>
          <w:tcPr>
            <w:tcW w:w="378" w:type="dxa"/>
            <w:tcMar>
              <w:right w:w="0" w:type="dxa"/>
            </w:tcMar>
          </w:tcPr>
          <w:p w14:paraId="517C8DF7" w14:textId="77777777" w:rsidR="007E0724" w:rsidRDefault="00C4775C">
            <w:pPr>
              <w:pStyle w:val="AnnexNormal"/>
            </w:pPr>
            <w:r>
              <w:t>85</w:t>
            </w:r>
          </w:p>
        </w:tc>
      </w:tr>
      <w:tr w:rsidR="007E0724" w14:paraId="2E36490A" w14:textId="77777777">
        <w:trPr>
          <w:trHeight w:val="440"/>
        </w:trPr>
        <w:tc>
          <w:tcPr>
            <w:tcW w:w="588" w:type="dxa"/>
            <w:tcMar>
              <w:left w:w="0" w:type="dxa"/>
            </w:tcMar>
          </w:tcPr>
          <w:p w14:paraId="04ACB3D2" w14:textId="77777777" w:rsidR="007E0724" w:rsidRDefault="00C4775C">
            <w:pPr>
              <w:pStyle w:val="AnnexNormal"/>
            </w:pPr>
            <w:r>
              <w:t>4.22.</w:t>
            </w:r>
          </w:p>
        </w:tc>
        <w:tc>
          <w:tcPr>
            <w:tcW w:w="8274" w:type="dxa"/>
            <w:gridSpan w:val="2"/>
          </w:tcPr>
          <w:p w14:paraId="707B2221" w14:textId="77777777" w:rsidR="007E0724" w:rsidRDefault="00C4775C">
            <w:pPr>
              <w:pStyle w:val="AnnexNormal"/>
              <w:tabs>
                <w:tab w:val="right" w:leader="dot" w:pos="8052"/>
              </w:tabs>
              <w:spacing w:after="260"/>
            </w:pPr>
            <w:r>
              <w:t>Framleiðsla á varma/kælingu úr jarðvarmaorku</w:t>
            </w:r>
            <w:r>
              <w:tab/>
            </w:r>
          </w:p>
        </w:tc>
        <w:tc>
          <w:tcPr>
            <w:tcW w:w="378" w:type="dxa"/>
            <w:tcMar>
              <w:right w:w="0" w:type="dxa"/>
            </w:tcMar>
          </w:tcPr>
          <w:p w14:paraId="3ED93796" w14:textId="77777777" w:rsidR="007E0724" w:rsidRDefault="00C4775C">
            <w:pPr>
              <w:pStyle w:val="AnnexNormal"/>
            </w:pPr>
            <w:r>
              <w:t>86</w:t>
            </w:r>
          </w:p>
        </w:tc>
      </w:tr>
      <w:tr w:rsidR="007E0724" w14:paraId="14F27AF8" w14:textId="77777777">
        <w:trPr>
          <w:trHeight w:val="440"/>
        </w:trPr>
        <w:tc>
          <w:tcPr>
            <w:tcW w:w="588" w:type="dxa"/>
            <w:tcMar>
              <w:left w:w="0" w:type="dxa"/>
            </w:tcMar>
          </w:tcPr>
          <w:p w14:paraId="739CCC69" w14:textId="77777777" w:rsidR="007E0724" w:rsidRDefault="00C4775C">
            <w:pPr>
              <w:pStyle w:val="AnnexNormal"/>
            </w:pPr>
            <w:r>
              <w:t>4.23.</w:t>
            </w:r>
          </w:p>
        </w:tc>
        <w:tc>
          <w:tcPr>
            <w:tcW w:w="8274" w:type="dxa"/>
            <w:gridSpan w:val="2"/>
          </w:tcPr>
          <w:p w14:paraId="615AD8CB" w14:textId="77777777" w:rsidR="007E0724" w:rsidRDefault="00C4775C">
            <w:pPr>
              <w:pStyle w:val="AnnexNormal"/>
              <w:tabs>
                <w:tab w:val="right" w:leader="dot" w:pos="8052"/>
              </w:tabs>
              <w:spacing w:after="260"/>
            </w:pPr>
            <w:r>
              <w:t>Framleiðsla á varma/kælingu úr endurnýjanlegu loftkenndu eldsneyti sem er ekki jarðefnaeldsneyti og fljótandi eldsneyti</w:t>
            </w:r>
            <w:r>
              <w:tab/>
            </w:r>
          </w:p>
        </w:tc>
        <w:tc>
          <w:tcPr>
            <w:tcW w:w="378" w:type="dxa"/>
            <w:tcMar>
              <w:right w:w="0" w:type="dxa"/>
            </w:tcMar>
          </w:tcPr>
          <w:p w14:paraId="753BDF4D" w14:textId="77777777" w:rsidR="007E0724" w:rsidRDefault="00C4775C">
            <w:pPr>
              <w:pStyle w:val="AnnexNormal"/>
            </w:pPr>
            <w:r>
              <w:t>87</w:t>
            </w:r>
          </w:p>
        </w:tc>
      </w:tr>
      <w:tr w:rsidR="007E0724" w14:paraId="7A9A3CC4" w14:textId="77777777">
        <w:trPr>
          <w:trHeight w:val="440"/>
        </w:trPr>
        <w:tc>
          <w:tcPr>
            <w:tcW w:w="588" w:type="dxa"/>
            <w:tcMar>
              <w:left w:w="0" w:type="dxa"/>
            </w:tcMar>
          </w:tcPr>
          <w:p w14:paraId="35644872" w14:textId="77777777" w:rsidR="007E0724" w:rsidRDefault="00C4775C">
            <w:pPr>
              <w:pStyle w:val="AnnexNormal"/>
            </w:pPr>
            <w:r>
              <w:t>4.24.</w:t>
            </w:r>
          </w:p>
        </w:tc>
        <w:tc>
          <w:tcPr>
            <w:tcW w:w="8274" w:type="dxa"/>
            <w:gridSpan w:val="2"/>
          </w:tcPr>
          <w:p w14:paraId="633C1AC6" w14:textId="77777777" w:rsidR="007E0724" w:rsidRDefault="00C4775C">
            <w:pPr>
              <w:pStyle w:val="AnnexNormal"/>
              <w:tabs>
                <w:tab w:val="right" w:leader="dot" w:pos="8052"/>
              </w:tabs>
              <w:spacing w:after="260"/>
            </w:pPr>
            <w:r>
              <w:t>Framleiðsla á varma/kælingu úr líforku</w:t>
            </w:r>
            <w:r>
              <w:tab/>
            </w:r>
          </w:p>
        </w:tc>
        <w:tc>
          <w:tcPr>
            <w:tcW w:w="378" w:type="dxa"/>
            <w:tcMar>
              <w:right w:w="0" w:type="dxa"/>
            </w:tcMar>
          </w:tcPr>
          <w:p w14:paraId="13DC0436" w14:textId="77777777" w:rsidR="007E0724" w:rsidRDefault="00C4775C">
            <w:pPr>
              <w:pStyle w:val="AnnexNormal"/>
            </w:pPr>
            <w:r>
              <w:t>88</w:t>
            </w:r>
          </w:p>
        </w:tc>
      </w:tr>
      <w:tr w:rsidR="007E0724" w14:paraId="1770CEBF" w14:textId="77777777">
        <w:trPr>
          <w:trHeight w:val="440"/>
        </w:trPr>
        <w:tc>
          <w:tcPr>
            <w:tcW w:w="588" w:type="dxa"/>
            <w:tcMar>
              <w:left w:w="0" w:type="dxa"/>
            </w:tcMar>
          </w:tcPr>
          <w:p w14:paraId="0A1A3167" w14:textId="77777777" w:rsidR="007E0724" w:rsidRDefault="00C4775C">
            <w:pPr>
              <w:pStyle w:val="AnnexNormal"/>
            </w:pPr>
            <w:r>
              <w:lastRenderedPageBreak/>
              <w:t>4.25.</w:t>
            </w:r>
          </w:p>
        </w:tc>
        <w:tc>
          <w:tcPr>
            <w:tcW w:w="8274" w:type="dxa"/>
            <w:gridSpan w:val="2"/>
          </w:tcPr>
          <w:p w14:paraId="29E5FC2F" w14:textId="77777777" w:rsidR="007E0724" w:rsidRDefault="00C4775C">
            <w:pPr>
              <w:pStyle w:val="AnnexNormal"/>
              <w:tabs>
                <w:tab w:val="right" w:leader="dot" w:pos="8052"/>
              </w:tabs>
              <w:spacing w:after="260"/>
            </w:pPr>
            <w:r>
              <w:t xml:space="preserve">Framleiðsla á varma/kælingu úr </w:t>
            </w:r>
            <w:proofErr w:type="spellStart"/>
            <w:r>
              <w:t>glatvarma</w:t>
            </w:r>
            <w:proofErr w:type="spellEnd"/>
            <w:r>
              <w:tab/>
            </w:r>
          </w:p>
        </w:tc>
        <w:tc>
          <w:tcPr>
            <w:tcW w:w="378" w:type="dxa"/>
            <w:tcMar>
              <w:right w:w="0" w:type="dxa"/>
            </w:tcMar>
          </w:tcPr>
          <w:p w14:paraId="770860A7" w14:textId="77777777" w:rsidR="007E0724" w:rsidRDefault="00C4775C">
            <w:pPr>
              <w:pStyle w:val="AnnexNormal"/>
            </w:pPr>
            <w:r>
              <w:t>89</w:t>
            </w:r>
          </w:p>
        </w:tc>
      </w:tr>
      <w:tr w:rsidR="007E0724" w14:paraId="10C1EF39" w14:textId="77777777">
        <w:trPr>
          <w:trHeight w:val="440"/>
        </w:trPr>
        <w:tc>
          <w:tcPr>
            <w:tcW w:w="588" w:type="dxa"/>
            <w:tcMar>
              <w:left w:w="0" w:type="dxa"/>
            </w:tcMar>
          </w:tcPr>
          <w:p w14:paraId="5DB83466" w14:textId="77777777" w:rsidR="007E0724" w:rsidRDefault="00C4775C">
            <w:pPr>
              <w:pStyle w:val="AnnexNormal"/>
              <w:pageBreakBefore/>
            </w:pPr>
            <w:r>
              <w:lastRenderedPageBreak/>
              <w:t>5.</w:t>
            </w:r>
          </w:p>
        </w:tc>
        <w:tc>
          <w:tcPr>
            <w:tcW w:w="8274" w:type="dxa"/>
            <w:gridSpan w:val="2"/>
          </w:tcPr>
          <w:p w14:paraId="7EBF240A" w14:textId="77777777" w:rsidR="007E0724" w:rsidRDefault="00C4775C">
            <w:pPr>
              <w:pStyle w:val="AnnexNormal"/>
              <w:tabs>
                <w:tab w:val="right" w:leader="dot" w:pos="8052"/>
              </w:tabs>
              <w:spacing w:after="260"/>
            </w:pPr>
            <w:r>
              <w:t>Vatnsveita, fráveitukerfi, úrgangsstjórnun og hreinsun</w:t>
            </w:r>
            <w:r>
              <w:tab/>
            </w:r>
          </w:p>
        </w:tc>
        <w:tc>
          <w:tcPr>
            <w:tcW w:w="378" w:type="dxa"/>
            <w:tcMar>
              <w:right w:w="0" w:type="dxa"/>
            </w:tcMar>
          </w:tcPr>
          <w:p w14:paraId="05D67E8F" w14:textId="77777777" w:rsidR="007E0724" w:rsidRDefault="00C4775C">
            <w:pPr>
              <w:pStyle w:val="AnnexNormal"/>
            </w:pPr>
            <w:r>
              <w:t>90</w:t>
            </w:r>
          </w:p>
        </w:tc>
      </w:tr>
      <w:tr w:rsidR="007E0724" w14:paraId="603977EE" w14:textId="77777777">
        <w:trPr>
          <w:trHeight w:val="440"/>
        </w:trPr>
        <w:tc>
          <w:tcPr>
            <w:tcW w:w="588" w:type="dxa"/>
            <w:tcMar>
              <w:left w:w="0" w:type="dxa"/>
            </w:tcMar>
          </w:tcPr>
          <w:p w14:paraId="7B0304D1" w14:textId="77777777" w:rsidR="007E0724" w:rsidRDefault="00C4775C">
            <w:pPr>
              <w:pStyle w:val="AnnexNormal"/>
            </w:pPr>
            <w:r>
              <w:t>5.1.</w:t>
            </w:r>
          </w:p>
        </w:tc>
        <w:tc>
          <w:tcPr>
            <w:tcW w:w="8274" w:type="dxa"/>
            <w:gridSpan w:val="2"/>
          </w:tcPr>
          <w:p w14:paraId="3DDCBF16" w14:textId="77777777" w:rsidR="007E0724" w:rsidRDefault="00C4775C">
            <w:pPr>
              <w:pStyle w:val="AnnexNormal"/>
              <w:tabs>
                <w:tab w:val="right" w:leader="dot" w:pos="8052"/>
              </w:tabs>
              <w:spacing w:after="260"/>
            </w:pPr>
            <w:r>
              <w:t xml:space="preserve">Uppbygging, stækkun og </w:t>
            </w:r>
            <w:proofErr w:type="spellStart"/>
            <w:r>
              <w:t>starfræksla</w:t>
            </w:r>
            <w:proofErr w:type="spellEnd"/>
            <w:r>
              <w:t xml:space="preserve"> vatnsöflunar-, </w:t>
            </w:r>
            <w:proofErr w:type="spellStart"/>
            <w:r>
              <w:t>vatnshreinsi</w:t>
            </w:r>
            <w:proofErr w:type="spellEnd"/>
            <w:r>
              <w:t>- og vatnsveitukerfa</w:t>
            </w:r>
            <w:r>
              <w:tab/>
            </w:r>
          </w:p>
        </w:tc>
        <w:tc>
          <w:tcPr>
            <w:tcW w:w="378" w:type="dxa"/>
            <w:tcMar>
              <w:right w:w="0" w:type="dxa"/>
            </w:tcMar>
          </w:tcPr>
          <w:p w14:paraId="589B7DE4" w14:textId="77777777" w:rsidR="007E0724" w:rsidRDefault="00C4775C">
            <w:pPr>
              <w:pStyle w:val="AnnexNormal"/>
            </w:pPr>
            <w:r>
              <w:t>90</w:t>
            </w:r>
          </w:p>
        </w:tc>
      </w:tr>
      <w:tr w:rsidR="007E0724" w14:paraId="6949E5EE" w14:textId="77777777">
        <w:trPr>
          <w:trHeight w:val="440"/>
        </w:trPr>
        <w:tc>
          <w:tcPr>
            <w:tcW w:w="588" w:type="dxa"/>
            <w:tcMar>
              <w:left w:w="0" w:type="dxa"/>
            </w:tcMar>
          </w:tcPr>
          <w:p w14:paraId="17BAD914" w14:textId="77777777" w:rsidR="007E0724" w:rsidRDefault="00C4775C">
            <w:pPr>
              <w:pStyle w:val="AnnexNormal"/>
            </w:pPr>
            <w:r>
              <w:t>5.2.</w:t>
            </w:r>
          </w:p>
        </w:tc>
        <w:tc>
          <w:tcPr>
            <w:tcW w:w="8274" w:type="dxa"/>
            <w:gridSpan w:val="2"/>
          </w:tcPr>
          <w:p w14:paraId="76269227" w14:textId="77777777" w:rsidR="007E0724" w:rsidRDefault="00C4775C">
            <w:pPr>
              <w:pStyle w:val="AnnexNormal"/>
              <w:tabs>
                <w:tab w:val="right" w:leader="dot" w:pos="8052"/>
              </w:tabs>
              <w:spacing w:after="260"/>
            </w:pPr>
            <w:r>
              <w:t xml:space="preserve">Endurnýjun vatnsöflunar-, </w:t>
            </w:r>
            <w:proofErr w:type="spellStart"/>
            <w:r>
              <w:t>vatnshreinsi</w:t>
            </w:r>
            <w:proofErr w:type="spellEnd"/>
            <w:r>
              <w:t>- og vatnsveitukerfa</w:t>
            </w:r>
            <w:r>
              <w:tab/>
            </w:r>
          </w:p>
        </w:tc>
        <w:tc>
          <w:tcPr>
            <w:tcW w:w="378" w:type="dxa"/>
            <w:tcMar>
              <w:right w:w="0" w:type="dxa"/>
            </w:tcMar>
          </w:tcPr>
          <w:p w14:paraId="40C1E3B8" w14:textId="77777777" w:rsidR="007E0724" w:rsidRDefault="00C4775C">
            <w:pPr>
              <w:pStyle w:val="AnnexNormal"/>
            </w:pPr>
            <w:r>
              <w:t>91</w:t>
            </w:r>
          </w:p>
        </w:tc>
      </w:tr>
      <w:tr w:rsidR="007E0724" w14:paraId="4C7BD6A3" w14:textId="77777777">
        <w:trPr>
          <w:trHeight w:val="440"/>
        </w:trPr>
        <w:tc>
          <w:tcPr>
            <w:tcW w:w="588" w:type="dxa"/>
            <w:tcMar>
              <w:left w:w="0" w:type="dxa"/>
            </w:tcMar>
          </w:tcPr>
          <w:p w14:paraId="5306BE5E" w14:textId="77777777" w:rsidR="007E0724" w:rsidRDefault="00C4775C">
            <w:pPr>
              <w:pStyle w:val="AnnexNormal"/>
            </w:pPr>
            <w:r>
              <w:t>5.3.</w:t>
            </w:r>
          </w:p>
        </w:tc>
        <w:tc>
          <w:tcPr>
            <w:tcW w:w="8274" w:type="dxa"/>
            <w:gridSpan w:val="2"/>
          </w:tcPr>
          <w:p w14:paraId="44C1ECFF" w14:textId="77777777" w:rsidR="007E0724" w:rsidRDefault="00C4775C">
            <w:pPr>
              <w:pStyle w:val="AnnexNormal"/>
              <w:tabs>
                <w:tab w:val="right" w:leader="dot" w:pos="8052"/>
              </w:tabs>
              <w:spacing w:after="260"/>
            </w:pPr>
            <w:r>
              <w:t xml:space="preserve">Uppbygging, stækkun og </w:t>
            </w:r>
            <w:proofErr w:type="spellStart"/>
            <w:r>
              <w:t>starfræksla</w:t>
            </w:r>
            <w:proofErr w:type="spellEnd"/>
            <w:r>
              <w:t xml:space="preserve"> </w:t>
            </w:r>
            <w:proofErr w:type="spellStart"/>
            <w:r>
              <w:t>skólpsöfnunar</w:t>
            </w:r>
            <w:proofErr w:type="spellEnd"/>
            <w:r>
              <w:t xml:space="preserve"> og -hreinsunarkerfa</w:t>
            </w:r>
            <w:r>
              <w:tab/>
            </w:r>
          </w:p>
        </w:tc>
        <w:tc>
          <w:tcPr>
            <w:tcW w:w="378" w:type="dxa"/>
            <w:tcMar>
              <w:right w:w="0" w:type="dxa"/>
            </w:tcMar>
          </w:tcPr>
          <w:p w14:paraId="5EADCC19" w14:textId="77777777" w:rsidR="007E0724" w:rsidRDefault="00C4775C">
            <w:pPr>
              <w:pStyle w:val="AnnexNormal"/>
            </w:pPr>
            <w:r>
              <w:t>92</w:t>
            </w:r>
          </w:p>
        </w:tc>
      </w:tr>
      <w:tr w:rsidR="007E0724" w14:paraId="31588B6B" w14:textId="77777777">
        <w:trPr>
          <w:trHeight w:val="440"/>
        </w:trPr>
        <w:tc>
          <w:tcPr>
            <w:tcW w:w="588" w:type="dxa"/>
            <w:tcMar>
              <w:left w:w="0" w:type="dxa"/>
            </w:tcMar>
          </w:tcPr>
          <w:p w14:paraId="45E61936" w14:textId="77777777" w:rsidR="007E0724" w:rsidRDefault="00C4775C">
            <w:pPr>
              <w:pStyle w:val="AnnexNormal"/>
            </w:pPr>
            <w:r>
              <w:t>5.4.</w:t>
            </w:r>
          </w:p>
        </w:tc>
        <w:tc>
          <w:tcPr>
            <w:tcW w:w="8274" w:type="dxa"/>
            <w:gridSpan w:val="2"/>
          </w:tcPr>
          <w:p w14:paraId="2761F8F9" w14:textId="77777777" w:rsidR="007E0724" w:rsidRDefault="00C4775C">
            <w:pPr>
              <w:pStyle w:val="AnnexNormal"/>
              <w:tabs>
                <w:tab w:val="right" w:leader="dot" w:pos="8052"/>
              </w:tabs>
              <w:spacing w:after="260"/>
            </w:pPr>
            <w:r>
              <w:t xml:space="preserve">Endurnýjun </w:t>
            </w:r>
            <w:proofErr w:type="spellStart"/>
            <w:r>
              <w:t>skólpsöfnunar</w:t>
            </w:r>
            <w:proofErr w:type="spellEnd"/>
            <w:r>
              <w:t xml:space="preserve"> og -hreinsunarkerfa</w:t>
            </w:r>
            <w:r>
              <w:tab/>
            </w:r>
          </w:p>
        </w:tc>
        <w:tc>
          <w:tcPr>
            <w:tcW w:w="378" w:type="dxa"/>
            <w:tcMar>
              <w:right w:w="0" w:type="dxa"/>
            </w:tcMar>
          </w:tcPr>
          <w:p w14:paraId="74991F74" w14:textId="77777777" w:rsidR="007E0724" w:rsidRDefault="00C4775C">
            <w:pPr>
              <w:pStyle w:val="AnnexNormal"/>
            </w:pPr>
            <w:r>
              <w:t>93</w:t>
            </w:r>
          </w:p>
        </w:tc>
      </w:tr>
      <w:tr w:rsidR="007E0724" w14:paraId="3922EE13" w14:textId="77777777">
        <w:trPr>
          <w:trHeight w:val="440"/>
        </w:trPr>
        <w:tc>
          <w:tcPr>
            <w:tcW w:w="588" w:type="dxa"/>
            <w:tcMar>
              <w:left w:w="0" w:type="dxa"/>
            </w:tcMar>
          </w:tcPr>
          <w:p w14:paraId="2CE95F77" w14:textId="77777777" w:rsidR="007E0724" w:rsidRDefault="00C4775C">
            <w:pPr>
              <w:pStyle w:val="AnnexNormal"/>
            </w:pPr>
            <w:r>
              <w:t>5.5.</w:t>
            </w:r>
          </w:p>
        </w:tc>
        <w:tc>
          <w:tcPr>
            <w:tcW w:w="8274" w:type="dxa"/>
            <w:gridSpan w:val="2"/>
          </w:tcPr>
          <w:p w14:paraId="100018AC" w14:textId="77777777" w:rsidR="007E0724" w:rsidRDefault="00C4775C">
            <w:pPr>
              <w:pStyle w:val="AnnexNormal"/>
              <w:tabs>
                <w:tab w:val="right" w:leader="dot" w:pos="8052"/>
              </w:tabs>
              <w:spacing w:after="260"/>
            </w:pPr>
            <w:r>
              <w:t>Söfnun og flutningur á hættulausum úrgangi sem er aðgreindur við upptök í hluta</w:t>
            </w:r>
            <w:r>
              <w:tab/>
            </w:r>
          </w:p>
        </w:tc>
        <w:tc>
          <w:tcPr>
            <w:tcW w:w="378" w:type="dxa"/>
            <w:tcMar>
              <w:right w:w="0" w:type="dxa"/>
            </w:tcMar>
          </w:tcPr>
          <w:p w14:paraId="6EBF3A0D" w14:textId="77777777" w:rsidR="007E0724" w:rsidRDefault="00C4775C">
            <w:pPr>
              <w:pStyle w:val="AnnexNormal"/>
            </w:pPr>
            <w:r>
              <w:t>95</w:t>
            </w:r>
          </w:p>
        </w:tc>
      </w:tr>
      <w:tr w:rsidR="007E0724" w14:paraId="49FEB81F" w14:textId="77777777">
        <w:trPr>
          <w:trHeight w:val="440"/>
        </w:trPr>
        <w:tc>
          <w:tcPr>
            <w:tcW w:w="588" w:type="dxa"/>
            <w:tcMar>
              <w:left w:w="0" w:type="dxa"/>
            </w:tcMar>
          </w:tcPr>
          <w:p w14:paraId="0C14115E" w14:textId="77777777" w:rsidR="007E0724" w:rsidRDefault="00C4775C">
            <w:pPr>
              <w:pStyle w:val="AnnexNormal"/>
            </w:pPr>
            <w:r>
              <w:t>5.6.</w:t>
            </w:r>
          </w:p>
        </w:tc>
        <w:tc>
          <w:tcPr>
            <w:tcW w:w="8274" w:type="dxa"/>
            <w:gridSpan w:val="2"/>
          </w:tcPr>
          <w:p w14:paraId="78EAFB0B" w14:textId="77777777" w:rsidR="007E0724" w:rsidRDefault="00C4775C">
            <w:pPr>
              <w:pStyle w:val="AnnexNormal"/>
              <w:tabs>
                <w:tab w:val="right" w:leader="dot" w:pos="8052"/>
              </w:tabs>
              <w:spacing w:after="260"/>
            </w:pPr>
            <w:proofErr w:type="spellStart"/>
            <w:r>
              <w:t>Loftfirrð</w:t>
            </w:r>
            <w:proofErr w:type="spellEnd"/>
            <w:r>
              <w:t xml:space="preserve"> meltun </w:t>
            </w:r>
            <w:proofErr w:type="spellStart"/>
            <w:r>
              <w:t>skólpseyru</w:t>
            </w:r>
            <w:proofErr w:type="spellEnd"/>
            <w:r>
              <w:tab/>
            </w:r>
          </w:p>
        </w:tc>
        <w:tc>
          <w:tcPr>
            <w:tcW w:w="378" w:type="dxa"/>
            <w:tcMar>
              <w:right w:w="0" w:type="dxa"/>
            </w:tcMar>
          </w:tcPr>
          <w:p w14:paraId="69ADC22A" w14:textId="77777777" w:rsidR="007E0724" w:rsidRDefault="00C4775C">
            <w:pPr>
              <w:pStyle w:val="AnnexNormal"/>
            </w:pPr>
            <w:r>
              <w:t>95</w:t>
            </w:r>
          </w:p>
        </w:tc>
      </w:tr>
      <w:tr w:rsidR="007E0724" w14:paraId="68B03E80" w14:textId="77777777">
        <w:trPr>
          <w:trHeight w:val="440"/>
        </w:trPr>
        <w:tc>
          <w:tcPr>
            <w:tcW w:w="588" w:type="dxa"/>
            <w:tcMar>
              <w:left w:w="0" w:type="dxa"/>
            </w:tcMar>
          </w:tcPr>
          <w:p w14:paraId="4BEA688F" w14:textId="77777777" w:rsidR="007E0724" w:rsidRDefault="00C4775C">
            <w:pPr>
              <w:pStyle w:val="AnnexNormal"/>
            </w:pPr>
            <w:r>
              <w:t>5.7.</w:t>
            </w:r>
          </w:p>
        </w:tc>
        <w:tc>
          <w:tcPr>
            <w:tcW w:w="8274" w:type="dxa"/>
            <w:gridSpan w:val="2"/>
          </w:tcPr>
          <w:p w14:paraId="7ABA13FB" w14:textId="77777777" w:rsidR="007E0724" w:rsidRDefault="00C4775C">
            <w:pPr>
              <w:pStyle w:val="AnnexNormal"/>
              <w:tabs>
                <w:tab w:val="right" w:leader="dot" w:pos="8052"/>
              </w:tabs>
              <w:spacing w:after="260"/>
            </w:pPr>
            <w:proofErr w:type="spellStart"/>
            <w:r>
              <w:t>Loftfirrð</w:t>
            </w:r>
            <w:proofErr w:type="spellEnd"/>
            <w:r>
              <w:t xml:space="preserve"> meltun lífúrgangs</w:t>
            </w:r>
            <w:r>
              <w:tab/>
            </w:r>
          </w:p>
        </w:tc>
        <w:tc>
          <w:tcPr>
            <w:tcW w:w="378" w:type="dxa"/>
            <w:tcMar>
              <w:right w:w="0" w:type="dxa"/>
            </w:tcMar>
          </w:tcPr>
          <w:p w14:paraId="4F9D82D0" w14:textId="77777777" w:rsidR="007E0724" w:rsidRDefault="00C4775C">
            <w:pPr>
              <w:pStyle w:val="AnnexNormal"/>
            </w:pPr>
            <w:r>
              <w:t>96</w:t>
            </w:r>
          </w:p>
        </w:tc>
      </w:tr>
      <w:tr w:rsidR="007E0724" w14:paraId="7A906A5B" w14:textId="77777777">
        <w:trPr>
          <w:trHeight w:val="440"/>
        </w:trPr>
        <w:tc>
          <w:tcPr>
            <w:tcW w:w="588" w:type="dxa"/>
            <w:tcMar>
              <w:left w:w="0" w:type="dxa"/>
            </w:tcMar>
          </w:tcPr>
          <w:p w14:paraId="4C5AA5A4" w14:textId="77777777" w:rsidR="007E0724" w:rsidRDefault="00C4775C">
            <w:pPr>
              <w:pStyle w:val="AnnexNormal"/>
            </w:pPr>
            <w:r>
              <w:t>5.8.</w:t>
            </w:r>
          </w:p>
        </w:tc>
        <w:tc>
          <w:tcPr>
            <w:tcW w:w="8274" w:type="dxa"/>
            <w:gridSpan w:val="2"/>
          </w:tcPr>
          <w:p w14:paraId="4C91690E" w14:textId="77777777" w:rsidR="007E0724" w:rsidRDefault="00C4775C">
            <w:pPr>
              <w:pStyle w:val="AnnexNormal"/>
              <w:tabs>
                <w:tab w:val="right" w:leader="dot" w:pos="8052"/>
              </w:tabs>
              <w:spacing w:after="260"/>
            </w:pPr>
            <w:proofErr w:type="spellStart"/>
            <w:r>
              <w:t>Mylting</w:t>
            </w:r>
            <w:proofErr w:type="spellEnd"/>
            <w:r>
              <w:t xml:space="preserve"> lífúrgangs</w:t>
            </w:r>
            <w:r>
              <w:tab/>
            </w:r>
          </w:p>
        </w:tc>
        <w:tc>
          <w:tcPr>
            <w:tcW w:w="378" w:type="dxa"/>
            <w:tcMar>
              <w:right w:w="0" w:type="dxa"/>
            </w:tcMar>
          </w:tcPr>
          <w:p w14:paraId="01782E2F" w14:textId="77777777" w:rsidR="007E0724" w:rsidRDefault="00C4775C">
            <w:pPr>
              <w:pStyle w:val="AnnexNormal"/>
            </w:pPr>
            <w:r>
              <w:t>97</w:t>
            </w:r>
          </w:p>
        </w:tc>
      </w:tr>
      <w:tr w:rsidR="007E0724" w14:paraId="303179CB" w14:textId="77777777">
        <w:trPr>
          <w:trHeight w:val="440"/>
        </w:trPr>
        <w:tc>
          <w:tcPr>
            <w:tcW w:w="588" w:type="dxa"/>
            <w:tcMar>
              <w:left w:w="0" w:type="dxa"/>
            </w:tcMar>
          </w:tcPr>
          <w:p w14:paraId="114D287D" w14:textId="77777777" w:rsidR="007E0724" w:rsidRDefault="00C4775C">
            <w:pPr>
              <w:pStyle w:val="AnnexNormal"/>
            </w:pPr>
            <w:r>
              <w:t>5.9.</w:t>
            </w:r>
          </w:p>
        </w:tc>
        <w:tc>
          <w:tcPr>
            <w:tcW w:w="8274" w:type="dxa"/>
            <w:gridSpan w:val="2"/>
          </w:tcPr>
          <w:p w14:paraId="5816F2FD" w14:textId="77777777" w:rsidR="007E0724" w:rsidRDefault="00C4775C">
            <w:pPr>
              <w:pStyle w:val="AnnexNormal"/>
              <w:tabs>
                <w:tab w:val="right" w:leader="dot" w:pos="8052"/>
              </w:tabs>
              <w:spacing w:after="260"/>
            </w:pPr>
            <w:r>
              <w:t>Endurheimt efnis úr hættulausum úrgangi</w:t>
            </w:r>
            <w:r>
              <w:tab/>
            </w:r>
          </w:p>
        </w:tc>
        <w:tc>
          <w:tcPr>
            <w:tcW w:w="378" w:type="dxa"/>
            <w:tcMar>
              <w:right w:w="0" w:type="dxa"/>
            </w:tcMar>
          </w:tcPr>
          <w:p w14:paraId="0374BADE" w14:textId="77777777" w:rsidR="007E0724" w:rsidRDefault="00C4775C">
            <w:pPr>
              <w:pStyle w:val="AnnexNormal"/>
            </w:pPr>
            <w:r>
              <w:t>98</w:t>
            </w:r>
          </w:p>
        </w:tc>
      </w:tr>
      <w:tr w:rsidR="007E0724" w14:paraId="16646C41" w14:textId="77777777">
        <w:trPr>
          <w:trHeight w:val="440"/>
        </w:trPr>
        <w:tc>
          <w:tcPr>
            <w:tcW w:w="588" w:type="dxa"/>
            <w:tcMar>
              <w:left w:w="0" w:type="dxa"/>
            </w:tcMar>
          </w:tcPr>
          <w:p w14:paraId="751A1B7D" w14:textId="77777777" w:rsidR="007E0724" w:rsidRDefault="00C4775C">
            <w:pPr>
              <w:pStyle w:val="AnnexNormal"/>
            </w:pPr>
            <w:r>
              <w:t>5.10.</w:t>
            </w:r>
          </w:p>
        </w:tc>
        <w:tc>
          <w:tcPr>
            <w:tcW w:w="8274" w:type="dxa"/>
            <w:gridSpan w:val="2"/>
          </w:tcPr>
          <w:p w14:paraId="059D73D7" w14:textId="77777777" w:rsidR="007E0724" w:rsidRDefault="00C4775C">
            <w:pPr>
              <w:pStyle w:val="AnnexNormal"/>
              <w:tabs>
                <w:tab w:val="right" w:leader="dot" w:pos="8052"/>
              </w:tabs>
              <w:spacing w:after="260"/>
            </w:pPr>
            <w:proofErr w:type="spellStart"/>
            <w:r>
              <w:t>Föngun</w:t>
            </w:r>
            <w:proofErr w:type="spellEnd"/>
            <w:r>
              <w:t xml:space="preserve"> og notkun hauggass</w:t>
            </w:r>
            <w:r>
              <w:tab/>
            </w:r>
          </w:p>
        </w:tc>
        <w:tc>
          <w:tcPr>
            <w:tcW w:w="378" w:type="dxa"/>
            <w:tcMar>
              <w:right w:w="0" w:type="dxa"/>
            </w:tcMar>
          </w:tcPr>
          <w:p w14:paraId="0471A21A" w14:textId="77777777" w:rsidR="007E0724" w:rsidRDefault="00C4775C">
            <w:pPr>
              <w:pStyle w:val="AnnexNormal"/>
            </w:pPr>
            <w:r>
              <w:t>99</w:t>
            </w:r>
          </w:p>
        </w:tc>
      </w:tr>
      <w:tr w:rsidR="007E0724" w14:paraId="78283587" w14:textId="77777777">
        <w:trPr>
          <w:trHeight w:val="440"/>
        </w:trPr>
        <w:tc>
          <w:tcPr>
            <w:tcW w:w="588" w:type="dxa"/>
            <w:tcMar>
              <w:left w:w="0" w:type="dxa"/>
            </w:tcMar>
          </w:tcPr>
          <w:p w14:paraId="2599C4EB" w14:textId="77777777" w:rsidR="007E0724" w:rsidRDefault="00C4775C">
            <w:pPr>
              <w:pStyle w:val="AnnexNormal"/>
            </w:pPr>
            <w:r>
              <w:t>5.11.</w:t>
            </w:r>
          </w:p>
        </w:tc>
        <w:tc>
          <w:tcPr>
            <w:tcW w:w="8274" w:type="dxa"/>
            <w:gridSpan w:val="2"/>
          </w:tcPr>
          <w:p w14:paraId="172433E8" w14:textId="77777777" w:rsidR="007E0724" w:rsidRDefault="00C4775C">
            <w:pPr>
              <w:pStyle w:val="AnnexNormal"/>
              <w:tabs>
                <w:tab w:val="right" w:leader="dot" w:pos="8052"/>
              </w:tabs>
              <w:spacing w:after="260"/>
            </w:pPr>
            <w:r>
              <w:t>Flutningur á koltvísýringi</w:t>
            </w:r>
            <w:r>
              <w:tab/>
            </w:r>
          </w:p>
        </w:tc>
        <w:tc>
          <w:tcPr>
            <w:tcW w:w="378" w:type="dxa"/>
            <w:tcMar>
              <w:right w:w="0" w:type="dxa"/>
            </w:tcMar>
          </w:tcPr>
          <w:p w14:paraId="62E7F829" w14:textId="77777777" w:rsidR="007E0724" w:rsidRDefault="00C4775C">
            <w:pPr>
              <w:pStyle w:val="AnnexNormal"/>
            </w:pPr>
            <w:r>
              <w:t>100</w:t>
            </w:r>
          </w:p>
        </w:tc>
      </w:tr>
      <w:tr w:rsidR="007E0724" w14:paraId="4234B0BB" w14:textId="77777777">
        <w:trPr>
          <w:trHeight w:val="440"/>
        </w:trPr>
        <w:tc>
          <w:tcPr>
            <w:tcW w:w="588" w:type="dxa"/>
            <w:tcMar>
              <w:left w:w="0" w:type="dxa"/>
            </w:tcMar>
          </w:tcPr>
          <w:p w14:paraId="399A66D1" w14:textId="77777777" w:rsidR="007E0724" w:rsidRDefault="00C4775C">
            <w:pPr>
              <w:pStyle w:val="AnnexNormal"/>
            </w:pPr>
            <w:r>
              <w:t>5.12.</w:t>
            </w:r>
          </w:p>
        </w:tc>
        <w:tc>
          <w:tcPr>
            <w:tcW w:w="8274" w:type="dxa"/>
            <w:gridSpan w:val="2"/>
          </w:tcPr>
          <w:p w14:paraId="7367339E" w14:textId="77777777" w:rsidR="007E0724" w:rsidRDefault="00C4775C">
            <w:pPr>
              <w:pStyle w:val="AnnexNormal"/>
              <w:tabs>
                <w:tab w:val="right" w:leader="dot" w:pos="8052"/>
              </w:tabs>
              <w:spacing w:after="260"/>
            </w:pPr>
            <w:r>
              <w:t>Varanleg geymsla koltvísýrings neðanjarðar</w:t>
            </w:r>
            <w:r>
              <w:tab/>
            </w:r>
          </w:p>
        </w:tc>
        <w:tc>
          <w:tcPr>
            <w:tcW w:w="378" w:type="dxa"/>
            <w:tcMar>
              <w:right w:w="0" w:type="dxa"/>
            </w:tcMar>
          </w:tcPr>
          <w:p w14:paraId="5934307A" w14:textId="77777777" w:rsidR="007E0724" w:rsidRDefault="00C4775C">
            <w:pPr>
              <w:pStyle w:val="AnnexNormal"/>
            </w:pPr>
            <w:r>
              <w:t>100</w:t>
            </w:r>
          </w:p>
        </w:tc>
      </w:tr>
      <w:tr w:rsidR="007E0724" w14:paraId="16083F98" w14:textId="77777777">
        <w:trPr>
          <w:trHeight w:val="440"/>
        </w:trPr>
        <w:tc>
          <w:tcPr>
            <w:tcW w:w="588" w:type="dxa"/>
            <w:tcMar>
              <w:left w:w="0" w:type="dxa"/>
            </w:tcMar>
          </w:tcPr>
          <w:p w14:paraId="7A6CCBCC" w14:textId="77777777" w:rsidR="007E0724" w:rsidRDefault="00C4775C">
            <w:pPr>
              <w:pStyle w:val="AnnexNormal"/>
            </w:pPr>
            <w:r>
              <w:t>6.</w:t>
            </w:r>
          </w:p>
        </w:tc>
        <w:tc>
          <w:tcPr>
            <w:tcW w:w="8274" w:type="dxa"/>
            <w:gridSpan w:val="2"/>
          </w:tcPr>
          <w:p w14:paraId="3AD35775" w14:textId="77777777" w:rsidR="007E0724" w:rsidRDefault="00C4775C">
            <w:pPr>
              <w:pStyle w:val="AnnexNormal"/>
              <w:tabs>
                <w:tab w:val="right" w:leader="dot" w:pos="8052"/>
              </w:tabs>
              <w:spacing w:after="260"/>
            </w:pPr>
            <w:r>
              <w:t>Flutningar</w:t>
            </w:r>
            <w:r>
              <w:tab/>
            </w:r>
          </w:p>
        </w:tc>
        <w:tc>
          <w:tcPr>
            <w:tcW w:w="378" w:type="dxa"/>
            <w:tcMar>
              <w:right w:w="0" w:type="dxa"/>
            </w:tcMar>
          </w:tcPr>
          <w:p w14:paraId="58CEF134" w14:textId="77777777" w:rsidR="007E0724" w:rsidRDefault="00C4775C">
            <w:pPr>
              <w:pStyle w:val="AnnexNormal"/>
            </w:pPr>
            <w:r>
              <w:t>101</w:t>
            </w:r>
          </w:p>
        </w:tc>
      </w:tr>
      <w:tr w:rsidR="007E0724" w14:paraId="5022C8A1" w14:textId="77777777">
        <w:trPr>
          <w:trHeight w:val="440"/>
        </w:trPr>
        <w:tc>
          <w:tcPr>
            <w:tcW w:w="588" w:type="dxa"/>
            <w:tcMar>
              <w:left w:w="0" w:type="dxa"/>
            </w:tcMar>
          </w:tcPr>
          <w:p w14:paraId="557C6CAE" w14:textId="77777777" w:rsidR="007E0724" w:rsidRDefault="00C4775C">
            <w:pPr>
              <w:pStyle w:val="AnnexNormal"/>
            </w:pPr>
            <w:r>
              <w:t>6.1.</w:t>
            </w:r>
          </w:p>
        </w:tc>
        <w:tc>
          <w:tcPr>
            <w:tcW w:w="8274" w:type="dxa"/>
            <w:gridSpan w:val="2"/>
          </w:tcPr>
          <w:p w14:paraId="21622D79" w14:textId="77777777" w:rsidR="007E0724" w:rsidRDefault="00C4775C">
            <w:pPr>
              <w:pStyle w:val="AnnexNormal"/>
              <w:tabs>
                <w:tab w:val="right" w:leader="dot" w:pos="8052"/>
              </w:tabs>
              <w:spacing w:after="260"/>
            </w:pPr>
            <w:r>
              <w:t>Farþegaflutningar með járnbrautum milli borga</w:t>
            </w:r>
            <w:r>
              <w:tab/>
            </w:r>
          </w:p>
        </w:tc>
        <w:tc>
          <w:tcPr>
            <w:tcW w:w="378" w:type="dxa"/>
            <w:tcMar>
              <w:right w:w="0" w:type="dxa"/>
            </w:tcMar>
          </w:tcPr>
          <w:p w14:paraId="4E7741C4" w14:textId="77777777" w:rsidR="007E0724" w:rsidRDefault="00C4775C">
            <w:pPr>
              <w:pStyle w:val="AnnexNormal"/>
            </w:pPr>
            <w:r>
              <w:t>101</w:t>
            </w:r>
          </w:p>
        </w:tc>
      </w:tr>
      <w:tr w:rsidR="007E0724" w14:paraId="3D4CE3A1" w14:textId="77777777">
        <w:trPr>
          <w:trHeight w:val="440"/>
        </w:trPr>
        <w:tc>
          <w:tcPr>
            <w:tcW w:w="588" w:type="dxa"/>
            <w:tcMar>
              <w:left w:w="0" w:type="dxa"/>
            </w:tcMar>
          </w:tcPr>
          <w:p w14:paraId="6177ACD1" w14:textId="77777777" w:rsidR="007E0724" w:rsidRDefault="00C4775C">
            <w:pPr>
              <w:pStyle w:val="AnnexNormal"/>
            </w:pPr>
            <w:r>
              <w:t>6.2.</w:t>
            </w:r>
          </w:p>
        </w:tc>
        <w:tc>
          <w:tcPr>
            <w:tcW w:w="8274" w:type="dxa"/>
            <w:gridSpan w:val="2"/>
          </w:tcPr>
          <w:p w14:paraId="472DB015" w14:textId="77777777" w:rsidR="007E0724" w:rsidRDefault="00C4775C">
            <w:pPr>
              <w:pStyle w:val="AnnexNormal"/>
              <w:tabs>
                <w:tab w:val="right" w:leader="dot" w:pos="8052"/>
              </w:tabs>
              <w:spacing w:after="260"/>
            </w:pPr>
            <w:r>
              <w:t>Vöruflutningar með járnbrautum</w:t>
            </w:r>
            <w:r>
              <w:tab/>
            </w:r>
          </w:p>
        </w:tc>
        <w:tc>
          <w:tcPr>
            <w:tcW w:w="378" w:type="dxa"/>
            <w:tcMar>
              <w:right w:w="0" w:type="dxa"/>
            </w:tcMar>
          </w:tcPr>
          <w:p w14:paraId="3EC8ED85" w14:textId="77777777" w:rsidR="007E0724" w:rsidRDefault="00C4775C">
            <w:pPr>
              <w:pStyle w:val="AnnexNormal"/>
            </w:pPr>
            <w:r>
              <w:t>102</w:t>
            </w:r>
          </w:p>
        </w:tc>
      </w:tr>
      <w:tr w:rsidR="007E0724" w14:paraId="6E6AFB87" w14:textId="77777777">
        <w:trPr>
          <w:trHeight w:val="440"/>
        </w:trPr>
        <w:tc>
          <w:tcPr>
            <w:tcW w:w="588" w:type="dxa"/>
            <w:tcMar>
              <w:left w:w="0" w:type="dxa"/>
            </w:tcMar>
          </w:tcPr>
          <w:p w14:paraId="49C568EF" w14:textId="77777777" w:rsidR="007E0724" w:rsidRDefault="00C4775C">
            <w:pPr>
              <w:pStyle w:val="AnnexNormal"/>
            </w:pPr>
            <w:r>
              <w:t>6.3.</w:t>
            </w:r>
          </w:p>
        </w:tc>
        <w:tc>
          <w:tcPr>
            <w:tcW w:w="8274" w:type="dxa"/>
            <w:gridSpan w:val="2"/>
          </w:tcPr>
          <w:p w14:paraId="355783AC" w14:textId="77777777" w:rsidR="007E0724" w:rsidRDefault="00C4775C">
            <w:pPr>
              <w:pStyle w:val="AnnexNormal"/>
              <w:tabs>
                <w:tab w:val="right" w:leader="dot" w:pos="8052"/>
              </w:tabs>
              <w:spacing w:after="260"/>
            </w:pPr>
            <w:r>
              <w:t>Flutningar í þéttbýli og úthverfum, farþegaflutningar á vegum</w:t>
            </w:r>
            <w:r>
              <w:tab/>
            </w:r>
          </w:p>
        </w:tc>
        <w:tc>
          <w:tcPr>
            <w:tcW w:w="378" w:type="dxa"/>
            <w:tcMar>
              <w:right w:w="0" w:type="dxa"/>
            </w:tcMar>
          </w:tcPr>
          <w:p w14:paraId="79633812" w14:textId="77777777" w:rsidR="007E0724" w:rsidRDefault="00C4775C">
            <w:pPr>
              <w:pStyle w:val="AnnexNormal"/>
            </w:pPr>
            <w:r>
              <w:t>103</w:t>
            </w:r>
          </w:p>
        </w:tc>
      </w:tr>
      <w:tr w:rsidR="007E0724" w14:paraId="0A8627CE" w14:textId="77777777">
        <w:trPr>
          <w:trHeight w:val="440"/>
        </w:trPr>
        <w:tc>
          <w:tcPr>
            <w:tcW w:w="588" w:type="dxa"/>
            <w:tcMar>
              <w:left w:w="0" w:type="dxa"/>
            </w:tcMar>
          </w:tcPr>
          <w:p w14:paraId="194066F3" w14:textId="77777777" w:rsidR="007E0724" w:rsidRDefault="00C4775C">
            <w:pPr>
              <w:pStyle w:val="AnnexNormal"/>
            </w:pPr>
            <w:r>
              <w:t>6.4.</w:t>
            </w:r>
          </w:p>
        </w:tc>
        <w:tc>
          <w:tcPr>
            <w:tcW w:w="8274" w:type="dxa"/>
            <w:gridSpan w:val="2"/>
          </w:tcPr>
          <w:p w14:paraId="56BA4A53" w14:textId="77777777" w:rsidR="007E0724" w:rsidRDefault="00C4775C">
            <w:pPr>
              <w:pStyle w:val="AnnexNormal"/>
              <w:tabs>
                <w:tab w:val="right" w:leader="dot" w:pos="8052"/>
              </w:tabs>
              <w:spacing w:after="260"/>
            </w:pPr>
            <w:proofErr w:type="spellStart"/>
            <w:r>
              <w:t>Starfræksla</w:t>
            </w:r>
            <w:proofErr w:type="spellEnd"/>
            <w:r>
              <w:t xml:space="preserve"> á ferlitækjum einstaklinga (e. </w:t>
            </w:r>
            <w:proofErr w:type="spellStart"/>
            <w:r>
              <w:rPr>
                <w:i/>
                <w:iCs/>
              </w:rPr>
              <w:t>personal</w:t>
            </w:r>
            <w:proofErr w:type="spellEnd"/>
            <w:r>
              <w:rPr>
                <w:i/>
                <w:iCs/>
              </w:rPr>
              <w:t xml:space="preserve"> </w:t>
            </w:r>
            <w:proofErr w:type="spellStart"/>
            <w:r>
              <w:rPr>
                <w:i/>
                <w:iCs/>
              </w:rPr>
              <w:t>mobility</w:t>
            </w:r>
            <w:proofErr w:type="spellEnd"/>
            <w:r>
              <w:rPr>
                <w:i/>
                <w:iCs/>
              </w:rPr>
              <w:t xml:space="preserve"> </w:t>
            </w:r>
            <w:proofErr w:type="spellStart"/>
            <w:r>
              <w:rPr>
                <w:i/>
                <w:iCs/>
              </w:rPr>
              <w:t>device</w:t>
            </w:r>
            <w:proofErr w:type="spellEnd"/>
            <w:r>
              <w:t xml:space="preserve">), nytjahjólaflutningastjórnun (e. </w:t>
            </w:r>
            <w:proofErr w:type="spellStart"/>
            <w:r>
              <w:t>cycle</w:t>
            </w:r>
            <w:proofErr w:type="spellEnd"/>
            <w:r>
              <w:t xml:space="preserve"> </w:t>
            </w:r>
            <w:proofErr w:type="spellStart"/>
            <w:r>
              <w:t>logistics</w:t>
            </w:r>
            <w:proofErr w:type="spellEnd"/>
            <w:r>
              <w:t>)</w:t>
            </w:r>
            <w:r>
              <w:tab/>
            </w:r>
          </w:p>
        </w:tc>
        <w:tc>
          <w:tcPr>
            <w:tcW w:w="378" w:type="dxa"/>
            <w:tcMar>
              <w:right w:w="0" w:type="dxa"/>
            </w:tcMar>
          </w:tcPr>
          <w:p w14:paraId="43C22805" w14:textId="77777777" w:rsidR="007E0724" w:rsidRDefault="00C4775C">
            <w:pPr>
              <w:pStyle w:val="AnnexNormal"/>
            </w:pPr>
            <w:r>
              <w:t>104</w:t>
            </w:r>
          </w:p>
        </w:tc>
      </w:tr>
      <w:tr w:rsidR="007E0724" w14:paraId="17E55D1D" w14:textId="77777777">
        <w:trPr>
          <w:trHeight w:val="440"/>
        </w:trPr>
        <w:tc>
          <w:tcPr>
            <w:tcW w:w="588" w:type="dxa"/>
            <w:tcMar>
              <w:left w:w="0" w:type="dxa"/>
            </w:tcMar>
          </w:tcPr>
          <w:p w14:paraId="57B1B119" w14:textId="77777777" w:rsidR="007E0724" w:rsidRDefault="00C4775C">
            <w:pPr>
              <w:pStyle w:val="AnnexNormal"/>
            </w:pPr>
            <w:r>
              <w:t>6.5.</w:t>
            </w:r>
          </w:p>
        </w:tc>
        <w:tc>
          <w:tcPr>
            <w:tcW w:w="8274" w:type="dxa"/>
            <w:gridSpan w:val="2"/>
          </w:tcPr>
          <w:p w14:paraId="56E3ECD0" w14:textId="77777777" w:rsidR="007E0724" w:rsidRDefault="00C4775C">
            <w:pPr>
              <w:pStyle w:val="AnnexNormal"/>
              <w:tabs>
                <w:tab w:val="right" w:leader="dot" w:pos="8052"/>
              </w:tabs>
              <w:spacing w:after="260"/>
            </w:pPr>
            <w:r>
              <w:t>Flutningar með mótorhjólum, fólksbifreiðum og léttum atvinnuökutækjum</w:t>
            </w:r>
            <w:r>
              <w:tab/>
            </w:r>
          </w:p>
        </w:tc>
        <w:tc>
          <w:tcPr>
            <w:tcW w:w="378" w:type="dxa"/>
            <w:tcMar>
              <w:right w:w="0" w:type="dxa"/>
            </w:tcMar>
          </w:tcPr>
          <w:p w14:paraId="0100D483" w14:textId="77777777" w:rsidR="007E0724" w:rsidRDefault="00C4775C">
            <w:pPr>
              <w:pStyle w:val="AnnexNormal"/>
            </w:pPr>
            <w:r>
              <w:t>105</w:t>
            </w:r>
          </w:p>
        </w:tc>
      </w:tr>
      <w:tr w:rsidR="007E0724" w14:paraId="312F38CE" w14:textId="77777777">
        <w:trPr>
          <w:trHeight w:val="440"/>
        </w:trPr>
        <w:tc>
          <w:tcPr>
            <w:tcW w:w="588" w:type="dxa"/>
            <w:tcMar>
              <w:left w:w="0" w:type="dxa"/>
            </w:tcMar>
          </w:tcPr>
          <w:p w14:paraId="5531EBDD" w14:textId="77777777" w:rsidR="007E0724" w:rsidRDefault="00C4775C">
            <w:pPr>
              <w:pStyle w:val="AnnexNormal"/>
            </w:pPr>
            <w:r>
              <w:t>6.6.</w:t>
            </w:r>
          </w:p>
        </w:tc>
        <w:tc>
          <w:tcPr>
            <w:tcW w:w="8274" w:type="dxa"/>
            <w:gridSpan w:val="2"/>
          </w:tcPr>
          <w:p w14:paraId="773269D1" w14:textId="77777777" w:rsidR="007E0724" w:rsidRDefault="00C4775C">
            <w:pPr>
              <w:pStyle w:val="AnnexNormal"/>
              <w:tabs>
                <w:tab w:val="right" w:leader="dot" w:pos="8052"/>
              </w:tabs>
              <w:spacing w:after="260"/>
            </w:pPr>
            <w:r>
              <w:t>Vöruflutningaþjónusta á vegum</w:t>
            </w:r>
            <w:r>
              <w:tab/>
            </w:r>
          </w:p>
        </w:tc>
        <w:tc>
          <w:tcPr>
            <w:tcW w:w="378" w:type="dxa"/>
            <w:tcMar>
              <w:right w:w="0" w:type="dxa"/>
            </w:tcMar>
          </w:tcPr>
          <w:p w14:paraId="64126811" w14:textId="77777777" w:rsidR="007E0724" w:rsidRDefault="00C4775C">
            <w:pPr>
              <w:pStyle w:val="AnnexNormal"/>
            </w:pPr>
            <w:r>
              <w:t>107</w:t>
            </w:r>
          </w:p>
        </w:tc>
      </w:tr>
      <w:tr w:rsidR="007E0724" w14:paraId="205880F9" w14:textId="77777777">
        <w:trPr>
          <w:trHeight w:val="440"/>
        </w:trPr>
        <w:tc>
          <w:tcPr>
            <w:tcW w:w="588" w:type="dxa"/>
            <w:tcMar>
              <w:left w:w="0" w:type="dxa"/>
            </w:tcMar>
          </w:tcPr>
          <w:p w14:paraId="7BA30E80" w14:textId="77777777" w:rsidR="007E0724" w:rsidRDefault="00C4775C">
            <w:pPr>
              <w:pStyle w:val="AnnexNormal"/>
            </w:pPr>
            <w:r>
              <w:t>6.7.</w:t>
            </w:r>
          </w:p>
        </w:tc>
        <w:tc>
          <w:tcPr>
            <w:tcW w:w="8274" w:type="dxa"/>
            <w:gridSpan w:val="2"/>
          </w:tcPr>
          <w:p w14:paraId="39703245" w14:textId="77777777" w:rsidR="007E0724" w:rsidRDefault="00C4775C">
            <w:pPr>
              <w:pStyle w:val="AnnexNormal"/>
              <w:tabs>
                <w:tab w:val="right" w:leader="dot" w:pos="8052"/>
              </w:tabs>
              <w:spacing w:after="260"/>
            </w:pPr>
            <w:r>
              <w:t>Farþegaflutningar á skipgengum vatnaleiðum</w:t>
            </w:r>
            <w:r>
              <w:tab/>
            </w:r>
          </w:p>
        </w:tc>
        <w:tc>
          <w:tcPr>
            <w:tcW w:w="378" w:type="dxa"/>
            <w:tcMar>
              <w:right w:w="0" w:type="dxa"/>
            </w:tcMar>
          </w:tcPr>
          <w:p w14:paraId="20455EF4" w14:textId="77777777" w:rsidR="007E0724" w:rsidRDefault="00C4775C">
            <w:pPr>
              <w:pStyle w:val="AnnexNormal"/>
            </w:pPr>
            <w:r>
              <w:t>108</w:t>
            </w:r>
          </w:p>
        </w:tc>
      </w:tr>
      <w:tr w:rsidR="007E0724" w14:paraId="239B5A7A" w14:textId="77777777">
        <w:trPr>
          <w:trHeight w:val="440"/>
        </w:trPr>
        <w:tc>
          <w:tcPr>
            <w:tcW w:w="588" w:type="dxa"/>
            <w:tcMar>
              <w:left w:w="0" w:type="dxa"/>
            </w:tcMar>
          </w:tcPr>
          <w:p w14:paraId="7E588B1F" w14:textId="77777777" w:rsidR="007E0724" w:rsidRDefault="00C4775C">
            <w:pPr>
              <w:pStyle w:val="AnnexNormal"/>
            </w:pPr>
            <w:r>
              <w:t>6.8.</w:t>
            </w:r>
          </w:p>
        </w:tc>
        <w:tc>
          <w:tcPr>
            <w:tcW w:w="8274" w:type="dxa"/>
            <w:gridSpan w:val="2"/>
          </w:tcPr>
          <w:p w14:paraId="25DE2D15" w14:textId="77777777" w:rsidR="007E0724" w:rsidRDefault="00C4775C">
            <w:pPr>
              <w:pStyle w:val="AnnexNormal"/>
              <w:tabs>
                <w:tab w:val="right" w:leader="dot" w:pos="8052"/>
              </w:tabs>
              <w:spacing w:after="260"/>
            </w:pPr>
            <w:r>
              <w:t>Vöruflutningar á skipgengum vatnaleiðum</w:t>
            </w:r>
            <w:r>
              <w:tab/>
            </w:r>
          </w:p>
        </w:tc>
        <w:tc>
          <w:tcPr>
            <w:tcW w:w="378" w:type="dxa"/>
            <w:tcMar>
              <w:right w:w="0" w:type="dxa"/>
            </w:tcMar>
          </w:tcPr>
          <w:p w14:paraId="57744C2E" w14:textId="77777777" w:rsidR="007E0724" w:rsidRDefault="00C4775C">
            <w:pPr>
              <w:pStyle w:val="AnnexNormal"/>
            </w:pPr>
            <w:r>
              <w:t>109</w:t>
            </w:r>
          </w:p>
        </w:tc>
      </w:tr>
      <w:tr w:rsidR="007E0724" w14:paraId="7D171F70" w14:textId="77777777">
        <w:trPr>
          <w:trHeight w:val="440"/>
        </w:trPr>
        <w:tc>
          <w:tcPr>
            <w:tcW w:w="588" w:type="dxa"/>
            <w:tcMar>
              <w:left w:w="0" w:type="dxa"/>
            </w:tcMar>
          </w:tcPr>
          <w:p w14:paraId="19EAC507" w14:textId="77777777" w:rsidR="007E0724" w:rsidRDefault="00C4775C">
            <w:pPr>
              <w:pStyle w:val="AnnexNormal"/>
            </w:pPr>
            <w:r>
              <w:t>6.9.</w:t>
            </w:r>
          </w:p>
        </w:tc>
        <w:tc>
          <w:tcPr>
            <w:tcW w:w="8274" w:type="dxa"/>
            <w:gridSpan w:val="2"/>
          </w:tcPr>
          <w:p w14:paraId="5E9554B0" w14:textId="77777777" w:rsidR="007E0724" w:rsidRDefault="00C4775C">
            <w:pPr>
              <w:pStyle w:val="AnnexNormal"/>
              <w:tabs>
                <w:tab w:val="right" w:leader="dot" w:pos="8052"/>
              </w:tabs>
              <w:spacing w:after="260"/>
            </w:pPr>
            <w:r>
              <w:t>Endurbætur á farþega- og vöruflutningum eftir skipgengum vatnaleiðum</w:t>
            </w:r>
            <w:r>
              <w:tab/>
            </w:r>
          </w:p>
        </w:tc>
        <w:tc>
          <w:tcPr>
            <w:tcW w:w="378" w:type="dxa"/>
            <w:tcMar>
              <w:right w:w="0" w:type="dxa"/>
            </w:tcMar>
          </w:tcPr>
          <w:p w14:paraId="21DED827" w14:textId="77777777" w:rsidR="007E0724" w:rsidRDefault="00C4775C">
            <w:pPr>
              <w:pStyle w:val="AnnexNormal"/>
            </w:pPr>
            <w:r>
              <w:t>110</w:t>
            </w:r>
          </w:p>
        </w:tc>
      </w:tr>
      <w:tr w:rsidR="007E0724" w14:paraId="4B171310" w14:textId="77777777">
        <w:trPr>
          <w:trHeight w:val="440"/>
        </w:trPr>
        <w:tc>
          <w:tcPr>
            <w:tcW w:w="588" w:type="dxa"/>
            <w:tcMar>
              <w:left w:w="0" w:type="dxa"/>
            </w:tcMar>
          </w:tcPr>
          <w:p w14:paraId="7B1E12A1" w14:textId="77777777" w:rsidR="007E0724" w:rsidRDefault="00C4775C">
            <w:pPr>
              <w:pStyle w:val="AnnexNormal"/>
            </w:pPr>
            <w:r>
              <w:t>6.10.</w:t>
            </w:r>
          </w:p>
        </w:tc>
        <w:tc>
          <w:tcPr>
            <w:tcW w:w="8274" w:type="dxa"/>
            <w:gridSpan w:val="2"/>
          </w:tcPr>
          <w:p w14:paraId="4BBDAFEF" w14:textId="77777777" w:rsidR="007E0724" w:rsidRDefault="00C4775C">
            <w:pPr>
              <w:pStyle w:val="AnnexNormal"/>
              <w:tabs>
                <w:tab w:val="right" w:leader="dot" w:pos="8052"/>
              </w:tabs>
              <w:spacing w:after="260"/>
            </w:pPr>
            <w:r>
              <w:t>Millilanda- og strandsiglingar með vörur, skip fyrir hafnarstarfsemi og aukastarfsemi</w:t>
            </w:r>
            <w:r>
              <w:tab/>
            </w:r>
          </w:p>
        </w:tc>
        <w:tc>
          <w:tcPr>
            <w:tcW w:w="378" w:type="dxa"/>
            <w:tcMar>
              <w:right w:w="0" w:type="dxa"/>
            </w:tcMar>
          </w:tcPr>
          <w:p w14:paraId="471350FF" w14:textId="77777777" w:rsidR="007E0724" w:rsidRDefault="00C4775C">
            <w:pPr>
              <w:pStyle w:val="AnnexNormal"/>
            </w:pPr>
            <w:r>
              <w:t>111</w:t>
            </w:r>
          </w:p>
        </w:tc>
      </w:tr>
      <w:tr w:rsidR="007E0724" w14:paraId="56105140" w14:textId="77777777">
        <w:trPr>
          <w:trHeight w:val="440"/>
        </w:trPr>
        <w:tc>
          <w:tcPr>
            <w:tcW w:w="588" w:type="dxa"/>
            <w:tcMar>
              <w:left w:w="0" w:type="dxa"/>
            </w:tcMar>
          </w:tcPr>
          <w:p w14:paraId="4F433124" w14:textId="77777777" w:rsidR="007E0724" w:rsidRDefault="00C4775C">
            <w:pPr>
              <w:pStyle w:val="AnnexNormal"/>
            </w:pPr>
            <w:r>
              <w:t>6.11.</w:t>
            </w:r>
          </w:p>
        </w:tc>
        <w:tc>
          <w:tcPr>
            <w:tcW w:w="8274" w:type="dxa"/>
            <w:gridSpan w:val="2"/>
          </w:tcPr>
          <w:p w14:paraId="5FC1143C" w14:textId="77777777" w:rsidR="007E0724" w:rsidRDefault="00C4775C">
            <w:pPr>
              <w:pStyle w:val="AnnexNormal"/>
              <w:tabs>
                <w:tab w:val="right" w:leader="dot" w:pos="8052"/>
              </w:tabs>
              <w:spacing w:after="260"/>
            </w:pPr>
            <w:r>
              <w:t>Millilanda- og strandsiglingar með farþega</w:t>
            </w:r>
            <w:r>
              <w:tab/>
            </w:r>
          </w:p>
        </w:tc>
        <w:tc>
          <w:tcPr>
            <w:tcW w:w="378" w:type="dxa"/>
            <w:tcMar>
              <w:right w:w="0" w:type="dxa"/>
            </w:tcMar>
          </w:tcPr>
          <w:p w14:paraId="0D3219B1" w14:textId="77777777" w:rsidR="007E0724" w:rsidRDefault="00C4775C">
            <w:pPr>
              <w:pStyle w:val="AnnexNormal"/>
            </w:pPr>
            <w:r>
              <w:t>114</w:t>
            </w:r>
          </w:p>
        </w:tc>
      </w:tr>
      <w:tr w:rsidR="007E0724" w14:paraId="32727357" w14:textId="77777777">
        <w:trPr>
          <w:trHeight w:val="440"/>
        </w:trPr>
        <w:tc>
          <w:tcPr>
            <w:tcW w:w="588" w:type="dxa"/>
            <w:tcMar>
              <w:left w:w="0" w:type="dxa"/>
            </w:tcMar>
          </w:tcPr>
          <w:p w14:paraId="4B09D5B2" w14:textId="77777777" w:rsidR="007E0724" w:rsidRDefault="00C4775C">
            <w:pPr>
              <w:pStyle w:val="AnnexNormal"/>
            </w:pPr>
            <w:r>
              <w:t>6.12.</w:t>
            </w:r>
          </w:p>
        </w:tc>
        <w:tc>
          <w:tcPr>
            <w:tcW w:w="8274" w:type="dxa"/>
            <w:gridSpan w:val="2"/>
          </w:tcPr>
          <w:p w14:paraId="5357F883" w14:textId="77777777" w:rsidR="007E0724" w:rsidRDefault="00C4775C">
            <w:pPr>
              <w:pStyle w:val="AnnexNormal"/>
              <w:tabs>
                <w:tab w:val="right" w:leader="dot" w:pos="8052"/>
              </w:tabs>
              <w:spacing w:after="260"/>
            </w:pPr>
            <w:r>
              <w:t>Endurbætur á millilanda- og strandsiglingum með vörur og farþega</w:t>
            </w:r>
            <w:r>
              <w:tab/>
            </w:r>
          </w:p>
        </w:tc>
        <w:tc>
          <w:tcPr>
            <w:tcW w:w="378" w:type="dxa"/>
            <w:tcMar>
              <w:right w:w="0" w:type="dxa"/>
            </w:tcMar>
          </w:tcPr>
          <w:p w14:paraId="70E5942D" w14:textId="77777777" w:rsidR="007E0724" w:rsidRDefault="00C4775C">
            <w:pPr>
              <w:pStyle w:val="AnnexNormal"/>
            </w:pPr>
            <w:r>
              <w:t>116</w:t>
            </w:r>
          </w:p>
        </w:tc>
      </w:tr>
      <w:tr w:rsidR="007E0724" w14:paraId="70F296A5" w14:textId="77777777">
        <w:trPr>
          <w:trHeight w:val="440"/>
        </w:trPr>
        <w:tc>
          <w:tcPr>
            <w:tcW w:w="588" w:type="dxa"/>
            <w:tcMar>
              <w:left w:w="0" w:type="dxa"/>
            </w:tcMar>
          </w:tcPr>
          <w:p w14:paraId="6BBFA725" w14:textId="77777777" w:rsidR="007E0724" w:rsidRDefault="00C4775C">
            <w:pPr>
              <w:pStyle w:val="AnnexNormal"/>
            </w:pPr>
            <w:r>
              <w:t>6.13.</w:t>
            </w:r>
          </w:p>
        </w:tc>
        <w:tc>
          <w:tcPr>
            <w:tcW w:w="8274" w:type="dxa"/>
            <w:gridSpan w:val="2"/>
          </w:tcPr>
          <w:p w14:paraId="327C2EC7" w14:textId="77777777" w:rsidR="007E0724" w:rsidRDefault="00C4775C">
            <w:pPr>
              <w:pStyle w:val="AnnexNormal"/>
              <w:tabs>
                <w:tab w:val="right" w:leader="dot" w:pos="8052"/>
              </w:tabs>
              <w:spacing w:after="260"/>
            </w:pPr>
            <w:r>
              <w:t>Grunnvirki fyrir ferlimál einstaklinga, nytjahjólaflutningastjórnun</w:t>
            </w:r>
            <w:r>
              <w:tab/>
            </w:r>
          </w:p>
        </w:tc>
        <w:tc>
          <w:tcPr>
            <w:tcW w:w="378" w:type="dxa"/>
            <w:tcMar>
              <w:right w:w="0" w:type="dxa"/>
            </w:tcMar>
          </w:tcPr>
          <w:p w14:paraId="611B5757" w14:textId="77777777" w:rsidR="007E0724" w:rsidRDefault="00C4775C">
            <w:pPr>
              <w:pStyle w:val="AnnexNormal"/>
            </w:pPr>
            <w:r>
              <w:t>117</w:t>
            </w:r>
          </w:p>
        </w:tc>
      </w:tr>
      <w:tr w:rsidR="007E0724" w14:paraId="69A38DD8" w14:textId="77777777">
        <w:trPr>
          <w:trHeight w:val="440"/>
        </w:trPr>
        <w:tc>
          <w:tcPr>
            <w:tcW w:w="588" w:type="dxa"/>
            <w:tcMar>
              <w:left w:w="0" w:type="dxa"/>
            </w:tcMar>
          </w:tcPr>
          <w:p w14:paraId="258A2351" w14:textId="77777777" w:rsidR="007E0724" w:rsidRDefault="00C4775C">
            <w:pPr>
              <w:pStyle w:val="AnnexNormal"/>
            </w:pPr>
            <w:r>
              <w:t>6.14.</w:t>
            </w:r>
          </w:p>
        </w:tc>
        <w:tc>
          <w:tcPr>
            <w:tcW w:w="8274" w:type="dxa"/>
            <w:gridSpan w:val="2"/>
          </w:tcPr>
          <w:p w14:paraId="3F799924" w14:textId="77777777" w:rsidR="007E0724" w:rsidRDefault="00C4775C">
            <w:pPr>
              <w:pStyle w:val="AnnexNormal"/>
              <w:tabs>
                <w:tab w:val="right" w:leader="dot" w:pos="8052"/>
              </w:tabs>
              <w:spacing w:after="260"/>
            </w:pPr>
            <w:r>
              <w:t>Grunnvirki fyrir flutninga með járnbrautum</w:t>
            </w:r>
            <w:r>
              <w:tab/>
            </w:r>
          </w:p>
        </w:tc>
        <w:tc>
          <w:tcPr>
            <w:tcW w:w="378" w:type="dxa"/>
            <w:tcMar>
              <w:right w:w="0" w:type="dxa"/>
            </w:tcMar>
          </w:tcPr>
          <w:p w14:paraId="36F4D531" w14:textId="77777777" w:rsidR="007E0724" w:rsidRDefault="00C4775C">
            <w:pPr>
              <w:pStyle w:val="AnnexNormal"/>
            </w:pPr>
            <w:r>
              <w:t>119</w:t>
            </w:r>
          </w:p>
        </w:tc>
      </w:tr>
      <w:tr w:rsidR="007E0724" w14:paraId="0D292AFA" w14:textId="77777777">
        <w:trPr>
          <w:trHeight w:val="440"/>
        </w:trPr>
        <w:tc>
          <w:tcPr>
            <w:tcW w:w="588" w:type="dxa"/>
            <w:tcMar>
              <w:left w:w="0" w:type="dxa"/>
            </w:tcMar>
          </w:tcPr>
          <w:p w14:paraId="42857787" w14:textId="77777777" w:rsidR="007E0724" w:rsidRDefault="00C4775C">
            <w:pPr>
              <w:pStyle w:val="AnnexNormal"/>
              <w:pageBreakBefore/>
            </w:pPr>
            <w:r>
              <w:lastRenderedPageBreak/>
              <w:t>6.15.</w:t>
            </w:r>
          </w:p>
        </w:tc>
        <w:tc>
          <w:tcPr>
            <w:tcW w:w="8274" w:type="dxa"/>
            <w:gridSpan w:val="2"/>
          </w:tcPr>
          <w:p w14:paraId="15474AA4" w14:textId="77777777" w:rsidR="007E0724" w:rsidRDefault="00C4775C">
            <w:pPr>
              <w:pStyle w:val="AnnexNormal"/>
              <w:tabs>
                <w:tab w:val="right" w:leader="dot" w:pos="8052"/>
              </w:tabs>
              <w:spacing w:after="260"/>
            </w:pPr>
            <w:r>
              <w:t>Grunnvirki sem gera flutninga á vegum og almenningssamgöngur með litla losun kolefna möguleg</w:t>
            </w:r>
            <w:r>
              <w:tab/>
            </w:r>
          </w:p>
        </w:tc>
        <w:tc>
          <w:tcPr>
            <w:tcW w:w="378" w:type="dxa"/>
            <w:tcMar>
              <w:right w:w="0" w:type="dxa"/>
            </w:tcMar>
          </w:tcPr>
          <w:p w14:paraId="6B072BD3" w14:textId="77777777" w:rsidR="007E0724" w:rsidRDefault="00C4775C">
            <w:pPr>
              <w:pStyle w:val="AnnexNormal"/>
            </w:pPr>
            <w:r>
              <w:t>120</w:t>
            </w:r>
          </w:p>
        </w:tc>
      </w:tr>
      <w:tr w:rsidR="007E0724" w14:paraId="24C0FA86" w14:textId="77777777">
        <w:trPr>
          <w:trHeight w:val="440"/>
        </w:trPr>
        <w:tc>
          <w:tcPr>
            <w:tcW w:w="588" w:type="dxa"/>
            <w:tcMar>
              <w:left w:w="0" w:type="dxa"/>
            </w:tcMar>
          </w:tcPr>
          <w:p w14:paraId="7F626CE4" w14:textId="77777777" w:rsidR="007E0724" w:rsidRDefault="00C4775C">
            <w:pPr>
              <w:pStyle w:val="AnnexNormal"/>
            </w:pPr>
            <w:r>
              <w:t>6.16.</w:t>
            </w:r>
          </w:p>
        </w:tc>
        <w:tc>
          <w:tcPr>
            <w:tcW w:w="8274" w:type="dxa"/>
            <w:gridSpan w:val="2"/>
          </w:tcPr>
          <w:p w14:paraId="7DF8703E" w14:textId="77777777" w:rsidR="007E0724" w:rsidRDefault="00C4775C">
            <w:pPr>
              <w:pStyle w:val="AnnexNormal"/>
              <w:tabs>
                <w:tab w:val="right" w:leader="dot" w:pos="8052"/>
              </w:tabs>
              <w:spacing w:after="260"/>
            </w:pPr>
            <w:r>
              <w:t>Grunnvirki sem gera lágkolefnisflutninga á sjó og vatnaleiðum mögulega</w:t>
            </w:r>
            <w:r>
              <w:tab/>
            </w:r>
          </w:p>
        </w:tc>
        <w:tc>
          <w:tcPr>
            <w:tcW w:w="378" w:type="dxa"/>
            <w:tcMar>
              <w:right w:w="0" w:type="dxa"/>
            </w:tcMar>
          </w:tcPr>
          <w:p w14:paraId="3EF6FFD2" w14:textId="77777777" w:rsidR="007E0724" w:rsidRDefault="00C4775C">
            <w:pPr>
              <w:pStyle w:val="AnnexNormal"/>
            </w:pPr>
            <w:r>
              <w:t>121</w:t>
            </w:r>
          </w:p>
        </w:tc>
      </w:tr>
      <w:tr w:rsidR="007E0724" w14:paraId="6E594834" w14:textId="77777777">
        <w:trPr>
          <w:trHeight w:val="440"/>
        </w:trPr>
        <w:tc>
          <w:tcPr>
            <w:tcW w:w="588" w:type="dxa"/>
            <w:tcMar>
              <w:left w:w="0" w:type="dxa"/>
            </w:tcMar>
          </w:tcPr>
          <w:p w14:paraId="1A57BB5A" w14:textId="77777777" w:rsidR="007E0724" w:rsidRDefault="00C4775C">
            <w:pPr>
              <w:pStyle w:val="AnnexNormal"/>
            </w:pPr>
            <w:r>
              <w:t>6.17.</w:t>
            </w:r>
          </w:p>
        </w:tc>
        <w:tc>
          <w:tcPr>
            <w:tcW w:w="8274" w:type="dxa"/>
            <w:gridSpan w:val="2"/>
          </w:tcPr>
          <w:p w14:paraId="32BB28EA" w14:textId="77777777" w:rsidR="007E0724" w:rsidRDefault="00C4775C">
            <w:pPr>
              <w:pStyle w:val="AnnexNormal"/>
              <w:tabs>
                <w:tab w:val="right" w:leader="dot" w:pos="8052"/>
              </w:tabs>
              <w:spacing w:after="260"/>
            </w:pPr>
            <w:r>
              <w:t>Grunnvirki flugvalla með litla losun kolefna</w:t>
            </w:r>
            <w:r>
              <w:tab/>
            </w:r>
          </w:p>
        </w:tc>
        <w:tc>
          <w:tcPr>
            <w:tcW w:w="378" w:type="dxa"/>
            <w:tcMar>
              <w:right w:w="0" w:type="dxa"/>
            </w:tcMar>
          </w:tcPr>
          <w:p w14:paraId="511D5BD8" w14:textId="77777777" w:rsidR="007E0724" w:rsidRDefault="00C4775C">
            <w:pPr>
              <w:pStyle w:val="AnnexNormal"/>
            </w:pPr>
            <w:r>
              <w:t>123</w:t>
            </w:r>
          </w:p>
        </w:tc>
      </w:tr>
      <w:tr w:rsidR="007E0724" w14:paraId="48621B46" w14:textId="77777777">
        <w:trPr>
          <w:trHeight w:val="440"/>
        </w:trPr>
        <w:tc>
          <w:tcPr>
            <w:tcW w:w="588" w:type="dxa"/>
            <w:tcMar>
              <w:left w:w="0" w:type="dxa"/>
            </w:tcMar>
          </w:tcPr>
          <w:p w14:paraId="7233F1D1" w14:textId="77777777" w:rsidR="007E0724" w:rsidRDefault="00C4775C">
            <w:pPr>
              <w:pStyle w:val="AnnexNormal"/>
            </w:pPr>
            <w:r>
              <w:t>7.</w:t>
            </w:r>
          </w:p>
        </w:tc>
        <w:tc>
          <w:tcPr>
            <w:tcW w:w="8274" w:type="dxa"/>
            <w:gridSpan w:val="2"/>
          </w:tcPr>
          <w:p w14:paraId="4DD0D3BD" w14:textId="77777777" w:rsidR="007E0724" w:rsidRDefault="00C4775C">
            <w:pPr>
              <w:pStyle w:val="AnnexNormal"/>
              <w:tabs>
                <w:tab w:val="right" w:leader="dot" w:pos="8052"/>
              </w:tabs>
              <w:spacing w:after="260"/>
            </w:pPr>
            <w:r>
              <w:t>Byggingarstarfsemi og mannvirkjagerð og fasteignaviðskipti</w:t>
            </w:r>
            <w:r>
              <w:tab/>
            </w:r>
          </w:p>
        </w:tc>
        <w:tc>
          <w:tcPr>
            <w:tcW w:w="378" w:type="dxa"/>
            <w:tcMar>
              <w:right w:w="0" w:type="dxa"/>
            </w:tcMar>
          </w:tcPr>
          <w:p w14:paraId="5F57DA64" w14:textId="77777777" w:rsidR="007E0724" w:rsidRDefault="00C4775C">
            <w:pPr>
              <w:pStyle w:val="AnnexNormal"/>
            </w:pPr>
            <w:r>
              <w:t>124</w:t>
            </w:r>
          </w:p>
        </w:tc>
      </w:tr>
      <w:tr w:rsidR="007E0724" w14:paraId="66BCCDE5" w14:textId="77777777">
        <w:trPr>
          <w:trHeight w:val="440"/>
        </w:trPr>
        <w:tc>
          <w:tcPr>
            <w:tcW w:w="588" w:type="dxa"/>
            <w:tcMar>
              <w:left w:w="0" w:type="dxa"/>
            </w:tcMar>
          </w:tcPr>
          <w:p w14:paraId="76BD2A50" w14:textId="77777777" w:rsidR="007E0724" w:rsidRDefault="00C4775C">
            <w:pPr>
              <w:pStyle w:val="AnnexNormal"/>
            </w:pPr>
            <w:r>
              <w:t>7.1.</w:t>
            </w:r>
          </w:p>
        </w:tc>
        <w:tc>
          <w:tcPr>
            <w:tcW w:w="8274" w:type="dxa"/>
            <w:gridSpan w:val="2"/>
          </w:tcPr>
          <w:p w14:paraId="520D2FC1" w14:textId="77777777" w:rsidR="007E0724" w:rsidRDefault="00C4775C">
            <w:pPr>
              <w:pStyle w:val="AnnexNormal"/>
              <w:tabs>
                <w:tab w:val="right" w:leader="dot" w:pos="8052"/>
              </w:tabs>
              <w:spacing w:after="260"/>
            </w:pPr>
            <w:r>
              <w:t>Smíði nýrra bygginga</w:t>
            </w:r>
            <w:r>
              <w:tab/>
            </w:r>
          </w:p>
        </w:tc>
        <w:tc>
          <w:tcPr>
            <w:tcW w:w="378" w:type="dxa"/>
            <w:tcMar>
              <w:right w:w="0" w:type="dxa"/>
            </w:tcMar>
          </w:tcPr>
          <w:p w14:paraId="5EEDE025" w14:textId="77777777" w:rsidR="007E0724" w:rsidRDefault="00C4775C">
            <w:pPr>
              <w:pStyle w:val="AnnexNormal"/>
            </w:pPr>
            <w:r>
              <w:t>124</w:t>
            </w:r>
          </w:p>
        </w:tc>
      </w:tr>
      <w:tr w:rsidR="007E0724" w14:paraId="7B1215E9" w14:textId="77777777">
        <w:trPr>
          <w:trHeight w:val="440"/>
        </w:trPr>
        <w:tc>
          <w:tcPr>
            <w:tcW w:w="588" w:type="dxa"/>
            <w:tcMar>
              <w:left w:w="0" w:type="dxa"/>
            </w:tcMar>
          </w:tcPr>
          <w:p w14:paraId="7433BDF4" w14:textId="77777777" w:rsidR="007E0724" w:rsidRDefault="00C4775C">
            <w:pPr>
              <w:pStyle w:val="AnnexNormal"/>
            </w:pPr>
            <w:r>
              <w:t>7.2.</w:t>
            </w:r>
          </w:p>
        </w:tc>
        <w:tc>
          <w:tcPr>
            <w:tcW w:w="8274" w:type="dxa"/>
            <w:gridSpan w:val="2"/>
          </w:tcPr>
          <w:p w14:paraId="000B2BD6" w14:textId="77777777" w:rsidR="007E0724" w:rsidRDefault="00C4775C">
            <w:pPr>
              <w:pStyle w:val="AnnexNormal"/>
              <w:tabs>
                <w:tab w:val="right" w:leader="dot" w:pos="8052"/>
              </w:tabs>
              <w:spacing w:after="260"/>
            </w:pPr>
            <w:r>
              <w:t>Endurnýjun bygginga sem fyrir eru</w:t>
            </w:r>
            <w:r>
              <w:tab/>
            </w:r>
          </w:p>
        </w:tc>
        <w:tc>
          <w:tcPr>
            <w:tcW w:w="378" w:type="dxa"/>
            <w:tcMar>
              <w:right w:w="0" w:type="dxa"/>
            </w:tcMar>
          </w:tcPr>
          <w:p w14:paraId="479D5D53" w14:textId="77777777" w:rsidR="007E0724" w:rsidRDefault="00C4775C">
            <w:pPr>
              <w:pStyle w:val="AnnexNormal"/>
            </w:pPr>
            <w:r>
              <w:t>126</w:t>
            </w:r>
          </w:p>
        </w:tc>
      </w:tr>
      <w:tr w:rsidR="007E0724" w14:paraId="5785201F" w14:textId="77777777">
        <w:trPr>
          <w:trHeight w:val="440"/>
        </w:trPr>
        <w:tc>
          <w:tcPr>
            <w:tcW w:w="588" w:type="dxa"/>
            <w:tcMar>
              <w:left w:w="0" w:type="dxa"/>
            </w:tcMar>
          </w:tcPr>
          <w:p w14:paraId="7FDF9489" w14:textId="77777777" w:rsidR="007E0724" w:rsidRDefault="00C4775C">
            <w:pPr>
              <w:pStyle w:val="AnnexNormal"/>
            </w:pPr>
            <w:r>
              <w:t>7.3.</w:t>
            </w:r>
          </w:p>
        </w:tc>
        <w:tc>
          <w:tcPr>
            <w:tcW w:w="8274" w:type="dxa"/>
            <w:gridSpan w:val="2"/>
          </w:tcPr>
          <w:p w14:paraId="3F524694" w14:textId="77777777" w:rsidR="007E0724" w:rsidRDefault="00C4775C">
            <w:pPr>
              <w:pStyle w:val="AnnexNormal"/>
              <w:tabs>
                <w:tab w:val="right" w:leader="dot" w:pos="8052"/>
              </w:tabs>
              <w:spacing w:after="260"/>
            </w:pPr>
            <w:r>
              <w:t xml:space="preserve">Uppsetning, viðhald og viðgerðir á </w:t>
            </w:r>
            <w:proofErr w:type="spellStart"/>
            <w:r>
              <w:t>orkunýtnum</w:t>
            </w:r>
            <w:proofErr w:type="spellEnd"/>
            <w:r>
              <w:t xml:space="preserve"> búnaði</w:t>
            </w:r>
            <w:r>
              <w:tab/>
            </w:r>
          </w:p>
        </w:tc>
        <w:tc>
          <w:tcPr>
            <w:tcW w:w="378" w:type="dxa"/>
            <w:tcMar>
              <w:right w:w="0" w:type="dxa"/>
            </w:tcMar>
          </w:tcPr>
          <w:p w14:paraId="526A6A84" w14:textId="77777777" w:rsidR="007E0724" w:rsidRDefault="00C4775C">
            <w:pPr>
              <w:pStyle w:val="AnnexNormal"/>
            </w:pPr>
            <w:r>
              <w:t>128</w:t>
            </w:r>
          </w:p>
        </w:tc>
      </w:tr>
      <w:tr w:rsidR="007E0724" w14:paraId="4783FB59" w14:textId="77777777">
        <w:trPr>
          <w:trHeight w:val="440"/>
        </w:trPr>
        <w:tc>
          <w:tcPr>
            <w:tcW w:w="588" w:type="dxa"/>
            <w:tcMar>
              <w:left w:w="0" w:type="dxa"/>
            </w:tcMar>
          </w:tcPr>
          <w:p w14:paraId="292E1AC2" w14:textId="77777777" w:rsidR="007E0724" w:rsidRDefault="00C4775C">
            <w:pPr>
              <w:pStyle w:val="AnnexNormal"/>
            </w:pPr>
            <w:r>
              <w:t>7.4.</w:t>
            </w:r>
          </w:p>
        </w:tc>
        <w:tc>
          <w:tcPr>
            <w:tcW w:w="8274" w:type="dxa"/>
            <w:gridSpan w:val="2"/>
          </w:tcPr>
          <w:p w14:paraId="68C5419E" w14:textId="77777777" w:rsidR="007E0724" w:rsidRDefault="00C4775C">
            <w:pPr>
              <w:pStyle w:val="AnnexNormal"/>
              <w:tabs>
                <w:tab w:val="right" w:leader="dot" w:pos="8052"/>
              </w:tabs>
              <w:spacing w:after="260"/>
            </w:pPr>
            <w:r>
              <w:t xml:space="preserve">Uppsetning, viðhald og viðgerðir á hleðslustöðvum fyrir </w:t>
            </w:r>
            <w:proofErr w:type="spellStart"/>
            <w:r>
              <w:t>rafknúin</w:t>
            </w:r>
            <w:proofErr w:type="spellEnd"/>
            <w:r>
              <w:t xml:space="preserve"> ökutæki í byggingum (og bílastæðum sem eru tengd byggingum)</w:t>
            </w:r>
            <w:r>
              <w:tab/>
            </w:r>
          </w:p>
        </w:tc>
        <w:tc>
          <w:tcPr>
            <w:tcW w:w="378" w:type="dxa"/>
            <w:tcMar>
              <w:right w:w="0" w:type="dxa"/>
            </w:tcMar>
          </w:tcPr>
          <w:p w14:paraId="72732CA0" w14:textId="77777777" w:rsidR="007E0724" w:rsidRDefault="00C4775C">
            <w:pPr>
              <w:pStyle w:val="AnnexNormal"/>
            </w:pPr>
            <w:r>
              <w:t>129</w:t>
            </w:r>
          </w:p>
        </w:tc>
      </w:tr>
      <w:tr w:rsidR="007E0724" w14:paraId="325D3368" w14:textId="77777777">
        <w:trPr>
          <w:trHeight w:val="440"/>
        </w:trPr>
        <w:tc>
          <w:tcPr>
            <w:tcW w:w="588" w:type="dxa"/>
            <w:tcMar>
              <w:left w:w="0" w:type="dxa"/>
            </w:tcMar>
          </w:tcPr>
          <w:p w14:paraId="2D4E5DAD" w14:textId="77777777" w:rsidR="007E0724" w:rsidRDefault="00C4775C">
            <w:pPr>
              <w:pStyle w:val="AnnexNormal"/>
            </w:pPr>
            <w:r>
              <w:t>7.5.</w:t>
            </w:r>
          </w:p>
        </w:tc>
        <w:tc>
          <w:tcPr>
            <w:tcW w:w="8274" w:type="dxa"/>
            <w:gridSpan w:val="2"/>
          </w:tcPr>
          <w:p w14:paraId="326C6F3E" w14:textId="77777777" w:rsidR="007E0724" w:rsidRDefault="00C4775C">
            <w:pPr>
              <w:pStyle w:val="AnnexNormal"/>
              <w:tabs>
                <w:tab w:val="right" w:leader="dot" w:pos="8052"/>
              </w:tabs>
              <w:spacing w:after="260"/>
            </w:pPr>
            <w:r>
              <w:t>Uppsetning, viðhald og viðgerðir á búnaði og tækjum til mælinga, stýringar og eftirlits með orkunýtingu bygginga</w:t>
            </w:r>
            <w:r>
              <w:tab/>
            </w:r>
          </w:p>
        </w:tc>
        <w:tc>
          <w:tcPr>
            <w:tcW w:w="378" w:type="dxa"/>
            <w:tcMar>
              <w:right w:w="0" w:type="dxa"/>
            </w:tcMar>
          </w:tcPr>
          <w:p w14:paraId="04F47C9D" w14:textId="77777777" w:rsidR="007E0724" w:rsidRDefault="00C4775C">
            <w:pPr>
              <w:pStyle w:val="AnnexNormal"/>
            </w:pPr>
            <w:r>
              <w:t>130</w:t>
            </w:r>
          </w:p>
        </w:tc>
      </w:tr>
      <w:tr w:rsidR="007E0724" w14:paraId="05830D8F" w14:textId="77777777">
        <w:trPr>
          <w:trHeight w:val="440"/>
        </w:trPr>
        <w:tc>
          <w:tcPr>
            <w:tcW w:w="588" w:type="dxa"/>
            <w:tcMar>
              <w:left w:w="0" w:type="dxa"/>
            </w:tcMar>
          </w:tcPr>
          <w:p w14:paraId="3C89E23E" w14:textId="77777777" w:rsidR="007E0724" w:rsidRDefault="00C4775C">
            <w:pPr>
              <w:pStyle w:val="AnnexNormal"/>
            </w:pPr>
            <w:r>
              <w:t>7.6.</w:t>
            </w:r>
          </w:p>
        </w:tc>
        <w:tc>
          <w:tcPr>
            <w:tcW w:w="8274" w:type="dxa"/>
            <w:gridSpan w:val="2"/>
          </w:tcPr>
          <w:p w14:paraId="10B9269D" w14:textId="77777777" w:rsidR="007E0724" w:rsidRDefault="00C4775C">
            <w:pPr>
              <w:pStyle w:val="AnnexNormal"/>
              <w:tabs>
                <w:tab w:val="right" w:leader="dot" w:pos="8052"/>
              </w:tabs>
              <w:spacing w:after="260"/>
            </w:pPr>
            <w:r>
              <w:t>Uppsetning, viðhald og viðgerðir á tækni á sviði endurnýjanlegrar orku</w:t>
            </w:r>
            <w:r>
              <w:tab/>
            </w:r>
          </w:p>
        </w:tc>
        <w:tc>
          <w:tcPr>
            <w:tcW w:w="378" w:type="dxa"/>
            <w:tcMar>
              <w:right w:w="0" w:type="dxa"/>
            </w:tcMar>
          </w:tcPr>
          <w:p w14:paraId="2A0B1074" w14:textId="77777777" w:rsidR="007E0724" w:rsidRDefault="00C4775C">
            <w:pPr>
              <w:pStyle w:val="AnnexNormal"/>
            </w:pPr>
            <w:r>
              <w:t>131</w:t>
            </w:r>
          </w:p>
        </w:tc>
      </w:tr>
      <w:tr w:rsidR="007E0724" w14:paraId="6A34BE5D" w14:textId="77777777">
        <w:trPr>
          <w:trHeight w:val="440"/>
        </w:trPr>
        <w:tc>
          <w:tcPr>
            <w:tcW w:w="588" w:type="dxa"/>
            <w:tcMar>
              <w:left w:w="0" w:type="dxa"/>
            </w:tcMar>
          </w:tcPr>
          <w:p w14:paraId="0FABCB25" w14:textId="77777777" w:rsidR="007E0724" w:rsidRDefault="00C4775C">
            <w:pPr>
              <w:pStyle w:val="AnnexNormal"/>
            </w:pPr>
            <w:r>
              <w:t>7.7.</w:t>
            </w:r>
          </w:p>
        </w:tc>
        <w:tc>
          <w:tcPr>
            <w:tcW w:w="8274" w:type="dxa"/>
            <w:gridSpan w:val="2"/>
          </w:tcPr>
          <w:p w14:paraId="4C9CF3A7" w14:textId="77777777" w:rsidR="007E0724" w:rsidRDefault="00C4775C">
            <w:pPr>
              <w:pStyle w:val="AnnexNormal"/>
              <w:tabs>
                <w:tab w:val="right" w:leader="dot" w:pos="8052"/>
              </w:tabs>
              <w:spacing w:after="260"/>
            </w:pPr>
            <w:r>
              <w:t>Kaup og eignarhald á byggingum</w:t>
            </w:r>
            <w:r>
              <w:tab/>
            </w:r>
          </w:p>
        </w:tc>
        <w:tc>
          <w:tcPr>
            <w:tcW w:w="378" w:type="dxa"/>
            <w:tcMar>
              <w:right w:w="0" w:type="dxa"/>
            </w:tcMar>
          </w:tcPr>
          <w:p w14:paraId="3C3C23C3" w14:textId="77777777" w:rsidR="007E0724" w:rsidRDefault="00C4775C">
            <w:pPr>
              <w:pStyle w:val="AnnexNormal"/>
            </w:pPr>
            <w:r>
              <w:t>132</w:t>
            </w:r>
          </w:p>
        </w:tc>
      </w:tr>
      <w:tr w:rsidR="007E0724" w14:paraId="0672EF0A" w14:textId="77777777">
        <w:trPr>
          <w:trHeight w:val="440"/>
        </w:trPr>
        <w:tc>
          <w:tcPr>
            <w:tcW w:w="588" w:type="dxa"/>
            <w:tcMar>
              <w:left w:w="0" w:type="dxa"/>
            </w:tcMar>
          </w:tcPr>
          <w:p w14:paraId="0477DD6A" w14:textId="77777777" w:rsidR="007E0724" w:rsidRDefault="00C4775C">
            <w:pPr>
              <w:pStyle w:val="AnnexNormal"/>
            </w:pPr>
            <w:r>
              <w:t>8.</w:t>
            </w:r>
          </w:p>
        </w:tc>
        <w:tc>
          <w:tcPr>
            <w:tcW w:w="8274" w:type="dxa"/>
            <w:gridSpan w:val="2"/>
          </w:tcPr>
          <w:p w14:paraId="0575E701" w14:textId="77777777" w:rsidR="007E0724" w:rsidRDefault="00C4775C">
            <w:pPr>
              <w:pStyle w:val="AnnexNormal"/>
              <w:tabs>
                <w:tab w:val="right" w:leader="dot" w:pos="8052"/>
              </w:tabs>
              <w:spacing w:after="260"/>
            </w:pPr>
            <w:r>
              <w:t>Upplýsingar og samskipti</w:t>
            </w:r>
            <w:r>
              <w:tab/>
            </w:r>
          </w:p>
        </w:tc>
        <w:tc>
          <w:tcPr>
            <w:tcW w:w="378" w:type="dxa"/>
            <w:tcMar>
              <w:right w:w="0" w:type="dxa"/>
            </w:tcMar>
          </w:tcPr>
          <w:p w14:paraId="172BCD62" w14:textId="77777777" w:rsidR="007E0724" w:rsidRDefault="00C4775C">
            <w:pPr>
              <w:pStyle w:val="AnnexNormal"/>
            </w:pPr>
            <w:r>
              <w:t>132</w:t>
            </w:r>
          </w:p>
        </w:tc>
      </w:tr>
      <w:tr w:rsidR="007E0724" w14:paraId="141AF663" w14:textId="77777777">
        <w:trPr>
          <w:trHeight w:val="440"/>
        </w:trPr>
        <w:tc>
          <w:tcPr>
            <w:tcW w:w="588" w:type="dxa"/>
            <w:tcMar>
              <w:left w:w="0" w:type="dxa"/>
            </w:tcMar>
          </w:tcPr>
          <w:p w14:paraId="0248FC39" w14:textId="77777777" w:rsidR="007E0724" w:rsidRDefault="00C4775C">
            <w:pPr>
              <w:pStyle w:val="AnnexNormal"/>
            </w:pPr>
            <w:r>
              <w:t>8.1.</w:t>
            </w:r>
          </w:p>
        </w:tc>
        <w:tc>
          <w:tcPr>
            <w:tcW w:w="8274" w:type="dxa"/>
            <w:gridSpan w:val="2"/>
          </w:tcPr>
          <w:p w14:paraId="4500C2EA" w14:textId="77777777" w:rsidR="007E0724" w:rsidRDefault="00C4775C">
            <w:pPr>
              <w:pStyle w:val="AnnexNormal"/>
              <w:tabs>
                <w:tab w:val="right" w:leader="dot" w:pos="8052"/>
              </w:tabs>
              <w:spacing w:after="260"/>
            </w:pPr>
            <w:r>
              <w:t xml:space="preserve">Gagnavinnsla, </w:t>
            </w:r>
            <w:proofErr w:type="spellStart"/>
            <w:r>
              <w:t>hýsing</w:t>
            </w:r>
            <w:proofErr w:type="spellEnd"/>
            <w:r>
              <w:t xml:space="preserve"> og tengd starfsemi</w:t>
            </w:r>
            <w:r>
              <w:tab/>
            </w:r>
          </w:p>
        </w:tc>
        <w:tc>
          <w:tcPr>
            <w:tcW w:w="378" w:type="dxa"/>
            <w:tcMar>
              <w:right w:w="0" w:type="dxa"/>
            </w:tcMar>
          </w:tcPr>
          <w:p w14:paraId="49426B4B" w14:textId="77777777" w:rsidR="007E0724" w:rsidRDefault="00C4775C">
            <w:pPr>
              <w:pStyle w:val="AnnexNormal"/>
            </w:pPr>
            <w:r>
              <w:t>132</w:t>
            </w:r>
          </w:p>
        </w:tc>
      </w:tr>
      <w:tr w:rsidR="007E0724" w14:paraId="5B9D6E22" w14:textId="77777777">
        <w:trPr>
          <w:trHeight w:val="440"/>
        </w:trPr>
        <w:tc>
          <w:tcPr>
            <w:tcW w:w="588" w:type="dxa"/>
            <w:tcMar>
              <w:left w:w="0" w:type="dxa"/>
            </w:tcMar>
          </w:tcPr>
          <w:p w14:paraId="696AFB25" w14:textId="77777777" w:rsidR="007E0724" w:rsidRDefault="00C4775C">
            <w:pPr>
              <w:pStyle w:val="AnnexNormal"/>
            </w:pPr>
            <w:r>
              <w:t>8.2.</w:t>
            </w:r>
          </w:p>
        </w:tc>
        <w:tc>
          <w:tcPr>
            <w:tcW w:w="8274" w:type="dxa"/>
            <w:gridSpan w:val="2"/>
          </w:tcPr>
          <w:p w14:paraId="4831A9B6" w14:textId="77777777" w:rsidR="007E0724" w:rsidRDefault="00C4775C">
            <w:pPr>
              <w:pStyle w:val="AnnexNormal"/>
              <w:tabs>
                <w:tab w:val="right" w:leader="dot" w:pos="8052"/>
              </w:tabs>
              <w:spacing w:after="260"/>
            </w:pPr>
            <w:r>
              <w:t>Gagnadrifnar lausnir til að draga úr losun gróðurhúsalofttegunda</w:t>
            </w:r>
            <w:r>
              <w:tab/>
            </w:r>
          </w:p>
        </w:tc>
        <w:tc>
          <w:tcPr>
            <w:tcW w:w="378" w:type="dxa"/>
            <w:tcMar>
              <w:right w:w="0" w:type="dxa"/>
            </w:tcMar>
          </w:tcPr>
          <w:p w14:paraId="34487AD8" w14:textId="77777777" w:rsidR="007E0724" w:rsidRDefault="00C4775C">
            <w:pPr>
              <w:pStyle w:val="AnnexNormal"/>
            </w:pPr>
            <w:r>
              <w:t>134</w:t>
            </w:r>
          </w:p>
        </w:tc>
      </w:tr>
      <w:tr w:rsidR="007E0724" w14:paraId="6BBBAF73" w14:textId="77777777">
        <w:trPr>
          <w:trHeight w:val="440"/>
        </w:trPr>
        <w:tc>
          <w:tcPr>
            <w:tcW w:w="588" w:type="dxa"/>
            <w:tcMar>
              <w:left w:w="0" w:type="dxa"/>
            </w:tcMar>
          </w:tcPr>
          <w:p w14:paraId="4196FAFF" w14:textId="77777777" w:rsidR="007E0724" w:rsidRDefault="00C4775C">
            <w:pPr>
              <w:pStyle w:val="AnnexNormal"/>
            </w:pPr>
            <w:r>
              <w:t>9.</w:t>
            </w:r>
          </w:p>
        </w:tc>
        <w:tc>
          <w:tcPr>
            <w:tcW w:w="8274" w:type="dxa"/>
            <w:gridSpan w:val="2"/>
          </w:tcPr>
          <w:p w14:paraId="5827F103" w14:textId="77777777" w:rsidR="007E0724" w:rsidRDefault="00C4775C">
            <w:pPr>
              <w:pStyle w:val="AnnexNormal"/>
              <w:tabs>
                <w:tab w:val="right" w:leader="dot" w:pos="8052"/>
              </w:tabs>
              <w:spacing w:after="260"/>
            </w:pPr>
            <w:r>
              <w:t>Sérfræðileg, vísindaleg og tæknileg starfsemi</w:t>
            </w:r>
            <w:r>
              <w:tab/>
            </w:r>
          </w:p>
        </w:tc>
        <w:tc>
          <w:tcPr>
            <w:tcW w:w="378" w:type="dxa"/>
            <w:tcMar>
              <w:right w:w="0" w:type="dxa"/>
            </w:tcMar>
          </w:tcPr>
          <w:p w14:paraId="0F55DAE8" w14:textId="77777777" w:rsidR="007E0724" w:rsidRDefault="00C4775C">
            <w:pPr>
              <w:pStyle w:val="AnnexNormal"/>
            </w:pPr>
            <w:r>
              <w:t>135</w:t>
            </w:r>
          </w:p>
        </w:tc>
      </w:tr>
      <w:tr w:rsidR="007E0724" w14:paraId="3363B7E8" w14:textId="77777777">
        <w:trPr>
          <w:trHeight w:val="440"/>
        </w:trPr>
        <w:tc>
          <w:tcPr>
            <w:tcW w:w="588" w:type="dxa"/>
            <w:tcMar>
              <w:left w:w="0" w:type="dxa"/>
            </w:tcMar>
          </w:tcPr>
          <w:p w14:paraId="1A46BF53" w14:textId="77777777" w:rsidR="007E0724" w:rsidRDefault="00C4775C">
            <w:pPr>
              <w:pStyle w:val="AnnexNormal"/>
            </w:pPr>
            <w:r>
              <w:t>9.1.</w:t>
            </w:r>
          </w:p>
        </w:tc>
        <w:tc>
          <w:tcPr>
            <w:tcW w:w="8274" w:type="dxa"/>
            <w:gridSpan w:val="2"/>
          </w:tcPr>
          <w:p w14:paraId="27268009" w14:textId="77777777" w:rsidR="007E0724" w:rsidRDefault="00C4775C">
            <w:pPr>
              <w:pStyle w:val="AnnexNormal"/>
              <w:tabs>
                <w:tab w:val="right" w:leader="dot" w:pos="8052"/>
              </w:tabs>
              <w:spacing w:after="260"/>
            </w:pPr>
            <w:r>
              <w:t>Rannsóknir nátengdar markaði, þróun og nýsköpun</w:t>
            </w:r>
            <w:r>
              <w:tab/>
            </w:r>
          </w:p>
        </w:tc>
        <w:tc>
          <w:tcPr>
            <w:tcW w:w="378" w:type="dxa"/>
            <w:tcMar>
              <w:right w:w="0" w:type="dxa"/>
            </w:tcMar>
          </w:tcPr>
          <w:p w14:paraId="0B0AAB8B" w14:textId="77777777" w:rsidR="007E0724" w:rsidRDefault="00C4775C">
            <w:pPr>
              <w:pStyle w:val="AnnexNormal"/>
            </w:pPr>
            <w:r>
              <w:t>135</w:t>
            </w:r>
          </w:p>
        </w:tc>
      </w:tr>
      <w:tr w:rsidR="007E0724" w14:paraId="3A7BF060" w14:textId="77777777">
        <w:trPr>
          <w:trHeight w:val="440"/>
        </w:trPr>
        <w:tc>
          <w:tcPr>
            <w:tcW w:w="588" w:type="dxa"/>
            <w:tcMar>
              <w:left w:w="0" w:type="dxa"/>
            </w:tcMar>
          </w:tcPr>
          <w:p w14:paraId="139312E7" w14:textId="77777777" w:rsidR="007E0724" w:rsidRDefault="00C4775C">
            <w:pPr>
              <w:pStyle w:val="AnnexNormal"/>
            </w:pPr>
            <w:r>
              <w:t>9.2.</w:t>
            </w:r>
          </w:p>
        </w:tc>
        <w:tc>
          <w:tcPr>
            <w:tcW w:w="8274" w:type="dxa"/>
            <w:gridSpan w:val="2"/>
          </w:tcPr>
          <w:p w14:paraId="0C48F6AC" w14:textId="77777777" w:rsidR="007E0724" w:rsidRDefault="00C4775C">
            <w:pPr>
              <w:pStyle w:val="AnnexNormal"/>
              <w:tabs>
                <w:tab w:val="right" w:leader="dot" w:pos="8052"/>
              </w:tabs>
              <w:spacing w:after="260"/>
            </w:pPr>
            <w:r>
              <w:t xml:space="preserve">Rannsóknir, þróun og nýsköpun vegna beinnar </w:t>
            </w:r>
            <w:proofErr w:type="spellStart"/>
            <w:r>
              <w:t>föngunar</w:t>
            </w:r>
            <w:proofErr w:type="spellEnd"/>
            <w:r>
              <w:t xml:space="preserve"> koltvísýrings í andrúmslofti</w:t>
            </w:r>
            <w:r>
              <w:tab/>
            </w:r>
          </w:p>
        </w:tc>
        <w:tc>
          <w:tcPr>
            <w:tcW w:w="378" w:type="dxa"/>
            <w:tcMar>
              <w:right w:w="0" w:type="dxa"/>
            </w:tcMar>
          </w:tcPr>
          <w:p w14:paraId="662BD449" w14:textId="77777777" w:rsidR="007E0724" w:rsidRDefault="00C4775C">
            <w:pPr>
              <w:pStyle w:val="AnnexNormal"/>
            </w:pPr>
            <w:r>
              <w:t>137</w:t>
            </w:r>
          </w:p>
        </w:tc>
      </w:tr>
      <w:tr w:rsidR="007E0724" w14:paraId="0A2CBD7C" w14:textId="77777777">
        <w:trPr>
          <w:trHeight w:val="440"/>
        </w:trPr>
        <w:tc>
          <w:tcPr>
            <w:tcW w:w="588" w:type="dxa"/>
            <w:tcMar>
              <w:left w:w="0" w:type="dxa"/>
            </w:tcMar>
          </w:tcPr>
          <w:p w14:paraId="3FC17661" w14:textId="77777777" w:rsidR="007E0724" w:rsidRDefault="00C4775C">
            <w:pPr>
              <w:pStyle w:val="AnnexNormal"/>
            </w:pPr>
            <w:r>
              <w:t>9.3.</w:t>
            </w:r>
          </w:p>
        </w:tc>
        <w:tc>
          <w:tcPr>
            <w:tcW w:w="8274" w:type="dxa"/>
            <w:gridSpan w:val="2"/>
          </w:tcPr>
          <w:p w14:paraId="7BE74977" w14:textId="77777777" w:rsidR="007E0724" w:rsidRDefault="00C4775C">
            <w:pPr>
              <w:pStyle w:val="AnnexNormal"/>
              <w:tabs>
                <w:tab w:val="right" w:leader="dot" w:pos="8052"/>
              </w:tabs>
              <w:spacing w:after="260"/>
            </w:pPr>
            <w:r>
              <w:t>Sérfræðiþjónusta tengd orkunýtingu bygginga</w:t>
            </w:r>
            <w:r>
              <w:tab/>
            </w:r>
          </w:p>
        </w:tc>
        <w:tc>
          <w:tcPr>
            <w:tcW w:w="378" w:type="dxa"/>
            <w:tcMar>
              <w:right w:w="0" w:type="dxa"/>
            </w:tcMar>
          </w:tcPr>
          <w:p w14:paraId="72FA5F73" w14:textId="77777777" w:rsidR="007E0724" w:rsidRDefault="00C4775C">
            <w:pPr>
              <w:pStyle w:val="AnnexNormal"/>
            </w:pPr>
            <w:r>
              <w:t>138</w:t>
            </w:r>
          </w:p>
        </w:tc>
      </w:tr>
      <w:tr w:rsidR="007E0724" w14:paraId="5354732E" w14:textId="77777777">
        <w:trPr>
          <w:trHeight w:val="440"/>
        </w:trPr>
        <w:tc>
          <w:tcPr>
            <w:tcW w:w="1032" w:type="dxa"/>
            <w:gridSpan w:val="2"/>
            <w:tcMar>
              <w:left w:w="0" w:type="dxa"/>
            </w:tcMar>
          </w:tcPr>
          <w:p w14:paraId="716DF784" w14:textId="77777777" w:rsidR="007E0724" w:rsidRDefault="00C4775C">
            <w:pPr>
              <w:pStyle w:val="AnnexNormal"/>
            </w:pPr>
            <w:r>
              <w:t>Viðbætir A</w:t>
            </w:r>
          </w:p>
        </w:tc>
        <w:tc>
          <w:tcPr>
            <w:tcW w:w="7830" w:type="dxa"/>
          </w:tcPr>
          <w:p w14:paraId="22BD6902" w14:textId="77777777" w:rsidR="007E0724" w:rsidRDefault="00C4775C">
            <w:pPr>
              <w:pStyle w:val="AnnexNormal"/>
              <w:tabs>
                <w:tab w:val="right" w:leader="dot" w:pos="8052"/>
              </w:tabs>
              <w:spacing w:after="260"/>
            </w:pPr>
            <w:r>
              <w:t>Almennar viðmiðanir um að valda ekki umtalsverðu tjóni fyrir aðlögun að loftslagsbreytingum</w:t>
            </w:r>
            <w:r>
              <w:tab/>
            </w:r>
          </w:p>
        </w:tc>
        <w:tc>
          <w:tcPr>
            <w:tcW w:w="378" w:type="dxa"/>
            <w:tcMar>
              <w:right w:w="0" w:type="dxa"/>
            </w:tcMar>
          </w:tcPr>
          <w:p w14:paraId="5772347D" w14:textId="77777777" w:rsidR="007E0724" w:rsidRDefault="00C4775C">
            <w:pPr>
              <w:pStyle w:val="AnnexNormal"/>
            </w:pPr>
            <w:r>
              <w:t>140</w:t>
            </w:r>
          </w:p>
        </w:tc>
      </w:tr>
      <w:tr w:rsidR="007E0724" w14:paraId="542FE722" w14:textId="77777777">
        <w:trPr>
          <w:trHeight w:val="440"/>
        </w:trPr>
        <w:tc>
          <w:tcPr>
            <w:tcW w:w="1032" w:type="dxa"/>
            <w:gridSpan w:val="2"/>
            <w:tcMar>
              <w:left w:w="0" w:type="dxa"/>
            </w:tcMar>
          </w:tcPr>
          <w:p w14:paraId="69D38865" w14:textId="77777777" w:rsidR="007E0724" w:rsidRDefault="00C4775C">
            <w:pPr>
              <w:pStyle w:val="AnnexNormal"/>
            </w:pPr>
            <w:r>
              <w:t>Viðbætir B</w:t>
            </w:r>
          </w:p>
        </w:tc>
        <w:tc>
          <w:tcPr>
            <w:tcW w:w="7830" w:type="dxa"/>
          </w:tcPr>
          <w:p w14:paraId="73247EFA" w14:textId="77777777" w:rsidR="007E0724" w:rsidRDefault="00C4775C">
            <w:pPr>
              <w:pStyle w:val="AnnexNormal"/>
              <w:tabs>
                <w:tab w:val="right" w:leader="dot" w:pos="8052"/>
              </w:tabs>
              <w:spacing w:after="260"/>
            </w:pPr>
            <w:r>
              <w:t>Almennar viðmiðanir um að valda ekki umtalsverðu tjóni fyrir sjálfbæra notkun og verndun vatns- og sjávarauðlinda</w:t>
            </w:r>
            <w:r>
              <w:tab/>
            </w:r>
          </w:p>
        </w:tc>
        <w:tc>
          <w:tcPr>
            <w:tcW w:w="378" w:type="dxa"/>
            <w:tcMar>
              <w:right w:w="0" w:type="dxa"/>
            </w:tcMar>
          </w:tcPr>
          <w:p w14:paraId="5A28396D" w14:textId="77777777" w:rsidR="007E0724" w:rsidRDefault="00C4775C">
            <w:pPr>
              <w:pStyle w:val="AnnexNormal"/>
            </w:pPr>
            <w:r>
              <w:t>142</w:t>
            </w:r>
          </w:p>
        </w:tc>
      </w:tr>
      <w:tr w:rsidR="007E0724" w14:paraId="54F5276B" w14:textId="77777777">
        <w:trPr>
          <w:trHeight w:val="440"/>
        </w:trPr>
        <w:tc>
          <w:tcPr>
            <w:tcW w:w="1032" w:type="dxa"/>
            <w:gridSpan w:val="2"/>
            <w:tcMar>
              <w:left w:w="0" w:type="dxa"/>
            </w:tcMar>
          </w:tcPr>
          <w:p w14:paraId="4CC2E9B4" w14:textId="77777777" w:rsidR="007E0724" w:rsidRDefault="00C4775C">
            <w:pPr>
              <w:pStyle w:val="AnnexNormal"/>
            </w:pPr>
            <w:r>
              <w:t>Viðbætir C</w:t>
            </w:r>
          </w:p>
        </w:tc>
        <w:tc>
          <w:tcPr>
            <w:tcW w:w="7830" w:type="dxa"/>
          </w:tcPr>
          <w:p w14:paraId="6C8C7CDF" w14:textId="77777777" w:rsidR="007E0724" w:rsidRDefault="00C4775C">
            <w:pPr>
              <w:pStyle w:val="AnnexNormal"/>
              <w:tabs>
                <w:tab w:val="right" w:leader="dot" w:pos="8052"/>
              </w:tabs>
              <w:spacing w:after="260"/>
            </w:pPr>
            <w:r>
              <w:t xml:space="preserve">Almennar viðmiðanir um að valda ekki umtalsverðu tjóni fyrir mengunarvarnir og eftirlit með mengun að því er varðar notkun og tilvist </w:t>
            </w:r>
            <w:proofErr w:type="spellStart"/>
            <w:r>
              <w:t>íðefna</w:t>
            </w:r>
            <w:proofErr w:type="spellEnd"/>
            <w:r>
              <w:tab/>
            </w:r>
          </w:p>
        </w:tc>
        <w:tc>
          <w:tcPr>
            <w:tcW w:w="378" w:type="dxa"/>
            <w:tcMar>
              <w:right w:w="0" w:type="dxa"/>
            </w:tcMar>
          </w:tcPr>
          <w:p w14:paraId="649F7916" w14:textId="77777777" w:rsidR="007E0724" w:rsidRDefault="00C4775C">
            <w:pPr>
              <w:pStyle w:val="AnnexNormal"/>
            </w:pPr>
            <w:r>
              <w:t>143</w:t>
            </w:r>
          </w:p>
        </w:tc>
      </w:tr>
      <w:tr w:rsidR="007E0724" w14:paraId="30E83F96" w14:textId="77777777">
        <w:trPr>
          <w:trHeight w:val="440"/>
        </w:trPr>
        <w:tc>
          <w:tcPr>
            <w:tcW w:w="1032" w:type="dxa"/>
            <w:gridSpan w:val="2"/>
            <w:tcMar>
              <w:left w:w="0" w:type="dxa"/>
            </w:tcMar>
          </w:tcPr>
          <w:p w14:paraId="5BF61953" w14:textId="77777777" w:rsidR="007E0724" w:rsidRDefault="00C4775C">
            <w:pPr>
              <w:pStyle w:val="AnnexNormal"/>
            </w:pPr>
            <w:r>
              <w:t>Viðbætir D</w:t>
            </w:r>
          </w:p>
        </w:tc>
        <w:tc>
          <w:tcPr>
            <w:tcW w:w="7830" w:type="dxa"/>
          </w:tcPr>
          <w:p w14:paraId="0B365CBF" w14:textId="77777777" w:rsidR="007E0724" w:rsidRDefault="00C4775C">
            <w:pPr>
              <w:pStyle w:val="AnnexNormal"/>
              <w:tabs>
                <w:tab w:val="right" w:leader="dot" w:pos="8052"/>
              </w:tabs>
              <w:spacing w:after="260"/>
            </w:pPr>
            <w:r>
              <w:t>Almennar viðmiðanir um að valda ekki umtalsverðu tjóni fyrir vernd og endurheimt líffræðilegrar fjölbreytni og vistkerfa</w:t>
            </w:r>
            <w:r>
              <w:tab/>
            </w:r>
          </w:p>
        </w:tc>
        <w:tc>
          <w:tcPr>
            <w:tcW w:w="378" w:type="dxa"/>
            <w:tcMar>
              <w:right w:w="0" w:type="dxa"/>
            </w:tcMar>
          </w:tcPr>
          <w:p w14:paraId="3F90CBD3" w14:textId="77777777" w:rsidR="007E0724" w:rsidRDefault="00C4775C">
            <w:pPr>
              <w:pStyle w:val="AnnexNormal"/>
            </w:pPr>
            <w:r>
              <w:t>144</w:t>
            </w:r>
          </w:p>
        </w:tc>
      </w:tr>
      <w:tr w:rsidR="007E0724" w14:paraId="46D82A6B" w14:textId="77777777">
        <w:trPr>
          <w:trHeight w:val="440"/>
        </w:trPr>
        <w:tc>
          <w:tcPr>
            <w:tcW w:w="1032" w:type="dxa"/>
            <w:gridSpan w:val="2"/>
            <w:tcMar>
              <w:left w:w="0" w:type="dxa"/>
            </w:tcMar>
          </w:tcPr>
          <w:p w14:paraId="58DC207A" w14:textId="77777777" w:rsidR="007E0724" w:rsidRDefault="00C4775C">
            <w:pPr>
              <w:pStyle w:val="AnnexNormal"/>
            </w:pPr>
            <w:r>
              <w:t>Viðbætir E</w:t>
            </w:r>
          </w:p>
        </w:tc>
        <w:tc>
          <w:tcPr>
            <w:tcW w:w="7830" w:type="dxa"/>
          </w:tcPr>
          <w:p w14:paraId="0FD6D100" w14:textId="77777777" w:rsidR="007E0724" w:rsidRDefault="00C4775C">
            <w:pPr>
              <w:pStyle w:val="AnnexNormal"/>
              <w:tabs>
                <w:tab w:val="right" w:leader="dot" w:pos="8052"/>
              </w:tabs>
              <w:spacing w:after="260"/>
            </w:pPr>
            <w:r>
              <w:t>Tækniforskriftir fyrir vatnsbúnað</w:t>
            </w:r>
            <w:r>
              <w:tab/>
            </w:r>
          </w:p>
        </w:tc>
        <w:tc>
          <w:tcPr>
            <w:tcW w:w="378" w:type="dxa"/>
            <w:tcMar>
              <w:right w:w="0" w:type="dxa"/>
            </w:tcMar>
          </w:tcPr>
          <w:p w14:paraId="3F1C96F6" w14:textId="77777777" w:rsidR="007E0724" w:rsidRDefault="00C4775C">
            <w:pPr>
              <w:pStyle w:val="AnnexNormal"/>
            </w:pPr>
            <w:r>
              <w:t>145</w:t>
            </w:r>
          </w:p>
        </w:tc>
      </w:tr>
    </w:tbl>
    <w:p w14:paraId="6DE0168C" w14:textId="77777777" w:rsidR="007E0724" w:rsidRDefault="007E0724">
      <w:pPr>
        <w:pStyle w:val="Para"/>
        <w:sectPr w:rsidR="007E0724">
          <w:footnotePr>
            <w:pos w:val="beneathText"/>
          </w:footnotePr>
          <w:pgSz w:w="11906" w:h="16838" w:code="9"/>
          <w:pgMar w:top="1680" w:right="1333" w:bottom="840" w:left="1333" w:header="920" w:footer="280" w:gutter="0"/>
          <w:cols w:space="708"/>
          <w:docGrid w:linePitch="360"/>
        </w:sectPr>
      </w:pPr>
    </w:p>
    <w:p w14:paraId="48CDE43B" w14:textId="77777777" w:rsidR="007E0724" w:rsidRDefault="00C4775C">
      <w:pPr>
        <w:pStyle w:val="AnnexNumberedText"/>
        <w:ind w:left="500" w:hanging="500"/>
        <w:rPr>
          <w:sz w:val="16"/>
        </w:rPr>
      </w:pPr>
      <w:r>
        <w:lastRenderedPageBreak/>
        <w:t>1.</w:t>
      </w:r>
      <w:r>
        <w:tab/>
      </w:r>
      <w:r>
        <w:rPr>
          <w:sz w:val="16"/>
        </w:rPr>
        <w:t>SKÓGRÆKT</w:t>
      </w:r>
    </w:p>
    <w:p w14:paraId="1DB99084" w14:textId="77777777" w:rsidR="007E0724" w:rsidRDefault="00C4775C">
      <w:pPr>
        <w:pStyle w:val="AnnexNumberedText"/>
        <w:ind w:left="500" w:hanging="500"/>
      </w:pPr>
      <w:r>
        <w:t>1.1.</w:t>
      </w:r>
      <w:r>
        <w:rPr>
          <w:b/>
        </w:rPr>
        <w:tab/>
        <w:t>Nýskógrækt</w:t>
      </w:r>
    </w:p>
    <w:p w14:paraId="72E9CCB3" w14:textId="77777777" w:rsidR="007E0724" w:rsidRDefault="00C4775C">
      <w:pPr>
        <w:pStyle w:val="AnnexGrSeq3"/>
        <w:ind w:left="500"/>
        <w:jc w:val="left"/>
      </w:pPr>
      <w:r>
        <w:rPr>
          <w:i/>
        </w:rPr>
        <w:t>Lýsing á starfseminni</w:t>
      </w:r>
    </w:p>
    <w:p w14:paraId="0E5EEA70" w14:textId="77777777" w:rsidR="007E0724" w:rsidRDefault="00C4775C">
      <w:pPr>
        <w:pStyle w:val="AnnexNormal"/>
        <w:ind w:left="500"/>
      </w:pPr>
      <w:r>
        <w:t xml:space="preserve">Skógi komið upp með </w:t>
      </w:r>
      <w:proofErr w:type="spellStart"/>
      <w:r>
        <w:t>plöntun</w:t>
      </w:r>
      <w:proofErr w:type="spellEnd"/>
      <w:r>
        <w:t>, sáningu af ásetningi eða náttúrulegri endurmyndun á landi sem fram að því var notað í annað eða ekki nýtt. Nýskógrækt felur í sér umbreytingu á landnotkun frá skógleysi til skógar, í samræmi við skilgreiningu Matvæla- og landbúnaðarstofnunar SÞ á nýskógrækt (</w:t>
      </w:r>
      <w:bookmarkStart w:id="14" w:name="NOTE_15"/>
      <w:r>
        <w:rPr>
          <w:rStyle w:val="Tilvsunneanmlsgrein"/>
          <w:sz w:val="18"/>
          <w:szCs w:val="18"/>
        </w:rPr>
        <w:footnoteReference w:id="16"/>
      </w:r>
      <w:bookmarkEnd w:id="14"/>
      <w:r>
        <w:t>), þar sem skógur merkir land sem svarar til skilgreiningar á skógi eins og sett er fram í landslögum eða, ef hún er ekki tiltæk, í samræmi við skilgreiningu Matvæla- og landbúnaðarstofnunar SÞ á skógi (</w:t>
      </w:r>
      <w:bookmarkStart w:id="15" w:name="NOTE_16"/>
      <w:r>
        <w:rPr>
          <w:rStyle w:val="Tilvsunneanmlsgrein"/>
          <w:sz w:val="18"/>
          <w:szCs w:val="18"/>
        </w:rPr>
        <w:footnoteReference w:id="17"/>
      </w:r>
      <w:bookmarkEnd w:id="15"/>
      <w:r>
        <w:t>). Nýskógrækt getur náð yfir fyrri nýskógrækt svo fremi að hún eigi sér stað á tímabilinu milli þess sem trjánum er plantað og tímapunktsins þegar landnotkunin er viðurkennd sem skógur.</w:t>
      </w:r>
    </w:p>
    <w:p w14:paraId="6A548474" w14:textId="77777777" w:rsidR="007E0724" w:rsidRDefault="00C4775C">
      <w:pPr>
        <w:pStyle w:val="AnnexNormal"/>
        <w:ind w:left="500"/>
      </w:pPr>
      <w:r>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02.20, þ.e. skógarhögg, 02.30, þ.e. söfnun afurða sem vaxa villtar en eru ekki tré og 02.40, þ.e. þjónustustarfsemi við skógrækt.</w:t>
      </w:r>
    </w:p>
    <w:p w14:paraId="476A5811" w14:textId="77777777" w:rsidR="007E0724" w:rsidRDefault="00C4775C">
      <w:pPr>
        <w:pStyle w:val="AnnexGrSeq3"/>
        <w:ind w:left="500"/>
        <w:jc w:val="left"/>
      </w:pPr>
      <w:r>
        <w:rPr>
          <w:i/>
        </w:rPr>
        <w:t>Tæknileg matsviðmið</w:t>
      </w:r>
    </w:p>
    <w:tbl>
      <w:tblPr>
        <w:tblStyle w:val="EFTATable"/>
        <w:tblW w:w="8740" w:type="dxa"/>
        <w:tblInd w:w="50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3032"/>
        <w:gridCol w:w="5708"/>
      </w:tblGrid>
      <w:tr w:rsidR="007E0724" w14:paraId="760CD373" w14:textId="77777777">
        <w:trPr>
          <w:trHeight w:val="340"/>
        </w:trPr>
        <w:tc>
          <w:tcPr>
            <w:tcW w:w="8740" w:type="dxa"/>
            <w:gridSpan w:val="2"/>
            <w:tcBorders>
              <w:top w:val="single" w:sz="8" w:space="0" w:color="auto"/>
              <w:bottom w:val="single" w:sz="4" w:space="0" w:color="auto"/>
            </w:tcBorders>
            <w:tcMar>
              <w:left w:w="0" w:type="dxa"/>
              <w:right w:w="60" w:type="dxa"/>
            </w:tcMar>
          </w:tcPr>
          <w:p w14:paraId="55C15CAA" w14:textId="77777777" w:rsidR="007E0724" w:rsidRDefault="00C4775C">
            <w:pPr>
              <w:pStyle w:val="AnnexTableCellLeft"/>
              <w:spacing w:before="60" w:after="60"/>
            </w:pPr>
            <w:r>
              <w:t xml:space="preserve">Verulegt framlag til </w:t>
            </w:r>
            <w:proofErr w:type="spellStart"/>
            <w:r>
              <w:t>mildunar</w:t>
            </w:r>
            <w:proofErr w:type="spellEnd"/>
            <w:r>
              <w:t xml:space="preserve"> loftslagsbreytinga</w:t>
            </w:r>
          </w:p>
        </w:tc>
      </w:tr>
      <w:tr w:rsidR="007E0724" w14:paraId="6F302F0E" w14:textId="77777777">
        <w:trPr>
          <w:trHeight w:val="360"/>
        </w:trPr>
        <w:tc>
          <w:tcPr>
            <w:tcW w:w="8740" w:type="dxa"/>
            <w:gridSpan w:val="2"/>
            <w:tcBorders>
              <w:top w:val="single" w:sz="4" w:space="0" w:color="auto"/>
            </w:tcBorders>
            <w:tcMar>
              <w:left w:w="0" w:type="dxa"/>
              <w:right w:w="60" w:type="dxa"/>
            </w:tcMar>
          </w:tcPr>
          <w:p w14:paraId="6518DFFB" w14:textId="77777777" w:rsidR="007E0724" w:rsidRDefault="00C4775C">
            <w:pPr>
              <w:pStyle w:val="AnnexNumberedText"/>
              <w:spacing w:after="200"/>
              <w:ind w:left="360" w:hanging="360"/>
            </w:pPr>
            <w:r>
              <w:t>1.</w:t>
            </w:r>
            <w:r>
              <w:rPr>
                <w:i/>
              </w:rPr>
              <w:tab/>
              <w:t xml:space="preserve">Áætlun um nýskógrækt og </w:t>
            </w:r>
            <w:proofErr w:type="spellStart"/>
            <w:r>
              <w:rPr>
                <w:i/>
              </w:rPr>
              <w:t>eftirfylgjandi</w:t>
            </w:r>
            <w:proofErr w:type="spellEnd"/>
            <w:r>
              <w:rPr>
                <w:i/>
              </w:rPr>
              <w:t xml:space="preserve"> skógarstjórnunaráætlun eða jafngildur </w:t>
            </w:r>
            <w:proofErr w:type="spellStart"/>
            <w:r>
              <w:rPr>
                <w:i/>
              </w:rPr>
              <w:t>gerningur</w:t>
            </w:r>
            <w:proofErr w:type="spellEnd"/>
          </w:p>
          <w:p w14:paraId="06558E1B" w14:textId="77777777" w:rsidR="007E0724" w:rsidRDefault="00C4775C">
            <w:pPr>
              <w:pStyle w:val="AnnexNumberedText"/>
              <w:spacing w:after="200"/>
              <w:ind w:left="0" w:hanging="414"/>
            </w:pPr>
            <w:r>
              <w:t>1.1.</w:t>
            </w:r>
            <w:r>
              <w:tab/>
              <w:t>Svæðið þar sem starfsemin fer fram fellur undir áætlun um nýskógrækt til a.m.k. fimm ára, eða lágmarkstímabil sem mælt er fyrir um í landslögum, sem er samin áður en starfsemin hefst og uppfærð samfellt, þangað til þetta svæði samsvarar skilgreiningu á skógi eins og sett er fram í landslögum eða, ef hún er ekki tiltæk, er í samræmi við skilgreiningu Matvæla- og landbúnaðarstofnunar SÞ á skógi.</w:t>
            </w:r>
          </w:p>
          <w:p w14:paraId="1B396732" w14:textId="77777777" w:rsidR="007E0724" w:rsidRDefault="00C4775C">
            <w:pPr>
              <w:pStyle w:val="AnnexTableCellLeft"/>
              <w:spacing w:after="300"/>
            </w:pPr>
            <w:r>
              <w:t>Áætlun um nýskógrækt inniheldur alla þætti sem krafist er samkvæmt landslögum sem varða mat á umhverfisáhrifum nýskógræktar.</w:t>
            </w:r>
          </w:p>
          <w:p w14:paraId="0438A449" w14:textId="77777777" w:rsidR="007E0724" w:rsidRDefault="00C4775C">
            <w:pPr>
              <w:pStyle w:val="AnnexNumberedText"/>
              <w:tabs>
                <w:tab w:val="left" w:pos="508"/>
              </w:tabs>
              <w:ind w:left="0" w:firstLine="0"/>
            </w:pPr>
            <w:r>
              <w:t>1.2.</w:t>
            </w:r>
            <w:r>
              <w:tab/>
              <w:t>Ítarlegar upplýsingar eru veittar, helst í áætluninni um nýskógrækt eða, ef upplýsingarnar vantar, í einhverju öðru skjali, um eftirfarandi atriði:</w:t>
            </w:r>
          </w:p>
          <w:p w14:paraId="0C034410" w14:textId="77777777" w:rsidR="007E0724" w:rsidRDefault="00C4775C">
            <w:pPr>
              <w:pStyle w:val="AnnexNumberedText"/>
              <w:spacing w:after="180"/>
              <w:rPr>
                <w:szCs w:val="18"/>
              </w:rPr>
            </w:pPr>
            <w:r>
              <w:t>a)</w:t>
            </w:r>
            <w:r>
              <w:tab/>
              <w:t>lýsing á svæðinu samkvæmt færslu þar um í landskránni,</w:t>
            </w:r>
          </w:p>
          <w:p w14:paraId="7456CE7C" w14:textId="77777777" w:rsidR="007E0724" w:rsidRDefault="00C4775C">
            <w:pPr>
              <w:pStyle w:val="AnnexNumberedText"/>
              <w:spacing w:after="180"/>
              <w:rPr>
                <w:szCs w:val="18"/>
              </w:rPr>
            </w:pPr>
            <w:r>
              <w:t>b)</w:t>
            </w:r>
            <w:r>
              <w:tab/>
              <w:t>undirbúningur svæðis og áhrifin á kolefnisbirgðir sem fyrir eru, þ.m.t. jarðvegur og lífmassi ofanjarðar, til að vernda land með miklar kolefnisbirgðir (</w:t>
            </w:r>
            <w:r>
              <w:rPr>
                <w:rStyle w:val="Tilvsunneanmlsgrein"/>
                <w:sz w:val="18"/>
                <w:szCs w:val="18"/>
              </w:rPr>
              <w:footnoteReference w:id="18"/>
            </w:r>
            <w:r>
              <w:t>),</w:t>
            </w:r>
          </w:p>
          <w:p w14:paraId="413C5F7C" w14:textId="77777777" w:rsidR="007E0724" w:rsidRDefault="00C4775C">
            <w:pPr>
              <w:pStyle w:val="AnnexNumberedText"/>
              <w:spacing w:after="180"/>
              <w:rPr>
                <w:szCs w:val="18"/>
              </w:rPr>
            </w:pPr>
            <w:r>
              <w:t>c)</w:t>
            </w:r>
            <w:r>
              <w:tab/>
              <w:t>stjórnunarmarkmið, þ.m.t. meiriháttar hindranir,</w:t>
            </w:r>
          </w:p>
          <w:p w14:paraId="4427FC60" w14:textId="77777777" w:rsidR="007E0724" w:rsidRDefault="00C4775C">
            <w:pPr>
              <w:pStyle w:val="AnnexNumberedText"/>
              <w:spacing w:after="180"/>
              <w:rPr>
                <w:szCs w:val="18"/>
              </w:rPr>
            </w:pPr>
            <w:r>
              <w:t>d)</w:t>
            </w:r>
            <w:r>
              <w:tab/>
              <w:t>almennar stefnuáætlanir og fyrirhuguð starfsemi til að ná stjórnunarmarkmiðunum, þ.m.t. væntanlegar aðgerðir yfir alla skógræktarhringrásina,</w:t>
            </w:r>
          </w:p>
          <w:p w14:paraId="4D09D108" w14:textId="77777777" w:rsidR="007E0724" w:rsidRDefault="00C4775C">
            <w:pPr>
              <w:pStyle w:val="AnnexNumberedText"/>
              <w:spacing w:after="180"/>
              <w:rPr>
                <w:szCs w:val="18"/>
              </w:rPr>
            </w:pPr>
            <w:r>
              <w:t>e)</w:t>
            </w:r>
            <w:r>
              <w:tab/>
              <w:t>skilgreining á búsvæðalegu samhengi skógarins, þ.m.t. helstu trjátegundir sem fyrir eru og fyrirhugaðar og umfang þeirra og dreifing,</w:t>
            </w:r>
          </w:p>
          <w:p w14:paraId="0CA4F7CD" w14:textId="77777777" w:rsidR="007E0724" w:rsidRDefault="00C4775C">
            <w:pPr>
              <w:pStyle w:val="AnnexNumberedText"/>
              <w:spacing w:after="180"/>
              <w:rPr>
                <w:szCs w:val="18"/>
              </w:rPr>
            </w:pPr>
            <w:r>
              <w:t>f)</w:t>
            </w:r>
            <w:r>
              <w:tab/>
              <w:t>hólf, vegir, athafnaréttur og annar almennur aðgangur, efnislegir þættir, þ.m.t. vatnaleiðir, svæði sem falla undir lagalegar takmarkanir og aðrar takmarkanir,</w:t>
            </w:r>
          </w:p>
          <w:p w14:paraId="2FC3296C" w14:textId="77777777" w:rsidR="007E0724" w:rsidRDefault="00C4775C">
            <w:pPr>
              <w:pStyle w:val="AnnexNumberedText"/>
              <w:spacing w:after="180"/>
              <w:rPr>
                <w:szCs w:val="18"/>
              </w:rPr>
            </w:pPr>
            <w:r>
              <w:t>g)</w:t>
            </w:r>
            <w:r>
              <w:tab/>
              <w:t>ráðstafanir sem eru innleiddar til að koma á og viðhalda góðu ásigkomulagi skógarvistkerfa,</w:t>
            </w:r>
          </w:p>
          <w:p w14:paraId="6D18E5AE" w14:textId="77777777" w:rsidR="007E0724" w:rsidRDefault="00C4775C">
            <w:pPr>
              <w:pStyle w:val="AnnexNumberedText"/>
              <w:spacing w:after="0"/>
            </w:pPr>
            <w:r>
              <w:t>h)</w:t>
            </w:r>
            <w:r>
              <w:tab/>
              <w:t>tillit tekið til samfélagslegra málefna (þ.m.t. varðveisla landslags, samráð við hagsmunaaðila í samræmi við skilmála og skilyrði sem mælt er fyrir um í landslögum),</w:t>
            </w:r>
          </w:p>
        </w:tc>
      </w:tr>
      <w:tr w:rsidR="007E0724" w14:paraId="5D35F6E2" w14:textId="77777777">
        <w:trPr>
          <w:trHeight w:val="360"/>
        </w:trPr>
        <w:tc>
          <w:tcPr>
            <w:tcW w:w="8740" w:type="dxa"/>
            <w:gridSpan w:val="2"/>
            <w:tcMar>
              <w:left w:w="0" w:type="dxa"/>
              <w:right w:w="60" w:type="dxa"/>
            </w:tcMar>
          </w:tcPr>
          <w:p w14:paraId="268A2D30" w14:textId="77777777" w:rsidR="007E0724" w:rsidRDefault="00C4775C">
            <w:pPr>
              <w:pStyle w:val="AnnexNumberedText"/>
              <w:spacing w:after="170"/>
              <w:rPr>
                <w:szCs w:val="18"/>
              </w:rPr>
            </w:pPr>
            <w:r>
              <w:lastRenderedPageBreak/>
              <w:t>i)</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1DF46314" w14:textId="77777777" w:rsidR="007E0724" w:rsidRDefault="00C4775C">
            <w:pPr>
              <w:pStyle w:val="AnnexNumberedText"/>
              <w:spacing w:after="170"/>
              <w:rPr>
                <w:szCs w:val="18"/>
              </w:rPr>
            </w:pPr>
            <w:r>
              <w:t>j)</w:t>
            </w:r>
            <w:r>
              <w:tab/>
              <w:t>mat á áhrifum á fæðuöryggi,</w:t>
            </w:r>
          </w:p>
          <w:p w14:paraId="4389CB89" w14:textId="77777777" w:rsidR="007E0724" w:rsidRDefault="00C4775C">
            <w:pPr>
              <w:pStyle w:val="AnnexNumberedText"/>
              <w:spacing w:after="170"/>
              <w:rPr>
                <w:szCs w:val="18"/>
              </w:rPr>
            </w:pPr>
            <w:r>
              <w:t>k)</w:t>
            </w:r>
            <w:r>
              <w:tab/>
              <w:t>allar viðmiðanir um að valda ekki umtalsverðu tjóni sem skipta máli fyrir nýskógrækt.</w:t>
            </w:r>
          </w:p>
          <w:p w14:paraId="1852155F" w14:textId="77777777" w:rsidR="007E0724" w:rsidRDefault="00C4775C">
            <w:pPr>
              <w:pStyle w:val="AnnexNumberedText"/>
              <w:tabs>
                <w:tab w:val="left" w:pos="508"/>
              </w:tabs>
              <w:spacing w:after="170"/>
              <w:ind w:left="0" w:firstLine="0"/>
              <w:rPr>
                <w:szCs w:val="18"/>
              </w:rPr>
            </w:pPr>
            <w:r>
              <w:t>1.3.</w:t>
            </w:r>
            <w:r>
              <w:tab/>
              <w:t xml:space="preserve">Þegar svæðið verður að skógi er áætluninni um nýskógrækt fylgt eftir með </w:t>
            </w:r>
            <w:proofErr w:type="spellStart"/>
            <w:r>
              <w:t>eftirfylgjandi</w:t>
            </w:r>
            <w:proofErr w:type="spellEnd"/>
            <w:r>
              <w:t xml:space="preserve"> skógarstjórnunaráætlun eða jafngildum </w:t>
            </w:r>
            <w:proofErr w:type="spellStart"/>
            <w:r>
              <w:t>gerningi</w:t>
            </w:r>
            <w:proofErr w:type="spellEnd"/>
            <w:r>
              <w:t xml:space="preserve">, eins og sett er fram í landslögum eða, ef ekki er skilgreining á skógarstjórnunaráætlun eða jafngildum </w:t>
            </w:r>
            <w:proofErr w:type="spellStart"/>
            <w:r>
              <w:t>gerningi</w:t>
            </w:r>
            <w:proofErr w:type="spellEnd"/>
            <w:r>
              <w:t xml:space="preserve"> í landslögum, eins og um getur í skilgreiningu Matvæla- og landbúnaðarstofnunar SÞ á „skógarsvæði með skógarstjórnunaráætlun til langs tíma“ (</w:t>
            </w:r>
            <w:r>
              <w:rPr>
                <w:rStyle w:val="Tilvsunneanmlsgrein"/>
                <w:sz w:val="18"/>
                <w:szCs w:val="18"/>
              </w:rPr>
              <w:footnoteReference w:id="19"/>
            </w:r>
            <w:r>
              <w:t xml:space="preserve">), Skógarstjórnunaráætlun, eða jafngildur </w:t>
            </w:r>
            <w:proofErr w:type="spellStart"/>
            <w:r>
              <w:t>gerningur</w:t>
            </w:r>
            <w:proofErr w:type="spellEnd"/>
            <w:r>
              <w:t>, nær yfir 10 ára tímabil eða meira og er uppfærð samfellt.</w:t>
            </w:r>
          </w:p>
          <w:p w14:paraId="200AA5BF" w14:textId="77777777" w:rsidR="007E0724" w:rsidRDefault="00C4775C">
            <w:pPr>
              <w:pStyle w:val="AnnexNumberedText"/>
              <w:tabs>
                <w:tab w:val="left" w:pos="508"/>
              </w:tabs>
              <w:spacing w:after="170"/>
              <w:ind w:left="0" w:firstLine="0"/>
              <w:rPr>
                <w:szCs w:val="18"/>
              </w:rPr>
            </w:pPr>
            <w:r>
              <w:t>1.4.</w:t>
            </w:r>
            <w:r>
              <w:tab/>
              <w:t>Upplýsingar eru veittar um eftirfarandi liði sem ekki eru þegar skjalfestir í skógarstjórnunaráætluninni eða jafngildu kerfi:</w:t>
            </w:r>
          </w:p>
          <w:p w14:paraId="538547C2" w14:textId="77777777" w:rsidR="007E0724" w:rsidRDefault="00C4775C">
            <w:pPr>
              <w:pStyle w:val="AnnexNumberedText"/>
              <w:spacing w:after="170"/>
              <w:rPr>
                <w:szCs w:val="18"/>
              </w:rPr>
            </w:pPr>
            <w:r>
              <w:t>a)</w:t>
            </w:r>
            <w:r>
              <w:tab/>
              <w:t>stjórnunarmarkmið, þ.m.t. meiriháttar hindranir (</w:t>
            </w:r>
            <w:r>
              <w:rPr>
                <w:rStyle w:val="Tilvsunneanmlsgrein"/>
                <w:sz w:val="18"/>
                <w:szCs w:val="18"/>
              </w:rPr>
              <w:footnoteReference w:id="20"/>
            </w:r>
            <w:r>
              <w:t>),</w:t>
            </w:r>
          </w:p>
          <w:p w14:paraId="3B1EC03C" w14:textId="77777777" w:rsidR="007E0724" w:rsidRDefault="00C4775C">
            <w:pPr>
              <w:pStyle w:val="AnnexNumberedText"/>
              <w:spacing w:after="170"/>
              <w:rPr>
                <w:szCs w:val="18"/>
              </w:rPr>
            </w:pPr>
            <w:r>
              <w:t>b)</w:t>
            </w:r>
            <w:r>
              <w:tab/>
              <w:t>almennar stefnuáætlanir og fyrirhuguð starfsemi til að ná stjórnunarmarkmiðunum, þ.m.t. væntanlegar aðgerðir yfir alla skógræktarhringrásina,</w:t>
            </w:r>
          </w:p>
          <w:p w14:paraId="25C180B6" w14:textId="77777777" w:rsidR="007E0724" w:rsidRDefault="00C4775C">
            <w:pPr>
              <w:pStyle w:val="AnnexNumberedText"/>
              <w:spacing w:after="170"/>
              <w:rPr>
                <w:szCs w:val="18"/>
              </w:rPr>
            </w:pPr>
            <w:r>
              <w:t>c)</w:t>
            </w:r>
            <w:r>
              <w:tab/>
              <w:t>skilgreining á búsvæðalegu samhengi skógarins, þ.m.t. helstu trjátegundir sem fyrir eru og fyrirhugaðar og umfang þeirra og dreifing,</w:t>
            </w:r>
          </w:p>
          <w:p w14:paraId="0B738177" w14:textId="77777777" w:rsidR="007E0724" w:rsidRDefault="00C4775C">
            <w:pPr>
              <w:pStyle w:val="AnnexNumberedText"/>
              <w:spacing w:after="170"/>
              <w:rPr>
                <w:szCs w:val="18"/>
              </w:rPr>
            </w:pPr>
            <w:r>
              <w:t>d)</w:t>
            </w:r>
            <w:r>
              <w:tab/>
              <w:t>skilgreining á svæðinu samkvæmt færslu þar um í landskránni,</w:t>
            </w:r>
          </w:p>
          <w:p w14:paraId="693A604F" w14:textId="77777777" w:rsidR="007E0724" w:rsidRDefault="00C4775C">
            <w:pPr>
              <w:pStyle w:val="AnnexNumberedText"/>
              <w:spacing w:after="170"/>
              <w:rPr>
                <w:szCs w:val="18"/>
              </w:rPr>
            </w:pPr>
            <w:r>
              <w:t>e)</w:t>
            </w:r>
            <w:r>
              <w:tab/>
              <w:t>hólf, vegir, athafnaréttur og annar almennur aðgangur, efnislegir þættir, þ.m.t. vatnaleiðir, svæði sem falla undir lagalegar takmarkanir og aðrar takmarkanir,</w:t>
            </w:r>
          </w:p>
          <w:p w14:paraId="7F8DABBC" w14:textId="77777777" w:rsidR="007E0724" w:rsidRDefault="00C4775C">
            <w:pPr>
              <w:pStyle w:val="AnnexNumberedText"/>
              <w:spacing w:after="170"/>
              <w:rPr>
                <w:szCs w:val="18"/>
              </w:rPr>
            </w:pPr>
            <w:r>
              <w:t>f)</w:t>
            </w:r>
            <w:r>
              <w:tab/>
              <w:t>ráðstafanir sem eru innleiddar til að viðhalda góðu ásigkomulagi skógarvistkerfa,</w:t>
            </w:r>
          </w:p>
          <w:p w14:paraId="790240DB" w14:textId="77777777" w:rsidR="007E0724" w:rsidRDefault="00C4775C">
            <w:pPr>
              <w:pStyle w:val="AnnexNumberedText"/>
              <w:spacing w:after="170"/>
              <w:rPr>
                <w:szCs w:val="18"/>
              </w:rPr>
            </w:pPr>
            <w:r>
              <w:t>g)</w:t>
            </w:r>
            <w:r>
              <w:tab/>
              <w:t>tillit tekið til samfélagslegra málefna (þ.m.t. varðveisla landslags, samráð við hagsmunaaðila í samræmi við skilmála og skilyrði sem mælt er fyrir um í landslögum),</w:t>
            </w:r>
          </w:p>
          <w:p w14:paraId="667F119C" w14:textId="77777777" w:rsidR="007E0724" w:rsidRDefault="00C4775C">
            <w:pPr>
              <w:pStyle w:val="AnnexNumberedText"/>
              <w:spacing w:after="170"/>
              <w:rPr>
                <w:szCs w:val="18"/>
              </w:rPr>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33D377D9" w14:textId="77777777" w:rsidR="007E0724" w:rsidRDefault="00C4775C">
            <w:pPr>
              <w:pStyle w:val="AnnexNumberedText"/>
              <w:spacing w:after="170"/>
              <w:rPr>
                <w:szCs w:val="18"/>
              </w:rPr>
            </w:pPr>
            <w:r>
              <w:t>i)</w:t>
            </w:r>
            <w:r>
              <w:tab/>
              <w:t>allar viðmiðanir um að valda ekki umtalsverðu tjóni sem skipta máli fyrir stjórnun skóga.</w:t>
            </w:r>
          </w:p>
          <w:p w14:paraId="52A98211" w14:textId="77777777" w:rsidR="007E0724" w:rsidRDefault="00C4775C">
            <w:pPr>
              <w:pStyle w:val="AnnexNumberedText"/>
              <w:tabs>
                <w:tab w:val="left" w:pos="508"/>
              </w:tabs>
              <w:spacing w:after="170"/>
              <w:ind w:left="0" w:firstLine="0"/>
              <w:rPr>
                <w:szCs w:val="18"/>
              </w:rPr>
            </w:pPr>
            <w:r>
              <w:t>1.5.</w:t>
            </w:r>
            <w:r>
              <w:tab/>
              <w:t>Starfsemin er í samræmi við bestu starfsvenjur fyrir nýskógrækt sem mælt er fyrir um í landslögum eða, ef ekki er mælt fyrir um neinar slíkar bestu starfsvenjur fyrir nýskógrækt í landslögum, starfsemin er í samræmi við eina af eftirfarandi viðmiðunum:</w:t>
            </w:r>
          </w:p>
          <w:p w14:paraId="4BEFB5E5" w14:textId="77777777" w:rsidR="007E0724" w:rsidRDefault="00C4775C">
            <w:pPr>
              <w:pStyle w:val="AnnexNumberedText"/>
              <w:spacing w:after="170"/>
              <w:rPr>
                <w:szCs w:val="18"/>
              </w:rPr>
            </w:pPr>
            <w:r>
              <w:t>a)</w:t>
            </w:r>
            <w:r>
              <w:tab/>
              <w:t>starfsemin er í samræmi við framselda reglugerð framkvæmdastjórnarinnar (ESB) nr. 807/2014 (</w:t>
            </w:r>
            <w:r>
              <w:rPr>
                <w:rStyle w:val="Tilvsunneanmlsgrein"/>
                <w:sz w:val="18"/>
                <w:szCs w:val="18"/>
              </w:rPr>
              <w:footnoteReference w:id="21"/>
            </w:r>
            <w:r>
              <w:t>),</w:t>
            </w:r>
          </w:p>
          <w:p w14:paraId="4621E55D" w14:textId="77777777" w:rsidR="007E0724" w:rsidRDefault="00C4775C">
            <w:pPr>
              <w:pStyle w:val="AnnexNumberedText"/>
              <w:spacing w:after="170"/>
              <w:rPr>
                <w:szCs w:val="18"/>
              </w:rPr>
            </w:pPr>
            <w:r>
              <w:t>b)</w:t>
            </w:r>
            <w:r>
              <w:tab/>
              <w:t xml:space="preserve">starfsemin fylgir </w:t>
            </w:r>
            <w:proofErr w:type="spellStart"/>
            <w:r>
              <w:t>samevrópskum</w:t>
            </w:r>
            <w:proofErr w:type="spellEnd"/>
            <w:r>
              <w:t xml:space="preserve"> viðmiðunarreglum fyrir nýskógrækt og </w:t>
            </w:r>
            <w:proofErr w:type="spellStart"/>
            <w:r>
              <w:t>endurræktun</w:t>
            </w:r>
            <w:proofErr w:type="spellEnd"/>
            <w:r>
              <w:t xml:space="preserve"> skóga með sérstaka áherslu á ákvæðin í rammasamningi Sameinuðu þjóðanna um loftslagsbreytingar (</w:t>
            </w:r>
            <w:r>
              <w:rPr>
                <w:rStyle w:val="Tilvsunneanmlsgrein"/>
                <w:sz w:val="18"/>
                <w:szCs w:val="18"/>
              </w:rPr>
              <w:footnoteReference w:id="22"/>
            </w:r>
            <w:r>
              <w:t>).</w:t>
            </w:r>
          </w:p>
          <w:p w14:paraId="1D68EC17" w14:textId="77777777" w:rsidR="007E0724" w:rsidRDefault="00C4775C">
            <w:pPr>
              <w:pStyle w:val="AnnexNumberedText"/>
              <w:tabs>
                <w:tab w:val="left" w:pos="508"/>
              </w:tabs>
              <w:ind w:left="0" w:firstLine="0"/>
            </w:pPr>
            <w:r>
              <w:lastRenderedPageBreak/>
              <w:t>1.6.</w:t>
            </w:r>
            <w:r>
              <w:tab/>
              <w:t>Starfsemin felur ekki í sér hnignun lands með miklar kolefnisbirgðir (</w:t>
            </w:r>
            <w:r>
              <w:rPr>
                <w:rStyle w:val="Tilvsunneanmlsgrein"/>
                <w:sz w:val="18"/>
                <w:szCs w:val="18"/>
              </w:rPr>
              <w:footnoteReference w:id="23"/>
            </w:r>
            <w:r>
              <w:t>).</w:t>
            </w:r>
          </w:p>
        </w:tc>
      </w:tr>
      <w:tr w:rsidR="007E0724" w14:paraId="79210F86" w14:textId="77777777">
        <w:trPr>
          <w:trHeight w:val="360"/>
        </w:trPr>
        <w:tc>
          <w:tcPr>
            <w:tcW w:w="8740" w:type="dxa"/>
            <w:gridSpan w:val="2"/>
            <w:tcMar>
              <w:left w:w="0" w:type="dxa"/>
              <w:right w:w="60" w:type="dxa"/>
            </w:tcMar>
          </w:tcPr>
          <w:p w14:paraId="7A4D35B5" w14:textId="77777777" w:rsidR="007E0724" w:rsidRDefault="00C4775C">
            <w:pPr>
              <w:pStyle w:val="AnnexNumberedText"/>
              <w:pageBreakBefore/>
              <w:tabs>
                <w:tab w:val="left" w:pos="508"/>
              </w:tabs>
              <w:spacing w:after="200"/>
              <w:ind w:left="0" w:firstLine="0"/>
              <w:rPr>
                <w:szCs w:val="18"/>
              </w:rPr>
            </w:pPr>
            <w:r>
              <w:lastRenderedPageBreak/>
              <w:t>1.7.</w:t>
            </w:r>
            <w:r>
              <w:tab/>
              <w:t>Stjórnunarkerfið sem tengist starfseminni sem er til staðar er í samræmi við skylduna um áreiðanleika og lagalegar kröfur sem mælt er fyrir um í reglugerð Evrópuþingsins og ráðsins (ESB) nr. 995/2010 (</w:t>
            </w:r>
            <w:r>
              <w:rPr>
                <w:rStyle w:val="Tilvsunneanmlsgrein"/>
                <w:sz w:val="18"/>
                <w:szCs w:val="18"/>
              </w:rPr>
              <w:footnoteReference w:id="24"/>
            </w:r>
            <w:r>
              <w:t>).</w:t>
            </w:r>
          </w:p>
          <w:p w14:paraId="7F125963" w14:textId="77777777" w:rsidR="007E0724" w:rsidRDefault="00C4775C">
            <w:pPr>
              <w:pStyle w:val="AnnexNumberedText"/>
              <w:pageBreakBefore/>
              <w:tabs>
                <w:tab w:val="left" w:pos="508"/>
              </w:tabs>
              <w:spacing w:after="200"/>
              <w:ind w:left="0" w:firstLine="0"/>
              <w:rPr>
                <w:szCs w:val="18"/>
              </w:rPr>
            </w:pPr>
            <w:r>
              <w:t>1.8.</w:t>
            </w:r>
            <w:r>
              <w:tab/>
              <w:t xml:space="preserve">Í áætlun um nýskógrækt og </w:t>
            </w:r>
            <w:proofErr w:type="spellStart"/>
            <w:r>
              <w:t>eftirfylgjandi</w:t>
            </w:r>
            <w:proofErr w:type="spellEnd"/>
            <w:r>
              <w:t xml:space="preserve"> skógarstjórnunaráætlun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p w14:paraId="7DFC15E2" w14:textId="77777777" w:rsidR="007E0724" w:rsidRDefault="00C4775C">
            <w:pPr>
              <w:pStyle w:val="AnnexNumberedText"/>
              <w:pageBreakBefore/>
              <w:spacing w:after="200"/>
              <w:ind w:left="360" w:hanging="360"/>
              <w:rPr>
                <w:szCs w:val="18"/>
              </w:rPr>
            </w:pPr>
            <w:r>
              <w:t>2.</w:t>
            </w:r>
            <w:r>
              <w:rPr>
                <w:i/>
              </w:rPr>
              <w:tab/>
              <w:t>Greining á loftslagsávinningi</w:t>
            </w:r>
          </w:p>
          <w:p w14:paraId="4AE08719" w14:textId="77777777" w:rsidR="007E0724" w:rsidRDefault="00C4775C">
            <w:pPr>
              <w:pStyle w:val="AnnexNumberedText"/>
              <w:pageBreakBefore/>
              <w:tabs>
                <w:tab w:val="left" w:pos="508"/>
              </w:tabs>
              <w:spacing w:after="200"/>
              <w:ind w:left="0" w:firstLine="0"/>
              <w:rPr>
                <w:szCs w:val="18"/>
              </w:rPr>
            </w:pPr>
            <w:r>
              <w:t>2.1.</w:t>
            </w:r>
            <w:r>
              <w:tab/>
              <w:t xml:space="preserve">Að því er varðar svæði sem uppfylla kröfur um upprunasvæði skógræktarafurða (e. </w:t>
            </w:r>
            <w:proofErr w:type="spellStart"/>
            <w:r>
              <w:rPr>
                <w:i/>
                <w:iCs/>
              </w:rPr>
              <w:t>forest</w:t>
            </w:r>
            <w:proofErr w:type="spellEnd"/>
            <w:r>
              <w:rPr>
                <w:i/>
                <w:iCs/>
              </w:rPr>
              <w:t xml:space="preserve"> </w:t>
            </w:r>
            <w:proofErr w:type="spellStart"/>
            <w:r>
              <w:rPr>
                <w:i/>
                <w:iCs/>
              </w:rPr>
              <w:t>sourcing</w:t>
            </w:r>
            <w:proofErr w:type="spellEnd"/>
            <w:r>
              <w:rPr>
                <w:i/>
                <w:iCs/>
              </w:rPr>
              <w:t xml:space="preserve"> </w:t>
            </w:r>
            <w:proofErr w:type="spellStart"/>
            <w:r>
              <w:rPr>
                <w:i/>
                <w:iCs/>
              </w:rPr>
              <w:t>area</w:t>
            </w:r>
            <w:proofErr w:type="spellEnd"/>
            <w:r>
              <w:rPr>
                <w:i/>
                <w:iCs/>
              </w:rPr>
              <w:t xml:space="preserve"> </w:t>
            </w:r>
            <w:proofErr w:type="spellStart"/>
            <w:r>
              <w:rPr>
                <w:i/>
                <w:iCs/>
              </w:rPr>
              <w:t>level</w:t>
            </w:r>
            <w:proofErr w:type="spellEnd"/>
            <w:r>
              <w:t xml:space="preserve">)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22AB97A3" w14:textId="77777777" w:rsidR="007E0724" w:rsidRDefault="00C4775C">
            <w:pPr>
              <w:pStyle w:val="AnnexNumberedText"/>
              <w:pageBreakBefore/>
              <w:spacing w:after="200"/>
              <w:rPr>
                <w:szCs w:val="18"/>
              </w:rPr>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2BE4FB9E" w14:textId="77777777" w:rsidR="007E0724" w:rsidRDefault="00C4775C">
            <w:pPr>
              <w:pStyle w:val="AnnexNumberedText"/>
              <w:pageBreakBefore/>
              <w:spacing w:after="200"/>
              <w:rPr>
                <w:szCs w:val="18"/>
              </w:rPr>
            </w:pPr>
            <w:r>
              <w:t>b)</w:t>
            </w:r>
            <w:r>
              <w:tab/>
              <w:t xml:space="preserve">talið er að sýnt sé fram á langtíma loftslagsávinning með sönnun um samræmi við </w:t>
            </w:r>
            <w:proofErr w:type="spellStart"/>
            <w:r>
              <w:t>b-lið</w:t>
            </w:r>
            <w:proofErr w:type="spellEnd"/>
            <w:r>
              <w:t xml:space="preserve"> 7. mgr. 29. gr. tilskipunar (ESB) 2018/2001.</w:t>
            </w:r>
          </w:p>
          <w:p w14:paraId="0A95A71B" w14:textId="77777777" w:rsidR="007E0724" w:rsidRDefault="00C4775C">
            <w:pPr>
              <w:pStyle w:val="AnnexNumberedText"/>
              <w:pageBreakBefore/>
              <w:tabs>
                <w:tab w:val="left" w:pos="508"/>
              </w:tabs>
              <w:spacing w:after="200"/>
              <w:ind w:left="0" w:firstLine="0"/>
              <w:rPr>
                <w:szCs w:val="18"/>
              </w:rPr>
            </w:pPr>
            <w:r>
              <w:t>2.2.</w:t>
            </w:r>
            <w:r>
              <w:tab/>
              <w:t xml:space="preserve">Að því er varðar svæði sem uppfylla ekki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2A386DF5" w14:textId="77777777" w:rsidR="007E0724" w:rsidRDefault="00C4775C">
            <w:pPr>
              <w:pStyle w:val="AnnexNumberedText"/>
              <w:pageBreakBefore/>
              <w:spacing w:after="200"/>
              <w:rPr>
                <w:szCs w:val="18"/>
              </w:rPr>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51DF1DDB" w14:textId="77777777" w:rsidR="007E0724" w:rsidRDefault="00C4775C">
            <w:pPr>
              <w:pStyle w:val="AnnexNumberedText"/>
              <w:pageBreakBefore/>
              <w:spacing w:after="200"/>
              <w:rPr>
                <w:szCs w:val="18"/>
              </w:rPr>
            </w:pPr>
            <w:r>
              <w:t>b)</w:t>
            </w:r>
            <w:r>
              <w:tab/>
              <w:t xml:space="preserve">framreiknað langtímameðaltal </w:t>
            </w:r>
            <w:proofErr w:type="spellStart"/>
            <w:r>
              <w:t>nettójöfnuðar</w:t>
            </w:r>
            <w:proofErr w:type="spellEnd"/>
            <w:r>
              <w:t xml:space="preserve"> gróðurhúsalofttegunda af starfseminni er lægra en langtímameðaltal </w:t>
            </w:r>
            <w:proofErr w:type="spellStart"/>
            <w:r>
              <w:t>nettójöfnuðar</w:t>
            </w:r>
            <w:proofErr w:type="spellEnd"/>
            <w:r>
              <w:t xml:space="preserve"> gróðurhúsalofttegunda sem var framreiknað fyrir grunnástandið, sem um getur í lið 2.2, þar sem „langtíma“ samsvarar lengri tíma á milli 100 ára og lengdar heillar skógræktarhringrásar.</w:t>
            </w:r>
          </w:p>
          <w:p w14:paraId="778929D4" w14:textId="77777777" w:rsidR="007E0724" w:rsidRDefault="00C4775C">
            <w:pPr>
              <w:pStyle w:val="AnnexNumberedText"/>
              <w:pageBreakBefore/>
              <w:tabs>
                <w:tab w:val="left" w:pos="508"/>
              </w:tabs>
              <w:spacing w:after="200"/>
              <w:ind w:left="0" w:firstLine="0"/>
              <w:rPr>
                <w:szCs w:val="18"/>
              </w:rPr>
            </w:pPr>
            <w:r>
              <w:t>2.3.</w:t>
            </w:r>
            <w:r>
              <w:tab/>
              <w:t>Útreikningur á loftslagsávinningi uppfyllir allar eftirfarandi viðmiðanir:</w:t>
            </w:r>
          </w:p>
          <w:p w14:paraId="6416B0F6" w14:textId="77777777" w:rsidR="007E0724" w:rsidRDefault="00C4775C">
            <w:pPr>
              <w:pStyle w:val="AnnexNumberedText"/>
              <w:pageBreakBefore/>
              <w:spacing w:after="200"/>
              <w:rPr>
                <w:szCs w:val="18"/>
              </w:rPr>
            </w:pPr>
            <w:r>
              <w:t>a)</w:t>
            </w:r>
            <w:r>
              <w:tab/>
              <w:t>greiningin er í samræmi við lagfæringar frá árinu 2019 á leiðbeiningum milliríkjanefndarinnar um loftslagsbreytingar (IPCC) um landsbókhald yfir gróðurhúsalofttegundir frá 2006 (</w:t>
            </w:r>
            <w:r>
              <w:rPr>
                <w:rStyle w:val="Tilvsunneanmlsgrein"/>
                <w:sz w:val="18"/>
                <w:szCs w:val="18"/>
              </w:rPr>
              <w:footnoteReference w:id="25"/>
            </w:r>
            <w:r>
              <w:t xml:space="preserve">). Greining á loftslagsávinningi er byggð á gagnsæjum, réttum, samkvæmum, heildstæðum og samanburðarhæfum upplýsingum, nær yfir alla kolefnisgeyma sem verða fyrir áhrifum af starfseminni, þ.m.t. lífmassi ofanjarðar, lífmassi neðanjarðar, dauður viður, rusl og jarðvegur, stuðst er við varfærnustu forsendur fyrir útreikningunum og hún inniheldur viðeigandi sjónarmið varðandi áhættuna af að kolefnisbinding verði ekki varanleg og snúist við, áhættu á </w:t>
            </w:r>
            <w:proofErr w:type="spellStart"/>
            <w:r>
              <w:t>mettun</w:t>
            </w:r>
            <w:proofErr w:type="spellEnd"/>
            <w:r>
              <w:t xml:space="preserve"> og áhættu á leka.</w:t>
            </w:r>
          </w:p>
          <w:p w14:paraId="558FAC73" w14:textId="77777777" w:rsidR="007E0724" w:rsidRDefault="00C4775C">
            <w:pPr>
              <w:pStyle w:val="AnnexNumberedText"/>
              <w:pageBreakBefore/>
              <w:spacing w:after="200"/>
              <w:rPr>
                <w:szCs w:val="18"/>
              </w:rPr>
            </w:pPr>
            <w:r>
              <w:t>b)</w:t>
            </w:r>
            <w:r>
              <w:tab/>
              <w:t>aðferðir sem notaðar eru við óbreyttar aðstæður, þ.m.t. aðferðir við nýtingu, eru einhverjar af eftirfarandi:</w:t>
            </w:r>
          </w:p>
          <w:p w14:paraId="03D7A4E0" w14:textId="77777777" w:rsidR="007E0724" w:rsidRDefault="00C4775C">
            <w:pPr>
              <w:pStyle w:val="AnnexNumberedText"/>
              <w:pageBreakBefore/>
              <w:spacing w:after="200"/>
              <w:ind w:left="600"/>
              <w:rPr>
                <w:szCs w:val="18"/>
              </w:rPr>
            </w:pPr>
            <w:r>
              <w:t>i.</w:t>
            </w:r>
            <w:r>
              <w:tab/>
              <w:t xml:space="preserve">stjórnunarvenjur eins og skjalfestar eru í nýjustu útgáfunni af skógarstjórnunaráætluninni eða jafngildum </w:t>
            </w:r>
            <w:proofErr w:type="spellStart"/>
            <w:r>
              <w:t>gerningi</w:t>
            </w:r>
            <w:proofErr w:type="spellEnd"/>
            <w:r>
              <w:t xml:space="preserve"> áður en starfsemin hefst, ef einhverjar eru,</w:t>
            </w:r>
          </w:p>
          <w:p w14:paraId="02DCEAD6" w14:textId="77777777" w:rsidR="007E0724" w:rsidRDefault="00C4775C">
            <w:pPr>
              <w:pStyle w:val="AnnexNumberedText"/>
              <w:pageBreakBefore/>
              <w:spacing w:after="200"/>
              <w:ind w:left="600"/>
              <w:rPr>
                <w:szCs w:val="18"/>
              </w:rPr>
            </w:pPr>
            <w:r>
              <w:t>ii.</w:t>
            </w:r>
            <w:r>
              <w:tab/>
              <w:t>aðferðir sem síðast eru notaðar við óbreyttar aðstæður áður en starfsemin hefst,</w:t>
            </w:r>
          </w:p>
          <w:p w14:paraId="7029D5D4" w14:textId="77777777" w:rsidR="007E0724" w:rsidRDefault="00C4775C">
            <w:pPr>
              <w:pStyle w:val="AnnexNumberedText"/>
              <w:pageBreakBefore/>
              <w:spacing w:after="200"/>
              <w:ind w:left="600"/>
            </w:pPr>
            <w:r>
              <w:t>iii.</w:t>
            </w:r>
            <w:r>
              <w:tab/>
              <w:t xml:space="preserve">starfsvenjur sem samsvara stjórnunarkerfi sem tryggir að kolefnisbirgðum og -viðtökum á skógarsvæðinu sé viðhaldið eða þau efld til langs tíma eins og sett er fram í </w:t>
            </w:r>
            <w:proofErr w:type="spellStart"/>
            <w:r>
              <w:t>b-lið</w:t>
            </w:r>
            <w:proofErr w:type="spellEnd"/>
            <w:r>
              <w:t xml:space="preserve"> 7. mgr. 29. gr. tilskipunar (ESB) 2018/2001,</w:t>
            </w:r>
          </w:p>
          <w:p w14:paraId="0FFD07CD" w14:textId="77777777" w:rsidR="007E0724" w:rsidRDefault="00C4775C">
            <w:pPr>
              <w:pStyle w:val="AnnexNumberedText"/>
              <w:pageBreakBefore/>
              <w:spacing w:after="0"/>
            </w:pPr>
            <w:r>
              <w:t>c)</w:t>
            </w:r>
            <w:r>
              <w:tab/>
              <w:t>úrlausnin í greiningunni er í réttu hlutfalli við stærð hlutaðeigandi svæðis og notuð eru gildi sem eru sértæk fyrir hlutaðeigandi svæði,</w:t>
            </w:r>
          </w:p>
        </w:tc>
      </w:tr>
      <w:tr w:rsidR="007E0724" w14:paraId="4456AA4B" w14:textId="77777777">
        <w:trPr>
          <w:trHeight w:val="360"/>
        </w:trPr>
        <w:tc>
          <w:tcPr>
            <w:tcW w:w="8740" w:type="dxa"/>
            <w:gridSpan w:val="2"/>
            <w:tcBorders>
              <w:bottom w:val="single" w:sz="8" w:space="0" w:color="auto"/>
            </w:tcBorders>
            <w:tcMar>
              <w:left w:w="0" w:type="dxa"/>
              <w:right w:w="60" w:type="dxa"/>
            </w:tcMar>
          </w:tcPr>
          <w:p w14:paraId="045D6F89" w14:textId="77777777" w:rsidR="007E0724" w:rsidRDefault="00C4775C">
            <w:pPr>
              <w:pStyle w:val="AnnexNumberedText"/>
              <w:pageBreakBefore/>
              <w:spacing w:after="200"/>
            </w:pPr>
            <w:r>
              <w:lastRenderedPageBreak/>
              <w:t>d)</w:t>
            </w:r>
            <w:r>
              <w:tab/>
              <w:t xml:space="preserve">losun og upptaka sem verða vegna náttúrulegra raskana, s.s. vegna ásóknar </w:t>
            </w:r>
            <w:proofErr w:type="spellStart"/>
            <w:r>
              <w:t>skaðvalda</w:t>
            </w:r>
            <w:proofErr w:type="spellEnd"/>
            <w:r>
              <w:t xml:space="preserve"> og sjúkdóma, skógarelda, vinds og fokskemmda, sem hafa áhrif á svæðið og valda ófullnægjandi frammistöðu, leiða ekki til þess að ákvæðin í reglugerð (ESB) 2020/852 séu ekki uppfyllt að því tilskildu að greiningin á loftslagsávinningi sé í samræmi við lagfæringarnar frá árinu 2019 á leiðbeiningum milliríkjanefndarinnar um loftslagsbreytingar (IPCC) um landsbókhald yfir gróðurhúsalofttegundir frá 2006 að því er varðar losun og upptöku vegna náttúrulegra raskana.</w:t>
            </w:r>
          </w:p>
          <w:p w14:paraId="0F8C84F5" w14:textId="77777777" w:rsidR="007E0724" w:rsidRDefault="00C4775C">
            <w:pPr>
              <w:pStyle w:val="AnnexNumberedText"/>
              <w:tabs>
                <w:tab w:val="left" w:pos="508"/>
              </w:tabs>
              <w:spacing w:after="400"/>
              <w:ind w:left="0" w:firstLine="0"/>
            </w:pPr>
            <w:r>
              <w:t>2.4.</w:t>
            </w:r>
            <w:r>
              <w:tab/>
              <w:t>Skógræktarbúum sem eru minni en 13 hektarar ber ekki skylda til að framkvæma greiningu á loftslagsávinningi.</w:t>
            </w:r>
          </w:p>
          <w:p w14:paraId="1CD56899" w14:textId="77777777" w:rsidR="007E0724" w:rsidRDefault="00C4775C">
            <w:pPr>
              <w:pStyle w:val="AnnexNumberedText"/>
              <w:spacing w:after="200"/>
              <w:ind w:left="360" w:hanging="360"/>
            </w:pPr>
            <w:r>
              <w:t>3.</w:t>
            </w:r>
            <w:r>
              <w:rPr>
                <w:i/>
              </w:rPr>
              <w:tab/>
              <w:t>Trygging fyrir varanleika</w:t>
            </w:r>
          </w:p>
          <w:p w14:paraId="421A74E6" w14:textId="77777777" w:rsidR="007E0724" w:rsidRDefault="00C4775C">
            <w:pPr>
              <w:pStyle w:val="AnnexNumberedText"/>
              <w:tabs>
                <w:tab w:val="left" w:pos="508"/>
              </w:tabs>
              <w:spacing w:after="200"/>
              <w:ind w:left="0" w:firstLine="0"/>
              <w:rPr>
                <w:szCs w:val="18"/>
              </w:rPr>
            </w:pPr>
            <w:r>
              <w:t>3.1.</w:t>
            </w:r>
            <w:r>
              <w:tab/>
              <w:t>Í samræmi við landslög er staða skógarins á svæðinu þar sem starfsemin fer fram tryggð með einni af eftirfarandi ráðstöfunum:</w:t>
            </w:r>
          </w:p>
          <w:p w14:paraId="0C0361B1" w14:textId="77777777" w:rsidR="007E0724" w:rsidRDefault="00C4775C">
            <w:pPr>
              <w:pStyle w:val="AnnexNumberedText"/>
              <w:spacing w:after="200"/>
              <w:rPr>
                <w:szCs w:val="18"/>
              </w:rPr>
            </w:pPr>
            <w:r>
              <w:t>a)</w:t>
            </w:r>
            <w:r>
              <w:tab/>
              <w:t>svæðið er flokkað sem varanlegur skógur samkvæmt skilgreiningu Matvæla- og landbúnaðarstofnunar SÞ (</w:t>
            </w:r>
            <w:r>
              <w:rPr>
                <w:rStyle w:val="Tilvsunneanmlsgrein"/>
                <w:sz w:val="18"/>
                <w:szCs w:val="18"/>
              </w:rPr>
              <w:footnoteReference w:id="26"/>
            </w:r>
            <w:r>
              <w:t>),</w:t>
            </w:r>
          </w:p>
          <w:p w14:paraId="78C7775F" w14:textId="77777777" w:rsidR="007E0724" w:rsidRDefault="00C4775C">
            <w:pPr>
              <w:pStyle w:val="AnnexNumberedText"/>
              <w:spacing w:after="200"/>
            </w:pPr>
            <w:r>
              <w:t>b)</w:t>
            </w:r>
            <w:r>
              <w:tab/>
              <w:t>svæðið er flokkað sem verndað svæði,</w:t>
            </w:r>
          </w:p>
          <w:p w14:paraId="173B80EF" w14:textId="77777777" w:rsidR="007E0724" w:rsidRDefault="00C4775C">
            <w:pPr>
              <w:pStyle w:val="AnnexNumberedText"/>
              <w:spacing w:after="200"/>
            </w:pPr>
            <w:r>
              <w:t>c)</w:t>
            </w:r>
            <w:r>
              <w:tab/>
              <w:t>svæðið fellur undir lagalega eða samningsbundna ábyrgð sem tryggir að það verði áfram skógur.</w:t>
            </w:r>
          </w:p>
          <w:p w14:paraId="60CE0965" w14:textId="77777777" w:rsidR="007E0724" w:rsidRDefault="00C4775C">
            <w:pPr>
              <w:pStyle w:val="AnnexNumberedText"/>
              <w:tabs>
                <w:tab w:val="left" w:pos="508"/>
              </w:tabs>
              <w:spacing w:after="400"/>
              <w:ind w:left="0" w:firstLine="0"/>
            </w:pPr>
            <w:r>
              <w:t>3.2.</w:t>
            </w:r>
            <w:r>
              <w:tab/>
              <w:t xml:space="preserve">Í samræmi við landslög skuldbindur rekstraraðili starfseminnar sig til þess að í framtíðaruppfærslum á áætlun um nýskógrækt og </w:t>
            </w:r>
            <w:proofErr w:type="spellStart"/>
            <w:r>
              <w:t>eftirfylgjandi</w:t>
            </w:r>
            <w:proofErr w:type="spellEnd"/>
            <w:r>
              <w:t xml:space="preserve"> skógarstjórnunaráætlun eða jafngildum </w:t>
            </w:r>
            <w:proofErr w:type="spellStart"/>
            <w:r>
              <w:t>gerningi</w:t>
            </w:r>
            <w:proofErr w:type="spellEnd"/>
            <w:r>
              <w:t>, fyrir utan starfsemina sem er fjármögnuð, verði áfram keppt að loftslagsávinningi eins og ákvarðað er í 2. lið. Að auki skuldbindur rekstraraðili starfseminnar sig til þess að bæta upp hvers konar samdrátt í loftslagsávinningi, sem er ákvarðaður í 2. lið, með jafngildum loftslagsávinningi sem leiðir af því að stunda starfsemi sem svarar til einhverrar af þeirri starfsemi tengdrar skógrækt sem er skilgreind í þessari reglugerð.</w:t>
            </w:r>
          </w:p>
          <w:p w14:paraId="5B4B46D9" w14:textId="77777777" w:rsidR="007E0724" w:rsidRDefault="00C4775C">
            <w:pPr>
              <w:pStyle w:val="AnnexNumberedText"/>
              <w:spacing w:after="200"/>
              <w:ind w:left="360" w:hanging="360"/>
            </w:pPr>
            <w:r>
              <w:t>4.</w:t>
            </w:r>
            <w:r>
              <w:rPr>
                <w:i/>
              </w:rPr>
              <w:tab/>
              <w:t>Úttekt</w:t>
            </w:r>
          </w:p>
          <w:p w14:paraId="71E9E6E5" w14:textId="77777777" w:rsidR="007E0724" w:rsidRDefault="00C4775C">
            <w:pPr>
              <w:pStyle w:val="AnnexTableCellLeft"/>
              <w:spacing w:after="16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354BC6E5" w14:textId="77777777" w:rsidR="007E0724" w:rsidRDefault="00C4775C">
            <w:pPr>
              <w:pStyle w:val="AnnexNumberedText"/>
              <w:spacing w:after="160"/>
            </w:pPr>
            <w:r>
              <w:t>a)</w:t>
            </w:r>
            <w:r>
              <w:tab/>
              <w:t xml:space="preserve">viðeigandi </w:t>
            </w:r>
            <w:proofErr w:type="spellStart"/>
            <w:r>
              <w:t>lögbær</w:t>
            </w:r>
            <w:proofErr w:type="spellEnd"/>
            <w:r>
              <w:t xml:space="preserve"> landsyfirvöld,</w:t>
            </w:r>
          </w:p>
          <w:p w14:paraId="371A01A7" w14:textId="77777777" w:rsidR="007E0724" w:rsidRDefault="00C4775C">
            <w:pPr>
              <w:pStyle w:val="AnnexNumberedText"/>
              <w:spacing w:after="160"/>
            </w:pPr>
            <w:r>
              <w:t>b)</w:t>
            </w:r>
            <w:r>
              <w:tab/>
              <w:t>óháður þriðji aðili, sem er vottunaraðili, að beiðni landsyfirvalda eða rekstraraðila starfseminnar.</w:t>
            </w:r>
          </w:p>
          <w:p w14:paraId="7BBE41ED" w14:textId="77777777" w:rsidR="007E0724" w:rsidRDefault="00C4775C">
            <w:pPr>
              <w:pStyle w:val="AnnexTableCellLeft"/>
              <w:spacing w:after="160"/>
            </w:pPr>
            <w:r>
              <w:t>Í því skyni að draga úr kostnaði er heimilt að framkvæma úttekt samhliða skógarvottun, loftslagvottun eða annarri úttekt.</w:t>
            </w:r>
          </w:p>
          <w:p w14:paraId="4CF40E45" w14:textId="77777777" w:rsidR="007E0724" w:rsidRDefault="00C4775C">
            <w:pPr>
              <w:pStyle w:val="AnnexTableCellLeft"/>
              <w:spacing w:after="160"/>
            </w:pPr>
            <w:r>
              <w:t>Óháður þriðji aðili, sem er vottunaraðili, má ekki eiga í neins konar hagsmunaárekstrum við eigandann eða fjármögnunaraðilann og má ekki hafa afskipti af þróun eða rekstri starfseminnar.</w:t>
            </w:r>
          </w:p>
          <w:p w14:paraId="49D43991" w14:textId="77777777" w:rsidR="007E0724" w:rsidRDefault="00C4775C">
            <w:pPr>
              <w:pStyle w:val="AnnexNumberedText"/>
              <w:spacing w:after="200"/>
              <w:ind w:left="360" w:hanging="360"/>
            </w:pPr>
            <w:r>
              <w:t>5.</w:t>
            </w:r>
            <w:r>
              <w:rPr>
                <w:i/>
              </w:rPr>
              <w:tab/>
              <w:t>Hópmat</w:t>
            </w:r>
          </w:p>
          <w:p w14:paraId="6DB15AF8" w14:textId="77777777" w:rsidR="007E0724" w:rsidRDefault="00C4775C">
            <w:pPr>
              <w:pStyle w:val="AnnexTableCellLeft"/>
              <w:spacing w:after="200"/>
            </w:pPr>
            <w:r>
              <w:t xml:space="preserve">Hægt er að hafa eftirlit með því hvort farið er að viðmiðunum um verulegt framlag til </w:t>
            </w:r>
            <w:proofErr w:type="spellStart"/>
            <w:r>
              <w:t>mildunar</w:t>
            </w:r>
            <w:proofErr w:type="spellEnd"/>
            <w:r>
              <w:t xml:space="preserve"> loftslagsbreytinga og viðmiðunum um að valda ekki umtalsverðu tjóni:</w:t>
            </w:r>
          </w:p>
          <w:p w14:paraId="47FBE07E" w14:textId="77777777" w:rsidR="007E0724" w:rsidRDefault="00C4775C">
            <w:pPr>
              <w:pStyle w:val="AnnexNumberedText"/>
              <w:spacing w:after="200"/>
            </w:pPr>
            <w:r>
              <w:t>a)</w:t>
            </w:r>
            <w:r>
              <w:tab/>
              <w:t>á upprunasvæði skógræktarafurða (</w:t>
            </w:r>
            <w:r>
              <w:rPr>
                <w:rStyle w:val="Tilvsunneanmlsgrein"/>
                <w:sz w:val="18"/>
                <w:szCs w:val="18"/>
              </w:rPr>
              <w:footnoteReference w:id="27"/>
            </w:r>
            <w:r>
              <w:t>) eins og skilgreint er í 30. lið 2. gr. tilskipunar (ESB) 2018/2001,</w:t>
            </w:r>
          </w:p>
          <w:p w14:paraId="24E01A1E" w14:textId="77777777" w:rsidR="007E0724" w:rsidRDefault="00C4775C">
            <w:pPr>
              <w:pStyle w:val="AnnexNumberedText"/>
              <w:spacing w:after="200"/>
            </w:pPr>
            <w:r>
              <w:t>b)</w:t>
            </w:r>
            <w:r>
              <w:tab/>
              <w:t>hjá hópi 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r w:rsidR="007E0724" w14:paraId="0091299E" w14:textId="77777777">
        <w:trPr>
          <w:trHeight w:val="240"/>
        </w:trPr>
        <w:tc>
          <w:tcPr>
            <w:tcW w:w="8740" w:type="dxa"/>
            <w:gridSpan w:val="2"/>
            <w:tcBorders>
              <w:top w:val="single" w:sz="8" w:space="0" w:color="auto"/>
              <w:bottom w:val="single" w:sz="4" w:space="0" w:color="auto"/>
            </w:tcBorders>
            <w:tcMar>
              <w:left w:w="0" w:type="dxa"/>
              <w:right w:w="60" w:type="dxa"/>
            </w:tcMar>
          </w:tcPr>
          <w:p w14:paraId="4BCFDE54" w14:textId="77777777" w:rsidR="007E0724" w:rsidRDefault="00C4775C">
            <w:pPr>
              <w:pStyle w:val="AnnexTableCellLeft"/>
            </w:pPr>
            <w:r>
              <w:t>Ekki valda umtalsverðu tjóni</w:t>
            </w:r>
          </w:p>
        </w:tc>
      </w:tr>
      <w:tr w:rsidR="007E0724" w14:paraId="331752F4" w14:textId="77777777">
        <w:trPr>
          <w:trHeight w:val="360"/>
        </w:trPr>
        <w:tc>
          <w:tcPr>
            <w:tcW w:w="3032" w:type="dxa"/>
            <w:tcBorders>
              <w:top w:val="single" w:sz="4" w:space="0" w:color="auto"/>
              <w:bottom w:val="single" w:sz="4" w:space="0" w:color="auto"/>
              <w:right w:val="single" w:sz="4" w:space="0" w:color="auto"/>
            </w:tcBorders>
            <w:tcMar>
              <w:left w:w="0" w:type="dxa"/>
              <w:right w:w="60" w:type="dxa"/>
            </w:tcMar>
          </w:tcPr>
          <w:p w14:paraId="5BF6317E" w14:textId="77777777" w:rsidR="007E0724" w:rsidRDefault="00C4775C">
            <w:pPr>
              <w:pStyle w:val="AnnexNumberedText"/>
            </w:pPr>
            <w:r>
              <w:lastRenderedPageBreak/>
              <w:t>2)</w:t>
            </w:r>
            <w:r>
              <w:tab/>
              <w:t>Aðlögun að loftslagsbreytingum</w:t>
            </w:r>
          </w:p>
        </w:tc>
        <w:tc>
          <w:tcPr>
            <w:tcW w:w="5708" w:type="dxa"/>
            <w:tcBorders>
              <w:top w:val="single" w:sz="4" w:space="0" w:color="auto"/>
              <w:left w:val="single" w:sz="4" w:space="0" w:color="auto"/>
              <w:bottom w:val="single" w:sz="4" w:space="0" w:color="auto"/>
            </w:tcBorders>
            <w:tcMar>
              <w:left w:w="0" w:type="dxa"/>
              <w:right w:w="60" w:type="dxa"/>
            </w:tcMar>
          </w:tcPr>
          <w:p w14:paraId="0ED5973A" w14:textId="77777777" w:rsidR="007E0724" w:rsidRDefault="00C4775C">
            <w:pPr>
              <w:pStyle w:val="AnnexTableCellLeft"/>
              <w:ind w:left="40"/>
            </w:pPr>
            <w:r>
              <w:t>Starfsemin er í samræmi við viðmiðanirnar sem settar eru fram í viðbæti A við þennan viðauka.</w:t>
            </w:r>
          </w:p>
        </w:tc>
      </w:tr>
      <w:tr w:rsidR="007E0724" w14:paraId="3D1A6891" w14:textId="77777777">
        <w:trPr>
          <w:trHeight w:val="360"/>
        </w:trPr>
        <w:tc>
          <w:tcPr>
            <w:tcW w:w="3032" w:type="dxa"/>
            <w:tcBorders>
              <w:top w:val="single" w:sz="4" w:space="0" w:color="auto"/>
              <w:bottom w:val="single" w:sz="4" w:space="0" w:color="auto"/>
              <w:right w:val="single" w:sz="4" w:space="0" w:color="auto"/>
            </w:tcBorders>
            <w:tcMar>
              <w:left w:w="0" w:type="dxa"/>
              <w:right w:w="60" w:type="dxa"/>
            </w:tcMar>
          </w:tcPr>
          <w:p w14:paraId="20D62E0A" w14:textId="77777777" w:rsidR="007E0724" w:rsidRDefault="00C4775C">
            <w:pPr>
              <w:pStyle w:val="AnnexNumberedText"/>
              <w:pageBreakBefore/>
              <w:spacing w:after="400"/>
              <w:ind w:right="40"/>
            </w:pPr>
            <w:r>
              <w:lastRenderedPageBreak/>
              <w:t>3)</w:t>
            </w:r>
            <w:r>
              <w:tab/>
              <w:t>Sjálfbær notkun og verndun vatns- og sjávarauðlinda</w:t>
            </w:r>
          </w:p>
        </w:tc>
        <w:tc>
          <w:tcPr>
            <w:tcW w:w="5708" w:type="dxa"/>
            <w:tcBorders>
              <w:top w:val="single" w:sz="4" w:space="0" w:color="auto"/>
              <w:left w:val="single" w:sz="4" w:space="0" w:color="auto"/>
              <w:bottom w:val="single" w:sz="4" w:space="0" w:color="auto"/>
            </w:tcBorders>
            <w:tcMar>
              <w:left w:w="0" w:type="dxa"/>
              <w:right w:w="60" w:type="dxa"/>
            </w:tcMar>
          </w:tcPr>
          <w:p w14:paraId="53B0EF7A" w14:textId="77777777" w:rsidR="007E0724" w:rsidRDefault="00C4775C">
            <w:pPr>
              <w:pStyle w:val="AnnexTableCellLeft"/>
              <w:spacing w:after="480"/>
              <w:ind w:left="40"/>
            </w:pPr>
            <w:r>
              <w:t>Starfsemin er í samræmi við viðmiðanirnar sem settar eru fram í viðbæti B við þennan viðauka.</w:t>
            </w:r>
          </w:p>
          <w:p w14:paraId="45DFFDDA" w14:textId="77777777" w:rsidR="007E0724" w:rsidRDefault="00C4775C">
            <w:pPr>
              <w:pStyle w:val="AnnexTableCellLeft"/>
              <w:spacing w:after="480"/>
              <w:ind w:left="40"/>
            </w:pPr>
            <w:r>
              <w:t xml:space="preserve">Ítarlegar upplýsingar sem um getur í lið 1.2. Í </w:t>
            </w:r>
            <w:proofErr w:type="spellStart"/>
            <w:r>
              <w:t>k-lið</w:t>
            </w:r>
            <w:proofErr w:type="spellEnd"/>
            <w:r>
              <w:t xml:space="preserve"> eru ákvæði um að uppfylla viðmiðanirnar sem settar eru fram í viðbæti B við þennan viðauka.</w:t>
            </w:r>
          </w:p>
        </w:tc>
      </w:tr>
      <w:tr w:rsidR="007E0724" w14:paraId="5A508AF9" w14:textId="77777777">
        <w:trPr>
          <w:trHeight w:val="360"/>
        </w:trPr>
        <w:tc>
          <w:tcPr>
            <w:tcW w:w="3032" w:type="dxa"/>
            <w:tcBorders>
              <w:top w:val="single" w:sz="4" w:space="0" w:color="auto"/>
              <w:bottom w:val="single" w:sz="4" w:space="0" w:color="auto"/>
              <w:right w:val="single" w:sz="4" w:space="0" w:color="auto"/>
            </w:tcBorders>
            <w:tcMar>
              <w:left w:w="0" w:type="dxa"/>
              <w:right w:w="60" w:type="dxa"/>
            </w:tcMar>
          </w:tcPr>
          <w:p w14:paraId="392A4A62" w14:textId="77777777" w:rsidR="007E0724" w:rsidRDefault="00C4775C">
            <w:pPr>
              <w:pStyle w:val="AnnexNumberedText"/>
              <w:spacing w:after="400"/>
            </w:pPr>
            <w:r>
              <w:t>4)</w:t>
            </w:r>
            <w:r>
              <w:tab/>
              <w:t>Umskipti yfir í hringrásarhagkerfi</w:t>
            </w:r>
          </w:p>
        </w:tc>
        <w:tc>
          <w:tcPr>
            <w:tcW w:w="5708" w:type="dxa"/>
            <w:tcBorders>
              <w:top w:val="single" w:sz="4" w:space="0" w:color="auto"/>
              <w:left w:val="single" w:sz="4" w:space="0" w:color="auto"/>
              <w:bottom w:val="single" w:sz="4" w:space="0" w:color="auto"/>
            </w:tcBorders>
            <w:tcMar>
              <w:left w:w="0" w:type="dxa"/>
              <w:right w:w="60" w:type="dxa"/>
            </w:tcMar>
          </w:tcPr>
          <w:p w14:paraId="267464EC" w14:textId="77777777" w:rsidR="007E0724" w:rsidRDefault="00C4775C">
            <w:pPr>
              <w:pStyle w:val="AnnexTableCellLeft"/>
              <w:spacing w:after="400"/>
              <w:ind w:left="40"/>
            </w:pPr>
            <w:r>
              <w:t>Á ekki við</w:t>
            </w:r>
          </w:p>
        </w:tc>
      </w:tr>
      <w:tr w:rsidR="007E0724" w14:paraId="3DD1185E" w14:textId="77777777">
        <w:trPr>
          <w:trHeight w:val="360"/>
        </w:trPr>
        <w:tc>
          <w:tcPr>
            <w:tcW w:w="3032" w:type="dxa"/>
            <w:tcBorders>
              <w:top w:val="single" w:sz="4" w:space="0" w:color="auto"/>
              <w:bottom w:val="single" w:sz="4" w:space="0" w:color="auto"/>
              <w:right w:val="single" w:sz="4" w:space="0" w:color="auto"/>
            </w:tcBorders>
            <w:tcMar>
              <w:left w:w="0" w:type="dxa"/>
              <w:right w:w="60" w:type="dxa"/>
            </w:tcMar>
          </w:tcPr>
          <w:p w14:paraId="5EF0591B" w14:textId="77777777" w:rsidR="007E0724" w:rsidRDefault="00C4775C">
            <w:pPr>
              <w:pStyle w:val="AnnexNumberedText"/>
              <w:spacing w:after="400"/>
            </w:pPr>
            <w:r>
              <w:t>5)</w:t>
            </w:r>
            <w:r>
              <w:tab/>
              <w:t>Mengunarvarnir og eftirlit með mengun</w:t>
            </w:r>
          </w:p>
        </w:tc>
        <w:tc>
          <w:tcPr>
            <w:tcW w:w="5708" w:type="dxa"/>
            <w:tcBorders>
              <w:top w:val="single" w:sz="4" w:space="0" w:color="auto"/>
              <w:left w:val="single" w:sz="4" w:space="0" w:color="auto"/>
              <w:bottom w:val="single" w:sz="4" w:space="0" w:color="auto"/>
            </w:tcBorders>
            <w:tcMar>
              <w:left w:w="0" w:type="dxa"/>
              <w:right w:w="60" w:type="dxa"/>
            </w:tcMar>
          </w:tcPr>
          <w:p w14:paraId="45975B2B" w14:textId="77777777" w:rsidR="007E0724" w:rsidRDefault="00C4775C">
            <w:pPr>
              <w:pStyle w:val="AnnexTableCellLeft"/>
              <w:spacing w:after="440"/>
              <w:ind w:left="40"/>
              <w:rPr>
                <w:szCs w:val="18"/>
              </w:rPr>
            </w:pPr>
            <w:r>
              <w:t>Dregið er úr notkun varnarefna og annars konar aðferðir eða nálganir, sem geta falið í sér valkosti sem ekki byggjast á notkun varnarefna, eru valdar, í samræmi við tilskipun Evrópuþingsins og ráðsins 2009/128/EB (</w:t>
            </w:r>
            <w:r>
              <w:rPr>
                <w:rStyle w:val="Tilvsunneanmlsgrein"/>
                <w:sz w:val="18"/>
                <w:szCs w:val="18"/>
              </w:rPr>
              <w:footnoteReference w:id="28"/>
            </w:r>
            <w:r>
              <w:t xml:space="preserve">), að undanskildum tilvikum þegar þörf er á notkun varnarefna til hafa stjórn á uppkomu </w:t>
            </w:r>
            <w:proofErr w:type="spellStart"/>
            <w:r>
              <w:t>skaðvalda</w:t>
            </w:r>
            <w:proofErr w:type="spellEnd"/>
            <w:r>
              <w:t xml:space="preserve"> og sjúkdóma.</w:t>
            </w:r>
          </w:p>
          <w:p w14:paraId="5A914BD9" w14:textId="77777777" w:rsidR="007E0724" w:rsidRDefault="00C4775C">
            <w:pPr>
              <w:pStyle w:val="AnnexTableCellLeft"/>
              <w:spacing w:after="440"/>
              <w:ind w:left="40"/>
              <w:rPr>
                <w:szCs w:val="18"/>
              </w:rPr>
            </w:pPr>
            <w:r>
              <w:t>Notkun áburðar er lágmörkuð í starfseminni og húsdýraáburður ekki notaður. Starfsemin er í samræmi við reglugerð Evrópuþingsins og ráðsins (ESB) 2019/1009 (</w:t>
            </w:r>
            <w:r>
              <w:rPr>
                <w:rStyle w:val="Tilvsunneanmlsgrein"/>
                <w:sz w:val="18"/>
                <w:szCs w:val="18"/>
              </w:rPr>
              <w:footnoteReference w:id="29"/>
            </w:r>
            <w:r>
              <w:t>) eða landsbundnar reglur um áburð eða jarðvegsbæta til notkunar í landbúnaði.</w:t>
            </w:r>
          </w:p>
          <w:p w14:paraId="1317ABC3" w14:textId="77777777" w:rsidR="007E0724" w:rsidRDefault="00C4775C">
            <w:pPr>
              <w:pStyle w:val="AnnexTableCellLeft"/>
              <w:spacing w:after="440"/>
              <w:ind w:left="40"/>
              <w:rPr>
                <w:szCs w:val="18"/>
              </w:rPr>
            </w:pPr>
            <w:r>
              <w:t xml:space="preserve">Gerðar eru vel skjalfestar og </w:t>
            </w:r>
            <w:proofErr w:type="spellStart"/>
            <w:r>
              <w:t>sannprófanlegar</w:t>
            </w:r>
            <w:proofErr w:type="spellEnd"/>
            <w:r>
              <w:t xml:space="preserve"> ráðstafanir til að komast hjá notkun virkra innihaldsefna sem eru skráð í A hluta I. viðauka við reglugerð (</w:t>
            </w:r>
            <w:r>
              <w:rPr>
                <w:rStyle w:val="Tilvsunneanmlsgrein"/>
                <w:sz w:val="18"/>
                <w:szCs w:val="18"/>
              </w:rPr>
              <w:footnoteReference w:id="30"/>
            </w:r>
            <w:r>
              <w:t>) Evrópuþingsins og ráðsins (ESB) 2019/1021 (</w:t>
            </w:r>
            <w:r>
              <w:rPr>
                <w:rStyle w:val="Tilvsunneanmlsgrein"/>
                <w:sz w:val="18"/>
                <w:szCs w:val="18"/>
              </w:rPr>
              <w:footnoteReference w:id="31"/>
            </w:r>
            <w:r>
              <w:t>), Rotterdam-samninginn um starfsreglur um fyrir fram upplýst samþykki í tengslum við tiltekin hættuleg efni og varnarefni í alþjóðaviðskiptum (</w:t>
            </w:r>
            <w:r>
              <w:rPr>
                <w:rStyle w:val="Tilvsunneanmlsgrein"/>
                <w:sz w:val="18"/>
                <w:szCs w:val="18"/>
              </w:rPr>
              <w:footnoteReference w:id="32"/>
            </w:r>
            <w:r>
              <w:t xml:space="preserve">), </w:t>
            </w:r>
            <w:proofErr w:type="spellStart"/>
            <w:r>
              <w:t>Minamatasamninginn</w:t>
            </w:r>
            <w:proofErr w:type="spellEnd"/>
            <w:r>
              <w:t xml:space="preserve"> um kvikasilfur (</w:t>
            </w:r>
            <w:r>
              <w:rPr>
                <w:rStyle w:val="Tilvsunneanmlsgrein"/>
                <w:sz w:val="18"/>
                <w:szCs w:val="18"/>
              </w:rPr>
              <w:footnoteReference w:id="33"/>
            </w:r>
            <w:r>
              <w:t>) og Montreal-bókunina um efni sem valda rýrnun ósonlagsins (</w:t>
            </w:r>
            <w:r>
              <w:rPr>
                <w:rStyle w:val="Tilvsunneanmlsgrein"/>
                <w:sz w:val="18"/>
                <w:szCs w:val="18"/>
              </w:rPr>
              <w:footnoteReference w:id="34"/>
            </w:r>
            <w:r>
              <w:t xml:space="preserve">)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szCs w:val="18"/>
              </w:rPr>
              <w:footnoteReference w:id="35"/>
            </w:r>
            <w:r>
              <w:t>). Starfsemin er í samræmi við viðeigandi landslög um virk innihaldsefni.</w:t>
            </w:r>
          </w:p>
          <w:p w14:paraId="0E2508D9" w14:textId="77777777" w:rsidR="007E0724" w:rsidRDefault="00C4775C">
            <w:pPr>
              <w:pStyle w:val="AnnexTableCellLeft"/>
              <w:spacing w:after="360"/>
              <w:ind w:left="40"/>
            </w:pPr>
            <w:r>
              <w:t>Komið er í veg fyrir mengun vatns og jarðvegs og gripið til hreinsunarráðstafana þegar mengun á sér stað.</w:t>
            </w:r>
          </w:p>
        </w:tc>
      </w:tr>
      <w:tr w:rsidR="007E0724" w14:paraId="16D64B15" w14:textId="77777777">
        <w:trPr>
          <w:trHeight w:val="360"/>
        </w:trPr>
        <w:tc>
          <w:tcPr>
            <w:tcW w:w="3032" w:type="dxa"/>
            <w:vMerge w:val="restart"/>
            <w:tcBorders>
              <w:top w:val="single" w:sz="4" w:space="0" w:color="auto"/>
              <w:right w:val="single" w:sz="4" w:space="0" w:color="auto"/>
            </w:tcBorders>
            <w:tcMar>
              <w:left w:w="0" w:type="dxa"/>
              <w:right w:w="60" w:type="dxa"/>
            </w:tcMar>
          </w:tcPr>
          <w:p w14:paraId="19A09615" w14:textId="77777777" w:rsidR="007E0724" w:rsidRDefault="00C4775C">
            <w:pPr>
              <w:pStyle w:val="AnnexNumberedText"/>
              <w:ind w:right="40"/>
            </w:pPr>
            <w:r>
              <w:t>6)</w:t>
            </w:r>
            <w:r>
              <w:tab/>
              <w:t>Vernd og endurheimt líffræðilegrar fjölbreytni og vistkerfa</w:t>
            </w:r>
          </w:p>
        </w:tc>
        <w:tc>
          <w:tcPr>
            <w:tcW w:w="5708" w:type="dxa"/>
            <w:tcBorders>
              <w:top w:val="single" w:sz="4" w:space="0" w:color="auto"/>
              <w:left w:val="single" w:sz="4" w:space="0" w:color="auto"/>
            </w:tcBorders>
            <w:tcMar>
              <w:left w:w="0" w:type="dxa"/>
              <w:right w:w="60" w:type="dxa"/>
            </w:tcMar>
          </w:tcPr>
          <w:p w14:paraId="40AA657E" w14:textId="77777777" w:rsidR="007E0724" w:rsidRDefault="00C4775C">
            <w:pPr>
              <w:pStyle w:val="AnnexTableCellLeft"/>
              <w:spacing w:after="200"/>
              <w:ind w:left="4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64045FA6" w14:textId="77777777" w:rsidR="007E0724" w:rsidRDefault="00C4775C">
            <w:pPr>
              <w:pStyle w:val="AnnexTableCellLeft"/>
              <w:ind w:left="40"/>
            </w:pPr>
            <w:r>
              <w:t xml:space="preserve">Ekki er um að ræða umbreytingu búsvæða sem eru sérstaklega viðkvæm fyrir tapi á líffræðilegri fjölbreytni eða með mikið varðveislugildi eða svæða sem </w:t>
            </w:r>
            <w:r>
              <w:lastRenderedPageBreak/>
              <w:t>tekin eru frá fyrir endurheimt slíkra búsvæða í samræmi við landslög.</w:t>
            </w:r>
          </w:p>
        </w:tc>
      </w:tr>
      <w:tr w:rsidR="007E0724" w14:paraId="24EAEC51" w14:textId="77777777">
        <w:trPr>
          <w:trHeight w:val="240"/>
        </w:trPr>
        <w:tc>
          <w:tcPr>
            <w:tcW w:w="3032" w:type="dxa"/>
            <w:vMerge/>
            <w:tcBorders>
              <w:top w:val="single" w:sz="4" w:space="0" w:color="auto"/>
              <w:bottom w:val="single" w:sz="4" w:space="0" w:color="auto"/>
              <w:right w:val="single" w:sz="4" w:space="0" w:color="auto"/>
            </w:tcBorders>
            <w:tcMar>
              <w:left w:w="0" w:type="dxa"/>
              <w:right w:w="60" w:type="dxa"/>
            </w:tcMar>
          </w:tcPr>
          <w:p w14:paraId="360B2E0F" w14:textId="77777777" w:rsidR="007E0724" w:rsidRDefault="007E0724">
            <w:pPr>
              <w:pStyle w:val="Para"/>
              <w:pageBreakBefore/>
            </w:pPr>
          </w:p>
        </w:tc>
        <w:tc>
          <w:tcPr>
            <w:tcW w:w="5708" w:type="dxa"/>
            <w:tcBorders>
              <w:top w:val="single" w:sz="4" w:space="0" w:color="auto"/>
              <w:left w:val="single" w:sz="4" w:space="0" w:color="auto"/>
              <w:bottom w:val="single" w:sz="4" w:space="0" w:color="auto"/>
            </w:tcBorders>
            <w:tcMar>
              <w:left w:w="0" w:type="dxa"/>
              <w:right w:w="60" w:type="dxa"/>
            </w:tcMar>
          </w:tcPr>
          <w:p w14:paraId="65F2CF96" w14:textId="77777777" w:rsidR="007E0724" w:rsidRDefault="00C4775C">
            <w:pPr>
              <w:pStyle w:val="AnnexTableCellLeft"/>
              <w:pageBreakBefore/>
              <w:spacing w:after="400"/>
              <w:ind w:left="40"/>
            </w:pPr>
            <w:r>
              <w:t xml:space="preserve">Ítarlegu upplýsingarnar sem um getur í </w:t>
            </w:r>
            <w:proofErr w:type="spellStart"/>
            <w:r>
              <w:t>k-lið</w:t>
            </w:r>
            <w:proofErr w:type="spellEnd"/>
            <w:r>
              <w:t xml:space="preserve"> í lið 1.2 (áætlun um nýskógrækt) og </w:t>
            </w:r>
            <w:proofErr w:type="spellStart"/>
            <w:r>
              <w:t>i-lið</w:t>
            </w:r>
            <w:proofErr w:type="spellEnd"/>
            <w:r>
              <w:t xml:space="preserve"> í lið 1.4 (skógarstjórnunaráætlun eða jafngilt kerfi) innihalda ákvæði um viðhald og mögulega eflingu líffræðilegrar fjölbreytni í samræmi við landsbundin og staðbundin ákvæði, þ.m.t. eftirfarandi:</w:t>
            </w:r>
          </w:p>
          <w:p w14:paraId="2F129B0A" w14:textId="77777777" w:rsidR="007E0724" w:rsidRDefault="00C4775C">
            <w:pPr>
              <w:pStyle w:val="AnnexNumberedText"/>
              <w:pageBreakBefore/>
              <w:spacing w:after="200"/>
              <w:ind w:left="340"/>
            </w:pPr>
            <w:r>
              <w:t>a)</w:t>
            </w:r>
            <w:r>
              <w:tab/>
              <w:t>að tryggja góða varðveislustöðu búsvæðis og tegunda; viðhald dæmigerðra tegunda á búsvæði,</w:t>
            </w:r>
          </w:p>
          <w:p w14:paraId="77D29789" w14:textId="77777777" w:rsidR="007E0724" w:rsidRDefault="00C4775C">
            <w:pPr>
              <w:pStyle w:val="AnnexNumberedText"/>
              <w:pageBreakBefore/>
              <w:spacing w:after="200"/>
              <w:ind w:left="340"/>
            </w:pPr>
            <w:r>
              <w:t>b)</w:t>
            </w:r>
            <w:r>
              <w:tab/>
              <w:t xml:space="preserve">að undanskilja notkun á eða </w:t>
            </w:r>
            <w:proofErr w:type="spellStart"/>
            <w:r>
              <w:t>sleppingu</w:t>
            </w:r>
            <w:proofErr w:type="spellEnd"/>
            <w:r>
              <w:t xml:space="preserve"> ágengra framandi tegunda,</w:t>
            </w:r>
          </w:p>
          <w:p w14:paraId="650C58DB" w14:textId="77777777" w:rsidR="007E0724" w:rsidRDefault="00C4775C">
            <w:pPr>
              <w:pStyle w:val="AnnexNumberedText"/>
              <w:pageBreakBefore/>
              <w:spacing w:after="200"/>
              <w:ind w:left="340"/>
            </w:pPr>
            <w:r>
              <w:t>c)</w:t>
            </w:r>
            <w:r>
              <w:tab/>
              <w:t>að undanskilja notkun á framandi tegundum nema unnt sé að sýna fram á að:</w:t>
            </w:r>
          </w:p>
          <w:p w14:paraId="25B9AD97" w14:textId="77777777" w:rsidR="007E0724" w:rsidRDefault="00C4775C">
            <w:pPr>
              <w:pStyle w:val="AnnexNumberedText"/>
              <w:pageBreakBefore/>
              <w:spacing w:after="200"/>
              <w:ind w:left="640"/>
            </w:pPr>
            <w:r>
              <w:t>i.</w:t>
            </w:r>
            <w:r>
              <w:tab/>
              <w:t>notkun á fjölgunarefni í skógrækt leiði til hagstæðara og viðeigandi ástands vistkerfisins (s.s. loftslag, jarðvegsskilyrði og gróðursvæði, viðnám gegn skógareldum),</w:t>
            </w:r>
          </w:p>
          <w:p w14:paraId="5F454023" w14:textId="77777777" w:rsidR="007E0724" w:rsidRDefault="00C4775C">
            <w:pPr>
              <w:pStyle w:val="AnnexNumberedText"/>
              <w:pageBreakBefore/>
              <w:spacing w:after="200"/>
              <w:ind w:left="640"/>
            </w:pPr>
            <w:r>
              <w:t>ii.</w:t>
            </w:r>
            <w:r>
              <w:tab/>
              <w:t>innlendar tegundir, sem eru þegar til staðar á svæðinu, eru ekki lengur aðlagaðar að framreiknuðum loftslagsskilyrðum og jarðvegsfræðilegum/vatnafræðilegum skilyrðum,</w:t>
            </w:r>
          </w:p>
          <w:p w14:paraId="7EBA6716" w14:textId="77777777" w:rsidR="007E0724" w:rsidRDefault="00C4775C">
            <w:pPr>
              <w:pStyle w:val="AnnexNumberedText"/>
              <w:pageBreakBefore/>
              <w:spacing w:after="200"/>
              <w:ind w:left="340"/>
            </w:pPr>
            <w:r>
              <w:t>d)</w:t>
            </w:r>
            <w:r>
              <w:tab/>
              <w:t xml:space="preserve">að tryggja viðhald og úrbætur á </w:t>
            </w:r>
            <w:proofErr w:type="spellStart"/>
            <w:r>
              <w:t>eðlisrænum</w:t>
            </w:r>
            <w:proofErr w:type="spellEnd"/>
            <w:r>
              <w:t>, efnafræðilegum og líffræðilegum gæðum jarðvegsins,</w:t>
            </w:r>
          </w:p>
          <w:p w14:paraId="5011B82B" w14:textId="77777777" w:rsidR="007E0724" w:rsidRDefault="00C4775C">
            <w:pPr>
              <w:pStyle w:val="AnnexNumberedText"/>
              <w:pageBreakBefore/>
              <w:spacing w:after="200"/>
              <w:ind w:left="340"/>
            </w:pPr>
            <w:r>
              <w:t>e)</w:t>
            </w:r>
            <w:r>
              <w:tab/>
              <w:t>að efla starfsvenjur sem gagnast líffræðilegri fjölbreytni og bæta náttúrulegt ferli skóga,</w:t>
            </w:r>
          </w:p>
          <w:p w14:paraId="52D32927" w14:textId="77777777" w:rsidR="007E0724" w:rsidRDefault="00C4775C">
            <w:pPr>
              <w:pStyle w:val="AnnexNumberedText"/>
              <w:pageBreakBefore/>
              <w:spacing w:after="200"/>
              <w:ind w:left="340"/>
            </w:pPr>
            <w:r>
              <w:t>f)</w:t>
            </w:r>
            <w:r>
              <w:tab/>
              <w:t>að útiloka umbreytingu vistkerfa þar sem líffræðileg fjölbreytni er mikil yfir í vistkerfi þar sem líffræðileg fjölbreytni er minni,</w:t>
            </w:r>
          </w:p>
          <w:p w14:paraId="09DEADB7" w14:textId="77777777" w:rsidR="007E0724" w:rsidRDefault="00C4775C">
            <w:pPr>
              <w:pStyle w:val="AnnexNumberedText"/>
              <w:pageBreakBefore/>
              <w:spacing w:after="200"/>
              <w:ind w:left="340"/>
            </w:pPr>
            <w:r>
              <w:t>g)</w:t>
            </w:r>
            <w:r>
              <w:tab/>
              <w:t>að tryggja fjölbreytni tengdra búsvæða og tegunda sem tengjast skóginum,</w:t>
            </w:r>
          </w:p>
          <w:p w14:paraId="3EBAF237" w14:textId="77777777" w:rsidR="007E0724" w:rsidRDefault="00C4775C">
            <w:pPr>
              <w:pStyle w:val="AnnexNumberedText"/>
              <w:pageBreakBefore/>
              <w:spacing w:after="200"/>
              <w:ind w:left="340"/>
            </w:pPr>
            <w:r>
              <w:t>h)</w:t>
            </w:r>
            <w:r>
              <w:tab/>
              <w:t>að tryggja fjölbreytni í formgerð skógarteiga og að viðhalda eða efla fullvaxta skógarteiga og dauðan við.</w:t>
            </w:r>
          </w:p>
        </w:tc>
      </w:tr>
    </w:tbl>
    <w:p w14:paraId="6378AC13" w14:textId="77777777" w:rsidR="007E0724" w:rsidRDefault="007E0724">
      <w:pPr>
        <w:pStyle w:val="AnnexNumberedText"/>
        <w:spacing w:before="200"/>
        <w:ind w:left="500" w:hanging="500"/>
      </w:pPr>
    </w:p>
    <w:p w14:paraId="276E4E23" w14:textId="77777777" w:rsidR="007E0724" w:rsidRDefault="00C4775C">
      <w:pPr>
        <w:shd w:val="clear" w:color="auto" w:fill="auto"/>
        <w:spacing w:line="0" w:lineRule="auto"/>
        <w:jc w:val="left"/>
        <w:rPr>
          <w:color w:val="auto"/>
          <w14:ligatures w14:val="standard"/>
        </w:rPr>
      </w:pPr>
      <w:r>
        <w:br w:type="page"/>
      </w:r>
    </w:p>
    <w:p w14:paraId="4DB86A82" w14:textId="77777777" w:rsidR="007E0724" w:rsidRDefault="00C4775C">
      <w:pPr>
        <w:pStyle w:val="AnnexNumberedText"/>
        <w:spacing w:before="200"/>
        <w:ind w:left="500" w:hanging="500"/>
      </w:pPr>
      <w:r>
        <w:lastRenderedPageBreak/>
        <w:t>1.2.</w:t>
      </w:r>
      <w:r>
        <w:rPr>
          <w:b/>
        </w:rPr>
        <w:tab/>
        <w:t xml:space="preserve">Endurreisn og endurheimt skóga, þ.m.t. </w:t>
      </w:r>
      <w:proofErr w:type="spellStart"/>
      <w:r>
        <w:rPr>
          <w:b/>
        </w:rPr>
        <w:t>endurræktun</w:t>
      </w:r>
      <w:proofErr w:type="spellEnd"/>
      <w:r>
        <w:rPr>
          <w:b/>
        </w:rPr>
        <w:t xml:space="preserve"> skóga og endurnýjun náttúrulegra skóga eftir aftakaviðburð</w:t>
      </w:r>
    </w:p>
    <w:p w14:paraId="36DAD63E" w14:textId="77777777" w:rsidR="007E0724" w:rsidRDefault="00C4775C">
      <w:pPr>
        <w:pStyle w:val="AnnexGrSeq3"/>
        <w:ind w:left="500"/>
        <w:jc w:val="left"/>
      </w:pPr>
      <w:r>
        <w:rPr>
          <w:i/>
        </w:rPr>
        <w:t>Lýsing á starfseminni</w:t>
      </w:r>
    </w:p>
    <w:p w14:paraId="0459DA46" w14:textId="77777777" w:rsidR="007E0724" w:rsidRDefault="00C4775C">
      <w:pPr>
        <w:pStyle w:val="AnnexNormal"/>
        <w:ind w:left="500"/>
        <w:rPr>
          <w:szCs w:val="18"/>
        </w:rPr>
      </w:pPr>
      <w:r>
        <w:t>Endurreisn og endurheimt skóga eins og skilgreint er í landslögum. Ef landslög innihalda ekki slíka skilgreiningu svara endurreisn og endurheimt til almennt samþykktrar skilgreiningar í ritrýndum birtum vísindaskrifum fyrir tiltekin lönd eða skilgreiningar í samræmi við hugtak Matvæla- og landbúnaðarstofnunar SÞ um endurheimt skóga (</w:t>
      </w:r>
      <w:bookmarkStart w:id="16" w:name="NOTE_35"/>
      <w:r>
        <w:rPr>
          <w:rStyle w:val="Tilvsunneanmlsgrein"/>
          <w:sz w:val="18"/>
          <w:szCs w:val="18"/>
        </w:rPr>
        <w:footnoteReference w:id="36"/>
      </w:r>
      <w:bookmarkEnd w:id="16"/>
      <w:r>
        <w:t>) eða skilgreiningar í samræmi við eina af skilgreiningunum um vistfræðilega endurheimt (</w:t>
      </w:r>
      <w:bookmarkStart w:id="17" w:name="NOTE_36"/>
      <w:r>
        <w:rPr>
          <w:rStyle w:val="Tilvsunneanmlsgrein"/>
          <w:sz w:val="18"/>
          <w:szCs w:val="18"/>
        </w:rPr>
        <w:footnoteReference w:id="37"/>
      </w:r>
      <w:bookmarkEnd w:id="17"/>
      <w:r>
        <w:t>) sem notuð er um skóga eða endurreisn skóga (</w:t>
      </w:r>
      <w:bookmarkStart w:id="18" w:name="NOTE_37"/>
      <w:r>
        <w:rPr>
          <w:rStyle w:val="Tilvsunneanmlsgrein"/>
          <w:sz w:val="18"/>
          <w:szCs w:val="18"/>
        </w:rPr>
        <w:footnoteReference w:id="38"/>
      </w:r>
      <w:bookmarkEnd w:id="18"/>
      <w:r>
        <w:t>) samkvæmt samningnum um líffræðilega fjölbreytni (</w:t>
      </w:r>
      <w:bookmarkStart w:id="19" w:name="NOTE_38"/>
      <w:r>
        <w:rPr>
          <w:rStyle w:val="Tilvsunneanmlsgrein"/>
          <w:sz w:val="18"/>
          <w:szCs w:val="18"/>
        </w:rPr>
        <w:footnoteReference w:id="39"/>
      </w:r>
      <w:bookmarkEnd w:id="19"/>
      <w:r>
        <w:t>). Atvinnustarfsemin í þessum flokki tekur einnig til starfsemi tengdrar skógum í samræmi við skilgreiningu Matvæla- og landbúnaðarstofnunar SÞ á „</w:t>
      </w:r>
      <w:proofErr w:type="spellStart"/>
      <w:r>
        <w:t>endurræktun</w:t>
      </w:r>
      <w:proofErr w:type="spellEnd"/>
      <w:r>
        <w:t xml:space="preserve"> skóga“ (</w:t>
      </w:r>
      <w:bookmarkStart w:id="20" w:name="NOTE_39"/>
      <w:r>
        <w:rPr>
          <w:rStyle w:val="Tilvsunneanmlsgrein"/>
          <w:sz w:val="18"/>
          <w:szCs w:val="18"/>
        </w:rPr>
        <w:footnoteReference w:id="40"/>
      </w:r>
      <w:bookmarkEnd w:id="20"/>
      <w:r>
        <w:t>) og á „náttúrulega endurnýjaður skógur“ (</w:t>
      </w:r>
      <w:bookmarkStart w:id="21" w:name="NOTE_40"/>
      <w:r>
        <w:rPr>
          <w:rStyle w:val="Tilvsunneanmlsgrein"/>
          <w:sz w:val="18"/>
          <w:szCs w:val="18"/>
        </w:rPr>
        <w:footnoteReference w:id="41"/>
      </w:r>
      <w:bookmarkEnd w:id="21"/>
      <w:r>
        <w:t>) eftir aftakaviðburð ef aftakaviðburður er skilgreindur í landslögum og, ef landslög innihalda ekki slíka skilgreiningu, í samræmi við skilgreiningu milliríkjanefndarinnar um loftslagsbreytingar á veðurhamförum (</w:t>
      </w:r>
      <w:bookmarkStart w:id="22" w:name="NOTE_41"/>
      <w:r>
        <w:rPr>
          <w:rStyle w:val="Tilvsunneanmlsgrein"/>
          <w:sz w:val="18"/>
          <w:szCs w:val="18"/>
        </w:rPr>
        <w:footnoteReference w:id="42"/>
      </w:r>
      <w:bookmarkEnd w:id="22"/>
      <w:r>
        <w:t xml:space="preserve">) eða eftir gróðurelda ef gróðureldur er skilgreindur í landslögum og, ef landslög innihalda ekki slíka skilgreiningu, eins og skilgreint er í „European </w:t>
      </w:r>
      <w:proofErr w:type="spellStart"/>
      <w:r>
        <w:t>Glossary</w:t>
      </w:r>
      <w:proofErr w:type="spellEnd"/>
      <w:r>
        <w:t xml:space="preserve"> for </w:t>
      </w:r>
      <w:proofErr w:type="spellStart"/>
      <w:r>
        <w:t>wildfires</w:t>
      </w:r>
      <w:proofErr w:type="spellEnd"/>
      <w:r>
        <w:t xml:space="preserve"> </w:t>
      </w:r>
      <w:proofErr w:type="spellStart"/>
      <w:r>
        <w:t>and</w:t>
      </w:r>
      <w:proofErr w:type="spellEnd"/>
      <w:r>
        <w:t xml:space="preserve"> </w:t>
      </w:r>
      <w:proofErr w:type="spellStart"/>
      <w:r>
        <w:t>forest</w:t>
      </w:r>
      <w:proofErr w:type="spellEnd"/>
      <w:r>
        <w:t xml:space="preserve"> </w:t>
      </w:r>
      <w:proofErr w:type="spellStart"/>
      <w:r>
        <w:t>fires</w:t>
      </w:r>
      <w:proofErr w:type="spellEnd"/>
      <w:r>
        <w:t>“ (Evrópska orðaskráin yfir gróðurelda og skógarelda) (</w:t>
      </w:r>
      <w:bookmarkStart w:id="23" w:name="NOTE_42"/>
      <w:r>
        <w:rPr>
          <w:rStyle w:val="Tilvsunneanmlsgrein"/>
          <w:sz w:val="18"/>
          <w:szCs w:val="18"/>
        </w:rPr>
        <w:footnoteReference w:id="43"/>
      </w:r>
      <w:bookmarkEnd w:id="23"/>
      <w:r>
        <w:t>).</w:t>
      </w:r>
    </w:p>
    <w:p w14:paraId="0617696E" w14:textId="77777777" w:rsidR="007E0724" w:rsidRDefault="00C4775C">
      <w:pPr>
        <w:pStyle w:val="AnnexNormal"/>
        <w:ind w:left="500"/>
        <w:rPr>
          <w:szCs w:val="18"/>
        </w:rPr>
      </w:pPr>
      <w:r>
        <w:t>Atvinnustarfsemi í þessum flokki felur ekki í sér neina breytingu á landnotkun og á sér stað á hnignuðu landi sem svarar til skilgreiningar á skógi eins og sett er fram í landslögum eða, ef hún er ekki tiltæk, í samræmi við skilgreiningu Matvæla- og landbúnaðarstofnunar SÞ á skógi (</w:t>
      </w:r>
      <w:bookmarkStart w:id="24" w:name="NOTE_43"/>
      <w:r>
        <w:rPr>
          <w:rStyle w:val="Tilvsunneanmlsgrein"/>
          <w:sz w:val="18"/>
          <w:szCs w:val="18"/>
        </w:rPr>
        <w:footnoteReference w:id="44"/>
      </w:r>
      <w:bookmarkEnd w:id="24"/>
      <w:r>
        <w:t>).</w:t>
      </w:r>
    </w:p>
    <w:p w14:paraId="4B3444B4" w14:textId="77777777" w:rsidR="007E0724" w:rsidRDefault="00C4775C">
      <w:pPr>
        <w:pStyle w:val="AnnexNormal"/>
        <w:ind w:left="500"/>
      </w:pPr>
      <w:r>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02.20, þ.e. skógarhögg, 02.30, þ.e. söfnun afurða sem vaxa villtar en eru ekki tré og 02.40, þ.e. þjónustustarfsemi við skógrækt.</w:t>
      </w:r>
      <w:r>
        <w:br w:type="page"/>
      </w:r>
    </w:p>
    <w:p w14:paraId="2F3C7985" w14:textId="77777777" w:rsidR="007E0724" w:rsidRDefault="00C4775C">
      <w:pPr>
        <w:pStyle w:val="AnnexGrSeq3"/>
        <w:ind w:left="500"/>
        <w:jc w:val="left"/>
      </w:pPr>
      <w:r>
        <w:rPr>
          <w:i/>
        </w:rPr>
        <w:lastRenderedPageBreak/>
        <w:t>Tæknileg matsviðmið</w:t>
      </w:r>
    </w:p>
    <w:tbl>
      <w:tblPr>
        <w:tblStyle w:val="EFTATable"/>
        <w:tblW w:w="8728" w:type="dxa"/>
        <w:tblInd w:w="500" w:type="dxa"/>
        <w:tblLayout w:type="fixed"/>
        <w:tblLook w:val="04A0" w:firstRow="1" w:lastRow="0" w:firstColumn="1" w:lastColumn="0" w:noHBand="0" w:noVBand="1"/>
      </w:tblPr>
      <w:tblGrid>
        <w:gridCol w:w="2740"/>
        <w:gridCol w:w="5988"/>
      </w:tblGrid>
      <w:tr w:rsidR="007E0724" w14:paraId="53E09735" w14:textId="77777777">
        <w:trPr>
          <w:trHeight w:val="240"/>
        </w:trPr>
        <w:tc>
          <w:tcPr>
            <w:tcW w:w="8728" w:type="dxa"/>
            <w:gridSpan w:val="2"/>
            <w:tcBorders>
              <w:top w:val="single" w:sz="4" w:space="0" w:color="auto"/>
              <w:bottom w:val="single" w:sz="4" w:space="0" w:color="auto"/>
            </w:tcBorders>
            <w:tcMar>
              <w:left w:w="0" w:type="dxa"/>
              <w:right w:w="0" w:type="dxa"/>
            </w:tcMar>
          </w:tcPr>
          <w:p w14:paraId="3E0EABC6"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02EC028F" w14:textId="77777777">
        <w:trPr>
          <w:trHeight w:val="360"/>
        </w:trPr>
        <w:tc>
          <w:tcPr>
            <w:tcW w:w="8728" w:type="dxa"/>
            <w:gridSpan w:val="2"/>
            <w:tcBorders>
              <w:top w:val="single" w:sz="4" w:space="0" w:color="auto"/>
              <w:bottom w:val="nil"/>
            </w:tcBorders>
            <w:tcMar>
              <w:left w:w="0" w:type="dxa"/>
              <w:right w:w="0" w:type="dxa"/>
            </w:tcMar>
          </w:tcPr>
          <w:p w14:paraId="6A15A2A5" w14:textId="77777777" w:rsidR="007E0724" w:rsidRDefault="00C4775C">
            <w:pPr>
              <w:pStyle w:val="AnnexNumberedText"/>
              <w:spacing w:after="220"/>
              <w:ind w:left="279" w:hanging="279"/>
              <w:rPr>
                <w:szCs w:val="18"/>
              </w:rPr>
            </w:pPr>
            <w:r>
              <w:t>1.</w:t>
            </w:r>
            <w:r>
              <w:rPr>
                <w:i/>
              </w:rPr>
              <w:tab/>
              <w:t xml:space="preserve">Skógarstjórnunaráætlun eða jafngildur </w:t>
            </w:r>
            <w:proofErr w:type="spellStart"/>
            <w:r>
              <w:rPr>
                <w:i/>
              </w:rPr>
              <w:t>gerningur</w:t>
            </w:r>
            <w:proofErr w:type="spellEnd"/>
          </w:p>
          <w:p w14:paraId="5B0D7E57" w14:textId="77777777" w:rsidR="007E0724" w:rsidRDefault="00C4775C">
            <w:pPr>
              <w:pStyle w:val="AnnexNumberedText"/>
              <w:tabs>
                <w:tab w:val="left" w:pos="508"/>
              </w:tabs>
              <w:spacing w:after="220"/>
              <w:ind w:left="0" w:firstLine="0"/>
              <w:rPr>
                <w:szCs w:val="18"/>
              </w:rPr>
            </w:pPr>
            <w:r>
              <w:t>1.1.</w:t>
            </w:r>
            <w:r>
              <w:tab/>
              <w:t xml:space="preserve">Starfsemin fer fram á svæði sem fellur undir skógarstjórnunaráætlun eða jafngildan </w:t>
            </w:r>
            <w:proofErr w:type="spellStart"/>
            <w:r>
              <w:t>gerning</w:t>
            </w:r>
            <w:proofErr w:type="spellEnd"/>
            <w:r>
              <w:t xml:space="preserve">, eins og sett er fram í landslögum eða, ef ekki er skilgreining á skógarstjórnunaráætlun eða jafngildum </w:t>
            </w:r>
            <w:proofErr w:type="spellStart"/>
            <w:r>
              <w:t>gerningi</w:t>
            </w:r>
            <w:proofErr w:type="spellEnd"/>
            <w:r>
              <w:t xml:space="preserve"> í landslögum, eins og um getur í skilgreiningu Matvæla- og landbúnaðarstofnunar SÞ á „skógarsvæði með skógarstjórnunaráætlun til langs tíma“ (</w:t>
            </w:r>
            <w:r>
              <w:rPr>
                <w:rStyle w:val="Tilvsunneanmlsgrein"/>
                <w:sz w:val="18"/>
                <w:szCs w:val="18"/>
              </w:rPr>
              <w:footnoteReference w:id="45"/>
            </w:r>
            <w:r>
              <w:t>).</w:t>
            </w:r>
          </w:p>
          <w:p w14:paraId="2FB4A6C0" w14:textId="77777777" w:rsidR="007E0724" w:rsidRDefault="00C4775C">
            <w:pPr>
              <w:pStyle w:val="AnnexTableCellLeft"/>
              <w:spacing w:after="220"/>
              <w:rPr>
                <w:szCs w:val="18"/>
              </w:rPr>
            </w:pPr>
            <w:r>
              <w:t xml:space="preserve">Skógarstjórnunaráætlun, eða jafngildur </w:t>
            </w:r>
            <w:proofErr w:type="spellStart"/>
            <w:r>
              <w:t>gerningur</w:t>
            </w:r>
            <w:proofErr w:type="spellEnd"/>
            <w:r>
              <w:t>, nær yfir 10 ára tímabil eða meira og er uppfærð samfellt.</w:t>
            </w:r>
          </w:p>
          <w:p w14:paraId="406DD0BE" w14:textId="77777777" w:rsidR="007E0724" w:rsidRDefault="00C4775C">
            <w:pPr>
              <w:pStyle w:val="AnnexNumberedText"/>
              <w:tabs>
                <w:tab w:val="left" w:pos="508"/>
              </w:tabs>
              <w:spacing w:after="220"/>
              <w:ind w:left="0" w:firstLine="0"/>
              <w:rPr>
                <w:szCs w:val="18"/>
              </w:rPr>
            </w:pPr>
            <w:r>
              <w:t>1.2.</w:t>
            </w:r>
            <w:r>
              <w:tab/>
              <w:t>Upplýsingar eru veittar um eftirfarandi liði sem ekki eru þegar skjalfestir í skógarstjórnunaráætluninni eða jafngildu kerfi:</w:t>
            </w:r>
          </w:p>
          <w:p w14:paraId="4FEDDD51" w14:textId="77777777" w:rsidR="007E0724" w:rsidRDefault="00C4775C">
            <w:pPr>
              <w:pStyle w:val="AnnexNumberedText"/>
              <w:spacing w:after="220"/>
              <w:rPr>
                <w:szCs w:val="18"/>
              </w:rPr>
            </w:pPr>
            <w:r>
              <w:t>a)</w:t>
            </w:r>
            <w:r>
              <w:tab/>
              <w:t>stjórnunarmarkmið, þ.m.t. meiriháttar hindranir (</w:t>
            </w:r>
            <w:r>
              <w:rPr>
                <w:rStyle w:val="Tilvsunneanmlsgrein"/>
                <w:sz w:val="18"/>
                <w:szCs w:val="18"/>
              </w:rPr>
              <w:footnoteReference w:id="46"/>
            </w:r>
            <w:r>
              <w:t>),</w:t>
            </w:r>
          </w:p>
          <w:p w14:paraId="73505386" w14:textId="77777777" w:rsidR="007E0724" w:rsidRDefault="00C4775C">
            <w:pPr>
              <w:pStyle w:val="AnnexNumberedText"/>
              <w:spacing w:after="220"/>
              <w:rPr>
                <w:szCs w:val="18"/>
              </w:rPr>
            </w:pPr>
            <w:r>
              <w:t>b)</w:t>
            </w:r>
            <w:r>
              <w:tab/>
              <w:t>almennar stefnuáætlanir og fyrirhuguð starfsemi til að ná stjórnunarmarkmiðunum, þ.m.t. væntanlegar aðgerðir yfir alla skógræktarhringrásina,</w:t>
            </w:r>
          </w:p>
          <w:p w14:paraId="6BA1397B" w14:textId="77777777" w:rsidR="007E0724" w:rsidRDefault="00C4775C">
            <w:pPr>
              <w:pStyle w:val="AnnexNumberedText"/>
              <w:spacing w:after="220"/>
              <w:rPr>
                <w:szCs w:val="18"/>
              </w:rPr>
            </w:pPr>
            <w:r>
              <w:t>c)</w:t>
            </w:r>
            <w:r>
              <w:tab/>
              <w:t>skilgreining á búsvæðalegu samhengi skógarins, þ.m.t. helstu trjátegundir sem fyrir eru og fyrirhugaðar og umfang þeirra og dreifing,</w:t>
            </w:r>
          </w:p>
          <w:p w14:paraId="232722FD" w14:textId="77777777" w:rsidR="007E0724" w:rsidRDefault="00C4775C">
            <w:pPr>
              <w:pStyle w:val="AnnexNumberedText"/>
              <w:spacing w:after="220"/>
              <w:rPr>
                <w:szCs w:val="18"/>
              </w:rPr>
            </w:pPr>
            <w:r>
              <w:t>d)</w:t>
            </w:r>
            <w:r>
              <w:tab/>
              <w:t>skilgreining á svæðinu samkvæmt færslu þar um í landskránni,</w:t>
            </w:r>
          </w:p>
          <w:p w14:paraId="2F760EC4" w14:textId="77777777" w:rsidR="007E0724" w:rsidRDefault="00C4775C">
            <w:pPr>
              <w:pStyle w:val="AnnexNumberedText"/>
              <w:spacing w:after="220"/>
              <w:rPr>
                <w:szCs w:val="18"/>
              </w:rPr>
            </w:pPr>
            <w:r>
              <w:t>e)</w:t>
            </w:r>
            <w:r>
              <w:tab/>
              <w:t>hólf, vegir, athafnaréttur og annar almennur aðgangur, efnislegir þættir, þ.m.t. vatnaleiðir, svæði sem falla undir lagalegar takmarkanir og aðrar takmarkanir,</w:t>
            </w:r>
          </w:p>
          <w:p w14:paraId="5F213A49" w14:textId="77777777" w:rsidR="007E0724" w:rsidRDefault="00C4775C">
            <w:pPr>
              <w:pStyle w:val="AnnexNumberedText"/>
              <w:spacing w:after="220"/>
              <w:rPr>
                <w:szCs w:val="18"/>
              </w:rPr>
            </w:pPr>
            <w:r>
              <w:t>f)</w:t>
            </w:r>
            <w:r>
              <w:tab/>
              <w:t>ráðstafanir sem eru innleiddar til að viðhalda góðu ásigkomulagi skógarvistkerfa,</w:t>
            </w:r>
          </w:p>
          <w:p w14:paraId="18C5EE7E" w14:textId="77777777" w:rsidR="007E0724" w:rsidRDefault="00C4775C">
            <w:pPr>
              <w:pStyle w:val="AnnexNumberedText"/>
              <w:spacing w:after="220"/>
              <w:rPr>
                <w:szCs w:val="18"/>
              </w:rPr>
            </w:pPr>
            <w:r>
              <w:t>g)</w:t>
            </w:r>
            <w:r>
              <w:tab/>
              <w:t>tillit tekið til samfélagslegra málefna (þ.m.t. varðveisla landslags, samráð við hagsmunaaðila í samræmi við skilmála og skilyrði sem mælt er fyrir um í landslögum),</w:t>
            </w:r>
          </w:p>
          <w:p w14:paraId="7C5B27CB" w14:textId="77777777" w:rsidR="007E0724" w:rsidRDefault="00C4775C">
            <w:pPr>
              <w:pStyle w:val="AnnexNumberedText"/>
              <w:spacing w:after="220"/>
              <w:rPr>
                <w:szCs w:val="18"/>
              </w:rPr>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501296A6" w14:textId="77777777" w:rsidR="007E0724" w:rsidRDefault="00C4775C">
            <w:pPr>
              <w:pStyle w:val="AnnexNumberedText"/>
              <w:spacing w:after="220"/>
              <w:rPr>
                <w:szCs w:val="18"/>
              </w:rPr>
            </w:pPr>
            <w:r>
              <w:t>i)</w:t>
            </w:r>
            <w:r>
              <w:tab/>
              <w:t>allar viðmiðanir um að valda ekki umtalsverðu tjóni sem skipta máli fyrir stjórnun skóga.</w:t>
            </w:r>
          </w:p>
          <w:p w14:paraId="742A3A8A" w14:textId="77777777" w:rsidR="007E0724" w:rsidRDefault="00C4775C">
            <w:pPr>
              <w:pStyle w:val="AnnexNumberedText"/>
              <w:tabs>
                <w:tab w:val="left" w:pos="508"/>
              </w:tabs>
              <w:spacing w:after="220"/>
              <w:ind w:left="0" w:firstLine="0"/>
              <w:rPr>
                <w:szCs w:val="18"/>
              </w:rPr>
            </w:pPr>
            <w:r>
              <w:t>1.3.</w:t>
            </w:r>
            <w:r>
              <w:tab/>
              <w:t>Sjálfbærni skógarstjórnunarkerfanna, eins og skjalfest er í áætluninni sem um getur í lið 1.1, er tryggð með því að velja metnaðarfyllstu aðferðina af eftirfarandi:</w:t>
            </w:r>
          </w:p>
          <w:p w14:paraId="1314B0FA" w14:textId="77777777" w:rsidR="007E0724" w:rsidRDefault="00C4775C">
            <w:pPr>
              <w:pStyle w:val="AnnexNumberedText"/>
              <w:spacing w:after="220"/>
              <w:rPr>
                <w:szCs w:val="18"/>
              </w:rPr>
            </w:pPr>
            <w:r>
              <w:t>a)</w:t>
            </w:r>
            <w:r>
              <w:tab/>
              <w:t>skógarstjórnunin samsvarar gildandi landsbundinni skilgreiningu á sjálfbærri skógarstjórnun,</w:t>
            </w:r>
          </w:p>
          <w:p w14:paraId="1BD62F94" w14:textId="77777777" w:rsidR="007E0724" w:rsidRDefault="00C4775C">
            <w:pPr>
              <w:pStyle w:val="AnnexNumberedText"/>
              <w:spacing w:after="0"/>
            </w:pPr>
            <w:r>
              <w:t>b)</w:t>
            </w:r>
            <w:r>
              <w:tab/>
              <w:t>skógarstjórnunin samsvarar skilgreiningu á sjálfbærri skógarstjórnun skóga í Evrópu (</w:t>
            </w:r>
            <w:r>
              <w:rPr>
                <w:rStyle w:val="Tilvsunneanmlsgrein"/>
                <w:sz w:val="18"/>
                <w:szCs w:val="18"/>
              </w:rPr>
              <w:footnoteReference w:id="47"/>
            </w:r>
            <w:r>
              <w:t xml:space="preserve">) og er í samræmi við </w:t>
            </w:r>
            <w:proofErr w:type="spellStart"/>
            <w:r>
              <w:t>samevrópskar</w:t>
            </w:r>
            <w:proofErr w:type="spellEnd"/>
            <w:r>
              <w:t xml:space="preserve"> leiðbeiningar vegna aðgerða á sviði sjálfbærrar skógarstjórnunar (</w:t>
            </w:r>
            <w:r>
              <w:rPr>
                <w:rStyle w:val="Tilvsunneanmlsgrein"/>
                <w:sz w:val="18"/>
                <w:szCs w:val="18"/>
              </w:rPr>
              <w:footnoteReference w:id="48"/>
            </w:r>
            <w:r>
              <w:t>),</w:t>
            </w:r>
          </w:p>
        </w:tc>
      </w:tr>
      <w:tr w:rsidR="007E0724" w14:paraId="386BCC51" w14:textId="77777777">
        <w:trPr>
          <w:trHeight w:val="360"/>
        </w:trPr>
        <w:tc>
          <w:tcPr>
            <w:tcW w:w="8728" w:type="dxa"/>
            <w:gridSpan w:val="2"/>
            <w:tcBorders>
              <w:top w:val="nil"/>
              <w:bottom w:val="nil"/>
            </w:tcBorders>
            <w:tcMar>
              <w:left w:w="0" w:type="dxa"/>
              <w:right w:w="0" w:type="dxa"/>
            </w:tcMar>
          </w:tcPr>
          <w:p w14:paraId="332AC77F" w14:textId="77777777" w:rsidR="007E0724" w:rsidRDefault="00C4775C">
            <w:pPr>
              <w:pStyle w:val="AnnexNumberedText"/>
              <w:pageBreakBefore/>
              <w:spacing w:after="280"/>
            </w:pPr>
            <w:r>
              <w:lastRenderedPageBreak/>
              <w:t>c)</w:t>
            </w:r>
            <w:r>
              <w:tab/>
              <w:t xml:space="preserve">stjórnunarkerfið sem er til staðar er í samræmi við viðmiðanir um sjálfbærni skóga sem mælt er fyrir um í 6. mgr. 29. gr. tilskipunar (ESB) 2018/2001 og, frá og með gildistökudegi hennar, við framkvæmdargerðina um </w:t>
            </w:r>
            <w:proofErr w:type="spellStart"/>
            <w:r>
              <w:t>rekstrarlegar</w:t>
            </w:r>
            <w:proofErr w:type="spellEnd"/>
            <w:r>
              <w:t xml:space="preserve"> leiðbeiningar um orku frá lífmassa úr skógi sem var samþykkt skv. 8. mgr. 29. gr. þeirrar tilskipunar.</w:t>
            </w:r>
          </w:p>
          <w:p w14:paraId="0B3418AD" w14:textId="77777777" w:rsidR="007E0724" w:rsidRDefault="00C4775C">
            <w:pPr>
              <w:pStyle w:val="AnnexNumberedText"/>
              <w:tabs>
                <w:tab w:val="left" w:pos="508"/>
              </w:tabs>
              <w:spacing w:after="280"/>
              <w:ind w:left="0" w:firstLine="0"/>
              <w:rPr>
                <w:szCs w:val="18"/>
              </w:rPr>
            </w:pPr>
            <w:r>
              <w:t>1.4.</w:t>
            </w:r>
            <w:r>
              <w:tab/>
              <w:t>Starfsemin felur ekki í sér hnignun lands með miklar kolefnisbirgðir (</w:t>
            </w:r>
            <w:r>
              <w:rPr>
                <w:rStyle w:val="Tilvsunneanmlsgrein"/>
                <w:sz w:val="18"/>
                <w:szCs w:val="18"/>
              </w:rPr>
              <w:footnoteReference w:id="49"/>
            </w:r>
            <w:r>
              <w:t>).</w:t>
            </w:r>
          </w:p>
          <w:p w14:paraId="68A35E8A" w14:textId="77777777" w:rsidR="007E0724" w:rsidRDefault="00C4775C">
            <w:pPr>
              <w:pStyle w:val="AnnexNumberedText"/>
              <w:tabs>
                <w:tab w:val="left" w:pos="508"/>
              </w:tabs>
              <w:spacing w:after="280"/>
              <w:ind w:left="0" w:firstLine="0"/>
            </w:pPr>
            <w:r>
              <w:t>1.5.</w:t>
            </w:r>
            <w:r>
              <w:tab/>
              <w:t>Stjórnunarkerfið sem tengist starfseminni sem er til staðar er í samræmi við skylduna um áreiðanleika og lagalegar kröfur sem mælt er fyrir um í reglugerð (ESB) nr. 995/2010.</w:t>
            </w:r>
          </w:p>
          <w:p w14:paraId="5E6ECF17" w14:textId="77777777" w:rsidR="007E0724" w:rsidRDefault="00C4775C">
            <w:pPr>
              <w:pStyle w:val="AnnexNumberedText"/>
              <w:tabs>
                <w:tab w:val="left" w:pos="508"/>
              </w:tabs>
              <w:spacing w:after="280"/>
              <w:ind w:left="0" w:firstLine="0"/>
            </w:pPr>
            <w:r>
              <w:t>1.6.</w:t>
            </w:r>
            <w:r>
              <w:tab/>
              <w:t xml:space="preserve">Í skógarstjórnunaráætluninni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p w14:paraId="5C0B81F7" w14:textId="77777777" w:rsidR="007E0724" w:rsidRDefault="00C4775C">
            <w:pPr>
              <w:pStyle w:val="AnnexNumberedText"/>
              <w:spacing w:after="280"/>
              <w:ind w:left="360" w:hanging="360"/>
            </w:pPr>
            <w:r>
              <w:t>2.</w:t>
            </w:r>
            <w:r>
              <w:rPr>
                <w:i/>
              </w:rPr>
              <w:tab/>
              <w:t>Greining á loftslagsávinningi</w:t>
            </w:r>
          </w:p>
          <w:p w14:paraId="4085CE0D" w14:textId="77777777" w:rsidR="007E0724" w:rsidRDefault="00C4775C">
            <w:pPr>
              <w:pStyle w:val="AnnexNumberedText"/>
              <w:tabs>
                <w:tab w:val="left" w:pos="508"/>
              </w:tabs>
              <w:spacing w:after="280"/>
              <w:ind w:left="0" w:firstLine="0"/>
            </w:pPr>
            <w:r>
              <w:t>2.1.</w:t>
            </w:r>
            <w:r>
              <w:tab/>
              <w:t xml:space="preserve">Að því er varðar svæði sem uppfylla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683EA316" w14:textId="77777777" w:rsidR="007E0724" w:rsidRDefault="00C4775C">
            <w:pPr>
              <w:pStyle w:val="AnnexNumberedText"/>
              <w:spacing w:after="280"/>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46035F14" w14:textId="77777777" w:rsidR="007E0724" w:rsidRDefault="00C4775C">
            <w:pPr>
              <w:pStyle w:val="AnnexNumberedText"/>
              <w:spacing w:after="280"/>
            </w:pPr>
            <w:r>
              <w:t>b)</w:t>
            </w:r>
            <w:r>
              <w:tab/>
              <w:t xml:space="preserve">talið er að sýnt sé fram á langtíma loftslagsávinning með sönnun um samræmi við </w:t>
            </w:r>
            <w:proofErr w:type="spellStart"/>
            <w:r>
              <w:t>b-lið</w:t>
            </w:r>
            <w:proofErr w:type="spellEnd"/>
            <w:r>
              <w:t xml:space="preserve"> 7. mgr. 29. gr. tilskipunar (ESB) 2018/2001.</w:t>
            </w:r>
          </w:p>
          <w:p w14:paraId="0A63652D" w14:textId="77777777" w:rsidR="007E0724" w:rsidRDefault="00C4775C">
            <w:pPr>
              <w:pStyle w:val="AnnexNumberedText"/>
              <w:tabs>
                <w:tab w:val="left" w:pos="508"/>
              </w:tabs>
              <w:spacing w:after="280"/>
              <w:ind w:left="0" w:firstLine="0"/>
            </w:pPr>
            <w:r>
              <w:t>2.2.</w:t>
            </w:r>
            <w:r>
              <w:tab/>
              <w:t xml:space="preserve">Að því er varðar svæði sem uppfylla ekki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222D19D6" w14:textId="77777777" w:rsidR="007E0724" w:rsidRDefault="00C4775C">
            <w:pPr>
              <w:pStyle w:val="AnnexNumberedText"/>
              <w:spacing w:after="280"/>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3744D9D8" w14:textId="77777777" w:rsidR="007E0724" w:rsidRDefault="00C4775C">
            <w:pPr>
              <w:pStyle w:val="AnnexNumberedText"/>
              <w:spacing w:after="280"/>
            </w:pPr>
            <w:r>
              <w:t>b)</w:t>
            </w:r>
            <w:r>
              <w:tab/>
              <w:t xml:space="preserve">framreiknað langtímameðaltal </w:t>
            </w:r>
            <w:proofErr w:type="spellStart"/>
            <w:r>
              <w:t>nettójöfnuðar</w:t>
            </w:r>
            <w:proofErr w:type="spellEnd"/>
            <w:r>
              <w:t xml:space="preserve"> gróðurhúsalofttegunda af starfseminni er lægra en langtímameðaltal </w:t>
            </w:r>
            <w:proofErr w:type="spellStart"/>
            <w:r>
              <w:t>nettójöfnuðar</w:t>
            </w:r>
            <w:proofErr w:type="spellEnd"/>
            <w:r>
              <w:t xml:space="preserve"> gróðurhúsalofttegunda sem var framreiknað fyrir grunnástandið, sem um getur í lið 2.2, þar sem „langtíma“ samsvarar lengri tíma á milli 100 ára og lengdar heillar skógræktarhringrásar.</w:t>
            </w:r>
          </w:p>
          <w:p w14:paraId="676608A9" w14:textId="77777777" w:rsidR="007E0724" w:rsidRDefault="00C4775C">
            <w:pPr>
              <w:pStyle w:val="AnnexNumberedText"/>
              <w:tabs>
                <w:tab w:val="left" w:pos="508"/>
              </w:tabs>
              <w:spacing w:after="280"/>
              <w:ind w:left="0" w:firstLine="0"/>
            </w:pPr>
            <w:r>
              <w:t>2.3.</w:t>
            </w:r>
            <w:r>
              <w:tab/>
              <w:t>Útreikningur á loftslagsávinningi uppfyllir allar eftirfarandi viðmiðanir:</w:t>
            </w:r>
          </w:p>
          <w:p w14:paraId="50672963" w14:textId="77777777" w:rsidR="007E0724" w:rsidRDefault="00C4775C">
            <w:pPr>
              <w:pStyle w:val="AnnexNumberedText"/>
              <w:spacing w:after="280"/>
            </w:pPr>
            <w:r>
              <w:t>a)</w:t>
            </w:r>
            <w:r>
              <w:tab/>
              <w:t>greiningin er í samræmi við lagfæringar frá árinu 2019 á leiðbeiningum milliríkjanefndarinnar um loftslagsbreytingar (IPCC) um landsbókhald yfir gróðurhúsalofttegundir frá 2006 (</w:t>
            </w:r>
            <w:r>
              <w:rPr>
                <w:rStyle w:val="Tilvsunneanmlsgrein"/>
                <w:sz w:val="18"/>
                <w:szCs w:val="18"/>
              </w:rPr>
              <w:footnoteReference w:id="50"/>
            </w:r>
            <w:r>
              <w:t xml:space="preserve">). Greining á loftslagsávinningi er byggð á gagnsæjum, réttum, samkvæmum, heildstæðum og samanburðarhæfum upplýsingum, nær yfir alla kolefnisgeyma sem verða fyrir áhrifum af starfseminni, þ.m.t. lífmassi ofanjarðar, lífmassi neðanjarðar, dauður viður, rusl og jarðvegur, stuðst er við varfærnustu forsendur fyrir útreikningunum og hún inniheldur viðeigandi sjónarmið varðandi áhættuna af að kolefnisbinding verði ekki varanleg og snúist við, áhættu á </w:t>
            </w:r>
            <w:proofErr w:type="spellStart"/>
            <w:r>
              <w:t>mettun</w:t>
            </w:r>
            <w:proofErr w:type="spellEnd"/>
            <w:r>
              <w:t xml:space="preserve"> og áhættu á leka.</w:t>
            </w:r>
          </w:p>
          <w:p w14:paraId="20ABADAF" w14:textId="77777777" w:rsidR="007E0724" w:rsidRDefault="00C4775C">
            <w:pPr>
              <w:pStyle w:val="AnnexNumberedText"/>
            </w:pPr>
            <w:r>
              <w:t>b)</w:t>
            </w:r>
            <w:r>
              <w:tab/>
              <w:t>aðferðir sem notaðar eru við óbreyttar aðstæður, þ.m.t. aðferðir við nýtingu, eru einhverjar af eftirfarandi:</w:t>
            </w:r>
          </w:p>
          <w:p w14:paraId="7532C992" w14:textId="77777777" w:rsidR="007E0724" w:rsidRDefault="00C4775C">
            <w:pPr>
              <w:pStyle w:val="AnnexNumberedText"/>
              <w:tabs>
                <w:tab w:val="right" w:pos="1096"/>
              </w:tabs>
              <w:spacing w:after="0"/>
              <w:ind w:left="600"/>
            </w:pPr>
            <w:r>
              <w:lastRenderedPageBreak/>
              <w:t>i.</w:t>
            </w:r>
            <w:r>
              <w:tab/>
              <w:t xml:space="preserve">stjórnunarvenjur eins og skjalfestar eru í nýjustu útgáfunni af skógarstjórnunaráætluninni eða jafngildum </w:t>
            </w:r>
            <w:proofErr w:type="spellStart"/>
            <w:r>
              <w:t>gerningi</w:t>
            </w:r>
            <w:proofErr w:type="spellEnd"/>
            <w:r>
              <w:t xml:space="preserve"> áður en starfsemin hefst, ef einhverjar eru,</w:t>
            </w:r>
          </w:p>
        </w:tc>
      </w:tr>
      <w:tr w:rsidR="007E0724" w14:paraId="0AEAD021" w14:textId="77777777">
        <w:trPr>
          <w:trHeight w:val="360"/>
        </w:trPr>
        <w:tc>
          <w:tcPr>
            <w:tcW w:w="8728" w:type="dxa"/>
            <w:gridSpan w:val="2"/>
            <w:tcBorders>
              <w:top w:val="nil"/>
              <w:bottom w:val="nil"/>
            </w:tcBorders>
            <w:tcMar>
              <w:left w:w="0" w:type="dxa"/>
              <w:right w:w="0" w:type="dxa"/>
            </w:tcMar>
          </w:tcPr>
          <w:p w14:paraId="1A8A1705" w14:textId="77777777" w:rsidR="007E0724" w:rsidRDefault="00C4775C">
            <w:pPr>
              <w:pStyle w:val="AnnexNumberedText"/>
              <w:tabs>
                <w:tab w:val="right" w:pos="1096"/>
              </w:tabs>
              <w:spacing w:after="200"/>
              <w:ind w:left="600"/>
            </w:pPr>
            <w:r>
              <w:lastRenderedPageBreak/>
              <w:t>ii.</w:t>
            </w:r>
            <w:r>
              <w:tab/>
              <w:t>aðferðir sem síðast eru notaðar við óbreyttar aðstæður áður en starfsemin hefst,</w:t>
            </w:r>
          </w:p>
          <w:p w14:paraId="3EA1DB41" w14:textId="77777777" w:rsidR="007E0724" w:rsidRDefault="00C4775C">
            <w:pPr>
              <w:pStyle w:val="AnnexNumberedText"/>
              <w:tabs>
                <w:tab w:val="right" w:pos="1096"/>
              </w:tabs>
              <w:spacing w:after="200"/>
              <w:ind w:left="600"/>
            </w:pPr>
            <w:r>
              <w:t>iii.</w:t>
            </w:r>
            <w:r>
              <w:tab/>
              <w:t xml:space="preserve">starfsvenjur sem samsvara stjórnunarkerfi sem tryggir að kolefnisbirgðum og -viðtökum á skógarsvæðinu sé viðhaldið eða þau efld til langs tíma eins og sett er fram í </w:t>
            </w:r>
            <w:proofErr w:type="spellStart"/>
            <w:r>
              <w:t>b-lið</w:t>
            </w:r>
            <w:proofErr w:type="spellEnd"/>
            <w:r>
              <w:t xml:space="preserve"> 7. mgr. 29. gr. tilskipunar (ESB) 2018/2001,</w:t>
            </w:r>
          </w:p>
          <w:p w14:paraId="62652E8B" w14:textId="77777777" w:rsidR="007E0724" w:rsidRDefault="00C4775C">
            <w:pPr>
              <w:pStyle w:val="AnnexNumberedText"/>
              <w:spacing w:after="200"/>
            </w:pPr>
            <w:r>
              <w:t>c)</w:t>
            </w:r>
            <w:r>
              <w:tab/>
              <w:t>úrlausnin í greiningunni er í réttu hlutfalli við stærð hlutaðeigandi svæðis og notuð eru gildi sem eru sértæk fyrir hlutaðeigandi svæði,</w:t>
            </w:r>
          </w:p>
          <w:p w14:paraId="5EB773D8" w14:textId="77777777" w:rsidR="007E0724" w:rsidRDefault="00C4775C">
            <w:pPr>
              <w:pStyle w:val="AnnexNumberedText"/>
              <w:spacing w:after="200"/>
            </w:pPr>
            <w:r>
              <w:t>d)</w:t>
            </w:r>
            <w:r>
              <w:tab/>
              <w:t xml:space="preserve">losun og upptaka sem verða vegna náttúrulegra raskana, s.s. vegna ásóknar </w:t>
            </w:r>
            <w:proofErr w:type="spellStart"/>
            <w:r>
              <w:t>skaðvalda</w:t>
            </w:r>
            <w:proofErr w:type="spellEnd"/>
            <w:r>
              <w:t xml:space="preserve"> og sjúkdóma, skógarelda, vinds og fokskemmda, sem hafa áhrif á svæðið og valda ófullnægjandi frammistöðu, leiða ekki til þess að ákvæðin í reglugerð (ESB) 2020/852 séu ekki uppfyllt að því tilskildu að greiningin á loftslagsávinningi sé í samræmi við lagfæringarnar frá árinu 2019 á leiðbeiningum milliríkjanefndarinnar um loftslagsbreytingar (IPCC) um landsbókhald yfir gróðurhúsalofttegundir frá 2006 að því er varðar losun og upptöku vegna náttúrulegra raskana.</w:t>
            </w:r>
          </w:p>
          <w:p w14:paraId="3EE40E25" w14:textId="77777777" w:rsidR="007E0724" w:rsidRDefault="00C4775C">
            <w:pPr>
              <w:pStyle w:val="AnnexNumberedText"/>
              <w:tabs>
                <w:tab w:val="left" w:pos="508"/>
              </w:tabs>
              <w:spacing w:after="200"/>
              <w:ind w:left="0" w:firstLine="0"/>
            </w:pPr>
            <w:r>
              <w:t>2.4.</w:t>
            </w:r>
            <w:r>
              <w:tab/>
              <w:t>Skógræktarbúum sem eru minni en 13 hektarar ber ekki skylda til að framkvæma greiningu á loftslagsávinningi.</w:t>
            </w:r>
          </w:p>
          <w:p w14:paraId="4DFF71C4" w14:textId="77777777" w:rsidR="007E0724" w:rsidRDefault="00C4775C">
            <w:pPr>
              <w:pStyle w:val="AnnexNumberedText"/>
              <w:spacing w:after="200"/>
              <w:ind w:left="360" w:hanging="360"/>
            </w:pPr>
            <w:r>
              <w:t>3.</w:t>
            </w:r>
            <w:r>
              <w:rPr>
                <w:i/>
              </w:rPr>
              <w:tab/>
              <w:t>Trygging fyrir varanleika</w:t>
            </w:r>
          </w:p>
          <w:p w14:paraId="5BBC3B40" w14:textId="77777777" w:rsidR="007E0724" w:rsidRDefault="00C4775C">
            <w:pPr>
              <w:pStyle w:val="AnnexNumberedText"/>
              <w:tabs>
                <w:tab w:val="left" w:pos="508"/>
              </w:tabs>
              <w:spacing w:after="200"/>
              <w:ind w:left="0" w:firstLine="0"/>
            </w:pPr>
            <w:r>
              <w:t>3.1.</w:t>
            </w:r>
            <w:r>
              <w:tab/>
              <w:t>Í samræmi við landslög er staða skógarins á svæðinu þar sem starfsemin fer fram tryggð með einni af eftirfarandi ráðstöfunum:</w:t>
            </w:r>
          </w:p>
          <w:p w14:paraId="5F39F84A" w14:textId="77777777" w:rsidR="007E0724" w:rsidRDefault="00C4775C">
            <w:pPr>
              <w:pStyle w:val="AnnexNumberedText"/>
              <w:spacing w:after="200"/>
              <w:rPr>
                <w:szCs w:val="18"/>
              </w:rPr>
            </w:pPr>
            <w:r>
              <w:t>a)</w:t>
            </w:r>
            <w:r>
              <w:tab/>
              <w:t>svæðið er flokkað sem varanlegur skógur samkvæmt skilgreiningu Matvæla- og landbúnaðarstofnunar SÞ (</w:t>
            </w:r>
            <w:r>
              <w:rPr>
                <w:rStyle w:val="Tilvsunneanmlsgrein"/>
                <w:sz w:val="18"/>
                <w:szCs w:val="18"/>
              </w:rPr>
              <w:footnoteReference w:id="51"/>
            </w:r>
            <w:r>
              <w:t>),</w:t>
            </w:r>
          </w:p>
          <w:p w14:paraId="4DF71A41" w14:textId="77777777" w:rsidR="007E0724" w:rsidRDefault="00C4775C">
            <w:pPr>
              <w:pStyle w:val="AnnexNumberedText"/>
              <w:spacing w:after="200"/>
            </w:pPr>
            <w:r>
              <w:t>b)</w:t>
            </w:r>
            <w:r>
              <w:tab/>
              <w:t>svæðið er flokkað sem verndað svæði,</w:t>
            </w:r>
          </w:p>
          <w:p w14:paraId="1BB7149F" w14:textId="77777777" w:rsidR="007E0724" w:rsidRDefault="00C4775C">
            <w:pPr>
              <w:pStyle w:val="AnnexNumberedText"/>
              <w:spacing w:after="200"/>
            </w:pPr>
            <w:r>
              <w:t>c)</w:t>
            </w:r>
            <w:r>
              <w:tab/>
              <w:t>svæðið fellur undir lagalega eða samningsbundna ábyrgð sem tryggir að það verði áfram skógur.</w:t>
            </w:r>
          </w:p>
          <w:p w14:paraId="599EC58B" w14:textId="77777777" w:rsidR="007E0724" w:rsidRDefault="00C4775C">
            <w:pPr>
              <w:pStyle w:val="AnnexNumberedText"/>
              <w:tabs>
                <w:tab w:val="left" w:pos="508"/>
              </w:tabs>
              <w:spacing w:after="200"/>
              <w:ind w:left="0" w:firstLine="0"/>
            </w:pPr>
            <w:r>
              <w:t>3.2.</w:t>
            </w:r>
            <w:r>
              <w:tab/>
              <w:t xml:space="preserve">Í samræmi við landslög skuldbindur rekstraraðili starfseminnar sig til þess að í framtíðaruppfærslum á skógarstjórnunaráætlun eða jafngildum </w:t>
            </w:r>
            <w:proofErr w:type="spellStart"/>
            <w:r>
              <w:t>gerningi</w:t>
            </w:r>
            <w:proofErr w:type="spellEnd"/>
            <w:r>
              <w:t>, fyrir utan starfsemina sem er fjármögnuð, verði áfram keppt að loftslagsávinningi eins og ákvarðað er í 2. lið. Að auki skuldbindur rekstraraðili starfseminnar sig til þess að bæta upp hvers konar samdrátt í loftslagsávinningi, sem er ákvarðaður í 2. lið, með jafngildum loftslagsávinningi sem leiðir af því að stunda starfsemi sem svarar til einhverrar af þeirri starfsemi tengdrar skógrækt sem er skilgreind í þessari reglugerð.</w:t>
            </w:r>
          </w:p>
          <w:p w14:paraId="3B0D3EA9" w14:textId="77777777" w:rsidR="007E0724" w:rsidRDefault="00C4775C">
            <w:pPr>
              <w:pStyle w:val="AnnexNumberedText"/>
              <w:spacing w:after="200"/>
              <w:ind w:left="360" w:hanging="360"/>
            </w:pPr>
            <w:r>
              <w:t>4.</w:t>
            </w:r>
            <w:r>
              <w:rPr>
                <w:i/>
              </w:rPr>
              <w:tab/>
              <w:t>Úttekt</w:t>
            </w:r>
          </w:p>
          <w:p w14:paraId="0629B915" w14:textId="77777777" w:rsidR="007E0724" w:rsidRDefault="00C4775C">
            <w:pPr>
              <w:pStyle w:val="AnnexTableCellLeft"/>
              <w:spacing w:after="20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09AE0C63" w14:textId="77777777" w:rsidR="007E0724" w:rsidRDefault="00C4775C">
            <w:pPr>
              <w:pStyle w:val="AnnexNumberedText"/>
              <w:spacing w:after="200"/>
            </w:pPr>
            <w:r>
              <w:t>a)</w:t>
            </w:r>
            <w:r>
              <w:tab/>
              <w:t xml:space="preserve">viðeigandi </w:t>
            </w:r>
            <w:proofErr w:type="spellStart"/>
            <w:r>
              <w:t>lögbær</w:t>
            </w:r>
            <w:proofErr w:type="spellEnd"/>
            <w:r>
              <w:t xml:space="preserve"> landsyfirvöld,</w:t>
            </w:r>
          </w:p>
          <w:p w14:paraId="751DD674" w14:textId="77777777" w:rsidR="007E0724" w:rsidRDefault="00C4775C">
            <w:pPr>
              <w:pStyle w:val="AnnexNumberedText"/>
              <w:spacing w:after="200"/>
            </w:pPr>
            <w:r>
              <w:t>b)</w:t>
            </w:r>
            <w:r>
              <w:tab/>
              <w:t>óháður þriðji aðili, sem er vottunaraðili, að beiðni landsyfirvalda eða rekstraraðila starfseminnar.</w:t>
            </w:r>
          </w:p>
          <w:p w14:paraId="14B90B97" w14:textId="77777777" w:rsidR="007E0724" w:rsidRDefault="00C4775C">
            <w:pPr>
              <w:pStyle w:val="AnnexTableCellLeft"/>
              <w:spacing w:after="200"/>
            </w:pPr>
            <w:r>
              <w:t>Í því skyni að draga úr kostnaði er heimilt að framkvæma úttekt samhliða skógarvottun, loftslagvottun eða annarri úttekt.</w:t>
            </w:r>
          </w:p>
          <w:p w14:paraId="19FE659E" w14:textId="77777777" w:rsidR="007E0724" w:rsidRDefault="00C4775C">
            <w:pPr>
              <w:pStyle w:val="AnnexTableCellLeft"/>
              <w:spacing w:after="200"/>
            </w:pPr>
            <w:r>
              <w:t>Óháður þriðji aðili, sem er vottunaraðili, má ekki eiga í neins konar hagsmunaárekstrum við eigandann eða fjármögnunaraðilann og má ekki hafa afskipti af þróun eða rekstri starfseminnar.</w:t>
            </w:r>
          </w:p>
          <w:p w14:paraId="4F8D15FF" w14:textId="77777777" w:rsidR="007E0724" w:rsidRDefault="00C4775C">
            <w:pPr>
              <w:pStyle w:val="AnnexNumberedText"/>
              <w:spacing w:after="200"/>
              <w:ind w:left="360" w:hanging="360"/>
            </w:pPr>
            <w:r>
              <w:t>5.</w:t>
            </w:r>
            <w:r>
              <w:rPr>
                <w:i/>
              </w:rPr>
              <w:tab/>
              <w:t>Hópmat</w:t>
            </w:r>
          </w:p>
          <w:p w14:paraId="7291A8EE" w14:textId="77777777" w:rsidR="007E0724" w:rsidRDefault="00C4775C">
            <w:pPr>
              <w:pStyle w:val="AnnexTableCellLeft"/>
              <w:spacing w:after="200"/>
            </w:pPr>
            <w:r>
              <w:t xml:space="preserve">Hægt er að hafa eftirlit með því hvort farið er að viðmiðunum um verulegt framlag til </w:t>
            </w:r>
            <w:proofErr w:type="spellStart"/>
            <w:r>
              <w:t>mildunar</w:t>
            </w:r>
            <w:proofErr w:type="spellEnd"/>
            <w:r>
              <w:t xml:space="preserve"> loftslagsbreytinga og viðmiðunum um að valda ekki umtalsverðu tjóni:</w:t>
            </w:r>
          </w:p>
          <w:p w14:paraId="590AB5BC" w14:textId="77777777" w:rsidR="007E0724" w:rsidRDefault="00C4775C">
            <w:pPr>
              <w:pStyle w:val="AnnexNumberedText"/>
              <w:spacing w:after="0"/>
            </w:pPr>
            <w:r>
              <w:t>a)</w:t>
            </w:r>
            <w:r>
              <w:tab/>
              <w:t>á upprunasvæði skógræktarafurða (</w:t>
            </w:r>
            <w:r>
              <w:rPr>
                <w:rStyle w:val="Tilvsunneanmlsgrein"/>
                <w:sz w:val="18"/>
                <w:szCs w:val="18"/>
              </w:rPr>
              <w:footnoteReference w:id="52"/>
            </w:r>
            <w:r>
              <w:t>) eins og skilgreint er í 30. lið 2. gr. tilskipunar (ESB) 2018/2001,</w:t>
            </w:r>
          </w:p>
        </w:tc>
      </w:tr>
      <w:tr w:rsidR="007E0724" w14:paraId="304E613C" w14:textId="77777777">
        <w:trPr>
          <w:trHeight w:val="360"/>
        </w:trPr>
        <w:tc>
          <w:tcPr>
            <w:tcW w:w="8728" w:type="dxa"/>
            <w:gridSpan w:val="2"/>
            <w:tcBorders>
              <w:top w:val="nil"/>
              <w:bottom w:val="single" w:sz="4" w:space="0" w:color="auto"/>
            </w:tcBorders>
            <w:tcMar>
              <w:left w:w="0" w:type="dxa"/>
              <w:right w:w="0" w:type="dxa"/>
            </w:tcMar>
          </w:tcPr>
          <w:p w14:paraId="6D3F4BDD" w14:textId="77777777" w:rsidR="007E0724" w:rsidRDefault="00C4775C">
            <w:pPr>
              <w:pStyle w:val="AnnexNumberedText"/>
              <w:pageBreakBefore/>
              <w:spacing w:after="400"/>
            </w:pPr>
            <w:r>
              <w:lastRenderedPageBreak/>
              <w:t>b)</w:t>
            </w:r>
            <w:r>
              <w:tab/>
              <w:t>hjá hópi 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r w:rsidR="007E0724" w14:paraId="5967CB6C" w14:textId="77777777">
        <w:trPr>
          <w:trHeight w:val="240"/>
        </w:trPr>
        <w:tc>
          <w:tcPr>
            <w:tcW w:w="8728" w:type="dxa"/>
            <w:gridSpan w:val="2"/>
            <w:tcBorders>
              <w:top w:val="single" w:sz="4" w:space="0" w:color="auto"/>
              <w:bottom w:val="single" w:sz="4" w:space="0" w:color="auto"/>
            </w:tcBorders>
            <w:tcMar>
              <w:left w:w="0" w:type="dxa"/>
              <w:right w:w="0" w:type="dxa"/>
            </w:tcMar>
          </w:tcPr>
          <w:p w14:paraId="49F50FB1" w14:textId="77777777" w:rsidR="007E0724" w:rsidRDefault="00C4775C">
            <w:pPr>
              <w:pStyle w:val="AnnexTableCellLeft"/>
              <w:spacing w:before="40" w:after="40"/>
            </w:pPr>
            <w:r>
              <w:t>Ekki valda umtalsverðu tjóni</w:t>
            </w:r>
          </w:p>
        </w:tc>
      </w:tr>
      <w:tr w:rsidR="007E0724" w14:paraId="15203692" w14:textId="77777777">
        <w:trPr>
          <w:trHeight w:val="360"/>
        </w:trPr>
        <w:tc>
          <w:tcPr>
            <w:tcW w:w="2740" w:type="dxa"/>
            <w:tcBorders>
              <w:top w:val="single" w:sz="4" w:space="0" w:color="auto"/>
              <w:bottom w:val="single" w:sz="4" w:space="0" w:color="auto"/>
              <w:right w:val="single" w:sz="4" w:space="0" w:color="auto"/>
            </w:tcBorders>
            <w:tcMar>
              <w:left w:w="0" w:type="dxa"/>
              <w:right w:w="0" w:type="dxa"/>
            </w:tcMar>
          </w:tcPr>
          <w:p w14:paraId="7DF3CB11" w14:textId="77777777" w:rsidR="007E0724" w:rsidRDefault="00C4775C">
            <w:pPr>
              <w:pStyle w:val="AnnexNumberedText"/>
              <w:spacing w:before="100" w:after="400"/>
              <w:ind w:right="40"/>
            </w:pPr>
            <w:r>
              <w:t>2)</w:t>
            </w:r>
            <w:r>
              <w:tab/>
              <w:t>Aðlögun að loftslagsbreytingum</w:t>
            </w:r>
          </w:p>
        </w:tc>
        <w:tc>
          <w:tcPr>
            <w:tcW w:w="5988" w:type="dxa"/>
            <w:tcBorders>
              <w:top w:val="single" w:sz="4" w:space="0" w:color="auto"/>
              <w:left w:val="single" w:sz="4" w:space="0" w:color="auto"/>
              <w:bottom w:val="single" w:sz="4" w:space="0" w:color="auto"/>
            </w:tcBorders>
            <w:tcMar>
              <w:left w:w="0" w:type="dxa"/>
              <w:right w:w="0" w:type="dxa"/>
            </w:tcMar>
          </w:tcPr>
          <w:p w14:paraId="0CC24D68" w14:textId="77777777" w:rsidR="007E0724" w:rsidRDefault="00C4775C">
            <w:pPr>
              <w:pStyle w:val="AnnexTableCellLeft"/>
              <w:spacing w:before="100" w:after="400"/>
              <w:ind w:left="40"/>
            </w:pPr>
            <w:r>
              <w:t>Starfsemin er í samræmi við viðmiðanirnar sem settar eru fram í viðbæti A við þennan viðauka.</w:t>
            </w:r>
          </w:p>
        </w:tc>
      </w:tr>
      <w:tr w:rsidR="007E0724" w14:paraId="698FB704" w14:textId="77777777">
        <w:trPr>
          <w:trHeight w:val="360"/>
        </w:trPr>
        <w:tc>
          <w:tcPr>
            <w:tcW w:w="2740" w:type="dxa"/>
            <w:tcBorders>
              <w:top w:val="single" w:sz="4" w:space="0" w:color="auto"/>
              <w:bottom w:val="single" w:sz="4" w:space="0" w:color="auto"/>
              <w:right w:val="single" w:sz="4" w:space="0" w:color="auto"/>
            </w:tcBorders>
            <w:tcMar>
              <w:left w:w="0" w:type="dxa"/>
              <w:right w:w="0" w:type="dxa"/>
            </w:tcMar>
          </w:tcPr>
          <w:p w14:paraId="0FDA43D4" w14:textId="77777777" w:rsidR="007E0724" w:rsidRDefault="00C4775C">
            <w:pPr>
              <w:pStyle w:val="AnnexNumberedText"/>
              <w:ind w:right="40"/>
            </w:pPr>
            <w:r>
              <w:t>3)</w:t>
            </w:r>
            <w:r>
              <w:tab/>
              <w:t>Sjálfbær notkun og verndun vatns- og sjávarauðlinda</w:t>
            </w:r>
          </w:p>
        </w:tc>
        <w:tc>
          <w:tcPr>
            <w:tcW w:w="5988" w:type="dxa"/>
            <w:tcBorders>
              <w:top w:val="single" w:sz="4" w:space="0" w:color="auto"/>
              <w:left w:val="single" w:sz="4" w:space="0" w:color="auto"/>
              <w:bottom w:val="single" w:sz="4" w:space="0" w:color="auto"/>
            </w:tcBorders>
            <w:tcMar>
              <w:left w:w="0" w:type="dxa"/>
              <w:right w:w="0" w:type="dxa"/>
            </w:tcMar>
          </w:tcPr>
          <w:p w14:paraId="4368C5C0" w14:textId="77777777" w:rsidR="007E0724" w:rsidRDefault="00C4775C">
            <w:pPr>
              <w:pStyle w:val="AnnexTableCellLeft"/>
              <w:spacing w:after="400"/>
              <w:ind w:left="40"/>
            </w:pPr>
            <w:r>
              <w:t>Starfsemin er í samræmi við viðmiðanirnar sem settar eru fram í viðbæti B við þennan viðauka.</w:t>
            </w:r>
          </w:p>
          <w:p w14:paraId="25773742" w14:textId="77777777" w:rsidR="007E0724" w:rsidRDefault="00C4775C">
            <w:pPr>
              <w:pStyle w:val="AnnexTableCellLeft"/>
              <w:spacing w:after="400"/>
              <w:ind w:left="40"/>
            </w:pPr>
            <w:r>
              <w:t xml:space="preserve">Ítarlegar upplýsingar sem um getur í lið 1.2. Í </w:t>
            </w:r>
            <w:proofErr w:type="spellStart"/>
            <w:r>
              <w:t>i-lið</w:t>
            </w:r>
            <w:proofErr w:type="spellEnd"/>
            <w:r>
              <w:t xml:space="preserve"> eru ákvæði um að uppfylla viðmiðanirnar sem settar eru fram í viðbæti B við þennan viðauka.</w:t>
            </w:r>
          </w:p>
        </w:tc>
      </w:tr>
      <w:tr w:rsidR="007E0724" w14:paraId="7F7A9AD0" w14:textId="77777777">
        <w:trPr>
          <w:trHeight w:val="360"/>
        </w:trPr>
        <w:tc>
          <w:tcPr>
            <w:tcW w:w="2740" w:type="dxa"/>
            <w:tcBorders>
              <w:top w:val="single" w:sz="4" w:space="0" w:color="auto"/>
              <w:bottom w:val="single" w:sz="4" w:space="0" w:color="auto"/>
              <w:right w:val="single" w:sz="4" w:space="0" w:color="auto"/>
            </w:tcBorders>
            <w:tcMar>
              <w:left w:w="0" w:type="dxa"/>
              <w:right w:w="0" w:type="dxa"/>
            </w:tcMar>
          </w:tcPr>
          <w:p w14:paraId="496CFEB4" w14:textId="77777777" w:rsidR="007E0724" w:rsidRDefault="00C4775C">
            <w:pPr>
              <w:pStyle w:val="AnnexNumberedText"/>
              <w:spacing w:after="400"/>
              <w:ind w:right="40"/>
            </w:pPr>
            <w:r>
              <w:t>4)</w:t>
            </w:r>
            <w:r>
              <w:tab/>
              <w:t>Umskipti yfir í hringrásarhagkerfi</w:t>
            </w:r>
          </w:p>
        </w:tc>
        <w:tc>
          <w:tcPr>
            <w:tcW w:w="5988" w:type="dxa"/>
            <w:tcBorders>
              <w:top w:val="single" w:sz="4" w:space="0" w:color="auto"/>
              <w:left w:val="single" w:sz="4" w:space="0" w:color="auto"/>
              <w:bottom w:val="single" w:sz="4" w:space="0" w:color="auto"/>
            </w:tcBorders>
            <w:tcMar>
              <w:left w:w="0" w:type="dxa"/>
              <w:right w:w="0" w:type="dxa"/>
            </w:tcMar>
          </w:tcPr>
          <w:p w14:paraId="75740898" w14:textId="77777777" w:rsidR="007E0724" w:rsidRDefault="00C4775C">
            <w:pPr>
              <w:pStyle w:val="AnnexTableCellLeft"/>
              <w:spacing w:after="400"/>
              <w:ind w:left="40"/>
            </w:pPr>
            <w:r>
              <w:t>Breyting á skógrækt, sem starfsemin veldur á svæðinu sem hún nær yfir, er ekki líkleg til að draga umtalsvert úr sjálfbæru framboði á fyrsta stigs lífmassa úr skógi sem hentar til framleiðslu á vörum sem unnar eru úr viði með langtímamöguleika til hringrásar. Þessa viðmiðun er hægt að sýna fram á með greiningu á loftslagsávinningnum sem um getur í 2. lið.</w:t>
            </w:r>
          </w:p>
        </w:tc>
      </w:tr>
      <w:tr w:rsidR="007E0724" w14:paraId="4FC856AF" w14:textId="77777777">
        <w:trPr>
          <w:trHeight w:val="360"/>
        </w:trPr>
        <w:tc>
          <w:tcPr>
            <w:tcW w:w="2740" w:type="dxa"/>
            <w:tcBorders>
              <w:top w:val="single" w:sz="4" w:space="0" w:color="auto"/>
              <w:bottom w:val="single" w:sz="4" w:space="0" w:color="auto"/>
              <w:right w:val="single" w:sz="4" w:space="0" w:color="auto"/>
            </w:tcBorders>
            <w:tcMar>
              <w:left w:w="0" w:type="dxa"/>
              <w:right w:w="0" w:type="dxa"/>
            </w:tcMar>
          </w:tcPr>
          <w:p w14:paraId="1D921779" w14:textId="77777777" w:rsidR="007E0724" w:rsidRDefault="00C4775C">
            <w:pPr>
              <w:pStyle w:val="AnnexNumberedText"/>
              <w:ind w:right="40"/>
            </w:pPr>
            <w:r>
              <w:t>5)</w:t>
            </w:r>
            <w:r>
              <w:tab/>
              <w:t>Mengunarvarnir og eftirlit með mengun</w:t>
            </w:r>
          </w:p>
        </w:tc>
        <w:tc>
          <w:tcPr>
            <w:tcW w:w="5988" w:type="dxa"/>
            <w:tcBorders>
              <w:top w:val="single" w:sz="4" w:space="0" w:color="auto"/>
              <w:left w:val="single" w:sz="4" w:space="0" w:color="auto"/>
              <w:bottom w:val="single" w:sz="4" w:space="0" w:color="auto"/>
            </w:tcBorders>
            <w:tcMar>
              <w:left w:w="0" w:type="dxa"/>
              <w:right w:w="0" w:type="dxa"/>
            </w:tcMar>
          </w:tcPr>
          <w:p w14:paraId="089B44D1" w14:textId="77777777" w:rsidR="007E0724" w:rsidRDefault="00C4775C">
            <w:pPr>
              <w:pStyle w:val="AnnexTableCellLeft"/>
              <w:spacing w:after="400"/>
              <w:ind w:left="40"/>
              <w:rPr>
                <w:szCs w:val="18"/>
              </w:rPr>
            </w:pPr>
            <w:r>
              <w:t xml:space="preserve">Dregið er úr notkun varnarefna og annars konar aðferðir eða nálganir, sem geta falið í sér valkosti sem ekki byggjast á notkun varnarefna, eru valdar, í samræmi við tilskipun 2009/128/EB, að undanskildum tilvikum þegar þörf er á notkun varnarefna til hafa stjórn á uppkomu </w:t>
            </w:r>
            <w:proofErr w:type="spellStart"/>
            <w:r>
              <w:t>skaðvalda</w:t>
            </w:r>
            <w:proofErr w:type="spellEnd"/>
            <w:r>
              <w:t xml:space="preserve"> og sjúkdóma.</w:t>
            </w:r>
          </w:p>
          <w:p w14:paraId="47ABC0D2" w14:textId="77777777" w:rsidR="007E0724" w:rsidRDefault="00C4775C">
            <w:pPr>
              <w:pStyle w:val="AnnexTableCellLeft"/>
              <w:spacing w:after="400"/>
              <w:ind w:left="40"/>
              <w:rPr>
                <w:szCs w:val="18"/>
              </w:rPr>
            </w:pPr>
            <w:r>
              <w:t>Notkun áburðar er lágmörkuð í starfseminni og húsdýraáburður ekki notaður. Starfsemin er í samræmi við reglugerð (ESB) 2019/1009 eða landsbundnar reglur um áburð eða jarðvegsbæta til notkunar í landbúnaði.</w:t>
            </w:r>
          </w:p>
          <w:p w14:paraId="2311094A" w14:textId="77777777" w:rsidR="007E0724" w:rsidRDefault="00C4775C">
            <w:pPr>
              <w:pStyle w:val="AnnexTableCellLeft"/>
              <w:spacing w:after="400"/>
              <w:ind w:left="40"/>
              <w:rPr>
                <w:szCs w:val="18"/>
              </w:rPr>
            </w:pPr>
            <w:r>
              <w:t xml:space="preserve">Gerðar eru vel skjalfestar og </w:t>
            </w:r>
            <w:proofErr w:type="spellStart"/>
            <w:r>
              <w:t>sannprófanlegar</w:t>
            </w:r>
            <w:proofErr w:type="spellEnd"/>
            <w:r>
              <w:t xml:space="preserve"> ráðstafanir til að komast hjá notkun virkra innihaldsefna sem eru skráð í A hluta I. viðauka við reglugerð (ESB) 2019/1021 (</w:t>
            </w:r>
            <w:r>
              <w:rPr>
                <w:rStyle w:val="Tilvsunneanmlsgrein"/>
                <w:sz w:val="18"/>
                <w:szCs w:val="18"/>
              </w:rPr>
              <w:footnoteReference w:id="53"/>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Starfsemin er í samræmi við viðeigandi landslög um virk innihaldsefni.</w:t>
            </w:r>
          </w:p>
          <w:p w14:paraId="5F9E1CEB" w14:textId="77777777" w:rsidR="007E0724" w:rsidRDefault="00C4775C">
            <w:pPr>
              <w:pStyle w:val="AnnexTableCellLeft"/>
              <w:spacing w:after="400"/>
              <w:ind w:left="40"/>
            </w:pPr>
            <w:r>
              <w:t>Komið er í veg fyrir mengun vatns og jarðvegs og gripið til hreinsunarráðstafana þegar mengun á sér stað.</w:t>
            </w:r>
          </w:p>
        </w:tc>
      </w:tr>
      <w:tr w:rsidR="007E0724" w14:paraId="72CD0B3D" w14:textId="77777777">
        <w:trPr>
          <w:trHeight w:val="360"/>
        </w:trPr>
        <w:tc>
          <w:tcPr>
            <w:tcW w:w="2740" w:type="dxa"/>
            <w:tcBorders>
              <w:top w:val="single" w:sz="4" w:space="0" w:color="auto"/>
              <w:bottom w:val="nil"/>
              <w:right w:val="single" w:sz="4" w:space="0" w:color="auto"/>
            </w:tcBorders>
            <w:tcMar>
              <w:left w:w="0" w:type="dxa"/>
              <w:right w:w="0" w:type="dxa"/>
            </w:tcMar>
          </w:tcPr>
          <w:p w14:paraId="53B26651" w14:textId="77777777" w:rsidR="007E0724" w:rsidRDefault="00C4775C">
            <w:pPr>
              <w:pStyle w:val="AnnexNumberedText"/>
              <w:ind w:right="40"/>
            </w:pPr>
            <w:r>
              <w:t>6)</w:t>
            </w:r>
            <w:r>
              <w:tab/>
              <w:t>Vernd og endurheimt líffræðilegrar fjölbreytni og vistkerfa</w:t>
            </w:r>
          </w:p>
        </w:tc>
        <w:tc>
          <w:tcPr>
            <w:tcW w:w="5988" w:type="dxa"/>
            <w:tcBorders>
              <w:top w:val="single" w:sz="4" w:space="0" w:color="auto"/>
              <w:left w:val="single" w:sz="4" w:space="0" w:color="auto"/>
              <w:bottom w:val="nil"/>
            </w:tcBorders>
            <w:tcMar>
              <w:left w:w="0" w:type="dxa"/>
              <w:right w:w="0" w:type="dxa"/>
            </w:tcMar>
          </w:tcPr>
          <w:p w14:paraId="7E0C1D18" w14:textId="77777777" w:rsidR="007E0724" w:rsidRDefault="00C4775C">
            <w:pPr>
              <w:pStyle w:val="AnnexTableCellLeft"/>
              <w:spacing w:after="400"/>
              <w:ind w:left="4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31C52299" w14:textId="77777777" w:rsidR="007E0724" w:rsidRDefault="00C4775C">
            <w:pPr>
              <w:pStyle w:val="AnnexTableCellLeft"/>
              <w:spacing w:after="200"/>
              <w:ind w:left="40"/>
            </w:pPr>
            <w:r>
              <w:t xml:space="preserve">Ekki er um að ræða umbreytingu búsvæða sem eru sérstaklega viðkvæm fyrir tapi á líffræðilegri fjölbreytni eða með mikið varðveislugildi eða svæða sem tekin eru </w:t>
            </w:r>
            <w:r>
              <w:lastRenderedPageBreak/>
              <w:t>frá fyrir endurheimt slíkra búsvæða í samræmi við landslög.</w:t>
            </w:r>
          </w:p>
        </w:tc>
      </w:tr>
      <w:tr w:rsidR="007E0724" w14:paraId="305B784D" w14:textId="77777777">
        <w:trPr>
          <w:trHeight w:val="240"/>
        </w:trPr>
        <w:tc>
          <w:tcPr>
            <w:tcW w:w="2740" w:type="dxa"/>
            <w:tcBorders>
              <w:top w:val="single" w:sz="4" w:space="0" w:color="auto"/>
              <w:bottom w:val="single" w:sz="4" w:space="0" w:color="auto"/>
              <w:right w:val="single" w:sz="4" w:space="0" w:color="auto"/>
            </w:tcBorders>
            <w:tcMar>
              <w:left w:w="0" w:type="dxa"/>
              <w:right w:w="0" w:type="dxa"/>
            </w:tcMar>
          </w:tcPr>
          <w:p w14:paraId="3F352430" w14:textId="77777777" w:rsidR="007E0724" w:rsidRDefault="007E0724">
            <w:pPr>
              <w:pStyle w:val="Para"/>
            </w:pPr>
          </w:p>
        </w:tc>
        <w:tc>
          <w:tcPr>
            <w:tcW w:w="5988" w:type="dxa"/>
            <w:tcBorders>
              <w:top w:val="single" w:sz="4" w:space="0" w:color="auto"/>
              <w:left w:val="single" w:sz="4" w:space="0" w:color="auto"/>
              <w:bottom w:val="single" w:sz="4" w:space="0" w:color="auto"/>
            </w:tcBorders>
            <w:tcMar>
              <w:left w:w="0" w:type="dxa"/>
              <w:right w:w="0" w:type="dxa"/>
            </w:tcMar>
          </w:tcPr>
          <w:p w14:paraId="74BA172E" w14:textId="77777777" w:rsidR="007E0724" w:rsidRDefault="00C4775C">
            <w:pPr>
              <w:pStyle w:val="AnnexTableCellLeft"/>
              <w:spacing w:after="420"/>
              <w:ind w:left="40"/>
            </w:pPr>
            <w:r>
              <w:t xml:space="preserve">Ítarlegu upplýsingarnar sem um getur í </w:t>
            </w:r>
            <w:proofErr w:type="spellStart"/>
            <w:r>
              <w:t>i-lið</w:t>
            </w:r>
            <w:proofErr w:type="spellEnd"/>
            <w:r>
              <w:t xml:space="preserve"> í lið 1.2 innihalda ákvæði um viðhald og mögulega eflingu líffræðilegrar fjölbreytni í samræmi við landsbundin og staðbundin ákvæði, þ.m.t. eftirfarandi:</w:t>
            </w:r>
          </w:p>
          <w:p w14:paraId="2218466F" w14:textId="77777777" w:rsidR="007E0724" w:rsidRDefault="00C4775C">
            <w:pPr>
              <w:pStyle w:val="AnnexNumberedText"/>
              <w:spacing w:after="420"/>
              <w:ind w:left="340"/>
            </w:pPr>
            <w:r>
              <w:t>a)</w:t>
            </w:r>
            <w:r>
              <w:tab/>
              <w:t>að tryggja góða varðveislustöðu búsvæðis og tegunda, viðhald dæmigerðra tegunda á búsvæði,</w:t>
            </w:r>
          </w:p>
          <w:p w14:paraId="1852DA95" w14:textId="77777777" w:rsidR="007E0724" w:rsidRDefault="00C4775C">
            <w:pPr>
              <w:pStyle w:val="AnnexNumberedText"/>
              <w:spacing w:after="420"/>
              <w:ind w:left="340"/>
            </w:pPr>
            <w:r>
              <w:t>b)</w:t>
            </w:r>
            <w:r>
              <w:tab/>
              <w:t xml:space="preserve">að undanskilja notkun á eða </w:t>
            </w:r>
            <w:proofErr w:type="spellStart"/>
            <w:r>
              <w:t>sleppingu</w:t>
            </w:r>
            <w:proofErr w:type="spellEnd"/>
            <w:r>
              <w:t xml:space="preserve"> ágengra framandi tegunda,</w:t>
            </w:r>
          </w:p>
          <w:p w14:paraId="3D9839D4" w14:textId="77777777" w:rsidR="007E0724" w:rsidRDefault="00C4775C">
            <w:pPr>
              <w:pStyle w:val="AnnexNumberedText"/>
              <w:spacing w:after="420"/>
              <w:ind w:left="340"/>
            </w:pPr>
            <w:r>
              <w:t>c)</w:t>
            </w:r>
            <w:r>
              <w:tab/>
              <w:t>að undanskilja notkun á framandi tegundum nema unnt sé að sýna fram á að:</w:t>
            </w:r>
          </w:p>
          <w:p w14:paraId="13EF6098" w14:textId="77777777" w:rsidR="007E0724" w:rsidRDefault="00C4775C">
            <w:pPr>
              <w:pStyle w:val="AnnexNumberedText"/>
              <w:spacing w:after="420"/>
              <w:ind w:left="640"/>
            </w:pPr>
            <w:r>
              <w:t>i.</w:t>
            </w:r>
            <w:r>
              <w:tab/>
              <w:t>notkun á fjölgunarefni í skógrækt leiði til hagstæðara og viðeigandi ástands vistkerfisins (s.s. loftslag, jarðvegsskilyrði og gróðursvæði, viðnám gegn skógareldum),</w:t>
            </w:r>
          </w:p>
          <w:p w14:paraId="6159743E" w14:textId="77777777" w:rsidR="007E0724" w:rsidRDefault="00C4775C">
            <w:pPr>
              <w:pStyle w:val="AnnexNumberedText"/>
              <w:spacing w:after="420"/>
              <w:ind w:left="640"/>
            </w:pPr>
            <w:r>
              <w:t>ii.</w:t>
            </w:r>
            <w:r>
              <w:tab/>
              <w:t>innlendar tegundir, sem eru þegar til staðar á svæðinu, eru ekki lengur aðlagaðar að framreiknuðum loftslagsskilyrðum og jarðvegsfræðilegum/vatnafræðilegum skilyrðum,</w:t>
            </w:r>
          </w:p>
          <w:p w14:paraId="3FCD643C" w14:textId="77777777" w:rsidR="007E0724" w:rsidRDefault="00C4775C">
            <w:pPr>
              <w:pStyle w:val="AnnexNumberedText"/>
              <w:spacing w:after="420"/>
              <w:ind w:left="340"/>
            </w:pPr>
            <w:r>
              <w:t>d)</w:t>
            </w:r>
            <w:r>
              <w:tab/>
              <w:t xml:space="preserve">að tryggja viðhald og úrbætur á </w:t>
            </w:r>
            <w:proofErr w:type="spellStart"/>
            <w:r>
              <w:t>eðlisrænum</w:t>
            </w:r>
            <w:proofErr w:type="spellEnd"/>
            <w:r>
              <w:t>, efnafræðilegum og líffræðilegum gæðum jarðvegsins,</w:t>
            </w:r>
          </w:p>
          <w:p w14:paraId="458B3959" w14:textId="77777777" w:rsidR="007E0724" w:rsidRDefault="00C4775C">
            <w:pPr>
              <w:pStyle w:val="AnnexNumberedText"/>
              <w:spacing w:after="420"/>
              <w:ind w:left="340"/>
            </w:pPr>
            <w:r>
              <w:t>e)</w:t>
            </w:r>
            <w:r>
              <w:tab/>
              <w:t>að efla starfsvenjur sem gagnast líffræðilegri fjölbreytni og bæta náttúrulegt ferli skóga,</w:t>
            </w:r>
          </w:p>
          <w:p w14:paraId="0923E639" w14:textId="77777777" w:rsidR="007E0724" w:rsidRDefault="00C4775C">
            <w:pPr>
              <w:pStyle w:val="AnnexNumberedText"/>
              <w:spacing w:after="420"/>
              <w:ind w:left="340"/>
            </w:pPr>
            <w:r>
              <w:t>f)</w:t>
            </w:r>
            <w:r>
              <w:tab/>
              <w:t>að útiloka umbreytingu vistkerfa þar sem líffræðileg fjölbreytni er mikil yfir í vistkerfi þar sem líffræðileg fjölbreytni er minni,</w:t>
            </w:r>
          </w:p>
          <w:p w14:paraId="4143D8D9" w14:textId="77777777" w:rsidR="007E0724" w:rsidRDefault="00C4775C">
            <w:pPr>
              <w:pStyle w:val="AnnexNumberedText"/>
              <w:spacing w:after="420"/>
              <w:ind w:left="340"/>
            </w:pPr>
            <w:r>
              <w:t>g)</w:t>
            </w:r>
            <w:r>
              <w:tab/>
              <w:t>að tryggja fjölbreytni tengdra búsvæða og tegunda sem tengjast skóginum,</w:t>
            </w:r>
          </w:p>
          <w:p w14:paraId="62E2C2E3" w14:textId="77777777" w:rsidR="007E0724" w:rsidRDefault="00C4775C">
            <w:pPr>
              <w:pStyle w:val="AnnexNumberedText"/>
              <w:ind w:left="340"/>
            </w:pPr>
            <w:r>
              <w:t>h)</w:t>
            </w:r>
            <w:r>
              <w:tab/>
              <w:t>að tryggja fjölbreytni í formgerð skógarteiga og að viðhalda eða efla fullvaxta skógarteiga og dauðan við.</w:t>
            </w:r>
          </w:p>
        </w:tc>
      </w:tr>
    </w:tbl>
    <w:p w14:paraId="4022E2C9" w14:textId="77777777" w:rsidR="007E0724" w:rsidRDefault="00C4775C">
      <w:pPr>
        <w:pStyle w:val="AnnexNumberedText"/>
        <w:spacing w:before="200" w:after="320"/>
        <w:ind w:left="500" w:hanging="500"/>
      </w:pPr>
      <w:r>
        <w:t>1.3.</w:t>
      </w:r>
      <w:r>
        <w:rPr>
          <w:b/>
        </w:rPr>
        <w:tab/>
        <w:t>Stjórnun skóga</w:t>
      </w:r>
    </w:p>
    <w:p w14:paraId="1563176F" w14:textId="77777777" w:rsidR="007E0724" w:rsidRDefault="00C4775C">
      <w:pPr>
        <w:pStyle w:val="AnnexGrSeq3"/>
        <w:spacing w:after="320"/>
        <w:ind w:left="500"/>
        <w:jc w:val="left"/>
      </w:pPr>
      <w:r>
        <w:rPr>
          <w:i/>
        </w:rPr>
        <w:t>Lýsing á starfseminni</w:t>
      </w:r>
    </w:p>
    <w:p w14:paraId="1586ABB5" w14:textId="77777777" w:rsidR="007E0724" w:rsidRDefault="00C4775C">
      <w:pPr>
        <w:pStyle w:val="AnnexNormal"/>
        <w:spacing w:after="320"/>
        <w:ind w:left="500"/>
        <w:rPr>
          <w:szCs w:val="18"/>
        </w:rPr>
      </w:pPr>
      <w:r>
        <w:t>Stjórnun skóga eins og skilgreint er í landslögum. Ef landslög innihalda ekki slíka skilgreiningu samsvarar skógarstjórnun hvers konar atvinnustarfsemi sem leiðir af kerfi, sem gildir um skóg, sem hefur áhrif á vistfræðilegt, efnahagslegt og félagslegt hlutverk skógarins. Með skógarstjórnun er ekki gert ráð fyrir neinum breytingum á landnotkun og hún á sér stað á landi sem svarar til skilgreiningar á skógi eins og sett er fram í landslögum eða, ef hún ekki tiltæk, í samræmi við skilgreiningu Matvæla- og landbúnaðarstofnunar SÞ á skógi (</w:t>
      </w:r>
      <w:bookmarkStart w:id="25" w:name="NOTE_53"/>
      <w:r>
        <w:rPr>
          <w:rStyle w:val="Tilvsunneanmlsgrein"/>
          <w:sz w:val="18"/>
          <w:szCs w:val="18"/>
        </w:rPr>
        <w:footnoteReference w:id="54"/>
      </w:r>
      <w:bookmarkEnd w:id="25"/>
      <w:r>
        <w:t>).</w:t>
      </w:r>
    </w:p>
    <w:p w14:paraId="6A7602F0" w14:textId="77777777" w:rsidR="007E0724" w:rsidRDefault="00C4775C">
      <w:pPr>
        <w:pStyle w:val="AnnexNormal"/>
        <w:spacing w:after="0"/>
        <w:ind w:left="500"/>
      </w:pPr>
      <w:r>
        <w:lastRenderedPageBreak/>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02.20, þ.e. skógarhögg, 02.30, þ.e. söfnun afurða sem vaxa villtar en eru ekki tré og 02.40, þ.e. þjónustustarfsemi við skógrækt.</w:t>
      </w:r>
      <w:r>
        <w:br w:type="page"/>
      </w:r>
    </w:p>
    <w:p w14:paraId="4C5B9644" w14:textId="77777777" w:rsidR="007E0724" w:rsidRDefault="00C4775C">
      <w:pPr>
        <w:pStyle w:val="AnnexGrSeq3"/>
        <w:ind w:left="500"/>
        <w:jc w:val="left"/>
      </w:pPr>
      <w:r>
        <w:rPr>
          <w:i/>
        </w:rPr>
        <w:lastRenderedPageBreak/>
        <w:t>Tæknileg matsviðmið</w:t>
      </w:r>
    </w:p>
    <w:tbl>
      <w:tblPr>
        <w:tblStyle w:val="EFTATable"/>
        <w:tblW w:w="8740" w:type="dxa"/>
        <w:tblInd w:w="500" w:type="dxa"/>
        <w:tblLook w:val="04A0" w:firstRow="1" w:lastRow="0" w:firstColumn="1" w:lastColumn="0" w:noHBand="0" w:noVBand="1"/>
      </w:tblPr>
      <w:tblGrid>
        <w:gridCol w:w="8740"/>
      </w:tblGrid>
      <w:tr w:rsidR="007E0724" w14:paraId="59D3EBF8" w14:textId="77777777">
        <w:trPr>
          <w:trHeight w:val="240"/>
        </w:trPr>
        <w:tc>
          <w:tcPr>
            <w:tcW w:w="8740" w:type="dxa"/>
            <w:tcBorders>
              <w:bottom w:val="single" w:sz="4" w:space="0" w:color="auto"/>
            </w:tcBorders>
            <w:tcMar>
              <w:left w:w="0" w:type="dxa"/>
              <w:right w:w="0" w:type="dxa"/>
            </w:tcMar>
          </w:tcPr>
          <w:p w14:paraId="70A089D0" w14:textId="77777777" w:rsidR="007E0724" w:rsidRDefault="00C4775C">
            <w:pPr>
              <w:pStyle w:val="AnnexTableCellLeft"/>
              <w:spacing w:before="50" w:after="50"/>
            </w:pPr>
            <w:r>
              <w:t xml:space="preserve">Verulegt framlag til </w:t>
            </w:r>
            <w:proofErr w:type="spellStart"/>
            <w:r>
              <w:t>mildunar</w:t>
            </w:r>
            <w:proofErr w:type="spellEnd"/>
            <w:r>
              <w:t xml:space="preserve"> loftslagsbreytinga</w:t>
            </w:r>
          </w:p>
        </w:tc>
      </w:tr>
      <w:tr w:rsidR="007E0724" w14:paraId="74DFE97A" w14:textId="77777777">
        <w:trPr>
          <w:trHeight w:val="360"/>
        </w:trPr>
        <w:tc>
          <w:tcPr>
            <w:tcW w:w="8740" w:type="dxa"/>
            <w:tcBorders>
              <w:bottom w:val="nil"/>
            </w:tcBorders>
            <w:tcMar>
              <w:left w:w="0" w:type="dxa"/>
              <w:right w:w="0" w:type="dxa"/>
            </w:tcMar>
          </w:tcPr>
          <w:p w14:paraId="3210693A" w14:textId="77777777" w:rsidR="007E0724" w:rsidRDefault="00C4775C">
            <w:pPr>
              <w:pStyle w:val="AnnexNumberedText"/>
              <w:spacing w:after="200"/>
              <w:ind w:left="360" w:hanging="360"/>
            </w:pPr>
            <w:r>
              <w:t>1.</w:t>
            </w:r>
            <w:r>
              <w:rPr>
                <w:i/>
              </w:rPr>
              <w:tab/>
              <w:t xml:space="preserve">Skógarstjórnunaráætlun eða jafngildur </w:t>
            </w:r>
            <w:proofErr w:type="spellStart"/>
            <w:r>
              <w:rPr>
                <w:i/>
              </w:rPr>
              <w:t>gerningur</w:t>
            </w:r>
            <w:proofErr w:type="spellEnd"/>
          </w:p>
          <w:p w14:paraId="3AA1B1A2" w14:textId="77777777" w:rsidR="007E0724" w:rsidRDefault="00C4775C">
            <w:pPr>
              <w:pStyle w:val="AnnexNumberedText"/>
              <w:tabs>
                <w:tab w:val="left" w:pos="508"/>
              </w:tabs>
              <w:spacing w:after="200"/>
              <w:ind w:left="360" w:hanging="360"/>
              <w:rPr>
                <w:szCs w:val="18"/>
              </w:rPr>
            </w:pPr>
            <w:r>
              <w:t>1.1.</w:t>
            </w:r>
            <w:r>
              <w:tab/>
              <w:t xml:space="preserve">Starfsemin fer fram á svæði sem fellur undir skógarstjórnunaráætlun eða jafngildan </w:t>
            </w:r>
            <w:proofErr w:type="spellStart"/>
            <w:r>
              <w:t>gerning</w:t>
            </w:r>
            <w:proofErr w:type="spellEnd"/>
            <w:r>
              <w:t xml:space="preserve">, eins og sett er fram í landslögum eða, ef ekki er skilgreining á skógarstjórnunaráætlun eða jafngildum </w:t>
            </w:r>
            <w:proofErr w:type="spellStart"/>
            <w:r>
              <w:t>gerningi</w:t>
            </w:r>
            <w:proofErr w:type="spellEnd"/>
            <w:r>
              <w:t xml:space="preserve"> í landslögum, eins og um getur í skilgreiningu Matvæla- og landbúnaðarstofnunar SÞ á „skógarsvæði með skógarstjórnunaráætlun til langs tíma“ (</w:t>
            </w:r>
            <w:r>
              <w:rPr>
                <w:rStyle w:val="Tilvsunneanmlsgrein"/>
                <w:sz w:val="18"/>
                <w:szCs w:val="18"/>
              </w:rPr>
              <w:footnoteReference w:id="55"/>
            </w:r>
            <w:r>
              <w:t>).</w:t>
            </w:r>
          </w:p>
          <w:p w14:paraId="68286C57" w14:textId="77777777" w:rsidR="007E0724" w:rsidRDefault="00C4775C">
            <w:pPr>
              <w:pStyle w:val="AnnexTableCellLeft"/>
              <w:spacing w:after="200"/>
              <w:ind w:left="360"/>
              <w:rPr>
                <w:szCs w:val="18"/>
              </w:rPr>
            </w:pPr>
            <w:r>
              <w:t xml:space="preserve">Skógarstjórnunaráætlun, eða jafngildur </w:t>
            </w:r>
            <w:proofErr w:type="spellStart"/>
            <w:r>
              <w:t>gerningur</w:t>
            </w:r>
            <w:proofErr w:type="spellEnd"/>
            <w:r>
              <w:t>, nær yfir 10 ára tímabil eða meira og er uppfærð samfellt.</w:t>
            </w:r>
          </w:p>
          <w:p w14:paraId="71D1334C" w14:textId="77777777" w:rsidR="007E0724" w:rsidRDefault="00C4775C">
            <w:pPr>
              <w:pStyle w:val="AnnexNumberedText"/>
              <w:tabs>
                <w:tab w:val="left" w:pos="508"/>
              </w:tabs>
              <w:spacing w:after="200"/>
              <w:ind w:left="0" w:firstLine="0"/>
              <w:rPr>
                <w:szCs w:val="18"/>
              </w:rPr>
            </w:pPr>
            <w:r>
              <w:t>1.2.</w:t>
            </w:r>
            <w:r>
              <w:tab/>
              <w:t>Upplýsingar eru veittar um eftirfarandi liði sem ekki eru þegar skjalfestir í skógarstjórnunaráætluninni eða jafngildu kerfi:</w:t>
            </w:r>
          </w:p>
          <w:p w14:paraId="01A9E7D2" w14:textId="77777777" w:rsidR="007E0724" w:rsidRDefault="00C4775C">
            <w:pPr>
              <w:pStyle w:val="AnnexNumberedText"/>
              <w:spacing w:after="200"/>
              <w:rPr>
                <w:szCs w:val="18"/>
              </w:rPr>
            </w:pPr>
            <w:r>
              <w:t>a)</w:t>
            </w:r>
            <w:r>
              <w:tab/>
              <w:t>stjórnunarmarkmið, þ.m.t. meiriháttar hindranir (</w:t>
            </w:r>
            <w:r>
              <w:rPr>
                <w:rStyle w:val="Tilvsunneanmlsgrein"/>
                <w:sz w:val="18"/>
                <w:szCs w:val="18"/>
              </w:rPr>
              <w:footnoteReference w:id="56"/>
            </w:r>
            <w:r>
              <w:t>),</w:t>
            </w:r>
          </w:p>
          <w:p w14:paraId="6E2F047B" w14:textId="77777777" w:rsidR="007E0724" w:rsidRDefault="00C4775C">
            <w:pPr>
              <w:pStyle w:val="AnnexNumberedText"/>
              <w:spacing w:after="200"/>
              <w:rPr>
                <w:szCs w:val="18"/>
              </w:rPr>
            </w:pPr>
            <w:r>
              <w:t>b)</w:t>
            </w:r>
            <w:r>
              <w:tab/>
              <w:t>almennar stefnuáætlanir og fyrirhuguð starfsemi til að ná stjórnunarmarkmiðunum, þ.m.t. væntanlegar aðgerðir yfir alla skógræktarhringrásina,</w:t>
            </w:r>
          </w:p>
          <w:p w14:paraId="1CCBCE6F" w14:textId="77777777" w:rsidR="007E0724" w:rsidRDefault="00C4775C">
            <w:pPr>
              <w:pStyle w:val="AnnexNumberedText"/>
              <w:spacing w:after="200"/>
              <w:rPr>
                <w:szCs w:val="18"/>
              </w:rPr>
            </w:pPr>
            <w:r>
              <w:t>c)</w:t>
            </w:r>
            <w:r>
              <w:tab/>
              <w:t>skilgreining á búsvæðalegu samhengi skógarins, þ.m.t. helstu trjátegundir sem fyrir eru og fyrirhugaðar og umfang þeirra og dreifing,</w:t>
            </w:r>
          </w:p>
          <w:p w14:paraId="51BB3EFB" w14:textId="77777777" w:rsidR="007E0724" w:rsidRDefault="00C4775C">
            <w:pPr>
              <w:pStyle w:val="AnnexNumberedText"/>
              <w:spacing w:after="200"/>
              <w:rPr>
                <w:szCs w:val="18"/>
              </w:rPr>
            </w:pPr>
            <w:r>
              <w:t>d)</w:t>
            </w:r>
            <w:r>
              <w:tab/>
              <w:t>skilgreining á svæðinu samkvæmt færslu þar um í landskránni,</w:t>
            </w:r>
          </w:p>
          <w:p w14:paraId="176C080A" w14:textId="77777777" w:rsidR="007E0724" w:rsidRDefault="00C4775C">
            <w:pPr>
              <w:pStyle w:val="AnnexNumberedText"/>
              <w:spacing w:after="200"/>
              <w:rPr>
                <w:szCs w:val="18"/>
              </w:rPr>
            </w:pPr>
            <w:r>
              <w:t>e)</w:t>
            </w:r>
            <w:r>
              <w:tab/>
              <w:t>hólf, vegir, athafnaréttur og annar almennur aðgangur, efnislegir þættir, þ.m.t. vatnaleiðir, svæði sem falla undir lagalegar takmarkanir og aðrar takmarkanir,</w:t>
            </w:r>
          </w:p>
          <w:p w14:paraId="267D2DD8" w14:textId="77777777" w:rsidR="007E0724" w:rsidRDefault="00C4775C">
            <w:pPr>
              <w:pStyle w:val="AnnexNumberedText"/>
              <w:spacing w:after="200"/>
              <w:rPr>
                <w:szCs w:val="18"/>
              </w:rPr>
            </w:pPr>
            <w:r>
              <w:t>f)</w:t>
            </w:r>
            <w:r>
              <w:tab/>
              <w:t>ráðstafanir sem eru innleiddar til að viðhalda góðu ásigkomulagi skógarvistkerfa,</w:t>
            </w:r>
          </w:p>
          <w:p w14:paraId="2B547284" w14:textId="77777777" w:rsidR="007E0724" w:rsidRDefault="00C4775C">
            <w:pPr>
              <w:pStyle w:val="AnnexNumberedText"/>
              <w:spacing w:after="200"/>
              <w:rPr>
                <w:szCs w:val="18"/>
              </w:rPr>
            </w:pPr>
            <w:r>
              <w:t>g)</w:t>
            </w:r>
            <w:r>
              <w:tab/>
              <w:t>tillit tekið til samfélagslegra málefna (þ.m.t. varðveisla landslags, samráð við hagsmunaaðila í samræmi við skilmála og skilyrði sem mælt er fyrir um í landslögum),</w:t>
            </w:r>
          </w:p>
          <w:p w14:paraId="61B9EA86" w14:textId="77777777" w:rsidR="007E0724" w:rsidRDefault="00C4775C">
            <w:pPr>
              <w:pStyle w:val="AnnexNumberedText"/>
              <w:spacing w:after="200"/>
              <w:rPr>
                <w:szCs w:val="18"/>
              </w:rPr>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3466F5D7" w14:textId="77777777" w:rsidR="007E0724" w:rsidRDefault="00C4775C">
            <w:pPr>
              <w:pStyle w:val="AnnexNumberedText"/>
              <w:spacing w:after="200"/>
              <w:rPr>
                <w:szCs w:val="18"/>
              </w:rPr>
            </w:pPr>
            <w:r>
              <w:t>i)</w:t>
            </w:r>
            <w:r>
              <w:tab/>
              <w:t>allar viðmiðanir um að valda ekki umtalsverðu tjóni sem skipta máli fyrir skógarstjórnun.</w:t>
            </w:r>
          </w:p>
          <w:p w14:paraId="6CF206CE" w14:textId="77777777" w:rsidR="007E0724" w:rsidRDefault="00C4775C">
            <w:pPr>
              <w:pStyle w:val="AnnexNumberedText"/>
              <w:tabs>
                <w:tab w:val="left" w:pos="364"/>
              </w:tabs>
              <w:spacing w:after="200"/>
              <w:ind w:left="0" w:firstLine="0"/>
              <w:rPr>
                <w:szCs w:val="18"/>
              </w:rPr>
            </w:pPr>
            <w:r>
              <w:t>1.3.</w:t>
            </w:r>
            <w:r>
              <w:tab/>
              <w:t>Sjálfbærni skógarstjórnunarkerfanna, eins og skjalfest er í áætluninni sem um getur í lið 1.1, er tryggð með því að velja metnaðarfyllstu aðferðina af eftirfarandi:</w:t>
            </w:r>
          </w:p>
          <w:p w14:paraId="1BFBF48A" w14:textId="77777777" w:rsidR="007E0724" w:rsidRDefault="00C4775C">
            <w:pPr>
              <w:pStyle w:val="AnnexNumberedText"/>
              <w:spacing w:after="200"/>
              <w:rPr>
                <w:szCs w:val="18"/>
              </w:rPr>
            </w:pPr>
            <w:r>
              <w:t>a)</w:t>
            </w:r>
            <w:r>
              <w:tab/>
              <w:t>skógarstjórnunin samsvarar gildandi landsbundinni skilgreiningu á sjálfbærri skógarstjórnun,</w:t>
            </w:r>
          </w:p>
          <w:p w14:paraId="2BE11499" w14:textId="77777777" w:rsidR="007E0724" w:rsidRDefault="00C4775C">
            <w:pPr>
              <w:pStyle w:val="AnnexNumberedText"/>
              <w:spacing w:after="0"/>
            </w:pPr>
            <w:r>
              <w:t>b)</w:t>
            </w:r>
            <w:r>
              <w:tab/>
              <w:t>skógarstjórnunin samsvarar skilgreiningu á sjálfbærri skógarstjórnun skóga í Evrópu (</w:t>
            </w:r>
            <w:r>
              <w:rPr>
                <w:rStyle w:val="Tilvsunneanmlsgrein"/>
                <w:sz w:val="18"/>
                <w:szCs w:val="18"/>
              </w:rPr>
              <w:footnoteReference w:id="57"/>
            </w:r>
            <w:r>
              <w:t xml:space="preserve">) og er í samræmi við </w:t>
            </w:r>
            <w:proofErr w:type="spellStart"/>
            <w:r>
              <w:t>samevrópskar</w:t>
            </w:r>
            <w:proofErr w:type="spellEnd"/>
            <w:r>
              <w:t xml:space="preserve"> leiðbeiningar vegna aðgerða á sviði sjálfbærrar skógarstjórnunar (</w:t>
            </w:r>
            <w:r>
              <w:rPr>
                <w:rStyle w:val="Tilvsunneanmlsgrein"/>
                <w:sz w:val="18"/>
                <w:szCs w:val="18"/>
              </w:rPr>
              <w:footnoteReference w:id="58"/>
            </w:r>
            <w:r>
              <w:t>),</w:t>
            </w:r>
          </w:p>
        </w:tc>
      </w:tr>
      <w:tr w:rsidR="007E0724" w14:paraId="14D78E5C" w14:textId="77777777">
        <w:trPr>
          <w:trHeight w:val="360"/>
        </w:trPr>
        <w:tc>
          <w:tcPr>
            <w:tcW w:w="8740" w:type="dxa"/>
            <w:tcBorders>
              <w:top w:val="nil"/>
              <w:bottom w:val="nil"/>
            </w:tcBorders>
            <w:tcMar>
              <w:left w:w="0" w:type="dxa"/>
              <w:right w:w="0" w:type="dxa"/>
            </w:tcMar>
          </w:tcPr>
          <w:p w14:paraId="4D0CDA7E" w14:textId="77777777" w:rsidR="007E0724" w:rsidRDefault="00C4775C">
            <w:pPr>
              <w:pStyle w:val="AnnexNumberedText"/>
              <w:pageBreakBefore/>
              <w:ind w:left="360" w:hanging="360"/>
              <w:rPr>
                <w:szCs w:val="18"/>
              </w:rPr>
            </w:pPr>
            <w:r>
              <w:lastRenderedPageBreak/>
              <w:t>c)</w:t>
            </w:r>
            <w:r>
              <w:tab/>
              <w:t xml:space="preserve">stjórnunarkerfið sem er til staðar er í samræmi við viðmiðanir um sjálfbærni skóga sem mælt er fyrir um í 6. mgr. 29. gr. tilskipunar (ESB) 2018/2001 og, frá og með gildistökudegi hennar, við framkvæmdargerðina um </w:t>
            </w:r>
            <w:proofErr w:type="spellStart"/>
            <w:r>
              <w:t>rekstrarlegar</w:t>
            </w:r>
            <w:proofErr w:type="spellEnd"/>
            <w:r>
              <w:t xml:space="preserve"> leiðbeiningar um orku frá lífmassa úr skógi sem var samþykkt skv. 8. mgr. 29. gr. þeirrar tilskipunar.</w:t>
            </w:r>
          </w:p>
          <w:p w14:paraId="0126E048" w14:textId="77777777" w:rsidR="007E0724" w:rsidRDefault="00C4775C">
            <w:pPr>
              <w:pStyle w:val="AnnexNumberedText"/>
              <w:tabs>
                <w:tab w:val="left" w:pos="364"/>
              </w:tabs>
              <w:spacing w:after="200"/>
              <w:ind w:left="0" w:firstLine="0"/>
              <w:rPr>
                <w:szCs w:val="18"/>
              </w:rPr>
            </w:pPr>
            <w:r>
              <w:t>1.4.</w:t>
            </w:r>
            <w:r>
              <w:tab/>
              <w:t>Starfsemin felur ekki í sér hnignun lands með miklar kolefnisbirgðir (</w:t>
            </w:r>
            <w:r>
              <w:rPr>
                <w:rStyle w:val="Tilvsunneanmlsgrein"/>
                <w:sz w:val="18"/>
                <w:szCs w:val="18"/>
              </w:rPr>
              <w:footnoteReference w:id="59"/>
            </w:r>
            <w:r>
              <w:t>).</w:t>
            </w:r>
          </w:p>
          <w:p w14:paraId="4B76C8BA" w14:textId="77777777" w:rsidR="007E0724" w:rsidRDefault="00C4775C">
            <w:pPr>
              <w:pStyle w:val="AnnexNumberedText"/>
              <w:tabs>
                <w:tab w:val="left" w:pos="364"/>
              </w:tabs>
              <w:spacing w:after="200"/>
              <w:ind w:left="0" w:firstLine="0"/>
              <w:rPr>
                <w:szCs w:val="18"/>
              </w:rPr>
            </w:pPr>
            <w:r>
              <w:t>1.5.</w:t>
            </w:r>
            <w:r>
              <w:tab/>
              <w:t>Stjórnunarkerfið sem tengist starfseminni sem er til staðar er í samræmi við skylduna um áreiðanleika og lagalegar kröfur sem mælt er fyrir um í reglugerð (ESB) nr. 995/2010.</w:t>
            </w:r>
          </w:p>
          <w:p w14:paraId="26FF659C" w14:textId="77777777" w:rsidR="007E0724" w:rsidRDefault="00C4775C">
            <w:pPr>
              <w:pStyle w:val="AnnexNumberedText"/>
              <w:tabs>
                <w:tab w:val="left" w:pos="364"/>
              </w:tabs>
              <w:spacing w:after="200"/>
              <w:ind w:left="0" w:firstLine="0"/>
              <w:rPr>
                <w:szCs w:val="18"/>
              </w:rPr>
            </w:pPr>
            <w:r>
              <w:t>1.6.</w:t>
            </w:r>
            <w:r>
              <w:tab/>
              <w:t xml:space="preserve">Í skógarstjórnunaráætluninni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p w14:paraId="2EE9CF0A" w14:textId="77777777" w:rsidR="007E0724" w:rsidRDefault="00C4775C">
            <w:pPr>
              <w:pStyle w:val="AnnexNumberedText"/>
              <w:spacing w:after="200"/>
              <w:ind w:left="360" w:hanging="360"/>
              <w:rPr>
                <w:szCs w:val="18"/>
              </w:rPr>
            </w:pPr>
            <w:r>
              <w:t>2.</w:t>
            </w:r>
            <w:r>
              <w:rPr>
                <w:i/>
              </w:rPr>
              <w:tab/>
              <w:t>Greining á loftslagsávinningi</w:t>
            </w:r>
          </w:p>
          <w:p w14:paraId="5AB88367" w14:textId="77777777" w:rsidR="007E0724" w:rsidRDefault="00C4775C">
            <w:pPr>
              <w:pStyle w:val="AnnexNumberedText"/>
              <w:tabs>
                <w:tab w:val="left" w:pos="508"/>
              </w:tabs>
              <w:ind w:left="0" w:firstLine="0"/>
              <w:rPr>
                <w:szCs w:val="18"/>
              </w:rPr>
            </w:pPr>
            <w:r>
              <w:t>2.1.</w:t>
            </w:r>
            <w:r>
              <w:tab/>
              <w:t xml:space="preserve">Að því er varðar svæði sem uppfylla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7395FF46" w14:textId="77777777" w:rsidR="007E0724" w:rsidRDefault="00C4775C">
            <w:pPr>
              <w:pStyle w:val="AnnexNumberedText"/>
              <w:rPr>
                <w:szCs w:val="18"/>
              </w:rPr>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5C6F201B" w14:textId="77777777" w:rsidR="007E0724" w:rsidRDefault="00C4775C">
            <w:pPr>
              <w:pStyle w:val="AnnexNumberedText"/>
              <w:rPr>
                <w:szCs w:val="18"/>
              </w:rPr>
            </w:pPr>
            <w:r>
              <w:t>b)</w:t>
            </w:r>
            <w:r>
              <w:tab/>
              <w:t xml:space="preserve">talið er að sýnt sé fram á langtíma loftslagsávinning með sönnun um samræmi við </w:t>
            </w:r>
            <w:proofErr w:type="spellStart"/>
            <w:r>
              <w:t>b-lið</w:t>
            </w:r>
            <w:proofErr w:type="spellEnd"/>
            <w:r>
              <w:t xml:space="preserve"> 7. mgr. 29. gr. tilskipunar (ESB) 2018/2001.</w:t>
            </w:r>
          </w:p>
          <w:p w14:paraId="2E2F996E" w14:textId="77777777" w:rsidR="007E0724" w:rsidRDefault="00C4775C">
            <w:pPr>
              <w:pStyle w:val="AnnexNumberedText"/>
              <w:tabs>
                <w:tab w:val="left" w:pos="508"/>
              </w:tabs>
              <w:ind w:left="0" w:firstLine="0"/>
              <w:rPr>
                <w:szCs w:val="18"/>
              </w:rPr>
            </w:pPr>
            <w:r>
              <w:t>2.2.</w:t>
            </w:r>
            <w:r>
              <w:tab/>
              <w:t xml:space="preserve">Að því er varðar svæði sem uppfylla ekki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731DE0D5" w14:textId="77777777" w:rsidR="007E0724" w:rsidRDefault="00C4775C">
            <w:pPr>
              <w:pStyle w:val="AnnexNumberedText"/>
              <w:rPr>
                <w:szCs w:val="18"/>
              </w:rPr>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5C473D58" w14:textId="77777777" w:rsidR="007E0724" w:rsidRDefault="00C4775C">
            <w:pPr>
              <w:pStyle w:val="AnnexNumberedText"/>
              <w:rPr>
                <w:szCs w:val="18"/>
              </w:rPr>
            </w:pPr>
            <w:r>
              <w:t>b)</w:t>
            </w:r>
            <w:r>
              <w:tab/>
              <w:t xml:space="preserve">framreiknað langtímameðaltal </w:t>
            </w:r>
            <w:proofErr w:type="spellStart"/>
            <w:r>
              <w:t>nettójöfnuðar</w:t>
            </w:r>
            <w:proofErr w:type="spellEnd"/>
            <w:r>
              <w:t xml:space="preserve"> gróðurhúsalofttegunda af starfseminni er lægra en langtímameðaltal </w:t>
            </w:r>
            <w:proofErr w:type="spellStart"/>
            <w:r>
              <w:t>nettójöfnuðar</w:t>
            </w:r>
            <w:proofErr w:type="spellEnd"/>
            <w:r>
              <w:t xml:space="preserve"> gróðurhúsalofttegunda sem var framreiknað fyrir grunnástandið, sem um getur í lið 2.2, þar sem „langtíma“ samsvarar lengri tíma á milli 100 ára og lengdar heillar skógræktarhringrásar.</w:t>
            </w:r>
          </w:p>
          <w:p w14:paraId="34093D73" w14:textId="77777777" w:rsidR="007E0724" w:rsidRDefault="00C4775C">
            <w:pPr>
              <w:pStyle w:val="AnnexNumberedText"/>
              <w:tabs>
                <w:tab w:val="left" w:pos="508"/>
              </w:tabs>
              <w:ind w:left="0" w:firstLine="0"/>
              <w:rPr>
                <w:szCs w:val="18"/>
              </w:rPr>
            </w:pPr>
            <w:r>
              <w:t>2.3.</w:t>
            </w:r>
            <w:r>
              <w:tab/>
              <w:t>Útreikningur á loftslagsávinningi uppfyllir allar eftirfarandi viðmiðanir:</w:t>
            </w:r>
          </w:p>
          <w:p w14:paraId="61872E81" w14:textId="77777777" w:rsidR="007E0724" w:rsidRDefault="00C4775C">
            <w:pPr>
              <w:pStyle w:val="AnnexNumberedText"/>
              <w:rPr>
                <w:szCs w:val="18"/>
              </w:rPr>
            </w:pPr>
            <w:r>
              <w:t>a)</w:t>
            </w:r>
            <w:r>
              <w:tab/>
              <w:t>greiningin er í samræmi við lagfæringar frá árinu 2019 á leiðbeiningum milliríkjanefndarinnar um loftslagsbreytingar (IPCC) um landsbókhald yfir gróðurhúsalofttegundir frá 2006 (</w:t>
            </w:r>
            <w:r>
              <w:rPr>
                <w:rStyle w:val="Tilvsunneanmlsgrein"/>
                <w:sz w:val="18"/>
                <w:szCs w:val="18"/>
              </w:rPr>
              <w:footnoteReference w:id="60"/>
            </w:r>
            <w:r>
              <w:t xml:space="preserve">). Greining á loftslagsávinningi er byggð á gagnsæjum, réttum, samkvæmum, heildstæðum og samanburðarhæfum upplýsingum, nær yfir alla kolefnisgeyma sem verða fyrir áhrifum af starfseminni, þ.m.t. lífmassi ofanjarðar, lífmassi neðanjarðar, dauður viður, rusl og jarðvegur, stuðst er við varfærnustu forsendur fyrir útreikningunum og hún inniheldur viðeigandi sjónarmið varðandi áhættuna af að kolefnisbinding verði ekki varanleg og snúist við, áhættu á </w:t>
            </w:r>
            <w:proofErr w:type="spellStart"/>
            <w:r>
              <w:t>mettun</w:t>
            </w:r>
            <w:proofErr w:type="spellEnd"/>
            <w:r>
              <w:t xml:space="preserve"> og áhættu á leka.</w:t>
            </w:r>
          </w:p>
          <w:p w14:paraId="1A1000E1" w14:textId="77777777" w:rsidR="007E0724" w:rsidRDefault="00C4775C">
            <w:pPr>
              <w:pStyle w:val="AnnexNumberedText"/>
              <w:rPr>
                <w:szCs w:val="18"/>
              </w:rPr>
            </w:pPr>
            <w:r>
              <w:t>b)</w:t>
            </w:r>
            <w:r>
              <w:tab/>
              <w:t>aðferðir sem notaðar eru við óbreyttar aðstæður, þ.m.t. aðferðir við nýtingu, eru einhverjar af eftirfarandi:</w:t>
            </w:r>
          </w:p>
          <w:p w14:paraId="72FE6E6F" w14:textId="77777777" w:rsidR="007E0724" w:rsidRDefault="00C4775C">
            <w:pPr>
              <w:pStyle w:val="AnnexNumberedText"/>
              <w:tabs>
                <w:tab w:val="right" w:pos="1196"/>
              </w:tabs>
              <w:ind w:left="600"/>
              <w:rPr>
                <w:szCs w:val="18"/>
              </w:rPr>
            </w:pPr>
            <w:r>
              <w:t>i.</w:t>
            </w:r>
            <w:r>
              <w:tab/>
              <w:t xml:space="preserve">stjórnunarvenjur eins og skjalfestar eru í nýjustu útgáfunni af skógarstjórnunaráætluninni eða jafngildum </w:t>
            </w:r>
            <w:proofErr w:type="spellStart"/>
            <w:r>
              <w:t>gerningi</w:t>
            </w:r>
            <w:proofErr w:type="spellEnd"/>
            <w:r>
              <w:t xml:space="preserve"> áður en starfsemin hefst, ef einhverjar eru,</w:t>
            </w:r>
          </w:p>
          <w:p w14:paraId="25DF8918" w14:textId="77777777" w:rsidR="007E0724" w:rsidRDefault="00C4775C">
            <w:pPr>
              <w:pStyle w:val="AnnexNumberedText"/>
              <w:tabs>
                <w:tab w:val="right" w:pos="1196"/>
              </w:tabs>
              <w:ind w:left="600"/>
              <w:rPr>
                <w:szCs w:val="18"/>
              </w:rPr>
            </w:pPr>
            <w:r>
              <w:t>ii.</w:t>
            </w:r>
            <w:r>
              <w:tab/>
              <w:t>aðferðir sem síðast eru notaðar við óbreyttar aðstæður áður en starfsemin hefst,</w:t>
            </w:r>
          </w:p>
          <w:p w14:paraId="0B9B1F6F" w14:textId="77777777" w:rsidR="007E0724" w:rsidRDefault="00C4775C">
            <w:pPr>
              <w:pStyle w:val="AnnexNumberedText"/>
              <w:tabs>
                <w:tab w:val="right" w:pos="1196"/>
              </w:tabs>
              <w:ind w:left="600"/>
              <w:rPr>
                <w:szCs w:val="18"/>
              </w:rPr>
            </w:pPr>
            <w:r>
              <w:t>iii.</w:t>
            </w:r>
            <w:r>
              <w:tab/>
              <w:t xml:space="preserve">starfsvenjur sem samsvara stjórnunarkerfi sem tryggir að kolefnisbirgðum og -viðtökum á skógarsvæðinu sé viðhaldið eða þau efld til langs tíma eins og sett er fram í </w:t>
            </w:r>
            <w:proofErr w:type="spellStart"/>
            <w:r>
              <w:t>b-lið</w:t>
            </w:r>
            <w:proofErr w:type="spellEnd"/>
            <w:r>
              <w:t xml:space="preserve"> 7. mgr. 29. gr. tilskipunar (ESB) 2018/2001,</w:t>
            </w:r>
          </w:p>
          <w:p w14:paraId="5911A443" w14:textId="77777777" w:rsidR="007E0724" w:rsidRDefault="00C4775C">
            <w:pPr>
              <w:pStyle w:val="AnnexNumberedText"/>
              <w:spacing w:after="0"/>
            </w:pPr>
            <w:r>
              <w:t>c)</w:t>
            </w:r>
            <w:r>
              <w:tab/>
              <w:t xml:space="preserve">úrlausnin í greiningunni er í réttu hlutfalli við stærð hlutaðeigandi svæðis og notuð eru gildi sem eru sértæk fyrir </w:t>
            </w:r>
            <w:r>
              <w:lastRenderedPageBreak/>
              <w:t>hlutaðeigandi svæði,</w:t>
            </w:r>
          </w:p>
        </w:tc>
      </w:tr>
      <w:tr w:rsidR="007E0724" w14:paraId="79980B17" w14:textId="77777777">
        <w:trPr>
          <w:trHeight w:val="360"/>
        </w:trPr>
        <w:tc>
          <w:tcPr>
            <w:tcW w:w="8740" w:type="dxa"/>
            <w:tcBorders>
              <w:top w:val="nil"/>
              <w:bottom w:val="nil"/>
            </w:tcBorders>
            <w:tcMar>
              <w:left w:w="0" w:type="dxa"/>
              <w:right w:w="0" w:type="dxa"/>
            </w:tcMar>
          </w:tcPr>
          <w:p w14:paraId="2C7D281B" w14:textId="77777777" w:rsidR="007E0724" w:rsidRDefault="00C4775C">
            <w:pPr>
              <w:pStyle w:val="AnnexNumberedText"/>
              <w:spacing w:after="200"/>
              <w:rPr>
                <w:szCs w:val="18"/>
              </w:rPr>
            </w:pPr>
            <w:r>
              <w:lastRenderedPageBreak/>
              <w:t>d)</w:t>
            </w:r>
            <w:r>
              <w:tab/>
              <w:t xml:space="preserve">losun og upptaka sem verða vegna náttúrulegra raskana, s.s. vegna ásóknar </w:t>
            </w:r>
            <w:proofErr w:type="spellStart"/>
            <w:r>
              <w:t>skaðvalda</w:t>
            </w:r>
            <w:proofErr w:type="spellEnd"/>
            <w:r>
              <w:t xml:space="preserve"> og sjúkdóma, skógarelda, vinds og fokskemmda, sem hafa áhrif á svæðið og valda ófullnægjandi frammistöðu, leiða ekki til þess að ákvæðin í reglugerð (ESB) 2020/852 séu ekki uppfyllt að því tilskildu að greiningin á loftslagsávinningi sé í samræmi við lagfæringarnar frá árinu 2019 á leiðbeiningum milliríkjanefndarinnar um loftslagsbreytingar (IPCC) um landsbókhald yfir gróðurhúsalofttegundir frá 2006 að því er varðar losun og upptöku vegna náttúrulegra raskana.</w:t>
            </w:r>
          </w:p>
          <w:p w14:paraId="58784EA0" w14:textId="77777777" w:rsidR="007E0724" w:rsidRDefault="00C4775C">
            <w:pPr>
              <w:pStyle w:val="AnnexNumberedText"/>
              <w:tabs>
                <w:tab w:val="left" w:pos="508"/>
              </w:tabs>
              <w:spacing w:after="200"/>
              <w:ind w:left="0" w:firstLine="0"/>
              <w:rPr>
                <w:szCs w:val="18"/>
              </w:rPr>
            </w:pPr>
            <w:r>
              <w:t>2.4.</w:t>
            </w:r>
            <w:r>
              <w:tab/>
              <w:t>Skógræktarbúum sem eru minni en 13 hektarar ber ekki skylda til að framkvæma greiningu á loftslagsávinningi.</w:t>
            </w:r>
          </w:p>
          <w:p w14:paraId="1A6D4085" w14:textId="77777777" w:rsidR="007E0724" w:rsidRDefault="00C4775C">
            <w:pPr>
              <w:pStyle w:val="AnnexNumberedText"/>
              <w:spacing w:after="200"/>
              <w:ind w:left="360" w:hanging="360"/>
              <w:rPr>
                <w:szCs w:val="18"/>
              </w:rPr>
            </w:pPr>
            <w:r>
              <w:t>3.</w:t>
            </w:r>
            <w:r>
              <w:rPr>
                <w:i/>
              </w:rPr>
              <w:tab/>
              <w:t>Trygging fyrir varanleika</w:t>
            </w:r>
          </w:p>
          <w:p w14:paraId="6C50F379" w14:textId="77777777" w:rsidR="007E0724" w:rsidRDefault="00C4775C">
            <w:pPr>
              <w:pStyle w:val="AnnexNumberedText"/>
              <w:tabs>
                <w:tab w:val="left" w:pos="508"/>
              </w:tabs>
              <w:spacing w:after="200"/>
              <w:ind w:left="0" w:firstLine="0"/>
              <w:rPr>
                <w:szCs w:val="18"/>
              </w:rPr>
            </w:pPr>
            <w:r>
              <w:t>3.1.</w:t>
            </w:r>
            <w:r>
              <w:tab/>
              <w:t>Í samræmi við landslög er staða skógarins á svæðinu þar sem starfsemin fer fram tryggð með einni af eftirfarandi ráðstöfunum:</w:t>
            </w:r>
          </w:p>
          <w:p w14:paraId="78995BE5" w14:textId="77777777" w:rsidR="007E0724" w:rsidRDefault="00C4775C">
            <w:pPr>
              <w:pStyle w:val="AnnexNumberedText"/>
              <w:spacing w:after="200"/>
              <w:rPr>
                <w:szCs w:val="18"/>
              </w:rPr>
            </w:pPr>
            <w:r>
              <w:t>a)</w:t>
            </w:r>
            <w:r>
              <w:tab/>
              <w:t>svæðið er flokkað sem varanlegur skógur samkvæmt skilgreiningu Matvæla- og landbúnaðarstofnunar SÞ (</w:t>
            </w:r>
            <w:r>
              <w:rPr>
                <w:rStyle w:val="Tilvsunneanmlsgrein"/>
                <w:sz w:val="18"/>
                <w:szCs w:val="18"/>
              </w:rPr>
              <w:footnoteReference w:id="61"/>
            </w:r>
            <w:r>
              <w:t>),</w:t>
            </w:r>
          </w:p>
          <w:p w14:paraId="2E67529C" w14:textId="77777777" w:rsidR="007E0724" w:rsidRDefault="00C4775C">
            <w:pPr>
              <w:pStyle w:val="AnnexNumberedText"/>
              <w:spacing w:after="200"/>
              <w:rPr>
                <w:szCs w:val="18"/>
              </w:rPr>
            </w:pPr>
            <w:r>
              <w:t>b)</w:t>
            </w:r>
            <w:r>
              <w:tab/>
              <w:t>svæðið er flokkað sem verndað svæði,</w:t>
            </w:r>
          </w:p>
          <w:p w14:paraId="4CD8EC3C" w14:textId="77777777" w:rsidR="007E0724" w:rsidRDefault="00C4775C">
            <w:pPr>
              <w:pStyle w:val="AnnexNumberedText"/>
              <w:spacing w:after="200"/>
              <w:rPr>
                <w:szCs w:val="18"/>
              </w:rPr>
            </w:pPr>
            <w:r>
              <w:t>c)</w:t>
            </w:r>
            <w:r>
              <w:tab/>
              <w:t>svæðið fellur undir lagalega eða samningsbundna ábyrgð sem tryggir að það verði áfram skógur.</w:t>
            </w:r>
          </w:p>
          <w:p w14:paraId="38EB912A" w14:textId="77777777" w:rsidR="007E0724" w:rsidRDefault="00C4775C">
            <w:pPr>
              <w:pStyle w:val="AnnexNumberedText"/>
              <w:tabs>
                <w:tab w:val="left" w:pos="508"/>
              </w:tabs>
              <w:spacing w:after="200"/>
              <w:ind w:left="0" w:firstLine="0"/>
              <w:rPr>
                <w:szCs w:val="18"/>
              </w:rPr>
            </w:pPr>
            <w:r>
              <w:t>3.2.</w:t>
            </w:r>
            <w:r>
              <w:tab/>
              <w:t xml:space="preserve">Í samræmi við landslög skuldbindur rekstraraðili starfseminnar sig til þess að í framtíðaruppfærslum á skógarstjórnunaráætlun eða jafngildum </w:t>
            </w:r>
            <w:proofErr w:type="spellStart"/>
            <w:r>
              <w:t>gerningi</w:t>
            </w:r>
            <w:proofErr w:type="spellEnd"/>
            <w:r>
              <w:t>, fyrir utan starfsemina sem er fjármögnuð, verði áfram keppt að loftslagsávinningi eins og ákvarðað er í 2. lið. Að auki skuldbindur rekstraraðili starfseminnar sig til þess að bæta upp hvers konar samdrátt í loftslagsávinningi, sem er ákvarðaður í 2. lið, með jafngildum loftslagsávinningi sem leiðir af því að stunda starfsemi sem svarar til einhverrar af þeirri starfsemi tengdrar skógrækt sem er skilgreind í þessari reglugerð.</w:t>
            </w:r>
          </w:p>
          <w:p w14:paraId="402CCA28" w14:textId="77777777" w:rsidR="007E0724" w:rsidRDefault="00C4775C">
            <w:pPr>
              <w:pStyle w:val="AnnexNumberedText"/>
              <w:spacing w:after="200"/>
              <w:ind w:left="360" w:hanging="360"/>
              <w:rPr>
                <w:szCs w:val="18"/>
              </w:rPr>
            </w:pPr>
            <w:r>
              <w:t>4.</w:t>
            </w:r>
            <w:r>
              <w:rPr>
                <w:i/>
              </w:rPr>
              <w:tab/>
              <w:t>Úttekt</w:t>
            </w:r>
          </w:p>
          <w:p w14:paraId="11542877" w14:textId="77777777" w:rsidR="007E0724" w:rsidRDefault="00C4775C">
            <w:pPr>
              <w:pStyle w:val="AnnexTableCellLeft"/>
              <w:spacing w:after="200"/>
              <w:rPr>
                <w:szCs w:val="18"/>
              </w:rPr>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64A11F17" w14:textId="77777777" w:rsidR="007E0724" w:rsidRDefault="00C4775C">
            <w:pPr>
              <w:pStyle w:val="AnnexNumberedText"/>
              <w:spacing w:after="200"/>
              <w:rPr>
                <w:szCs w:val="18"/>
              </w:rPr>
            </w:pPr>
            <w:r>
              <w:t>a)</w:t>
            </w:r>
            <w:r>
              <w:tab/>
              <w:t xml:space="preserve">viðeigandi </w:t>
            </w:r>
            <w:proofErr w:type="spellStart"/>
            <w:r>
              <w:t>lögbær</w:t>
            </w:r>
            <w:proofErr w:type="spellEnd"/>
            <w:r>
              <w:t xml:space="preserve"> landsyfirvöld,</w:t>
            </w:r>
          </w:p>
          <w:p w14:paraId="1432A899" w14:textId="77777777" w:rsidR="007E0724" w:rsidRDefault="00C4775C">
            <w:pPr>
              <w:pStyle w:val="AnnexNumberedText"/>
              <w:spacing w:after="200"/>
              <w:rPr>
                <w:szCs w:val="18"/>
              </w:rPr>
            </w:pPr>
            <w:r>
              <w:t>b)</w:t>
            </w:r>
            <w:r>
              <w:tab/>
              <w:t>óháður þriðji aðili, sem er vottunaraðili, að beiðni landsyfirvalda eða rekstraraðila starfseminnar.</w:t>
            </w:r>
          </w:p>
          <w:p w14:paraId="767AB6FE" w14:textId="77777777" w:rsidR="007E0724" w:rsidRDefault="00C4775C">
            <w:pPr>
              <w:pStyle w:val="AnnexTableCellLeft"/>
              <w:spacing w:after="200"/>
              <w:rPr>
                <w:szCs w:val="18"/>
              </w:rPr>
            </w:pPr>
            <w:r>
              <w:t>Í því skyni að draga úr kostnaði er heimilt að framkvæma úttekt samhliða skógarvottun, loftslagvottun eða annarri úttekt.</w:t>
            </w:r>
          </w:p>
          <w:p w14:paraId="5CCB1E11" w14:textId="77777777" w:rsidR="007E0724" w:rsidRDefault="00C4775C">
            <w:pPr>
              <w:pStyle w:val="AnnexTableCellLeft"/>
              <w:spacing w:after="200"/>
              <w:rPr>
                <w:szCs w:val="18"/>
              </w:rPr>
            </w:pPr>
            <w:r>
              <w:t>Óháður þriðji aðili, sem er vottunaraðili, má ekki eiga í neins konar hagsmunaárekstrum við eigandann eða fjármögnunaraðilann og má ekki hafa afskipti af þróun eða rekstri starfseminnar.</w:t>
            </w:r>
          </w:p>
          <w:p w14:paraId="774D4C50" w14:textId="77777777" w:rsidR="007E0724" w:rsidRDefault="00C4775C">
            <w:pPr>
              <w:pStyle w:val="AnnexNumberedText"/>
              <w:spacing w:after="200"/>
              <w:ind w:left="360" w:hanging="360"/>
              <w:rPr>
                <w:szCs w:val="18"/>
              </w:rPr>
            </w:pPr>
            <w:r>
              <w:t>5.</w:t>
            </w:r>
            <w:r>
              <w:rPr>
                <w:i/>
              </w:rPr>
              <w:tab/>
              <w:t>Hópmat</w:t>
            </w:r>
          </w:p>
          <w:p w14:paraId="6B75869B" w14:textId="77777777" w:rsidR="007E0724" w:rsidRDefault="00C4775C">
            <w:pPr>
              <w:pStyle w:val="AnnexTableCellLeft"/>
              <w:spacing w:after="200"/>
              <w:rPr>
                <w:szCs w:val="18"/>
              </w:rPr>
            </w:pPr>
            <w:r>
              <w:t xml:space="preserve">Hægt er að hafa eftirlit með því hvort farið er að viðmiðunum um verulegt framlag til </w:t>
            </w:r>
            <w:proofErr w:type="spellStart"/>
            <w:r>
              <w:t>mildunar</w:t>
            </w:r>
            <w:proofErr w:type="spellEnd"/>
            <w:r>
              <w:t xml:space="preserve"> loftslagsbreytinga og viðmiðunum um að valda ekki umtalsverðu tjóni:</w:t>
            </w:r>
          </w:p>
          <w:p w14:paraId="16B9D7BB" w14:textId="77777777" w:rsidR="007E0724" w:rsidRDefault="00C4775C">
            <w:pPr>
              <w:pStyle w:val="AnnexNumberedText"/>
              <w:spacing w:after="200"/>
              <w:rPr>
                <w:szCs w:val="18"/>
              </w:rPr>
            </w:pPr>
            <w:r>
              <w:t>a)</w:t>
            </w:r>
            <w:r>
              <w:tab/>
              <w:t>á upprunasvæði skógræktarafurða (</w:t>
            </w:r>
            <w:r>
              <w:rPr>
                <w:rStyle w:val="Tilvsunneanmlsgrein"/>
                <w:sz w:val="18"/>
                <w:szCs w:val="18"/>
              </w:rPr>
              <w:footnoteReference w:id="62"/>
            </w:r>
            <w:r>
              <w:t>) eins og skilgreint er í 30. lið 2. gr. tilskipunar (ESB) 2018/2001,</w:t>
            </w:r>
          </w:p>
          <w:p w14:paraId="7295D84E" w14:textId="77777777" w:rsidR="007E0724" w:rsidRDefault="00C4775C">
            <w:pPr>
              <w:pStyle w:val="AnnexNumberedText"/>
              <w:spacing w:after="0"/>
            </w:pPr>
            <w:r>
              <w:t>b)</w:t>
            </w:r>
            <w:r>
              <w:tab/>
              <w:t>hjá hópi 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bl>
    <w:p w14:paraId="58EE5AC7" w14:textId="77777777" w:rsidR="007E0724" w:rsidRDefault="007E0724">
      <w:pPr>
        <w:pStyle w:val="Para"/>
        <w:spacing w:after="0"/>
      </w:pPr>
    </w:p>
    <w:tbl>
      <w:tblPr>
        <w:tblStyle w:val="EFTATable"/>
        <w:tblW w:w="8740" w:type="dxa"/>
        <w:tblInd w:w="500" w:type="dxa"/>
        <w:tblLook w:val="04A0" w:firstRow="1" w:lastRow="0" w:firstColumn="1" w:lastColumn="0" w:noHBand="0" w:noVBand="1"/>
      </w:tblPr>
      <w:tblGrid>
        <w:gridCol w:w="2956"/>
        <w:gridCol w:w="5784"/>
      </w:tblGrid>
      <w:tr w:rsidR="007E0724" w14:paraId="43F86A43" w14:textId="77777777">
        <w:trPr>
          <w:trHeight w:val="240"/>
        </w:trPr>
        <w:tc>
          <w:tcPr>
            <w:tcW w:w="8740" w:type="dxa"/>
            <w:gridSpan w:val="2"/>
            <w:tcMar>
              <w:left w:w="0" w:type="dxa"/>
              <w:right w:w="0" w:type="dxa"/>
            </w:tcMar>
          </w:tcPr>
          <w:p w14:paraId="4B1D7403" w14:textId="77777777" w:rsidR="007E0724" w:rsidRDefault="00C4775C">
            <w:pPr>
              <w:pStyle w:val="AnnexTableCellLeft"/>
              <w:spacing w:before="60" w:after="60"/>
            </w:pPr>
            <w:r>
              <w:t>Ekki valda umtalsverðu tjóni</w:t>
            </w:r>
          </w:p>
        </w:tc>
      </w:tr>
      <w:tr w:rsidR="007E0724" w14:paraId="58E37E33" w14:textId="77777777">
        <w:trPr>
          <w:trHeight w:val="360"/>
        </w:trPr>
        <w:tc>
          <w:tcPr>
            <w:tcW w:w="2956" w:type="dxa"/>
            <w:tcMar>
              <w:left w:w="0" w:type="dxa"/>
              <w:right w:w="0" w:type="dxa"/>
            </w:tcMar>
          </w:tcPr>
          <w:p w14:paraId="2C1157A5" w14:textId="77777777" w:rsidR="007E0724" w:rsidRDefault="00C4775C">
            <w:pPr>
              <w:pStyle w:val="AnnexNumberedText"/>
              <w:spacing w:after="0"/>
            </w:pPr>
            <w:r>
              <w:t>2)</w:t>
            </w:r>
            <w:r>
              <w:tab/>
              <w:t>Aðlögun að loftslagsbreytingum</w:t>
            </w:r>
          </w:p>
        </w:tc>
        <w:tc>
          <w:tcPr>
            <w:tcW w:w="5784" w:type="dxa"/>
            <w:tcMar>
              <w:left w:w="0" w:type="dxa"/>
              <w:right w:w="0" w:type="dxa"/>
            </w:tcMar>
          </w:tcPr>
          <w:p w14:paraId="305C1D79" w14:textId="77777777" w:rsidR="007E0724" w:rsidRDefault="00C4775C">
            <w:pPr>
              <w:pStyle w:val="AnnexTableCellLeft"/>
              <w:ind w:left="60"/>
            </w:pPr>
            <w:r>
              <w:t xml:space="preserve">Starfsemin er í samræmi við viðmiðanirnar sem settar eru fram í viðbæti A við </w:t>
            </w:r>
            <w:r>
              <w:lastRenderedPageBreak/>
              <w:t>þennan viðauka.</w:t>
            </w:r>
          </w:p>
        </w:tc>
      </w:tr>
      <w:tr w:rsidR="007E0724" w14:paraId="14B7C4C7" w14:textId="77777777">
        <w:trPr>
          <w:trHeight w:val="360"/>
        </w:trPr>
        <w:tc>
          <w:tcPr>
            <w:tcW w:w="2956" w:type="dxa"/>
            <w:tcMar>
              <w:left w:w="0" w:type="dxa"/>
              <w:right w:w="0" w:type="dxa"/>
            </w:tcMar>
          </w:tcPr>
          <w:p w14:paraId="2A6D632A" w14:textId="77777777" w:rsidR="007E0724" w:rsidRDefault="00C4775C">
            <w:pPr>
              <w:pStyle w:val="AnnexNumberedText"/>
              <w:pageBreakBefore/>
              <w:ind w:right="40"/>
            </w:pPr>
            <w:r>
              <w:lastRenderedPageBreak/>
              <w:t>3)</w:t>
            </w:r>
            <w:r>
              <w:tab/>
              <w:t>Sjálfbær notkun og verndun vatns- og sjávarauðlinda</w:t>
            </w:r>
          </w:p>
        </w:tc>
        <w:tc>
          <w:tcPr>
            <w:tcW w:w="5784" w:type="dxa"/>
            <w:tcMar>
              <w:left w:w="0" w:type="dxa"/>
              <w:right w:w="0" w:type="dxa"/>
            </w:tcMar>
          </w:tcPr>
          <w:p w14:paraId="418206AB" w14:textId="77777777" w:rsidR="007E0724" w:rsidRDefault="00C4775C">
            <w:pPr>
              <w:pStyle w:val="AnnexTableCellLeft"/>
              <w:spacing w:after="360"/>
              <w:ind w:left="40"/>
            </w:pPr>
            <w:r>
              <w:t>Starfsemin er í samræmi við viðmiðanirnar sem settar eru fram í viðbæti B við þennan viðauka.</w:t>
            </w:r>
          </w:p>
          <w:p w14:paraId="3446A1BE" w14:textId="77777777" w:rsidR="007E0724" w:rsidRDefault="00C4775C">
            <w:pPr>
              <w:pStyle w:val="AnnexTableCellLeft"/>
              <w:ind w:left="40"/>
            </w:pPr>
            <w:r>
              <w:t xml:space="preserve">Ítarlegar upplýsingar sem um getur í lið 1.2. Í </w:t>
            </w:r>
            <w:proofErr w:type="spellStart"/>
            <w:r>
              <w:t>i-lið</w:t>
            </w:r>
            <w:proofErr w:type="spellEnd"/>
            <w:r>
              <w:t xml:space="preserve"> eru ákvæði um að uppfylla viðmiðanirnar sem settar eru fram í viðbæti B við þennan viðauka.</w:t>
            </w:r>
          </w:p>
        </w:tc>
      </w:tr>
      <w:tr w:rsidR="007E0724" w14:paraId="1F3194E9" w14:textId="77777777">
        <w:trPr>
          <w:trHeight w:val="360"/>
        </w:trPr>
        <w:tc>
          <w:tcPr>
            <w:tcW w:w="2956" w:type="dxa"/>
            <w:tcMar>
              <w:left w:w="0" w:type="dxa"/>
              <w:right w:w="0" w:type="dxa"/>
            </w:tcMar>
          </w:tcPr>
          <w:p w14:paraId="6904B618" w14:textId="77777777" w:rsidR="007E0724" w:rsidRDefault="00C4775C">
            <w:pPr>
              <w:pStyle w:val="AnnexNumberedText"/>
            </w:pPr>
            <w:r>
              <w:t>4)</w:t>
            </w:r>
            <w:r>
              <w:tab/>
              <w:t>Umskipti yfir í hringrásarhagkerfi</w:t>
            </w:r>
          </w:p>
        </w:tc>
        <w:tc>
          <w:tcPr>
            <w:tcW w:w="5784" w:type="dxa"/>
            <w:tcMar>
              <w:left w:w="0" w:type="dxa"/>
              <w:right w:w="0" w:type="dxa"/>
            </w:tcMar>
          </w:tcPr>
          <w:p w14:paraId="74CAB293" w14:textId="77777777" w:rsidR="007E0724" w:rsidRDefault="00C4775C">
            <w:pPr>
              <w:pStyle w:val="AnnexTableCellLeft"/>
              <w:ind w:left="40"/>
            </w:pPr>
            <w:r>
              <w:t>Breyting á skógrækt, sem starfsemin veldur á svæðinu sem hún nær yfir, er ekki líkleg til að draga umtalsvert úr sjálfbæru framboði á fyrsta stigs lífmassa úr skógi sem hentar til framleiðslu á vörum sem unnar eru úr viði með langtímamöguleika til hringrásar. Þessa viðmiðun er hægt að sýna fram á með greiningu á loftslagsávinningnum sem um getur í 2. lið.</w:t>
            </w:r>
          </w:p>
        </w:tc>
      </w:tr>
      <w:tr w:rsidR="007E0724" w14:paraId="3D76D53A" w14:textId="77777777">
        <w:trPr>
          <w:trHeight w:val="360"/>
        </w:trPr>
        <w:tc>
          <w:tcPr>
            <w:tcW w:w="2956" w:type="dxa"/>
            <w:tcBorders>
              <w:bottom w:val="single" w:sz="4" w:space="0" w:color="auto"/>
            </w:tcBorders>
            <w:tcMar>
              <w:left w:w="0" w:type="dxa"/>
              <w:right w:w="0" w:type="dxa"/>
            </w:tcMar>
          </w:tcPr>
          <w:p w14:paraId="4C2A6A83" w14:textId="77777777" w:rsidR="007E0724" w:rsidRDefault="00C4775C">
            <w:pPr>
              <w:pStyle w:val="AnnexNumberedText"/>
            </w:pPr>
            <w:r>
              <w:t>5)</w:t>
            </w:r>
            <w:r>
              <w:tab/>
              <w:t>Mengunarvarnir og eftirlit með mengun</w:t>
            </w:r>
          </w:p>
        </w:tc>
        <w:tc>
          <w:tcPr>
            <w:tcW w:w="5784" w:type="dxa"/>
            <w:tcBorders>
              <w:bottom w:val="single" w:sz="4" w:space="0" w:color="auto"/>
            </w:tcBorders>
            <w:tcMar>
              <w:left w:w="0" w:type="dxa"/>
              <w:right w:w="0" w:type="dxa"/>
            </w:tcMar>
          </w:tcPr>
          <w:p w14:paraId="12450274" w14:textId="77777777" w:rsidR="007E0724" w:rsidRDefault="00C4775C">
            <w:pPr>
              <w:pStyle w:val="AnnexTableCellLeft"/>
              <w:spacing w:after="360"/>
              <w:ind w:left="40"/>
            </w:pPr>
            <w:r>
              <w:t xml:space="preserve">Dregið er úr notkun varnarefna og annars konar aðferðir eða nálganir, sem geta falið í sér valkosti sem ekki byggjast á notkun varnarefna, eru valdar, í samræmi við tilskipun 2009/128/EB, að undanskildum tilvikum þegar þörf er á notkun varnarefna til hafa stjórn á uppkomu </w:t>
            </w:r>
            <w:proofErr w:type="spellStart"/>
            <w:r>
              <w:t>skaðvalda</w:t>
            </w:r>
            <w:proofErr w:type="spellEnd"/>
            <w:r>
              <w:t xml:space="preserve"> og sjúkdóma.</w:t>
            </w:r>
          </w:p>
          <w:p w14:paraId="7C7BCDF7" w14:textId="77777777" w:rsidR="007E0724" w:rsidRDefault="00C4775C">
            <w:pPr>
              <w:pStyle w:val="AnnexTableCellLeft"/>
              <w:spacing w:after="360"/>
              <w:ind w:left="40"/>
            </w:pPr>
            <w:r>
              <w:t>Notkun áburðar er lágmörkuð í starfseminni og húsdýraáburður ekki notaður. Starfsemin er í samræmi við reglugerð (ESB) 2019/1009 eða landsbundnar reglur um áburð eða jarðvegsbæta til notkunar í landbúnaði.</w:t>
            </w:r>
          </w:p>
          <w:p w14:paraId="349974EB" w14:textId="77777777" w:rsidR="007E0724" w:rsidRDefault="00C4775C">
            <w:pPr>
              <w:pStyle w:val="AnnexTableCellLeft"/>
              <w:spacing w:after="360"/>
              <w:ind w:left="40"/>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Evrópuþingsins og ráðsins (ESB) 2019/1021 (</w:t>
            </w:r>
            <w:r>
              <w:rPr>
                <w:rStyle w:val="Tilvsunneanmlsgrein"/>
                <w:sz w:val="18"/>
              </w:rPr>
              <w:footnoteReference w:id="63"/>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rPr>
              <w:footnoteReference w:id="64"/>
            </w:r>
            <w:r>
              <w:t>). Starfsemin er í samræmi við viðeigandi landslög um virk innihaldsefni.</w:t>
            </w:r>
          </w:p>
          <w:p w14:paraId="7E271C55" w14:textId="77777777" w:rsidR="007E0724" w:rsidRDefault="00C4775C">
            <w:pPr>
              <w:pStyle w:val="AnnexTableCellLeft"/>
              <w:ind w:left="40"/>
            </w:pPr>
            <w:r>
              <w:t>Komið er í veg fyrir mengun vatns og jarðvegs og gripið til hreinsunarráðstafana þegar mengun á sér stað.</w:t>
            </w:r>
          </w:p>
        </w:tc>
      </w:tr>
      <w:tr w:rsidR="007E0724" w14:paraId="411126C3" w14:textId="77777777">
        <w:trPr>
          <w:trHeight w:val="360"/>
        </w:trPr>
        <w:tc>
          <w:tcPr>
            <w:tcW w:w="2956" w:type="dxa"/>
            <w:vMerge w:val="restart"/>
            <w:tcBorders>
              <w:bottom w:val="nil"/>
            </w:tcBorders>
            <w:tcMar>
              <w:left w:w="0" w:type="dxa"/>
              <w:right w:w="0" w:type="dxa"/>
            </w:tcMar>
          </w:tcPr>
          <w:p w14:paraId="12DEDEBA" w14:textId="77777777" w:rsidR="007E0724" w:rsidRDefault="00C4775C">
            <w:pPr>
              <w:pStyle w:val="AnnexNumberedText"/>
            </w:pPr>
            <w:r>
              <w:t>6)</w:t>
            </w:r>
            <w:r>
              <w:tab/>
              <w:t>Vernd og endurheimt líffræðilegrar fjölbreytni og vistkerfa</w:t>
            </w:r>
          </w:p>
        </w:tc>
        <w:tc>
          <w:tcPr>
            <w:tcW w:w="5784" w:type="dxa"/>
            <w:tcBorders>
              <w:bottom w:val="nil"/>
            </w:tcBorders>
            <w:tcMar>
              <w:left w:w="0" w:type="dxa"/>
              <w:right w:w="0" w:type="dxa"/>
            </w:tcMar>
          </w:tcPr>
          <w:p w14:paraId="0B133215" w14:textId="77777777" w:rsidR="007E0724" w:rsidRDefault="00C4775C">
            <w:pPr>
              <w:pStyle w:val="AnnexTableCellLeft"/>
              <w:spacing w:after="320"/>
              <w:ind w:left="4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7A74FF0E" w14:textId="77777777" w:rsidR="007E0724" w:rsidRDefault="00C4775C">
            <w:pPr>
              <w:pStyle w:val="AnnexTableCellLeft"/>
              <w:spacing w:after="320"/>
              <w:ind w:left="40"/>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7569BB76" w14:textId="77777777" w:rsidR="007E0724" w:rsidRDefault="00C4775C">
            <w:pPr>
              <w:pStyle w:val="AnnexTableCellLeft"/>
              <w:spacing w:after="320"/>
              <w:ind w:left="40"/>
            </w:pPr>
            <w:r>
              <w:t xml:space="preserve">Ítarlegu upplýsingarnar sem um getur í </w:t>
            </w:r>
            <w:proofErr w:type="spellStart"/>
            <w:r>
              <w:t>i-lið</w:t>
            </w:r>
            <w:proofErr w:type="spellEnd"/>
            <w:r>
              <w:t xml:space="preserve"> í lið 1.2 innihalda ákvæði um viðhald og mögulega eflingu líffræðilegrar fjölbreytni í samræmi við landsbundin og staðbundin ákvæði, þ.m.t. eftirfarandi:</w:t>
            </w:r>
          </w:p>
          <w:p w14:paraId="744995F9" w14:textId="77777777" w:rsidR="007E0724" w:rsidRDefault="00C4775C">
            <w:pPr>
              <w:pStyle w:val="AnnexNumberedText"/>
              <w:spacing w:after="320"/>
              <w:ind w:left="340"/>
            </w:pPr>
            <w:r>
              <w:t>a)</w:t>
            </w:r>
            <w:r>
              <w:tab/>
              <w:t>að tryggja góða varðveislustöðu búsvæðis og tegunda, viðhald dæmigerðra tegunda á búsvæði,</w:t>
            </w:r>
          </w:p>
          <w:p w14:paraId="460B7841" w14:textId="77777777" w:rsidR="007E0724" w:rsidRDefault="00C4775C">
            <w:pPr>
              <w:pStyle w:val="AnnexNumberedText"/>
              <w:spacing w:after="0"/>
              <w:ind w:left="340"/>
            </w:pPr>
            <w:r>
              <w:t>b)</w:t>
            </w:r>
            <w:r>
              <w:tab/>
              <w:t xml:space="preserve">að undanskilja notkun á eða </w:t>
            </w:r>
            <w:proofErr w:type="spellStart"/>
            <w:r>
              <w:t>sleppingu</w:t>
            </w:r>
            <w:proofErr w:type="spellEnd"/>
            <w:r>
              <w:t xml:space="preserve"> ágengra framandi tegunda,</w:t>
            </w:r>
          </w:p>
        </w:tc>
      </w:tr>
      <w:tr w:rsidR="007E0724" w14:paraId="325688B4" w14:textId="77777777">
        <w:trPr>
          <w:trHeight w:val="240"/>
        </w:trPr>
        <w:tc>
          <w:tcPr>
            <w:tcW w:w="2956" w:type="dxa"/>
            <w:vMerge/>
            <w:tcBorders>
              <w:top w:val="single" w:sz="4" w:space="0" w:color="auto"/>
            </w:tcBorders>
            <w:tcMar>
              <w:left w:w="0" w:type="dxa"/>
              <w:right w:w="0" w:type="dxa"/>
            </w:tcMar>
          </w:tcPr>
          <w:p w14:paraId="4A08D5D0" w14:textId="77777777" w:rsidR="007E0724" w:rsidRDefault="007E0724">
            <w:pPr>
              <w:pStyle w:val="Para"/>
            </w:pPr>
          </w:p>
        </w:tc>
        <w:tc>
          <w:tcPr>
            <w:tcW w:w="5784" w:type="dxa"/>
            <w:tcBorders>
              <w:top w:val="single" w:sz="4" w:space="0" w:color="auto"/>
            </w:tcBorders>
            <w:tcMar>
              <w:left w:w="0" w:type="dxa"/>
              <w:right w:w="0" w:type="dxa"/>
            </w:tcMar>
          </w:tcPr>
          <w:p w14:paraId="4FFF77A2" w14:textId="77777777" w:rsidR="007E0724" w:rsidRDefault="00C4775C">
            <w:pPr>
              <w:pStyle w:val="AnnexNumberedText"/>
              <w:spacing w:after="160"/>
              <w:ind w:left="340"/>
            </w:pPr>
            <w:r>
              <w:t>c)</w:t>
            </w:r>
            <w:r>
              <w:tab/>
              <w:t xml:space="preserve">að undanskilja notkun á framandi tegundum nema unnt sé að sýna fram á </w:t>
            </w:r>
            <w:r>
              <w:lastRenderedPageBreak/>
              <w:t>að:</w:t>
            </w:r>
          </w:p>
          <w:p w14:paraId="169D7159" w14:textId="77777777" w:rsidR="007E0724" w:rsidRDefault="00C4775C">
            <w:pPr>
              <w:pStyle w:val="AnnexNumberedText"/>
              <w:spacing w:after="160"/>
              <w:ind w:left="600"/>
            </w:pPr>
            <w:r>
              <w:t>i.</w:t>
            </w:r>
            <w:r>
              <w:tab/>
              <w:t>notkun á fjölgunarefni í skógrækt leiði til hagstæðara og viðeigandi ástands vistkerfisins (s.s. loftslag, jarðvegsskilyrði og gróðursvæði, viðnám gegn skógareldum),</w:t>
            </w:r>
          </w:p>
          <w:p w14:paraId="31122199" w14:textId="77777777" w:rsidR="007E0724" w:rsidRDefault="00C4775C">
            <w:pPr>
              <w:pStyle w:val="AnnexNumberedText"/>
              <w:spacing w:after="160"/>
              <w:ind w:left="600"/>
            </w:pPr>
            <w:r>
              <w:t>ii.</w:t>
            </w:r>
            <w:r>
              <w:tab/>
              <w:t>innlendar tegundir, sem eru þegar til staðar á svæðinu, eru ekki lengur aðlagaðar að framreiknuðum loftslagsskilyrðum og jarðvegsfræðilegum/vatnafræðilegum skilyrðum,</w:t>
            </w:r>
          </w:p>
          <w:p w14:paraId="1F9FC240" w14:textId="77777777" w:rsidR="007E0724" w:rsidRDefault="00C4775C">
            <w:pPr>
              <w:pStyle w:val="AnnexNumberedText"/>
              <w:spacing w:after="160"/>
              <w:ind w:left="340"/>
            </w:pPr>
            <w:r>
              <w:t>d)</w:t>
            </w:r>
            <w:r>
              <w:tab/>
              <w:t xml:space="preserve">að tryggja viðhald og úrbætur á </w:t>
            </w:r>
            <w:proofErr w:type="spellStart"/>
            <w:r>
              <w:t>eðlisrænum</w:t>
            </w:r>
            <w:proofErr w:type="spellEnd"/>
            <w:r>
              <w:t>, efnafræðilegum og líffræðilegum gæðum jarðvegsins,</w:t>
            </w:r>
          </w:p>
          <w:p w14:paraId="4EEBD8A8" w14:textId="77777777" w:rsidR="007E0724" w:rsidRDefault="00C4775C">
            <w:pPr>
              <w:pStyle w:val="AnnexNumberedText"/>
              <w:spacing w:after="160"/>
              <w:ind w:left="340"/>
            </w:pPr>
            <w:r>
              <w:t>e)</w:t>
            </w:r>
            <w:r>
              <w:tab/>
              <w:t>að efla starfsvenjur sem gagnast líffræðilegri fjölbreytni og bæta náttúrulegt ferli skóga,</w:t>
            </w:r>
          </w:p>
          <w:p w14:paraId="48E382D7" w14:textId="77777777" w:rsidR="007E0724" w:rsidRDefault="00C4775C">
            <w:pPr>
              <w:pStyle w:val="AnnexNumberedText"/>
              <w:spacing w:after="160"/>
              <w:ind w:left="340"/>
            </w:pPr>
            <w:r>
              <w:t>f)</w:t>
            </w:r>
            <w:r>
              <w:tab/>
              <w:t>að útiloka umbreytingu vistkerfa þar sem líffræðileg fjölbreytni er mikil yfir í vistkerfi þar sem líffræðileg fjölbreytni er minni,</w:t>
            </w:r>
          </w:p>
          <w:p w14:paraId="5B1F5BD4" w14:textId="77777777" w:rsidR="007E0724" w:rsidRDefault="00C4775C">
            <w:pPr>
              <w:pStyle w:val="AnnexNumberedText"/>
              <w:spacing w:after="160"/>
              <w:ind w:left="340"/>
            </w:pPr>
            <w:r>
              <w:t>g)</w:t>
            </w:r>
            <w:r>
              <w:tab/>
              <w:t>að tryggja fjölbreytni tengdra búsvæða og tegunda sem tengjast skóginum,</w:t>
            </w:r>
          </w:p>
          <w:p w14:paraId="5D12B92B" w14:textId="77777777" w:rsidR="007E0724" w:rsidRDefault="00C4775C">
            <w:pPr>
              <w:pStyle w:val="AnnexNumberedText"/>
              <w:ind w:left="340"/>
            </w:pPr>
            <w:r>
              <w:t>h)</w:t>
            </w:r>
            <w:r>
              <w:tab/>
              <w:t>að tryggja fjölbreytni í formgerð skógarteiga og að viðhalda eða efla fullvaxta skógarteiga og dauðan við.</w:t>
            </w:r>
          </w:p>
        </w:tc>
      </w:tr>
    </w:tbl>
    <w:p w14:paraId="3CC73250" w14:textId="77777777" w:rsidR="007E0724" w:rsidRDefault="00C4775C">
      <w:pPr>
        <w:pStyle w:val="AnnexNumberedText"/>
        <w:spacing w:before="200"/>
        <w:ind w:left="500" w:hanging="500"/>
      </w:pPr>
      <w:r>
        <w:lastRenderedPageBreak/>
        <w:t>1.4.</w:t>
      </w:r>
      <w:r>
        <w:rPr>
          <w:b/>
        </w:rPr>
        <w:tab/>
        <w:t>Varðveisluskógrækt</w:t>
      </w:r>
    </w:p>
    <w:p w14:paraId="40E2077F" w14:textId="77777777" w:rsidR="007E0724" w:rsidRDefault="00C4775C">
      <w:pPr>
        <w:pStyle w:val="AnnexGrSeq3"/>
        <w:ind w:left="500"/>
        <w:jc w:val="left"/>
      </w:pPr>
      <w:r>
        <w:rPr>
          <w:i/>
        </w:rPr>
        <w:t>Lýsing á starfseminni</w:t>
      </w:r>
    </w:p>
    <w:p w14:paraId="3A466436" w14:textId="77777777" w:rsidR="007E0724" w:rsidRDefault="00C4775C">
      <w:pPr>
        <w:pStyle w:val="AnnexNormal"/>
        <w:ind w:left="500"/>
      </w:pPr>
      <w:r>
        <w:t>Skógarstjórnunarstarfsemi með það að markmiði að varðveita eitt eða fleiri búsvæði eða tegundir. Með varðveisluskógrækt er ekki gert ráð fyrir neinum breytingum á landflokki og hún á sér stað á landi sem svarar til skilgreiningar á skógi eins og sett er fram í landslögum eða, ef hún ekki tiltæk, í samræmi við skilgreiningu Matvæla- og landbúnaðarstofnunar SÞ á skógi (</w:t>
      </w:r>
      <w:bookmarkStart w:id="26" w:name="NOTE_64"/>
      <w:r>
        <w:rPr>
          <w:rStyle w:val="Tilvsunneanmlsgrein"/>
          <w:sz w:val="18"/>
        </w:rPr>
        <w:footnoteReference w:id="65"/>
      </w:r>
      <w:bookmarkEnd w:id="26"/>
      <w:r>
        <w:t>).</w:t>
      </w:r>
    </w:p>
    <w:p w14:paraId="397F33A0" w14:textId="77777777" w:rsidR="007E0724" w:rsidRDefault="00C4775C">
      <w:pPr>
        <w:pStyle w:val="AnnexNormal"/>
        <w:ind w:left="500"/>
      </w:pPr>
      <w:r>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 02.20, þ.e. skógarhögg, 02.30, þ.e. söfnun afurða sem vaxa villtar en eru ekki tré og 02.40, þ.e. þjónustustarfsemi við skógrækt.</w:t>
      </w:r>
    </w:p>
    <w:p w14:paraId="5FEC49F4" w14:textId="77777777" w:rsidR="007E0724" w:rsidRDefault="00C4775C">
      <w:pPr>
        <w:pStyle w:val="AnnexGrSeq3"/>
        <w:ind w:left="500"/>
        <w:jc w:val="left"/>
      </w:pPr>
      <w:r>
        <w:rPr>
          <w:i/>
        </w:rPr>
        <w:t>Tæknileg matsviðmið</w:t>
      </w:r>
    </w:p>
    <w:tbl>
      <w:tblPr>
        <w:tblStyle w:val="EFTATable"/>
        <w:tblW w:w="8736" w:type="dxa"/>
        <w:tblInd w:w="504" w:type="dxa"/>
        <w:tblLook w:val="04A0" w:firstRow="1" w:lastRow="0" w:firstColumn="1" w:lastColumn="0" w:noHBand="0" w:noVBand="1"/>
      </w:tblPr>
      <w:tblGrid>
        <w:gridCol w:w="8736"/>
      </w:tblGrid>
      <w:tr w:rsidR="007E0724" w14:paraId="0E696EA1" w14:textId="77777777">
        <w:trPr>
          <w:trHeight w:val="240"/>
        </w:trPr>
        <w:tc>
          <w:tcPr>
            <w:tcW w:w="8736" w:type="dxa"/>
            <w:tcBorders>
              <w:bottom w:val="single" w:sz="4" w:space="0" w:color="auto"/>
            </w:tcBorders>
            <w:tcMar>
              <w:left w:w="0" w:type="dxa"/>
              <w:right w:w="0" w:type="dxa"/>
            </w:tcMar>
          </w:tcPr>
          <w:p w14:paraId="06DE04C3" w14:textId="77777777" w:rsidR="007E0724" w:rsidRDefault="00C4775C">
            <w:pPr>
              <w:pStyle w:val="AnnexTableCellLeft"/>
              <w:spacing w:before="50" w:after="50"/>
            </w:pPr>
            <w:r>
              <w:t xml:space="preserve">Verulegt framlag til </w:t>
            </w:r>
            <w:proofErr w:type="spellStart"/>
            <w:r>
              <w:t>mildunar</w:t>
            </w:r>
            <w:proofErr w:type="spellEnd"/>
            <w:r>
              <w:t xml:space="preserve"> loftslagsbreytinga</w:t>
            </w:r>
          </w:p>
        </w:tc>
      </w:tr>
      <w:tr w:rsidR="007E0724" w14:paraId="2F80175D" w14:textId="77777777">
        <w:trPr>
          <w:trHeight w:val="360"/>
        </w:trPr>
        <w:tc>
          <w:tcPr>
            <w:tcW w:w="8736" w:type="dxa"/>
            <w:tcBorders>
              <w:bottom w:val="nil"/>
            </w:tcBorders>
            <w:tcMar>
              <w:left w:w="0" w:type="dxa"/>
              <w:right w:w="0" w:type="dxa"/>
            </w:tcMar>
          </w:tcPr>
          <w:p w14:paraId="7DC5DC65" w14:textId="77777777" w:rsidR="007E0724" w:rsidRDefault="00C4775C">
            <w:pPr>
              <w:pStyle w:val="AnnexNumberedText"/>
              <w:ind w:left="360" w:hanging="360"/>
            </w:pPr>
            <w:r>
              <w:t>1.</w:t>
            </w:r>
            <w:r>
              <w:rPr>
                <w:i/>
              </w:rPr>
              <w:tab/>
              <w:t xml:space="preserve">Skógarstjórnunaráætlun eða jafngildur </w:t>
            </w:r>
            <w:proofErr w:type="spellStart"/>
            <w:r>
              <w:rPr>
                <w:i/>
              </w:rPr>
              <w:t>gerningur</w:t>
            </w:r>
            <w:proofErr w:type="spellEnd"/>
          </w:p>
          <w:p w14:paraId="2AA4FA97" w14:textId="77777777" w:rsidR="007E0724" w:rsidRDefault="00C4775C">
            <w:pPr>
              <w:pStyle w:val="AnnexNumberedText"/>
              <w:tabs>
                <w:tab w:val="left" w:pos="508"/>
              </w:tabs>
              <w:ind w:left="0" w:firstLine="0"/>
              <w:rPr>
                <w:szCs w:val="18"/>
              </w:rPr>
            </w:pPr>
            <w:r>
              <w:t>1.1.</w:t>
            </w:r>
            <w:r>
              <w:tab/>
              <w:t xml:space="preserve">Starfsemin fer fram á svæði sem fellur undir skógarstjórnunaráætlun eða jafngildan </w:t>
            </w:r>
            <w:proofErr w:type="spellStart"/>
            <w:r>
              <w:t>gerning</w:t>
            </w:r>
            <w:proofErr w:type="spellEnd"/>
            <w:r>
              <w:t>, eins og sett er fram í landslögum eða, ef ekki er skilgreining á skógarstjórnunaráætlun í landsreglum, eins og um getur í skilgreiningu Matvæla- og landbúnaðarstofnunar SÞ á „skógarsvæði með skógarstjórnunaráætlun til langs tíma“ (</w:t>
            </w:r>
            <w:r>
              <w:rPr>
                <w:rStyle w:val="Tilvsunneanmlsgrein"/>
                <w:sz w:val="18"/>
                <w:szCs w:val="18"/>
              </w:rPr>
              <w:footnoteReference w:id="66"/>
            </w:r>
            <w:r>
              <w:t>).</w:t>
            </w:r>
          </w:p>
          <w:p w14:paraId="162E3BEA" w14:textId="77777777" w:rsidR="007E0724" w:rsidRDefault="00C4775C">
            <w:pPr>
              <w:pStyle w:val="AnnexTableCellLeft"/>
              <w:spacing w:after="200"/>
            </w:pPr>
            <w:r>
              <w:t xml:space="preserve">Skógarstjórnunaráætlun, eða jafngildur </w:t>
            </w:r>
            <w:proofErr w:type="spellStart"/>
            <w:r>
              <w:t>gerningur</w:t>
            </w:r>
            <w:proofErr w:type="spellEnd"/>
            <w:r>
              <w:t>, nær yfir 10 ára tímabil eða meira og er uppfærð samfellt.</w:t>
            </w:r>
          </w:p>
          <w:p w14:paraId="06BD374F" w14:textId="77777777" w:rsidR="007E0724" w:rsidRDefault="00C4775C">
            <w:pPr>
              <w:pStyle w:val="AnnexNumberedText"/>
              <w:tabs>
                <w:tab w:val="left" w:pos="508"/>
              </w:tabs>
              <w:ind w:left="0" w:firstLine="0"/>
            </w:pPr>
            <w:r>
              <w:t>1.2.</w:t>
            </w:r>
            <w:r>
              <w:tab/>
              <w:t>Upplýsingar eru veittar um eftirfarandi liði sem ekki eru þegar skjalfestir í skógarstjórnunaráætluninni eða jafngildu kerfi:</w:t>
            </w:r>
          </w:p>
          <w:p w14:paraId="23FF8720" w14:textId="77777777" w:rsidR="007E0724" w:rsidRDefault="00C4775C">
            <w:pPr>
              <w:pStyle w:val="AnnexNumberedText"/>
            </w:pPr>
            <w:r>
              <w:t>a)</w:t>
            </w:r>
            <w:r>
              <w:tab/>
              <w:t>stjórnunarmarkmið, þ.m.t. meiriháttar hindranir,</w:t>
            </w:r>
          </w:p>
          <w:p w14:paraId="1CEF9DA9" w14:textId="77777777" w:rsidR="007E0724" w:rsidRDefault="00C4775C">
            <w:pPr>
              <w:pStyle w:val="AnnexNumberedText"/>
              <w:spacing w:after="0"/>
            </w:pPr>
            <w:r>
              <w:t>b)</w:t>
            </w:r>
            <w:r>
              <w:tab/>
              <w:t>almennar stefnuáætlanir og fyrirhuguð starfsemi til að ná stjórnunarmarkmiðunum, þ.m.t. væntanlegar aðgerðir yfir alla skógræktarhringrásina,</w:t>
            </w:r>
          </w:p>
        </w:tc>
      </w:tr>
      <w:tr w:rsidR="007E0724" w14:paraId="2A037E76" w14:textId="77777777">
        <w:trPr>
          <w:trHeight w:val="360"/>
        </w:trPr>
        <w:tc>
          <w:tcPr>
            <w:tcW w:w="8736" w:type="dxa"/>
            <w:tcBorders>
              <w:top w:val="nil"/>
              <w:bottom w:val="nil"/>
            </w:tcBorders>
            <w:tcMar>
              <w:left w:w="0" w:type="dxa"/>
              <w:right w:w="0" w:type="dxa"/>
            </w:tcMar>
          </w:tcPr>
          <w:p w14:paraId="600D22C0" w14:textId="77777777" w:rsidR="007E0724" w:rsidRDefault="00C4775C">
            <w:pPr>
              <w:pStyle w:val="AnnexNumberedText"/>
              <w:pageBreakBefore/>
              <w:spacing w:after="240"/>
            </w:pPr>
            <w:r>
              <w:lastRenderedPageBreak/>
              <w:t>c)</w:t>
            </w:r>
            <w:r>
              <w:tab/>
              <w:t>skilgreining á búsvæðalegu samhengi skógarins, helstu trjátegundum sem fyrir eru og fyrirhugaðar og umfangi þeirra og dreifingu, í samræmi við staðbundna skógarvistkerfið,</w:t>
            </w:r>
          </w:p>
          <w:p w14:paraId="72FB0307" w14:textId="77777777" w:rsidR="007E0724" w:rsidRDefault="00C4775C">
            <w:pPr>
              <w:pStyle w:val="AnnexNumberedText"/>
              <w:spacing w:after="240"/>
            </w:pPr>
            <w:r>
              <w:t>d)</w:t>
            </w:r>
            <w:r>
              <w:tab/>
              <w:t>skilgreining á svæðinu samkvæmt færslu þar um í landskránni,</w:t>
            </w:r>
          </w:p>
          <w:p w14:paraId="22B0173C" w14:textId="77777777" w:rsidR="007E0724" w:rsidRDefault="00C4775C">
            <w:pPr>
              <w:pStyle w:val="AnnexNumberedText"/>
              <w:spacing w:after="240"/>
            </w:pPr>
            <w:r>
              <w:t>e)</w:t>
            </w:r>
            <w:r>
              <w:tab/>
              <w:t>hólf, vegir, athafnaréttur og annar almennur aðgangur, efnislegir þættir, þ.m.t. vatnaleiðir, svæði sem falla undir lagalegar takmarkanir og aðrar takmarkanir,</w:t>
            </w:r>
          </w:p>
          <w:p w14:paraId="58781DA8" w14:textId="77777777" w:rsidR="007E0724" w:rsidRDefault="00C4775C">
            <w:pPr>
              <w:pStyle w:val="AnnexNumberedText"/>
              <w:spacing w:after="240"/>
            </w:pPr>
            <w:r>
              <w:t>f)</w:t>
            </w:r>
            <w:r>
              <w:tab/>
              <w:t>ráðstafanir sem eru innleiddar til að viðhalda góðu ásigkomulagi skógarvistkerfa,</w:t>
            </w:r>
          </w:p>
          <w:p w14:paraId="13168D1A" w14:textId="77777777" w:rsidR="007E0724" w:rsidRDefault="00C4775C">
            <w:pPr>
              <w:pStyle w:val="AnnexNumberedText"/>
              <w:spacing w:after="240"/>
            </w:pPr>
            <w:r>
              <w:t>g)</w:t>
            </w:r>
            <w:r>
              <w:tab/>
              <w:t>tillit tekið til samfélagslegra málefna (þ.m.t. varðveisla landslags, samráð við hagsmunaaðila í samræmi við skilmála og skilyrði sem mælt er fyrir um í landslögum),</w:t>
            </w:r>
          </w:p>
          <w:p w14:paraId="632FD477" w14:textId="77777777" w:rsidR="007E0724" w:rsidRDefault="00C4775C">
            <w:pPr>
              <w:pStyle w:val="AnnexNumberedText"/>
              <w:spacing w:after="240"/>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3CF6D802" w14:textId="77777777" w:rsidR="007E0724" w:rsidRDefault="00C4775C">
            <w:pPr>
              <w:pStyle w:val="AnnexNumberedText"/>
              <w:spacing w:after="240"/>
            </w:pPr>
            <w:r>
              <w:t>i)</w:t>
            </w:r>
            <w:r>
              <w:tab/>
              <w:t>allar viðmiðanir um að valda ekki umtalsverðu tjóni sem skipta máli fyrir skógarstjórnun.</w:t>
            </w:r>
          </w:p>
          <w:p w14:paraId="64C9AB74" w14:textId="77777777" w:rsidR="007E0724" w:rsidRDefault="00C4775C">
            <w:pPr>
              <w:pStyle w:val="AnnexNumberedText"/>
              <w:tabs>
                <w:tab w:val="left" w:pos="508"/>
              </w:tabs>
              <w:spacing w:after="240"/>
              <w:ind w:left="0" w:firstLine="0"/>
            </w:pPr>
            <w:r>
              <w:t>1.3.</w:t>
            </w:r>
            <w:r>
              <w:tab/>
              <w:t xml:space="preserve">Skógarstjórnunaráætlun eða jafngildur </w:t>
            </w:r>
            <w:proofErr w:type="spellStart"/>
            <w:r>
              <w:t>gerningur</w:t>
            </w:r>
            <w:proofErr w:type="spellEnd"/>
            <w:r>
              <w:t>:</w:t>
            </w:r>
          </w:p>
          <w:p w14:paraId="27C35C1B" w14:textId="77777777" w:rsidR="007E0724" w:rsidRDefault="00C4775C">
            <w:pPr>
              <w:pStyle w:val="AnnexNumberedText"/>
              <w:spacing w:after="240"/>
              <w:rPr>
                <w:szCs w:val="18"/>
              </w:rPr>
            </w:pPr>
            <w:r>
              <w:t>a)</w:t>
            </w:r>
            <w:r>
              <w:tab/>
              <w:t>inniheldur fastsett meginstjórnunarmarkmið (</w:t>
            </w:r>
            <w:r>
              <w:rPr>
                <w:rStyle w:val="Tilvsunneanmlsgrein"/>
                <w:sz w:val="18"/>
                <w:szCs w:val="18"/>
              </w:rPr>
              <w:footnoteReference w:id="67"/>
            </w:r>
            <w:r>
              <w:t>) sem samanstendur af vernd jarðvegs og vatns (</w:t>
            </w:r>
            <w:r>
              <w:rPr>
                <w:rStyle w:val="Tilvsunneanmlsgrein"/>
                <w:sz w:val="18"/>
                <w:szCs w:val="18"/>
              </w:rPr>
              <w:footnoteReference w:id="68"/>
            </w:r>
            <w:r>
              <w:t>), varðveislu líffræðilegrar fjölbreytni (</w:t>
            </w:r>
            <w:r>
              <w:rPr>
                <w:rStyle w:val="Tilvsunneanmlsgrein"/>
                <w:sz w:val="18"/>
                <w:szCs w:val="18"/>
              </w:rPr>
              <w:footnoteReference w:id="69"/>
            </w:r>
            <w:r>
              <w:t>) eða félagsþjónustu (</w:t>
            </w:r>
            <w:r>
              <w:rPr>
                <w:rStyle w:val="Tilvsunneanmlsgrein"/>
                <w:sz w:val="18"/>
                <w:szCs w:val="18"/>
              </w:rPr>
              <w:footnoteReference w:id="70"/>
            </w:r>
            <w:r>
              <w:t>) sem byggist á skilgreiningum Matvæla- og landbúnaðarstofnunar SÞ,</w:t>
            </w:r>
          </w:p>
          <w:p w14:paraId="0CB13EEB" w14:textId="77777777" w:rsidR="007E0724" w:rsidRDefault="00C4775C">
            <w:pPr>
              <w:pStyle w:val="AnnexNumberedText"/>
              <w:spacing w:after="240"/>
              <w:rPr>
                <w:szCs w:val="18"/>
              </w:rPr>
            </w:pPr>
            <w:r>
              <w:t>b)</w:t>
            </w:r>
            <w:r>
              <w:tab/>
              <w:t>eflir starfsvenjur sem gagnast líffræðilegri fjölbreytni og bæta náttúrulegt ferli skóga,</w:t>
            </w:r>
          </w:p>
          <w:p w14:paraId="06C77F50" w14:textId="77777777" w:rsidR="007E0724" w:rsidRDefault="00C4775C">
            <w:pPr>
              <w:pStyle w:val="AnnexNumberedText"/>
              <w:spacing w:after="240"/>
              <w:rPr>
                <w:szCs w:val="18"/>
              </w:rPr>
            </w:pPr>
            <w:r>
              <w:t>c)</w:t>
            </w:r>
            <w:r>
              <w:tab/>
              <w:t>inniheldur greiningu á:</w:t>
            </w:r>
          </w:p>
          <w:p w14:paraId="2E6BCD8C" w14:textId="77777777" w:rsidR="007E0724" w:rsidRDefault="00C4775C">
            <w:pPr>
              <w:pStyle w:val="AnnexNumberedText"/>
              <w:tabs>
                <w:tab w:val="right" w:pos="917"/>
              </w:tabs>
              <w:spacing w:after="240"/>
              <w:ind w:left="600"/>
              <w:rPr>
                <w:szCs w:val="18"/>
              </w:rPr>
            </w:pPr>
            <w:r>
              <w:t>i.</w:t>
            </w:r>
            <w:r>
              <w:tab/>
              <w:t>áhrifum og álagi á varðveislu búsvæðis og fjölbreytni tengdra búsvæða,</w:t>
            </w:r>
          </w:p>
          <w:p w14:paraId="78B93126" w14:textId="77777777" w:rsidR="007E0724" w:rsidRDefault="00C4775C">
            <w:pPr>
              <w:pStyle w:val="AnnexNumberedText"/>
              <w:tabs>
                <w:tab w:val="right" w:pos="917"/>
              </w:tabs>
              <w:spacing w:after="240"/>
              <w:ind w:left="600"/>
              <w:rPr>
                <w:szCs w:val="18"/>
              </w:rPr>
            </w:pPr>
            <w:r>
              <w:t>ii.</w:t>
            </w:r>
            <w:r>
              <w:tab/>
              <w:t>skilyrðum fyrir nýtingu sem lágmarkar áhrif á jarðveg,</w:t>
            </w:r>
          </w:p>
          <w:p w14:paraId="739F6EF8" w14:textId="77777777" w:rsidR="007E0724" w:rsidRDefault="00C4775C">
            <w:pPr>
              <w:pStyle w:val="AnnexNumberedText"/>
              <w:tabs>
                <w:tab w:val="right" w:pos="917"/>
              </w:tabs>
              <w:spacing w:after="240"/>
              <w:ind w:left="600"/>
              <w:rPr>
                <w:szCs w:val="18"/>
              </w:rPr>
            </w:pPr>
            <w:r>
              <w:t>iii.</w:t>
            </w:r>
            <w:r>
              <w:tab/>
              <w:t xml:space="preserve">annarri starfsemi sem hefur áhrif á varðveislumarkmið, s.s. veiðar og fiskveiðar, landbúnaður, starfsemi tengd búskap og skógrækt, iðnaður, </w:t>
            </w:r>
            <w:proofErr w:type="spellStart"/>
            <w:r>
              <w:t>námugröftur</w:t>
            </w:r>
            <w:proofErr w:type="spellEnd"/>
            <w:r>
              <w:t xml:space="preserve"> og viðskiptastarfsemi.</w:t>
            </w:r>
          </w:p>
          <w:p w14:paraId="46711D26" w14:textId="77777777" w:rsidR="007E0724" w:rsidRDefault="00C4775C">
            <w:pPr>
              <w:pStyle w:val="AnnexNumberedText"/>
              <w:tabs>
                <w:tab w:val="left" w:pos="508"/>
              </w:tabs>
              <w:spacing w:after="240"/>
              <w:ind w:left="0" w:firstLine="0"/>
              <w:rPr>
                <w:szCs w:val="18"/>
              </w:rPr>
            </w:pPr>
            <w:r>
              <w:t>1.4.</w:t>
            </w:r>
            <w:r>
              <w:tab/>
              <w:t>Sjálfbærni skógarstjórnunarkerfanna, eins og skjalfest er í áætluninni sem um getur í lið 1.1, er tryggð með því að velja metnaðarfyllstu aðferðina af eftirfarandi:</w:t>
            </w:r>
          </w:p>
          <w:p w14:paraId="7C781AC9" w14:textId="77777777" w:rsidR="007E0724" w:rsidRDefault="00C4775C">
            <w:pPr>
              <w:pStyle w:val="AnnexNumberedText"/>
              <w:spacing w:after="240"/>
              <w:rPr>
                <w:szCs w:val="18"/>
              </w:rPr>
            </w:pPr>
            <w:r>
              <w:t>a)</w:t>
            </w:r>
            <w:r>
              <w:tab/>
              <w:t>skógarstjórnunin samsvarar landsbundinni skilgreiningu á sjálfbærri skógarstjórnun, ef einhver er,</w:t>
            </w:r>
          </w:p>
          <w:p w14:paraId="26A88503" w14:textId="77777777" w:rsidR="007E0724" w:rsidRDefault="00C4775C">
            <w:pPr>
              <w:pStyle w:val="AnnexNumberedText"/>
              <w:spacing w:after="0"/>
            </w:pPr>
            <w:r>
              <w:t>b)</w:t>
            </w:r>
            <w:r>
              <w:tab/>
              <w:t>skógarstjórnunin samsvarar skilgreiningu á sjálfbærri skógarstjórnun skóga í Evrópu (</w:t>
            </w:r>
            <w:r>
              <w:rPr>
                <w:rStyle w:val="Tilvsunneanmlsgrein"/>
                <w:sz w:val="18"/>
                <w:szCs w:val="18"/>
              </w:rPr>
              <w:footnoteReference w:id="71"/>
            </w:r>
            <w:r>
              <w:t xml:space="preserve">) og er í samræmi við </w:t>
            </w:r>
            <w:proofErr w:type="spellStart"/>
            <w:r>
              <w:t>samevrópskar</w:t>
            </w:r>
            <w:proofErr w:type="spellEnd"/>
            <w:r>
              <w:t xml:space="preserve"> leiðbeiningar vegna aðgerða á sviði sjálfbærrar skógarstjórnunar (</w:t>
            </w:r>
            <w:r>
              <w:rPr>
                <w:rStyle w:val="Tilvsunneanmlsgrein"/>
                <w:sz w:val="18"/>
                <w:szCs w:val="18"/>
              </w:rPr>
              <w:footnoteReference w:id="72"/>
            </w:r>
            <w:r>
              <w:t>),</w:t>
            </w:r>
          </w:p>
        </w:tc>
      </w:tr>
      <w:tr w:rsidR="007E0724" w14:paraId="4738D2D6" w14:textId="77777777">
        <w:trPr>
          <w:trHeight w:val="360"/>
        </w:trPr>
        <w:tc>
          <w:tcPr>
            <w:tcW w:w="8736" w:type="dxa"/>
            <w:tcBorders>
              <w:top w:val="nil"/>
              <w:bottom w:val="nil"/>
            </w:tcBorders>
            <w:tcMar>
              <w:left w:w="0" w:type="dxa"/>
              <w:right w:w="0" w:type="dxa"/>
            </w:tcMar>
          </w:tcPr>
          <w:p w14:paraId="63173B73" w14:textId="77777777" w:rsidR="007E0724" w:rsidRDefault="00C4775C">
            <w:pPr>
              <w:pStyle w:val="AnnexNumberedText"/>
              <w:pageBreakBefore/>
              <w:spacing w:after="180"/>
            </w:pPr>
            <w:r>
              <w:lastRenderedPageBreak/>
              <w:t>c)</w:t>
            </w:r>
            <w:r>
              <w:tab/>
              <w:t xml:space="preserve">stjórnunarkerfið sem er til staðar er í samræmi við viðmiðanir um sjálfbærni skóga eins og skilgreint er í 6. mgr. 29. gr. tilskipunar (ESB) 2018/2001 og, frá og með gildistökudegi hennar, við framkvæmdargerðina um </w:t>
            </w:r>
            <w:proofErr w:type="spellStart"/>
            <w:r>
              <w:t>rekstrarlegar</w:t>
            </w:r>
            <w:proofErr w:type="spellEnd"/>
            <w:r>
              <w:t xml:space="preserve"> leiðbeiningar um orku frá lífmassa úr skógi sem var samþykkt skv. 8. mgr. 29. gr. þeirrar tilskipunar.</w:t>
            </w:r>
          </w:p>
          <w:p w14:paraId="0D5088AA" w14:textId="77777777" w:rsidR="007E0724" w:rsidRDefault="00C4775C">
            <w:pPr>
              <w:pStyle w:val="AnnexNumberedText"/>
              <w:tabs>
                <w:tab w:val="left" w:pos="508"/>
              </w:tabs>
              <w:spacing w:after="180"/>
              <w:ind w:left="0" w:firstLine="0"/>
              <w:rPr>
                <w:szCs w:val="18"/>
              </w:rPr>
            </w:pPr>
            <w:r>
              <w:t>1.5.</w:t>
            </w:r>
            <w:r>
              <w:tab/>
              <w:t>Starfsemin felur ekki í sér hnignun lands með miklar kolefnisbirgðir (</w:t>
            </w:r>
            <w:r>
              <w:rPr>
                <w:rStyle w:val="Tilvsunneanmlsgrein"/>
                <w:sz w:val="18"/>
                <w:szCs w:val="18"/>
              </w:rPr>
              <w:footnoteReference w:id="73"/>
            </w:r>
            <w:r>
              <w:t>).</w:t>
            </w:r>
          </w:p>
          <w:p w14:paraId="6597AC16" w14:textId="77777777" w:rsidR="007E0724" w:rsidRDefault="00C4775C">
            <w:pPr>
              <w:pStyle w:val="AnnexNumberedText"/>
              <w:tabs>
                <w:tab w:val="left" w:pos="508"/>
              </w:tabs>
              <w:spacing w:after="180"/>
              <w:ind w:left="0" w:firstLine="0"/>
              <w:rPr>
                <w:szCs w:val="18"/>
              </w:rPr>
            </w:pPr>
            <w:r>
              <w:t>1.6.</w:t>
            </w:r>
            <w:r>
              <w:tab/>
              <w:t>Stjórnunarkerfið sem tengist starfseminni sem er til staðar er í samræmi við skylduna um áreiðanleika og lagalegar kröfur sem mælt er fyrir um í reglugerð (ESB) nr. 995/2010.</w:t>
            </w:r>
          </w:p>
          <w:p w14:paraId="06B1A907" w14:textId="77777777" w:rsidR="007E0724" w:rsidRDefault="00C4775C">
            <w:pPr>
              <w:pStyle w:val="AnnexNumberedText"/>
              <w:tabs>
                <w:tab w:val="left" w:pos="508"/>
              </w:tabs>
              <w:spacing w:after="180"/>
              <w:ind w:left="0" w:firstLine="0"/>
              <w:rPr>
                <w:szCs w:val="18"/>
              </w:rPr>
            </w:pPr>
            <w:r>
              <w:t>1.7.</w:t>
            </w:r>
            <w:r>
              <w:tab/>
              <w:t xml:space="preserve">Í skógarstjórnunaráætluninni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p w14:paraId="68AE2DA2" w14:textId="77777777" w:rsidR="007E0724" w:rsidRDefault="00C4775C">
            <w:pPr>
              <w:pStyle w:val="AnnexNumberedText"/>
              <w:spacing w:after="180"/>
              <w:ind w:left="360" w:hanging="360"/>
              <w:rPr>
                <w:szCs w:val="18"/>
              </w:rPr>
            </w:pPr>
            <w:r>
              <w:t>2.</w:t>
            </w:r>
            <w:r>
              <w:rPr>
                <w:i/>
              </w:rPr>
              <w:tab/>
              <w:t>Greining á loftslagsávinningi</w:t>
            </w:r>
          </w:p>
          <w:p w14:paraId="7D19939D" w14:textId="77777777" w:rsidR="007E0724" w:rsidRDefault="00C4775C">
            <w:pPr>
              <w:pStyle w:val="AnnexNumberedText"/>
              <w:tabs>
                <w:tab w:val="left" w:pos="508"/>
              </w:tabs>
              <w:spacing w:after="180"/>
              <w:ind w:left="0" w:firstLine="0"/>
              <w:rPr>
                <w:szCs w:val="18"/>
              </w:rPr>
            </w:pPr>
            <w:r>
              <w:t>2.1.</w:t>
            </w:r>
            <w:r>
              <w:tab/>
              <w:t xml:space="preserve">Að því er varðar svæði sem uppfylla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5940E03A" w14:textId="77777777" w:rsidR="007E0724" w:rsidRDefault="00C4775C">
            <w:pPr>
              <w:pStyle w:val="AnnexNumberedText"/>
              <w:spacing w:after="180"/>
              <w:rPr>
                <w:szCs w:val="18"/>
              </w:rPr>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28E6E405" w14:textId="77777777" w:rsidR="007E0724" w:rsidRDefault="00C4775C">
            <w:pPr>
              <w:pStyle w:val="AnnexNumberedText"/>
              <w:spacing w:after="180"/>
              <w:rPr>
                <w:szCs w:val="18"/>
              </w:rPr>
            </w:pPr>
            <w:r>
              <w:t>b)</w:t>
            </w:r>
            <w:r>
              <w:tab/>
              <w:t xml:space="preserve">talið er að sýnt sé fram á langtíma loftslagsávinning með sönnun um samræmi við </w:t>
            </w:r>
            <w:proofErr w:type="spellStart"/>
            <w:r>
              <w:t>b-lið</w:t>
            </w:r>
            <w:proofErr w:type="spellEnd"/>
            <w:r>
              <w:t xml:space="preserve"> 7. mgr. 29. gr. tilskipunar (ESB) 2018/2001.</w:t>
            </w:r>
          </w:p>
          <w:p w14:paraId="3CC64A37" w14:textId="77777777" w:rsidR="007E0724" w:rsidRDefault="00C4775C">
            <w:pPr>
              <w:pStyle w:val="AnnexNumberedText"/>
              <w:tabs>
                <w:tab w:val="left" w:pos="508"/>
              </w:tabs>
              <w:spacing w:after="180"/>
              <w:ind w:left="0" w:firstLine="0"/>
              <w:rPr>
                <w:szCs w:val="18"/>
              </w:rPr>
            </w:pPr>
            <w:r>
              <w:t>2.2.</w:t>
            </w:r>
            <w:r>
              <w:tab/>
              <w:t xml:space="preserve">Að því er varðar svæði sem uppfylla ekki kröfur um upprunasvæði skógræktarafurða til að tryggja að kolefnisbirgðum og -viðtökum í skóginum sé viðhaldið eða þau efld til langs tíma, í samræmi við </w:t>
            </w:r>
            <w:proofErr w:type="spellStart"/>
            <w:r>
              <w:t>b-lið</w:t>
            </w:r>
            <w:proofErr w:type="spellEnd"/>
            <w:r>
              <w:t xml:space="preserve"> 7. mgr. 29. gr. tilskipunar (ESB) 2018/2001, uppfyllir starfsemin eftirfarandi viðmiðanir:</w:t>
            </w:r>
          </w:p>
          <w:p w14:paraId="1E19F4E0" w14:textId="77777777" w:rsidR="007E0724" w:rsidRDefault="00C4775C">
            <w:pPr>
              <w:pStyle w:val="AnnexNumberedText"/>
              <w:spacing w:after="180"/>
              <w:rPr>
                <w:szCs w:val="18"/>
              </w:rPr>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64D4077F" w14:textId="77777777" w:rsidR="007E0724" w:rsidRDefault="00C4775C">
            <w:pPr>
              <w:pStyle w:val="AnnexNumberedText"/>
              <w:spacing w:after="180"/>
              <w:rPr>
                <w:szCs w:val="18"/>
              </w:rPr>
            </w:pPr>
            <w:r>
              <w:t>b)</w:t>
            </w:r>
            <w:r>
              <w:tab/>
              <w:t xml:space="preserve">framreiknað langtímameðaltal </w:t>
            </w:r>
            <w:proofErr w:type="spellStart"/>
            <w:r>
              <w:t>nettójöfnuðar</w:t>
            </w:r>
            <w:proofErr w:type="spellEnd"/>
            <w:r>
              <w:t xml:space="preserve"> gróðurhúsalofttegunda af starfseminni er lægra en langtímameðaltal </w:t>
            </w:r>
            <w:proofErr w:type="spellStart"/>
            <w:r>
              <w:t>nettójöfnuðar</w:t>
            </w:r>
            <w:proofErr w:type="spellEnd"/>
            <w:r>
              <w:t xml:space="preserve"> gróðurhúsalofttegunda sem var framreiknað fyrir grunnástandið, sem um getur í lið 2.2, þar sem „langtíma“ samsvarar lengri tíma á milli 100 ára og lengdar heillar skógræktarhringrásar.</w:t>
            </w:r>
          </w:p>
          <w:p w14:paraId="35306FF9" w14:textId="77777777" w:rsidR="007E0724" w:rsidRDefault="00C4775C">
            <w:pPr>
              <w:pStyle w:val="AnnexNumberedText"/>
              <w:tabs>
                <w:tab w:val="left" w:pos="508"/>
              </w:tabs>
              <w:spacing w:after="180"/>
              <w:ind w:left="0" w:firstLine="0"/>
              <w:rPr>
                <w:szCs w:val="18"/>
              </w:rPr>
            </w:pPr>
            <w:r>
              <w:t>2.3.</w:t>
            </w:r>
            <w:r>
              <w:tab/>
              <w:t>Útreikningur á loftslagsávinningi uppfyllir allar eftirfarandi viðmiðanir:</w:t>
            </w:r>
          </w:p>
          <w:p w14:paraId="1E447F52" w14:textId="77777777" w:rsidR="007E0724" w:rsidRDefault="00C4775C">
            <w:pPr>
              <w:pStyle w:val="AnnexNumberedText"/>
              <w:spacing w:after="180"/>
            </w:pPr>
            <w:r>
              <w:t>a)</w:t>
            </w:r>
            <w:r>
              <w:tab/>
              <w:t>greiningin er í samræmi við lagfæringar frá árinu 2019 á leiðbeiningum milliríkjanefndarinnar um loftslagsbreytingar (IPCC) um landsbókhald yfir gróðurhúsalofttegundir frá 2006 (</w:t>
            </w:r>
            <w:r>
              <w:rPr>
                <w:rStyle w:val="Tilvsunneanmlsgrein"/>
                <w:sz w:val="18"/>
                <w:szCs w:val="18"/>
              </w:rPr>
              <w:footnoteReference w:id="74"/>
            </w:r>
            <w:r>
              <w:t xml:space="preserve">). Greining á loftslagsávinningi er byggð á gagnsæjum, réttum, samkvæmum, heildstæðum og samanburðarhæfum upplýsingum, nær yfir alla kolefnisgeyma sem verða fyrir áhrifum af starfseminni, þ.m.t. lífmassi ofanjarðar, lífmassi neðanjarðar, dauður viður, rusl og jarðvegur, stuðst er við varfærnustu forsendur fyrir útreikningunum og hún inniheldur viðeigandi sjónarmið varðandi áhættuna af að kolefnisbinding verði ekki varanleg og snúist við, áhættu á </w:t>
            </w:r>
            <w:proofErr w:type="spellStart"/>
            <w:r>
              <w:t>mettun</w:t>
            </w:r>
            <w:proofErr w:type="spellEnd"/>
            <w:r>
              <w:t xml:space="preserve"> og áhættu á leka.</w:t>
            </w:r>
          </w:p>
          <w:p w14:paraId="44D53ACA" w14:textId="77777777" w:rsidR="007E0724" w:rsidRDefault="00C4775C">
            <w:pPr>
              <w:pStyle w:val="AnnexNumberedText"/>
              <w:spacing w:after="180"/>
            </w:pPr>
            <w:r>
              <w:t>b)</w:t>
            </w:r>
            <w:r>
              <w:tab/>
              <w:t>aðferðir sem notaðar eru við óbreyttar aðstæður, þ.m.t. aðferðir við nýtingu, eru einhverjar af eftirfarandi:</w:t>
            </w:r>
          </w:p>
          <w:p w14:paraId="433D3498" w14:textId="77777777" w:rsidR="007E0724" w:rsidRDefault="00C4775C">
            <w:pPr>
              <w:pStyle w:val="AnnexNumberedText"/>
              <w:spacing w:after="180"/>
              <w:ind w:left="600"/>
            </w:pPr>
            <w:r>
              <w:t>i.</w:t>
            </w:r>
            <w:r>
              <w:tab/>
              <w:t xml:space="preserve">stjórnunarvenjur eins og skjalfestar eru í nýjustu útgáfunni af skógarstjórnunaráætluninni eða jafngildum </w:t>
            </w:r>
            <w:proofErr w:type="spellStart"/>
            <w:r>
              <w:t>gerningi</w:t>
            </w:r>
            <w:proofErr w:type="spellEnd"/>
            <w:r>
              <w:t xml:space="preserve"> áður en starfsemin hefst, ef einhverjar eru,</w:t>
            </w:r>
          </w:p>
          <w:p w14:paraId="1E178390" w14:textId="77777777" w:rsidR="007E0724" w:rsidRDefault="00C4775C">
            <w:pPr>
              <w:pStyle w:val="AnnexNumberedText"/>
              <w:spacing w:after="180"/>
              <w:ind w:left="600"/>
            </w:pPr>
            <w:r>
              <w:lastRenderedPageBreak/>
              <w:t>ii.</w:t>
            </w:r>
            <w:r>
              <w:tab/>
              <w:t>aðferðir sem síðast eru notaðar við óbreyttar aðstæður áður en starfsemin hefst,</w:t>
            </w:r>
          </w:p>
          <w:p w14:paraId="071EE4B6" w14:textId="77777777" w:rsidR="007E0724" w:rsidRDefault="00C4775C">
            <w:pPr>
              <w:pStyle w:val="AnnexNumberedText"/>
              <w:spacing w:after="0"/>
              <w:ind w:left="600"/>
            </w:pPr>
            <w:r>
              <w:t>iii.</w:t>
            </w:r>
            <w:r>
              <w:tab/>
              <w:t xml:space="preserve">starfsvenjur sem samsvara stjórnunarkerfi sem tryggir að kolefnisbirgðum og -viðtökum á skógarsvæðinu sé viðhaldið eða þau efld til langs tíma eins og sett er fram í </w:t>
            </w:r>
            <w:proofErr w:type="spellStart"/>
            <w:r>
              <w:t>b-lið</w:t>
            </w:r>
            <w:proofErr w:type="spellEnd"/>
            <w:r>
              <w:t xml:space="preserve"> 7. mgr. 29. gr. tilskipunar (ESB) 2018/2001,</w:t>
            </w:r>
          </w:p>
        </w:tc>
      </w:tr>
      <w:tr w:rsidR="007E0724" w14:paraId="33DB8D1B" w14:textId="77777777">
        <w:trPr>
          <w:trHeight w:val="360"/>
        </w:trPr>
        <w:tc>
          <w:tcPr>
            <w:tcW w:w="8736" w:type="dxa"/>
            <w:tcBorders>
              <w:top w:val="nil"/>
              <w:bottom w:val="nil"/>
            </w:tcBorders>
            <w:tcMar>
              <w:left w:w="0" w:type="dxa"/>
              <w:right w:w="0" w:type="dxa"/>
            </w:tcMar>
          </w:tcPr>
          <w:p w14:paraId="69FD48D6" w14:textId="77777777" w:rsidR="007E0724" w:rsidRDefault="00C4775C">
            <w:pPr>
              <w:pStyle w:val="AnnexNumberedText"/>
              <w:pageBreakBefore/>
              <w:spacing w:after="180"/>
            </w:pPr>
            <w:r>
              <w:lastRenderedPageBreak/>
              <w:t>c)</w:t>
            </w:r>
            <w:r>
              <w:tab/>
              <w:t>úrlausnin í greiningunni er í réttu hlutfalli við stærð hlutaðeigandi svæðis og notuð eru gildi sem eru sértæk fyrir hlutaðeigandi svæði,</w:t>
            </w:r>
          </w:p>
          <w:p w14:paraId="34E02591" w14:textId="77777777" w:rsidR="007E0724" w:rsidRDefault="00C4775C">
            <w:pPr>
              <w:pStyle w:val="AnnexNumberedText"/>
              <w:spacing w:after="180"/>
            </w:pPr>
            <w:r>
              <w:t>d)</w:t>
            </w:r>
            <w:r>
              <w:tab/>
              <w:t xml:space="preserve">losun og upptaka sem verða vegna náttúrulegra raskana, s.s. vegna ásóknar </w:t>
            </w:r>
            <w:proofErr w:type="spellStart"/>
            <w:r>
              <w:t>skaðvalda</w:t>
            </w:r>
            <w:proofErr w:type="spellEnd"/>
            <w:r>
              <w:t xml:space="preserve"> og sjúkdóma, skógarelda, vinds og fokskemmda, sem hafa áhrif á svæðið og valda ófullnægjandi frammistöðu, leiða ekki til þess að ákvæðin í reglugerð (ESB) 2020/852 séu ekki uppfyllt að því tilskildu að greiningin á loftslagsávinningi sé í samræmi við lagfæringarnar frá árinu 2019 á leiðbeiningum milliríkjanefndarinnar um loftslagsbreytingar (IPCC) um landsbókhald yfir gróðurhúsalofttegundir frá 2006 að því er varðar losun og upptöku vegna náttúrulegra raskana.</w:t>
            </w:r>
          </w:p>
          <w:p w14:paraId="160DEDC4" w14:textId="77777777" w:rsidR="007E0724" w:rsidRDefault="00C4775C">
            <w:pPr>
              <w:pStyle w:val="AnnexNumberedText"/>
              <w:tabs>
                <w:tab w:val="left" w:pos="508"/>
              </w:tabs>
              <w:spacing w:after="180"/>
              <w:ind w:left="0" w:firstLine="0"/>
            </w:pPr>
            <w:r>
              <w:t>2.4.</w:t>
            </w:r>
            <w:r>
              <w:tab/>
              <w:t>Skógræktarbúum sem eru minni en 13 hektarar ber ekki skylda til að framkvæma greiningu á loftslagsávinningi.</w:t>
            </w:r>
          </w:p>
          <w:p w14:paraId="2F67339F" w14:textId="77777777" w:rsidR="007E0724" w:rsidRDefault="00C4775C">
            <w:pPr>
              <w:pStyle w:val="AnnexNumberedText"/>
              <w:spacing w:after="180"/>
              <w:ind w:left="360" w:hanging="360"/>
            </w:pPr>
            <w:r>
              <w:t>3.</w:t>
            </w:r>
            <w:r>
              <w:rPr>
                <w:i/>
              </w:rPr>
              <w:tab/>
              <w:t>Trygging fyrir varanleika</w:t>
            </w:r>
          </w:p>
          <w:p w14:paraId="2534362D" w14:textId="77777777" w:rsidR="007E0724" w:rsidRDefault="00C4775C">
            <w:pPr>
              <w:pStyle w:val="AnnexNumberedText"/>
              <w:tabs>
                <w:tab w:val="left" w:pos="508"/>
              </w:tabs>
              <w:spacing w:after="180"/>
              <w:ind w:left="0" w:firstLine="0"/>
              <w:rPr>
                <w:szCs w:val="18"/>
              </w:rPr>
            </w:pPr>
            <w:r>
              <w:t>3.1.</w:t>
            </w:r>
            <w:r>
              <w:tab/>
              <w:t>Í samræmi við landslög er staða skógarins á svæðinu þar sem starfsemin fer fram tryggð með einni af eftirfarandi ráðstöfunum:</w:t>
            </w:r>
          </w:p>
          <w:p w14:paraId="5F0F26E6" w14:textId="77777777" w:rsidR="007E0724" w:rsidRDefault="00C4775C">
            <w:pPr>
              <w:pStyle w:val="AnnexNumberedText"/>
              <w:spacing w:after="180"/>
              <w:rPr>
                <w:szCs w:val="18"/>
              </w:rPr>
            </w:pPr>
            <w:r>
              <w:t>a)</w:t>
            </w:r>
            <w:r>
              <w:tab/>
              <w:t>svæðið er flokkað sem varanlegur skógur samkvæmt skilgreiningu Matvæla- og landbúnaðarstofnunar SÞ (</w:t>
            </w:r>
            <w:r>
              <w:rPr>
                <w:rStyle w:val="Tilvsunneanmlsgrein"/>
                <w:sz w:val="18"/>
                <w:szCs w:val="18"/>
              </w:rPr>
              <w:footnoteReference w:id="75"/>
            </w:r>
            <w:r>
              <w:t>),</w:t>
            </w:r>
          </w:p>
          <w:p w14:paraId="63543B7D" w14:textId="77777777" w:rsidR="007E0724" w:rsidRDefault="00C4775C">
            <w:pPr>
              <w:pStyle w:val="AnnexNumberedText"/>
              <w:spacing w:after="180"/>
              <w:rPr>
                <w:szCs w:val="18"/>
              </w:rPr>
            </w:pPr>
            <w:r>
              <w:t>b)</w:t>
            </w:r>
            <w:r>
              <w:tab/>
              <w:t>svæðið er flokkað sem verndað svæði,</w:t>
            </w:r>
          </w:p>
          <w:p w14:paraId="317B26DE" w14:textId="77777777" w:rsidR="007E0724" w:rsidRDefault="00C4775C">
            <w:pPr>
              <w:pStyle w:val="AnnexNumberedText"/>
              <w:spacing w:after="180"/>
              <w:rPr>
                <w:szCs w:val="18"/>
              </w:rPr>
            </w:pPr>
            <w:r>
              <w:t>c)</w:t>
            </w:r>
            <w:r>
              <w:tab/>
              <w:t>svæðið fellur undir lagalega eða samningsbundna ábyrgð sem tryggir að það verði áfram skógur.</w:t>
            </w:r>
          </w:p>
          <w:p w14:paraId="5C8EE12C" w14:textId="77777777" w:rsidR="007E0724" w:rsidRDefault="00C4775C">
            <w:pPr>
              <w:pStyle w:val="AnnexNumberedText"/>
              <w:tabs>
                <w:tab w:val="left" w:pos="508"/>
              </w:tabs>
              <w:spacing w:after="180"/>
              <w:ind w:left="0" w:firstLine="0"/>
              <w:rPr>
                <w:szCs w:val="18"/>
              </w:rPr>
            </w:pPr>
            <w:r>
              <w:t>3.2.</w:t>
            </w:r>
            <w:r>
              <w:tab/>
              <w:t xml:space="preserve">Í samræmi við landslög skuldbindur rekstraraðili starfseminnar sig til þess að í framtíðaruppfærslum á skógarstjórnunaráætlun eða jafngildum </w:t>
            </w:r>
            <w:proofErr w:type="spellStart"/>
            <w:r>
              <w:t>gerningi</w:t>
            </w:r>
            <w:proofErr w:type="spellEnd"/>
            <w:r>
              <w:t>, fyrir utan starfsemina sem er fjármögnuð, verði áfram keppt að loftslagsávinningi eins og ákvarðað er í 2. lið. Að auki skuldbindur rekstraraðili starfseminnar sig til þess að bæta upp hvers konar samdrátt í loftslagsávinningi, sem er ákvarðaður í 2. lið, með jafngildum loftslagsávinningi sem leiðir af því að stunda starfsemi sem svarar til einhverrar af þeirri starfsemi tengdrar skógrækt sem er skilgreind í þessari reglugerð.</w:t>
            </w:r>
          </w:p>
          <w:p w14:paraId="70613C9C" w14:textId="77777777" w:rsidR="007E0724" w:rsidRDefault="00C4775C">
            <w:pPr>
              <w:pStyle w:val="AnnexNumberedText"/>
              <w:spacing w:after="180"/>
              <w:ind w:left="360" w:hanging="360"/>
              <w:rPr>
                <w:szCs w:val="18"/>
              </w:rPr>
            </w:pPr>
            <w:r>
              <w:t>4.</w:t>
            </w:r>
            <w:r>
              <w:rPr>
                <w:i/>
              </w:rPr>
              <w:tab/>
              <w:t>Úttekt</w:t>
            </w:r>
          </w:p>
          <w:p w14:paraId="5D5F0E87" w14:textId="77777777" w:rsidR="007E0724" w:rsidRDefault="00C4775C">
            <w:pPr>
              <w:pStyle w:val="AnnexTableCellLeft"/>
              <w:spacing w:after="180"/>
              <w:rPr>
                <w:szCs w:val="18"/>
              </w:rPr>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22BD3393" w14:textId="77777777" w:rsidR="007E0724" w:rsidRDefault="00C4775C">
            <w:pPr>
              <w:pStyle w:val="AnnexNumberedText"/>
              <w:spacing w:after="180"/>
              <w:rPr>
                <w:szCs w:val="18"/>
              </w:rPr>
            </w:pPr>
            <w:r>
              <w:t>a)</w:t>
            </w:r>
            <w:r>
              <w:tab/>
              <w:t xml:space="preserve">viðeigandi </w:t>
            </w:r>
            <w:proofErr w:type="spellStart"/>
            <w:r>
              <w:t>lögbær</w:t>
            </w:r>
            <w:proofErr w:type="spellEnd"/>
            <w:r>
              <w:t xml:space="preserve"> landsyfirvöld,</w:t>
            </w:r>
          </w:p>
          <w:p w14:paraId="4F7062C5" w14:textId="77777777" w:rsidR="007E0724" w:rsidRDefault="00C4775C">
            <w:pPr>
              <w:pStyle w:val="AnnexNumberedText"/>
              <w:spacing w:after="180"/>
              <w:rPr>
                <w:szCs w:val="18"/>
              </w:rPr>
            </w:pPr>
            <w:r>
              <w:t>b)</w:t>
            </w:r>
            <w:r>
              <w:tab/>
              <w:t>óháður þriðji aðili, sem er vottunaraðili, að beiðni landsyfirvalda eða rekstraraðila starfseminnar.</w:t>
            </w:r>
          </w:p>
          <w:p w14:paraId="258A0DA3" w14:textId="77777777" w:rsidR="007E0724" w:rsidRDefault="00C4775C">
            <w:pPr>
              <w:pStyle w:val="AnnexTableCellLeft"/>
              <w:spacing w:after="180"/>
              <w:rPr>
                <w:szCs w:val="18"/>
              </w:rPr>
            </w:pPr>
            <w:r>
              <w:t>Í því skyni að draga úr kostnaði er heimilt að framkvæma úttekt samhliða skógarvottun, loftslagvottun eða annarri úttekt.</w:t>
            </w:r>
          </w:p>
          <w:p w14:paraId="3C39F989" w14:textId="77777777" w:rsidR="007E0724" w:rsidRDefault="00C4775C">
            <w:pPr>
              <w:pStyle w:val="AnnexTableCellLeft"/>
              <w:spacing w:after="180"/>
              <w:rPr>
                <w:szCs w:val="18"/>
              </w:rPr>
            </w:pPr>
            <w:r>
              <w:t>Óháður þriðji aðili, sem er vottunaraðili, má ekki eiga í neins konar hagsmunaárekstrum við eigandann eða fjármögnunaraðilann og má ekki hafa afskipti af þróun eða rekstri starfseminnar.</w:t>
            </w:r>
          </w:p>
          <w:p w14:paraId="1726D603" w14:textId="77777777" w:rsidR="007E0724" w:rsidRDefault="00C4775C">
            <w:pPr>
              <w:pStyle w:val="AnnexNumberedText"/>
              <w:spacing w:after="180"/>
              <w:ind w:left="360" w:hanging="360"/>
              <w:rPr>
                <w:szCs w:val="18"/>
              </w:rPr>
            </w:pPr>
            <w:r>
              <w:t>5.</w:t>
            </w:r>
            <w:r>
              <w:rPr>
                <w:i/>
              </w:rPr>
              <w:tab/>
              <w:t>Hópmat</w:t>
            </w:r>
          </w:p>
          <w:p w14:paraId="47ECF161" w14:textId="77777777" w:rsidR="007E0724" w:rsidRDefault="00C4775C">
            <w:pPr>
              <w:pStyle w:val="AnnexTableCellLeft"/>
              <w:spacing w:after="180"/>
              <w:rPr>
                <w:szCs w:val="18"/>
              </w:rPr>
            </w:pPr>
            <w:r>
              <w:t xml:space="preserve">Hægt er að hafa eftirlit með því hvort farið er að viðmiðunum um verulegt framlag til </w:t>
            </w:r>
            <w:proofErr w:type="spellStart"/>
            <w:r>
              <w:t>mildunar</w:t>
            </w:r>
            <w:proofErr w:type="spellEnd"/>
            <w:r>
              <w:t xml:space="preserve"> loftslagsbreytinga og viðmiðunum um að valda ekki umtalsverðu tjóni:</w:t>
            </w:r>
          </w:p>
          <w:p w14:paraId="67F4EA3B" w14:textId="77777777" w:rsidR="007E0724" w:rsidRDefault="00C4775C">
            <w:pPr>
              <w:pStyle w:val="AnnexNumberedText"/>
              <w:spacing w:after="180"/>
            </w:pPr>
            <w:r>
              <w:t>a)</w:t>
            </w:r>
            <w:r>
              <w:tab/>
              <w:t>á upprunasvæði skógræktarafurða (</w:t>
            </w:r>
            <w:r>
              <w:rPr>
                <w:rStyle w:val="Tilvsunneanmlsgrein"/>
                <w:sz w:val="18"/>
                <w:szCs w:val="18"/>
              </w:rPr>
              <w:footnoteReference w:id="76"/>
            </w:r>
            <w:r>
              <w:t>) eins og skilgreint er í 30. lið 2. gr. tilskipunar (ESB) 2018/2001,</w:t>
            </w:r>
          </w:p>
          <w:p w14:paraId="39CACB07" w14:textId="77777777" w:rsidR="007E0724" w:rsidRDefault="00C4775C">
            <w:pPr>
              <w:pStyle w:val="AnnexNumberedText"/>
              <w:spacing w:after="0"/>
            </w:pPr>
            <w:r>
              <w:t>b)</w:t>
            </w:r>
            <w:r>
              <w:tab/>
              <w:t>hjá hópi skógræktarbúa,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bl>
    <w:p w14:paraId="08C11C2E" w14:textId="77777777" w:rsidR="007E0724" w:rsidRDefault="007E0724">
      <w:pPr>
        <w:pStyle w:val="Para"/>
        <w:spacing w:after="0"/>
      </w:pPr>
    </w:p>
    <w:tbl>
      <w:tblPr>
        <w:tblStyle w:val="EFTATable"/>
        <w:tblW w:w="8736" w:type="dxa"/>
        <w:tblInd w:w="504" w:type="dxa"/>
        <w:tblLook w:val="04A0" w:firstRow="1" w:lastRow="0" w:firstColumn="1" w:lastColumn="0" w:noHBand="0" w:noVBand="1"/>
      </w:tblPr>
      <w:tblGrid>
        <w:gridCol w:w="2952"/>
        <w:gridCol w:w="5784"/>
      </w:tblGrid>
      <w:tr w:rsidR="007E0724" w14:paraId="2DDC84D2" w14:textId="77777777">
        <w:trPr>
          <w:trHeight w:val="240"/>
        </w:trPr>
        <w:tc>
          <w:tcPr>
            <w:tcW w:w="8736" w:type="dxa"/>
            <w:gridSpan w:val="2"/>
            <w:tcMar>
              <w:left w:w="0" w:type="dxa"/>
              <w:right w:w="40" w:type="dxa"/>
            </w:tcMar>
          </w:tcPr>
          <w:p w14:paraId="7362BC3E" w14:textId="77777777" w:rsidR="007E0724" w:rsidRDefault="00C4775C">
            <w:pPr>
              <w:pStyle w:val="AnnexTableCellLeft"/>
            </w:pPr>
            <w:r>
              <w:t>Ekki valda umtalsverðu tjóni</w:t>
            </w:r>
          </w:p>
        </w:tc>
      </w:tr>
      <w:tr w:rsidR="007E0724" w14:paraId="704C9CEB" w14:textId="77777777">
        <w:trPr>
          <w:trHeight w:val="240"/>
        </w:trPr>
        <w:tc>
          <w:tcPr>
            <w:tcW w:w="2952" w:type="dxa"/>
            <w:tcMar>
              <w:left w:w="0" w:type="dxa"/>
              <w:right w:w="40" w:type="dxa"/>
            </w:tcMar>
          </w:tcPr>
          <w:p w14:paraId="7FE02E26" w14:textId="77777777" w:rsidR="007E0724" w:rsidRDefault="00C4775C">
            <w:pPr>
              <w:pStyle w:val="AnnexNumberedText"/>
              <w:spacing w:after="0"/>
            </w:pPr>
            <w:r>
              <w:t>2)</w:t>
            </w:r>
            <w:r>
              <w:tab/>
              <w:t>Aðlögun að loftslagsbreytingum</w:t>
            </w:r>
          </w:p>
        </w:tc>
        <w:tc>
          <w:tcPr>
            <w:tcW w:w="5784" w:type="dxa"/>
            <w:tcMar>
              <w:left w:w="40" w:type="dxa"/>
              <w:right w:w="0" w:type="dxa"/>
            </w:tcMar>
          </w:tcPr>
          <w:p w14:paraId="56575B0B" w14:textId="77777777" w:rsidR="007E0724" w:rsidRDefault="00C4775C">
            <w:pPr>
              <w:pStyle w:val="AnnexTableCellLeft"/>
            </w:pPr>
            <w:r>
              <w:t>Starfsemin er í samræmi við viðmiðanirnar sem settar eru fram í viðbæti A við þennan viðauka.</w:t>
            </w:r>
          </w:p>
        </w:tc>
      </w:tr>
      <w:tr w:rsidR="007E0724" w14:paraId="2CB80290" w14:textId="77777777">
        <w:trPr>
          <w:trHeight w:val="360"/>
        </w:trPr>
        <w:tc>
          <w:tcPr>
            <w:tcW w:w="2952" w:type="dxa"/>
            <w:tcMar>
              <w:left w:w="0" w:type="dxa"/>
              <w:right w:w="40" w:type="dxa"/>
            </w:tcMar>
          </w:tcPr>
          <w:p w14:paraId="462CE11A" w14:textId="77777777" w:rsidR="007E0724" w:rsidRDefault="00C4775C">
            <w:pPr>
              <w:pStyle w:val="AnnexNumberedText"/>
              <w:pageBreakBefore/>
            </w:pPr>
            <w:r>
              <w:lastRenderedPageBreak/>
              <w:t>3)</w:t>
            </w:r>
            <w:r>
              <w:tab/>
              <w:t>Sjálfbær notkun og verndun vatns- og sjávarauðlinda</w:t>
            </w:r>
          </w:p>
        </w:tc>
        <w:tc>
          <w:tcPr>
            <w:tcW w:w="5784" w:type="dxa"/>
            <w:tcMar>
              <w:left w:w="40" w:type="dxa"/>
              <w:right w:w="0" w:type="dxa"/>
            </w:tcMar>
          </w:tcPr>
          <w:p w14:paraId="42C4747E" w14:textId="77777777" w:rsidR="007E0724" w:rsidRDefault="00C4775C">
            <w:pPr>
              <w:pStyle w:val="AnnexTableCellLeft"/>
              <w:spacing w:after="280"/>
              <w:rPr>
                <w:szCs w:val="18"/>
              </w:rPr>
            </w:pPr>
            <w:r>
              <w:t>Starfsemin er í samræmi við viðmiðanirnar sem settar eru fram í viðbæti B við þennan viðauka.</w:t>
            </w:r>
          </w:p>
          <w:p w14:paraId="05B5DBA5" w14:textId="77777777" w:rsidR="007E0724" w:rsidRDefault="00C4775C">
            <w:pPr>
              <w:pStyle w:val="AnnexTableCellLeft"/>
              <w:rPr>
                <w:szCs w:val="18"/>
              </w:rPr>
            </w:pPr>
            <w:r>
              <w:t xml:space="preserve">Ítarlegu upplýsingarnar sem um getur í </w:t>
            </w:r>
            <w:proofErr w:type="spellStart"/>
            <w:r>
              <w:t>i-lið</w:t>
            </w:r>
            <w:proofErr w:type="spellEnd"/>
            <w:r>
              <w:t xml:space="preserve"> í lið 1.2 innihalda ákvæði um að uppfylla viðmiðanirnar sem settar eru fram í viðbæti B við þennan viðauka.</w:t>
            </w:r>
          </w:p>
        </w:tc>
      </w:tr>
      <w:tr w:rsidR="007E0724" w14:paraId="119B7252" w14:textId="77777777">
        <w:trPr>
          <w:trHeight w:val="360"/>
        </w:trPr>
        <w:tc>
          <w:tcPr>
            <w:tcW w:w="2952" w:type="dxa"/>
            <w:tcMar>
              <w:left w:w="0" w:type="dxa"/>
              <w:right w:w="40" w:type="dxa"/>
            </w:tcMar>
          </w:tcPr>
          <w:p w14:paraId="2A471BF1" w14:textId="77777777" w:rsidR="007E0724" w:rsidRDefault="00C4775C">
            <w:pPr>
              <w:pStyle w:val="AnnexNumberedText"/>
            </w:pPr>
            <w:r>
              <w:t>4)</w:t>
            </w:r>
            <w:r>
              <w:tab/>
              <w:t>Umskipti yfir í hringrásarhagkerfi</w:t>
            </w:r>
          </w:p>
        </w:tc>
        <w:tc>
          <w:tcPr>
            <w:tcW w:w="5784" w:type="dxa"/>
            <w:tcMar>
              <w:left w:w="40" w:type="dxa"/>
              <w:right w:w="0" w:type="dxa"/>
            </w:tcMar>
          </w:tcPr>
          <w:p w14:paraId="0507A6ED" w14:textId="77777777" w:rsidR="007E0724" w:rsidRDefault="00C4775C">
            <w:pPr>
              <w:pStyle w:val="AnnexTableCellLeft"/>
              <w:rPr>
                <w:szCs w:val="18"/>
              </w:rPr>
            </w:pPr>
            <w:r>
              <w:t>Breyting á skógrækt, sem starfsemin veldur á svæðinu sem hún nær yfir, er ekki líkleg til að draga umtalsvert úr sjálfbæru framboði á fyrsta stigs lífmassa úr skógi sem hentar til framleiðslu á vörum sem unnar eru úr viði með langtímamöguleika til hringrásar. Þessa viðmiðun er hægt að sýna fram á með greiningu á loftslagsávinningnum sem um getur í 2. lið.</w:t>
            </w:r>
          </w:p>
        </w:tc>
      </w:tr>
      <w:tr w:rsidR="007E0724" w14:paraId="4EAF6723" w14:textId="77777777">
        <w:trPr>
          <w:trHeight w:val="360"/>
        </w:trPr>
        <w:tc>
          <w:tcPr>
            <w:tcW w:w="2952" w:type="dxa"/>
            <w:tcBorders>
              <w:bottom w:val="single" w:sz="4" w:space="0" w:color="auto"/>
            </w:tcBorders>
            <w:tcMar>
              <w:left w:w="0" w:type="dxa"/>
              <w:right w:w="40" w:type="dxa"/>
            </w:tcMar>
          </w:tcPr>
          <w:p w14:paraId="137D6B50" w14:textId="77777777" w:rsidR="007E0724" w:rsidRDefault="00C4775C">
            <w:pPr>
              <w:pStyle w:val="AnnexNumberedText"/>
            </w:pPr>
            <w:r>
              <w:t>5)</w:t>
            </w:r>
            <w:r>
              <w:tab/>
              <w:t>Mengunarvarnir og eftirlit með mengun</w:t>
            </w:r>
          </w:p>
        </w:tc>
        <w:tc>
          <w:tcPr>
            <w:tcW w:w="5784" w:type="dxa"/>
            <w:tcBorders>
              <w:bottom w:val="single" w:sz="4" w:space="0" w:color="auto"/>
            </w:tcBorders>
            <w:tcMar>
              <w:left w:w="40" w:type="dxa"/>
              <w:right w:w="0" w:type="dxa"/>
            </w:tcMar>
          </w:tcPr>
          <w:p w14:paraId="4D8AA664" w14:textId="77777777" w:rsidR="007E0724" w:rsidRDefault="00C4775C">
            <w:pPr>
              <w:pStyle w:val="AnnexTableCellLeft"/>
              <w:spacing w:after="280"/>
              <w:rPr>
                <w:szCs w:val="18"/>
              </w:rPr>
            </w:pPr>
            <w:r>
              <w:t>Í starfseminni eru hvorki notuð varnarefni né áburður.</w:t>
            </w:r>
          </w:p>
          <w:p w14:paraId="5B1E2B5C" w14:textId="77777777" w:rsidR="007E0724" w:rsidRDefault="00C4775C">
            <w:pPr>
              <w:pStyle w:val="AnnexTableCellLeft"/>
              <w:spacing w:after="280"/>
              <w:rPr>
                <w:szCs w:val="18"/>
              </w:rPr>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szCs w:val="18"/>
              </w:rPr>
              <w:footnoteReference w:id="77"/>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szCs w:val="18"/>
              </w:rPr>
              <w:footnoteReference w:id="78"/>
            </w:r>
            <w:r>
              <w:t>). Starfsemin er í samræmi við viðeigandi landslög um virk innihaldsefni.</w:t>
            </w:r>
          </w:p>
          <w:p w14:paraId="2F724AE1" w14:textId="77777777" w:rsidR="007E0724" w:rsidRDefault="00C4775C">
            <w:pPr>
              <w:pStyle w:val="AnnexTableCellLeft"/>
              <w:rPr>
                <w:szCs w:val="18"/>
              </w:rPr>
            </w:pPr>
            <w:r>
              <w:t>Komið er í veg fyrir mengun vatns og jarðvegs og gripið til hreinsunarráðstafana þegar mengun á sér stað.</w:t>
            </w:r>
          </w:p>
        </w:tc>
      </w:tr>
      <w:tr w:rsidR="007E0724" w14:paraId="4F8B05C2" w14:textId="77777777">
        <w:trPr>
          <w:trHeight w:val="360"/>
        </w:trPr>
        <w:tc>
          <w:tcPr>
            <w:tcW w:w="2952" w:type="dxa"/>
            <w:tcBorders>
              <w:bottom w:val="nil"/>
            </w:tcBorders>
            <w:tcMar>
              <w:left w:w="0" w:type="dxa"/>
              <w:right w:w="40" w:type="dxa"/>
            </w:tcMar>
          </w:tcPr>
          <w:p w14:paraId="3A149BE8" w14:textId="77777777" w:rsidR="007E0724" w:rsidRDefault="00C4775C">
            <w:pPr>
              <w:pStyle w:val="AnnexNumberedText"/>
            </w:pPr>
            <w:r>
              <w:t>6)</w:t>
            </w:r>
            <w:r>
              <w:tab/>
              <w:t>Vernd og endurheimt líffræðilegrar fjölbreytni og vistkerfa</w:t>
            </w:r>
          </w:p>
        </w:tc>
        <w:tc>
          <w:tcPr>
            <w:tcW w:w="5784" w:type="dxa"/>
            <w:tcBorders>
              <w:bottom w:val="nil"/>
            </w:tcBorders>
            <w:tcMar>
              <w:left w:w="40" w:type="dxa"/>
              <w:right w:w="0" w:type="dxa"/>
            </w:tcMar>
          </w:tcPr>
          <w:p w14:paraId="43ADE63A" w14:textId="77777777" w:rsidR="007E0724" w:rsidRDefault="00C4775C">
            <w:pPr>
              <w:pStyle w:val="AnnexTableCellLeft"/>
              <w:spacing w:after="280"/>
              <w:rPr>
                <w:szCs w:val="18"/>
              </w:rPr>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01661BD6" w14:textId="77777777" w:rsidR="007E0724" w:rsidRDefault="00C4775C">
            <w:pPr>
              <w:pStyle w:val="AnnexTableCellLeft"/>
              <w:spacing w:after="280"/>
              <w:rPr>
                <w:szCs w:val="18"/>
              </w:rPr>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45468F46" w14:textId="77777777" w:rsidR="007E0724" w:rsidRDefault="00C4775C">
            <w:pPr>
              <w:pStyle w:val="AnnexTableCellLeft"/>
              <w:spacing w:after="280"/>
              <w:rPr>
                <w:szCs w:val="18"/>
              </w:rPr>
            </w:pPr>
            <w:r>
              <w:t xml:space="preserve">Ítarlegu upplýsingarnar sem um getur í </w:t>
            </w:r>
            <w:proofErr w:type="spellStart"/>
            <w:r>
              <w:t>i-lið</w:t>
            </w:r>
            <w:proofErr w:type="spellEnd"/>
            <w:r>
              <w:t xml:space="preserve"> í lið 1.2 innihalda ákvæði um viðhald og mögulega eflingu líffræðilegrar fjölbreytni í samræmi við landsbundin og staðbundin ákvæði, þ.m.t. eftirfarandi:</w:t>
            </w:r>
          </w:p>
          <w:p w14:paraId="3EF3428D" w14:textId="77777777" w:rsidR="007E0724" w:rsidRDefault="00C4775C">
            <w:pPr>
              <w:pStyle w:val="AnnexNumberedText"/>
              <w:spacing w:after="280"/>
              <w:rPr>
                <w:szCs w:val="18"/>
              </w:rPr>
            </w:pPr>
            <w:r>
              <w:t>a)</w:t>
            </w:r>
            <w:r>
              <w:tab/>
              <w:t>að tryggja góða varðveislustöðu búsvæðis og tegunda, viðhald dæmigerðra tegunda á búsvæði,</w:t>
            </w:r>
          </w:p>
          <w:p w14:paraId="154D0387" w14:textId="77777777" w:rsidR="007E0724" w:rsidRDefault="00C4775C">
            <w:pPr>
              <w:pStyle w:val="AnnexNumberedText"/>
              <w:spacing w:after="280"/>
              <w:rPr>
                <w:szCs w:val="18"/>
              </w:rPr>
            </w:pPr>
            <w:r>
              <w:t>b)</w:t>
            </w:r>
            <w:r>
              <w:tab/>
              <w:t xml:space="preserve">að undanskilja notkun á eða </w:t>
            </w:r>
            <w:proofErr w:type="spellStart"/>
            <w:r>
              <w:t>sleppingu</w:t>
            </w:r>
            <w:proofErr w:type="spellEnd"/>
            <w:r>
              <w:t xml:space="preserve"> ágengra framandi tegunda,</w:t>
            </w:r>
          </w:p>
          <w:p w14:paraId="468CFF86" w14:textId="77777777" w:rsidR="007E0724" w:rsidRDefault="00C4775C">
            <w:pPr>
              <w:pStyle w:val="AnnexNumberedText"/>
              <w:spacing w:after="280"/>
              <w:rPr>
                <w:szCs w:val="18"/>
              </w:rPr>
            </w:pPr>
            <w:r>
              <w:t>c)</w:t>
            </w:r>
            <w:r>
              <w:tab/>
              <w:t>að undanskilja notkun á framandi tegundum nema unnt sé að sýna fram á að:</w:t>
            </w:r>
          </w:p>
          <w:p w14:paraId="2A339B56" w14:textId="77777777" w:rsidR="007E0724" w:rsidRDefault="00C4775C">
            <w:pPr>
              <w:pStyle w:val="AnnexNumberedText"/>
              <w:spacing w:after="280"/>
              <w:ind w:left="600"/>
              <w:rPr>
                <w:szCs w:val="18"/>
              </w:rPr>
            </w:pPr>
            <w:r>
              <w:t>i.</w:t>
            </w:r>
            <w:r>
              <w:tab/>
              <w:t>notkun á fjölgunarefni í skógrækt leiði til hagstæðara og viðeigandi ástands vistkerfisins (s.s. loftslag, jarðvegsskilyrði og gróðursvæði, viðnám gegn skógareldum),</w:t>
            </w:r>
          </w:p>
          <w:p w14:paraId="18DAFC0D" w14:textId="77777777" w:rsidR="007E0724" w:rsidRDefault="00C4775C">
            <w:pPr>
              <w:pStyle w:val="AnnexNumberedText"/>
              <w:spacing w:after="280"/>
              <w:ind w:left="600"/>
              <w:rPr>
                <w:szCs w:val="18"/>
              </w:rPr>
            </w:pPr>
            <w:r>
              <w:t>ii.</w:t>
            </w:r>
            <w:r>
              <w:tab/>
              <w:t>innlendar tegundir, sem eru þegar til staðar á svæðinu, eru ekki lengur aðlagaðar að framreiknuðum loftslagsskilyrðum og jarðvegsfræðilegum/vatnafræðilegum skilyrðum,</w:t>
            </w:r>
          </w:p>
          <w:p w14:paraId="24042EFA" w14:textId="77777777" w:rsidR="007E0724" w:rsidRDefault="00C4775C">
            <w:pPr>
              <w:pStyle w:val="AnnexNumberedText"/>
              <w:spacing w:after="280"/>
              <w:rPr>
                <w:szCs w:val="18"/>
              </w:rPr>
            </w:pPr>
            <w:r>
              <w:lastRenderedPageBreak/>
              <w:t>d)</w:t>
            </w:r>
            <w:r>
              <w:tab/>
              <w:t xml:space="preserve">að tryggja viðhald og úrbætur á </w:t>
            </w:r>
            <w:proofErr w:type="spellStart"/>
            <w:r>
              <w:t>eðlisrænum</w:t>
            </w:r>
            <w:proofErr w:type="spellEnd"/>
            <w:r>
              <w:t>, efnafræðilegum og líffræðilegum gæðum jarðvegsins,</w:t>
            </w:r>
          </w:p>
        </w:tc>
      </w:tr>
      <w:tr w:rsidR="007E0724" w14:paraId="42A3FCE5" w14:textId="77777777">
        <w:trPr>
          <w:trHeight w:val="2640"/>
        </w:trPr>
        <w:tc>
          <w:tcPr>
            <w:tcW w:w="2952" w:type="dxa"/>
            <w:tcBorders>
              <w:top w:val="single" w:sz="4" w:space="0" w:color="auto"/>
              <w:bottom w:val="single" w:sz="4" w:space="0" w:color="auto"/>
            </w:tcBorders>
            <w:tcMar>
              <w:left w:w="0" w:type="dxa"/>
              <w:right w:w="40" w:type="dxa"/>
            </w:tcMar>
          </w:tcPr>
          <w:p w14:paraId="2368D49F" w14:textId="77777777" w:rsidR="007E0724" w:rsidRDefault="007E0724">
            <w:pPr>
              <w:pStyle w:val="AnnexNumberedText"/>
              <w:ind w:left="293" w:hanging="293"/>
            </w:pPr>
          </w:p>
        </w:tc>
        <w:tc>
          <w:tcPr>
            <w:tcW w:w="5784" w:type="dxa"/>
            <w:tcBorders>
              <w:top w:val="single" w:sz="4" w:space="0" w:color="auto"/>
            </w:tcBorders>
            <w:tcMar>
              <w:left w:w="40" w:type="dxa"/>
              <w:right w:w="0" w:type="dxa"/>
            </w:tcMar>
          </w:tcPr>
          <w:p w14:paraId="07B195E2" w14:textId="77777777" w:rsidR="007E0724" w:rsidRDefault="00C4775C">
            <w:pPr>
              <w:pStyle w:val="AnnexNumberedText"/>
              <w:spacing w:after="240"/>
            </w:pPr>
            <w:r>
              <w:t>e)</w:t>
            </w:r>
            <w:r>
              <w:tab/>
              <w:t>að efla starfsvenjur sem gagnast líffræðilegri fjölbreytni og bæta náttúrulegt ferli skóga,</w:t>
            </w:r>
          </w:p>
          <w:p w14:paraId="42CFA278" w14:textId="77777777" w:rsidR="007E0724" w:rsidRDefault="00C4775C">
            <w:pPr>
              <w:pStyle w:val="AnnexNumberedText"/>
              <w:spacing w:after="240"/>
            </w:pPr>
            <w:r>
              <w:t>f)</w:t>
            </w:r>
            <w:r>
              <w:tab/>
              <w:t>að útiloka umbreytingu vistkerfa þar sem líffræðileg fjölbreytni er mikil yfir í vistkerfi þar sem líffræðileg fjölbreytni er minni,</w:t>
            </w:r>
          </w:p>
          <w:p w14:paraId="3298A53E" w14:textId="77777777" w:rsidR="007E0724" w:rsidRDefault="00C4775C">
            <w:pPr>
              <w:pStyle w:val="AnnexNumberedText"/>
              <w:spacing w:after="240"/>
            </w:pPr>
            <w:r>
              <w:t>g)</w:t>
            </w:r>
            <w:r>
              <w:tab/>
              <w:t>að tryggja fjölbreytni tengdra búsvæða og tegunda sem tengjast skóginum,</w:t>
            </w:r>
          </w:p>
          <w:p w14:paraId="25081896" w14:textId="77777777" w:rsidR="007E0724" w:rsidRDefault="00C4775C">
            <w:pPr>
              <w:pStyle w:val="AnnexNumberedText"/>
              <w:spacing w:after="240"/>
              <w:rPr>
                <w:szCs w:val="18"/>
              </w:rPr>
            </w:pPr>
            <w:r>
              <w:t>h)</w:t>
            </w:r>
            <w:r>
              <w:tab/>
              <w:t>að tryggja fjölbreytni í formgerð skógarteiga og að viðhalda eða efla fullvaxta skógarteiga og dauðan við.</w:t>
            </w:r>
          </w:p>
        </w:tc>
      </w:tr>
    </w:tbl>
    <w:p w14:paraId="2829C532" w14:textId="77777777" w:rsidR="007E0724" w:rsidRDefault="00C4775C">
      <w:pPr>
        <w:pStyle w:val="AnnexNumberedText"/>
        <w:spacing w:before="200" w:after="260"/>
        <w:ind w:left="500" w:hanging="500"/>
        <w:rPr>
          <w:sz w:val="16"/>
        </w:rPr>
      </w:pPr>
      <w:r>
        <w:t>2.</w:t>
      </w:r>
      <w:r>
        <w:tab/>
      </w:r>
      <w:r>
        <w:rPr>
          <w:sz w:val="16"/>
        </w:rPr>
        <w:t>STARFSEMI Á SVIÐI UMHVERFISVERNDAR OG ENDURHEIMTAR</w:t>
      </w:r>
    </w:p>
    <w:p w14:paraId="657EC722" w14:textId="77777777" w:rsidR="007E0724" w:rsidRDefault="00C4775C">
      <w:pPr>
        <w:pStyle w:val="AnnexNumberedText"/>
        <w:spacing w:after="260"/>
        <w:ind w:left="500" w:hanging="500"/>
      </w:pPr>
      <w:r>
        <w:t>2.1.</w:t>
      </w:r>
      <w:r>
        <w:rPr>
          <w:b/>
        </w:rPr>
        <w:tab/>
        <w:t>Endurheimt votlendis</w:t>
      </w:r>
    </w:p>
    <w:p w14:paraId="4BAA577D" w14:textId="77777777" w:rsidR="007E0724" w:rsidRDefault="00C4775C">
      <w:pPr>
        <w:pStyle w:val="AnnexGrSeq3"/>
        <w:spacing w:after="260"/>
        <w:ind w:left="500"/>
        <w:jc w:val="left"/>
      </w:pPr>
      <w:r>
        <w:rPr>
          <w:i/>
        </w:rPr>
        <w:t>Lýsing á starfseminni</w:t>
      </w:r>
    </w:p>
    <w:p w14:paraId="60EB4514" w14:textId="77777777" w:rsidR="007E0724" w:rsidRDefault="00C4775C">
      <w:pPr>
        <w:pStyle w:val="AnnexNormal"/>
        <w:spacing w:after="260"/>
        <w:ind w:left="500"/>
        <w:rPr>
          <w:szCs w:val="18"/>
        </w:rPr>
      </w:pPr>
      <w:r>
        <w:t>Endurheimt votlendis vísar til atvinnustarfsemi sem stuðlar að afturhvarfi til upprunalegs ástands votlendis og atvinnustarfsemi sem bætir starfsemi votlendis án þess að stuðla endilega að afturhvarfi til ástandsins áður en því var raskað, þar sem votlendi merkir land sem samsvarar alþjóðlegu skilgreiningunni á votlendi (</w:t>
      </w:r>
      <w:bookmarkStart w:id="27" w:name="NOTE_78"/>
      <w:r>
        <w:rPr>
          <w:rStyle w:val="Tilvsunneanmlsgrein"/>
          <w:sz w:val="18"/>
          <w:szCs w:val="18"/>
        </w:rPr>
        <w:footnoteReference w:id="79"/>
      </w:r>
      <w:bookmarkEnd w:id="27"/>
      <w:r>
        <w:t xml:space="preserve">) eða á </w:t>
      </w:r>
      <w:proofErr w:type="spellStart"/>
      <w:r>
        <w:t>mómýri</w:t>
      </w:r>
      <w:proofErr w:type="spellEnd"/>
      <w:r>
        <w:t xml:space="preserve"> (</w:t>
      </w:r>
      <w:bookmarkStart w:id="28" w:name="NOTE_79"/>
      <w:r>
        <w:rPr>
          <w:rStyle w:val="Tilvsunneanmlsgrein"/>
          <w:sz w:val="18"/>
          <w:szCs w:val="18"/>
        </w:rPr>
        <w:footnoteReference w:id="80"/>
      </w:r>
      <w:bookmarkEnd w:id="28"/>
      <w:r>
        <w:t>) eins og sett er fram í samþykktinni um votlendi sem hafa alþjóðlegt gildi, einkum fyrir fuglalíf (</w:t>
      </w:r>
      <w:proofErr w:type="spellStart"/>
      <w:r>
        <w:t>Ramsar</w:t>
      </w:r>
      <w:proofErr w:type="spellEnd"/>
      <w:r>
        <w:t>-samþykktin) (</w:t>
      </w:r>
      <w:bookmarkStart w:id="29" w:name="NOTE_80"/>
      <w:r>
        <w:rPr>
          <w:rStyle w:val="Tilvsunneanmlsgrein"/>
          <w:sz w:val="18"/>
          <w:szCs w:val="18"/>
        </w:rPr>
        <w:footnoteReference w:id="81"/>
      </w:r>
      <w:bookmarkEnd w:id="29"/>
      <w:r>
        <w:t>). Hlutaðeigandi svæði samsvarar skilgreiningu Sambandsins á votlendi eins og kveðið er á um í orðsendingu framkvæmdastjórnarinnar um skynsamlega nýtingu og vernd votlendis (</w:t>
      </w:r>
      <w:bookmarkStart w:id="30" w:name="NOTE_81"/>
      <w:r>
        <w:rPr>
          <w:rStyle w:val="Tilvsunneanmlsgrein"/>
          <w:sz w:val="18"/>
          <w:szCs w:val="18"/>
        </w:rPr>
        <w:footnoteReference w:id="82"/>
      </w:r>
      <w:bookmarkEnd w:id="30"/>
      <w:r>
        <w:t>).</w:t>
      </w:r>
    </w:p>
    <w:p w14:paraId="3CC5F4F8" w14:textId="77777777" w:rsidR="007E0724" w:rsidRDefault="00C4775C">
      <w:pPr>
        <w:pStyle w:val="AnnexNormal"/>
        <w:spacing w:after="260"/>
        <w:ind w:left="500"/>
        <w:rPr>
          <w:szCs w:val="18"/>
        </w:rPr>
      </w:pPr>
      <w:r>
        <w:t>Atvinnustarfsemin í þessum flokki er ekki með sérstakan kóða atvinnugreinaflokkunar Evrópusambandsins, eins og um getur í atvinnugreinaflokkuninni sem komið var á með reglugerð (EB) nr. 1893/2006, heldur er vísað til 6. flokks í tölfræðilegu flokkuninni á umhverfisverndaraðgerðum (CEPA) sem komið var á með reglugerð Evrópuþingsins og ráðsins (ESB) nr. 691/2011 (</w:t>
      </w:r>
      <w:bookmarkStart w:id="31" w:name="NOTE_82"/>
      <w:r>
        <w:rPr>
          <w:rStyle w:val="Tilvsunneanmlsgrein"/>
          <w:sz w:val="18"/>
          <w:szCs w:val="18"/>
        </w:rPr>
        <w:footnoteReference w:id="83"/>
      </w:r>
      <w:bookmarkEnd w:id="31"/>
      <w:r>
        <w:t>).</w:t>
      </w:r>
    </w:p>
    <w:p w14:paraId="1153ACBB" w14:textId="77777777" w:rsidR="007E0724" w:rsidRDefault="00C4775C">
      <w:pPr>
        <w:pStyle w:val="AnnexGrSeq3"/>
        <w:spacing w:after="260"/>
        <w:ind w:left="500"/>
        <w:jc w:val="left"/>
      </w:pPr>
      <w:r>
        <w:rPr>
          <w:i/>
        </w:rPr>
        <w:t>Tæknileg matsviðmið</w:t>
      </w:r>
    </w:p>
    <w:tbl>
      <w:tblPr>
        <w:tblStyle w:val="EFTATable"/>
        <w:tblW w:w="8740" w:type="dxa"/>
        <w:tblInd w:w="500" w:type="dxa"/>
        <w:tblLook w:val="04A0" w:firstRow="1" w:lastRow="0" w:firstColumn="1" w:lastColumn="0" w:noHBand="0" w:noVBand="1"/>
      </w:tblPr>
      <w:tblGrid>
        <w:gridCol w:w="8740"/>
      </w:tblGrid>
      <w:tr w:rsidR="007E0724" w14:paraId="3B6A5387" w14:textId="77777777">
        <w:trPr>
          <w:trHeight w:val="240"/>
        </w:trPr>
        <w:tc>
          <w:tcPr>
            <w:tcW w:w="8740" w:type="dxa"/>
            <w:tcBorders>
              <w:bottom w:val="single" w:sz="4" w:space="0" w:color="auto"/>
            </w:tcBorders>
            <w:tcMar>
              <w:left w:w="0" w:type="dxa"/>
              <w:right w:w="0" w:type="dxa"/>
            </w:tcMar>
          </w:tcPr>
          <w:p w14:paraId="52164538" w14:textId="77777777" w:rsidR="007E0724" w:rsidRDefault="00C4775C">
            <w:pPr>
              <w:pStyle w:val="AnnexTableCellLeft"/>
              <w:spacing w:before="60" w:after="60"/>
            </w:pPr>
            <w:r>
              <w:t xml:space="preserve">Verulegt framlag til </w:t>
            </w:r>
            <w:proofErr w:type="spellStart"/>
            <w:r>
              <w:t>mildunar</w:t>
            </w:r>
            <w:proofErr w:type="spellEnd"/>
            <w:r>
              <w:t xml:space="preserve"> loftslagsbreytinga</w:t>
            </w:r>
          </w:p>
        </w:tc>
      </w:tr>
      <w:tr w:rsidR="007E0724" w14:paraId="4424AB5B" w14:textId="77777777">
        <w:trPr>
          <w:trHeight w:val="360"/>
        </w:trPr>
        <w:tc>
          <w:tcPr>
            <w:tcW w:w="8740" w:type="dxa"/>
            <w:tcBorders>
              <w:bottom w:val="nil"/>
            </w:tcBorders>
            <w:tcMar>
              <w:left w:w="0" w:type="dxa"/>
              <w:right w:w="0" w:type="dxa"/>
            </w:tcMar>
          </w:tcPr>
          <w:p w14:paraId="7913483E" w14:textId="77777777" w:rsidR="007E0724" w:rsidRDefault="00C4775C">
            <w:pPr>
              <w:pStyle w:val="AnnexNumberedText"/>
              <w:ind w:left="360" w:hanging="360"/>
            </w:pPr>
            <w:r>
              <w:t>1.</w:t>
            </w:r>
            <w:r>
              <w:rPr>
                <w:i/>
              </w:rPr>
              <w:tab/>
              <w:t>Áætlun um endurheimt</w:t>
            </w:r>
          </w:p>
          <w:p w14:paraId="73C7696F" w14:textId="77777777" w:rsidR="007E0724" w:rsidRDefault="00C4775C">
            <w:pPr>
              <w:pStyle w:val="AnnexNumberedText"/>
              <w:tabs>
                <w:tab w:val="left" w:pos="508"/>
              </w:tabs>
              <w:spacing w:after="0"/>
              <w:ind w:left="0" w:firstLine="0"/>
            </w:pPr>
            <w:r>
              <w:t>1.1.</w:t>
            </w:r>
            <w:r>
              <w:tab/>
              <w:t xml:space="preserve">Svæðið fellur undir áætlun um endurheimt, sem er í samræmi við meginreglur og leiðbeiningar í </w:t>
            </w:r>
            <w:proofErr w:type="spellStart"/>
            <w:r>
              <w:t>Ramsar</w:t>
            </w:r>
            <w:proofErr w:type="spellEnd"/>
            <w:r>
              <w:t>-samþykktinni um endurheimt votlendis (</w:t>
            </w:r>
            <w:r>
              <w:rPr>
                <w:rStyle w:val="Tilvsunneanmlsgrein"/>
                <w:sz w:val="18"/>
                <w:szCs w:val="18"/>
              </w:rPr>
              <w:footnoteReference w:id="84"/>
            </w:r>
            <w:r>
              <w:t xml:space="preserve">), þar til svæðið verður flokkað sem votlendi og fellur undir stjórnunaráætlun </w:t>
            </w:r>
            <w:r>
              <w:lastRenderedPageBreak/>
              <w:t xml:space="preserve">fyrir votlendi sem er í samræmi við leiðbeiningar í </w:t>
            </w:r>
            <w:proofErr w:type="spellStart"/>
            <w:r>
              <w:t>Ramsar</w:t>
            </w:r>
            <w:proofErr w:type="spellEnd"/>
            <w:r>
              <w:t xml:space="preserve">-samþykktinni um skipulag stjórnunar fyrir </w:t>
            </w:r>
            <w:proofErr w:type="spellStart"/>
            <w:r>
              <w:t>Ramsar</w:t>
            </w:r>
            <w:proofErr w:type="spellEnd"/>
            <w:r>
              <w:t>-svæði og önnur votlendi (</w:t>
            </w:r>
            <w:r>
              <w:rPr>
                <w:rStyle w:val="Tilvsunneanmlsgrein"/>
                <w:sz w:val="18"/>
                <w:szCs w:val="18"/>
              </w:rPr>
              <w:footnoteReference w:id="85"/>
            </w:r>
            <w:r>
              <w:t xml:space="preserve">). Að því er varðar </w:t>
            </w:r>
            <w:proofErr w:type="spellStart"/>
            <w:r>
              <w:t>mómýrar</w:t>
            </w:r>
            <w:proofErr w:type="spellEnd"/>
            <w:r>
              <w:t xml:space="preserve"> er tilmælum í viðkomandi ályktunum </w:t>
            </w:r>
            <w:proofErr w:type="spellStart"/>
            <w:r>
              <w:t>Ramsar</w:t>
            </w:r>
            <w:proofErr w:type="spellEnd"/>
            <w:r>
              <w:t>-samþykktarinnar, þ.m.t. ályktun XIII/13, fylgt í áætlun um endurheimt.</w:t>
            </w:r>
          </w:p>
        </w:tc>
      </w:tr>
      <w:tr w:rsidR="007E0724" w14:paraId="216A6447" w14:textId="77777777">
        <w:trPr>
          <w:trHeight w:val="360"/>
        </w:trPr>
        <w:tc>
          <w:tcPr>
            <w:tcW w:w="8740" w:type="dxa"/>
            <w:tcBorders>
              <w:top w:val="nil"/>
              <w:bottom w:val="nil"/>
            </w:tcBorders>
            <w:tcMar>
              <w:left w:w="0" w:type="dxa"/>
              <w:right w:w="0" w:type="dxa"/>
            </w:tcMar>
          </w:tcPr>
          <w:p w14:paraId="4DCE886A" w14:textId="77777777" w:rsidR="007E0724" w:rsidRDefault="00C4775C">
            <w:pPr>
              <w:pStyle w:val="AnnexNumberedText"/>
              <w:pageBreakBefore/>
              <w:tabs>
                <w:tab w:val="left" w:pos="508"/>
              </w:tabs>
              <w:spacing w:after="220"/>
              <w:ind w:left="0" w:firstLine="0"/>
            </w:pPr>
            <w:r>
              <w:lastRenderedPageBreak/>
              <w:t>1.2.</w:t>
            </w:r>
            <w:r>
              <w:tab/>
              <w:t xml:space="preserve">Áætlun um endurheimt inniheldur vandlega athugun á staðbundnum vatnafræðilegum og jarðvegsfræðilegum aðstæðum, þ.m.t. framgangur </w:t>
            </w:r>
            <w:proofErr w:type="spellStart"/>
            <w:r>
              <w:t>jarðvegsmettunar</w:t>
            </w:r>
            <w:proofErr w:type="spellEnd"/>
            <w:r>
              <w:t xml:space="preserve"> og breytingar á loftháðum og </w:t>
            </w:r>
            <w:proofErr w:type="spellStart"/>
            <w:r>
              <w:t>loftfirrðum</w:t>
            </w:r>
            <w:proofErr w:type="spellEnd"/>
            <w:r>
              <w:t xml:space="preserve"> skilyrðum.</w:t>
            </w:r>
          </w:p>
          <w:p w14:paraId="075439DB" w14:textId="77777777" w:rsidR="007E0724" w:rsidRDefault="00C4775C">
            <w:pPr>
              <w:pStyle w:val="AnnexNumberedText"/>
              <w:tabs>
                <w:tab w:val="left" w:pos="508"/>
              </w:tabs>
              <w:spacing w:after="220"/>
              <w:ind w:left="0" w:firstLine="0"/>
            </w:pPr>
            <w:r>
              <w:t>1.3.</w:t>
            </w:r>
            <w:r>
              <w:tab/>
              <w:t>Fjallað er um allar viðmiðanir um að valda ekki umtalsverðu tjóni sem eiga við um stjórnun votlendis í áætlun um endurheimt.</w:t>
            </w:r>
          </w:p>
          <w:p w14:paraId="453C36E3" w14:textId="77777777" w:rsidR="007E0724" w:rsidRDefault="00C4775C">
            <w:pPr>
              <w:pStyle w:val="AnnexNumberedText"/>
              <w:tabs>
                <w:tab w:val="left" w:pos="508"/>
              </w:tabs>
              <w:spacing w:after="220"/>
              <w:ind w:left="0" w:firstLine="0"/>
            </w:pPr>
            <w:r>
              <w:t>1.4.</w:t>
            </w:r>
            <w:r>
              <w:tab/>
              <w:t>Í áætlun um endurheimt er kveðið á um vöktun sem tryggir að upplýsingarnar í áætluninni séu réttar, einkum að því er varðar gögn sem tengjast hlutaðeigandi svæði.</w:t>
            </w:r>
          </w:p>
          <w:p w14:paraId="32128260" w14:textId="77777777" w:rsidR="007E0724" w:rsidRDefault="00C4775C">
            <w:pPr>
              <w:pStyle w:val="AnnexNumberedText"/>
              <w:spacing w:after="220"/>
              <w:ind w:left="360" w:hanging="360"/>
            </w:pPr>
            <w:r>
              <w:t>2.</w:t>
            </w:r>
            <w:r>
              <w:rPr>
                <w:i/>
              </w:rPr>
              <w:tab/>
              <w:t>Greining á loftslagsávinningi</w:t>
            </w:r>
          </w:p>
          <w:p w14:paraId="0B206389" w14:textId="77777777" w:rsidR="007E0724" w:rsidRDefault="00C4775C">
            <w:pPr>
              <w:pStyle w:val="AnnexNumberedText"/>
              <w:tabs>
                <w:tab w:val="left" w:pos="508"/>
              </w:tabs>
              <w:spacing w:after="220"/>
              <w:ind w:left="0" w:firstLine="0"/>
            </w:pPr>
            <w:r>
              <w:t>2.1.</w:t>
            </w:r>
            <w:r>
              <w:tab/>
              <w:t>Starfsemin er í samræmi við eftirfarandi viðmiðanir:</w:t>
            </w:r>
          </w:p>
          <w:p w14:paraId="74973D42" w14:textId="77777777" w:rsidR="007E0724" w:rsidRDefault="00C4775C">
            <w:pPr>
              <w:pStyle w:val="AnnexNumberedText"/>
              <w:spacing w:after="220"/>
            </w:pPr>
            <w:r>
              <w:t>a)</w:t>
            </w:r>
            <w:r>
              <w:tab/>
              <w:t>greining á loftslagsávinningi sýnir fram á að hrein staða losunar gróðurhúsalofttegunda og upptöku sem skapast af starfseminni yfir 30 ára tímabil eftir að starfsemin hófst er minni en við grunnástand, sem svarar til jafnvægis milli losunar gróðurhúsalofttegunda og upptöku yfir 30 ára tímabil sem hefst við upphaf starfseminnar, í tengslum við aðferðir sem notaðar eru við óbreyttar aðstæður sem hefðu verið notaðar á hlutaðeigandi svæði ef starfsemin væri ekki fyrir hendi,</w:t>
            </w:r>
          </w:p>
          <w:p w14:paraId="6915F98C" w14:textId="77777777" w:rsidR="007E0724" w:rsidRDefault="00C4775C">
            <w:pPr>
              <w:pStyle w:val="AnnexNumberedText"/>
              <w:spacing w:after="220"/>
            </w:pPr>
            <w:r>
              <w:t>b)</w:t>
            </w:r>
            <w:r>
              <w:tab/>
              <w:t xml:space="preserve">framreiknað langtímameðaltal </w:t>
            </w:r>
            <w:proofErr w:type="spellStart"/>
            <w:r>
              <w:t>nettójöfnuðar</w:t>
            </w:r>
            <w:proofErr w:type="spellEnd"/>
            <w:r>
              <w:t xml:space="preserve"> gróðurhúsalofttegunda af starfseminni er lægra en langtímameðaltal </w:t>
            </w:r>
            <w:proofErr w:type="spellStart"/>
            <w:r>
              <w:t>nettójöfnuðar</w:t>
            </w:r>
            <w:proofErr w:type="spellEnd"/>
            <w:r>
              <w:t xml:space="preserve"> gróðurhúsalofttegunda sem var framreiknað fyrir grunnástandið, sem um getur í lið 2.2, þar sem „langtíma“ samsvarar 100 árum.</w:t>
            </w:r>
          </w:p>
          <w:p w14:paraId="0B135158" w14:textId="77777777" w:rsidR="007E0724" w:rsidRDefault="00C4775C">
            <w:pPr>
              <w:pStyle w:val="AnnexNumberedText"/>
              <w:tabs>
                <w:tab w:val="left" w:pos="508"/>
              </w:tabs>
              <w:spacing w:after="220"/>
              <w:ind w:left="0" w:firstLine="0"/>
            </w:pPr>
            <w:r>
              <w:t>2.2.</w:t>
            </w:r>
            <w:r>
              <w:tab/>
              <w:t>Útreikningur á loftslagsávinningi uppfyllir allar eftirfarandi viðmiðanir:</w:t>
            </w:r>
          </w:p>
          <w:p w14:paraId="7F245C81" w14:textId="77777777" w:rsidR="007E0724" w:rsidRDefault="00C4775C">
            <w:pPr>
              <w:pStyle w:val="AnnexNumberedText"/>
              <w:spacing w:after="220"/>
              <w:rPr>
                <w:szCs w:val="18"/>
              </w:rPr>
            </w:pPr>
            <w:r>
              <w:t>a)</w:t>
            </w:r>
            <w:r>
              <w:tab/>
              <w:t>greiningin er í samræmi við lagfæringar frá árinu 2019 á leiðbeiningum milliríkjanefndarinnar um loftslagsbreytingar (IPCC) um landsbókhald yfir gróðurhúsalofttegundir frá 2006 (</w:t>
            </w:r>
            <w:r>
              <w:rPr>
                <w:rStyle w:val="Tilvsunneanmlsgrein"/>
                <w:sz w:val="18"/>
                <w:szCs w:val="18"/>
              </w:rPr>
              <w:footnoteReference w:id="86"/>
            </w:r>
            <w:r>
              <w:t xml:space="preserve">). Ef skilgreiningin á votlendi, sem er notuð í þeirri greiningu, er ólík skilgreiningunni á votlendi sem er notuð í landsbókhaldinu yfir gróðurhúsalofttegundir inniheldur greiningin auðkenningu á mismunandi landflokkum sem falla undir svæðið sem á í hlut. Greining á loftslagsávinningi er byggð á gagnsæjum, réttum, samkvæmum, heildstæðum og samanburðarhæfum upplýsingum, nær yfir alla kolefnisgeyma sem verða fyrir áhrifum af starfseminni, þ.m.t. lífmassi ofanjarðar, lífmassi neðanjarðar, dauður viður, rusl og jarðvegur, stuðst er við varfærnustu forsendur fyrir útreikningunum og hún inniheldur viðeigandi sjónarmið varðandi áhættuna af að kolefnisbinding verði ekki varanleg og snúist við, áhættu á </w:t>
            </w:r>
            <w:proofErr w:type="spellStart"/>
            <w:r>
              <w:t>mettun</w:t>
            </w:r>
            <w:proofErr w:type="spellEnd"/>
            <w:r>
              <w:t xml:space="preserve"> og áhættu á leka. Að því er varðar votlendi til stranda er í greiningunni á loftslagsávinningi tekið tillit til spáa um hlutfallslega hækkun sjávarborðs sem gert er ráð fyrir og möguleikans á að votlendi muni færast til.</w:t>
            </w:r>
          </w:p>
          <w:p w14:paraId="30FDC244" w14:textId="77777777" w:rsidR="007E0724" w:rsidRDefault="00C4775C">
            <w:pPr>
              <w:pStyle w:val="AnnexNumberedText"/>
              <w:spacing w:after="220"/>
            </w:pPr>
            <w:r>
              <w:t>b)</w:t>
            </w:r>
            <w:r>
              <w:tab/>
              <w:t>aðferðir sem notaðar eru við óbreyttar aðstæður, þ.m.t. aðferðir við nýtingu, eru einhverjar af eftirfarandi:</w:t>
            </w:r>
          </w:p>
          <w:p w14:paraId="121278DB" w14:textId="77777777" w:rsidR="007E0724" w:rsidRDefault="00C4775C">
            <w:pPr>
              <w:pStyle w:val="AnnexNumberedText"/>
              <w:spacing w:after="220"/>
              <w:ind w:left="600"/>
            </w:pPr>
            <w:r>
              <w:t>i.</w:t>
            </w:r>
            <w:r>
              <w:tab/>
              <w:t>stjórnunarvenjur eins og skjalfestar eru áður en starfsemin hefst, ef einhverjar eru,</w:t>
            </w:r>
          </w:p>
          <w:p w14:paraId="69B32E57" w14:textId="77777777" w:rsidR="007E0724" w:rsidRDefault="00C4775C">
            <w:pPr>
              <w:pStyle w:val="AnnexNumberedText"/>
              <w:spacing w:after="220"/>
              <w:ind w:left="600"/>
            </w:pPr>
            <w:r>
              <w:t>ii.</w:t>
            </w:r>
            <w:r>
              <w:tab/>
              <w:t>aðferðir sem síðast eru notaðar við óbreyttar aðstæður áður en starfsemin hefst.</w:t>
            </w:r>
          </w:p>
          <w:p w14:paraId="1A05B612" w14:textId="77777777" w:rsidR="007E0724" w:rsidRDefault="00C4775C">
            <w:pPr>
              <w:pStyle w:val="AnnexNumberedText"/>
              <w:spacing w:after="220"/>
            </w:pPr>
            <w:r>
              <w:t>c)</w:t>
            </w:r>
            <w:r>
              <w:tab/>
              <w:t>úrlausnin í greiningunni er í réttu hlutfalli við stærð hlutaðeigandi svæðis og notuð eru gildi sem eru sértæk fyrir hlutaðeigandi svæði,</w:t>
            </w:r>
          </w:p>
          <w:p w14:paraId="68268AAE" w14:textId="77777777" w:rsidR="007E0724" w:rsidRDefault="00C4775C">
            <w:pPr>
              <w:pStyle w:val="AnnexNumberedText"/>
              <w:spacing w:after="220"/>
            </w:pPr>
            <w:r>
              <w:t>d)</w:t>
            </w:r>
            <w:r>
              <w:tab/>
              <w:t xml:space="preserve">losun og upptaka sem verða vegna náttúrulegra raskana, s.s. vegna ásóknar </w:t>
            </w:r>
            <w:proofErr w:type="spellStart"/>
            <w:r>
              <w:t>skaðvalda</w:t>
            </w:r>
            <w:proofErr w:type="spellEnd"/>
            <w:r>
              <w:t xml:space="preserve"> og sjúkdóma, skógarelda, vinds og fokskemmda, sem hafa áhrif á svæðið og valda ófullnægjandi frammistöðu, leiða ekki til þess að ákvæðin í reglugerð (ESB) 2020/852 séu ekki uppfyllt að því tilskildu að greiningin á loftslagsávinningi sé í samræmi við lagfæringarnar frá árinu 2019 á leiðbeiningum milliríkjanefndarinnar um loftslagsbreytingar (IPCC) um landsbókhald yfir gróðurhúsalofttegundir frá 2006 að því er varðar losun og upptöku vegna náttúrulegra raskana.</w:t>
            </w:r>
          </w:p>
          <w:p w14:paraId="29A3339E" w14:textId="77777777" w:rsidR="007E0724" w:rsidRDefault="00C4775C">
            <w:pPr>
              <w:pStyle w:val="AnnexNumberedText"/>
              <w:spacing w:after="220"/>
              <w:ind w:left="279" w:hanging="279"/>
            </w:pPr>
            <w:r>
              <w:t>4.</w:t>
            </w:r>
            <w:r>
              <w:rPr>
                <w:i/>
              </w:rPr>
              <w:tab/>
              <w:t>Trygging fyrir varanleika</w:t>
            </w:r>
          </w:p>
          <w:p w14:paraId="74FFF848" w14:textId="77777777" w:rsidR="007E0724" w:rsidRDefault="00C4775C">
            <w:pPr>
              <w:pStyle w:val="AnnexNumberedText"/>
              <w:tabs>
                <w:tab w:val="left" w:pos="508"/>
              </w:tabs>
              <w:spacing w:after="220"/>
              <w:ind w:left="0" w:firstLine="0"/>
            </w:pPr>
            <w:r>
              <w:t>4.1.</w:t>
            </w:r>
            <w:r>
              <w:tab/>
              <w:t>Í samræmi við landslög er staða votlendisins á svæðinu þar sem starfsemin fer fram tryggð með einni af eftirfarandi ráðstöfunum:</w:t>
            </w:r>
          </w:p>
          <w:p w14:paraId="1AE4D1BA" w14:textId="77777777" w:rsidR="007E0724" w:rsidRDefault="00C4775C">
            <w:pPr>
              <w:pStyle w:val="AnnexNumberedText"/>
              <w:spacing w:after="220"/>
            </w:pPr>
            <w:r>
              <w:lastRenderedPageBreak/>
              <w:t>a)</w:t>
            </w:r>
            <w:r>
              <w:tab/>
              <w:t>svæðið er skilgreint sem votlendi sem á að viðhalda, sem ekki má breyta í aðra landnotkun,</w:t>
            </w:r>
          </w:p>
          <w:p w14:paraId="574E91E1" w14:textId="77777777" w:rsidR="007E0724" w:rsidRDefault="00C4775C">
            <w:pPr>
              <w:pStyle w:val="AnnexNumberedText"/>
              <w:spacing w:after="220"/>
            </w:pPr>
            <w:r>
              <w:t>b)</w:t>
            </w:r>
            <w:r>
              <w:tab/>
              <w:t>svæðið er flokkað sem verndað svæði,</w:t>
            </w:r>
          </w:p>
          <w:p w14:paraId="7C3F3F40" w14:textId="77777777" w:rsidR="007E0724" w:rsidRDefault="00C4775C">
            <w:pPr>
              <w:pStyle w:val="AnnexNumberedText"/>
            </w:pPr>
            <w:r>
              <w:t>c)</w:t>
            </w:r>
            <w:r>
              <w:tab/>
              <w:t>svæðið fellur undir lagalega eða samningsbundna ábyrgð sem tryggir að það verði áfram votlendi.</w:t>
            </w:r>
          </w:p>
        </w:tc>
      </w:tr>
      <w:tr w:rsidR="007E0724" w14:paraId="7F1A0C0E" w14:textId="77777777">
        <w:trPr>
          <w:trHeight w:val="240"/>
        </w:trPr>
        <w:tc>
          <w:tcPr>
            <w:tcW w:w="8740" w:type="dxa"/>
            <w:tcBorders>
              <w:top w:val="nil"/>
              <w:bottom w:val="nil"/>
            </w:tcBorders>
            <w:tcMar>
              <w:left w:w="0" w:type="dxa"/>
              <w:right w:w="0" w:type="dxa"/>
            </w:tcMar>
          </w:tcPr>
          <w:p w14:paraId="0995AC2C" w14:textId="77777777" w:rsidR="007E0724" w:rsidRDefault="00C4775C">
            <w:pPr>
              <w:pStyle w:val="AnnexNumberedText"/>
              <w:tabs>
                <w:tab w:val="left" w:pos="508"/>
              </w:tabs>
              <w:spacing w:after="580"/>
              <w:ind w:left="0" w:firstLine="0"/>
            </w:pPr>
            <w:r>
              <w:lastRenderedPageBreak/>
              <w:t>4.2.</w:t>
            </w:r>
            <w:r>
              <w:tab/>
              <w:t>Í samræmi við landslög skuldbindur rekstraraðili starfseminnar sig til þess að í framtíðaruppfærslum á áætlun um endurheimt, fyrir utan starfsemina sem er fjármögnuð, verði áfram keppt að loftslagsávinningi eins og ákvarðað er í 2. lið. Að auki skuldbindur rekstraraðili starfseminnar sig til þess að bæta upp hvers konar samdrátt í loftslagsávinningi, sem er ákvarðaður í 2. lið, með jafngildum loftslagsávinningi sem leiðir af því að stunda starfsemi sem svarar til einhverrar af þeirri starfsemi á sviði umhverfisverndar og endurheimtar sem er skilgreind í þessari reglugerð.</w:t>
            </w:r>
          </w:p>
          <w:p w14:paraId="4DFAC630" w14:textId="77777777" w:rsidR="007E0724" w:rsidRDefault="00C4775C">
            <w:pPr>
              <w:pStyle w:val="AnnexNumberedText"/>
              <w:spacing w:after="580"/>
              <w:ind w:left="360" w:hanging="360"/>
            </w:pPr>
            <w:r>
              <w:t>5.</w:t>
            </w:r>
            <w:r>
              <w:rPr>
                <w:i/>
              </w:rPr>
              <w:tab/>
              <w:t>Úttekt</w:t>
            </w:r>
          </w:p>
          <w:p w14:paraId="2891EDBD" w14:textId="77777777" w:rsidR="007E0724" w:rsidRDefault="00C4775C">
            <w:pPr>
              <w:pStyle w:val="AnnexTableCellLeft"/>
              <w:spacing w:after="58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015A3E63" w14:textId="77777777" w:rsidR="007E0724" w:rsidRDefault="00C4775C">
            <w:pPr>
              <w:pStyle w:val="AnnexNumberedText"/>
              <w:spacing w:after="580"/>
            </w:pPr>
            <w:r>
              <w:t>a)</w:t>
            </w:r>
            <w:r>
              <w:tab/>
              <w:t xml:space="preserve">viðeigandi </w:t>
            </w:r>
            <w:proofErr w:type="spellStart"/>
            <w:r>
              <w:t>lögbær</w:t>
            </w:r>
            <w:proofErr w:type="spellEnd"/>
            <w:r>
              <w:t xml:space="preserve"> landsyfirvöld,</w:t>
            </w:r>
          </w:p>
          <w:p w14:paraId="7E17FD74" w14:textId="77777777" w:rsidR="007E0724" w:rsidRDefault="00C4775C">
            <w:pPr>
              <w:pStyle w:val="AnnexNumberedText"/>
              <w:spacing w:after="580"/>
            </w:pPr>
            <w:r>
              <w:t>b)</w:t>
            </w:r>
            <w:r>
              <w:tab/>
              <w:t>óháður þriðji aðili, sem er vottunaraðili, að beiðni landsyfirvalda eða rekstraraðila starfseminnar.</w:t>
            </w:r>
          </w:p>
          <w:p w14:paraId="796352C2" w14:textId="77777777" w:rsidR="007E0724" w:rsidRDefault="00C4775C">
            <w:pPr>
              <w:pStyle w:val="AnnexTableCellLeft"/>
              <w:spacing w:after="580"/>
            </w:pPr>
            <w:r>
              <w:t>Í því skyni að draga úr kostnaði er heimilt að framkvæma úttekt samhliða skógarvottun, loftslagvottun eða annarri úttekt.</w:t>
            </w:r>
          </w:p>
          <w:p w14:paraId="726ADF60" w14:textId="77777777" w:rsidR="007E0724" w:rsidRDefault="00C4775C">
            <w:pPr>
              <w:pStyle w:val="AnnexTableCellLeft"/>
              <w:spacing w:after="580"/>
            </w:pPr>
            <w:r>
              <w:t>Óháður þriðji aðili, sem er vottunaraðili, má ekki eiga í neins konar hagsmunaárekstrum við eigandann eða fjármögnunaraðilann og má ekki hafa afskipti af þróun eða rekstri starfseminnar.</w:t>
            </w:r>
          </w:p>
          <w:p w14:paraId="09084C4E" w14:textId="77777777" w:rsidR="007E0724" w:rsidRDefault="00C4775C">
            <w:pPr>
              <w:pStyle w:val="AnnexNumberedText"/>
              <w:spacing w:after="580"/>
              <w:ind w:left="360" w:hanging="360"/>
            </w:pPr>
            <w:r>
              <w:t>6.</w:t>
            </w:r>
            <w:r>
              <w:rPr>
                <w:i/>
              </w:rPr>
              <w:tab/>
              <w:t>Hópmat</w:t>
            </w:r>
          </w:p>
          <w:p w14:paraId="1E640B81" w14:textId="77777777" w:rsidR="007E0724" w:rsidRDefault="00C4775C">
            <w:pPr>
              <w:pStyle w:val="AnnexTableCellLeft"/>
            </w:pPr>
            <w:r>
              <w:t xml:space="preserve">Hægt er að hafa eftirlit með því hvort farið er að viðmiðunum um verulegt framlag til </w:t>
            </w:r>
            <w:proofErr w:type="spellStart"/>
            <w:r>
              <w:t>mildunar</w:t>
            </w:r>
            <w:proofErr w:type="spellEnd"/>
            <w:r>
              <w:t xml:space="preserve"> loftslagsbreytinga og viðmiðunum um að valda ekki umtalsverðu tjóni hjá hópi búa, sem eru nægilega einsleit til að meta áhættu í tengslum við starfsemi tengda skógum, að því tilskildu að varanleg innbyrðis tengsl séu á milli allra þessara búa og þau taki þátt í starfseminni og að þessi hópur búa haldist óbreyttur í öllum síðari úttektum.</w:t>
            </w:r>
          </w:p>
        </w:tc>
      </w:tr>
    </w:tbl>
    <w:p w14:paraId="254D7E22" w14:textId="77777777" w:rsidR="007E0724" w:rsidRDefault="007E0724">
      <w:pPr>
        <w:pStyle w:val="Para"/>
        <w:spacing w:after="0"/>
      </w:pPr>
    </w:p>
    <w:tbl>
      <w:tblPr>
        <w:tblStyle w:val="EFTATable"/>
        <w:tblW w:w="8740" w:type="dxa"/>
        <w:tblInd w:w="500" w:type="dxa"/>
        <w:tblLayout w:type="fixed"/>
        <w:tblLook w:val="04A0" w:firstRow="1" w:lastRow="0" w:firstColumn="1" w:lastColumn="0" w:noHBand="0" w:noVBand="1"/>
      </w:tblPr>
      <w:tblGrid>
        <w:gridCol w:w="2965"/>
        <w:gridCol w:w="5775"/>
      </w:tblGrid>
      <w:tr w:rsidR="007E0724" w14:paraId="17EAF4F2" w14:textId="77777777">
        <w:trPr>
          <w:trHeight w:val="240"/>
        </w:trPr>
        <w:tc>
          <w:tcPr>
            <w:tcW w:w="8740" w:type="dxa"/>
            <w:gridSpan w:val="2"/>
            <w:tcMar>
              <w:top w:w="80" w:type="dxa"/>
              <w:left w:w="0" w:type="dxa"/>
              <w:bottom w:w="80" w:type="dxa"/>
              <w:right w:w="0" w:type="dxa"/>
            </w:tcMar>
          </w:tcPr>
          <w:p w14:paraId="28EC9A5F" w14:textId="77777777" w:rsidR="007E0724" w:rsidRDefault="00C4775C">
            <w:pPr>
              <w:pStyle w:val="AnnexTableCellLeft"/>
              <w:rPr>
                <w:szCs w:val="18"/>
              </w:rPr>
            </w:pPr>
            <w:r>
              <w:t>Ekki valda umtalsverðu tjóni</w:t>
            </w:r>
          </w:p>
        </w:tc>
      </w:tr>
      <w:tr w:rsidR="007E0724" w14:paraId="304390D8" w14:textId="77777777">
        <w:trPr>
          <w:trHeight w:val="360"/>
        </w:trPr>
        <w:tc>
          <w:tcPr>
            <w:tcW w:w="2965" w:type="dxa"/>
            <w:tcMar>
              <w:top w:w="80" w:type="dxa"/>
              <w:left w:w="0" w:type="dxa"/>
              <w:bottom w:w="80" w:type="dxa"/>
              <w:right w:w="40" w:type="dxa"/>
            </w:tcMar>
          </w:tcPr>
          <w:p w14:paraId="2BC3B7DD" w14:textId="77777777" w:rsidR="007E0724" w:rsidRDefault="00C4775C">
            <w:pPr>
              <w:pStyle w:val="AnnexNumberedText"/>
              <w:rPr>
                <w:szCs w:val="18"/>
              </w:rPr>
            </w:pPr>
            <w:r>
              <w:t>2)</w:t>
            </w:r>
            <w:r>
              <w:tab/>
              <w:t>Aðlögun að loftslagsbreytingum</w:t>
            </w:r>
          </w:p>
        </w:tc>
        <w:tc>
          <w:tcPr>
            <w:tcW w:w="5775" w:type="dxa"/>
            <w:tcMar>
              <w:top w:w="80" w:type="dxa"/>
              <w:left w:w="40" w:type="dxa"/>
              <w:bottom w:w="80" w:type="dxa"/>
              <w:right w:w="0" w:type="dxa"/>
            </w:tcMar>
          </w:tcPr>
          <w:p w14:paraId="0E716BDC" w14:textId="77777777" w:rsidR="007E0724" w:rsidRDefault="00C4775C">
            <w:pPr>
              <w:pStyle w:val="AnnexTableCellLeft"/>
              <w:rPr>
                <w:szCs w:val="18"/>
              </w:rPr>
            </w:pPr>
            <w:r>
              <w:t>Starfsemin er í samræmi við viðmiðanirnar sem settar eru fram í viðbæti A við þennan viðauka.</w:t>
            </w:r>
          </w:p>
        </w:tc>
      </w:tr>
      <w:tr w:rsidR="007E0724" w14:paraId="01539109" w14:textId="77777777">
        <w:trPr>
          <w:trHeight w:val="360"/>
        </w:trPr>
        <w:tc>
          <w:tcPr>
            <w:tcW w:w="2965" w:type="dxa"/>
            <w:tcMar>
              <w:top w:w="80" w:type="dxa"/>
              <w:left w:w="0" w:type="dxa"/>
              <w:bottom w:w="80" w:type="dxa"/>
              <w:right w:w="40" w:type="dxa"/>
            </w:tcMar>
          </w:tcPr>
          <w:p w14:paraId="2B18719B" w14:textId="77777777" w:rsidR="007E0724" w:rsidRDefault="00C4775C">
            <w:pPr>
              <w:pStyle w:val="AnnexNumberedText"/>
              <w:rPr>
                <w:szCs w:val="18"/>
              </w:rPr>
            </w:pPr>
            <w:r>
              <w:t>3)</w:t>
            </w:r>
            <w:r>
              <w:tab/>
              <w:t>Sjálfbær notkun og verndun vatns- og sjávarauðlinda</w:t>
            </w:r>
          </w:p>
        </w:tc>
        <w:tc>
          <w:tcPr>
            <w:tcW w:w="5775" w:type="dxa"/>
            <w:tcMar>
              <w:top w:w="80" w:type="dxa"/>
              <w:left w:w="40" w:type="dxa"/>
              <w:bottom w:w="80" w:type="dxa"/>
              <w:right w:w="0" w:type="dxa"/>
            </w:tcMar>
          </w:tcPr>
          <w:p w14:paraId="63CB178E" w14:textId="77777777" w:rsidR="007E0724" w:rsidRDefault="00C4775C">
            <w:pPr>
              <w:pStyle w:val="AnnexTableCellLeft"/>
              <w:rPr>
                <w:szCs w:val="18"/>
              </w:rPr>
            </w:pPr>
            <w:r>
              <w:t>Starfsemin er í samræmi við viðmiðanirnar sem settar eru fram í viðbæti B við þennan viðauka.</w:t>
            </w:r>
          </w:p>
        </w:tc>
      </w:tr>
      <w:tr w:rsidR="007E0724" w14:paraId="4AD50507" w14:textId="77777777">
        <w:trPr>
          <w:trHeight w:val="360"/>
        </w:trPr>
        <w:tc>
          <w:tcPr>
            <w:tcW w:w="2965" w:type="dxa"/>
            <w:tcBorders>
              <w:bottom w:val="single" w:sz="4" w:space="0" w:color="auto"/>
            </w:tcBorders>
            <w:tcMar>
              <w:top w:w="80" w:type="dxa"/>
              <w:left w:w="0" w:type="dxa"/>
              <w:bottom w:w="80" w:type="dxa"/>
              <w:right w:w="40" w:type="dxa"/>
            </w:tcMar>
          </w:tcPr>
          <w:p w14:paraId="7DEFAFB4" w14:textId="77777777" w:rsidR="007E0724" w:rsidRDefault="00C4775C">
            <w:pPr>
              <w:pStyle w:val="AnnexNumberedText"/>
              <w:rPr>
                <w:szCs w:val="18"/>
              </w:rPr>
            </w:pPr>
            <w:r>
              <w:t>4)</w:t>
            </w:r>
            <w:r>
              <w:tab/>
              <w:t>Umskipti yfir í hringrásarhagkerfi</w:t>
            </w:r>
          </w:p>
        </w:tc>
        <w:tc>
          <w:tcPr>
            <w:tcW w:w="5775" w:type="dxa"/>
            <w:tcBorders>
              <w:bottom w:val="single" w:sz="4" w:space="0" w:color="auto"/>
            </w:tcBorders>
            <w:tcMar>
              <w:top w:w="80" w:type="dxa"/>
              <w:left w:w="40" w:type="dxa"/>
              <w:bottom w:w="80" w:type="dxa"/>
              <w:right w:w="0" w:type="dxa"/>
            </w:tcMar>
          </w:tcPr>
          <w:p w14:paraId="6F347763" w14:textId="77777777" w:rsidR="007E0724" w:rsidRDefault="00C4775C">
            <w:pPr>
              <w:pStyle w:val="AnnexTableCellLeft"/>
              <w:rPr>
                <w:szCs w:val="18"/>
              </w:rPr>
            </w:pPr>
            <w:r>
              <w:t>Mótaka er lágmörkuð.</w:t>
            </w:r>
          </w:p>
        </w:tc>
      </w:tr>
      <w:tr w:rsidR="007E0724" w14:paraId="0693A63C" w14:textId="77777777">
        <w:trPr>
          <w:trHeight w:val="360"/>
        </w:trPr>
        <w:tc>
          <w:tcPr>
            <w:tcW w:w="2965" w:type="dxa"/>
            <w:tcBorders>
              <w:bottom w:val="nil"/>
            </w:tcBorders>
            <w:tcMar>
              <w:top w:w="80" w:type="dxa"/>
              <w:left w:w="0" w:type="dxa"/>
              <w:bottom w:w="80" w:type="dxa"/>
              <w:right w:w="40" w:type="dxa"/>
            </w:tcMar>
          </w:tcPr>
          <w:p w14:paraId="692EC551" w14:textId="77777777" w:rsidR="007E0724" w:rsidRDefault="00C4775C">
            <w:pPr>
              <w:pStyle w:val="AnnexNumberedText"/>
              <w:rPr>
                <w:szCs w:val="18"/>
              </w:rPr>
            </w:pPr>
            <w:r>
              <w:t>5)</w:t>
            </w:r>
            <w:r>
              <w:tab/>
              <w:t>Mengunarvarnir og eftirlit með mengun</w:t>
            </w:r>
          </w:p>
        </w:tc>
        <w:tc>
          <w:tcPr>
            <w:tcW w:w="5775" w:type="dxa"/>
            <w:tcBorders>
              <w:bottom w:val="nil"/>
            </w:tcBorders>
            <w:tcMar>
              <w:top w:w="80" w:type="dxa"/>
              <w:left w:w="40" w:type="dxa"/>
              <w:bottom w:w="80" w:type="dxa"/>
              <w:right w:w="0" w:type="dxa"/>
            </w:tcMar>
          </w:tcPr>
          <w:p w14:paraId="4254A438" w14:textId="77777777" w:rsidR="007E0724" w:rsidRDefault="00C4775C">
            <w:pPr>
              <w:pStyle w:val="AnnexTableCellLeft"/>
              <w:spacing w:after="400"/>
              <w:rPr>
                <w:szCs w:val="18"/>
              </w:rPr>
            </w:pPr>
            <w:r>
              <w:t xml:space="preserve">Notkun varnarefna er lágmörkuð og annars konar aðferðir eða nálganir, sem geta falið í sér valkosti sem ekki byggjast á notkun varnarefna, eru valdar, í samræmi við tilskipun 2009/128/EB, að undanskildum tilvikum þegar þörf er á </w:t>
            </w:r>
            <w:r>
              <w:lastRenderedPageBreak/>
              <w:t xml:space="preserve">notkun varnarefna til hafa stjórn á uppkomu </w:t>
            </w:r>
            <w:proofErr w:type="spellStart"/>
            <w:r>
              <w:t>skaðvalda</w:t>
            </w:r>
            <w:proofErr w:type="spellEnd"/>
            <w:r>
              <w:t xml:space="preserve"> og sjúkdóma.</w:t>
            </w:r>
          </w:p>
          <w:p w14:paraId="442CD27C" w14:textId="77777777" w:rsidR="007E0724" w:rsidRDefault="00C4775C">
            <w:pPr>
              <w:pStyle w:val="AnnexTableCellLeft"/>
              <w:rPr>
                <w:szCs w:val="18"/>
              </w:rPr>
            </w:pPr>
            <w:r>
              <w:t>Notkun áburðar er lágmörkuð í starfseminni og húsdýraáburður ekki notaður. Starfsemin er í samræmi við reglugerð (ESB) 2019/1009 eða landsbundnar reglur um áburð eða jarðvegsbæta til notkunar í landbúnaði.</w:t>
            </w:r>
          </w:p>
        </w:tc>
      </w:tr>
      <w:tr w:rsidR="007E0724" w14:paraId="51C01A24" w14:textId="77777777">
        <w:trPr>
          <w:trHeight w:val="240"/>
        </w:trPr>
        <w:tc>
          <w:tcPr>
            <w:tcW w:w="2965" w:type="dxa"/>
            <w:tcBorders>
              <w:top w:val="single" w:sz="4" w:space="0" w:color="auto"/>
            </w:tcBorders>
            <w:tcMar>
              <w:top w:w="80" w:type="dxa"/>
              <w:left w:w="0" w:type="dxa"/>
              <w:bottom w:w="80" w:type="dxa"/>
              <w:right w:w="40" w:type="dxa"/>
            </w:tcMar>
          </w:tcPr>
          <w:p w14:paraId="695CEE56" w14:textId="77777777" w:rsidR="007E0724" w:rsidRDefault="007E0724">
            <w:pPr>
              <w:pStyle w:val="AnnexTableCellLeft"/>
              <w:pageBreakBefore/>
              <w:ind w:left="300" w:hanging="300"/>
              <w:rPr>
                <w:szCs w:val="18"/>
              </w:rPr>
            </w:pPr>
          </w:p>
        </w:tc>
        <w:tc>
          <w:tcPr>
            <w:tcW w:w="5775" w:type="dxa"/>
            <w:tcBorders>
              <w:top w:val="single" w:sz="4" w:space="0" w:color="auto"/>
            </w:tcBorders>
            <w:tcMar>
              <w:top w:w="80" w:type="dxa"/>
              <w:left w:w="40" w:type="dxa"/>
              <w:bottom w:w="80" w:type="dxa"/>
              <w:right w:w="0" w:type="dxa"/>
            </w:tcMar>
          </w:tcPr>
          <w:p w14:paraId="2D304F55" w14:textId="77777777" w:rsidR="007E0724" w:rsidRDefault="00C4775C">
            <w:pPr>
              <w:pStyle w:val="AnnexTableCellLeft"/>
              <w:spacing w:after="200"/>
              <w:rPr>
                <w:szCs w:val="18"/>
              </w:rPr>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szCs w:val="18"/>
              </w:rPr>
              <w:footnoteReference w:id="87"/>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szCs w:val="18"/>
              </w:rPr>
              <w:footnoteReference w:id="88"/>
            </w:r>
            <w:r>
              <w:t>). Starfsemin er í samræmi við viðeigandi landsbundna framkvæmdalöggjöf um virk innihaldsefni.</w:t>
            </w:r>
          </w:p>
          <w:p w14:paraId="31602D8C" w14:textId="77777777" w:rsidR="007E0724" w:rsidRDefault="00C4775C">
            <w:pPr>
              <w:pStyle w:val="AnnexTableCellLeft"/>
              <w:spacing w:after="200"/>
              <w:rPr>
                <w:szCs w:val="18"/>
              </w:rPr>
            </w:pPr>
            <w:r>
              <w:t>Komið er í veg fyrir mengun vatns og jarðvegs og gripið til hreinsunarráðstafana þegar mengun á sér stað.</w:t>
            </w:r>
          </w:p>
        </w:tc>
      </w:tr>
      <w:tr w:rsidR="007E0724" w14:paraId="5A52DD28" w14:textId="77777777">
        <w:trPr>
          <w:trHeight w:val="360"/>
        </w:trPr>
        <w:tc>
          <w:tcPr>
            <w:tcW w:w="2965" w:type="dxa"/>
            <w:tcMar>
              <w:top w:w="80" w:type="dxa"/>
              <w:left w:w="0" w:type="dxa"/>
              <w:bottom w:w="80" w:type="dxa"/>
              <w:right w:w="40" w:type="dxa"/>
            </w:tcMar>
          </w:tcPr>
          <w:p w14:paraId="51B7BF74" w14:textId="77777777" w:rsidR="007E0724" w:rsidRDefault="00C4775C">
            <w:pPr>
              <w:pStyle w:val="AnnexNumberedText"/>
              <w:rPr>
                <w:szCs w:val="18"/>
              </w:rPr>
            </w:pPr>
            <w:r>
              <w:t>6)</w:t>
            </w:r>
            <w:r>
              <w:tab/>
              <w:t>Vernd og endurheimt líffræðilegrar fjölbreytni og vistkerfa</w:t>
            </w:r>
          </w:p>
        </w:tc>
        <w:tc>
          <w:tcPr>
            <w:tcW w:w="5775" w:type="dxa"/>
            <w:tcMar>
              <w:top w:w="80" w:type="dxa"/>
              <w:left w:w="40" w:type="dxa"/>
              <w:bottom w:w="80" w:type="dxa"/>
              <w:right w:w="0" w:type="dxa"/>
            </w:tcMar>
          </w:tcPr>
          <w:p w14:paraId="11389FF5" w14:textId="77777777" w:rsidR="007E0724" w:rsidRDefault="00C4775C">
            <w:pPr>
              <w:pStyle w:val="AnnexTableCellLeft"/>
              <w:spacing w:after="200"/>
              <w:rPr>
                <w:szCs w:val="18"/>
              </w:rPr>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445D332D" w14:textId="77777777" w:rsidR="007E0724" w:rsidRDefault="00C4775C">
            <w:pPr>
              <w:pStyle w:val="AnnexTableCellLeft"/>
              <w:spacing w:after="200"/>
              <w:rPr>
                <w:szCs w:val="18"/>
              </w:rPr>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46810F87" w14:textId="77777777" w:rsidR="007E0724" w:rsidRDefault="00C4775C">
            <w:pPr>
              <w:pStyle w:val="AnnexTableCellLeft"/>
              <w:spacing w:after="200"/>
              <w:rPr>
                <w:szCs w:val="18"/>
              </w:rPr>
            </w:pPr>
            <w:r>
              <w:t>Áætlunin sem um getur í 1. lið (áætlun um endurheimt) þessa þáttar inniheldur ákvæði um viðhald og mögulega eflingu líffræðilegrar fjölbreytni í samræmi við landsbundin og staðbundin ákvæði, þ.m.t. eftirfarandi:</w:t>
            </w:r>
          </w:p>
          <w:p w14:paraId="603D8123" w14:textId="77777777" w:rsidR="007E0724" w:rsidRDefault="00C4775C">
            <w:pPr>
              <w:pStyle w:val="AnnexNumberedText"/>
              <w:spacing w:after="200"/>
              <w:rPr>
                <w:szCs w:val="18"/>
              </w:rPr>
            </w:pPr>
            <w:r>
              <w:t>a)</w:t>
            </w:r>
            <w:r>
              <w:tab/>
              <w:t>að tryggja góða varðveislustöðu búsvæðis og tegunda, viðhald dæmigerðra tegunda á búsvæði,</w:t>
            </w:r>
          </w:p>
          <w:p w14:paraId="3290066A" w14:textId="77777777" w:rsidR="007E0724" w:rsidRDefault="00C4775C">
            <w:pPr>
              <w:pStyle w:val="AnnexNumberedText"/>
              <w:spacing w:after="200"/>
              <w:rPr>
                <w:szCs w:val="18"/>
              </w:rPr>
            </w:pPr>
            <w:r>
              <w:t>b)</w:t>
            </w:r>
            <w:r>
              <w:tab/>
              <w:t xml:space="preserve">að undanskilja notkun á eða </w:t>
            </w:r>
            <w:proofErr w:type="spellStart"/>
            <w:r>
              <w:t>sleppingu</w:t>
            </w:r>
            <w:proofErr w:type="spellEnd"/>
            <w:r>
              <w:t xml:space="preserve"> ágengra tegunda.</w:t>
            </w:r>
          </w:p>
        </w:tc>
      </w:tr>
    </w:tbl>
    <w:p w14:paraId="37FB40C4" w14:textId="77777777" w:rsidR="007E0724" w:rsidRDefault="00C4775C">
      <w:pPr>
        <w:pStyle w:val="AnnexNumberedText"/>
        <w:spacing w:before="200" w:after="260"/>
        <w:ind w:left="500" w:hanging="500"/>
        <w:rPr>
          <w:sz w:val="16"/>
        </w:rPr>
      </w:pPr>
      <w:r>
        <w:t>3.</w:t>
      </w:r>
      <w:r>
        <w:tab/>
      </w:r>
      <w:r>
        <w:rPr>
          <w:sz w:val="16"/>
        </w:rPr>
        <w:t>FRAMLEIÐSLA</w:t>
      </w:r>
    </w:p>
    <w:p w14:paraId="3CF074FF" w14:textId="77777777" w:rsidR="007E0724" w:rsidRDefault="00C4775C">
      <w:pPr>
        <w:pStyle w:val="AnnexNumberedText"/>
        <w:spacing w:after="260"/>
        <w:ind w:left="500" w:hanging="500"/>
      </w:pPr>
      <w:r>
        <w:t>3.1.</w:t>
      </w:r>
      <w:r>
        <w:rPr>
          <w:b/>
        </w:rPr>
        <w:tab/>
        <w:t>Framleiðsla á tækni á sviði endurnýjanlegrar orku</w:t>
      </w:r>
    </w:p>
    <w:p w14:paraId="6FC533A6" w14:textId="77777777" w:rsidR="007E0724" w:rsidRDefault="00C4775C">
      <w:pPr>
        <w:pStyle w:val="AnnexGrSeq3"/>
        <w:spacing w:after="260"/>
        <w:ind w:left="500"/>
        <w:jc w:val="left"/>
      </w:pPr>
      <w:r>
        <w:rPr>
          <w:i/>
        </w:rPr>
        <w:t>Lýsing á starfseminni</w:t>
      </w:r>
    </w:p>
    <w:p w14:paraId="7B5B5F69" w14:textId="77777777" w:rsidR="007E0724" w:rsidRDefault="00C4775C">
      <w:pPr>
        <w:pStyle w:val="AnnexNormal"/>
        <w:spacing w:after="260"/>
        <w:ind w:left="500"/>
      </w:pPr>
      <w:r>
        <w:t>Framleiðsla á tækni á sviði endurnýjanlegrar orku þar sem endurnýjanleg orka er skilgreind í 1. mgr. 2. gr. tilskipunar (ESB) 2018/2001.</w:t>
      </w:r>
    </w:p>
    <w:p w14:paraId="7B6845F0" w14:textId="77777777" w:rsidR="007E0724" w:rsidRDefault="00C4775C">
      <w:pPr>
        <w:pStyle w:val="AnnexNormal"/>
        <w:spacing w:after="260"/>
        <w:ind w:left="500"/>
      </w:pPr>
      <w:r>
        <w:t>Atvinnustarfsemin í þessum flokki gæti tengst nokkrum kóðum atvinnugreinaflokkunar Evrópusambandsins, einkum C25, C27 og C28, í samræmi við atvinnugreinaflokkunina sem komið var á með reglugerð (EB) nr. 1893/2006.</w:t>
      </w:r>
    </w:p>
    <w:p w14:paraId="6A4FFFB2" w14:textId="77777777" w:rsidR="007E0724" w:rsidRDefault="00C4775C">
      <w:pPr>
        <w:pStyle w:val="AnnexNormal"/>
        <w:spacing w:after="260"/>
        <w:ind w:left="500"/>
      </w:pPr>
      <w:r>
        <w:t xml:space="preserve">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1A114514" w14:textId="77777777" w:rsidR="007E0724" w:rsidRDefault="00C4775C">
      <w:pPr>
        <w:pStyle w:val="AnnexGrSeq3"/>
        <w:ind w:left="500"/>
        <w:jc w:val="left"/>
      </w:pPr>
      <w:r>
        <w:rPr>
          <w:i/>
        </w:rPr>
        <w:t>Tæknileg matsviðmið</w:t>
      </w:r>
    </w:p>
    <w:tbl>
      <w:tblPr>
        <w:tblStyle w:val="EFTATable"/>
        <w:tblW w:w="8740" w:type="dxa"/>
        <w:tblInd w:w="500" w:type="dxa"/>
        <w:tblLayout w:type="fixed"/>
        <w:tblLook w:val="04A0" w:firstRow="1" w:lastRow="0" w:firstColumn="1" w:lastColumn="0" w:noHBand="0" w:noVBand="1"/>
      </w:tblPr>
      <w:tblGrid>
        <w:gridCol w:w="2692"/>
        <w:gridCol w:w="6048"/>
      </w:tblGrid>
      <w:tr w:rsidR="007E0724" w14:paraId="7A6997EB" w14:textId="77777777">
        <w:trPr>
          <w:trHeight w:val="240"/>
        </w:trPr>
        <w:tc>
          <w:tcPr>
            <w:tcW w:w="8740" w:type="dxa"/>
            <w:gridSpan w:val="2"/>
            <w:tcMar>
              <w:top w:w="50" w:type="dxa"/>
              <w:left w:w="0" w:type="dxa"/>
              <w:bottom w:w="50" w:type="dxa"/>
              <w:right w:w="0" w:type="dxa"/>
            </w:tcMar>
          </w:tcPr>
          <w:p w14:paraId="2393DBF2"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5FDFAFCE" w14:textId="77777777">
        <w:trPr>
          <w:trHeight w:val="240"/>
        </w:trPr>
        <w:tc>
          <w:tcPr>
            <w:tcW w:w="8740" w:type="dxa"/>
            <w:gridSpan w:val="2"/>
            <w:tcMar>
              <w:top w:w="50" w:type="dxa"/>
              <w:left w:w="0" w:type="dxa"/>
              <w:bottom w:w="50" w:type="dxa"/>
              <w:right w:w="0" w:type="dxa"/>
            </w:tcMar>
          </w:tcPr>
          <w:p w14:paraId="3FF61DBD" w14:textId="77777777" w:rsidR="007E0724" w:rsidRDefault="00C4775C">
            <w:pPr>
              <w:pStyle w:val="AnnexTableCellLeft"/>
            </w:pPr>
            <w:r>
              <w:t>Með atvinnustarfseminni er framleidd tækni á sviði endurnýjanlegrar orku.</w:t>
            </w:r>
          </w:p>
        </w:tc>
      </w:tr>
      <w:tr w:rsidR="007E0724" w14:paraId="73121EAE" w14:textId="77777777">
        <w:trPr>
          <w:trHeight w:val="240"/>
        </w:trPr>
        <w:tc>
          <w:tcPr>
            <w:tcW w:w="8740" w:type="dxa"/>
            <w:gridSpan w:val="2"/>
            <w:tcMar>
              <w:top w:w="50" w:type="dxa"/>
              <w:left w:w="0" w:type="dxa"/>
              <w:bottom w:w="50" w:type="dxa"/>
              <w:right w:w="0" w:type="dxa"/>
            </w:tcMar>
          </w:tcPr>
          <w:p w14:paraId="23684B01" w14:textId="77777777" w:rsidR="007E0724" w:rsidRDefault="00C4775C">
            <w:pPr>
              <w:pStyle w:val="AnnexTableCellLeft"/>
            </w:pPr>
            <w:r>
              <w:t>Ekki valda umtalsverðu tjóni</w:t>
            </w:r>
          </w:p>
        </w:tc>
      </w:tr>
      <w:tr w:rsidR="007E0724" w14:paraId="47651F9D" w14:textId="77777777">
        <w:trPr>
          <w:trHeight w:val="360"/>
        </w:trPr>
        <w:tc>
          <w:tcPr>
            <w:tcW w:w="2692" w:type="dxa"/>
            <w:tcMar>
              <w:top w:w="50" w:type="dxa"/>
              <w:left w:w="0" w:type="dxa"/>
              <w:bottom w:w="50" w:type="dxa"/>
              <w:right w:w="40" w:type="dxa"/>
            </w:tcMar>
          </w:tcPr>
          <w:p w14:paraId="192FF7B1" w14:textId="77777777" w:rsidR="007E0724" w:rsidRDefault="00C4775C">
            <w:pPr>
              <w:pStyle w:val="AnnexNumberedText"/>
              <w:spacing w:after="0"/>
            </w:pPr>
            <w:r>
              <w:lastRenderedPageBreak/>
              <w:t>2)</w:t>
            </w:r>
            <w:r>
              <w:tab/>
              <w:t>Aðlögun að loftslagsbreytingum</w:t>
            </w:r>
          </w:p>
        </w:tc>
        <w:tc>
          <w:tcPr>
            <w:tcW w:w="6048" w:type="dxa"/>
            <w:tcMar>
              <w:top w:w="50" w:type="dxa"/>
              <w:left w:w="40" w:type="dxa"/>
              <w:bottom w:w="50" w:type="dxa"/>
              <w:right w:w="40" w:type="dxa"/>
            </w:tcMar>
          </w:tcPr>
          <w:p w14:paraId="603E0C27" w14:textId="77777777" w:rsidR="007E0724" w:rsidRDefault="00C4775C">
            <w:pPr>
              <w:pStyle w:val="AnnexTableCellLeft"/>
            </w:pPr>
            <w:r>
              <w:t>Starfsemin er í samræmi við viðmiðanirnar sem settar eru fram í viðbæti A við þennan viðauka.</w:t>
            </w:r>
          </w:p>
        </w:tc>
      </w:tr>
      <w:tr w:rsidR="007E0724" w14:paraId="58CBB14A" w14:textId="77777777">
        <w:trPr>
          <w:trHeight w:val="360"/>
        </w:trPr>
        <w:tc>
          <w:tcPr>
            <w:tcW w:w="2692" w:type="dxa"/>
            <w:tcMar>
              <w:top w:w="50" w:type="dxa"/>
              <w:left w:w="0" w:type="dxa"/>
              <w:bottom w:w="50" w:type="dxa"/>
              <w:right w:w="40" w:type="dxa"/>
            </w:tcMar>
          </w:tcPr>
          <w:p w14:paraId="0D7AB603" w14:textId="77777777" w:rsidR="007E0724" w:rsidRDefault="00C4775C">
            <w:pPr>
              <w:pStyle w:val="AnnexNumberedText"/>
              <w:pageBreakBefore/>
            </w:pPr>
            <w:r>
              <w:lastRenderedPageBreak/>
              <w:t>3)</w:t>
            </w:r>
            <w:r>
              <w:tab/>
              <w:t>Sjálfbær notkun og verndun vatns- og sjávarauðlinda</w:t>
            </w:r>
          </w:p>
        </w:tc>
        <w:tc>
          <w:tcPr>
            <w:tcW w:w="6048" w:type="dxa"/>
            <w:tcMar>
              <w:top w:w="50" w:type="dxa"/>
              <w:left w:w="40" w:type="dxa"/>
              <w:bottom w:w="50" w:type="dxa"/>
              <w:right w:w="40" w:type="dxa"/>
            </w:tcMar>
          </w:tcPr>
          <w:p w14:paraId="37A53AC0" w14:textId="77777777" w:rsidR="007E0724" w:rsidRDefault="00C4775C">
            <w:pPr>
              <w:pStyle w:val="AnnexTableCellLeft"/>
            </w:pPr>
            <w:r>
              <w:t>Starfsemin er í samræmi við viðmiðanirnar sem settar eru fram í viðbæti B við þennan viðauka.</w:t>
            </w:r>
          </w:p>
        </w:tc>
      </w:tr>
      <w:tr w:rsidR="007E0724" w14:paraId="4CB4A41A" w14:textId="77777777">
        <w:trPr>
          <w:trHeight w:val="360"/>
        </w:trPr>
        <w:tc>
          <w:tcPr>
            <w:tcW w:w="2692" w:type="dxa"/>
            <w:tcMar>
              <w:top w:w="50" w:type="dxa"/>
              <w:left w:w="0" w:type="dxa"/>
              <w:bottom w:w="50" w:type="dxa"/>
              <w:right w:w="40" w:type="dxa"/>
            </w:tcMar>
          </w:tcPr>
          <w:p w14:paraId="195D400C" w14:textId="77777777" w:rsidR="007E0724" w:rsidRDefault="00C4775C">
            <w:pPr>
              <w:pStyle w:val="AnnexNumberedText"/>
            </w:pPr>
            <w:r>
              <w:t>4)</w:t>
            </w:r>
            <w:r>
              <w:tab/>
              <w:t>Umskipti yfir í hringrásarhagkerfi</w:t>
            </w:r>
          </w:p>
        </w:tc>
        <w:tc>
          <w:tcPr>
            <w:tcW w:w="6048" w:type="dxa"/>
            <w:tcMar>
              <w:top w:w="50" w:type="dxa"/>
              <w:left w:w="40" w:type="dxa"/>
              <w:bottom w:w="50" w:type="dxa"/>
              <w:right w:w="40" w:type="dxa"/>
            </w:tcMar>
          </w:tcPr>
          <w:p w14:paraId="296ECFDF" w14:textId="77777777" w:rsidR="007E0724" w:rsidRDefault="00C4775C">
            <w:pPr>
              <w:pStyle w:val="AnnexTableCellLeft"/>
              <w:spacing w:after="300"/>
            </w:pPr>
            <w:r>
              <w:t>Í starfseminni er lagt mat á tiltækileika og, ef það er gerlegt, tekin upp tækni sem styður:</w:t>
            </w:r>
          </w:p>
          <w:p w14:paraId="1B296ABE" w14:textId="77777777" w:rsidR="007E0724" w:rsidRDefault="00C4775C">
            <w:pPr>
              <w:pStyle w:val="AnnexNumberedText"/>
              <w:spacing w:after="300"/>
            </w:pPr>
            <w:r>
              <w:t>a)</w:t>
            </w:r>
            <w:r>
              <w:tab/>
              <w:t>endurnotkun og notkun á endurunnum hráefnum og endurnotuðum íhlutum í framleiðslu á vörum,</w:t>
            </w:r>
          </w:p>
          <w:p w14:paraId="1EF0AE80" w14:textId="77777777" w:rsidR="007E0724" w:rsidRDefault="00C4775C">
            <w:pPr>
              <w:pStyle w:val="AnnexNumberedText"/>
              <w:spacing w:after="300"/>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1263362D" w14:textId="77777777" w:rsidR="007E0724" w:rsidRDefault="00C4775C">
            <w:pPr>
              <w:pStyle w:val="AnnexNumberedText"/>
              <w:spacing w:after="300"/>
            </w:pPr>
            <w:r>
              <w:t>c)</w:t>
            </w:r>
            <w:r>
              <w:tab/>
              <w:t xml:space="preserve">úrgangsstjórnun þar sem endurvinnsla er sett í forgang fram yfir </w:t>
            </w:r>
            <w:proofErr w:type="spellStart"/>
            <w:r>
              <w:t>förgun</w:t>
            </w:r>
            <w:proofErr w:type="spellEnd"/>
            <w:r>
              <w:t xml:space="preserve"> í framleiðsluferlinu,</w:t>
            </w:r>
          </w:p>
          <w:p w14:paraId="03220F61" w14:textId="77777777" w:rsidR="007E0724" w:rsidRDefault="00C4775C">
            <w:pPr>
              <w:pStyle w:val="AnnexNumberedText"/>
            </w:pPr>
            <w:r>
              <w:t>d)</w:t>
            </w:r>
            <w:r>
              <w:tab/>
              <w:t>upplýsingar um og rekjanleika efna sem gefa tilefni til áhyggna á öllum vistferli framleiddra vara.</w:t>
            </w:r>
          </w:p>
        </w:tc>
      </w:tr>
      <w:tr w:rsidR="007E0724" w14:paraId="6B0E8B0A" w14:textId="77777777">
        <w:trPr>
          <w:trHeight w:val="360"/>
        </w:trPr>
        <w:tc>
          <w:tcPr>
            <w:tcW w:w="2692" w:type="dxa"/>
            <w:tcMar>
              <w:top w:w="50" w:type="dxa"/>
              <w:left w:w="0" w:type="dxa"/>
              <w:bottom w:w="50" w:type="dxa"/>
              <w:right w:w="40" w:type="dxa"/>
            </w:tcMar>
          </w:tcPr>
          <w:p w14:paraId="49084533" w14:textId="77777777" w:rsidR="007E0724" w:rsidRDefault="00C4775C">
            <w:pPr>
              <w:pStyle w:val="AnnexNumberedText"/>
            </w:pPr>
            <w:r>
              <w:t>5)</w:t>
            </w:r>
            <w:r>
              <w:tab/>
              <w:t>Mengunarvarnir og eftirlit með mengun</w:t>
            </w:r>
          </w:p>
        </w:tc>
        <w:tc>
          <w:tcPr>
            <w:tcW w:w="6048" w:type="dxa"/>
            <w:tcMar>
              <w:top w:w="50" w:type="dxa"/>
              <w:left w:w="40" w:type="dxa"/>
              <w:bottom w:w="50" w:type="dxa"/>
              <w:right w:w="40" w:type="dxa"/>
            </w:tcMar>
          </w:tcPr>
          <w:p w14:paraId="5D539882" w14:textId="77777777" w:rsidR="007E0724" w:rsidRDefault="00C4775C">
            <w:pPr>
              <w:pStyle w:val="AnnexTableCellLeft"/>
            </w:pPr>
            <w:r>
              <w:t>Starfsemin er í samræmi við viðmiðanirnar sem settar eru fram í viðbæti C við þennan viðauka.</w:t>
            </w:r>
          </w:p>
        </w:tc>
      </w:tr>
      <w:tr w:rsidR="007E0724" w14:paraId="03A4AF55" w14:textId="77777777">
        <w:trPr>
          <w:trHeight w:val="360"/>
        </w:trPr>
        <w:tc>
          <w:tcPr>
            <w:tcW w:w="2692" w:type="dxa"/>
            <w:tcMar>
              <w:top w:w="50" w:type="dxa"/>
              <w:left w:w="0" w:type="dxa"/>
              <w:bottom w:w="50" w:type="dxa"/>
              <w:right w:w="40" w:type="dxa"/>
            </w:tcMar>
          </w:tcPr>
          <w:p w14:paraId="27F8FA57" w14:textId="77777777" w:rsidR="007E0724" w:rsidRDefault="00C4775C">
            <w:pPr>
              <w:pStyle w:val="AnnexNumberedText"/>
            </w:pPr>
            <w:r>
              <w:t>6)</w:t>
            </w:r>
            <w:r>
              <w:tab/>
              <w:t>Vernd og endurheimt líffræðilegrar fjölbreytni og vistkerfa</w:t>
            </w:r>
          </w:p>
        </w:tc>
        <w:tc>
          <w:tcPr>
            <w:tcW w:w="6048" w:type="dxa"/>
            <w:tcMar>
              <w:top w:w="50" w:type="dxa"/>
              <w:left w:w="40" w:type="dxa"/>
              <w:bottom w:w="50" w:type="dxa"/>
              <w:right w:w="40" w:type="dxa"/>
            </w:tcMar>
          </w:tcPr>
          <w:p w14:paraId="15A8B140" w14:textId="77777777" w:rsidR="007E0724" w:rsidRDefault="00C4775C">
            <w:pPr>
              <w:pStyle w:val="AnnexTableCellLeft"/>
            </w:pPr>
            <w:r>
              <w:t>Starfsemin er í samræmi við viðmiðanirnar sem settar eru fram í viðbæti D við þennan viðauka.</w:t>
            </w:r>
          </w:p>
        </w:tc>
      </w:tr>
    </w:tbl>
    <w:p w14:paraId="5FE70381" w14:textId="77777777" w:rsidR="007E0724" w:rsidRDefault="00C4775C">
      <w:pPr>
        <w:pStyle w:val="AnnexNumberedText"/>
        <w:spacing w:before="200" w:after="300"/>
        <w:ind w:left="500" w:hanging="500"/>
      </w:pPr>
      <w:r>
        <w:t>3.2.</w:t>
      </w:r>
      <w:r>
        <w:rPr>
          <w:b/>
        </w:rPr>
        <w:tab/>
        <w:t>Framleiðsla á tækjum fyrir framleiðslu og notkun á vetni</w:t>
      </w:r>
    </w:p>
    <w:p w14:paraId="3C7E4B79" w14:textId="77777777" w:rsidR="007E0724" w:rsidRDefault="00C4775C">
      <w:pPr>
        <w:pStyle w:val="AnnexGrSeq3"/>
        <w:spacing w:after="300"/>
        <w:ind w:left="500"/>
        <w:jc w:val="left"/>
      </w:pPr>
      <w:r>
        <w:rPr>
          <w:i/>
        </w:rPr>
        <w:t>Lýsing á starfseminni</w:t>
      </w:r>
    </w:p>
    <w:p w14:paraId="5422321A" w14:textId="77777777" w:rsidR="007E0724" w:rsidRDefault="00C4775C">
      <w:pPr>
        <w:pStyle w:val="AnnexNormal"/>
        <w:spacing w:after="300"/>
        <w:ind w:left="500"/>
      </w:pPr>
      <w:r>
        <w:t>Framleiðsla á tækjum fyrir framleiðslu og notkun á vetni.</w:t>
      </w:r>
    </w:p>
    <w:p w14:paraId="3EE904C9" w14:textId="77777777" w:rsidR="007E0724" w:rsidRDefault="00C4775C">
      <w:pPr>
        <w:pStyle w:val="AnnexNormal"/>
        <w:spacing w:after="300"/>
        <w:ind w:left="500"/>
      </w:pPr>
      <w:r>
        <w:t>Atvinnustarfsemin í þessum flokki gæti tengst nokkrum kóðum atvinnugreinaflokkunar Evrópusambandsins, einkum C25, C27 og C28, í samræmi við atvinnugreinaflokkunina sem komið var á með reglugerð (EB) nr. 1893/2006.</w:t>
      </w:r>
    </w:p>
    <w:p w14:paraId="0C6957BB" w14:textId="77777777" w:rsidR="007E0724" w:rsidRDefault="00C4775C">
      <w:pPr>
        <w:pStyle w:val="AnnexNormal"/>
        <w:spacing w:after="30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40576A10" w14:textId="77777777" w:rsidR="007E0724" w:rsidRDefault="00C4775C">
      <w:pPr>
        <w:pStyle w:val="AnnexGrSeq3"/>
        <w:spacing w:after="300"/>
        <w:ind w:left="500"/>
        <w:jc w:val="left"/>
      </w:pPr>
      <w:r>
        <w:rPr>
          <w:i/>
        </w:rPr>
        <w:t>Tæknileg matsviðmið</w:t>
      </w:r>
    </w:p>
    <w:tbl>
      <w:tblPr>
        <w:tblStyle w:val="EFTATable"/>
        <w:tblW w:w="8792" w:type="dxa"/>
        <w:tblInd w:w="500" w:type="dxa"/>
        <w:tblLook w:val="04A0" w:firstRow="1" w:lastRow="0" w:firstColumn="1" w:lastColumn="0" w:noHBand="0" w:noVBand="1"/>
      </w:tblPr>
      <w:tblGrid>
        <w:gridCol w:w="2804"/>
        <w:gridCol w:w="5988"/>
      </w:tblGrid>
      <w:tr w:rsidR="007E0724" w14:paraId="588BE2B7" w14:textId="77777777">
        <w:trPr>
          <w:trHeight w:val="240"/>
        </w:trPr>
        <w:tc>
          <w:tcPr>
            <w:tcW w:w="8792" w:type="dxa"/>
            <w:gridSpan w:val="2"/>
            <w:tcMar>
              <w:top w:w="200" w:type="dxa"/>
              <w:left w:w="40" w:type="dxa"/>
              <w:bottom w:w="200" w:type="dxa"/>
              <w:right w:w="40" w:type="dxa"/>
            </w:tcMar>
          </w:tcPr>
          <w:p w14:paraId="748CCC70"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5FCF58CD" w14:textId="77777777">
        <w:trPr>
          <w:trHeight w:val="240"/>
        </w:trPr>
        <w:tc>
          <w:tcPr>
            <w:tcW w:w="8792" w:type="dxa"/>
            <w:gridSpan w:val="2"/>
            <w:tcMar>
              <w:top w:w="200" w:type="dxa"/>
              <w:left w:w="40" w:type="dxa"/>
              <w:bottom w:w="200" w:type="dxa"/>
              <w:right w:w="40" w:type="dxa"/>
            </w:tcMar>
          </w:tcPr>
          <w:p w14:paraId="09857467" w14:textId="77777777" w:rsidR="007E0724" w:rsidRDefault="00C4775C">
            <w:pPr>
              <w:pStyle w:val="AnnexTableCellLeft"/>
            </w:pPr>
            <w:r>
              <w:t>Með atvinnustarfseminni er framleiddur búnaður fyrir framleiðslu á vetni sem er í samræmi við tæknilegu matsviðmiðin sem sett eru fram í þætti 3.10 í þessum viðauka og búnað fyrir notkun á vetni.</w:t>
            </w:r>
          </w:p>
        </w:tc>
      </w:tr>
      <w:tr w:rsidR="007E0724" w14:paraId="6882238A" w14:textId="77777777">
        <w:trPr>
          <w:trHeight w:val="240"/>
        </w:trPr>
        <w:tc>
          <w:tcPr>
            <w:tcW w:w="8792" w:type="dxa"/>
            <w:gridSpan w:val="2"/>
            <w:tcMar>
              <w:top w:w="200" w:type="dxa"/>
              <w:left w:w="40" w:type="dxa"/>
              <w:bottom w:w="200" w:type="dxa"/>
              <w:right w:w="40" w:type="dxa"/>
            </w:tcMar>
          </w:tcPr>
          <w:p w14:paraId="308E91F5" w14:textId="77777777" w:rsidR="007E0724" w:rsidRDefault="00C4775C">
            <w:pPr>
              <w:pStyle w:val="AnnexTableCellLeft"/>
            </w:pPr>
            <w:r>
              <w:t>Ekki valda umtalsverðu tjóni</w:t>
            </w:r>
          </w:p>
        </w:tc>
      </w:tr>
      <w:tr w:rsidR="007E0724" w14:paraId="346F39A6" w14:textId="77777777">
        <w:trPr>
          <w:trHeight w:val="360"/>
        </w:trPr>
        <w:tc>
          <w:tcPr>
            <w:tcW w:w="2804" w:type="dxa"/>
            <w:tcMar>
              <w:top w:w="200" w:type="dxa"/>
              <w:left w:w="0" w:type="dxa"/>
              <w:bottom w:w="200" w:type="dxa"/>
              <w:right w:w="40" w:type="dxa"/>
            </w:tcMar>
          </w:tcPr>
          <w:p w14:paraId="639A6688" w14:textId="77777777" w:rsidR="007E0724" w:rsidRDefault="00C4775C">
            <w:pPr>
              <w:pStyle w:val="AnnexNumberedText"/>
            </w:pPr>
            <w:r>
              <w:t>2)</w:t>
            </w:r>
            <w:r>
              <w:tab/>
              <w:t>Aðlögun að loftslagsbreytingum</w:t>
            </w:r>
          </w:p>
        </w:tc>
        <w:tc>
          <w:tcPr>
            <w:tcW w:w="5988" w:type="dxa"/>
            <w:tcMar>
              <w:top w:w="200" w:type="dxa"/>
              <w:left w:w="40" w:type="dxa"/>
              <w:bottom w:w="200" w:type="dxa"/>
              <w:right w:w="0" w:type="dxa"/>
            </w:tcMar>
          </w:tcPr>
          <w:p w14:paraId="355C63D9" w14:textId="77777777" w:rsidR="007E0724" w:rsidRDefault="00C4775C">
            <w:pPr>
              <w:pStyle w:val="AnnexTableCellLeft"/>
            </w:pPr>
            <w:r>
              <w:t>Starfsemin er í samræmi við viðmiðanirnar sem settar eru fram í viðbæti A við þennan viðauka.</w:t>
            </w:r>
          </w:p>
        </w:tc>
      </w:tr>
      <w:tr w:rsidR="007E0724" w14:paraId="328F1C20" w14:textId="77777777">
        <w:trPr>
          <w:trHeight w:val="360"/>
        </w:trPr>
        <w:tc>
          <w:tcPr>
            <w:tcW w:w="2804" w:type="dxa"/>
            <w:tcMar>
              <w:top w:w="200" w:type="dxa"/>
              <w:left w:w="0" w:type="dxa"/>
              <w:bottom w:w="200" w:type="dxa"/>
              <w:right w:w="40" w:type="dxa"/>
            </w:tcMar>
          </w:tcPr>
          <w:p w14:paraId="2A036987" w14:textId="77777777" w:rsidR="007E0724" w:rsidRDefault="00C4775C">
            <w:pPr>
              <w:pStyle w:val="AnnexNumberedText"/>
            </w:pPr>
            <w:r>
              <w:t>3)</w:t>
            </w:r>
            <w:r>
              <w:tab/>
              <w:t>Sjálfbær notkun og verndun vatns- og sjávarauðlinda</w:t>
            </w:r>
          </w:p>
        </w:tc>
        <w:tc>
          <w:tcPr>
            <w:tcW w:w="5988" w:type="dxa"/>
            <w:tcMar>
              <w:top w:w="200" w:type="dxa"/>
              <w:left w:w="40" w:type="dxa"/>
              <w:bottom w:w="200" w:type="dxa"/>
              <w:right w:w="0" w:type="dxa"/>
            </w:tcMar>
          </w:tcPr>
          <w:p w14:paraId="5FF419D0" w14:textId="77777777" w:rsidR="007E0724" w:rsidRDefault="00C4775C">
            <w:pPr>
              <w:pStyle w:val="AnnexTableCellLeft"/>
            </w:pPr>
            <w:r>
              <w:t>Starfsemin er í samræmi við viðmiðanirnar sem settar eru fram í viðbæti B við þennan viðauka.</w:t>
            </w:r>
          </w:p>
        </w:tc>
      </w:tr>
      <w:tr w:rsidR="007E0724" w14:paraId="1D2E2263" w14:textId="77777777">
        <w:trPr>
          <w:trHeight w:val="360"/>
        </w:trPr>
        <w:tc>
          <w:tcPr>
            <w:tcW w:w="2804" w:type="dxa"/>
            <w:tcMar>
              <w:top w:w="200" w:type="dxa"/>
              <w:left w:w="0" w:type="dxa"/>
              <w:bottom w:w="200" w:type="dxa"/>
              <w:right w:w="40" w:type="dxa"/>
            </w:tcMar>
          </w:tcPr>
          <w:p w14:paraId="3736D01E" w14:textId="77777777" w:rsidR="007E0724" w:rsidRDefault="00C4775C">
            <w:pPr>
              <w:pStyle w:val="AnnexNumberedText"/>
              <w:pageBreakBefore/>
            </w:pPr>
            <w:r>
              <w:lastRenderedPageBreak/>
              <w:t>4)</w:t>
            </w:r>
            <w:r>
              <w:tab/>
              <w:t>Umskipti yfir í hringrásarhagkerfi</w:t>
            </w:r>
          </w:p>
        </w:tc>
        <w:tc>
          <w:tcPr>
            <w:tcW w:w="5988" w:type="dxa"/>
            <w:tcMar>
              <w:top w:w="200" w:type="dxa"/>
              <w:left w:w="40" w:type="dxa"/>
              <w:bottom w:w="200" w:type="dxa"/>
              <w:right w:w="0" w:type="dxa"/>
            </w:tcMar>
          </w:tcPr>
          <w:p w14:paraId="4CDAD63B" w14:textId="77777777" w:rsidR="007E0724" w:rsidRDefault="00C4775C">
            <w:pPr>
              <w:pStyle w:val="AnnexTableCellLeft"/>
              <w:spacing w:after="300"/>
            </w:pPr>
            <w:r>
              <w:t>Í starfseminni er lagt mat á tiltækileika og, ef það er gerlegt, tekin upp tækni sem styður:</w:t>
            </w:r>
          </w:p>
          <w:p w14:paraId="02596C48" w14:textId="77777777" w:rsidR="007E0724" w:rsidRDefault="00C4775C">
            <w:pPr>
              <w:pStyle w:val="AnnexNumberedText"/>
              <w:spacing w:after="300"/>
            </w:pPr>
            <w:r>
              <w:t>a)</w:t>
            </w:r>
            <w:r>
              <w:tab/>
              <w:t>endurnotkun og notkun á endurunnum hráefnum og endurnotuðum íhlutum í framleiðslu á vörum,</w:t>
            </w:r>
          </w:p>
          <w:p w14:paraId="3B9BA746" w14:textId="77777777" w:rsidR="007E0724" w:rsidRDefault="00C4775C">
            <w:pPr>
              <w:pStyle w:val="AnnexNumberedText"/>
              <w:spacing w:after="300"/>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5D6D0D36" w14:textId="77777777" w:rsidR="007E0724" w:rsidRDefault="00C4775C">
            <w:pPr>
              <w:pStyle w:val="AnnexNumberedText"/>
              <w:spacing w:after="300"/>
            </w:pPr>
            <w:r>
              <w:t>c)</w:t>
            </w:r>
            <w:r>
              <w:tab/>
              <w:t xml:space="preserve">úrgangsstjórnun þar sem endurvinnsla er sett í forgang fram yfir </w:t>
            </w:r>
            <w:proofErr w:type="spellStart"/>
            <w:r>
              <w:t>förgun</w:t>
            </w:r>
            <w:proofErr w:type="spellEnd"/>
            <w:r>
              <w:t xml:space="preserve"> í framleiðsluferlinu,</w:t>
            </w:r>
          </w:p>
          <w:p w14:paraId="3BA0A6DC" w14:textId="77777777" w:rsidR="007E0724" w:rsidRDefault="00C4775C">
            <w:pPr>
              <w:pStyle w:val="AnnexNumberedText"/>
            </w:pPr>
            <w:r>
              <w:t>d)</w:t>
            </w:r>
            <w:r>
              <w:tab/>
              <w:t>upplýsingar um og rekjanleika efna sem gefa tilefni til áhyggna á öllum vistferli framleiddra vara.</w:t>
            </w:r>
          </w:p>
        </w:tc>
      </w:tr>
      <w:tr w:rsidR="007E0724" w14:paraId="360C2982" w14:textId="77777777">
        <w:trPr>
          <w:trHeight w:val="360"/>
        </w:trPr>
        <w:tc>
          <w:tcPr>
            <w:tcW w:w="2804" w:type="dxa"/>
            <w:tcMar>
              <w:top w:w="200" w:type="dxa"/>
              <w:left w:w="0" w:type="dxa"/>
              <w:bottom w:w="200" w:type="dxa"/>
              <w:right w:w="40" w:type="dxa"/>
            </w:tcMar>
          </w:tcPr>
          <w:p w14:paraId="0DE9E8FD" w14:textId="77777777" w:rsidR="007E0724" w:rsidRDefault="00C4775C">
            <w:pPr>
              <w:pStyle w:val="AnnexNumberedText"/>
            </w:pPr>
            <w:r>
              <w:t>5)</w:t>
            </w:r>
            <w:r>
              <w:tab/>
              <w:t>Mengunarvarnir og eftirlit með mengun</w:t>
            </w:r>
          </w:p>
        </w:tc>
        <w:tc>
          <w:tcPr>
            <w:tcW w:w="5988" w:type="dxa"/>
            <w:tcMar>
              <w:top w:w="200" w:type="dxa"/>
              <w:left w:w="40" w:type="dxa"/>
              <w:bottom w:w="200" w:type="dxa"/>
              <w:right w:w="0" w:type="dxa"/>
            </w:tcMar>
          </w:tcPr>
          <w:p w14:paraId="619BEE27" w14:textId="77777777" w:rsidR="007E0724" w:rsidRDefault="00C4775C">
            <w:pPr>
              <w:pStyle w:val="AnnexTableCellLeft"/>
            </w:pPr>
            <w:r>
              <w:t>Starfsemin er í samræmi við viðmiðanirnar sem settar eru fram í viðbæti C við þennan viðauka.</w:t>
            </w:r>
          </w:p>
        </w:tc>
      </w:tr>
      <w:tr w:rsidR="007E0724" w14:paraId="3747D7B2" w14:textId="77777777">
        <w:trPr>
          <w:trHeight w:val="360"/>
        </w:trPr>
        <w:tc>
          <w:tcPr>
            <w:tcW w:w="2804" w:type="dxa"/>
            <w:tcMar>
              <w:top w:w="200" w:type="dxa"/>
              <w:left w:w="0" w:type="dxa"/>
              <w:bottom w:w="200" w:type="dxa"/>
              <w:right w:w="40" w:type="dxa"/>
            </w:tcMar>
          </w:tcPr>
          <w:p w14:paraId="0BA123D1" w14:textId="77777777" w:rsidR="007E0724" w:rsidRDefault="00C4775C">
            <w:pPr>
              <w:pStyle w:val="AnnexNumberedText"/>
            </w:pPr>
            <w:r>
              <w:t>6)</w:t>
            </w:r>
            <w:r>
              <w:tab/>
              <w:t>Vernd og endurheimt líffræðilegrar fjölbreytni og vistkerfa</w:t>
            </w:r>
          </w:p>
        </w:tc>
        <w:tc>
          <w:tcPr>
            <w:tcW w:w="5988" w:type="dxa"/>
            <w:tcMar>
              <w:top w:w="200" w:type="dxa"/>
              <w:left w:w="40" w:type="dxa"/>
              <w:bottom w:w="200" w:type="dxa"/>
              <w:right w:w="0" w:type="dxa"/>
            </w:tcMar>
          </w:tcPr>
          <w:p w14:paraId="3FE7B642" w14:textId="77777777" w:rsidR="007E0724" w:rsidRDefault="00C4775C">
            <w:pPr>
              <w:pStyle w:val="AnnexTableCellLeft"/>
            </w:pPr>
            <w:r>
              <w:t>Starfsemin er í samræmi við viðmiðanirnar sem settar eru fram í viðbæti D við þennan viðauka.</w:t>
            </w:r>
          </w:p>
        </w:tc>
      </w:tr>
    </w:tbl>
    <w:p w14:paraId="5A2A99B6" w14:textId="77777777" w:rsidR="007E0724" w:rsidRDefault="00C4775C">
      <w:pPr>
        <w:pStyle w:val="AnnexNumberedText"/>
        <w:spacing w:before="200" w:after="260"/>
        <w:ind w:left="500" w:hanging="500"/>
      </w:pPr>
      <w:r>
        <w:t>3.3.</w:t>
      </w:r>
      <w:r>
        <w:rPr>
          <w:b/>
        </w:rPr>
        <w:tab/>
        <w:t>Framleiðsla á lágkolefnistækni fyrir flutninga</w:t>
      </w:r>
    </w:p>
    <w:p w14:paraId="2F57B0FD" w14:textId="77777777" w:rsidR="007E0724" w:rsidRDefault="00C4775C">
      <w:pPr>
        <w:pStyle w:val="AnnexGrSeq3"/>
        <w:spacing w:after="260"/>
        <w:ind w:left="500"/>
        <w:jc w:val="left"/>
      </w:pPr>
      <w:r>
        <w:rPr>
          <w:i/>
        </w:rPr>
        <w:t>Lýsing á starfseminni</w:t>
      </w:r>
    </w:p>
    <w:p w14:paraId="522D9387" w14:textId="77777777" w:rsidR="007E0724" w:rsidRDefault="00C4775C">
      <w:pPr>
        <w:pStyle w:val="AnnexNormal"/>
        <w:spacing w:after="260"/>
        <w:ind w:left="500"/>
      </w:pPr>
      <w:r>
        <w:t>Framleiðsla, viðgerðir, viðhald, endurbætur, önnur notkun og uppfærsla á ökutækjum til vöruflutninga, járnbrautarvögnum og skipum með litla losun kolefna.</w:t>
      </w:r>
    </w:p>
    <w:p w14:paraId="39819608" w14:textId="77777777" w:rsidR="007E0724" w:rsidRDefault="00C4775C">
      <w:pPr>
        <w:pStyle w:val="AnnexNormal"/>
        <w:spacing w:after="260"/>
        <w:ind w:left="500"/>
      </w:pPr>
      <w:r>
        <w:t>Atvinnustarfsemin í þessum flokki gæti tengst nokkrum kóðum atvinnugreinaflokkunar Evrópusambandsins, einkum C29.1, C30.1, C30.2, C30.9, C33.15 og C33.17, í samræmi við atvinnugreinaflokkunina sem komið var á með reglugerð (EB) nr. 1893/2006.</w:t>
      </w:r>
    </w:p>
    <w:p w14:paraId="3B6591A4" w14:textId="77777777" w:rsidR="007E0724" w:rsidRDefault="00C4775C">
      <w:pPr>
        <w:pStyle w:val="AnnexNormal"/>
        <w:spacing w:after="26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42910729" w14:textId="77777777" w:rsidR="007E0724" w:rsidRDefault="00C4775C">
      <w:pPr>
        <w:pStyle w:val="AnnexGrSeq3"/>
        <w:spacing w:after="260"/>
        <w:ind w:left="500"/>
        <w:jc w:val="both"/>
      </w:pPr>
      <w:r>
        <w:rPr>
          <w:i/>
        </w:rPr>
        <w:t>Tæknileg matsviðmið</w:t>
      </w:r>
    </w:p>
    <w:tbl>
      <w:tblPr>
        <w:tblStyle w:val="EFTATable"/>
        <w:tblW w:w="8780" w:type="dxa"/>
        <w:tblInd w:w="500" w:type="dxa"/>
        <w:tblLayout w:type="fixed"/>
        <w:tblCellMar>
          <w:top w:w="100" w:type="dxa"/>
          <w:left w:w="0" w:type="dxa"/>
          <w:bottom w:w="100" w:type="dxa"/>
          <w:right w:w="0" w:type="dxa"/>
        </w:tblCellMar>
        <w:tblLook w:val="04A0" w:firstRow="1" w:lastRow="0" w:firstColumn="1" w:lastColumn="0" w:noHBand="0" w:noVBand="1"/>
      </w:tblPr>
      <w:tblGrid>
        <w:gridCol w:w="3006"/>
        <w:gridCol w:w="5774"/>
      </w:tblGrid>
      <w:tr w:rsidR="007E0724" w14:paraId="5267FBFC" w14:textId="77777777">
        <w:trPr>
          <w:trHeight w:val="240"/>
        </w:trPr>
        <w:tc>
          <w:tcPr>
            <w:tcW w:w="8780" w:type="dxa"/>
            <w:gridSpan w:val="2"/>
            <w:tcBorders>
              <w:bottom w:val="single" w:sz="4" w:space="0" w:color="auto"/>
            </w:tcBorders>
            <w:tcMar>
              <w:left w:w="40" w:type="dxa"/>
              <w:right w:w="40" w:type="dxa"/>
            </w:tcMar>
          </w:tcPr>
          <w:p w14:paraId="50CC8DC7"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714E97E0" w14:textId="77777777">
        <w:trPr>
          <w:trHeight w:val="360"/>
        </w:trPr>
        <w:tc>
          <w:tcPr>
            <w:tcW w:w="8780" w:type="dxa"/>
            <w:gridSpan w:val="2"/>
            <w:tcBorders>
              <w:bottom w:val="nil"/>
            </w:tcBorders>
            <w:tcMar>
              <w:left w:w="40" w:type="dxa"/>
              <w:right w:w="40" w:type="dxa"/>
            </w:tcMar>
          </w:tcPr>
          <w:p w14:paraId="7A3AD393" w14:textId="77777777" w:rsidR="007E0724" w:rsidRDefault="00C4775C">
            <w:pPr>
              <w:pStyle w:val="AnnexTableCellLeft"/>
              <w:spacing w:after="300"/>
              <w:rPr>
                <w:szCs w:val="18"/>
              </w:rPr>
            </w:pPr>
            <w:r>
              <w:t>Með atvinnustarfseminni er framleiðsla, viðgerðir, viðhald, endurbætur, (</w:t>
            </w:r>
            <w:r>
              <w:rPr>
                <w:rStyle w:val="Tilvsunneanmlsgrein"/>
                <w:sz w:val="18"/>
                <w:szCs w:val="18"/>
              </w:rPr>
              <w:footnoteReference w:id="89"/>
            </w:r>
            <w:r>
              <w:t>), önnur notkun eða uppfærsla á:</w:t>
            </w:r>
          </w:p>
          <w:p w14:paraId="3DD3B739" w14:textId="77777777" w:rsidR="007E0724" w:rsidRDefault="00C4775C">
            <w:pPr>
              <w:pStyle w:val="AnnexNumberedText"/>
              <w:spacing w:after="300"/>
            </w:pPr>
            <w:r>
              <w:t>a)</w:t>
            </w:r>
            <w:r>
              <w:tab/>
              <w:t>lestum, farþegavögnum og vögnum sem eru ekki með neina beina koltvísýringslosun (gegnum útblástursrör),</w:t>
            </w:r>
          </w:p>
          <w:p w14:paraId="7E28D341" w14:textId="77777777" w:rsidR="007E0724" w:rsidRDefault="00C4775C">
            <w:pPr>
              <w:pStyle w:val="AnnexNumberedText"/>
              <w:spacing w:after="300"/>
            </w:pPr>
            <w:r>
              <w:t>b)</w:t>
            </w:r>
            <w:r>
              <w:tab/>
              <w:t xml:space="preserve">lestum, farþegavögnum og vögnum sem eru ekki með neina beina koltvísýringslosun gegnum útblástursrör þegar þau eru starfrækt á brautarspori með nauðsynlegum grunnvirkjum og nota hefðbundinn hreyfil þegar slík grunnvirki eru ekki tiltæk (rafmagn-dísilolía) (e. </w:t>
            </w:r>
            <w:proofErr w:type="spellStart"/>
            <w:r>
              <w:rPr>
                <w:i/>
                <w:iCs/>
              </w:rPr>
              <w:t>bimode</w:t>
            </w:r>
            <w:proofErr w:type="spellEnd"/>
            <w:r>
              <w:t>),</w:t>
            </w:r>
          </w:p>
          <w:p w14:paraId="7F3D64BD" w14:textId="77777777" w:rsidR="007E0724" w:rsidRDefault="00C4775C">
            <w:pPr>
              <w:pStyle w:val="AnnexNumberedText"/>
            </w:pPr>
            <w:r>
              <w:t>c)</w:t>
            </w:r>
            <w:r>
              <w:tab/>
              <w:t xml:space="preserve">farartækjum til farþegaflutninga í þéttbýli, úthverfum og á vegum þar sem bein koltvísýringslosun (gegnum </w:t>
            </w:r>
            <w:r>
              <w:lastRenderedPageBreak/>
              <w:t>útblástursrör) farartækjanna er núll,</w:t>
            </w:r>
          </w:p>
        </w:tc>
      </w:tr>
      <w:tr w:rsidR="007E0724" w14:paraId="15A19A62" w14:textId="77777777">
        <w:trPr>
          <w:trHeight w:val="360"/>
        </w:trPr>
        <w:tc>
          <w:tcPr>
            <w:tcW w:w="8780" w:type="dxa"/>
            <w:gridSpan w:val="2"/>
            <w:tcBorders>
              <w:top w:val="nil"/>
              <w:bottom w:val="nil"/>
            </w:tcBorders>
            <w:tcMar>
              <w:left w:w="40" w:type="dxa"/>
              <w:right w:w="40" w:type="dxa"/>
            </w:tcMar>
          </w:tcPr>
          <w:p w14:paraId="6F2557E5" w14:textId="77777777" w:rsidR="007E0724" w:rsidRDefault="00C4775C">
            <w:pPr>
              <w:pStyle w:val="AnnexNumberedText"/>
              <w:pageBreakBefore/>
              <w:spacing w:after="320"/>
              <w:rPr>
                <w:szCs w:val="18"/>
              </w:rPr>
            </w:pPr>
            <w:r>
              <w:lastRenderedPageBreak/>
              <w:t>d)</w:t>
            </w:r>
            <w:r>
              <w:tab/>
              <w:t>fram til 31. desember 2025, farartækjum í flokkum M2 og M3 (</w:t>
            </w:r>
            <w:r>
              <w:rPr>
                <w:rStyle w:val="Tilvsunneanmlsgrein"/>
                <w:sz w:val="18"/>
                <w:szCs w:val="18"/>
              </w:rPr>
              <w:footnoteReference w:id="90"/>
            </w:r>
            <w:r>
              <w:t>) sem eru með gerð yfirbyggingar í flokki „CA“ (einnar hæðar ökutæki), „CB“ (tveggja hæða ökutæki), „CC“ (einnar hæðar liðskipt ökutæki) eða „CD“ (tveggja hæða liðskipt ökutæki) (</w:t>
            </w:r>
            <w:r>
              <w:rPr>
                <w:rStyle w:val="Tilvsunneanmlsgrein"/>
                <w:sz w:val="18"/>
                <w:szCs w:val="18"/>
              </w:rPr>
              <w:footnoteReference w:id="91"/>
            </w:r>
            <w:r>
              <w:t>), og eru í samræmi við nýjasta EURO VI staðalinn, þ.e. bæði kröfurnar í reglugerð Evrópuþingsins og ráðsins (EB) nr. 595/2009 (</w:t>
            </w:r>
            <w:r>
              <w:rPr>
                <w:rStyle w:val="Tilvsunneanmlsgrein"/>
                <w:sz w:val="18"/>
                <w:szCs w:val="18"/>
              </w:rPr>
              <w:footnoteReference w:id="92"/>
            </w:r>
            <w:r>
              <w:t xml:space="preserve">) og, eftir að breytingar á þeirri reglugerð öðlast gildi, í þeim breytingagerðum, jafnvel áður en þær koma til framkvæmda, og nýjasta þrep EURO VI </w:t>
            </w:r>
            <w:proofErr w:type="spellStart"/>
            <w:r>
              <w:t>staðalsins</w:t>
            </w:r>
            <w:proofErr w:type="spellEnd"/>
            <w:r>
              <w:t xml:space="preserve"> sem sett er fram í töflu 1 í 9. viðbæti við I. viðauka við reglugerð framkvæmdastjórnarinnar (ESB) nr. 582/2011 (</w:t>
            </w:r>
            <w:r>
              <w:rPr>
                <w:rStyle w:val="Tilvsunneanmlsgrein"/>
                <w:sz w:val="18"/>
                <w:szCs w:val="18"/>
              </w:rPr>
              <w:footnoteReference w:id="93"/>
            </w:r>
            <w:r>
              <w:t xml:space="preserve">) þegar ákvæðin sem gilda um það þrep hafa tekið gildi en hafa ekki </w:t>
            </w:r>
            <w:proofErr w:type="spellStart"/>
            <w:r>
              <w:t>ennþá</w:t>
            </w:r>
            <w:proofErr w:type="spellEnd"/>
            <w:r>
              <w:t xml:space="preserve"> komið til framkvæmda fyrir þessa gerð ökutækis (</w:t>
            </w:r>
            <w:r>
              <w:rPr>
                <w:rStyle w:val="Tilvsunneanmlsgrein"/>
                <w:sz w:val="18"/>
                <w:szCs w:val="18"/>
              </w:rPr>
              <w:footnoteReference w:id="94"/>
            </w:r>
            <w:r>
              <w:t>). Ef slíkur staðall er ekki tiltækur er bein koltvísýringslosun farartækjanna núll,</w:t>
            </w:r>
          </w:p>
          <w:p w14:paraId="06A9DF36" w14:textId="77777777" w:rsidR="007E0724" w:rsidRDefault="00C4775C">
            <w:pPr>
              <w:pStyle w:val="AnnexNumberedText"/>
              <w:spacing w:after="320"/>
              <w:rPr>
                <w:szCs w:val="18"/>
              </w:rPr>
            </w:pPr>
            <w:r>
              <w:t>e)</w:t>
            </w:r>
            <w:r>
              <w:tab/>
              <w:t xml:space="preserve">ferlitækjum einstaklinga þar sem </w:t>
            </w:r>
            <w:proofErr w:type="spellStart"/>
            <w:r>
              <w:t>knúningsaflið</w:t>
            </w:r>
            <w:proofErr w:type="spellEnd"/>
            <w:r>
              <w:t xml:space="preserve"> kemur frá hreyfingu notandans, frá vél með enga losun eða frá samblandi af vél með enga losun og líkamlegri hreyfingu,</w:t>
            </w:r>
          </w:p>
          <w:p w14:paraId="3DE4C733" w14:textId="77777777" w:rsidR="007E0724" w:rsidRDefault="00C4775C">
            <w:pPr>
              <w:pStyle w:val="AnnexNumberedText"/>
              <w:spacing w:after="320"/>
              <w:rPr>
                <w:szCs w:val="18"/>
              </w:rPr>
            </w:pPr>
            <w:r>
              <w:t>f)</w:t>
            </w:r>
            <w:r>
              <w:tab/>
              <w:t>farartækjum í flokki M</w:t>
            </w:r>
            <w:r>
              <w:rPr>
                <w:vertAlign w:val="subscript"/>
              </w:rPr>
              <w:t>1</w:t>
            </w:r>
            <w:r>
              <w:t xml:space="preserve"> og N</w:t>
            </w:r>
            <w:r>
              <w:rPr>
                <w:vertAlign w:val="subscript"/>
              </w:rPr>
              <w:t>1</w:t>
            </w:r>
            <w:r>
              <w:t xml:space="preserve"> sem eru flokkuð sem létt ökutæki (</w:t>
            </w:r>
            <w:r>
              <w:rPr>
                <w:rStyle w:val="Tilvsunneanmlsgrein"/>
                <w:sz w:val="18"/>
                <w:szCs w:val="18"/>
              </w:rPr>
              <w:footnoteReference w:id="95"/>
            </w:r>
            <w:r>
              <w:t>) með:</w:t>
            </w:r>
          </w:p>
          <w:p w14:paraId="0CBACC4B" w14:textId="77777777" w:rsidR="007E0724" w:rsidRDefault="00C4775C">
            <w:pPr>
              <w:pStyle w:val="AnnexNumberedText"/>
              <w:spacing w:after="320"/>
              <w:ind w:left="600"/>
              <w:rPr>
                <w:szCs w:val="18"/>
              </w:rPr>
            </w:pPr>
            <w:r>
              <w:t>i.</w:t>
            </w:r>
            <w:r>
              <w:tab/>
              <w:t xml:space="preserve">fram til 31. desember 2025: sértæka losun koltvísýrings, eins og skilgreint er í </w:t>
            </w:r>
            <w:proofErr w:type="spellStart"/>
            <w:r>
              <w:t>h-lið</w:t>
            </w:r>
            <w:proofErr w:type="spellEnd"/>
            <w:r>
              <w:t xml:space="preserve"> 1. mgr. 3. gr. reglugerðar Evrópuþingsins og ráðsins (ESB) 2019/631 (</w:t>
            </w:r>
            <w:r>
              <w:rPr>
                <w:rStyle w:val="Tilvsunneanmlsgrein"/>
                <w:sz w:val="18"/>
                <w:szCs w:val="18"/>
              </w:rPr>
              <w:footnoteReference w:id="96"/>
            </w:r>
            <w:r>
              <w:t>), sem er minni en 50 g CO</w:t>
            </w:r>
            <w:r>
              <w:rPr>
                <w:vertAlign w:val="subscript"/>
              </w:rPr>
              <w:t>2</w:t>
            </w:r>
            <w:r>
              <w:t>/km (létt ökutæki með litla og enga losun),</w:t>
            </w:r>
          </w:p>
          <w:p w14:paraId="753C07C6" w14:textId="77777777" w:rsidR="007E0724" w:rsidRDefault="00C4775C">
            <w:pPr>
              <w:pStyle w:val="AnnexNumberedText"/>
              <w:spacing w:after="320"/>
              <w:ind w:left="600"/>
              <w:rPr>
                <w:szCs w:val="18"/>
              </w:rPr>
            </w:pPr>
            <w:r>
              <w:t>ii.</w:t>
            </w:r>
            <w:r>
              <w:tab/>
              <w:t xml:space="preserve">frá 1. janúar 2026: sértæka losun koltvísýrings, eins og skilgreint er í </w:t>
            </w:r>
            <w:proofErr w:type="spellStart"/>
            <w:r>
              <w:t>h-lið</w:t>
            </w:r>
            <w:proofErr w:type="spellEnd"/>
            <w:r>
              <w:t xml:space="preserve"> 1. mgr. 3. gr. reglugerðar (ESB) 2019/631, sem er núll,</w:t>
            </w:r>
          </w:p>
          <w:p w14:paraId="1B032F6B" w14:textId="77777777" w:rsidR="007E0724" w:rsidRDefault="00C4775C">
            <w:pPr>
              <w:pStyle w:val="AnnexNumberedText"/>
              <w:spacing w:after="320"/>
              <w:rPr>
                <w:szCs w:val="18"/>
              </w:rPr>
            </w:pPr>
            <w:r>
              <w:t>g)</w:t>
            </w:r>
            <w:r>
              <w:tab/>
              <w:t>farartækjum í flokki L (</w:t>
            </w:r>
            <w:r>
              <w:rPr>
                <w:rStyle w:val="Tilvsunneanmlsgrein"/>
                <w:sz w:val="18"/>
                <w:szCs w:val="18"/>
              </w:rPr>
              <w:footnoteReference w:id="97"/>
            </w:r>
            <w:r>
              <w:t>) með koltvísýringslosun gegnum útblástursrör sem er jöfn og 0 g CO</w:t>
            </w:r>
            <w:r>
              <w:rPr>
                <w:vertAlign w:val="subscript"/>
              </w:rPr>
              <w:t>2</w:t>
            </w:r>
            <w:r>
              <w:t xml:space="preserve"> e/km, reiknuð út í samræmi við losunarprófunina sem mælt er fyrir um í reglugerð Evrópuþingsins og ráðsins (ESB) 168/2013 (</w:t>
            </w:r>
            <w:r>
              <w:rPr>
                <w:rStyle w:val="Tilvsunneanmlsgrein"/>
                <w:sz w:val="18"/>
                <w:szCs w:val="18"/>
              </w:rPr>
              <w:footnoteReference w:id="98"/>
            </w:r>
            <w:r>
              <w:t>),</w:t>
            </w:r>
          </w:p>
          <w:p w14:paraId="643ED258" w14:textId="77777777" w:rsidR="007E0724" w:rsidRDefault="00C4775C">
            <w:pPr>
              <w:pStyle w:val="AnnexNumberedText"/>
              <w:spacing w:after="320"/>
              <w:rPr>
                <w:szCs w:val="18"/>
              </w:rPr>
            </w:pPr>
            <w:r>
              <w:t>h)</w:t>
            </w:r>
            <w:r>
              <w:tab/>
              <w:t>farartækjum í flokki N2 og N3 og N1, sem eru flokkuð sem þung ökutæki, sem eru ekki ætluð til flutninga á jarðefnaeldsneyti, með tæknilega leyfilegan hámarksmassa með hleðslu að hámarki 7,5 tonn, sem eru „þung ökutæki með engri losun“ eins og skilgreint er í 11. lið 3. gr. reglugerðar Evrópuþingsins og ráðsins (ESB) 2019/1242 (</w:t>
            </w:r>
            <w:r>
              <w:rPr>
                <w:rStyle w:val="Tilvsunneanmlsgrein"/>
                <w:sz w:val="18"/>
                <w:szCs w:val="18"/>
              </w:rPr>
              <w:footnoteReference w:id="99"/>
            </w:r>
            <w:r>
              <w:t>),</w:t>
            </w:r>
          </w:p>
          <w:p w14:paraId="591855D4" w14:textId="77777777" w:rsidR="007E0724" w:rsidRDefault="00C4775C">
            <w:pPr>
              <w:pStyle w:val="AnnexNumberedText"/>
            </w:pPr>
            <w:r>
              <w:t>i)</w:t>
            </w:r>
            <w:r>
              <w:tab/>
              <w:t>farartækjum í flokki N2 og N3, sem eru ekki ætluð til flutninga á jarðefnaeldsneyti, með tæknilega leyfilegan hámarksmassa með hleðslu umfram 7,5 tonn, sem eru „þung ökutæki með engri losun“ eins og skilgreint er í 11. lið 3. gr. reglugerðar (ESB) 2019/1242, eða „þung ökutæki með lítilli losun“ eins og skilgreint er í 12. lið 3. gr. þeirrar reglugerðar,</w:t>
            </w:r>
          </w:p>
        </w:tc>
      </w:tr>
      <w:tr w:rsidR="007E0724" w14:paraId="38FE49FD" w14:textId="77777777">
        <w:trPr>
          <w:trHeight w:val="360"/>
        </w:trPr>
        <w:tc>
          <w:tcPr>
            <w:tcW w:w="8780" w:type="dxa"/>
            <w:gridSpan w:val="2"/>
            <w:tcBorders>
              <w:top w:val="nil"/>
              <w:bottom w:val="nil"/>
            </w:tcBorders>
            <w:tcMar>
              <w:left w:w="40" w:type="dxa"/>
              <w:right w:w="40" w:type="dxa"/>
            </w:tcMar>
          </w:tcPr>
          <w:p w14:paraId="73AC5872" w14:textId="77777777" w:rsidR="007E0724" w:rsidRDefault="00C4775C">
            <w:pPr>
              <w:pStyle w:val="AnnexNumberedText"/>
              <w:pageBreakBefore/>
              <w:spacing w:after="320"/>
              <w:ind w:left="343" w:hanging="343"/>
            </w:pPr>
            <w:r>
              <w:lastRenderedPageBreak/>
              <w:t>j)</w:t>
            </w:r>
            <w:r>
              <w:tab/>
              <w:t>skipum fyrir farþegaflutninga á skipgengum vatnaleiðum sem:</w:t>
            </w:r>
          </w:p>
          <w:p w14:paraId="35CA0C1E" w14:textId="77777777" w:rsidR="007E0724" w:rsidRDefault="00C4775C">
            <w:pPr>
              <w:pStyle w:val="AnnexNumberedText"/>
              <w:spacing w:after="320"/>
              <w:ind w:left="644"/>
            </w:pPr>
            <w:r>
              <w:t>i.</w:t>
            </w:r>
            <w:r>
              <w:tab/>
              <w:t>eru ekki með neina beina koltvísýringslosun (gegnum útblástursrör),</w:t>
            </w:r>
          </w:p>
          <w:p w14:paraId="233FBABC" w14:textId="77777777" w:rsidR="007E0724" w:rsidRDefault="00C4775C">
            <w:pPr>
              <w:pStyle w:val="AnnexNumberedText"/>
              <w:spacing w:after="320"/>
              <w:ind w:left="644"/>
            </w:pPr>
            <w:r>
              <w:t>ii.</w:t>
            </w:r>
            <w:r>
              <w:tab/>
              <w:t xml:space="preserve">fram til 31. desember 2025 eru blendingsskip (e. </w:t>
            </w:r>
            <w:proofErr w:type="spellStart"/>
            <w:r>
              <w:rPr>
                <w:i/>
                <w:iCs/>
              </w:rPr>
              <w:t>hybrid</w:t>
            </w:r>
            <w:proofErr w:type="spellEnd"/>
            <w:r>
              <w:rPr>
                <w:i/>
                <w:iCs/>
              </w:rPr>
              <w:t xml:space="preserve"> </w:t>
            </w:r>
            <w:proofErr w:type="spellStart"/>
            <w:r>
              <w:rPr>
                <w:i/>
                <w:iCs/>
              </w:rPr>
              <w:t>vessel</w:t>
            </w:r>
            <w:proofErr w:type="spellEnd"/>
            <w:r>
              <w:t xml:space="preserve">) og </w:t>
            </w:r>
            <w:proofErr w:type="spellStart"/>
            <w:r>
              <w:t>tvíbrennieldsneytisskip</w:t>
            </w:r>
            <w:proofErr w:type="spellEnd"/>
            <w:r>
              <w:t xml:space="preserve"> (e. </w:t>
            </w:r>
            <w:proofErr w:type="spellStart"/>
            <w:r>
              <w:rPr>
                <w:i/>
                <w:iCs/>
              </w:rPr>
              <w:t>dual</w:t>
            </w:r>
            <w:proofErr w:type="spellEnd"/>
            <w:r>
              <w:rPr>
                <w:i/>
                <w:iCs/>
              </w:rPr>
              <w:t xml:space="preserve"> </w:t>
            </w:r>
            <w:proofErr w:type="spellStart"/>
            <w:r>
              <w:rPr>
                <w:i/>
                <w:iCs/>
              </w:rPr>
              <w:t>fuel</w:t>
            </w:r>
            <w:proofErr w:type="spellEnd"/>
            <w:r>
              <w:rPr>
                <w:i/>
                <w:iCs/>
              </w:rPr>
              <w:t xml:space="preserve"> </w:t>
            </w:r>
            <w:proofErr w:type="spellStart"/>
            <w:r>
              <w:rPr>
                <w:i/>
                <w:iCs/>
              </w:rPr>
              <w:t>vessel</w:t>
            </w:r>
            <w:proofErr w:type="spellEnd"/>
            <w:r>
              <w:t xml:space="preserve">) sem nota a.m.k. 50% af orku sinni frá eldsneyti sem er ekki með neina beina koltvísýringslosun (gegnum útblástursrör) eða frá straumi frá hleðslu fyrir venjulega </w:t>
            </w:r>
            <w:proofErr w:type="spellStart"/>
            <w:r>
              <w:t>starfrækslu</w:t>
            </w:r>
            <w:proofErr w:type="spellEnd"/>
            <w:r>
              <w:t>,</w:t>
            </w:r>
          </w:p>
          <w:p w14:paraId="5EEB7DFC" w14:textId="77777777" w:rsidR="007E0724" w:rsidRDefault="00C4775C">
            <w:pPr>
              <w:pStyle w:val="AnnexNumberedText"/>
              <w:spacing w:after="320"/>
              <w:ind w:left="343" w:hanging="343"/>
            </w:pPr>
            <w:r>
              <w:t>k)</w:t>
            </w:r>
            <w:r>
              <w:tab/>
              <w:t>skipum til vöruflutninga á skipgengum vatnaleiðum, sem eru ekki ætluð til flutninga á jarðefnaeldsneyti, sem:</w:t>
            </w:r>
          </w:p>
          <w:p w14:paraId="0B4D1586" w14:textId="77777777" w:rsidR="007E0724" w:rsidRDefault="00C4775C">
            <w:pPr>
              <w:pStyle w:val="AnnexNumberedText"/>
              <w:spacing w:after="320"/>
              <w:ind w:left="644"/>
            </w:pPr>
            <w:r>
              <w:t>i.</w:t>
            </w:r>
            <w:r>
              <w:tab/>
              <w:t>eru ekki með neina beina koltvísýringslosun (gegnum útblástursrör),</w:t>
            </w:r>
          </w:p>
          <w:p w14:paraId="273F7B84" w14:textId="77777777" w:rsidR="007E0724" w:rsidRDefault="00C4775C">
            <w:pPr>
              <w:pStyle w:val="AnnexNumberedText"/>
              <w:spacing w:after="320"/>
              <w:ind w:left="644"/>
            </w:pPr>
            <w:r>
              <w:t>ii.</w:t>
            </w:r>
            <w:r>
              <w:tab/>
              <w:t>fram til 31. desember 2025 eru með beina koltvísýringslosun (gegnum útblástursrör) á tonnkílómetra (g CO</w:t>
            </w:r>
            <w:r>
              <w:rPr>
                <w:vertAlign w:val="subscript"/>
              </w:rPr>
              <w:t>2</w:t>
            </w:r>
            <w:r>
              <w:t>/</w:t>
            </w:r>
            <w:proofErr w:type="spellStart"/>
            <w:r>
              <w:t>tkm</w:t>
            </w:r>
            <w:proofErr w:type="spellEnd"/>
            <w:r>
              <w:t xml:space="preserve">), reiknað út (eða áætlað ef um ný skip er að ræða) með því að nota rekstrarlegan </w:t>
            </w:r>
            <w:proofErr w:type="spellStart"/>
            <w:r>
              <w:t>orkunýtnivísi</w:t>
            </w:r>
            <w:proofErr w:type="spellEnd"/>
            <w:r>
              <w:t xml:space="preserve"> (</w:t>
            </w:r>
            <w:r>
              <w:rPr>
                <w:rStyle w:val="Tilvsunneanmlsgrein"/>
                <w:sz w:val="18"/>
              </w:rPr>
              <w:footnoteReference w:id="100"/>
            </w:r>
            <w:r>
              <w:t>), sem er 50% minni en meðaltal viðmiðunargildis fyrir losun á koltvísýringi sem er skilgreint fyrir þung farartæki (undirhópur ökutækja 5-LH) í samræmi við 11. gr. reglugerðar (ESB) 2019/1242,</w:t>
            </w:r>
          </w:p>
          <w:p w14:paraId="49723585" w14:textId="77777777" w:rsidR="007E0724" w:rsidRDefault="00C4775C">
            <w:pPr>
              <w:pStyle w:val="AnnexNumberedText"/>
              <w:spacing w:after="320"/>
              <w:ind w:left="343" w:hanging="343"/>
            </w:pPr>
            <w:r>
              <w:t>l)</w:t>
            </w:r>
            <w:r>
              <w:tab/>
              <w:t>skipum fyrir millilanda- og strandsiglingar með vörur, skipum fyrir hafnarstarfsemi og aukastarfsemi, sem eru ekki ætluð til flutninga á jarðefnaeldsneyti, sem:</w:t>
            </w:r>
          </w:p>
          <w:p w14:paraId="3D7BFC7E" w14:textId="77777777" w:rsidR="007E0724" w:rsidRDefault="00C4775C">
            <w:pPr>
              <w:pStyle w:val="AnnexNumberedText"/>
              <w:spacing w:after="320"/>
              <w:ind w:left="644"/>
            </w:pPr>
            <w:r>
              <w:t>i.</w:t>
            </w:r>
            <w:r>
              <w:tab/>
              <w:t>eru ekki með neina beina koltvísýringslosun (gegnum útblástursrör),</w:t>
            </w:r>
          </w:p>
          <w:p w14:paraId="58924B0F" w14:textId="77777777" w:rsidR="007E0724" w:rsidRDefault="00C4775C">
            <w:pPr>
              <w:pStyle w:val="AnnexNumberedText"/>
              <w:spacing w:after="320"/>
              <w:ind w:left="644"/>
            </w:pPr>
            <w:r>
              <w:t>ii.</w:t>
            </w:r>
            <w:r>
              <w:tab/>
              <w:t xml:space="preserve">fram til 31. desember 2025, eru blendingsskip og </w:t>
            </w:r>
            <w:proofErr w:type="spellStart"/>
            <w:r>
              <w:t>tvíbrennieldsneytisskip</w:t>
            </w:r>
            <w:proofErr w:type="spellEnd"/>
            <w:r>
              <w:t xml:space="preserve"> sem fá a.m.k. 25%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p>
          <w:p w14:paraId="7F565DC1" w14:textId="77777777" w:rsidR="007E0724" w:rsidRDefault="00C4775C">
            <w:pPr>
              <w:pStyle w:val="AnnexNumberedText"/>
              <w:spacing w:after="320"/>
              <w:ind w:left="644"/>
            </w:pPr>
            <w:r>
              <w:t>iii.</w:t>
            </w:r>
            <w:r>
              <w:tab/>
              <w:t xml:space="preserve">fram til 31. desember 2025, og einungis þegar hægt er að sýna fram á að skipin séu eingöngu notuð til að starfrækja strandþjónustu og þjónustu á stuttum sjóleiðum sem er ætluð til að stuðla að umskiptum í flutningum á vörum, sem nú eru fluttar á landi, yfir í flutninga á sjó, eru skipin með beina koltvísýringslosun (gegnum útblástursrör), sem er reiknuð út með því nota </w:t>
            </w:r>
            <w:proofErr w:type="spellStart"/>
            <w:r>
              <w:t>orkunýtnivísitölu</w:t>
            </w:r>
            <w:proofErr w:type="spellEnd"/>
            <w:r>
              <w:t xml:space="preserve"> hönnunar (</w:t>
            </w:r>
            <w:r>
              <w:rPr>
                <w:rStyle w:val="Tilvsunneanmlsgrein"/>
                <w:sz w:val="18"/>
              </w:rPr>
              <w:footnoteReference w:id="101"/>
            </w:r>
            <w:r>
              <w:t>) frá Alþjóðasiglingamálastofnuninni, sem er 50% lægri en meðaltal viðmiðunargildis fyrir losun á koltvísýringi sem er skilgreint fyrir þung farartæki (undirhópur ökutækja 5-LH) í samræmi við 11. gr. reglugerðar (ESB) 2019/1242,</w:t>
            </w:r>
          </w:p>
          <w:p w14:paraId="2F57B71D" w14:textId="77777777" w:rsidR="007E0724" w:rsidRDefault="00C4775C">
            <w:pPr>
              <w:pStyle w:val="AnnexNumberedText"/>
              <w:spacing w:after="320"/>
              <w:ind w:left="644"/>
            </w:pPr>
            <w:r>
              <w:t>iv.</w:t>
            </w:r>
            <w:r>
              <w:tab/>
              <w:t xml:space="preserve">fram til 31. desember 2025, skipin hafa náð gildi fyrir </w:t>
            </w:r>
            <w:proofErr w:type="spellStart"/>
            <w:r>
              <w:t>orkunýtnivísitölu</w:t>
            </w:r>
            <w:proofErr w:type="spellEnd"/>
            <w:r>
              <w:t xml:space="preserve"> hönnunar sem er 10% undir kröfunum um </w:t>
            </w:r>
            <w:proofErr w:type="spellStart"/>
            <w:r>
              <w:t>orkunýtnivísitölu</w:t>
            </w:r>
            <w:proofErr w:type="spellEnd"/>
            <w:r>
              <w:t xml:space="preserve"> hönnunar sem eru í gildi 1. apríl 2022 (</w:t>
            </w:r>
            <w:r>
              <w:rPr>
                <w:rStyle w:val="Tilvsunneanmlsgrein"/>
                <w:sz w:val="18"/>
              </w:rPr>
              <w:footnoteReference w:id="102"/>
            </w:r>
            <w:r>
              <w:t>) ef skipin geta gengið fyrir eldsneyti sem er ekki með neina beina koltvísýringslosun (gegnum útblástursrör) eða eldsneyti frá endurnýjanlegum orkugjöfum (</w:t>
            </w:r>
            <w:r>
              <w:rPr>
                <w:rStyle w:val="Tilvsunneanmlsgrein"/>
                <w:sz w:val="18"/>
              </w:rPr>
              <w:footnoteReference w:id="103"/>
            </w:r>
            <w:r>
              <w:t>),</w:t>
            </w:r>
          </w:p>
          <w:p w14:paraId="5318B311" w14:textId="77777777" w:rsidR="007E0724" w:rsidRDefault="00C4775C">
            <w:pPr>
              <w:pStyle w:val="AnnexNumberedText"/>
              <w:spacing w:after="320"/>
              <w:ind w:left="343" w:hanging="343"/>
            </w:pPr>
            <w:r>
              <w:t>m)</w:t>
            </w:r>
            <w:r>
              <w:tab/>
              <w:t>skipum til millilanda- og strandsiglinga með farþega, sem ekki eru ætluð til flutninga á jarðefnaeldsneyti, sem:</w:t>
            </w:r>
          </w:p>
          <w:p w14:paraId="759A83B7" w14:textId="77777777" w:rsidR="007E0724" w:rsidRDefault="00C4775C">
            <w:pPr>
              <w:pStyle w:val="AnnexNumberedText"/>
              <w:spacing w:after="320"/>
              <w:ind w:left="644"/>
            </w:pPr>
            <w:r>
              <w:t>i.</w:t>
            </w:r>
            <w:r>
              <w:tab/>
              <w:t>eru ekki með neina beina koltvísýringslosun (gegnum útblástursrör),</w:t>
            </w:r>
          </w:p>
          <w:p w14:paraId="43BBFCF0" w14:textId="77777777" w:rsidR="007E0724" w:rsidRDefault="00C4775C">
            <w:pPr>
              <w:pStyle w:val="AnnexNumberedText"/>
              <w:spacing w:after="320"/>
              <w:ind w:left="644"/>
            </w:pPr>
            <w:r>
              <w:t>ii.</w:t>
            </w:r>
            <w:r>
              <w:tab/>
              <w:t xml:space="preserve">fram til 31. desember 2025, blendingsskip og </w:t>
            </w:r>
            <w:proofErr w:type="spellStart"/>
            <w:r>
              <w:t>tvíbrennieldsneytisskip</w:t>
            </w:r>
            <w:proofErr w:type="spellEnd"/>
            <w:r>
              <w:t xml:space="preserve"> fá a.m.k. 25%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p>
          <w:p w14:paraId="1DE36DF6" w14:textId="77777777" w:rsidR="007E0724" w:rsidRDefault="00C4775C">
            <w:pPr>
              <w:pStyle w:val="AnnexNumberedText"/>
              <w:spacing w:after="0"/>
              <w:ind w:left="644"/>
            </w:pPr>
            <w:r>
              <w:t>iii.</w:t>
            </w:r>
            <w:r>
              <w:tab/>
              <w:t xml:space="preserve">fram til 31. desember 2025, skipin hafa náð gildi fyrir </w:t>
            </w:r>
            <w:proofErr w:type="spellStart"/>
            <w:r>
              <w:t>orkunýtnivísitölu</w:t>
            </w:r>
            <w:proofErr w:type="spellEnd"/>
            <w:r>
              <w:t xml:space="preserve"> hönnunar sem er 10% undir kröfunum </w:t>
            </w:r>
            <w:r>
              <w:lastRenderedPageBreak/>
              <w:t xml:space="preserve">um </w:t>
            </w:r>
            <w:proofErr w:type="spellStart"/>
            <w:r>
              <w:t>orkunýtnivísitölu</w:t>
            </w:r>
            <w:proofErr w:type="spellEnd"/>
            <w:r>
              <w:t xml:space="preserve"> hönnunar sem eru í gildi 1. apríl 2022 ef skipin geta gengið fyrir eldsneyti sem er ekki með neina beina koltvísýringslosun (gegnum útblástursrör) eða eldsneyti frá endurnýjanlegum orkugjöfum (</w:t>
            </w:r>
            <w:r>
              <w:rPr>
                <w:rStyle w:val="Tilvsunneanmlsgrein"/>
                <w:sz w:val="18"/>
              </w:rPr>
              <w:footnoteReference w:id="104"/>
            </w:r>
            <w:r>
              <w:t>).</w:t>
            </w:r>
          </w:p>
        </w:tc>
      </w:tr>
      <w:tr w:rsidR="007E0724" w14:paraId="766F528F" w14:textId="77777777">
        <w:trPr>
          <w:trHeight w:val="240"/>
        </w:trPr>
        <w:tc>
          <w:tcPr>
            <w:tcW w:w="8780" w:type="dxa"/>
            <w:gridSpan w:val="2"/>
            <w:tcBorders>
              <w:top w:val="single" w:sz="4" w:space="0" w:color="auto"/>
            </w:tcBorders>
            <w:tcMar>
              <w:left w:w="0" w:type="dxa"/>
              <w:right w:w="0" w:type="dxa"/>
            </w:tcMar>
          </w:tcPr>
          <w:p w14:paraId="0E693DAA" w14:textId="77777777" w:rsidR="007E0724" w:rsidRDefault="00C4775C">
            <w:pPr>
              <w:pStyle w:val="AnnexTableCellLeft"/>
              <w:pageBreakBefore/>
            </w:pPr>
            <w:r>
              <w:lastRenderedPageBreak/>
              <w:t>Ekki valda umtalsverðu tjóni</w:t>
            </w:r>
          </w:p>
        </w:tc>
      </w:tr>
      <w:tr w:rsidR="007E0724" w14:paraId="639450B5" w14:textId="77777777">
        <w:trPr>
          <w:trHeight w:val="360"/>
        </w:trPr>
        <w:tc>
          <w:tcPr>
            <w:tcW w:w="3006" w:type="dxa"/>
            <w:tcMar>
              <w:left w:w="0" w:type="dxa"/>
              <w:right w:w="40" w:type="dxa"/>
            </w:tcMar>
          </w:tcPr>
          <w:p w14:paraId="27BF33CF" w14:textId="77777777" w:rsidR="007E0724" w:rsidRDefault="00C4775C">
            <w:pPr>
              <w:pStyle w:val="AnnexNumberedText"/>
              <w:ind w:left="293" w:hanging="293"/>
            </w:pPr>
            <w:r>
              <w:t>2)</w:t>
            </w:r>
            <w:r>
              <w:tab/>
              <w:t>Aðlögun að loftslagsbreytingum</w:t>
            </w:r>
          </w:p>
        </w:tc>
        <w:tc>
          <w:tcPr>
            <w:tcW w:w="5774" w:type="dxa"/>
            <w:tcMar>
              <w:left w:w="40" w:type="dxa"/>
              <w:right w:w="40" w:type="dxa"/>
            </w:tcMar>
          </w:tcPr>
          <w:p w14:paraId="6D33496A" w14:textId="77777777" w:rsidR="007E0724" w:rsidRDefault="00C4775C">
            <w:pPr>
              <w:pStyle w:val="AnnexTableCellLeft"/>
            </w:pPr>
            <w:r>
              <w:t>Starfsemin er í samræmi við viðmiðanirnar sem settar eru fram í viðbæti A við þennan viðauka.</w:t>
            </w:r>
          </w:p>
        </w:tc>
      </w:tr>
      <w:tr w:rsidR="007E0724" w14:paraId="479743E8" w14:textId="77777777">
        <w:trPr>
          <w:trHeight w:val="360"/>
        </w:trPr>
        <w:tc>
          <w:tcPr>
            <w:tcW w:w="3006" w:type="dxa"/>
            <w:tcMar>
              <w:left w:w="0" w:type="dxa"/>
              <w:right w:w="40" w:type="dxa"/>
            </w:tcMar>
          </w:tcPr>
          <w:p w14:paraId="4BE90A7E" w14:textId="77777777" w:rsidR="007E0724" w:rsidRDefault="00C4775C">
            <w:pPr>
              <w:pStyle w:val="AnnexNumberedText"/>
              <w:ind w:left="293" w:hanging="293"/>
            </w:pPr>
            <w:r>
              <w:t>3)</w:t>
            </w:r>
            <w:r>
              <w:tab/>
              <w:t>Sjálfbær notkun og verndun vatns- og sjávarauðlinda</w:t>
            </w:r>
          </w:p>
        </w:tc>
        <w:tc>
          <w:tcPr>
            <w:tcW w:w="5774" w:type="dxa"/>
            <w:tcMar>
              <w:left w:w="40" w:type="dxa"/>
              <w:right w:w="40" w:type="dxa"/>
            </w:tcMar>
          </w:tcPr>
          <w:p w14:paraId="46445C57" w14:textId="77777777" w:rsidR="007E0724" w:rsidRDefault="00C4775C">
            <w:pPr>
              <w:pStyle w:val="AnnexTableCellLeft"/>
            </w:pPr>
            <w:r>
              <w:t>Starfsemin er í samræmi við viðmiðanirnar sem settar eru fram í viðbæti B við þennan viðauka.</w:t>
            </w:r>
          </w:p>
        </w:tc>
      </w:tr>
      <w:tr w:rsidR="007E0724" w14:paraId="45087A01" w14:textId="77777777">
        <w:trPr>
          <w:trHeight w:val="360"/>
        </w:trPr>
        <w:tc>
          <w:tcPr>
            <w:tcW w:w="3006" w:type="dxa"/>
            <w:tcMar>
              <w:left w:w="0" w:type="dxa"/>
              <w:right w:w="40" w:type="dxa"/>
            </w:tcMar>
          </w:tcPr>
          <w:p w14:paraId="1114EE01" w14:textId="77777777" w:rsidR="007E0724" w:rsidRDefault="00C4775C">
            <w:pPr>
              <w:pStyle w:val="AnnexNumberedText"/>
              <w:ind w:left="293" w:hanging="293"/>
            </w:pPr>
            <w:r>
              <w:t>4)</w:t>
            </w:r>
            <w:r>
              <w:tab/>
              <w:t>Umskipti yfir í hringrásarhagkerfi</w:t>
            </w:r>
          </w:p>
        </w:tc>
        <w:tc>
          <w:tcPr>
            <w:tcW w:w="5774" w:type="dxa"/>
            <w:tcMar>
              <w:left w:w="40" w:type="dxa"/>
              <w:right w:w="40" w:type="dxa"/>
            </w:tcMar>
          </w:tcPr>
          <w:p w14:paraId="6AFB6438" w14:textId="77777777" w:rsidR="007E0724" w:rsidRDefault="00C4775C">
            <w:pPr>
              <w:pStyle w:val="AnnexTableCellLeft"/>
            </w:pPr>
            <w:r>
              <w:t>Í starfseminni er lagt mat á tiltækileika og, ef það er gerlegt, tekin upp tækni sem styður:</w:t>
            </w:r>
          </w:p>
          <w:p w14:paraId="4940999A" w14:textId="77777777" w:rsidR="007E0724" w:rsidRDefault="00C4775C">
            <w:pPr>
              <w:pStyle w:val="AnnexNumberedText"/>
            </w:pPr>
            <w:r>
              <w:t>a)</w:t>
            </w:r>
            <w:r>
              <w:tab/>
              <w:t>endurnotkun og notkun á endurunnum hráefnum og endurnotuðum íhlutum í framleiðslu á vörum,</w:t>
            </w:r>
          </w:p>
          <w:p w14:paraId="4E517A18" w14:textId="77777777" w:rsidR="007E0724" w:rsidRDefault="00C4775C">
            <w:pPr>
              <w:pStyle w:val="AnnexNumberedText"/>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26C5B9B2" w14:textId="77777777" w:rsidR="007E0724" w:rsidRDefault="00C4775C">
            <w:pPr>
              <w:pStyle w:val="AnnexNumberedText"/>
            </w:pPr>
            <w:r>
              <w:t>c)</w:t>
            </w:r>
            <w:r>
              <w:tab/>
              <w:t xml:space="preserve">úrgangsstjórnun þar sem endurvinnsla er sett í forgang fram yfir </w:t>
            </w:r>
            <w:proofErr w:type="spellStart"/>
            <w:r>
              <w:t>förgun</w:t>
            </w:r>
            <w:proofErr w:type="spellEnd"/>
            <w:r>
              <w:t xml:space="preserve"> í framleiðsluferlinu,</w:t>
            </w:r>
          </w:p>
          <w:p w14:paraId="0A71A660" w14:textId="77777777" w:rsidR="007E0724" w:rsidRDefault="00C4775C">
            <w:pPr>
              <w:pStyle w:val="AnnexNumberedText"/>
            </w:pPr>
            <w:r>
              <w:t>d)</w:t>
            </w:r>
            <w:r>
              <w:tab/>
              <w:t>upplýsingar um og rekjanleika efna sem gefa tilefni til áhyggna á öllum vistferli framleiddra vara.</w:t>
            </w:r>
          </w:p>
        </w:tc>
      </w:tr>
      <w:tr w:rsidR="007E0724" w14:paraId="0067538F" w14:textId="77777777">
        <w:trPr>
          <w:trHeight w:val="360"/>
        </w:trPr>
        <w:tc>
          <w:tcPr>
            <w:tcW w:w="3006" w:type="dxa"/>
            <w:tcMar>
              <w:left w:w="0" w:type="dxa"/>
              <w:right w:w="40" w:type="dxa"/>
            </w:tcMar>
          </w:tcPr>
          <w:p w14:paraId="713D5CFD" w14:textId="77777777" w:rsidR="007E0724" w:rsidRDefault="00C4775C">
            <w:pPr>
              <w:pStyle w:val="AnnexNumberedText"/>
              <w:ind w:left="293" w:hanging="293"/>
            </w:pPr>
            <w:r>
              <w:t>5)</w:t>
            </w:r>
            <w:r>
              <w:tab/>
              <w:t>Mengunarvarnir og eftirlit með mengun</w:t>
            </w:r>
          </w:p>
        </w:tc>
        <w:tc>
          <w:tcPr>
            <w:tcW w:w="5774" w:type="dxa"/>
            <w:tcMar>
              <w:left w:w="40" w:type="dxa"/>
              <w:right w:w="40" w:type="dxa"/>
            </w:tcMar>
          </w:tcPr>
          <w:p w14:paraId="5A2553F0" w14:textId="77777777" w:rsidR="007E0724" w:rsidRDefault="00C4775C">
            <w:pPr>
              <w:pStyle w:val="AnnexTableCellLeft"/>
              <w:spacing w:after="200"/>
            </w:pPr>
            <w:r>
              <w:t>Starfsemin er í samræmi við viðmiðanirnar sem settar eru fram í viðbæti C við þennan viðauka.</w:t>
            </w:r>
          </w:p>
          <w:p w14:paraId="65120C1B" w14:textId="77777777" w:rsidR="007E0724" w:rsidRDefault="00C4775C">
            <w:pPr>
              <w:pStyle w:val="AnnexTableCellLeft"/>
            </w:pPr>
            <w:r>
              <w:t xml:space="preserve">Eftir atvikum, farartækin innihalda ekki blý, kvikasilfur, sexgilt </w:t>
            </w:r>
            <w:proofErr w:type="spellStart"/>
            <w:r>
              <w:t>króm</w:t>
            </w:r>
            <w:proofErr w:type="spellEnd"/>
            <w:r>
              <w:t xml:space="preserve"> og </w:t>
            </w:r>
            <w:proofErr w:type="spellStart"/>
            <w:r>
              <w:t>kadmíum</w:t>
            </w:r>
            <w:proofErr w:type="spellEnd"/>
            <w:r>
              <w:t>, í samræmi við tilskipun Evrópuþingsins og ráðsins 2000/53/EB (</w:t>
            </w:r>
            <w:r>
              <w:rPr>
                <w:rStyle w:val="Tilvsunneanmlsgrein"/>
                <w:sz w:val="18"/>
                <w:szCs w:val="18"/>
              </w:rPr>
              <w:footnoteReference w:id="105"/>
            </w:r>
            <w:r>
              <w:t>).</w:t>
            </w:r>
          </w:p>
        </w:tc>
      </w:tr>
      <w:tr w:rsidR="007E0724" w14:paraId="7B8C22AB" w14:textId="77777777">
        <w:trPr>
          <w:trHeight w:val="360"/>
        </w:trPr>
        <w:tc>
          <w:tcPr>
            <w:tcW w:w="3006" w:type="dxa"/>
            <w:tcMar>
              <w:left w:w="0" w:type="dxa"/>
              <w:right w:w="40" w:type="dxa"/>
            </w:tcMar>
          </w:tcPr>
          <w:p w14:paraId="16FD5012" w14:textId="77777777" w:rsidR="007E0724" w:rsidRDefault="00C4775C">
            <w:pPr>
              <w:pStyle w:val="AnnexNumberedText"/>
              <w:ind w:left="293" w:hanging="293"/>
            </w:pPr>
            <w:r>
              <w:t>6)</w:t>
            </w:r>
            <w:r>
              <w:tab/>
              <w:t>Vernd og endurheimt líffræðilegrar fjölbreytni og vistkerfa</w:t>
            </w:r>
          </w:p>
        </w:tc>
        <w:tc>
          <w:tcPr>
            <w:tcW w:w="5774" w:type="dxa"/>
            <w:tcMar>
              <w:left w:w="40" w:type="dxa"/>
              <w:right w:w="40" w:type="dxa"/>
            </w:tcMar>
          </w:tcPr>
          <w:p w14:paraId="0EF58215" w14:textId="77777777" w:rsidR="007E0724" w:rsidRDefault="00C4775C">
            <w:pPr>
              <w:pStyle w:val="AnnexTableCellLeft"/>
            </w:pPr>
            <w:r>
              <w:t>Starfsemin er í samræmi við viðmiðanirnar sem settar eru fram í viðbæti D við þennan viðauka.</w:t>
            </w:r>
          </w:p>
        </w:tc>
      </w:tr>
    </w:tbl>
    <w:p w14:paraId="4A1AF19D" w14:textId="77777777" w:rsidR="007E0724" w:rsidRDefault="00C4775C">
      <w:pPr>
        <w:pStyle w:val="AnnexNumberedText"/>
        <w:spacing w:before="200" w:after="260"/>
        <w:ind w:left="500" w:hanging="500"/>
      </w:pPr>
      <w:r>
        <w:t>3.4.</w:t>
      </w:r>
      <w:r>
        <w:rPr>
          <w:b/>
        </w:rPr>
        <w:tab/>
        <w:t>Framleiðsla á rafhlöðum</w:t>
      </w:r>
    </w:p>
    <w:p w14:paraId="06B3EAE2" w14:textId="77777777" w:rsidR="007E0724" w:rsidRDefault="00C4775C">
      <w:pPr>
        <w:pStyle w:val="AnnexGrSeq3"/>
        <w:spacing w:after="260"/>
        <w:ind w:left="500"/>
        <w:jc w:val="both"/>
      </w:pPr>
      <w:r>
        <w:rPr>
          <w:i/>
        </w:rPr>
        <w:t>Lýsing á starfseminni</w:t>
      </w:r>
    </w:p>
    <w:p w14:paraId="3F468138" w14:textId="77777777" w:rsidR="007E0724" w:rsidRDefault="00C4775C">
      <w:pPr>
        <w:pStyle w:val="AnnexNormal"/>
        <w:spacing w:after="260"/>
        <w:ind w:left="500"/>
      </w:pPr>
      <w:r>
        <w:t xml:space="preserve">Framleiðsla á </w:t>
      </w:r>
      <w:proofErr w:type="spellStart"/>
      <w:r>
        <w:t>endurhlaðanlegum</w:t>
      </w:r>
      <w:proofErr w:type="spellEnd"/>
      <w:r>
        <w:t xml:space="preserve"> rafhlöðum, rafhlöðupökkum og rafgeymum fyrir flutninga, staðbundna orkugeymslu og orkugeymslu utan dreifikerfis og aðra notkun í iðnaði. Framleiðsla á tilheyrandi íhlutum (virkir efniviðir í rafhlöður, </w:t>
      </w:r>
      <w:proofErr w:type="spellStart"/>
      <w:r>
        <w:t>rafhlöðusellur</w:t>
      </w:r>
      <w:proofErr w:type="spellEnd"/>
      <w:r>
        <w:t>, hylki og rafeindaíhlutir).</w:t>
      </w:r>
    </w:p>
    <w:p w14:paraId="0ED82620" w14:textId="77777777" w:rsidR="007E0724" w:rsidRDefault="00C4775C">
      <w:pPr>
        <w:pStyle w:val="AnnexNormal"/>
        <w:spacing w:after="260"/>
        <w:ind w:left="500"/>
      </w:pPr>
      <w:r>
        <w:t>Endurvinnsla á úr sér gengnum rafhlöðum.</w:t>
      </w:r>
    </w:p>
    <w:p w14:paraId="153B58DE" w14:textId="77777777" w:rsidR="007E0724" w:rsidRDefault="00C4775C">
      <w:pPr>
        <w:pStyle w:val="AnnexNormal"/>
        <w:spacing w:after="260"/>
        <w:ind w:left="500"/>
      </w:pPr>
      <w:r>
        <w:t>Atvinnustarfsemin í þessum flokki gæti tengst kóðum atvinnugreinaflokkunar Evrópusambandsins C27.2 og E38.32 í samræmi við atvinnugreinaflokkunina sem komið var á með reglugerð (EB) nr. 1893/2006.</w:t>
      </w:r>
    </w:p>
    <w:p w14:paraId="20CCFBD1" w14:textId="77777777" w:rsidR="007E0724" w:rsidRDefault="00C4775C">
      <w:pPr>
        <w:pStyle w:val="AnnexNormal"/>
        <w:spacing w:after="26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72E5391F" w14:textId="77777777" w:rsidR="007E0724" w:rsidRDefault="00C4775C">
      <w:pPr>
        <w:pStyle w:val="AnnexGrSeq3"/>
        <w:spacing w:after="260"/>
        <w:ind w:left="500"/>
        <w:jc w:val="left"/>
      </w:pPr>
      <w:r>
        <w:rPr>
          <w:i/>
        </w:rPr>
        <w:t>Tæknileg matsviðmið</w:t>
      </w:r>
    </w:p>
    <w:tbl>
      <w:tblPr>
        <w:tblStyle w:val="EFTATable"/>
        <w:tblW w:w="8780" w:type="dxa"/>
        <w:tblInd w:w="500" w:type="dxa"/>
        <w:tblLayout w:type="fixed"/>
        <w:tblLook w:val="04A0" w:firstRow="1" w:lastRow="0" w:firstColumn="1" w:lastColumn="0" w:noHBand="0" w:noVBand="1"/>
      </w:tblPr>
      <w:tblGrid>
        <w:gridCol w:w="2780"/>
        <w:gridCol w:w="6000"/>
      </w:tblGrid>
      <w:tr w:rsidR="007E0724" w14:paraId="02A7CBF0" w14:textId="77777777">
        <w:trPr>
          <w:trHeight w:val="240"/>
        </w:trPr>
        <w:tc>
          <w:tcPr>
            <w:tcW w:w="8780" w:type="dxa"/>
            <w:gridSpan w:val="2"/>
            <w:tcBorders>
              <w:bottom w:val="single" w:sz="4" w:space="0" w:color="auto"/>
            </w:tcBorders>
            <w:tcMar>
              <w:top w:w="100" w:type="dxa"/>
              <w:left w:w="40" w:type="dxa"/>
              <w:bottom w:w="100" w:type="dxa"/>
              <w:right w:w="40" w:type="dxa"/>
            </w:tcMar>
          </w:tcPr>
          <w:p w14:paraId="5ECD3CF1"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1DC4F1EE" w14:textId="77777777">
        <w:trPr>
          <w:trHeight w:val="240"/>
        </w:trPr>
        <w:tc>
          <w:tcPr>
            <w:tcW w:w="8780" w:type="dxa"/>
            <w:gridSpan w:val="2"/>
            <w:tcBorders>
              <w:bottom w:val="nil"/>
            </w:tcBorders>
            <w:tcMar>
              <w:top w:w="100" w:type="dxa"/>
              <w:left w:w="40" w:type="dxa"/>
              <w:bottom w:w="100" w:type="dxa"/>
              <w:right w:w="40" w:type="dxa"/>
            </w:tcMar>
          </w:tcPr>
          <w:p w14:paraId="7A475641" w14:textId="77777777" w:rsidR="007E0724" w:rsidRDefault="00C4775C">
            <w:pPr>
              <w:pStyle w:val="AnnexTableCellLeft"/>
            </w:pPr>
            <w:r>
              <w:t xml:space="preserve">Með atvinnustarfseminni eru framleiddar </w:t>
            </w:r>
            <w:proofErr w:type="spellStart"/>
            <w:r>
              <w:t>endurhlaðanlegar</w:t>
            </w:r>
            <w:proofErr w:type="spellEnd"/>
            <w:r>
              <w:t xml:space="preserve"> rafhlöður, rafhlöðupakkar og rafgeymar (og tilheyrandi íhlutir), þ.m.t. úr endurunnum hráefnum, sem leiðir til verulegs samdráttar í losun gróðurhúsalofttegunda í flutningum, </w:t>
            </w:r>
            <w:r>
              <w:lastRenderedPageBreak/>
              <w:t>staðbundinni orkugeymslu og orkugeymslu utan dreifikerfis og annarri notkun í iðnaði.</w:t>
            </w:r>
          </w:p>
        </w:tc>
      </w:tr>
      <w:tr w:rsidR="007E0724" w14:paraId="407A6FB4" w14:textId="77777777">
        <w:trPr>
          <w:trHeight w:val="240"/>
        </w:trPr>
        <w:tc>
          <w:tcPr>
            <w:tcW w:w="8780" w:type="dxa"/>
            <w:gridSpan w:val="2"/>
            <w:tcBorders>
              <w:top w:val="nil"/>
            </w:tcBorders>
            <w:tcMar>
              <w:top w:w="100" w:type="dxa"/>
              <w:left w:w="0" w:type="dxa"/>
              <w:bottom w:w="100" w:type="dxa"/>
              <w:right w:w="0" w:type="dxa"/>
            </w:tcMar>
          </w:tcPr>
          <w:p w14:paraId="2781FAAC" w14:textId="77777777" w:rsidR="007E0724" w:rsidRDefault="00C4775C">
            <w:pPr>
              <w:pStyle w:val="AnnexTableCellLeft"/>
              <w:pageBreakBefore/>
            </w:pPr>
            <w:r>
              <w:lastRenderedPageBreak/>
              <w:t>Í atvinnustarfseminni eru endurunnar úr sér gengnar rafhlöður.</w:t>
            </w:r>
          </w:p>
        </w:tc>
      </w:tr>
      <w:tr w:rsidR="007E0724" w14:paraId="33AC1CDF" w14:textId="77777777">
        <w:trPr>
          <w:trHeight w:val="240"/>
        </w:trPr>
        <w:tc>
          <w:tcPr>
            <w:tcW w:w="8780" w:type="dxa"/>
            <w:gridSpan w:val="2"/>
            <w:tcMar>
              <w:top w:w="100" w:type="dxa"/>
              <w:left w:w="0" w:type="dxa"/>
              <w:bottom w:w="100" w:type="dxa"/>
              <w:right w:w="0" w:type="dxa"/>
            </w:tcMar>
          </w:tcPr>
          <w:p w14:paraId="341C105A" w14:textId="77777777" w:rsidR="007E0724" w:rsidRDefault="00C4775C">
            <w:pPr>
              <w:pStyle w:val="AnnexTableCellLeft"/>
            </w:pPr>
            <w:r>
              <w:t>Ekki valda umtalsverðu tjóni</w:t>
            </w:r>
          </w:p>
        </w:tc>
      </w:tr>
      <w:tr w:rsidR="007E0724" w14:paraId="5C1B9A1E" w14:textId="77777777">
        <w:trPr>
          <w:trHeight w:val="360"/>
        </w:trPr>
        <w:tc>
          <w:tcPr>
            <w:tcW w:w="2780" w:type="dxa"/>
            <w:tcMar>
              <w:top w:w="100" w:type="dxa"/>
              <w:left w:w="0" w:type="dxa"/>
              <w:bottom w:w="100" w:type="dxa"/>
              <w:right w:w="40" w:type="dxa"/>
            </w:tcMar>
          </w:tcPr>
          <w:p w14:paraId="6CDC581F" w14:textId="77777777" w:rsidR="007E0724" w:rsidRDefault="00C4775C">
            <w:pPr>
              <w:pStyle w:val="AnnexNumberedText"/>
              <w:ind w:left="293" w:hanging="293"/>
            </w:pPr>
            <w:r>
              <w:t>2)</w:t>
            </w:r>
            <w:r>
              <w:tab/>
              <w:t>Aðlögun að loftslagsbreytingum</w:t>
            </w:r>
          </w:p>
        </w:tc>
        <w:tc>
          <w:tcPr>
            <w:tcW w:w="6000" w:type="dxa"/>
            <w:tcMar>
              <w:top w:w="100" w:type="dxa"/>
              <w:left w:w="40" w:type="dxa"/>
              <w:bottom w:w="100" w:type="dxa"/>
              <w:right w:w="0" w:type="dxa"/>
            </w:tcMar>
          </w:tcPr>
          <w:p w14:paraId="5C2D978B" w14:textId="77777777" w:rsidR="007E0724" w:rsidRDefault="00C4775C">
            <w:pPr>
              <w:pStyle w:val="AnnexTableCellLeft"/>
            </w:pPr>
            <w:r>
              <w:t>Starfsemin er í samræmi við viðmiðanirnar sem settar eru fram í viðbæti A við þennan viðauka.</w:t>
            </w:r>
          </w:p>
        </w:tc>
      </w:tr>
      <w:tr w:rsidR="007E0724" w14:paraId="42AA47B3" w14:textId="77777777">
        <w:trPr>
          <w:trHeight w:val="360"/>
        </w:trPr>
        <w:tc>
          <w:tcPr>
            <w:tcW w:w="2780" w:type="dxa"/>
            <w:tcMar>
              <w:top w:w="100" w:type="dxa"/>
              <w:left w:w="0" w:type="dxa"/>
              <w:bottom w:w="100" w:type="dxa"/>
              <w:right w:w="40" w:type="dxa"/>
            </w:tcMar>
          </w:tcPr>
          <w:p w14:paraId="29F45CF2" w14:textId="77777777" w:rsidR="007E0724" w:rsidRDefault="00C4775C">
            <w:pPr>
              <w:pStyle w:val="AnnexNumberedText"/>
              <w:ind w:left="293" w:hanging="293"/>
            </w:pPr>
            <w:r>
              <w:t>3)</w:t>
            </w:r>
            <w:r>
              <w:tab/>
              <w:t>Sjálfbær notkun og verndun vatns- og sjávarauðlinda</w:t>
            </w:r>
          </w:p>
        </w:tc>
        <w:tc>
          <w:tcPr>
            <w:tcW w:w="6000" w:type="dxa"/>
            <w:tcMar>
              <w:top w:w="100" w:type="dxa"/>
              <w:left w:w="40" w:type="dxa"/>
              <w:bottom w:w="100" w:type="dxa"/>
              <w:right w:w="0" w:type="dxa"/>
            </w:tcMar>
          </w:tcPr>
          <w:p w14:paraId="1E9E86E8" w14:textId="77777777" w:rsidR="007E0724" w:rsidRDefault="00C4775C">
            <w:pPr>
              <w:pStyle w:val="AnnexTableCellLeft"/>
            </w:pPr>
            <w:r>
              <w:t>Starfsemin er í samræmi við viðmiðanirnar sem settar eru fram í viðbæti B við þennan viðauka.</w:t>
            </w:r>
          </w:p>
        </w:tc>
      </w:tr>
      <w:tr w:rsidR="007E0724" w14:paraId="25BCD5ED" w14:textId="77777777">
        <w:trPr>
          <w:trHeight w:val="360"/>
        </w:trPr>
        <w:tc>
          <w:tcPr>
            <w:tcW w:w="2780" w:type="dxa"/>
            <w:tcMar>
              <w:top w:w="100" w:type="dxa"/>
              <w:left w:w="0" w:type="dxa"/>
              <w:bottom w:w="100" w:type="dxa"/>
              <w:right w:w="40" w:type="dxa"/>
            </w:tcMar>
          </w:tcPr>
          <w:p w14:paraId="198D7A91" w14:textId="77777777" w:rsidR="007E0724" w:rsidRDefault="00C4775C">
            <w:pPr>
              <w:pStyle w:val="AnnexNumberedText"/>
              <w:ind w:left="293" w:hanging="293"/>
            </w:pPr>
            <w:r>
              <w:t>4)</w:t>
            </w:r>
            <w:r>
              <w:tab/>
              <w:t>Umskipti yfir í hringrásarhagkerfi</w:t>
            </w:r>
          </w:p>
        </w:tc>
        <w:tc>
          <w:tcPr>
            <w:tcW w:w="6000" w:type="dxa"/>
            <w:tcMar>
              <w:top w:w="100" w:type="dxa"/>
              <w:left w:w="40" w:type="dxa"/>
              <w:bottom w:w="100" w:type="dxa"/>
              <w:right w:w="0" w:type="dxa"/>
            </w:tcMar>
          </w:tcPr>
          <w:p w14:paraId="63A3CCAA" w14:textId="77777777" w:rsidR="007E0724" w:rsidRDefault="00C4775C">
            <w:pPr>
              <w:pStyle w:val="AnnexTableCellLeft"/>
              <w:spacing w:after="200"/>
              <w:rPr>
                <w:szCs w:val="18"/>
              </w:rPr>
            </w:pPr>
            <w:r>
              <w:t>Að því er varðar framleiðslu á nýjum rafhlöðum, íhlutum og efni er í starfseminni lagt mat á tiltækileika og, ef það er gerlegt, tekin upp tækni sem styður:</w:t>
            </w:r>
          </w:p>
          <w:p w14:paraId="1DEF743F" w14:textId="77777777" w:rsidR="007E0724" w:rsidRDefault="00C4775C">
            <w:pPr>
              <w:pStyle w:val="AnnexNumberedText"/>
              <w:spacing w:after="200"/>
              <w:ind w:left="293" w:hanging="293"/>
              <w:rPr>
                <w:szCs w:val="18"/>
              </w:rPr>
            </w:pPr>
            <w:r>
              <w:t>a)</w:t>
            </w:r>
            <w:r>
              <w:tab/>
              <w:t>endurnotkun og notkun á endurunnum hráefnum og endurnotuðum íhlutum í framleiðslu á vörum,</w:t>
            </w:r>
          </w:p>
          <w:p w14:paraId="064B4A3D" w14:textId="77777777" w:rsidR="007E0724" w:rsidRDefault="00C4775C">
            <w:pPr>
              <w:pStyle w:val="AnnexNumberedText"/>
              <w:spacing w:after="200"/>
              <w:ind w:left="293" w:hanging="293"/>
              <w:rPr>
                <w:szCs w:val="18"/>
              </w:rPr>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116BC63A" w14:textId="77777777" w:rsidR="007E0724" w:rsidRDefault="00C4775C">
            <w:pPr>
              <w:pStyle w:val="AnnexNumberedText"/>
              <w:spacing w:after="200"/>
              <w:ind w:left="293" w:hanging="293"/>
              <w:rPr>
                <w:szCs w:val="18"/>
              </w:rPr>
            </w:pPr>
            <w:r>
              <w:t>c)</w:t>
            </w:r>
            <w:r>
              <w:tab/>
              <w:t>upplýsingar um og rekjanleika efna sem gefa tilefni til áhyggna á öllum vistferli framleiddra vara.</w:t>
            </w:r>
          </w:p>
          <w:p w14:paraId="6EA05E28" w14:textId="77777777" w:rsidR="007E0724" w:rsidRDefault="00C4775C">
            <w:pPr>
              <w:pStyle w:val="AnnexTableCellLeft"/>
              <w:spacing w:after="200"/>
              <w:rPr>
                <w:szCs w:val="18"/>
              </w:rPr>
            </w:pPr>
            <w:r>
              <w:t>Endurvinnsluferli uppfylla skilyrðin sem sett eru fram í 12. gr. tilskipunar Evrópuþingsins og ráðsins 2006/66/EB (</w:t>
            </w:r>
            <w:r>
              <w:rPr>
                <w:rStyle w:val="Tilvsunneanmlsgrein"/>
                <w:sz w:val="18"/>
                <w:szCs w:val="18"/>
              </w:rPr>
              <w:footnoteReference w:id="106"/>
            </w:r>
            <w:r>
              <w:t xml:space="preserve">) og í B hluta III. viðauka við þá tilskipun, þ.m.t. um notkun nýjustu viðeigandi bestu aðgengilegu tækni, um að ná þeirri </w:t>
            </w:r>
            <w:proofErr w:type="spellStart"/>
            <w:r>
              <w:t>nýtni</w:t>
            </w:r>
            <w:proofErr w:type="spellEnd"/>
            <w:r>
              <w:t xml:space="preserve"> sem er tilgreind fyrir blýrafhlöður, </w:t>
            </w:r>
            <w:proofErr w:type="spellStart"/>
            <w:r>
              <w:t>nikkelkadmíumrafhlöður</w:t>
            </w:r>
            <w:proofErr w:type="spellEnd"/>
            <w:r>
              <w:t xml:space="preserve"> og fyrir önnur </w:t>
            </w:r>
            <w:proofErr w:type="spellStart"/>
            <w:r>
              <w:t>íðefni</w:t>
            </w:r>
            <w:proofErr w:type="spellEnd"/>
            <w:r>
              <w:t>. Með þessum ferlum er endurvinnsla málminnihaldsins tryggð að svo miklu leyti sem er tæknilega mögulegt jafnframt því að komist er hjá óhóflegum kostnaði.</w:t>
            </w:r>
          </w:p>
          <w:p w14:paraId="1949227D" w14:textId="77777777" w:rsidR="007E0724" w:rsidRDefault="00C4775C">
            <w:pPr>
              <w:pStyle w:val="AnnexTableCellLeft"/>
              <w:spacing w:after="200"/>
              <w:rPr>
                <w:szCs w:val="18"/>
              </w:rPr>
            </w:pPr>
            <w:r>
              <w:t>Eftir atvikum uppfyllir aðstaða til að framkvæma endurvinnsluferli kröfurnar sem mælt er fyrir um í tilskipun Evrópuþingsins og ráðsins 2010/75/ESB (</w:t>
            </w:r>
            <w:r>
              <w:rPr>
                <w:rStyle w:val="Tilvsunneanmlsgrein"/>
                <w:sz w:val="18"/>
                <w:szCs w:val="18"/>
              </w:rPr>
              <w:footnoteReference w:id="107"/>
            </w:r>
            <w:r>
              <w:t>).</w:t>
            </w:r>
          </w:p>
        </w:tc>
      </w:tr>
      <w:tr w:rsidR="007E0724" w14:paraId="3B7A073A" w14:textId="77777777">
        <w:trPr>
          <w:trHeight w:val="360"/>
        </w:trPr>
        <w:tc>
          <w:tcPr>
            <w:tcW w:w="2780" w:type="dxa"/>
            <w:tcMar>
              <w:top w:w="100" w:type="dxa"/>
              <w:left w:w="0" w:type="dxa"/>
              <w:bottom w:w="100" w:type="dxa"/>
              <w:right w:w="40" w:type="dxa"/>
            </w:tcMar>
          </w:tcPr>
          <w:p w14:paraId="5867A7A2" w14:textId="77777777" w:rsidR="007E0724" w:rsidRDefault="00C4775C">
            <w:pPr>
              <w:pStyle w:val="AnnexNumberedText"/>
              <w:ind w:left="293" w:hanging="293"/>
            </w:pPr>
            <w:r>
              <w:t>5)</w:t>
            </w:r>
            <w:r>
              <w:tab/>
              <w:t>Mengunarvarnir og eftirlit með mengun</w:t>
            </w:r>
          </w:p>
        </w:tc>
        <w:tc>
          <w:tcPr>
            <w:tcW w:w="6000" w:type="dxa"/>
            <w:tcMar>
              <w:top w:w="100" w:type="dxa"/>
              <w:left w:w="40" w:type="dxa"/>
              <w:bottom w:w="100" w:type="dxa"/>
              <w:right w:w="0" w:type="dxa"/>
            </w:tcMar>
          </w:tcPr>
          <w:p w14:paraId="1B96D715" w14:textId="77777777" w:rsidR="007E0724" w:rsidRDefault="00C4775C">
            <w:pPr>
              <w:pStyle w:val="AnnexTableCellLeft"/>
              <w:spacing w:after="200"/>
              <w:rPr>
                <w:szCs w:val="18"/>
              </w:rPr>
            </w:pPr>
            <w:r>
              <w:t>Starfsemin er í samræmi við viðmiðanirnar sem settar eru fram í viðbæti C við þennan viðauka.</w:t>
            </w:r>
          </w:p>
          <w:p w14:paraId="04C60352" w14:textId="77777777" w:rsidR="007E0724" w:rsidRDefault="00C4775C">
            <w:pPr>
              <w:pStyle w:val="AnnexTableCellLeft"/>
              <w:rPr>
                <w:szCs w:val="18"/>
              </w:rPr>
            </w:pPr>
            <w:r>
              <w:t>Rafhlöðurnar eru í samræmi við gildandi reglur um sjálfbærni varðandi setningu rafhlaðna á markað í Sambandinu, þ.m.t. takmarkanir á notkun hættulegra efna í rafhlöður, þ.m.t. reglugerð Evrópuþingsins og ráðsins (EB) nr. 1907/2006 (</w:t>
            </w:r>
            <w:r>
              <w:rPr>
                <w:rStyle w:val="Tilvsunneanmlsgrein"/>
                <w:sz w:val="18"/>
                <w:szCs w:val="18"/>
              </w:rPr>
              <w:footnoteReference w:id="108"/>
            </w:r>
            <w:r>
              <w:t>) og tilskipun 2006/66/EB.</w:t>
            </w:r>
          </w:p>
        </w:tc>
      </w:tr>
      <w:tr w:rsidR="007E0724" w14:paraId="05923DA7" w14:textId="77777777">
        <w:trPr>
          <w:trHeight w:val="360"/>
        </w:trPr>
        <w:tc>
          <w:tcPr>
            <w:tcW w:w="2780" w:type="dxa"/>
            <w:tcMar>
              <w:top w:w="100" w:type="dxa"/>
              <w:left w:w="0" w:type="dxa"/>
              <w:bottom w:w="100" w:type="dxa"/>
              <w:right w:w="40" w:type="dxa"/>
            </w:tcMar>
          </w:tcPr>
          <w:p w14:paraId="53741CE0" w14:textId="77777777" w:rsidR="007E0724" w:rsidRDefault="00C4775C">
            <w:pPr>
              <w:pStyle w:val="AnnexNumberedText"/>
              <w:ind w:left="293" w:hanging="293"/>
            </w:pPr>
            <w:r>
              <w:t>6)</w:t>
            </w:r>
            <w:r>
              <w:tab/>
              <w:t>Vernd og endurheimt líffræðilegrar fjölbreytni og vistkerfa</w:t>
            </w:r>
          </w:p>
        </w:tc>
        <w:tc>
          <w:tcPr>
            <w:tcW w:w="6000" w:type="dxa"/>
            <w:tcMar>
              <w:top w:w="100" w:type="dxa"/>
              <w:left w:w="40" w:type="dxa"/>
              <w:bottom w:w="100" w:type="dxa"/>
              <w:right w:w="0" w:type="dxa"/>
            </w:tcMar>
          </w:tcPr>
          <w:p w14:paraId="2884B14A" w14:textId="77777777" w:rsidR="007E0724" w:rsidRDefault="00C4775C">
            <w:pPr>
              <w:pStyle w:val="AnnexTableCellLeft"/>
            </w:pPr>
            <w:r>
              <w:t>Starfsemin er í samræmi við viðmiðanirnar sem settar eru fram í viðbæti D við þennan viðauka.</w:t>
            </w:r>
          </w:p>
        </w:tc>
      </w:tr>
    </w:tbl>
    <w:p w14:paraId="5653D402" w14:textId="77777777" w:rsidR="007E0724" w:rsidRDefault="00C4775C">
      <w:pPr>
        <w:pStyle w:val="AnnexNumberedText"/>
        <w:spacing w:before="200" w:after="240"/>
        <w:ind w:left="500" w:hanging="500"/>
      </w:pPr>
      <w:r>
        <w:t>3.5.</w:t>
      </w:r>
      <w:r>
        <w:rPr>
          <w:b/>
        </w:rPr>
        <w:tab/>
        <w:t xml:space="preserve">Framleiðsla á </w:t>
      </w:r>
      <w:proofErr w:type="spellStart"/>
      <w:r>
        <w:rPr>
          <w:b/>
        </w:rPr>
        <w:t>orkunýtnum</w:t>
      </w:r>
      <w:proofErr w:type="spellEnd"/>
      <w:r>
        <w:rPr>
          <w:b/>
        </w:rPr>
        <w:t xml:space="preserve"> búnaði fyrir byggingar</w:t>
      </w:r>
    </w:p>
    <w:p w14:paraId="68F92E3C" w14:textId="77777777" w:rsidR="007E0724" w:rsidRDefault="00C4775C">
      <w:pPr>
        <w:pStyle w:val="AnnexGrSeq3"/>
        <w:spacing w:after="240"/>
        <w:ind w:left="500"/>
        <w:jc w:val="left"/>
      </w:pPr>
      <w:r>
        <w:rPr>
          <w:i/>
        </w:rPr>
        <w:t>Lýsing á starfseminni</w:t>
      </w:r>
    </w:p>
    <w:p w14:paraId="3A6FA803" w14:textId="77777777" w:rsidR="007E0724" w:rsidRDefault="00C4775C">
      <w:pPr>
        <w:pStyle w:val="AnnexNormal"/>
        <w:ind w:left="500"/>
        <w:jc w:val="left"/>
      </w:pPr>
      <w:r>
        <w:t xml:space="preserve">Framleiðsla á </w:t>
      </w:r>
      <w:proofErr w:type="spellStart"/>
      <w:r>
        <w:t>orkunýtnum</w:t>
      </w:r>
      <w:proofErr w:type="spellEnd"/>
      <w:r>
        <w:t xml:space="preserve"> búnaði fyrir byggingar</w:t>
      </w:r>
      <w:r>
        <w:br w:type="page"/>
      </w:r>
    </w:p>
    <w:p w14:paraId="688D4A5D" w14:textId="77777777" w:rsidR="007E0724" w:rsidRDefault="00C4775C">
      <w:pPr>
        <w:pStyle w:val="AnnexNormal"/>
        <w:ind w:left="500"/>
      </w:pPr>
      <w:r>
        <w:lastRenderedPageBreak/>
        <w:t>Atvinnustarfsemin í þessum flokki gæti tengst nokkrum kóðum atvinnugreinaflokkunar Evrópusambandsins, einkum C16.23, C23.11, C23.20, C23.31, C23.32, C23.43, C.23.61, C25.11, C25.12, C25.21, C25.29, C25.93, C27.31, C27.32, C27.33, C27.40, C27.51, C28.11, C28.12, C28.13, C28.14, í samræmi við atvinnugreinaflokkunina sem komið var á með reglugerð (EB) nr. 1893/2006.</w:t>
      </w:r>
    </w:p>
    <w:p w14:paraId="0F6AB25F" w14:textId="77777777" w:rsidR="007E0724" w:rsidRDefault="00C4775C">
      <w:pPr>
        <w:pStyle w:val="AnnexNormal"/>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0B499F29" w14:textId="77777777" w:rsidR="007E0724" w:rsidRDefault="00C4775C">
      <w:pPr>
        <w:pStyle w:val="AnnexGrSeq3"/>
        <w:ind w:left="500"/>
        <w:jc w:val="left"/>
      </w:pPr>
      <w:r>
        <w:rPr>
          <w:i/>
        </w:rPr>
        <w:t>Tæknileg matsviðmið</w:t>
      </w:r>
    </w:p>
    <w:tbl>
      <w:tblPr>
        <w:tblStyle w:val="EFTATable"/>
        <w:tblW w:w="8740" w:type="dxa"/>
        <w:tblInd w:w="500" w:type="dxa"/>
        <w:tblLayout w:type="fixed"/>
        <w:tblLook w:val="04A0" w:firstRow="1" w:lastRow="0" w:firstColumn="1" w:lastColumn="0" w:noHBand="0" w:noVBand="1"/>
      </w:tblPr>
      <w:tblGrid>
        <w:gridCol w:w="3457"/>
        <w:gridCol w:w="5283"/>
      </w:tblGrid>
      <w:tr w:rsidR="007E0724" w14:paraId="170BC7FA" w14:textId="77777777">
        <w:trPr>
          <w:trHeight w:val="240"/>
        </w:trPr>
        <w:tc>
          <w:tcPr>
            <w:tcW w:w="8740" w:type="dxa"/>
            <w:gridSpan w:val="2"/>
            <w:tcMar>
              <w:top w:w="100" w:type="dxa"/>
              <w:left w:w="0" w:type="dxa"/>
              <w:bottom w:w="100" w:type="dxa"/>
              <w:right w:w="0" w:type="dxa"/>
            </w:tcMar>
          </w:tcPr>
          <w:p w14:paraId="226BA7A9"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3CBED10C" w14:textId="77777777">
        <w:trPr>
          <w:trHeight w:val="360"/>
        </w:trPr>
        <w:tc>
          <w:tcPr>
            <w:tcW w:w="8740" w:type="dxa"/>
            <w:gridSpan w:val="2"/>
            <w:tcMar>
              <w:top w:w="100" w:type="dxa"/>
              <w:left w:w="0" w:type="dxa"/>
              <w:bottom w:w="100" w:type="dxa"/>
              <w:right w:w="0" w:type="dxa"/>
            </w:tcMar>
          </w:tcPr>
          <w:p w14:paraId="3A038388" w14:textId="77777777" w:rsidR="007E0724" w:rsidRDefault="00C4775C">
            <w:pPr>
              <w:pStyle w:val="AnnexTableCellLeft"/>
              <w:spacing w:after="140"/>
              <w:rPr>
                <w:szCs w:val="18"/>
              </w:rPr>
            </w:pPr>
            <w:r>
              <w:t>Með atvinnustarfseminni er framleidd ein eða fleiri af eftirfarandi vörum og mikilvægir íhlutir þeirra (</w:t>
            </w:r>
            <w:r>
              <w:rPr>
                <w:rStyle w:val="Tilvsunneanmlsgrein"/>
                <w:sz w:val="18"/>
                <w:szCs w:val="18"/>
              </w:rPr>
              <w:footnoteReference w:id="109"/>
            </w:r>
            <w:r>
              <w:t>):</w:t>
            </w:r>
          </w:p>
          <w:p w14:paraId="33D9DDB6" w14:textId="77777777" w:rsidR="007E0724" w:rsidRDefault="00C4775C">
            <w:pPr>
              <w:pStyle w:val="AnnexNumberedText"/>
              <w:spacing w:after="140"/>
              <w:rPr>
                <w:szCs w:val="18"/>
              </w:rPr>
            </w:pPr>
            <w:r>
              <w:t>a)</w:t>
            </w:r>
            <w:r>
              <w:tab/>
              <w:t>gluggar með U-gildi ≤ 1,0 W/m</w:t>
            </w:r>
            <w:r>
              <w:rPr>
                <w:vertAlign w:val="superscript"/>
              </w:rPr>
              <w:t>2</w:t>
            </w:r>
            <w:r>
              <w:t>K,</w:t>
            </w:r>
          </w:p>
          <w:p w14:paraId="481B58C6" w14:textId="77777777" w:rsidR="007E0724" w:rsidRDefault="00C4775C">
            <w:pPr>
              <w:pStyle w:val="AnnexNumberedText"/>
              <w:spacing w:after="140"/>
              <w:rPr>
                <w:szCs w:val="18"/>
              </w:rPr>
            </w:pPr>
            <w:r>
              <w:t>b)</w:t>
            </w:r>
            <w:r>
              <w:tab/>
              <w:t>dyr með U-gildi ≤ 1,2 W/m</w:t>
            </w:r>
            <w:r>
              <w:rPr>
                <w:vertAlign w:val="superscript"/>
              </w:rPr>
              <w:t>2</w:t>
            </w:r>
            <w:r>
              <w:t>K,</w:t>
            </w:r>
          </w:p>
          <w:p w14:paraId="5C296C9C" w14:textId="77777777" w:rsidR="007E0724" w:rsidRDefault="00C4775C">
            <w:pPr>
              <w:pStyle w:val="AnnexNumberedText"/>
              <w:spacing w:after="140"/>
              <w:rPr>
                <w:szCs w:val="18"/>
              </w:rPr>
            </w:pPr>
            <w:r>
              <w:t>c)</w:t>
            </w:r>
            <w:r>
              <w:tab/>
              <w:t>útveggjakerfi með U-gildi ≤ 0,5 W/m</w:t>
            </w:r>
            <w:r>
              <w:rPr>
                <w:vertAlign w:val="superscript"/>
              </w:rPr>
              <w:t>2</w:t>
            </w:r>
            <w:r>
              <w:t>K,</w:t>
            </w:r>
          </w:p>
          <w:p w14:paraId="3C387DDB" w14:textId="77777777" w:rsidR="007E0724" w:rsidRDefault="00C4775C">
            <w:pPr>
              <w:pStyle w:val="AnnexNumberedText"/>
              <w:spacing w:after="140"/>
              <w:rPr>
                <w:szCs w:val="18"/>
              </w:rPr>
            </w:pPr>
            <w:r>
              <w:t>d)</w:t>
            </w:r>
            <w:r>
              <w:tab/>
              <w:t>þaklagnakerfi með U-gildi ≤ 0,3 W/m</w:t>
            </w:r>
            <w:r>
              <w:rPr>
                <w:vertAlign w:val="superscript"/>
              </w:rPr>
              <w:t>2</w:t>
            </w:r>
            <w:r>
              <w:t>K,</w:t>
            </w:r>
          </w:p>
          <w:p w14:paraId="5E410496" w14:textId="77777777" w:rsidR="007E0724" w:rsidRDefault="00C4775C">
            <w:pPr>
              <w:pStyle w:val="AnnexNumberedText"/>
              <w:spacing w:after="140"/>
              <w:rPr>
                <w:szCs w:val="18"/>
              </w:rPr>
            </w:pPr>
            <w:r>
              <w:t>e)</w:t>
            </w:r>
            <w:r>
              <w:tab/>
              <w:t xml:space="preserve">einangrunarvörur með </w:t>
            </w:r>
            <w:proofErr w:type="spellStart"/>
            <w:r>
              <w:t>lambda</w:t>
            </w:r>
            <w:proofErr w:type="spellEnd"/>
            <w:r>
              <w:t>-gildi ≤ 0,06 W/</w:t>
            </w:r>
            <w:proofErr w:type="spellStart"/>
            <w:r>
              <w:t>mK</w:t>
            </w:r>
            <w:proofErr w:type="spellEnd"/>
            <w:r>
              <w:t>,</w:t>
            </w:r>
          </w:p>
          <w:p w14:paraId="7F59DA03" w14:textId="77777777" w:rsidR="007E0724" w:rsidRDefault="00C4775C">
            <w:pPr>
              <w:pStyle w:val="AnnexNumberedText"/>
              <w:spacing w:after="140"/>
            </w:pPr>
            <w:r>
              <w:t>f)</w:t>
            </w:r>
            <w:r>
              <w:tab/>
              <w:t xml:space="preserve">heimilistæki sem falla undir tvo hæstu </w:t>
            </w:r>
            <w:proofErr w:type="spellStart"/>
            <w:r>
              <w:t>orkunýtniflokkana</w:t>
            </w:r>
            <w:proofErr w:type="spellEnd"/>
            <w:r>
              <w:t xml:space="preserve"> sem eru í notkun í samræmi við reglugerð Evrópuþingsins og ráðsins (ESB) 2017/1369 (</w:t>
            </w:r>
            <w:r>
              <w:rPr>
                <w:rStyle w:val="Tilvsunneanmlsgrein"/>
                <w:sz w:val="18"/>
                <w:szCs w:val="18"/>
              </w:rPr>
              <w:footnoteReference w:id="110"/>
            </w:r>
            <w:r>
              <w:t>) og framseldar gerðir sem samþykktar voru samkvæmt þeirri reglugerð,</w:t>
            </w:r>
          </w:p>
          <w:p w14:paraId="350D9808" w14:textId="77777777" w:rsidR="007E0724" w:rsidRDefault="00C4775C">
            <w:pPr>
              <w:pStyle w:val="AnnexNumberedText"/>
              <w:spacing w:after="140"/>
            </w:pPr>
            <w:r>
              <w:t>g)</w:t>
            </w:r>
            <w:r>
              <w:tab/>
              <w:t xml:space="preserve">ljósgjafar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p>
          <w:p w14:paraId="658E36F5" w14:textId="77777777" w:rsidR="007E0724" w:rsidRDefault="00C4775C">
            <w:pPr>
              <w:pStyle w:val="AnnexNumberedText"/>
              <w:spacing w:after="140"/>
            </w:pPr>
            <w:r>
              <w:t>h)</w:t>
            </w:r>
            <w:r>
              <w:tab/>
            </w:r>
            <w:proofErr w:type="spellStart"/>
            <w:r>
              <w:t>rýmishitunar</w:t>
            </w:r>
            <w:proofErr w:type="spellEnd"/>
            <w:r>
              <w:t xml:space="preserve">- og heitavatnskerfi til heimilisnota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p>
          <w:p w14:paraId="1BDF3CDB" w14:textId="77777777" w:rsidR="007E0724" w:rsidRDefault="00C4775C">
            <w:pPr>
              <w:pStyle w:val="AnnexNumberedText"/>
              <w:spacing w:after="140"/>
            </w:pPr>
            <w:r>
              <w:t>i)</w:t>
            </w:r>
            <w:r>
              <w:tab/>
              <w:t xml:space="preserve">kæli- og </w:t>
            </w:r>
            <w:proofErr w:type="spellStart"/>
            <w:r>
              <w:t>loftræstikerfi</w:t>
            </w:r>
            <w:proofErr w:type="spellEnd"/>
            <w:r>
              <w:t xml:space="preserve">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p>
          <w:p w14:paraId="5E2E6DF5" w14:textId="77777777" w:rsidR="007E0724" w:rsidRDefault="00C4775C">
            <w:pPr>
              <w:pStyle w:val="AnnexNumberedText"/>
              <w:spacing w:after="140"/>
            </w:pPr>
            <w:r>
              <w:t>j)</w:t>
            </w:r>
            <w:r>
              <w:tab/>
              <w:t>hreyfistýringar og dagsbirtustýringar fyrir lýsingarkerfi,</w:t>
            </w:r>
          </w:p>
          <w:p w14:paraId="363D2606" w14:textId="77777777" w:rsidR="007E0724" w:rsidRDefault="00C4775C">
            <w:pPr>
              <w:pStyle w:val="AnnexNumberedText"/>
              <w:spacing w:after="140"/>
            </w:pPr>
            <w:r>
              <w:t>k)</w:t>
            </w:r>
            <w:r>
              <w:tab/>
              <w:t>varmadælur sem eru í samræmi við tæknilegu matsviðmiðin sem sett eru fram í þætti 4.16 í þessum viðauka,</w:t>
            </w:r>
          </w:p>
          <w:p w14:paraId="62E87BBC" w14:textId="77777777" w:rsidR="007E0724" w:rsidRDefault="00C4775C">
            <w:pPr>
              <w:pStyle w:val="AnnexNumberedText"/>
              <w:spacing w:after="140"/>
            </w:pPr>
            <w:r>
              <w:t>l)</w:t>
            </w:r>
            <w:r>
              <w:tab/>
              <w:t>útveggja- og þaklagnaeiningar með sóltjaldi eða sólarstýringu, þ.m.t. þær sem stuðla að gróðurvexti,</w:t>
            </w:r>
          </w:p>
          <w:p w14:paraId="0BDFC70C" w14:textId="77777777" w:rsidR="007E0724" w:rsidRDefault="00C4775C">
            <w:pPr>
              <w:pStyle w:val="AnnexNumberedText"/>
              <w:spacing w:after="140"/>
            </w:pPr>
            <w:r>
              <w:t>m)</w:t>
            </w:r>
            <w:r>
              <w:tab/>
            </w:r>
            <w:proofErr w:type="spellStart"/>
            <w:r>
              <w:t>orkunýtin</w:t>
            </w:r>
            <w:proofErr w:type="spellEnd"/>
            <w:r>
              <w:t xml:space="preserve"> sjálfvirk kerfi og stýrikerfi bygginga fyrir íbúðarhúsnæði og aðrar byggingar en íbúðarhúsnæði,</w:t>
            </w:r>
          </w:p>
          <w:p w14:paraId="22E3D27B" w14:textId="77777777" w:rsidR="007E0724" w:rsidRDefault="00C4775C">
            <w:pPr>
              <w:pStyle w:val="AnnexNumberedText"/>
              <w:spacing w:after="140"/>
            </w:pPr>
            <w:r>
              <w:t>n)</w:t>
            </w:r>
            <w:r>
              <w:tab/>
              <w:t xml:space="preserve">svæðaskiptir </w:t>
            </w:r>
            <w:proofErr w:type="spellStart"/>
            <w:r>
              <w:t>hitastillar</w:t>
            </w:r>
            <w:proofErr w:type="spellEnd"/>
            <w:r>
              <w:t xml:space="preserve"> og tæki fyrir </w:t>
            </w:r>
            <w:proofErr w:type="spellStart"/>
            <w:r>
              <w:t>snjallvöktun</w:t>
            </w:r>
            <w:proofErr w:type="spellEnd"/>
            <w:r>
              <w:t xml:space="preserve"> á helsta rafmagns- eða hitaálagi fyrir byggingar og skynjarabúnaður,</w:t>
            </w:r>
          </w:p>
          <w:p w14:paraId="190E783A" w14:textId="77777777" w:rsidR="007E0724" w:rsidRDefault="00C4775C">
            <w:pPr>
              <w:pStyle w:val="AnnexNumberedText"/>
              <w:spacing w:after="140"/>
            </w:pPr>
            <w:r>
              <w:t>o)</w:t>
            </w:r>
            <w:r>
              <w:tab/>
              <w:t xml:space="preserve">vörur til hitamælinga og hitastýringa fyrir einstök heimili sem eru tengd við </w:t>
            </w:r>
            <w:proofErr w:type="spellStart"/>
            <w:r>
              <w:t>fjarhitunarkerfi</w:t>
            </w:r>
            <w:proofErr w:type="spellEnd"/>
            <w:r>
              <w:t xml:space="preserve">, fyrir einstakar íbúðir sem eru tengdar við </w:t>
            </w:r>
            <w:proofErr w:type="spellStart"/>
            <w:r>
              <w:t>miðstöðvarhitunarkerfi</w:t>
            </w:r>
            <w:proofErr w:type="spellEnd"/>
            <w:r>
              <w:t xml:space="preserve"> sem þjóna heilli byggingu og fyrir </w:t>
            </w:r>
            <w:proofErr w:type="spellStart"/>
            <w:r>
              <w:t>miðstöðvarhitunarkerfi</w:t>
            </w:r>
            <w:proofErr w:type="spellEnd"/>
            <w:r>
              <w:t>,</w:t>
            </w:r>
          </w:p>
          <w:p w14:paraId="5B26FDBE" w14:textId="77777777" w:rsidR="007E0724" w:rsidRDefault="00C4775C">
            <w:pPr>
              <w:pStyle w:val="AnnexNumberedText"/>
              <w:spacing w:after="140"/>
            </w:pPr>
            <w:r>
              <w:t>p)</w:t>
            </w:r>
            <w:r>
              <w:tab/>
            </w:r>
            <w:proofErr w:type="spellStart"/>
            <w:r>
              <w:t>fjarhitunarskipta</w:t>
            </w:r>
            <w:proofErr w:type="spellEnd"/>
            <w:r>
              <w:t xml:space="preserve">- og </w:t>
            </w:r>
            <w:proofErr w:type="spellStart"/>
            <w:r>
              <w:t>aðveitustöðvar</w:t>
            </w:r>
            <w:proofErr w:type="spellEnd"/>
            <w:r>
              <w:t xml:space="preserve"> sem falla undir dreifingarstarfsemi fyrir </w:t>
            </w:r>
            <w:proofErr w:type="spellStart"/>
            <w:r>
              <w:t>fjarhitun</w:t>
            </w:r>
            <w:proofErr w:type="spellEnd"/>
            <w:r>
              <w:t>/-kælingu sem sett er fram í þætti 4.15 í þessum viðauka,</w:t>
            </w:r>
          </w:p>
          <w:p w14:paraId="01E15677" w14:textId="77777777" w:rsidR="007E0724" w:rsidRDefault="00C4775C">
            <w:pPr>
              <w:pStyle w:val="AnnexNumberedText"/>
            </w:pPr>
            <w:r>
              <w:t>q)</w:t>
            </w:r>
            <w:r>
              <w:tab/>
              <w:t xml:space="preserve">vörur til </w:t>
            </w:r>
            <w:proofErr w:type="spellStart"/>
            <w:r>
              <w:t>snjallvöktunar</w:t>
            </w:r>
            <w:proofErr w:type="spellEnd"/>
            <w:r>
              <w:t xml:space="preserve"> og -stjórnunar hitakerfa og skynjarabúnaður.</w:t>
            </w:r>
          </w:p>
        </w:tc>
      </w:tr>
      <w:tr w:rsidR="007E0724" w14:paraId="1C525DE7" w14:textId="77777777">
        <w:trPr>
          <w:trHeight w:val="240"/>
        </w:trPr>
        <w:tc>
          <w:tcPr>
            <w:tcW w:w="8740" w:type="dxa"/>
            <w:gridSpan w:val="2"/>
            <w:tcMar>
              <w:top w:w="100" w:type="dxa"/>
              <w:left w:w="0" w:type="dxa"/>
              <w:bottom w:w="100" w:type="dxa"/>
              <w:right w:w="0" w:type="dxa"/>
            </w:tcMar>
          </w:tcPr>
          <w:p w14:paraId="7F668D94" w14:textId="77777777" w:rsidR="007E0724" w:rsidRDefault="00C4775C">
            <w:pPr>
              <w:pStyle w:val="AnnexTableCellLeft"/>
            </w:pPr>
            <w:r>
              <w:t>Ekki valda umtalsverðu tjóni</w:t>
            </w:r>
          </w:p>
        </w:tc>
      </w:tr>
      <w:tr w:rsidR="007E0724" w14:paraId="101DE9B2" w14:textId="77777777">
        <w:trPr>
          <w:trHeight w:val="360"/>
        </w:trPr>
        <w:tc>
          <w:tcPr>
            <w:tcW w:w="3457" w:type="dxa"/>
            <w:tcMar>
              <w:top w:w="100" w:type="dxa"/>
              <w:left w:w="0" w:type="dxa"/>
              <w:bottom w:w="100" w:type="dxa"/>
              <w:right w:w="0" w:type="dxa"/>
            </w:tcMar>
          </w:tcPr>
          <w:p w14:paraId="1EE93991" w14:textId="77777777" w:rsidR="007E0724" w:rsidRDefault="00C4775C">
            <w:pPr>
              <w:pStyle w:val="AnnexNumberedText"/>
              <w:ind w:left="293" w:hanging="293"/>
            </w:pPr>
            <w:r>
              <w:t>2)</w:t>
            </w:r>
            <w:r>
              <w:tab/>
              <w:t>Aðlögun að loftslagsbreytingum</w:t>
            </w:r>
          </w:p>
        </w:tc>
        <w:tc>
          <w:tcPr>
            <w:tcW w:w="5283" w:type="dxa"/>
            <w:tcMar>
              <w:top w:w="100" w:type="dxa"/>
              <w:left w:w="0" w:type="dxa"/>
              <w:bottom w:w="100" w:type="dxa"/>
              <w:right w:w="0" w:type="dxa"/>
            </w:tcMar>
          </w:tcPr>
          <w:p w14:paraId="74523090" w14:textId="77777777" w:rsidR="007E0724" w:rsidRDefault="00C4775C">
            <w:pPr>
              <w:pStyle w:val="AnnexTableCellLeft"/>
              <w:ind w:left="40"/>
            </w:pPr>
            <w:r>
              <w:t>Starfsemin er í samræmi við viðmiðanirnar sem settar eru fram í viðbæti A við þennan viðauka.</w:t>
            </w:r>
          </w:p>
        </w:tc>
      </w:tr>
      <w:tr w:rsidR="007E0724" w14:paraId="54A4B37A" w14:textId="77777777">
        <w:trPr>
          <w:trHeight w:val="360"/>
        </w:trPr>
        <w:tc>
          <w:tcPr>
            <w:tcW w:w="3457" w:type="dxa"/>
            <w:tcMar>
              <w:top w:w="100" w:type="dxa"/>
              <w:left w:w="0" w:type="dxa"/>
              <w:bottom w:w="100" w:type="dxa"/>
              <w:right w:w="0" w:type="dxa"/>
            </w:tcMar>
          </w:tcPr>
          <w:p w14:paraId="669AFBFF" w14:textId="77777777" w:rsidR="007E0724" w:rsidRDefault="00C4775C">
            <w:pPr>
              <w:pStyle w:val="AnnexNumberedText"/>
              <w:pageBreakBefore/>
              <w:ind w:left="293" w:right="40" w:hanging="293"/>
            </w:pPr>
            <w:r>
              <w:lastRenderedPageBreak/>
              <w:t>3)</w:t>
            </w:r>
            <w:r>
              <w:tab/>
              <w:t>Sjálfbær notkun og verndun vatns- og sjávarauðlinda</w:t>
            </w:r>
          </w:p>
        </w:tc>
        <w:tc>
          <w:tcPr>
            <w:tcW w:w="5283" w:type="dxa"/>
            <w:tcMar>
              <w:top w:w="100" w:type="dxa"/>
              <w:left w:w="0" w:type="dxa"/>
              <w:bottom w:w="100" w:type="dxa"/>
              <w:right w:w="0" w:type="dxa"/>
            </w:tcMar>
          </w:tcPr>
          <w:p w14:paraId="62C25787" w14:textId="77777777" w:rsidR="007E0724" w:rsidRDefault="00C4775C">
            <w:pPr>
              <w:pStyle w:val="AnnexTableCellLeft"/>
              <w:ind w:left="40"/>
            </w:pPr>
            <w:r>
              <w:t>Starfsemin er í samræmi við viðmiðanirnar sem settar eru fram í viðbæti B við þennan viðauka.</w:t>
            </w:r>
          </w:p>
        </w:tc>
      </w:tr>
      <w:tr w:rsidR="007E0724" w14:paraId="53A9C541" w14:textId="77777777">
        <w:trPr>
          <w:trHeight w:val="360"/>
        </w:trPr>
        <w:tc>
          <w:tcPr>
            <w:tcW w:w="3457" w:type="dxa"/>
            <w:tcMar>
              <w:top w:w="100" w:type="dxa"/>
              <w:left w:w="0" w:type="dxa"/>
              <w:bottom w:w="100" w:type="dxa"/>
              <w:right w:w="0" w:type="dxa"/>
            </w:tcMar>
          </w:tcPr>
          <w:p w14:paraId="4D863C91" w14:textId="77777777" w:rsidR="007E0724" w:rsidRDefault="00C4775C">
            <w:pPr>
              <w:pStyle w:val="AnnexNumberedText"/>
              <w:ind w:left="293" w:right="40" w:hanging="293"/>
            </w:pPr>
            <w:r>
              <w:t>4)</w:t>
            </w:r>
            <w:r>
              <w:tab/>
              <w:t>Umskipti yfir í hringrásarhagkerfi</w:t>
            </w:r>
          </w:p>
        </w:tc>
        <w:tc>
          <w:tcPr>
            <w:tcW w:w="5283" w:type="dxa"/>
            <w:tcMar>
              <w:top w:w="100" w:type="dxa"/>
              <w:left w:w="0" w:type="dxa"/>
              <w:bottom w:w="100" w:type="dxa"/>
              <w:right w:w="0" w:type="dxa"/>
            </w:tcMar>
          </w:tcPr>
          <w:p w14:paraId="31CE5A12" w14:textId="77777777" w:rsidR="007E0724" w:rsidRDefault="00C4775C">
            <w:pPr>
              <w:pStyle w:val="AnnexTableCellLeft"/>
              <w:spacing w:after="200"/>
              <w:ind w:left="40"/>
            </w:pPr>
            <w:r>
              <w:t>Í starfseminni er lagt mat á tiltækileika og, ef það er gerlegt, tekin upp tækni sem styður:</w:t>
            </w:r>
          </w:p>
          <w:p w14:paraId="546244BF" w14:textId="77777777" w:rsidR="007E0724" w:rsidRDefault="00C4775C">
            <w:pPr>
              <w:pStyle w:val="AnnexNumberedText"/>
              <w:spacing w:after="200"/>
              <w:ind w:left="340"/>
            </w:pPr>
            <w:r>
              <w:t>a)</w:t>
            </w:r>
            <w:r>
              <w:tab/>
              <w:t>endurnotkun og notkun á endurunnum hráefnum og endurnotuðum íhlutum í framleiðslu á vörum,</w:t>
            </w:r>
          </w:p>
          <w:p w14:paraId="58F435EB" w14:textId="77777777" w:rsidR="007E0724" w:rsidRDefault="00C4775C">
            <w:pPr>
              <w:pStyle w:val="AnnexNumberedText"/>
              <w:spacing w:after="200"/>
              <w:ind w:left="340"/>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2BC54CBE" w14:textId="77777777" w:rsidR="007E0724" w:rsidRDefault="00C4775C">
            <w:pPr>
              <w:pStyle w:val="AnnexNumberedText"/>
              <w:spacing w:after="200"/>
              <w:ind w:left="340"/>
            </w:pPr>
            <w:r>
              <w:t>c)</w:t>
            </w:r>
            <w:r>
              <w:tab/>
              <w:t xml:space="preserve">úrgangsstjórnun þar sem endurvinnsla er sett í forgang fram yfir </w:t>
            </w:r>
            <w:proofErr w:type="spellStart"/>
            <w:r>
              <w:t>förgun</w:t>
            </w:r>
            <w:proofErr w:type="spellEnd"/>
            <w:r>
              <w:t xml:space="preserve"> í framleiðsluferlinu,</w:t>
            </w:r>
          </w:p>
          <w:p w14:paraId="4B1DDCBB" w14:textId="77777777" w:rsidR="007E0724" w:rsidRDefault="00C4775C">
            <w:pPr>
              <w:pStyle w:val="AnnexNumberedText"/>
              <w:ind w:left="340"/>
            </w:pPr>
            <w:r>
              <w:t>d)</w:t>
            </w:r>
            <w:r>
              <w:tab/>
              <w:t>upplýsingar um og rekjanleika efna sem gefa tilefni til áhyggna á öllum vistferli framleiddra vara.</w:t>
            </w:r>
          </w:p>
        </w:tc>
      </w:tr>
      <w:tr w:rsidR="007E0724" w14:paraId="3CF3A4D4" w14:textId="77777777">
        <w:trPr>
          <w:trHeight w:val="360"/>
        </w:trPr>
        <w:tc>
          <w:tcPr>
            <w:tcW w:w="3457" w:type="dxa"/>
            <w:tcMar>
              <w:top w:w="100" w:type="dxa"/>
              <w:left w:w="0" w:type="dxa"/>
              <w:bottom w:w="100" w:type="dxa"/>
              <w:right w:w="0" w:type="dxa"/>
            </w:tcMar>
          </w:tcPr>
          <w:p w14:paraId="330127DB" w14:textId="77777777" w:rsidR="007E0724" w:rsidRDefault="00C4775C">
            <w:pPr>
              <w:pStyle w:val="AnnexNumberedText"/>
              <w:ind w:left="293" w:right="40" w:hanging="293"/>
            </w:pPr>
            <w:r>
              <w:t>5)</w:t>
            </w:r>
            <w:r>
              <w:tab/>
              <w:t>Mengunarvarnir og eftirlit með mengun</w:t>
            </w:r>
          </w:p>
        </w:tc>
        <w:tc>
          <w:tcPr>
            <w:tcW w:w="5283" w:type="dxa"/>
            <w:tcMar>
              <w:top w:w="100" w:type="dxa"/>
              <w:left w:w="0" w:type="dxa"/>
              <w:bottom w:w="100" w:type="dxa"/>
              <w:right w:w="0" w:type="dxa"/>
            </w:tcMar>
          </w:tcPr>
          <w:p w14:paraId="4E62BCD9" w14:textId="77777777" w:rsidR="007E0724" w:rsidRDefault="00C4775C">
            <w:pPr>
              <w:pStyle w:val="AnnexTableCellLeft"/>
              <w:ind w:left="40"/>
            </w:pPr>
            <w:r>
              <w:t>Starfsemin er í samræmi við viðmiðanirnar sem settar eru fram í viðbæti C við þennan viðauka.</w:t>
            </w:r>
          </w:p>
        </w:tc>
      </w:tr>
      <w:tr w:rsidR="007E0724" w14:paraId="1EC98125" w14:textId="77777777">
        <w:trPr>
          <w:trHeight w:val="360"/>
        </w:trPr>
        <w:tc>
          <w:tcPr>
            <w:tcW w:w="3457" w:type="dxa"/>
            <w:tcMar>
              <w:top w:w="100" w:type="dxa"/>
              <w:left w:w="0" w:type="dxa"/>
              <w:bottom w:w="100" w:type="dxa"/>
              <w:right w:w="0" w:type="dxa"/>
            </w:tcMar>
          </w:tcPr>
          <w:p w14:paraId="6A07243E" w14:textId="77777777" w:rsidR="007E0724" w:rsidRDefault="00C4775C">
            <w:pPr>
              <w:pStyle w:val="AnnexNumberedText"/>
              <w:ind w:left="293" w:right="40" w:hanging="293"/>
            </w:pPr>
            <w:r>
              <w:t>6)</w:t>
            </w:r>
            <w:r>
              <w:tab/>
              <w:t>Vernd og endurheimt líffræðilegrar fjölbreytni og vistkerfa</w:t>
            </w:r>
          </w:p>
        </w:tc>
        <w:tc>
          <w:tcPr>
            <w:tcW w:w="5283" w:type="dxa"/>
            <w:tcMar>
              <w:top w:w="100" w:type="dxa"/>
              <w:left w:w="0" w:type="dxa"/>
              <w:bottom w:w="100" w:type="dxa"/>
              <w:right w:w="0" w:type="dxa"/>
            </w:tcMar>
          </w:tcPr>
          <w:p w14:paraId="2F064673" w14:textId="77777777" w:rsidR="007E0724" w:rsidRDefault="00C4775C">
            <w:pPr>
              <w:pStyle w:val="AnnexTableCellLeft"/>
              <w:ind w:left="40"/>
            </w:pPr>
            <w:r>
              <w:t>Starfsemin er í samræmi við viðmiðanirnar sem settar eru fram í viðbæti D við þennan viðauka.</w:t>
            </w:r>
          </w:p>
        </w:tc>
      </w:tr>
    </w:tbl>
    <w:p w14:paraId="336C3A57" w14:textId="77777777" w:rsidR="007E0724" w:rsidRDefault="00C4775C">
      <w:pPr>
        <w:pStyle w:val="AnnexNumberedText"/>
        <w:spacing w:before="200" w:after="200"/>
        <w:ind w:left="500" w:hanging="500"/>
      </w:pPr>
      <w:r>
        <w:t>3.6.</w:t>
      </w:r>
      <w:r>
        <w:rPr>
          <w:b/>
        </w:rPr>
        <w:tab/>
        <w:t>Framleiðsla á annarri lágkolefnistækni</w:t>
      </w:r>
    </w:p>
    <w:p w14:paraId="5A06E389" w14:textId="77777777" w:rsidR="007E0724" w:rsidRDefault="00C4775C">
      <w:pPr>
        <w:pStyle w:val="AnnexGrSeq3"/>
        <w:spacing w:after="300"/>
        <w:ind w:left="500"/>
        <w:jc w:val="left"/>
      </w:pPr>
      <w:r>
        <w:rPr>
          <w:i/>
        </w:rPr>
        <w:t>Lýsing á starfseminni</w:t>
      </w:r>
    </w:p>
    <w:p w14:paraId="5553E6FE" w14:textId="77777777" w:rsidR="007E0724" w:rsidRDefault="00C4775C">
      <w:pPr>
        <w:pStyle w:val="AnnexNormal"/>
        <w:spacing w:after="300"/>
        <w:ind w:left="500"/>
      </w:pPr>
      <w:r>
        <w:t>Framleiðsla á tækni sem miðar að verulegum samdrætti í losun gróðurhúsalofttegunda í öðrum greinum atvinnulífsins, ef ekki er fjallað um þessa tækni í þáttum 3.1 til 3.5 í þessum viðauka.</w:t>
      </w:r>
    </w:p>
    <w:p w14:paraId="0ED19184" w14:textId="77777777" w:rsidR="007E0724" w:rsidRDefault="00C4775C">
      <w:pPr>
        <w:pStyle w:val="AnnexNormal"/>
        <w:spacing w:after="300"/>
        <w:ind w:left="500"/>
      </w:pPr>
      <w:r>
        <w:t>Atvinnustarfsemin í þessum flokki gæti tengst nokkrum kóðum atvinnugreinaflokkunar Evrópusambandsins, einkum úr C22, C25, C26, C27 og C28, í samræmi við atvinnugreinaflokkunina sem komið var á með reglugerð (EB) nr. 1893/2006.</w:t>
      </w:r>
    </w:p>
    <w:p w14:paraId="18C8365E" w14:textId="77777777" w:rsidR="007E0724" w:rsidRDefault="00C4775C">
      <w:pPr>
        <w:pStyle w:val="AnnexNormal"/>
        <w:spacing w:after="30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53DA7D94" w14:textId="77777777" w:rsidR="007E0724" w:rsidRDefault="00C4775C">
      <w:pPr>
        <w:pStyle w:val="AnnexGrSeq3"/>
        <w:spacing w:after="300"/>
        <w:ind w:left="500"/>
        <w:jc w:val="both"/>
      </w:pPr>
      <w:r>
        <w:rPr>
          <w:i/>
        </w:rPr>
        <w:t>Tæknileg matsviðmið</w:t>
      </w:r>
    </w:p>
    <w:tbl>
      <w:tblPr>
        <w:tblStyle w:val="EFTATable"/>
        <w:tblW w:w="8740" w:type="dxa"/>
        <w:tblInd w:w="500" w:type="dxa"/>
        <w:tblLook w:val="04A0" w:firstRow="1" w:lastRow="0" w:firstColumn="1" w:lastColumn="0" w:noHBand="0" w:noVBand="1"/>
      </w:tblPr>
      <w:tblGrid>
        <w:gridCol w:w="2896"/>
        <w:gridCol w:w="5844"/>
      </w:tblGrid>
      <w:tr w:rsidR="007E0724" w14:paraId="11C83B77" w14:textId="77777777">
        <w:trPr>
          <w:trHeight w:val="240"/>
        </w:trPr>
        <w:tc>
          <w:tcPr>
            <w:tcW w:w="8740" w:type="dxa"/>
            <w:gridSpan w:val="2"/>
            <w:tcBorders>
              <w:bottom w:val="single" w:sz="4" w:space="0" w:color="auto"/>
            </w:tcBorders>
            <w:tcMar>
              <w:top w:w="100" w:type="dxa"/>
              <w:left w:w="0" w:type="dxa"/>
              <w:bottom w:w="100" w:type="dxa"/>
              <w:right w:w="0" w:type="dxa"/>
            </w:tcMar>
          </w:tcPr>
          <w:p w14:paraId="001070E9"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06D93EBC" w14:textId="77777777">
        <w:trPr>
          <w:trHeight w:val="240"/>
        </w:trPr>
        <w:tc>
          <w:tcPr>
            <w:tcW w:w="8740" w:type="dxa"/>
            <w:gridSpan w:val="2"/>
            <w:tcBorders>
              <w:bottom w:val="nil"/>
            </w:tcBorders>
            <w:tcMar>
              <w:top w:w="100" w:type="dxa"/>
              <w:left w:w="0" w:type="dxa"/>
              <w:bottom w:w="100" w:type="dxa"/>
              <w:right w:w="0" w:type="dxa"/>
            </w:tcMar>
          </w:tcPr>
          <w:p w14:paraId="499E0D23" w14:textId="77777777" w:rsidR="007E0724" w:rsidRDefault="00C4775C">
            <w:pPr>
              <w:pStyle w:val="AnnexTableCellLeft"/>
              <w:spacing w:after="200"/>
              <w:rPr>
                <w:szCs w:val="18"/>
              </w:rPr>
            </w:pPr>
            <w:r>
              <w:t>Með atvinnustarfseminni er framleidd tækni sem miðar að og sýnir fram á verulega minnkun á losun gróðurhúsalofttegunda á vistferlinum samanborið við annars konar tækni/vöru/lausn, sem skilar bestum árangri, sem er tiltæk á markaðnum.</w:t>
            </w:r>
          </w:p>
          <w:p w14:paraId="4F6AD518" w14:textId="77777777" w:rsidR="007E0724" w:rsidRDefault="00C4775C">
            <w:pPr>
              <w:pStyle w:val="AnnexTableCellLeft"/>
              <w:spacing w:after="200"/>
              <w:rPr>
                <w:szCs w:val="18"/>
              </w:rPr>
            </w:pPr>
            <w:r>
              <w:t>Minnkun á losun gróðurhúsalofttegunda á vistferlinum er reiknuð út með því að nota tilmæli framkvæmdastjórnarinnar 2013/179/ESB (</w:t>
            </w:r>
            <w:r>
              <w:rPr>
                <w:rStyle w:val="Tilvsunneanmlsgrein"/>
                <w:sz w:val="18"/>
                <w:szCs w:val="18"/>
              </w:rPr>
              <w:footnoteReference w:id="111"/>
            </w:r>
            <w:r>
              <w:t>) eða, að öðrum kosti, ISO 14067:2018 (</w:t>
            </w:r>
            <w:r>
              <w:rPr>
                <w:rStyle w:val="Tilvsunneanmlsgrein"/>
                <w:sz w:val="18"/>
                <w:szCs w:val="18"/>
              </w:rPr>
              <w:footnoteReference w:id="112"/>
            </w:r>
            <w:r>
              <w:t>) eða ISO 14064-1:2018 (</w:t>
            </w:r>
            <w:r>
              <w:rPr>
                <w:rStyle w:val="Tilvsunneanmlsgrein"/>
                <w:sz w:val="18"/>
                <w:szCs w:val="18"/>
              </w:rPr>
              <w:footnoteReference w:id="113"/>
            </w:r>
            <w:r>
              <w:t>).</w:t>
            </w:r>
          </w:p>
          <w:p w14:paraId="507DD821" w14:textId="77777777" w:rsidR="007E0724" w:rsidRDefault="00C4775C">
            <w:pPr>
              <w:pStyle w:val="AnnexTableCellLeft"/>
            </w:pPr>
            <w:r>
              <w:lastRenderedPageBreak/>
              <w:t>Óháður þriðji aðili sannprófar magngreinda minnkun á losun gróðurhúsalofttegunda á vistferlinum.</w:t>
            </w:r>
          </w:p>
        </w:tc>
      </w:tr>
      <w:tr w:rsidR="007E0724" w14:paraId="11F631C4" w14:textId="77777777">
        <w:trPr>
          <w:trHeight w:val="240"/>
        </w:trPr>
        <w:tc>
          <w:tcPr>
            <w:tcW w:w="8740" w:type="dxa"/>
            <w:gridSpan w:val="2"/>
            <w:tcBorders>
              <w:top w:val="single" w:sz="4" w:space="0" w:color="auto"/>
            </w:tcBorders>
            <w:tcMar>
              <w:top w:w="100" w:type="dxa"/>
              <w:left w:w="0" w:type="dxa"/>
              <w:bottom w:w="100" w:type="dxa"/>
              <w:right w:w="0" w:type="dxa"/>
            </w:tcMar>
          </w:tcPr>
          <w:p w14:paraId="5748767B" w14:textId="77777777" w:rsidR="007E0724" w:rsidRDefault="00C4775C">
            <w:pPr>
              <w:pStyle w:val="AnnexTableCellLeft"/>
              <w:pageBreakBefore/>
            </w:pPr>
            <w:r>
              <w:lastRenderedPageBreak/>
              <w:t>Ekki valda umtalsverðu tjóni</w:t>
            </w:r>
          </w:p>
        </w:tc>
      </w:tr>
      <w:tr w:rsidR="007E0724" w14:paraId="753DAAA1" w14:textId="77777777">
        <w:trPr>
          <w:trHeight w:val="360"/>
        </w:trPr>
        <w:tc>
          <w:tcPr>
            <w:tcW w:w="2896" w:type="dxa"/>
            <w:tcMar>
              <w:top w:w="100" w:type="dxa"/>
              <w:left w:w="0" w:type="dxa"/>
              <w:bottom w:w="100" w:type="dxa"/>
              <w:right w:w="40" w:type="dxa"/>
            </w:tcMar>
          </w:tcPr>
          <w:p w14:paraId="2CDFE0F4" w14:textId="77777777" w:rsidR="007E0724" w:rsidRDefault="00C4775C">
            <w:pPr>
              <w:pStyle w:val="AnnexNumberedText"/>
            </w:pPr>
            <w:r>
              <w:t>2)</w:t>
            </w:r>
            <w:r>
              <w:tab/>
              <w:t>Aðlögun að loftslagsbreytingum</w:t>
            </w:r>
          </w:p>
        </w:tc>
        <w:tc>
          <w:tcPr>
            <w:tcW w:w="5844" w:type="dxa"/>
            <w:tcMar>
              <w:top w:w="100" w:type="dxa"/>
              <w:left w:w="40" w:type="dxa"/>
              <w:bottom w:w="100" w:type="dxa"/>
              <w:right w:w="0" w:type="dxa"/>
            </w:tcMar>
          </w:tcPr>
          <w:p w14:paraId="23C5C5B0" w14:textId="77777777" w:rsidR="007E0724" w:rsidRDefault="00C4775C">
            <w:pPr>
              <w:pStyle w:val="AnnexTableCellLeft"/>
            </w:pPr>
            <w:r>
              <w:t>Starfsemin er í samræmi við viðmiðanirnar sem settar eru fram í viðbæti A við þennan viðauka.</w:t>
            </w:r>
          </w:p>
        </w:tc>
      </w:tr>
      <w:tr w:rsidR="007E0724" w14:paraId="55F3225F" w14:textId="77777777">
        <w:trPr>
          <w:trHeight w:val="360"/>
        </w:trPr>
        <w:tc>
          <w:tcPr>
            <w:tcW w:w="2896" w:type="dxa"/>
            <w:tcMar>
              <w:top w:w="100" w:type="dxa"/>
              <w:left w:w="0" w:type="dxa"/>
              <w:bottom w:w="100" w:type="dxa"/>
              <w:right w:w="40" w:type="dxa"/>
            </w:tcMar>
          </w:tcPr>
          <w:p w14:paraId="59C7DD72" w14:textId="77777777" w:rsidR="007E0724" w:rsidRDefault="00C4775C">
            <w:pPr>
              <w:pStyle w:val="AnnexNumberedText"/>
            </w:pPr>
            <w:r>
              <w:t>3)</w:t>
            </w:r>
            <w:r>
              <w:tab/>
              <w:t>Sjálfbær notkun og verndun vatns- og sjávarauðlinda</w:t>
            </w:r>
          </w:p>
        </w:tc>
        <w:tc>
          <w:tcPr>
            <w:tcW w:w="5844" w:type="dxa"/>
            <w:tcMar>
              <w:top w:w="100" w:type="dxa"/>
              <w:left w:w="40" w:type="dxa"/>
              <w:bottom w:w="100" w:type="dxa"/>
              <w:right w:w="0" w:type="dxa"/>
            </w:tcMar>
          </w:tcPr>
          <w:p w14:paraId="63873B19" w14:textId="77777777" w:rsidR="007E0724" w:rsidRDefault="00C4775C">
            <w:pPr>
              <w:pStyle w:val="AnnexTableCellLeft"/>
            </w:pPr>
            <w:r>
              <w:t>Starfsemin er í samræmi við viðmiðanirnar sem settar eru fram í viðbæti B við þennan viðauka.</w:t>
            </w:r>
          </w:p>
        </w:tc>
      </w:tr>
      <w:tr w:rsidR="007E0724" w14:paraId="3630C85C" w14:textId="77777777">
        <w:trPr>
          <w:trHeight w:val="360"/>
        </w:trPr>
        <w:tc>
          <w:tcPr>
            <w:tcW w:w="2896" w:type="dxa"/>
            <w:tcMar>
              <w:top w:w="100" w:type="dxa"/>
              <w:left w:w="0" w:type="dxa"/>
              <w:bottom w:w="100" w:type="dxa"/>
              <w:right w:w="40" w:type="dxa"/>
            </w:tcMar>
          </w:tcPr>
          <w:p w14:paraId="6B7A6CC0" w14:textId="77777777" w:rsidR="007E0724" w:rsidRDefault="00C4775C">
            <w:pPr>
              <w:pStyle w:val="AnnexNumberedText"/>
            </w:pPr>
            <w:r>
              <w:t>4)</w:t>
            </w:r>
            <w:r>
              <w:tab/>
              <w:t>Umskipti yfir í hringrásarhagkerfi</w:t>
            </w:r>
          </w:p>
        </w:tc>
        <w:tc>
          <w:tcPr>
            <w:tcW w:w="5844" w:type="dxa"/>
            <w:tcMar>
              <w:top w:w="100" w:type="dxa"/>
              <w:left w:w="40" w:type="dxa"/>
              <w:bottom w:w="100" w:type="dxa"/>
              <w:right w:w="0" w:type="dxa"/>
            </w:tcMar>
          </w:tcPr>
          <w:p w14:paraId="52AB0493" w14:textId="77777777" w:rsidR="007E0724" w:rsidRDefault="00C4775C">
            <w:pPr>
              <w:pStyle w:val="AnnexTableCellLeft"/>
              <w:spacing w:after="240"/>
            </w:pPr>
            <w:r>
              <w:t>Í starfseminni er lagt mat á tiltækileika og, ef það er gerlegt, tekin upp tækni sem styður:</w:t>
            </w:r>
          </w:p>
          <w:p w14:paraId="05DB5AF1" w14:textId="77777777" w:rsidR="007E0724" w:rsidRDefault="00C4775C">
            <w:pPr>
              <w:pStyle w:val="AnnexNumberedText"/>
              <w:spacing w:after="240"/>
              <w:ind w:left="293" w:hanging="293"/>
            </w:pPr>
            <w:r>
              <w:t>a)</w:t>
            </w:r>
            <w:r>
              <w:tab/>
              <w:t>endurnotkun og notkun á endurunnum hráefnum og endurnotuðum íhlutum í framleiðslu á vörum,</w:t>
            </w:r>
          </w:p>
          <w:p w14:paraId="4B3C735E" w14:textId="77777777" w:rsidR="007E0724" w:rsidRDefault="00C4775C">
            <w:pPr>
              <w:pStyle w:val="AnnexNumberedText"/>
              <w:spacing w:after="240"/>
              <w:ind w:left="293" w:hanging="293"/>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6922B03E" w14:textId="77777777" w:rsidR="007E0724" w:rsidRDefault="00C4775C">
            <w:pPr>
              <w:pStyle w:val="AnnexNumberedText"/>
              <w:spacing w:after="240"/>
              <w:ind w:left="293" w:hanging="293"/>
            </w:pPr>
            <w:r>
              <w:t>c)</w:t>
            </w:r>
            <w:r>
              <w:tab/>
              <w:t xml:space="preserve">úrgangsstjórnun þar sem endurvinnsla er sett í forgang fram yfir </w:t>
            </w:r>
            <w:proofErr w:type="spellStart"/>
            <w:r>
              <w:t>förgun</w:t>
            </w:r>
            <w:proofErr w:type="spellEnd"/>
            <w:r>
              <w:t xml:space="preserve"> í framleiðsluferlinu,</w:t>
            </w:r>
          </w:p>
          <w:p w14:paraId="72D02538" w14:textId="77777777" w:rsidR="007E0724" w:rsidRDefault="00C4775C">
            <w:pPr>
              <w:pStyle w:val="AnnexNumberedText"/>
              <w:ind w:left="293" w:hanging="293"/>
            </w:pPr>
            <w:r>
              <w:t>d)</w:t>
            </w:r>
            <w:r>
              <w:tab/>
              <w:t>upplýsingar um og rekjanleika efna sem gefa tilefni til áhyggna á öllum vistferli framleiddra vara.</w:t>
            </w:r>
          </w:p>
        </w:tc>
      </w:tr>
      <w:tr w:rsidR="007E0724" w14:paraId="482A0D8A" w14:textId="77777777">
        <w:trPr>
          <w:trHeight w:val="360"/>
        </w:trPr>
        <w:tc>
          <w:tcPr>
            <w:tcW w:w="2896" w:type="dxa"/>
            <w:tcMar>
              <w:top w:w="100" w:type="dxa"/>
              <w:left w:w="0" w:type="dxa"/>
              <w:bottom w:w="100" w:type="dxa"/>
              <w:right w:w="40" w:type="dxa"/>
            </w:tcMar>
          </w:tcPr>
          <w:p w14:paraId="0883445F" w14:textId="77777777" w:rsidR="007E0724" w:rsidRDefault="00C4775C">
            <w:pPr>
              <w:pStyle w:val="AnnexNumberedText"/>
            </w:pPr>
            <w:r>
              <w:t>5)</w:t>
            </w:r>
            <w:r>
              <w:tab/>
              <w:t>Mengunarvarnir og eftirlit með mengun</w:t>
            </w:r>
          </w:p>
        </w:tc>
        <w:tc>
          <w:tcPr>
            <w:tcW w:w="5844" w:type="dxa"/>
            <w:tcMar>
              <w:top w:w="100" w:type="dxa"/>
              <w:left w:w="40" w:type="dxa"/>
              <w:bottom w:w="100" w:type="dxa"/>
              <w:right w:w="0" w:type="dxa"/>
            </w:tcMar>
          </w:tcPr>
          <w:p w14:paraId="2EE2A6E9" w14:textId="77777777" w:rsidR="007E0724" w:rsidRDefault="00C4775C">
            <w:pPr>
              <w:pStyle w:val="AnnexTableCellLeft"/>
            </w:pPr>
            <w:r>
              <w:t>Starfsemin er í samræmi við viðmiðanirnar sem settar eru fram í viðbæti C við þennan viðauka.</w:t>
            </w:r>
          </w:p>
        </w:tc>
      </w:tr>
      <w:tr w:rsidR="007E0724" w14:paraId="4FF7CAA4" w14:textId="77777777">
        <w:trPr>
          <w:trHeight w:val="360"/>
        </w:trPr>
        <w:tc>
          <w:tcPr>
            <w:tcW w:w="2896" w:type="dxa"/>
            <w:tcMar>
              <w:top w:w="100" w:type="dxa"/>
              <w:left w:w="0" w:type="dxa"/>
              <w:bottom w:w="100" w:type="dxa"/>
              <w:right w:w="40" w:type="dxa"/>
            </w:tcMar>
          </w:tcPr>
          <w:p w14:paraId="10563942" w14:textId="77777777" w:rsidR="007E0724" w:rsidRDefault="00C4775C">
            <w:pPr>
              <w:pStyle w:val="AnnexNumberedText"/>
            </w:pPr>
            <w:r>
              <w:t>6)</w:t>
            </w:r>
            <w:r>
              <w:tab/>
              <w:t>Vernd og endurheimt líffræðilegrar fjölbreytni og vistkerfa</w:t>
            </w:r>
          </w:p>
        </w:tc>
        <w:tc>
          <w:tcPr>
            <w:tcW w:w="5844" w:type="dxa"/>
            <w:tcMar>
              <w:top w:w="100" w:type="dxa"/>
              <w:left w:w="40" w:type="dxa"/>
              <w:bottom w:w="100" w:type="dxa"/>
              <w:right w:w="0" w:type="dxa"/>
            </w:tcMar>
          </w:tcPr>
          <w:p w14:paraId="56DF4F73" w14:textId="77777777" w:rsidR="007E0724" w:rsidRDefault="00C4775C">
            <w:pPr>
              <w:pStyle w:val="AnnexTableCellLeft"/>
            </w:pPr>
            <w:r>
              <w:t>Starfsemin er í samræmi við viðmiðanirnar sem settar eru fram í viðbæti D við þennan viðauka.</w:t>
            </w:r>
          </w:p>
        </w:tc>
      </w:tr>
    </w:tbl>
    <w:p w14:paraId="7025C393" w14:textId="77777777" w:rsidR="007E0724" w:rsidRDefault="00C4775C">
      <w:pPr>
        <w:pStyle w:val="AnnexNumberedText"/>
        <w:spacing w:before="200" w:after="240"/>
        <w:ind w:left="504" w:hanging="504"/>
      </w:pPr>
      <w:r>
        <w:t>3.7.</w:t>
      </w:r>
      <w:r>
        <w:rPr>
          <w:b/>
        </w:rPr>
        <w:tab/>
        <w:t xml:space="preserve">Framleiðsla á </w:t>
      </w:r>
      <w:proofErr w:type="spellStart"/>
      <w:r>
        <w:rPr>
          <w:b/>
        </w:rPr>
        <w:t>sementi</w:t>
      </w:r>
      <w:proofErr w:type="spellEnd"/>
    </w:p>
    <w:p w14:paraId="73CCE1F9" w14:textId="77777777" w:rsidR="007E0724" w:rsidRDefault="00C4775C">
      <w:pPr>
        <w:pStyle w:val="AnnexGrSeq3"/>
        <w:spacing w:after="240"/>
        <w:ind w:left="504"/>
        <w:jc w:val="left"/>
      </w:pPr>
      <w:r>
        <w:rPr>
          <w:i/>
        </w:rPr>
        <w:t>Lýsing á starfseminni</w:t>
      </w:r>
    </w:p>
    <w:p w14:paraId="16060C2A" w14:textId="77777777" w:rsidR="007E0724" w:rsidRDefault="00C4775C">
      <w:pPr>
        <w:pStyle w:val="AnnexNormal"/>
        <w:spacing w:after="240"/>
        <w:ind w:left="504"/>
      </w:pPr>
      <w:r>
        <w:t xml:space="preserve">Framleiðsla á </w:t>
      </w:r>
      <w:proofErr w:type="spellStart"/>
      <w:r>
        <w:t>sementsgjalli</w:t>
      </w:r>
      <w:proofErr w:type="spellEnd"/>
      <w:r>
        <w:t xml:space="preserve">, </w:t>
      </w:r>
      <w:proofErr w:type="spellStart"/>
      <w:r>
        <w:t>sementi</w:t>
      </w:r>
      <w:proofErr w:type="spellEnd"/>
      <w:r>
        <w:t xml:space="preserve"> eða annars konar bindiefni.</w:t>
      </w:r>
    </w:p>
    <w:p w14:paraId="010D60BB" w14:textId="77777777" w:rsidR="007E0724" w:rsidRDefault="00C4775C">
      <w:pPr>
        <w:pStyle w:val="AnnexNormal"/>
        <w:spacing w:after="240"/>
        <w:ind w:left="504"/>
      </w:pPr>
      <w:r>
        <w:t>Atvinnustarfsemin í þessum flokki gæti tengst kóða atvinnugreinaflokkunar Evrópusambandsins C23.51 í samræmi við atvinnugreinaflokkunina sem komið var á með reglugerð (EB) nr. 1893/2006.</w:t>
      </w:r>
    </w:p>
    <w:p w14:paraId="7944A59F" w14:textId="77777777" w:rsidR="007E0724" w:rsidRDefault="00C4775C">
      <w:pPr>
        <w:pStyle w:val="AnnexNormal"/>
        <w:spacing w:after="240"/>
        <w:ind w:left="504"/>
      </w:pPr>
      <w:r>
        <w:t>Atvinnustarfsemi í þessum flokki er umbreytingarstarfsemi, eins og um getur í 2. mgr. 10. gr. reglugerðar (ESB) 2020/852, þegar hún er í samræmi við tæknilegu matsviðmiðin sem sett eru fram í þessum þætti.</w:t>
      </w:r>
    </w:p>
    <w:p w14:paraId="5992ADBC" w14:textId="77777777" w:rsidR="007E0724" w:rsidRDefault="00C4775C">
      <w:pPr>
        <w:pStyle w:val="AnnexGrSeq3"/>
        <w:spacing w:after="240"/>
        <w:ind w:left="504"/>
        <w:jc w:val="left"/>
      </w:pPr>
      <w:r>
        <w:rPr>
          <w:i/>
        </w:rPr>
        <w:t>Tæknileg matsviðmið</w:t>
      </w:r>
    </w:p>
    <w:tbl>
      <w:tblPr>
        <w:tblStyle w:val="EFTATable"/>
        <w:tblW w:w="8740" w:type="dxa"/>
        <w:tblInd w:w="500" w:type="dxa"/>
        <w:tblLook w:val="04A0" w:firstRow="1" w:lastRow="0" w:firstColumn="1" w:lastColumn="0" w:noHBand="0" w:noVBand="1"/>
      </w:tblPr>
      <w:tblGrid>
        <w:gridCol w:w="2800"/>
        <w:gridCol w:w="5940"/>
      </w:tblGrid>
      <w:tr w:rsidR="007E0724" w14:paraId="453DDFA8" w14:textId="77777777">
        <w:trPr>
          <w:trHeight w:val="240"/>
        </w:trPr>
        <w:tc>
          <w:tcPr>
            <w:tcW w:w="8740" w:type="dxa"/>
            <w:gridSpan w:val="2"/>
            <w:tcBorders>
              <w:bottom w:val="single" w:sz="4" w:space="0" w:color="auto"/>
            </w:tcBorders>
            <w:tcMar>
              <w:top w:w="100" w:type="dxa"/>
              <w:left w:w="0" w:type="dxa"/>
              <w:bottom w:w="100" w:type="dxa"/>
              <w:right w:w="0" w:type="dxa"/>
            </w:tcMar>
          </w:tcPr>
          <w:p w14:paraId="6B1FFD1B"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5DDDE6CD" w14:textId="77777777">
        <w:trPr>
          <w:trHeight w:val="360"/>
        </w:trPr>
        <w:tc>
          <w:tcPr>
            <w:tcW w:w="8740" w:type="dxa"/>
            <w:gridSpan w:val="2"/>
            <w:tcBorders>
              <w:bottom w:val="nil"/>
            </w:tcBorders>
            <w:tcMar>
              <w:top w:w="100" w:type="dxa"/>
              <w:left w:w="0" w:type="dxa"/>
              <w:bottom w:w="100" w:type="dxa"/>
              <w:right w:w="0" w:type="dxa"/>
            </w:tcMar>
          </w:tcPr>
          <w:p w14:paraId="71BA0AC4" w14:textId="77777777" w:rsidR="007E0724" w:rsidRDefault="00C4775C">
            <w:pPr>
              <w:pStyle w:val="AnnexTableCellLeft"/>
              <w:spacing w:after="240"/>
            </w:pPr>
            <w:r>
              <w:t>Með starfseminni er framleitt eitt af eftirfarandi:</w:t>
            </w:r>
          </w:p>
          <w:p w14:paraId="093C0023" w14:textId="77777777" w:rsidR="007E0724" w:rsidRDefault="00C4775C">
            <w:pPr>
              <w:pStyle w:val="AnnexNumberedText"/>
            </w:pPr>
            <w:r>
              <w:t>a)</w:t>
            </w:r>
            <w:r>
              <w:tab/>
              <w:t xml:space="preserve">grátt </w:t>
            </w:r>
            <w:proofErr w:type="spellStart"/>
            <w:r>
              <w:t>sementsgjall</w:t>
            </w:r>
            <w:proofErr w:type="spellEnd"/>
            <w:r>
              <w:t xml:space="preserve"> þar sem sértæk losun gróðurhúsalofttegunda (</w:t>
            </w:r>
            <w:r>
              <w:rPr>
                <w:rStyle w:val="Tilvsunneanmlsgrein"/>
                <w:sz w:val="18"/>
                <w:szCs w:val="18"/>
              </w:rPr>
              <w:footnoteReference w:id="114"/>
            </w:r>
            <w:r>
              <w:t>) er minni en 0,722 (</w:t>
            </w:r>
            <w:r>
              <w:rPr>
                <w:rStyle w:val="Tilvsunneanmlsgrein"/>
                <w:sz w:val="18"/>
                <w:szCs w:val="18"/>
              </w:rPr>
              <w:footnoteReference w:id="115"/>
            </w:r>
            <w:r>
              <w:t>) tCO</w:t>
            </w:r>
            <w:r>
              <w:rPr>
                <w:vertAlign w:val="subscript"/>
              </w:rPr>
              <w:t>2</w:t>
            </w:r>
            <w:r>
              <w:t xml:space="preserve">e á hvert tonn af gráu </w:t>
            </w:r>
            <w:proofErr w:type="spellStart"/>
            <w:r>
              <w:t>sementsgjalli</w:t>
            </w:r>
            <w:proofErr w:type="spellEnd"/>
            <w:r>
              <w:t>,</w:t>
            </w:r>
          </w:p>
        </w:tc>
      </w:tr>
      <w:tr w:rsidR="007E0724" w14:paraId="05CC9FBE" w14:textId="77777777">
        <w:trPr>
          <w:trHeight w:val="240"/>
        </w:trPr>
        <w:tc>
          <w:tcPr>
            <w:tcW w:w="8740" w:type="dxa"/>
            <w:gridSpan w:val="2"/>
            <w:tcBorders>
              <w:top w:val="nil"/>
            </w:tcBorders>
            <w:tcMar>
              <w:top w:w="100" w:type="dxa"/>
              <w:left w:w="0" w:type="dxa"/>
              <w:bottom w:w="100" w:type="dxa"/>
              <w:right w:w="0" w:type="dxa"/>
            </w:tcMar>
          </w:tcPr>
          <w:p w14:paraId="24EC2722" w14:textId="77777777" w:rsidR="007E0724" w:rsidRDefault="00C4775C">
            <w:pPr>
              <w:pStyle w:val="AnnexNumberedText"/>
              <w:pageBreakBefore/>
              <w:spacing w:after="280"/>
            </w:pPr>
            <w:r>
              <w:lastRenderedPageBreak/>
              <w:t>b)</w:t>
            </w:r>
            <w:r>
              <w:tab/>
            </w:r>
            <w:proofErr w:type="spellStart"/>
            <w:r>
              <w:t>sement</w:t>
            </w:r>
            <w:proofErr w:type="spellEnd"/>
            <w:r>
              <w:t xml:space="preserve"> úr gráu </w:t>
            </w:r>
            <w:proofErr w:type="spellStart"/>
            <w:r>
              <w:t>gjalli</w:t>
            </w:r>
            <w:proofErr w:type="spellEnd"/>
            <w:r>
              <w:t xml:space="preserve"> eða annars konar </w:t>
            </w:r>
            <w:proofErr w:type="spellStart"/>
            <w:r>
              <w:t>vatnshverft</w:t>
            </w:r>
            <w:proofErr w:type="spellEnd"/>
            <w:r>
              <w:t xml:space="preserve"> bindiefni þar sem sértæk losun gróðurhúsalofttegunda (</w:t>
            </w:r>
            <w:r>
              <w:rPr>
                <w:rStyle w:val="Tilvsunneanmlsgrein"/>
                <w:sz w:val="18"/>
                <w:szCs w:val="18"/>
              </w:rPr>
              <w:footnoteReference w:id="116"/>
            </w:r>
            <w:r>
              <w:t xml:space="preserve">) frá framleiðslu á </w:t>
            </w:r>
            <w:proofErr w:type="spellStart"/>
            <w:r>
              <w:t>gjalli</w:t>
            </w:r>
            <w:proofErr w:type="spellEnd"/>
            <w:r>
              <w:t xml:space="preserve"> og </w:t>
            </w:r>
            <w:proofErr w:type="spellStart"/>
            <w:r>
              <w:t>sementi</w:t>
            </w:r>
            <w:proofErr w:type="spellEnd"/>
            <w:r>
              <w:t xml:space="preserve"> eða annars konar bindiefni er minni en 0,469 (</w:t>
            </w:r>
            <w:r>
              <w:rPr>
                <w:rStyle w:val="Tilvsunneanmlsgrein"/>
                <w:sz w:val="18"/>
                <w:szCs w:val="18"/>
              </w:rPr>
              <w:footnoteReference w:id="117"/>
            </w:r>
            <w:r>
              <w:t>) tCO</w:t>
            </w:r>
            <w:r>
              <w:rPr>
                <w:vertAlign w:val="subscript"/>
              </w:rPr>
              <w:t>2</w:t>
            </w:r>
            <w:r>
              <w:t xml:space="preserve">e á hvert tonn af </w:t>
            </w:r>
            <w:proofErr w:type="spellStart"/>
            <w:r>
              <w:t>sementi</w:t>
            </w:r>
            <w:proofErr w:type="spellEnd"/>
            <w:r>
              <w:t xml:space="preserve"> eða annars konar bindiefni sem framleitt er.</w:t>
            </w:r>
          </w:p>
          <w:p w14:paraId="12A602F8" w14:textId="77777777" w:rsidR="007E0724" w:rsidRDefault="00C4775C">
            <w:pPr>
              <w:pStyle w:val="AnnexTableCellLeft"/>
              <w:spacing w:after="280"/>
            </w:pPr>
            <w:r>
              <w:t>Ef koltvísýringur, sem væri að öðrum kosti losaður í framleiðsluferlinu, er fangaður í þeim tilgangi að geyma hann neðanjarðar er koltvísýringurinn fluttur og geymdur neðanjarðar í samræmi við tæknilegu matsviðmiðin sem sett eru fram í þáttum 5.11 og 5.12 í þessum viðauka.</w:t>
            </w:r>
          </w:p>
        </w:tc>
      </w:tr>
      <w:tr w:rsidR="007E0724" w14:paraId="53476E97" w14:textId="77777777">
        <w:trPr>
          <w:trHeight w:val="240"/>
        </w:trPr>
        <w:tc>
          <w:tcPr>
            <w:tcW w:w="8740" w:type="dxa"/>
            <w:gridSpan w:val="2"/>
            <w:tcMar>
              <w:top w:w="100" w:type="dxa"/>
              <w:left w:w="0" w:type="dxa"/>
              <w:bottom w:w="100" w:type="dxa"/>
              <w:right w:w="0" w:type="dxa"/>
            </w:tcMar>
          </w:tcPr>
          <w:p w14:paraId="1618DF9E" w14:textId="77777777" w:rsidR="007E0724" w:rsidRDefault="00C4775C">
            <w:pPr>
              <w:pStyle w:val="AnnexTableCellLeft"/>
            </w:pPr>
            <w:r>
              <w:t>Ekki valda umtalsverðu tjóni</w:t>
            </w:r>
          </w:p>
        </w:tc>
      </w:tr>
      <w:tr w:rsidR="007E0724" w14:paraId="65D9FBF8" w14:textId="77777777">
        <w:trPr>
          <w:trHeight w:val="360"/>
        </w:trPr>
        <w:tc>
          <w:tcPr>
            <w:tcW w:w="2800" w:type="dxa"/>
            <w:tcMar>
              <w:top w:w="100" w:type="dxa"/>
              <w:left w:w="0" w:type="dxa"/>
              <w:bottom w:w="100" w:type="dxa"/>
              <w:right w:w="40" w:type="dxa"/>
            </w:tcMar>
          </w:tcPr>
          <w:p w14:paraId="766A678D" w14:textId="77777777" w:rsidR="007E0724" w:rsidRDefault="00C4775C">
            <w:pPr>
              <w:pStyle w:val="AnnexNumberedText"/>
            </w:pPr>
            <w:r>
              <w:t>2)</w:t>
            </w:r>
            <w:r>
              <w:tab/>
              <w:t>Aðlögun að loftslagsbreytingum</w:t>
            </w:r>
          </w:p>
        </w:tc>
        <w:tc>
          <w:tcPr>
            <w:tcW w:w="5940" w:type="dxa"/>
            <w:tcMar>
              <w:top w:w="100" w:type="dxa"/>
              <w:left w:w="40" w:type="dxa"/>
              <w:bottom w:w="100" w:type="dxa"/>
              <w:right w:w="0" w:type="dxa"/>
            </w:tcMar>
          </w:tcPr>
          <w:p w14:paraId="6B137E1D" w14:textId="77777777" w:rsidR="007E0724" w:rsidRDefault="00C4775C">
            <w:pPr>
              <w:pStyle w:val="AnnexTableCellLeft"/>
            </w:pPr>
            <w:r>
              <w:t>Starfsemin er í samræmi við viðmiðanirnar sem settar eru fram í viðbæti A við þennan viðauka.</w:t>
            </w:r>
          </w:p>
        </w:tc>
      </w:tr>
      <w:tr w:rsidR="007E0724" w14:paraId="612F893F" w14:textId="77777777">
        <w:trPr>
          <w:trHeight w:val="360"/>
        </w:trPr>
        <w:tc>
          <w:tcPr>
            <w:tcW w:w="2800" w:type="dxa"/>
            <w:tcMar>
              <w:top w:w="100" w:type="dxa"/>
              <w:left w:w="0" w:type="dxa"/>
              <w:bottom w:w="100" w:type="dxa"/>
              <w:right w:w="40" w:type="dxa"/>
            </w:tcMar>
          </w:tcPr>
          <w:p w14:paraId="76A44669" w14:textId="77777777" w:rsidR="007E0724" w:rsidRDefault="00C4775C">
            <w:pPr>
              <w:pStyle w:val="AnnexNumberedText"/>
            </w:pPr>
            <w:r>
              <w:t>3)</w:t>
            </w:r>
            <w:r>
              <w:tab/>
              <w:t>Sjálfbær notkun og verndun vatns- og sjávarauðlinda</w:t>
            </w:r>
          </w:p>
        </w:tc>
        <w:tc>
          <w:tcPr>
            <w:tcW w:w="5940" w:type="dxa"/>
            <w:tcMar>
              <w:top w:w="100" w:type="dxa"/>
              <w:left w:w="40" w:type="dxa"/>
              <w:bottom w:w="100" w:type="dxa"/>
              <w:right w:w="0" w:type="dxa"/>
            </w:tcMar>
          </w:tcPr>
          <w:p w14:paraId="172E2AE0" w14:textId="77777777" w:rsidR="007E0724" w:rsidRDefault="00C4775C">
            <w:pPr>
              <w:pStyle w:val="AnnexTableCellLeft"/>
            </w:pPr>
            <w:r>
              <w:t>Starfsemin er í samræmi við viðmiðanirnar sem settar eru fram í viðbæti B við þennan viðauka.</w:t>
            </w:r>
          </w:p>
        </w:tc>
      </w:tr>
      <w:tr w:rsidR="007E0724" w14:paraId="24AD346C" w14:textId="77777777">
        <w:trPr>
          <w:trHeight w:val="360"/>
        </w:trPr>
        <w:tc>
          <w:tcPr>
            <w:tcW w:w="2800" w:type="dxa"/>
            <w:tcMar>
              <w:top w:w="100" w:type="dxa"/>
              <w:left w:w="0" w:type="dxa"/>
              <w:bottom w:w="100" w:type="dxa"/>
              <w:right w:w="40" w:type="dxa"/>
            </w:tcMar>
          </w:tcPr>
          <w:p w14:paraId="77B126BA" w14:textId="77777777" w:rsidR="007E0724" w:rsidRDefault="00C4775C">
            <w:pPr>
              <w:pStyle w:val="AnnexNumberedText"/>
            </w:pPr>
            <w:r>
              <w:t>4)</w:t>
            </w:r>
            <w:r>
              <w:tab/>
              <w:t>Umskipti yfir í hringrásarhagkerfi</w:t>
            </w:r>
          </w:p>
        </w:tc>
        <w:tc>
          <w:tcPr>
            <w:tcW w:w="5940" w:type="dxa"/>
            <w:tcMar>
              <w:top w:w="100" w:type="dxa"/>
              <w:left w:w="40" w:type="dxa"/>
              <w:bottom w:w="100" w:type="dxa"/>
              <w:right w:w="0" w:type="dxa"/>
            </w:tcMar>
          </w:tcPr>
          <w:p w14:paraId="62279C8A" w14:textId="77777777" w:rsidR="007E0724" w:rsidRDefault="00C4775C">
            <w:pPr>
              <w:pStyle w:val="AnnexTableCellLeft"/>
            </w:pPr>
            <w:r>
              <w:t>Á ekki við</w:t>
            </w:r>
          </w:p>
        </w:tc>
      </w:tr>
      <w:tr w:rsidR="007E0724" w14:paraId="49D3CC5C" w14:textId="77777777">
        <w:trPr>
          <w:trHeight w:val="360"/>
        </w:trPr>
        <w:tc>
          <w:tcPr>
            <w:tcW w:w="2800" w:type="dxa"/>
            <w:tcMar>
              <w:top w:w="100" w:type="dxa"/>
              <w:left w:w="0" w:type="dxa"/>
              <w:bottom w:w="100" w:type="dxa"/>
              <w:right w:w="40" w:type="dxa"/>
            </w:tcMar>
          </w:tcPr>
          <w:p w14:paraId="23C0E85B" w14:textId="77777777" w:rsidR="007E0724" w:rsidRDefault="00C4775C">
            <w:pPr>
              <w:pStyle w:val="AnnexNumberedText"/>
            </w:pPr>
            <w:r>
              <w:t>5)</w:t>
            </w:r>
            <w:r>
              <w:tab/>
              <w:t>Mengunarvarnir og eftirlit með mengun</w:t>
            </w:r>
          </w:p>
        </w:tc>
        <w:tc>
          <w:tcPr>
            <w:tcW w:w="5940" w:type="dxa"/>
            <w:tcMar>
              <w:top w:w="100" w:type="dxa"/>
              <w:left w:w="40" w:type="dxa"/>
              <w:bottom w:w="100" w:type="dxa"/>
              <w:right w:w="0" w:type="dxa"/>
            </w:tcMar>
          </w:tcPr>
          <w:p w14:paraId="3A9EABB9" w14:textId="77777777" w:rsidR="007E0724" w:rsidRDefault="00C4775C">
            <w:pPr>
              <w:pStyle w:val="AnnexTableCellLeft"/>
              <w:spacing w:after="280"/>
            </w:pPr>
            <w:r>
              <w:t>Starfsemin er í samræmi við viðmiðanirnar sem settar eru fram í viðbæti C við þennan viðauka.</w:t>
            </w:r>
          </w:p>
          <w:p w14:paraId="742EA8AD" w14:textId="77777777" w:rsidR="007E0724" w:rsidRDefault="00C4775C">
            <w:pPr>
              <w:pStyle w:val="AnnexTableCellLeft"/>
              <w:spacing w:after="280"/>
              <w:rPr>
                <w:szCs w:val="18"/>
              </w:rPr>
            </w:pPr>
            <w:r>
              <w:t xml:space="preserve">Losun fellur innan við eða undir svið losunargilda sem tengjast bestu aðgengilegu tækni (BAT-AEL) samkvæmt nýjustu viðeigandi niðurstöðum um bestu aðgengilegu tækni, þ.m.t. niðurstöður um bestu aðgengilegu tækni fyrir framleiðslu á </w:t>
            </w:r>
            <w:proofErr w:type="spellStart"/>
            <w:r>
              <w:t>sementi</w:t>
            </w:r>
            <w:proofErr w:type="spellEnd"/>
            <w:r>
              <w:t xml:space="preserve">, </w:t>
            </w:r>
            <w:proofErr w:type="spellStart"/>
            <w:r>
              <w:t>kalki</w:t>
            </w:r>
            <w:proofErr w:type="spellEnd"/>
            <w:r>
              <w:t xml:space="preserve"> og </w:t>
            </w:r>
            <w:proofErr w:type="spellStart"/>
            <w:r>
              <w:t>magnesíumoxíði</w:t>
            </w:r>
            <w:proofErr w:type="spellEnd"/>
            <w:r>
              <w:t xml:space="preserve"> (</w:t>
            </w:r>
            <w:r>
              <w:rPr>
                <w:rStyle w:val="Tilvsunneanmlsgrein"/>
                <w:sz w:val="18"/>
                <w:szCs w:val="18"/>
              </w:rPr>
              <w:footnoteReference w:id="118"/>
            </w:r>
            <w:r>
              <w:t>).</w:t>
            </w:r>
          </w:p>
          <w:p w14:paraId="3D09F833" w14:textId="77777777" w:rsidR="007E0724" w:rsidRDefault="00C4775C">
            <w:pPr>
              <w:pStyle w:val="AnnexTableCellLeft"/>
              <w:spacing w:after="280"/>
              <w:rPr>
                <w:szCs w:val="18"/>
              </w:rPr>
            </w:pPr>
            <w:r>
              <w:t>Engin umtalsverð yfirfærsluáhrif milli umhverfishólfa eiga sér stað (</w:t>
            </w:r>
            <w:r>
              <w:rPr>
                <w:rStyle w:val="Tilvsunneanmlsgrein"/>
                <w:sz w:val="18"/>
                <w:szCs w:val="18"/>
              </w:rPr>
              <w:footnoteReference w:id="119"/>
            </w:r>
            <w:r>
              <w:t>).</w:t>
            </w:r>
          </w:p>
          <w:p w14:paraId="4283800A" w14:textId="77777777" w:rsidR="007E0724" w:rsidRDefault="00C4775C">
            <w:pPr>
              <w:pStyle w:val="AnnexTableCellLeft"/>
              <w:spacing w:after="280"/>
            </w:pPr>
            <w:r>
              <w:t xml:space="preserve">Að því er varðar framleiðslu á </w:t>
            </w:r>
            <w:proofErr w:type="spellStart"/>
            <w:r>
              <w:t>sementi</w:t>
            </w:r>
            <w:proofErr w:type="spellEnd"/>
            <w:r>
              <w:t xml:space="preserve"> þar sem hættulegur úrgangur er notaður sem óhefðbundið eldsneyti eru ráðstafanir til staðar til að tryggja örugga meðhöndlun á úrgangi.</w:t>
            </w:r>
          </w:p>
        </w:tc>
      </w:tr>
      <w:tr w:rsidR="007E0724" w14:paraId="72C72F7A" w14:textId="77777777">
        <w:trPr>
          <w:trHeight w:val="360"/>
        </w:trPr>
        <w:tc>
          <w:tcPr>
            <w:tcW w:w="2800" w:type="dxa"/>
            <w:tcMar>
              <w:top w:w="100" w:type="dxa"/>
              <w:left w:w="0" w:type="dxa"/>
              <w:bottom w:w="100" w:type="dxa"/>
              <w:right w:w="40" w:type="dxa"/>
            </w:tcMar>
          </w:tcPr>
          <w:p w14:paraId="5D53BF42" w14:textId="77777777" w:rsidR="007E0724" w:rsidRDefault="00C4775C">
            <w:pPr>
              <w:pStyle w:val="AnnexNumberedText"/>
            </w:pPr>
            <w:r>
              <w:t>6)</w:t>
            </w:r>
            <w:r>
              <w:tab/>
              <w:t>Vernd og endurheimt líffræðilegrar fjölbreytni og vistkerfa</w:t>
            </w:r>
          </w:p>
        </w:tc>
        <w:tc>
          <w:tcPr>
            <w:tcW w:w="5940" w:type="dxa"/>
            <w:tcMar>
              <w:top w:w="100" w:type="dxa"/>
              <w:left w:w="40" w:type="dxa"/>
              <w:bottom w:w="100" w:type="dxa"/>
              <w:right w:w="0" w:type="dxa"/>
            </w:tcMar>
          </w:tcPr>
          <w:p w14:paraId="70DD3F02" w14:textId="77777777" w:rsidR="007E0724" w:rsidRDefault="00C4775C">
            <w:pPr>
              <w:pStyle w:val="AnnexTableCellLeft"/>
            </w:pPr>
            <w:r>
              <w:t>Starfsemin er í samræmi við viðmiðanirnar sem settar eru fram í viðbæti D við þennan viðauka.</w:t>
            </w:r>
          </w:p>
        </w:tc>
      </w:tr>
    </w:tbl>
    <w:p w14:paraId="5E754FFB" w14:textId="77777777" w:rsidR="007E0724" w:rsidRDefault="00C4775C">
      <w:pPr>
        <w:pStyle w:val="AnnexNumberedText"/>
        <w:spacing w:before="200" w:after="400"/>
        <w:ind w:left="500" w:hanging="500"/>
      </w:pPr>
      <w:r>
        <w:t>3.8.</w:t>
      </w:r>
      <w:r>
        <w:rPr>
          <w:b/>
        </w:rPr>
        <w:tab/>
        <w:t>Framleiðsla á áli</w:t>
      </w:r>
    </w:p>
    <w:p w14:paraId="558A4957" w14:textId="77777777" w:rsidR="007E0724" w:rsidRDefault="00C4775C">
      <w:pPr>
        <w:pStyle w:val="AnnexGrSeq3"/>
        <w:spacing w:after="400"/>
        <w:ind w:left="500"/>
        <w:jc w:val="left"/>
      </w:pPr>
      <w:r>
        <w:rPr>
          <w:i/>
        </w:rPr>
        <w:t>Lýsing á starfseminni</w:t>
      </w:r>
    </w:p>
    <w:p w14:paraId="352C83CB" w14:textId="77777777" w:rsidR="007E0724" w:rsidRDefault="00C4775C">
      <w:pPr>
        <w:pStyle w:val="AnnexNormal"/>
        <w:spacing w:after="400"/>
        <w:ind w:left="500"/>
        <w:jc w:val="left"/>
      </w:pPr>
      <w:r>
        <w:t>Framleiðsla á áli með vinnslu á hrááli (</w:t>
      </w:r>
      <w:proofErr w:type="spellStart"/>
      <w:r>
        <w:t>báxíti</w:t>
      </w:r>
      <w:proofErr w:type="spellEnd"/>
      <w:r>
        <w:t>) eða endurvinnslu á endurunnu áli.</w:t>
      </w:r>
    </w:p>
    <w:p w14:paraId="07C8DFE3" w14:textId="77777777" w:rsidR="007E0724" w:rsidRDefault="00C4775C">
      <w:pPr>
        <w:pStyle w:val="AnnexNormal"/>
        <w:spacing w:after="400"/>
        <w:ind w:left="500"/>
        <w:jc w:val="left"/>
      </w:pPr>
      <w:r>
        <w:lastRenderedPageBreak/>
        <w:t>Atvinnustarfsemin í þessum flokki gæti tengst kóðum atvinnugreinaflokkunar Evrópusambandsins C24.42 og C24.53 í samræmi við atvinnugreinaflokkunina sem komið var á með reglugerð (EB) nr. 1893/2006.</w:t>
      </w:r>
    </w:p>
    <w:p w14:paraId="4041B279" w14:textId="77777777" w:rsidR="007E0724" w:rsidRDefault="00C4775C">
      <w:pPr>
        <w:pStyle w:val="AnnexNormal"/>
        <w:spacing w:after="0"/>
        <w:ind w:left="500"/>
        <w:jc w:val="left"/>
      </w:pPr>
      <w:r>
        <w:t>Atvinnustarfsemi í þessum flokki er umbreytingarstarfsemi, eins og um getur í 2. mgr. 10. gr. reglugerðar (ESB) 2020/852, þegar hún er í samræmi við tæknilegu matsviðmiðin sem sett eru fram í þessum þætti.</w:t>
      </w:r>
      <w:r>
        <w:br w:type="page"/>
      </w:r>
    </w:p>
    <w:p w14:paraId="3368AFD6" w14:textId="77777777" w:rsidR="007E0724" w:rsidRDefault="00C4775C">
      <w:pPr>
        <w:pStyle w:val="AnnexGrSeq3"/>
        <w:ind w:left="500"/>
        <w:jc w:val="left"/>
      </w:pPr>
      <w:r>
        <w:rPr>
          <w:i/>
        </w:rPr>
        <w:lastRenderedPageBreak/>
        <w:t>Tæknileg matsviðmið</w:t>
      </w:r>
    </w:p>
    <w:tbl>
      <w:tblPr>
        <w:tblStyle w:val="EFTATable"/>
        <w:tblW w:w="8752" w:type="dxa"/>
        <w:tblInd w:w="500" w:type="dxa"/>
        <w:tblLayout w:type="fixed"/>
        <w:tblLook w:val="04A0" w:firstRow="1" w:lastRow="0" w:firstColumn="1" w:lastColumn="0" w:noHBand="0" w:noVBand="1"/>
      </w:tblPr>
      <w:tblGrid>
        <w:gridCol w:w="2844"/>
        <w:gridCol w:w="5908"/>
      </w:tblGrid>
      <w:tr w:rsidR="007E0724" w14:paraId="5D75C365" w14:textId="77777777">
        <w:trPr>
          <w:trHeight w:val="240"/>
        </w:trPr>
        <w:tc>
          <w:tcPr>
            <w:tcW w:w="8752" w:type="dxa"/>
            <w:gridSpan w:val="2"/>
            <w:tcMar>
              <w:top w:w="100" w:type="dxa"/>
              <w:left w:w="0" w:type="dxa"/>
              <w:bottom w:w="100" w:type="dxa"/>
              <w:right w:w="0" w:type="dxa"/>
            </w:tcMar>
          </w:tcPr>
          <w:p w14:paraId="522E8373"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147970FE" w14:textId="77777777">
        <w:trPr>
          <w:trHeight w:val="360"/>
        </w:trPr>
        <w:tc>
          <w:tcPr>
            <w:tcW w:w="8752" w:type="dxa"/>
            <w:gridSpan w:val="2"/>
            <w:tcMar>
              <w:top w:w="100" w:type="dxa"/>
              <w:left w:w="0" w:type="dxa"/>
              <w:bottom w:w="100" w:type="dxa"/>
              <w:right w:w="0" w:type="dxa"/>
            </w:tcMar>
          </w:tcPr>
          <w:p w14:paraId="09D5D3C2" w14:textId="77777777" w:rsidR="007E0724" w:rsidRDefault="00C4775C">
            <w:pPr>
              <w:pStyle w:val="AnnexTableCellLeft"/>
              <w:spacing w:after="300"/>
            </w:pPr>
            <w:r>
              <w:t>Með starfseminni er framleitt eitt af eftirfarandi:</w:t>
            </w:r>
          </w:p>
          <w:p w14:paraId="6B2979B0" w14:textId="77777777" w:rsidR="007E0724" w:rsidRDefault="00C4775C">
            <w:pPr>
              <w:pStyle w:val="AnnexNumberedText"/>
              <w:spacing w:after="300"/>
              <w:rPr>
                <w:szCs w:val="18"/>
              </w:rPr>
            </w:pPr>
            <w:r>
              <w:t>a)</w:t>
            </w:r>
            <w:r>
              <w:tab/>
              <w:t>hráál þar sem atvinnustarfsemin er í samræmi við tvær af eftirfarandi viðmiðunum fram til 2025 og við allar eftirfarandi viðmiðanir (</w:t>
            </w:r>
            <w:r>
              <w:rPr>
                <w:rStyle w:val="Tilvsunneanmlsgrein"/>
                <w:sz w:val="18"/>
                <w:szCs w:val="18"/>
              </w:rPr>
              <w:footnoteReference w:id="120"/>
            </w:r>
            <w:r>
              <w:t>) eftir 2025:</w:t>
            </w:r>
          </w:p>
          <w:p w14:paraId="312E4854" w14:textId="77777777" w:rsidR="007E0724" w:rsidRDefault="00C4775C">
            <w:pPr>
              <w:pStyle w:val="AnnexNumberedText"/>
              <w:spacing w:after="300"/>
              <w:ind w:left="594"/>
              <w:rPr>
                <w:szCs w:val="18"/>
              </w:rPr>
            </w:pPr>
            <w:r>
              <w:t>i.</w:t>
            </w:r>
            <w:r>
              <w:tab/>
              <w:t>losun gróðurhúsalofttegunda (</w:t>
            </w:r>
            <w:r>
              <w:rPr>
                <w:rStyle w:val="Tilvsunneanmlsgrein"/>
                <w:sz w:val="18"/>
                <w:szCs w:val="18"/>
              </w:rPr>
              <w:footnoteReference w:id="121"/>
            </w:r>
            <w:r>
              <w:t>) fer ekki yfir 1,484 (</w:t>
            </w:r>
            <w:r>
              <w:rPr>
                <w:rStyle w:val="Tilvsunneanmlsgrein"/>
                <w:sz w:val="18"/>
                <w:szCs w:val="18"/>
              </w:rPr>
              <w:footnoteReference w:id="122"/>
            </w:r>
            <w:r>
              <w:t>) tCO</w:t>
            </w:r>
            <w:r>
              <w:rPr>
                <w:vertAlign w:val="subscript"/>
              </w:rPr>
              <w:t>2</w:t>
            </w:r>
            <w:r>
              <w:t>e á hvert tonn af áli sem framleitt er (</w:t>
            </w:r>
            <w:r>
              <w:rPr>
                <w:rStyle w:val="Tilvsunneanmlsgrein"/>
                <w:sz w:val="18"/>
                <w:szCs w:val="18"/>
              </w:rPr>
              <w:footnoteReference w:id="123"/>
            </w:r>
            <w:r>
              <w:t>):</w:t>
            </w:r>
          </w:p>
          <w:p w14:paraId="57998DDD" w14:textId="77777777" w:rsidR="007E0724" w:rsidRDefault="00C4775C">
            <w:pPr>
              <w:pStyle w:val="AnnexNumberedText"/>
              <w:spacing w:after="300"/>
              <w:ind w:left="594"/>
            </w:pPr>
            <w:r>
              <w:t>ii.</w:t>
            </w:r>
            <w:r>
              <w:tab/>
              <w:t>meðaltal koltvísýringsstigs fyrir óbeina losun gróðurhúsalofttegunda (</w:t>
            </w:r>
            <w:r>
              <w:rPr>
                <w:rStyle w:val="Tilvsunneanmlsgrein"/>
                <w:sz w:val="18"/>
                <w:szCs w:val="18"/>
              </w:rPr>
              <w:footnoteReference w:id="124"/>
            </w:r>
            <w:r>
              <w:t>) fer ekki yfir 100 g CO</w:t>
            </w:r>
            <w:r>
              <w:rPr>
                <w:vertAlign w:val="subscript"/>
              </w:rPr>
              <w:t>2</w:t>
            </w:r>
            <w:r>
              <w:t>e/kWh,</w:t>
            </w:r>
          </w:p>
          <w:p w14:paraId="38E43ED6" w14:textId="77777777" w:rsidR="007E0724" w:rsidRDefault="00C4775C">
            <w:pPr>
              <w:pStyle w:val="AnnexNumberedText"/>
              <w:spacing w:after="300"/>
              <w:ind w:left="594"/>
            </w:pPr>
            <w:r>
              <w:t>iii.</w:t>
            </w:r>
            <w:r>
              <w:tab/>
              <w:t xml:space="preserve">raforkunotkun í framleiðsluferlinu fer ekki yfir 15,5 </w:t>
            </w:r>
            <w:proofErr w:type="spellStart"/>
            <w:r>
              <w:t>MWh</w:t>
            </w:r>
            <w:proofErr w:type="spellEnd"/>
            <w:r>
              <w:t>/t Al.</w:t>
            </w:r>
          </w:p>
          <w:p w14:paraId="274B72A2" w14:textId="77777777" w:rsidR="007E0724" w:rsidRDefault="00C4775C">
            <w:pPr>
              <w:pStyle w:val="AnnexNumberedText"/>
              <w:spacing w:after="300"/>
            </w:pPr>
            <w:r>
              <w:t>b)</w:t>
            </w:r>
            <w:r>
              <w:tab/>
              <w:t>endurunnið ál.</w:t>
            </w:r>
          </w:p>
        </w:tc>
      </w:tr>
      <w:tr w:rsidR="007E0724" w14:paraId="535E3E59" w14:textId="77777777">
        <w:trPr>
          <w:trHeight w:val="240"/>
        </w:trPr>
        <w:tc>
          <w:tcPr>
            <w:tcW w:w="8752" w:type="dxa"/>
            <w:gridSpan w:val="2"/>
            <w:tcMar>
              <w:top w:w="100" w:type="dxa"/>
              <w:left w:w="0" w:type="dxa"/>
              <w:bottom w:w="100" w:type="dxa"/>
              <w:right w:w="0" w:type="dxa"/>
            </w:tcMar>
          </w:tcPr>
          <w:p w14:paraId="11F08656" w14:textId="77777777" w:rsidR="007E0724" w:rsidRDefault="00C4775C">
            <w:pPr>
              <w:pStyle w:val="AnnexTableCellLeft"/>
            </w:pPr>
            <w:r>
              <w:t>Ekki valda umtalsverðu tjóni</w:t>
            </w:r>
          </w:p>
        </w:tc>
      </w:tr>
      <w:tr w:rsidR="007E0724" w14:paraId="4805B1F5" w14:textId="77777777">
        <w:trPr>
          <w:trHeight w:val="360"/>
        </w:trPr>
        <w:tc>
          <w:tcPr>
            <w:tcW w:w="2844" w:type="dxa"/>
            <w:tcMar>
              <w:top w:w="100" w:type="dxa"/>
              <w:left w:w="0" w:type="dxa"/>
              <w:bottom w:w="100" w:type="dxa"/>
              <w:right w:w="0" w:type="dxa"/>
            </w:tcMar>
          </w:tcPr>
          <w:p w14:paraId="618AC382" w14:textId="77777777" w:rsidR="007E0724" w:rsidRDefault="00C4775C">
            <w:pPr>
              <w:pStyle w:val="AnnexNumberedText"/>
              <w:ind w:right="40"/>
            </w:pPr>
            <w:r>
              <w:t>2)</w:t>
            </w:r>
            <w:r>
              <w:tab/>
              <w:t>Aðlögun að loftslagsbreytingum</w:t>
            </w:r>
          </w:p>
        </w:tc>
        <w:tc>
          <w:tcPr>
            <w:tcW w:w="5908" w:type="dxa"/>
            <w:tcMar>
              <w:top w:w="100" w:type="dxa"/>
              <w:left w:w="0" w:type="dxa"/>
              <w:bottom w:w="100" w:type="dxa"/>
              <w:right w:w="0" w:type="dxa"/>
            </w:tcMar>
          </w:tcPr>
          <w:p w14:paraId="237B30A3" w14:textId="77777777" w:rsidR="007E0724" w:rsidRDefault="00C4775C">
            <w:pPr>
              <w:pStyle w:val="AnnexTableCellLeft"/>
              <w:ind w:left="40"/>
            </w:pPr>
            <w:r>
              <w:t>Starfsemin er í samræmi við viðmiðanirnar sem settar eru fram í viðbæti A við þennan viðauka.</w:t>
            </w:r>
          </w:p>
        </w:tc>
      </w:tr>
      <w:tr w:rsidR="007E0724" w14:paraId="5D917115" w14:textId="77777777">
        <w:trPr>
          <w:trHeight w:val="360"/>
        </w:trPr>
        <w:tc>
          <w:tcPr>
            <w:tcW w:w="2844" w:type="dxa"/>
            <w:tcMar>
              <w:top w:w="100" w:type="dxa"/>
              <w:left w:w="0" w:type="dxa"/>
              <w:bottom w:w="100" w:type="dxa"/>
              <w:right w:w="0" w:type="dxa"/>
            </w:tcMar>
          </w:tcPr>
          <w:p w14:paraId="1D88EE8E" w14:textId="77777777" w:rsidR="007E0724" w:rsidRDefault="00C4775C">
            <w:pPr>
              <w:pStyle w:val="AnnexNumberedText"/>
              <w:ind w:right="40"/>
            </w:pPr>
            <w:r>
              <w:t>3)</w:t>
            </w:r>
            <w:r>
              <w:tab/>
              <w:t>Sjálfbær notkun og verndun vatns- og sjávarauðlinda</w:t>
            </w:r>
          </w:p>
        </w:tc>
        <w:tc>
          <w:tcPr>
            <w:tcW w:w="5908" w:type="dxa"/>
            <w:tcMar>
              <w:top w:w="100" w:type="dxa"/>
              <w:left w:w="0" w:type="dxa"/>
              <w:bottom w:w="100" w:type="dxa"/>
              <w:right w:w="0" w:type="dxa"/>
            </w:tcMar>
          </w:tcPr>
          <w:p w14:paraId="29347C4D" w14:textId="77777777" w:rsidR="007E0724" w:rsidRDefault="00C4775C">
            <w:pPr>
              <w:pStyle w:val="AnnexTableCellLeft"/>
              <w:ind w:left="40"/>
            </w:pPr>
            <w:r>
              <w:t>Starfsemin er í samræmi við viðmiðanirnar sem settar eru fram í viðbæti B við þennan viðauka.</w:t>
            </w:r>
          </w:p>
        </w:tc>
      </w:tr>
      <w:tr w:rsidR="007E0724" w14:paraId="69E03E1C" w14:textId="77777777">
        <w:trPr>
          <w:trHeight w:val="360"/>
        </w:trPr>
        <w:tc>
          <w:tcPr>
            <w:tcW w:w="2844" w:type="dxa"/>
            <w:tcMar>
              <w:top w:w="100" w:type="dxa"/>
              <w:left w:w="0" w:type="dxa"/>
              <w:bottom w:w="100" w:type="dxa"/>
              <w:right w:w="0" w:type="dxa"/>
            </w:tcMar>
          </w:tcPr>
          <w:p w14:paraId="2FAC2E0A" w14:textId="77777777" w:rsidR="007E0724" w:rsidRDefault="00C4775C">
            <w:pPr>
              <w:pStyle w:val="AnnexNumberedText"/>
              <w:ind w:right="40"/>
            </w:pPr>
            <w:r>
              <w:t>4)</w:t>
            </w:r>
            <w:r>
              <w:tab/>
              <w:t>Umskipti yfir í hringrásarhagkerfi</w:t>
            </w:r>
          </w:p>
        </w:tc>
        <w:tc>
          <w:tcPr>
            <w:tcW w:w="5908" w:type="dxa"/>
            <w:tcMar>
              <w:top w:w="100" w:type="dxa"/>
              <w:left w:w="0" w:type="dxa"/>
              <w:bottom w:w="100" w:type="dxa"/>
              <w:right w:w="0" w:type="dxa"/>
            </w:tcMar>
          </w:tcPr>
          <w:p w14:paraId="7B6EEF53" w14:textId="77777777" w:rsidR="007E0724" w:rsidRDefault="00C4775C">
            <w:pPr>
              <w:pStyle w:val="AnnexTableCellLeft"/>
              <w:ind w:left="40"/>
            </w:pPr>
            <w:r>
              <w:t>Á ekki við</w:t>
            </w:r>
          </w:p>
        </w:tc>
      </w:tr>
      <w:tr w:rsidR="007E0724" w14:paraId="1FB6555E" w14:textId="77777777">
        <w:trPr>
          <w:trHeight w:val="360"/>
        </w:trPr>
        <w:tc>
          <w:tcPr>
            <w:tcW w:w="2844" w:type="dxa"/>
            <w:tcMar>
              <w:top w:w="100" w:type="dxa"/>
              <w:left w:w="0" w:type="dxa"/>
              <w:bottom w:w="100" w:type="dxa"/>
              <w:right w:w="0" w:type="dxa"/>
            </w:tcMar>
          </w:tcPr>
          <w:p w14:paraId="5ABB94DB" w14:textId="77777777" w:rsidR="007E0724" w:rsidRDefault="00C4775C">
            <w:pPr>
              <w:pStyle w:val="AnnexNumberedText"/>
              <w:ind w:right="40"/>
            </w:pPr>
            <w:r>
              <w:t>5)</w:t>
            </w:r>
            <w:r>
              <w:tab/>
              <w:t>Mengunarvarnir og eftirlit með mengun</w:t>
            </w:r>
          </w:p>
        </w:tc>
        <w:tc>
          <w:tcPr>
            <w:tcW w:w="5908" w:type="dxa"/>
            <w:tcMar>
              <w:top w:w="100" w:type="dxa"/>
              <w:left w:w="0" w:type="dxa"/>
              <w:bottom w:w="100" w:type="dxa"/>
              <w:right w:w="0" w:type="dxa"/>
            </w:tcMar>
          </w:tcPr>
          <w:p w14:paraId="694A89D8" w14:textId="77777777" w:rsidR="007E0724" w:rsidRDefault="00C4775C">
            <w:pPr>
              <w:pStyle w:val="AnnexTableCellLeft"/>
              <w:spacing w:after="240"/>
              <w:ind w:left="40"/>
            </w:pPr>
            <w:r>
              <w:t>Starfsemin er í samræmi við viðmiðanirnar sem settar eru fram í viðbæti C við þennan viðauka.</w:t>
            </w:r>
          </w:p>
          <w:p w14:paraId="6B972012" w14:textId="77777777" w:rsidR="007E0724" w:rsidRDefault="00C4775C">
            <w:pPr>
              <w:pStyle w:val="AnnexTableCellLeft"/>
              <w:ind w:left="40"/>
            </w:pPr>
            <w:r>
              <w:t>Losun fellur innan við eða undir svið losunargilda sem tengjast bestu aðgengilegu tækni samkvæmt nýjustu viðeigandi niðurstöðum um bestu aðgengilegu tækni, þ.m.t. niðurstöður um bestu aðgengilegu tækni fyrir iðnað með járnlausan málm (</w:t>
            </w:r>
            <w:r>
              <w:rPr>
                <w:rStyle w:val="Tilvsunneanmlsgrein"/>
                <w:sz w:val="18"/>
                <w:szCs w:val="18"/>
              </w:rPr>
              <w:footnoteReference w:id="125"/>
            </w:r>
            <w:r>
              <w:t>). Engin umtalsverð yfirfærsluáhrif milli umhverfishólfa eiga sér stað.</w:t>
            </w:r>
          </w:p>
        </w:tc>
      </w:tr>
      <w:tr w:rsidR="007E0724" w14:paraId="4FF71430" w14:textId="77777777">
        <w:trPr>
          <w:trHeight w:val="360"/>
        </w:trPr>
        <w:tc>
          <w:tcPr>
            <w:tcW w:w="2844" w:type="dxa"/>
            <w:tcMar>
              <w:top w:w="100" w:type="dxa"/>
              <w:left w:w="0" w:type="dxa"/>
              <w:bottom w:w="100" w:type="dxa"/>
              <w:right w:w="0" w:type="dxa"/>
            </w:tcMar>
          </w:tcPr>
          <w:p w14:paraId="30F5B052" w14:textId="77777777" w:rsidR="007E0724" w:rsidRDefault="00C4775C">
            <w:pPr>
              <w:pStyle w:val="AnnexNumberedText"/>
              <w:ind w:right="40"/>
            </w:pPr>
            <w:r>
              <w:t>6)</w:t>
            </w:r>
            <w:r>
              <w:tab/>
              <w:t>Vernd og endurheimt líffræðilegrar fjölbreytni og vistkerfa</w:t>
            </w:r>
          </w:p>
        </w:tc>
        <w:tc>
          <w:tcPr>
            <w:tcW w:w="5908" w:type="dxa"/>
            <w:tcMar>
              <w:top w:w="100" w:type="dxa"/>
              <w:left w:w="0" w:type="dxa"/>
              <w:bottom w:w="100" w:type="dxa"/>
              <w:right w:w="0" w:type="dxa"/>
            </w:tcMar>
          </w:tcPr>
          <w:p w14:paraId="5C7A03F7" w14:textId="77777777" w:rsidR="007E0724" w:rsidRDefault="00C4775C">
            <w:pPr>
              <w:pStyle w:val="AnnexTableCellLeft"/>
              <w:ind w:left="40"/>
            </w:pPr>
            <w:r>
              <w:t>Starfsemin er í samræmi við viðmiðanirnar sem settar eru fram í viðbæti D við þennan viðauka.</w:t>
            </w:r>
          </w:p>
        </w:tc>
      </w:tr>
    </w:tbl>
    <w:p w14:paraId="54CE6022" w14:textId="77777777" w:rsidR="007E0724" w:rsidRDefault="00C4775C">
      <w:pPr>
        <w:pStyle w:val="AnnexNumberedText"/>
        <w:spacing w:before="200" w:after="280"/>
        <w:ind w:left="504" w:hanging="504"/>
      </w:pPr>
      <w:r>
        <w:t>3.9.</w:t>
      </w:r>
      <w:r>
        <w:rPr>
          <w:b/>
        </w:rPr>
        <w:tab/>
        <w:t>Framleiðsla á járni og stáli</w:t>
      </w:r>
    </w:p>
    <w:p w14:paraId="0C4AEB5F" w14:textId="77777777" w:rsidR="007E0724" w:rsidRDefault="00C4775C">
      <w:pPr>
        <w:pStyle w:val="AnnexGrSeq3"/>
        <w:spacing w:after="280"/>
        <w:ind w:left="500"/>
        <w:jc w:val="left"/>
      </w:pPr>
      <w:r>
        <w:rPr>
          <w:i/>
        </w:rPr>
        <w:lastRenderedPageBreak/>
        <w:t>Lýsing á starfseminni</w:t>
      </w:r>
    </w:p>
    <w:p w14:paraId="31344805" w14:textId="77777777" w:rsidR="007E0724" w:rsidRDefault="00C4775C">
      <w:pPr>
        <w:pStyle w:val="AnnexNormal"/>
        <w:spacing w:after="0"/>
        <w:ind w:left="500"/>
        <w:jc w:val="left"/>
      </w:pPr>
      <w:r>
        <w:t>Framleiðsla á járni og stáli.</w:t>
      </w:r>
      <w:r>
        <w:br w:type="page"/>
      </w:r>
    </w:p>
    <w:p w14:paraId="3DBBBD9C" w14:textId="77777777" w:rsidR="007E0724" w:rsidRDefault="00C4775C">
      <w:pPr>
        <w:pStyle w:val="AnnexNormal"/>
        <w:ind w:left="500"/>
      </w:pPr>
      <w:r>
        <w:lastRenderedPageBreak/>
        <w:t>Atvinnustarfsemin í þessum flokki gæti tengst nokkrum kóðum atvinnugreinaflokkunar Evrópusambandsins, einkum C24.10, C24.20, C24.31, C24.32, C24.33, C24.34, C24.51 og C24.52 í samræmi við atvinnugreinaflokkunina sem komið var á með reglugerð (EB) nr. 1893/2006.</w:t>
      </w:r>
    </w:p>
    <w:p w14:paraId="6665E2AF" w14:textId="77777777" w:rsidR="007E0724" w:rsidRDefault="00C4775C">
      <w:pPr>
        <w:pStyle w:val="AnnexNormal"/>
        <w:ind w:left="500"/>
      </w:pPr>
      <w:r>
        <w:t>Atvinnustarfsemi í þessum flokki er umbreytingarstarfsemi, eins og um getur í 2. mgr. 10. gr. reglugerðar (ESB) 2020/852, þegar hún er í samræmi við tæknilegu matsviðmiðin sem sett eru fram í þessum þætti.</w:t>
      </w:r>
    </w:p>
    <w:p w14:paraId="6DB64BAF" w14:textId="77777777" w:rsidR="007E0724" w:rsidRDefault="00C4775C">
      <w:pPr>
        <w:pStyle w:val="AnnexGrSeq3"/>
        <w:ind w:left="500"/>
        <w:jc w:val="both"/>
      </w:pPr>
      <w:r>
        <w:rPr>
          <w:i/>
        </w:rPr>
        <w:t>Tæknileg matsviðmið</w:t>
      </w:r>
    </w:p>
    <w:tbl>
      <w:tblPr>
        <w:tblStyle w:val="EFTATable"/>
        <w:tblW w:w="8740" w:type="dxa"/>
        <w:tblInd w:w="500" w:type="dxa"/>
        <w:tblLayout w:type="fixed"/>
        <w:tblCellMar>
          <w:left w:w="0" w:type="dxa"/>
          <w:right w:w="0" w:type="dxa"/>
        </w:tblCellMar>
        <w:tblLook w:val="04A0" w:firstRow="1" w:lastRow="0" w:firstColumn="1" w:lastColumn="0" w:noHBand="0" w:noVBand="1"/>
      </w:tblPr>
      <w:tblGrid>
        <w:gridCol w:w="2848"/>
        <w:gridCol w:w="5892"/>
      </w:tblGrid>
      <w:tr w:rsidR="007E0724" w14:paraId="749A9313" w14:textId="77777777">
        <w:trPr>
          <w:trHeight w:val="240"/>
        </w:trPr>
        <w:tc>
          <w:tcPr>
            <w:tcW w:w="8740" w:type="dxa"/>
            <w:gridSpan w:val="2"/>
            <w:tcMar>
              <w:top w:w="100" w:type="dxa"/>
              <w:bottom w:w="100" w:type="dxa"/>
            </w:tcMar>
          </w:tcPr>
          <w:p w14:paraId="058258F0"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34320413" w14:textId="77777777">
        <w:trPr>
          <w:trHeight w:val="240"/>
        </w:trPr>
        <w:tc>
          <w:tcPr>
            <w:tcW w:w="8740" w:type="dxa"/>
            <w:gridSpan w:val="2"/>
            <w:tcMar>
              <w:top w:w="100" w:type="dxa"/>
              <w:bottom w:w="100" w:type="dxa"/>
            </w:tcMar>
          </w:tcPr>
          <w:p w14:paraId="69094054" w14:textId="77777777" w:rsidR="007E0724" w:rsidRDefault="00C4775C">
            <w:pPr>
              <w:pStyle w:val="AnnexTableCellLeft"/>
              <w:spacing w:after="180"/>
            </w:pPr>
            <w:r>
              <w:t>Með starfseminni er framleitt eitt af eftirfarandi:</w:t>
            </w:r>
          </w:p>
          <w:p w14:paraId="22F5BD3F" w14:textId="77777777" w:rsidR="007E0724" w:rsidRDefault="00C4775C">
            <w:pPr>
              <w:pStyle w:val="AnnexNumberedText"/>
              <w:spacing w:after="180"/>
              <w:rPr>
                <w:szCs w:val="18"/>
              </w:rPr>
            </w:pPr>
            <w:r>
              <w:t>a)</w:t>
            </w:r>
            <w:r>
              <w:tab/>
              <w:t>járn og stál þar sem losun gróðurhúsalofttegunda (</w:t>
            </w:r>
            <w:r>
              <w:rPr>
                <w:rStyle w:val="Tilvsunneanmlsgrein"/>
                <w:sz w:val="18"/>
                <w:szCs w:val="18"/>
              </w:rPr>
              <w:footnoteReference w:id="126"/>
            </w:r>
            <w:r>
              <w:t>), lækkuð um magn losunar sem er úthlutað til framleiðslu úrgangslofttegunda í samræmi við a-lið í lið 10.1.5 í VII. viðauka við reglugerð (ESB) 2019/331, fer ekki yfir eftirfarandi gildi fyrir mismunandi þrep í framleiðsluferlinu:</w:t>
            </w:r>
          </w:p>
          <w:p w14:paraId="4869CE7C" w14:textId="77777777" w:rsidR="007E0724" w:rsidRDefault="00C4775C">
            <w:pPr>
              <w:pStyle w:val="AnnexNumberedText"/>
              <w:spacing w:after="180"/>
              <w:ind w:left="600"/>
              <w:rPr>
                <w:szCs w:val="18"/>
              </w:rPr>
            </w:pPr>
            <w:r>
              <w:t>i.</w:t>
            </w:r>
            <w:r>
              <w:tab/>
              <w:t>heitur málmur = 1,331 (</w:t>
            </w:r>
            <w:r>
              <w:rPr>
                <w:rStyle w:val="Tilvsunneanmlsgrein"/>
                <w:sz w:val="18"/>
                <w:szCs w:val="18"/>
              </w:rPr>
              <w:footnoteReference w:id="127"/>
            </w:r>
            <w:r>
              <w:t>) tCO</w:t>
            </w:r>
            <w:r>
              <w:rPr>
                <w:vertAlign w:val="subscript"/>
              </w:rPr>
              <w:t>2</w:t>
            </w:r>
            <w:r>
              <w:t>e/t vöru,</w:t>
            </w:r>
          </w:p>
          <w:p w14:paraId="1E235885" w14:textId="77777777" w:rsidR="007E0724" w:rsidRDefault="00C4775C">
            <w:pPr>
              <w:pStyle w:val="AnnexNumberedText"/>
              <w:spacing w:after="180"/>
              <w:ind w:left="600"/>
              <w:rPr>
                <w:szCs w:val="18"/>
              </w:rPr>
            </w:pPr>
            <w:r>
              <w:t>ii.</w:t>
            </w:r>
            <w:r>
              <w:tab/>
              <w:t>glætt málmgrýti = 0,163 (</w:t>
            </w:r>
            <w:r>
              <w:rPr>
                <w:rStyle w:val="Tilvsunneanmlsgrein"/>
                <w:sz w:val="18"/>
                <w:szCs w:val="18"/>
              </w:rPr>
              <w:footnoteReference w:id="128"/>
            </w:r>
            <w:r>
              <w:t>) tCO</w:t>
            </w:r>
            <w:r>
              <w:rPr>
                <w:vertAlign w:val="subscript"/>
              </w:rPr>
              <w:t>2</w:t>
            </w:r>
            <w:r>
              <w:t>e/t vöru,</w:t>
            </w:r>
          </w:p>
          <w:p w14:paraId="4D07A841" w14:textId="77777777" w:rsidR="007E0724" w:rsidRDefault="00C4775C">
            <w:pPr>
              <w:pStyle w:val="AnnexNumberedText"/>
              <w:spacing w:after="180"/>
              <w:ind w:left="600"/>
              <w:rPr>
                <w:szCs w:val="18"/>
              </w:rPr>
            </w:pPr>
            <w:r>
              <w:t>iii.</w:t>
            </w:r>
            <w:r>
              <w:tab/>
              <w:t>koks (að undanskildum brúnkolum) = 0,144 (</w:t>
            </w:r>
            <w:r>
              <w:rPr>
                <w:rStyle w:val="Tilvsunneanmlsgrein"/>
                <w:sz w:val="18"/>
                <w:szCs w:val="18"/>
              </w:rPr>
              <w:footnoteReference w:id="129"/>
            </w:r>
            <w:r>
              <w:t>) tCO</w:t>
            </w:r>
            <w:r>
              <w:rPr>
                <w:vertAlign w:val="subscript"/>
              </w:rPr>
              <w:t>2</w:t>
            </w:r>
            <w:r>
              <w:t>e/t vöru,</w:t>
            </w:r>
          </w:p>
          <w:p w14:paraId="39CE9975" w14:textId="77777777" w:rsidR="007E0724" w:rsidRDefault="00C4775C">
            <w:pPr>
              <w:pStyle w:val="AnnexNumberedText"/>
              <w:spacing w:after="180"/>
              <w:ind w:left="600"/>
              <w:rPr>
                <w:szCs w:val="18"/>
              </w:rPr>
            </w:pPr>
            <w:r>
              <w:t>iv.</w:t>
            </w:r>
            <w:r>
              <w:tab/>
              <w:t>járnsteypa = 0,299 (</w:t>
            </w:r>
            <w:r>
              <w:rPr>
                <w:rStyle w:val="Tilvsunneanmlsgrein"/>
                <w:sz w:val="18"/>
                <w:szCs w:val="18"/>
              </w:rPr>
              <w:footnoteReference w:id="130"/>
            </w:r>
            <w:r>
              <w:t>) tCO</w:t>
            </w:r>
            <w:r>
              <w:rPr>
                <w:vertAlign w:val="subscript"/>
              </w:rPr>
              <w:t>2</w:t>
            </w:r>
            <w:r>
              <w:t>e/t vöru,</w:t>
            </w:r>
          </w:p>
          <w:p w14:paraId="45E20129" w14:textId="77777777" w:rsidR="007E0724" w:rsidRDefault="00C4775C">
            <w:pPr>
              <w:pStyle w:val="AnnexNumberedText"/>
              <w:spacing w:after="180"/>
              <w:ind w:left="600"/>
              <w:rPr>
                <w:szCs w:val="18"/>
              </w:rPr>
            </w:pPr>
            <w:r>
              <w:t>v.</w:t>
            </w:r>
            <w:r>
              <w:tab/>
              <w:t xml:space="preserve">mikið blandað stál úr </w:t>
            </w:r>
            <w:proofErr w:type="spellStart"/>
            <w:r>
              <w:t>rafknúnum</w:t>
            </w:r>
            <w:proofErr w:type="spellEnd"/>
            <w:r>
              <w:t xml:space="preserve"> ljósbogaofni (EAF) = 0,266 (</w:t>
            </w:r>
            <w:r>
              <w:rPr>
                <w:rStyle w:val="Tilvsunneanmlsgrein"/>
                <w:sz w:val="18"/>
                <w:szCs w:val="18"/>
              </w:rPr>
              <w:footnoteReference w:id="131"/>
            </w:r>
            <w:r>
              <w:t>) tCO</w:t>
            </w:r>
            <w:r>
              <w:rPr>
                <w:vertAlign w:val="subscript"/>
              </w:rPr>
              <w:t>2</w:t>
            </w:r>
            <w:r>
              <w:t>e/t vöru,</w:t>
            </w:r>
          </w:p>
          <w:p w14:paraId="0A534BB4" w14:textId="77777777" w:rsidR="007E0724" w:rsidRDefault="00C4775C">
            <w:pPr>
              <w:pStyle w:val="AnnexNumberedText"/>
              <w:spacing w:after="180"/>
              <w:ind w:left="600"/>
            </w:pPr>
            <w:r>
              <w:t>vi.</w:t>
            </w:r>
            <w:r>
              <w:tab/>
              <w:t xml:space="preserve">kolstál úr </w:t>
            </w:r>
            <w:proofErr w:type="spellStart"/>
            <w:r>
              <w:t>rafknúnum</w:t>
            </w:r>
            <w:proofErr w:type="spellEnd"/>
            <w:r>
              <w:t xml:space="preserve"> ljósbogaofni (EAF) = 0,209 (</w:t>
            </w:r>
            <w:r>
              <w:rPr>
                <w:rStyle w:val="Tilvsunneanmlsgrein"/>
                <w:sz w:val="18"/>
                <w:szCs w:val="18"/>
              </w:rPr>
              <w:footnoteReference w:id="132"/>
            </w:r>
            <w:r>
              <w:t>) tCO2e/t vöru,</w:t>
            </w:r>
          </w:p>
          <w:p w14:paraId="388BE8A5" w14:textId="77777777" w:rsidR="007E0724" w:rsidRDefault="00C4775C">
            <w:pPr>
              <w:pStyle w:val="AnnexNumberedText"/>
              <w:spacing w:after="180"/>
            </w:pPr>
            <w:r>
              <w:t>b)</w:t>
            </w:r>
            <w:r>
              <w:tab/>
              <w:t xml:space="preserve">stál í </w:t>
            </w:r>
            <w:proofErr w:type="spellStart"/>
            <w:r>
              <w:t>rafknúnum</w:t>
            </w:r>
            <w:proofErr w:type="spellEnd"/>
            <w:r>
              <w:t xml:space="preserve"> ljósbogaofnum (EAF) til framleiðslu á kolstáli úr </w:t>
            </w:r>
            <w:proofErr w:type="spellStart"/>
            <w:r>
              <w:t>rafknúnum</w:t>
            </w:r>
            <w:proofErr w:type="spellEnd"/>
            <w:r>
              <w:t xml:space="preserve"> ljósbogaofni eða mikið blandað stál úr </w:t>
            </w:r>
            <w:proofErr w:type="spellStart"/>
            <w:r>
              <w:t>rafknúnum</w:t>
            </w:r>
            <w:proofErr w:type="spellEnd"/>
            <w:r>
              <w:t xml:space="preserve"> ljósbogaofni, eins og skilgreint er í framseldri reglugerð framkvæmdastjórnarinnar (ESB) 2019/331 og þar sem ílag brotamálms úr stáli í hlutfalli við frálag vöru er ekki minna en:</w:t>
            </w:r>
          </w:p>
          <w:p w14:paraId="6A68DAE1" w14:textId="77777777" w:rsidR="007E0724" w:rsidRDefault="00C4775C">
            <w:pPr>
              <w:pStyle w:val="AnnexNumberedText"/>
              <w:spacing w:after="180"/>
              <w:ind w:left="600"/>
            </w:pPr>
            <w:r>
              <w:t>i.</w:t>
            </w:r>
            <w:r>
              <w:tab/>
              <w:t>70% fyrir framleiðslu á mikið blönduðu stáli,</w:t>
            </w:r>
          </w:p>
          <w:p w14:paraId="53A1DAE1" w14:textId="77777777" w:rsidR="007E0724" w:rsidRDefault="00C4775C">
            <w:pPr>
              <w:pStyle w:val="AnnexNumberedText"/>
              <w:spacing w:after="180"/>
              <w:ind w:left="600"/>
            </w:pPr>
            <w:r>
              <w:t>ii.</w:t>
            </w:r>
            <w:r>
              <w:tab/>
              <w:t>90% fyrir framleiðslu á kolstáli.</w:t>
            </w:r>
          </w:p>
          <w:p w14:paraId="0356CE39" w14:textId="77777777" w:rsidR="007E0724" w:rsidRDefault="00C4775C">
            <w:pPr>
              <w:pStyle w:val="AnnexTableCellLeft"/>
            </w:pPr>
            <w:r>
              <w:t>Ef koltvísýringur, sem væri að öðrum kosti losaður í framleiðsluferlinu, er fangaður í þeim tilgangi að geyma hann neðanjarðar er koltvísýringurinn fluttur og geymdur neðanjarðar í samræmi við tæknilegu matsviðmiðin sem sett eru fram í þáttum 5.11 og 5.12 í þessum viðauka.</w:t>
            </w:r>
          </w:p>
        </w:tc>
      </w:tr>
      <w:tr w:rsidR="007E0724" w14:paraId="26FB2A49" w14:textId="77777777">
        <w:trPr>
          <w:trHeight w:val="240"/>
        </w:trPr>
        <w:tc>
          <w:tcPr>
            <w:tcW w:w="8740" w:type="dxa"/>
            <w:gridSpan w:val="2"/>
            <w:tcMar>
              <w:top w:w="100" w:type="dxa"/>
              <w:bottom w:w="100" w:type="dxa"/>
            </w:tcMar>
          </w:tcPr>
          <w:p w14:paraId="7DD31C8C" w14:textId="77777777" w:rsidR="007E0724" w:rsidRDefault="00C4775C">
            <w:pPr>
              <w:pStyle w:val="AnnexTableCellLeft"/>
            </w:pPr>
            <w:r>
              <w:t>Ekki valda umtalsverðu tjóni</w:t>
            </w:r>
          </w:p>
        </w:tc>
      </w:tr>
      <w:tr w:rsidR="007E0724" w14:paraId="2C27CB6A" w14:textId="77777777">
        <w:trPr>
          <w:trHeight w:val="360"/>
        </w:trPr>
        <w:tc>
          <w:tcPr>
            <w:tcW w:w="2848" w:type="dxa"/>
            <w:tcMar>
              <w:top w:w="100" w:type="dxa"/>
              <w:bottom w:w="100" w:type="dxa"/>
            </w:tcMar>
          </w:tcPr>
          <w:p w14:paraId="0C91FD14" w14:textId="77777777" w:rsidR="007E0724" w:rsidRDefault="00C4775C">
            <w:pPr>
              <w:pStyle w:val="AnnexNumberedText"/>
              <w:ind w:right="40"/>
            </w:pPr>
            <w:r>
              <w:t>2)</w:t>
            </w:r>
            <w:r>
              <w:tab/>
              <w:t>Aðlögun að loftslagsbreytingum</w:t>
            </w:r>
          </w:p>
        </w:tc>
        <w:tc>
          <w:tcPr>
            <w:tcW w:w="5892" w:type="dxa"/>
            <w:tcMar>
              <w:top w:w="100" w:type="dxa"/>
              <w:bottom w:w="100" w:type="dxa"/>
            </w:tcMar>
          </w:tcPr>
          <w:p w14:paraId="57A6917A" w14:textId="77777777" w:rsidR="007E0724" w:rsidRDefault="00C4775C">
            <w:pPr>
              <w:pStyle w:val="AnnexTableCellLeft"/>
              <w:ind w:left="40"/>
            </w:pPr>
            <w:r>
              <w:t>Starfsemin er í samræmi við viðmiðanirnar sem settar eru fram í viðbæti A við þennan viðauka.</w:t>
            </w:r>
          </w:p>
        </w:tc>
      </w:tr>
      <w:tr w:rsidR="007E0724" w14:paraId="52AFA543" w14:textId="77777777">
        <w:trPr>
          <w:trHeight w:val="23"/>
        </w:trPr>
        <w:tc>
          <w:tcPr>
            <w:tcW w:w="2848" w:type="dxa"/>
            <w:tcMar>
              <w:top w:w="100" w:type="dxa"/>
              <w:bottom w:w="100" w:type="dxa"/>
            </w:tcMar>
          </w:tcPr>
          <w:p w14:paraId="0DB37009" w14:textId="77777777" w:rsidR="007E0724" w:rsidRDefault="00C4775C">
            <w:pPr>
              <w:pStyle w:val="AnnexNumberedText"/>
              <w:ind w:right="40"/>
            </w:pPr>
            <w:r>
              <w:t>3)</w:t>
            </w:r>
            <w:r>
              <w:tab/>
              <w:t>Sjálfbær notkun og verndun vatns- og sjávarauðlinda</w:t>
            </w:r>
          </w:p>
        </w:tc>
        <w:tc>
          <w:tcPr>
            <w:tcW w:w="5892" w:type="dxa"/>
            <w:tcMar>
              <w:top w:w="100" w:type="dxa"/>
              <w:bottom w:w="100" w:type="dxa"/>
            </w:tcMar>
          </w:tcPr>
          <w:p w14:paraId="37DDCA88" w14:textId="77777777" w:rsidR="007E0724" w:rsidRDefault="00C4775C">
            <w:pPr>
              <w:pStyle w:val="AnnexTableCellLeft"/>
              <w:ind w:left="40"/>
            </w:pPr>
            <w:r>
              <w:t>Starfsemin er í samræmi við viðmiðanirnar sem settar eru fram í viðbæti B við þennan viðauka.</w:t>
            </w:r>
          </w:p>
        </w:tc>
      </w:tr>
      <w:tr w:rsidR="007E0724" w14:paraId="16470B88" w14:textId="77777777">
        <w:trPr>
          <w:trHeight w:val="360"/>
        </w:trPr>
        <w:tc>
          <w:tcPr>
            <w:tcW w:w="2848" w:type="dxa"/>
            <w:tcMar>
              <w:top w:w="100" w:type="dxa"/>
              <w:bottom w:w="100" w:type="dxa"/>
            </w:tcMar>
          </w:tcPr>
          <w:p w14:paraId="3763DDB9" w14:textId="77777777" w:rsidR="007E0724" w:rsidRDefault="00C4775C">
            <w:pPr>
              <w:pStyle w:val="AnnexNumberedText"/>
              <w:ind w:right="40"/>
            </w:pPr>
            <w:r>
              <w:lastRenderedPageBreak/>
              <w:t>4)</w:t>
            </w:r>
            <w:r>
              <w:tab/>
              <w:t>Umskipti yfir í hringrásarhagkerfi</w:t>
            </w:r>
          </w:p>
        </w:tc>
        <w:tc>
          <w:tcPr>
            <w:tcW w:w="5892" w:type="dxa"/>
            <w:tcMar>
              <w:top w:w="100" w:type="dxa"/>
              <w:bottom w:w="100" w:type="dxa"/>
            </w:tcMar>
          </w:tcPr>
          <w:p w14:paraId="0D3DC8A5" w14:textId="77777777" w:rsidR="007E0724" w:rsidRDefault="00C4775C">
            <w:pPr>
              <w:pStyle w:val="AnnexTableCellLeft"/>
              <w:ind w:left="40"/>
            </w:pPr>
            <w:r>
              <w:t>Á ekki við</w:t>
            </w:r>
          </w:p>
        </w:tc>
      </w:tr>
      <w:tr w:rsidR="007E0724" w14:paraId="15E4DD6A" w14:textId="77777777">
        <w:trPr>
          <w:trHeight w:val="360"/>
        </w:trPr>
        <w:tc>
          <w:tcPr>
            <w:tcW w:w="2848" w:type="dxa"/>
            <w:tcMar>
              <w:top w:w="100" w:type="dxa"/>
              <w:bottom w:w="100" w:type="dxa"/>
            </w:tcMar>
          </w:tcPr>
          <w:p w14:paraId="3E920C9D" w14:textId="77777777" w:rsidR="007E0724" w:rsidRDefault="00C4775C">
            <w:pPr>
              <w:pStyle w:val="AnnexNumberedText"/>
              <w:pageBreakBefore/>
            </w:pPr>
            <w:r>
              <w:lastRenderedPageBreak/>
              <w:t>5)</w:t>
            </w:r>
            <w:r>
              <w:tab/>
              <w:t>Mengunarvarnir og eftirlit með mengun</w:t>
            </w:r>
          </w:p>
        </w:tc>
        <w:tc>
          <w:tcPr>
            <w:tcW w:w="5892" w:type="dxa"/>
            <w:tcMar>
              <w:top w:w="100" w:type="dxa"/>
              <w:bottom w:w="100" w:type="dxa"/>
            </w:tcMar>
          </w:tcPr>
          <w:p w14:paraId="03FAC352" w14:textId="77777777" w:rsidR="007E0724" w:rsidRDefault="00C4775C">
            <w:pPr>
              <w:pStyle w:val="AnnexTableCellLeft"/>
              <w:spacing w:after="200"/>
              <w:ind w:left="40"/>
            </w:pPr>
            <w:r>
              <w:t>Starfsemin er í samræmi við viðmiðanirnar sem settar eru fram í viðbæti C við þennan viðauka.</w:t>
            </w:r>
          </w:p>
          <w:p w14:paraId="4623E3ED" w14:textId="77777777" w:rsidR="007E0724" w:rsidRDefault="00C4775C">
            <w:pPr>
              <w:pStyle w:val="AnnexTableCellLeft"/>
              <w:spacing w:after="200"/>
              <w:ind w:left="40"/>
            </w:pPr>
            <w:r>
              <w:t>Losun fellur innan við eða undir svið losunargilda sem tengjast bestu aðgengilegu tækni samkvæmt nýjustu viðeigandi niðurstöðum um bestu aðgengilegu tækni, þ.m.t. niðurstöður um bestu aðgengilegu tækni fyrir framleiðslu á járni og stáli (</w:t>
            </w:r>
            <w:r>
              <w:rPr>
                <w:rStyle w:val="Tilvsunneanmlsgrein"/>
                <w:sz w:val="18"/>
                <w:szCs w:val="18"/>
              </w:rPr>
              <w:footnoteReference w:id="133"/>
            </w:r>
            <w:r>
              <w:t>).</w:t>
            </w:r>
          </w:p>
          <w:p w14:paraId="69EBCB58" w14:textId="77777777" w:rsidR="007E0724" w:rsidRDefault="00C4775C">
            <w:pPr>
              <w:pStyle w:val="AnnexTableCellLeft"/>
              <w:ind w:left="40"/>
            </w:pPr>
            <w:r>
              <w:t>Engin umtalsverð yfirfærsluáhrif milli umhverfishólfa eiga sér stað.</w:t>
            </w:r>
          </w:p>
        </w:tc>
      </w:tr>
      <w:tr w:rsidR="007E0724" w14:paraId="421E0767" w14:textId="77777777">
        <w:trPr>
          <w:trHeight w:val="360"/>
        </w:trPr>
        <w:tc>
          <w:tcPr>
            <w:tcW w:w="2848" w:type="dxa"/>
            <w:tcMar>
              <w:top w:w="100" w:type="dxa"/>
              <w:bottom w:w="100" w:type="dxa"/>
            </w:tcMar>
          </w:tcPr>
          <w:p w14:paraId="080EFB4F" w14:textId="77777777" w:rsidR="007E0724" w:rsidRDefault="00C4775C">
            <w:pPr>
              <w:pStyle w:val="AnnexNumberedText"/>
            </w:pPr>
            <w:r>
              <w:t>6)</w:t>
            </w:r>
            <w:r>
              <w:tab/>
              <w:t>Vernd og endurheimt líffræðilegrar fjölbreytni og vistkerfa</w:t>
            </w:r>
          </w:p>
        </w:tc>
        <w:tc>
          <w:tcPr>
            <w:tcW w:w="5892" w:type="dxa"/>
            <w:tcMar>
              <w:top w:w="100" w:type="dxa"/>
              <w:bottom w:w="100" w:type="dxa"/>
            </w:tcMar>
          </w:tcPr>
          <w:p w14:paraId="41CBCA55" w14:textId="77777777" w:rsidR="007E0724" w:rsidRDefault="00C4775C">
            <w:pPr>
              <w:pStyle w:val="AnnexTableCellLeft"/>
              <w:ind w:left="40"/>
            </w:pPr>
            <w:r>
              <w:t>Starfsemin er í samræmi við viðmiðanirnar sem settar eru fram í viðbæti D við þennan viðauka.</w:t>
            </w:r>
          </w:p>
        </w:tc>
      </w:tr>
    </w:tbl>
    <w:p w14:paraId="150EE32C" w14:textId="77777777" w:rsidR="007E0724" w:rsidRDefault="00C4775C">
      <w:pPr>
        <w:pStyle w:val="AnnexNumberedText"/>
        <w:spacing w:before="200" w:after="240"/>
        <w:ind w:left="500" w:hanging="500"/>
      </w:pPr>
      <w:r>
        <w:t>3.10.</w:t>
      </w:r>
      <w:r>
        <w:rPr>
          <w:b/>
        </w:rPr>
        <w:tab/>
        <w:t>Framleiðsla á vetni</w:t>
      </w:r>
    </w:p>
    <w:p w14:paraId="772DBFE9" w14:textId="77777777" w:rsidR="007E0724" w:rsidRDefault="00C4775C">
      <w:pPr>
        <w:pStyle w:val="AnnexGrSeq3"/>
        <w:spacing w:after="240"/>
        <w:ind w:left="500"/>
        <w:jc w:val="left"/>
      </w:pPr>
      <w:r>
        <w:rPr>
          <w:i/>
        </w:rPr>
        <w:t>Lýsing á starfseminni</w:t>
      </w:r>
    </w:p>
    <w:p w14:paraId="31283EF0" w14:textId="77777777" w:rsidR="007E0724" w:rsidRDefault="00C4775C">
      <w:pPr>
        <w:pStyle w:val="AnnexNormal"/>
        <w:spacing w:after="240"/>
        <w:ind w:left="500"/>
        <w:jc w:val="left"/>
      </w:pPr>
      <w:r>
        <w:t>Framleiðsla á vetni og tilbúnu eldsneyti að stofni til úr vetni.</w:t>
      </w:r>
    </w:p>
    <w:p w14:paraId="7003493D" w14:textId="77777777" w:rsidR="007E0724" w:rsidRDefault="00C4775C">
      <w:pPr>
        <w:pStyle w:val="AnnexNormal"/>
        <w:spacing w:after="240"/>
        <w:ind w:left="500"/>
        <w:jc w:val="left"/>
      </w:pPr>
      <w:r>
        <w:t>Atvinnustarfsemin í þessum flokki gæti tengst kóða atvinnugreinaflokkunar Evrópusambandsins C20.11 í samræmi við atvinnugreinaflokkunina sem komið var á með reglugerð (EB) nr. 1893/2006.</w:t>
      </w:r>
    </w:p>
    <w:p w14:paraId="491D9103" w14:textId="77777777" w:rsidR="007E0724" w:rsidRDefault="00C4775C">
      <w:pPr>
        <w:pStyle w:val="AnnexGrSeq3"/>
        <w:spacing w:after="240"/>
        <w:ind w:left="500"/>
        <w:jc w:val="left"/>
      </w:pPr>
      <w:r>
        <w:rPr>
          <w:i/>
        </w:rPr>
        <w:t>Tæknileg matsviðmið</w:t>
      </w:r>
    </w:p>
    <w:tbl>
      <w:tblPr>
        <w:tblStyle w:val="EFTATable"/>
        <w:tblW w:w="8740" w:type="dxa"/>
        <w:tblInd w:w="500" w:type="dxa"/>
        <w:tblLayout w:type="fixed"/>
        <w:tblLook w:val="04A0" w:firstRow="1" w:lastRow="0" w:firstColumn="1" w:lastColumn="0" w:noHBand="0" w:noVBand="1"/>
      </w:tblPr>
      <w:tblGrid>
        <w:gridCol w:w="2860"/>
        <w:gridCol w:w="5880"/>
      </w:tblGrid>
      <w:tr w:rsidR="007E0724" w14:paraId="522C812B" w14:textId="77777777">
        <w:trPr>
          <w:trHeight w:val="240"/>
        </w:trPr>
        <w:tc>
          <w:tcPr>
            <w:tcW w:w="8740" w:type="dxa"/>
            <w:gridSpan w:val="2"/>
            <w:tcMar>
              <w:top w:w="100" w:type="dxa"/>
              <w:left w:w="0" w:type="dxa"/>
              <w:bottom w:w="100" w:type="dxa"/>
              <w:right w:w="0" w:type="dxa"/>
            </w:tcMar>
          </w:tcPr>
          <w:p w14:paraId="0E50F0A4" w14:textId="77777777" w:rsidR="007E0724" w:rsidRDefault="00C4775C">
            <w:pPr>
              <w:pStyle w:val="AnnexTableCellLeft"/>
              <w:rPr>
                <w:szCs w:val="18"/>
              </w:rPr>
            </w:pPr>
            <w:r>
              <w:t xml:space="preserve">Verulegt framlag til </w:t>
            </w:r>
            <w:proofErr w:type="spellStart"/>
            <w:r>
              <w:t>mildunar</w:t>
            </w:r>
            <w:proofErr w:type="spellEnd"/>
            <w:r>
              <w:t xml:space="preserve"> loftslagsbreytinga</w:t>
            </w:r>
          </w:p>
        </w:tc>
      </w:tr>
      <w:tr w:rsidR="007E0724" w14:paraId="3F689D35" w14:textId="77777777">
        <w:trPr>
          <w:trHeight w:val="240"/>
        </w:trPr>
        <w:tc>
          <w:tcPr>
            <w:tcW w:w="8740" w:type="dxa"/>
            <w:gridSpan w:val="2"/>
            <w:tcMar>
              <w:top w:w="100" w:type="dxa"/>
              <w:left w:w="0" w:type="dxa"/>
              <w:bottom w:w="100" w:type="dxa"/>
              <w:right w:w="0" w:type="dxa"/>
            </w:tcMar>
          </w:tcPr>
          <w:p w14:paraId="1064344D" w14:textId="77777777" w:rsidR="007E0724" w:rsidRDefault="00C4775C">
            <w:pPr>
              <w:pStyle w:val="AnnexTableCellLeft"/>
              <w:spacing w:after="260"/>
              <w:rPr>
                <w:szCs w:val="18"/>
              </w:rPr>
            </w:pPr>
            <w:r>
              <w:t>Starfsemin er í samræmi við kröfuna um að minnka losun gróðurhúsalofttegunda á vistferlinum um 73,4% fyrir vetni [sem leiðir til minni losunar gróðurhúsalofttegunda á vistferlinum en sem nemur 3tCO</w:t>
            </w:r>
            <w:r>
              <w:rPr>
                <w:vertAlign w:val="subscript"/>
              </w:rPr>
              <w:t>2</w:t>
            </w:r>
            <w:r>
              <w:t>e/tH</w:t>
            </w:r>
            <w:r>
              <w:rPr>
                <w:vertAlign w:val="subscript"/>
              </w:rPr>
              <w:t>2</w:t>
            </w:r>
            <w:r>
              <w:t>] og 70% fyrir tilbúið eldsneyti, að stofni til úr vetni, miðað við jarðefnaeldsneytissambera sem nemur 94 g CO</w:t>
            </w:r>
            <w:r>
              <w:rPr>
                <w:vertAlign w:val="subscript"/>
              </w:rPr>
              <w:t>2</w:t>
            </w:r>
            <w:r>
              <w:t>e/</w:t>
            </w:r>
            <w:proofErr w:type="spellStart"/>
            <w:r>
              <w:t>MJr</w:t>
            </w:r>
            <w:proofErr w:type="spellEnd"/>
            <w:r>
              <w:t>, í samræmi við aðferðina sem sett er fram í 2. mgr. 25. gr. og V. viðauka við tilskipun (ESB) 2018/2001.</w:t>
            </w:r>
          </w:p>
          <w:p w14:paraId="6F37341A" w14:textId="77777777" w:rsidR="007E0724" w:rsidRDefault="00C4775C">
            <w:pPr>
              <w:pStyle w:val="AnnexTableCellLeft"/>
              <w:spacing w:after="260"/>
              <w:rPr>
                <w:szCs w:val="18"/>
              </w:rPr>
            </w:pPr>
            <w:r>
              <w:t>Minnkun á losun gróðurhúsalofttegunda á vistferlinum er reiknuð út með því að nota aðferðina sem um getur í 5. mgr. 28. gr. tilskipunar (ESB) 2018/2001 eða, að öðrum kosti, með því að nota ISO 14067:2018 (</w:t>
            </w:r>
            <w:r>
              <w:rPr>
                <w:rStyle w:val="Tilvsunneanmlsgrein"/>
                <w:sz w:val="18"/>
                <w:szCs w:val="18"/>
              </w:rPr>
              <w:footnoteReference w:id="134"/>
            </w:r>
            <w:r>
              <w:t>) eða ISO 14064-1:2018 (</w:t>
            </w:r>
            <w:r>
              <w:rPr>
                <w:rStyle w:val="Tilvsunneanmlsgrein"/>
                <w:sz w:val="18"/>
                <w:szCs w:val="18"/>
              </w:rPr>
              <w:footnoteReference w:id="135"/>
            </w:r>
            <w:r>
              <w:t>).</w:t>
            </w:r>
          </w:p>
          <w:p w14:paraId="33D6CA40" w14:textId="77777777" w:rsidR="007E0724" w:rsidRDefault="00C4775C">
            <w:pPr>
              <w:pStyle w:val="AnnexTableCellLeft"/>
              <w:spacing w:after="260"/>
              <w:rPr>
                <w:szCs w:val="18"/>
              </w:rPr>
            </w:pPr>
            <w:r>
              <w:t>Magngreind minnkun á losun gróðurhúsalofttegunda á vistferlinum er sannprófuð í samræmi við 30. gr. tilskipunar (ESB) 2018/2001, eftir atvikum, eða af óháðum þriðja aðila.</w:t>
            </w:r>
          </w:p>
          <w:p w14:paraId="5219B604" w14:textId="77777777" w:rsidR="007E0724" w:rsidRDefault="00C4775C">
            <w:pPr>
              <w:pStyle w:val="AnnexTableCellLeft"/>
              <w:spacing w:after="260"/>
              <w:rPr>
                <w:szCs w:val="18"/>
              </w:rPr>
            </w:pPr>
            <w:r>
              <w:t>Ef koltvísýringur, sem væri að öðrum kosti losaður í framleiðsluferlinu, er fangaður í þeim tilgangi að geyma hann neðanjarðar er koltvísýringurinn fluttur og geymdur neðanjarðar í samræmi við tæknilegu matsviðmiðin sem sett eru fram í þáttum 5.11 og 5.12, eftir því sem við á, í þessum viðauka.</w:t>
            </w:r>
          </w:p>
        </w:tc>
      </w:tr>
      <w:tr w:rsidR="007E0724" w14:paraId="2DE3C461" w14:textId="77777777">
        <w:trPr>
          <w:trHeight w:val="240"/>
        </w:trPr>
        <w:tc>
          <w:tcPr>
            <w:tcW w:w="8740" w:type="dxa"/>
            <w:gridSpan w:val="2"/>
            <w:tcMar>
              <w:top w:w="100" w:type="dxa"/>
              <w:left w:w="0" w:type="dxa"/>
              <w:bottom w:w="100" w:type="dxa"/>
              <w:right w:w="0" w:type="dxa"/>
            </w:tcMar>
          </w:tcPr>
          <w:p w14:paraId="2B63C75B" w14:textId="77777777" w:rsidR="007E0724" w:rsidRDefault="00C4775C">
            <w:pPr>
              <w:pStyle w:val="AnnexTableCellLeft"/>
              <w:rPr>
                <w:szCs w:val="18"/>
              </w:rPr>
            </w:pPr>
            <w:r>
              <w:t>Ekki valda umtalsverðu tjóni</w:t>
            </w:r>
          </w:p>
        </w:tc>
      </w:tr>
      <w:tr w:rsidR="007E0724" w14:paraId="1F5B1991" w14:textId="77777777">
        <w:trPr>
          <w:trHeight w:val="360"/>
        </w:trPr>
        <w:tc>
          <w:tcPr>
            <w:tcW w:w="2860" w:type="dxa"/>
            <w:tcMar>
              <w:top w:w="100" w:type="dxa"/>
              <w:left w:w="0" w:type="dxa"/>
              <w:bottom w:w="100" w:type="dxa"/>
              <w:right w:w="40" w:type="dxa"/>
            </w:tcMar>
          </w:tcPr>
          <w:p w14:paraId="15F17A4F" w14:textId="77777777" w:rsidR="007E0724" w:rsidRDefault="00C4775C">
            <w:pPr>
              <w:pStyle w:val="AnnexNumberedText"/>
              <w:rPr>
                <w:szCs w:val="18"/>
              </w:rPr>
            </w:pPr>
            <w:r>
              <w:t>2)</w:t>
            </w:r>
            <w:r>
              <w:tab/>
              <w:t>Aðlögun að loftslagsbreytingum</w:t>
            </w:r>
          </w:p>
        </w:tc>
        <w:tc>
          <w:tcPr>
            <w:tcW w:w="5880" w:type="dxa"/>
            <w:tcMar>
              <w:top w:w="100" w:type="dxa"/>
              <w:left w:w="40" w:type="dxa"/>
              <w:bottom w:w="100" w:type="dxa"/>
              <w:right w:w="0" w:type="dxa"/>
            </w:tcMar>
          </w:tcPr>
          <w:p w14:paraId="6BEDDD99" w14:textId="77777777" w:rsidR="007E0724" w:rsidRDefault="00C4775C">
            <w:pPr>
              <w:pStyle w:val="AnnexTableCellLeft"/>
              <w:rPr>
                <w:szCs w:val="18"/>
              </w:rPr>
            </w:pPr>
            <w:r>
              <w:t>Starfsemin er í samræmi við viðmiðanirnar sem settar eru fram í viðbæti A við þennan viðauka.</w:t>
            </w:r>
          </w:p>
        </w:tc>
      </w:tr>
      <w:tr w:rsidR="007E0724" w14:paraId="31719057" w14:textId="77777777">
        <w:trPr>
          <w:trHeight w:val="360"/>
        </w:trPr>
        <w:tc>
          <w:tcPr>
            <w:tcW w:w="2860" w:type="dxa"/>
            <w:tcMar>
              <w:top w:w="100" w:type="dxa"/>
              <w:left w:w="0" w:type="dxa"/>
              <w:bottom w:w="100" w:type="dxa"/>
              <w:right w:w="40" w:type="dxa"/>
            </w:tcMar>
          </w:tcPr>
          <w:p w14:paraId="04F08135" w14:textId="77777777" w:rsidR="007E0724" w:rsidRDefault="00C4775C">
            <w:pPr>
              <w:pStyle w:val="AnnexNumberedText"/>
              <w:rPr>
                <w:szCs w:val="18"/>
              </w:rPr>
            </w:pPr>
            <w:r>
              <w:t>3)</w:t>
            </w:r>
            <w:r>
              <w:tab/>
              <w:t>Sjálfbær notkun og verndun vatns- og sjávarauðlinda</w:t>
            </w:r>
          </w:p>
        </w:tc>
        <w:tc>
          <w:tcPr>
            <w:tcW w:w="5880" w:type="dxa"/>
            <w:tcMar>
              <w:top w:w="100" w:type="dxa"/>
              <w:left w:w="40" w:type="dxa"/>
              <w:bottom w:w="100" w:type="dxa"/>
              <w:right w:w="0" w:type="dxa"/>
            </w:tcMar>
          </w:tcPr>
          <w:p w14:paraId="19998434" w14:textId="77777777" w:rsidR="007E0724" w:rsidRDefault="00C4775C">
            <w:pPr>
              <w:pStyle w:val="AnnexTableCellLeft"/>
              <w:rPr>
                <w:szCs w:val="18"/>
              </w:rPr>
            </w:pPr>
            <w:r>
              <w:t>Starfsemin er í samræmi við viðmiðanirnar sem settar eru fram í viðbæti B við þennan viðauka.</w:t>
            </w:r>
          </w:p>
        </w:tc>
      </w:tr>
      <w:tr w:rsidR="007E0724" w14:paraId="4175389E" w14:textId="77777777">
        <w:trPr>
          <w:trHeight w:val="360"/>
        </w:trPr>
        <w:tc>
          <w:tcPr>
            <w:tcW w:w="2860" w:type="dxa"/>
            <w:tcMar>
              <w:top w:w="100" w:type="dxa"/>
              <w:left w:w="0" w:type="dxa"/>
              <w:bottom w:w="100" w:type="dxa"/>
              <w:right w:w="40" w:type="dxa"/>
            </w:tcMar>
          </w:tcPr>
          <w:p w14:paraId="6CBB1E16" w14:textId="77777777" w:rsidR="007E0724" w:rsidRDefault="00C4775C">
            <w:pPr>
              <w:pStyle w:val="AnnexNumberedText"/>
              <w:rPr>
                <w:szCs w:val="18"/>
              </w:rPr>
            </w:pPr>
            <w:r>
              <w:lastRenderedPageBreak/>
              <w:t>4)</w:t>
            </w:r>
            <w:r>
              <w:tab/>
              <w:t>Umskipti yfir í hringrásarhagkerfi</w:t>
            </w:r>
          </w:p>
        </w:tc>
        <w:tc>
          <w:tcPr>
            <w:tcW w:w="5880" w:type="dxa"/>
            <w:tcMar>
              <w:top w:w="100" w:type="dxa"/>
              <w:left w:w="40" w:type="dxa"/>
              <w:bottom w:w="100" w:type="dxa"/>
              <w:right w:w="0" w:type="dxa"/>
            </w:tcMar>
          </w:tcPr>
          <w:p w14:paraId="617E32F1" w14:textId="77777777" w:rsidR="007E0724" w:rsidRDefault="00C4775C">
            <w:pPr>
              <w:pStyle w:val="AnnexTableCellLeft"/>
              <w:rPr>
                <w:szCs w:val="18"/>
              </w:rPr>
            </w:pPr>
            <w:r>
              <w:t>Á ekki við</w:t>
            </w:r>
          </w:p>
        </w:tc>
      </w:tr>
      <w:tr w:rsidR="007E0724" w14:paraId="78D52CC5" w14:textId="77777777">
        <w:trPr>
          <w:trHeight w:val="360"/>
        </w:trPr>
        <w:tc>
          <w:tcPr>
            <w:tcW w:w="2860" w:type="dxa"/>
            <w:tcMar>
              <w:top w:w="100" w:type="dxa"/>
              <w:left w:w="0" w:type="dxa"/>
              <w:bottom w:w="100" w:type="dxa"/>
              <w:right w:w="40" w:type="dxa"/>
            </w:tcMar>
          </w:tcPr>
          <w:p w14:paraId="4909E2E9" w14:textId="77777777" w:rsidR="007E0724" w:rsidRDefault="00C4775C">
            <w:pPr>
              <w:pStyle w:val="AnnexNumberedText"/>
              <w:rPr>
                <w:szCs w:val="18"/>
              </w:rPr>
            </w:pPr>
            <w:r>
              <w:t>5)</w:t>
            </w:r>
            <w:r>
              <w:tab/>
              <w:t>Mengunarvarnir og eftirlit með mengun</w:t>
            </w:r>
          </w:p>
        </w:tc>
        <w:tc>
          <w:tcPr>
            <w:tcW w:w="5880" w:type="dxa"/>
            <w:tcMar>
              <w:top w:w="100" w:type="dxa"/>
              <w:left w:w="40" w:type="dxa"/>
              <w:bottom w:w="100" w:type="dxa"/>
              <w:right w:w="0" w:type="dxa"/>
            </w:tcMar>
          </w:tcPr>
          <w:p w14:paraId="1B52D27F" w14:textId="77777777" w:rsidR="007E0724" w:rsidRDefault="00C4775C">
            <w:pPr>
              <w:pStyle w:val="AnnexTableCellLeft"/>
              <w:rPr>
                <w:szCs w:val="18"/>
              </w:rPr>
            </w:pPr>
            <w:r>
              <w:t>Starfsemin er í samræmi við viðmiðanirnar sem settar eru fram í viðbæti C við þennan viðauka.</w:t>
            </w:r>
          </w:p>
          <w:p w14:paraId="53622169" w14:textId="77777777" w:rsidR="007E0724" w:rsidRDefault="00C4775C">
            <w:pPr>
              <w:pStyle w:val="AnnexTableCellLeft"/>
              <w:spacing w:after="240"/>
              <w:rPr>
                <w:szCs w:val="18"/>
              </w:rPr>
            </w:pPr>
            <w:r>
              <w:t>Losun fellur innan við eða undir svið losunargilda sem tengjast bestu aðgengilegu tækni samkvæmt viðeigandi niðurstöðum um bestu aðgengilegu tækni, þ.m.t.:</w:t>
            </w:r>
          </w:p>
          <w:p w14:paraId="76A899B9" w14:textId="77777777" w:rsidR="007E0724" w:rsidRDefault="00C4775C">
            <w:pPr>
              <w:pStyle w:val="AnnexNumberedText"/>
              <w:spacing w:after="240"/>
              <w:rPr>
                <w:szCs w:val="18"/>
              </w:rPr>
            </w:pPr>
            <w:r>
              <w:t>a)</w:t>
            </w:r>
            <w:r>
              <w:tab/>
              <w:t xml:space="preserve">niðurstöður um bestu aðgengilegu tækni fyrir framleiðslu á </w:t>
            </w:r>
            <w:proofErr w:type="spellStart"/>
            <w:r>
              <w:t>klóralkalí</w:t>
            </w:r>
            <w:proofErr w:type="spellEnd"/>
            <w:r>
              <w:t xml:space="preserve"> (</w:t>
            </w:r>
            <w:r>
              <w:rPr>
                <w:rStyle w:val="Tilvsunneanmlsgrein"/>
                <w:sz w:val="18"/>
                <w:szCs w:val="18"/>
              </w:rPr>
              <w:footnoteReference w:id="136"/>
            </w:r>
            <w:r>
              <w:t xml:space="preserve">) og niðurstöður um bestu aðgengilegu tækni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37"/>
            </w:r>
            <w:r>
              <w:t>).</w:t>
            </w:r>
          </w:p>
          <w:p w14:paraId="3D1E5394" w14:textId="77777777" w:rsidR="007E0724" w:rsidRDefault="00C4775C">
            <w:pPr>
              <w:pStyle w:val="AnnexNumberedText"/>
              <w:spacing w:after="240"/>
              <w:rPr>
                <w:szCs w:val="18"/>
              </w:rPr>
            </w:pPr>
            <w:r>
              <w:t>b)</w:t>
            </w:r>
            <w:r>
              <w:tab/>
              <w:t>niðurstöður um bestu aðgengilegu tækni (BAT) vegna hreinsunar á jarðolíu og gasi (</w:t>
            </w:r>
            <w:r>
              <w:rPr>
                <w:rStyle w:val="Tilvsunneanmlsgrein"/>
                <w:sz w:val="18"/>
                <w:szCs w:val="18"/>
              </w:rPr>
              <w:footnoteReference w:id="138"/>
            </w:r>
            <w:r>
              <w:t>).</w:t>
            </w:r>
          </w:p>
          <w:p w14:paraId="4F793AE4" w14:textId="77777777" w:rsidR="007E0724" w:rsidRDefault="00C4775C">
            <w:pPr>
              <w:pStyle w:val="AnnexTableCellLeft"/>
              <w:rPr>
                <w:szCs w:val="18"/>
              </w:rPr>
            </w:pPr>
            <w:r>
              <w:t>Engin umtalsverð yfirfærsluáhrif milli umhverfishólfa eiga sér stað.</w:t>
            </w:r>
          </w:p>
        </w:tc>
      </w:tr>
      <w:tr w:rsidR="007E0724" w14:paraId="2BF090A1" w14:textId="77777777">
        <w:trPr>
          <w:trHeight w:val="360"/>
        </w:trPr>
        <w:tc>
          <w:tcPr>
            <w:tcW w:w="2860" w:type="dxa"/>
            <w:tcMar>
              <w:top w:w="100" w:type="dxa"/>
              <w:left w:w="0" w:type="dxa"/>
              <w:bottom w:w="100" w:type="dxa"/>
              <w:right w:w="40" w:type="dxa"/>
            </w:tcMar>
          </w:tcPr>
          <w:p w14:paraId="252369A5" w14:textId="77777777" w:rsidR="007E0724" w:rsidRDefault="00C4775C">
            <w:pPr>
              <w:pStyle w:val="AnnexNumberedText"/>
              <w:rPr>
                <w:szCs w:val="18"/>
              </w:rPr>
            </w:pPr>
            <w:r>
              <w:t>6)</w:t>
            </w:r>
            <w:r>
              <w:tab/>
              <w:t>Vernd og endurheimt líffræðilegrar fjölbreytni og vistkerfa</w:t>
            </w:r>
          </w:p>
        </w:tc>
        <w:tc>
          <w:tcPr>
            <w:tcW w:w="5880" w:type="dxa"/>
            <w:tcMar>
              <w:top w:w="100" w:type="dxa"/>
              <w:left w:w="40" w:type="dxa"/>
              <w:bottom w:w="100" w:type="dxa"/>
              <w:right w:w="0" w:type="dxa"/>
            </w:tcMar>
          </w:tcPr>
          <w:p w14:paraId="5A989DF4" w14:textId="77777777" w:rsidR="007E0724" w:rsidRDefault="00C4775C">
            <w:pPr>
              <w:pStyle w:val="AnnexTableCellLeft"/>
              <w:rPr>
                <w:szCs w:val="18"/>
              </w:rPr>
            </w:pPr>
            <w:r>
              <w:t>Starfsemin er í samræmi við viðmiðanirnar sem settar eru fram í viðbæti D við þennan viðauka.</w:t>
            </w:r>
          </w:p>
        </w:tc>
      </w:tr>
    </w:tbl>
    <w:p w14:paraId="46E9350C" w14:textId="77777777" w:rsidR="007E0724" w:rsidRDefault="00C4775C">
      <w:pPr>
        <w:pStyle w:val="AnnexNumberedText"/>
        <w:spacing w:before="200"/>
        <w:ind w:left="500" w:hanging="500"/>
      </w:pPr>
      <w:r>
        <w:t>3.11.</w:t>
      </w:r>
      <w:r>
        <w:rPr>
          <w:b/>
        </w:rPr>
        <w:tab/>
        <w:t xml:space="preserve">Framleiðsla á </w:t>
      </w:r>
      <w:proofErr w:type="spellStart"/>
      <w:r>
        <w:rPr>
          <w:b/>
        </w:rPr>
        <w:t>kinroki</w:t>
      </w:r>
      <w:proofErr w:type="spellEnd"/>
    </w:p>
    <w:p w14:paraId="7BA4EEEA" w14:textId="77777777" w:rsidR="007E0724" w:rsidRDefault="00C4775C">
      <w:pPr>
        <w:pStyle w:val="AnnexGrSeq3"/>
        <w:ind w:left="500"/>
        <w:jc w:val="left"/>
      </w:pPr>
      <w:r>
        <w:rPr>
          <w:i/>
        </w:rPr>
        <w:t>Lýsing á starfseminni</w:t>
      </w:r>
    </w:p>
    <w:p w14:paraId="016E73E2" w14:textId="77777777" w:rsidR="007E0724" w:rsidRDefault="00C4775C">
      <w:pPr>
        <w:pStyle w:val="AnnexNormal"/>
        <w:ind w:left="500"/>
        <w:jc w:val="left"/>
      </w:pPr>
      <w:r>
        <w:t xml:space="preserve">Framleiðsla á </w:t>
      </w:r>
      <w:proofErr w:type="spellStart"/>
      <w:r>
        <w:t>kinroki</w:t>
      </w:r>
      <w:proofErr w:type="spellEnd"/>
      <w:r>
        <w:t>.</w:t>
      </w:r>
    </w:p>
    <w:p w14:paraId="056055BC" w14:textId="77777777" w:rsidR="007E0724" w:rsidRDefault="00C4775C">
      <w:pPr>
        <w:pStyle w:val="AnnexNormal"/>
        <w:ind w:left="500"/>
        <w:jc w:val="left"/>
      </w:pPr>
      <w:r>
        <w:t>Atvinnustarfsemin í þessum flokki gæti tengst kóða atvinnugreinaflokkunar Evrópusambandsins C20.13 í samræmi við atvinnugreinaflokkunina sem komið var á með reglugerð (EB) nr. 1893/2006.</w:t>
      </w:r>
    </w:p>
    <w:p w14:paraId="5BC5BC5A" w14:textId="77777777" w:rsidR="007E0724" w:rsidRDefault="00C4775C">
      <w:pPr>
        <w:pStyle w:val="AnnexNormal"/>
        <w:ind w:left="500"/>
        <w:jc w:val="left"/>
      </w:pPr>
      <w:r>
        <w:t>Atvinnustarfsemi í þessum flokki er umbreytingarstarfsemi, eins og um getur í 2. mgr. 10. gr. reglugerðar (ESB) 2020/852, þegar hún er í samræmi við tæknilegu matsviðmiðin sem sett eru fram í þessum þætti.</w:t>
      </w:r>
    </w:p>
    <w:p w14:paraId="4BD7B0BA" w14:textId="77777777" w:rsidR="007E0724" w:rsidRDefault="00C4775C">
      <w:pPr>
        <w:pStyle w:val="AnnexGrSeq3"/>
        <w:ind w:left="500"/>
        <w:jc w:val="left"/>
      </w:pPr>
      <w:r>
        <w:rPr>
          <w:i/>
        </w:rPr>
        <w:t>Tæknileg matsviðmið</w:t>
      </w:r>
    </w:p>
    <w:tbl>
      <w:tblPr>
        <w:tblStyle w:val="EFTATable"/>
        <w:tblW w:w="8740" w:type="dxa"/>
        <w:tblInd w:w="500" w:type="dxa"/>
        <w:tblLayout w:type="fixed"/>
        <w:tblLook w:val="04A0" w:firstRow="1" w:lastRow="0" w:firstColumn="1" w:lastColumn="0" w:noHBand="0" w:noVBand="1"/>
      </w:tblPr>
      <w:tblGrid>
        <w:gridCol w:w="2932"/>
        <w:gridCol w:w="5808"/>
      </w:tblGrid>
      <w:tr w:rsidR="007E0724" w14:paraId="20953111" w14:textId="77777777">
        <w:trPr>
          <w:trHeight w:val="240"/>
        </w:trPr>
        <w:tc>
          <w:tcPr>
            <w:tcW w:w="8740" w:type="dxa"/>
            <w:gridSpan w:val="2"/>
            <w:tcMar>
              <w:top w:w="100" w:type="dxa"/>
              <w:left w:w="0" w:type="dxa"/>
              <w:bottom w:w="100" w:type="dxa"/>
              <w:right w:w="60" w:type="dxa"/>
            </w:tcMar>
          </w:tcPr>
          <w:p w14:paraId="2CA3BCF8"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7C125792" w14:textId="77777777">
        <w:trPr>
          <w:trHeight w:val="240"/>
        </w:trPr>
        <w:tc>
          <w:tcPr>
            <w:tcW w:w="8740" w:type="dxa"/>
            <w:gridSpan w:val="2"/>
            <w:tcMar>
              <w:top w:w="100" w:type="dxa"/>
              <w:left w:w="0" w:type="dxa"/>
              <w:bottom w:w="100" w:type="dxa"/>
              <w:right w:w="60" w:type="dxa"/>
            </w:tcMar>
          </w:tcPr>
          <w:p w14:paraId="16880AC8" w14:textId="77777777" w:rsidR="007E0724" w:rsidRDefault="00C4775C">
            <w:pPr>
              <w:pStyle w:val="AnnexTableCellLeft"/>
            </w:pPr>
            <w:r>
              <w:t>Losun gróðurhúsalofttegunda (</w:t>
            </w:r>
            <w:r>
              <w:rPr>
                <w:rStyle w:val="Tilvsunneanmlsgrein"/>
                <w:sz w:val="18"/>
                <w:szCs w:val="18"/>
              </w:rPr>
              <w:footnoteReference w:id="139"/>
            </w:r>
            <w:r>
              <w:t xml:space="preserve">) frá ferlum við framleiðslu á </w:t>
            </w:r>
            <w:proofErr w:type="spellStart"/>
            <w:r>
              <w:t>kinroki</w:t>
            </w:r>
            <w:proofErr w:type="spellEnd"/>
            <w:r>
              <w:t xml:space="preserve"> er minni en 1,141 (</w:t>
            </w:r>
            <w:r>
              <w:rPr>
                <w:rStyle w:val="Tilvsunneanmlsgrein"/>
                <w:sz w:val="18"/>
                <w:szCs w:val="18"/>
              </w:rPr>
              <w:footnoteReference w:id="140"/>
            </w:r>
            <w:r>
              <w:t>) tCO</w:t>
            </w:r>
            <w:r>
              <w:rPr>
                <w:vertAlign w:val="subscript"/>
              </w:rPr>
              <w:t>2</w:t>
            </w:r>
            <w:r>
              <w:t>e á hvert tonn af vöru.</w:t>
            </w:r>
          </w:p>
        </w:tc>
      </w:tr>
      <w:tr w:rsidR="007E0724" w14:paraId="7FE91DCA" w14:textId="77777777">
        <w:trPr>
          <w:trHeight w:val="240"/>
        </w:trPr>
        <w:tc>
          <w:tcPr>
            <w:tcW w:w="8740" w:type="dxa"/>
            <w:gridSpan w:val="2"/>
            <w:tcMar>
              <w:top w:w="100" w:type="dxa"/>
              <w:left w:w="0" w:type="dxa"/>
              <w:bottom w:w="100" w:type="dxa"/>
              <w:right w:w="60" w:type="dxa"/>
            </w:tcMar>
          </w:tcPr>
          <w:p w14:paraId="66B66FBA" w14:textId="77777777" w:rsidR="007E0724" w:rsidRDefault="00C4775C">
            <w:pPr>
              <w:pStyle w:val="AnnexTableCellLeft"/>
            </w:pPr>
            <w:r>
              <w:t>Ekki valda umtalsverðu tjóni</w:t>
            </w:r>
          </w:p>
        </w:tc>
      </w:tr>
      <w:tr w:rsidR="007E0724" w14:paraId="0B25F070" w14:textId="77777777">
        <w:trPr>
          <w:trHeight w:val="360"/>
        </w:trPr>
        <w:tc>
          <w:tcPr>
            <w:tcW w:w="2932" w:type="dxa"/>
            <w:tcMar>
              <w:top w:w="100" w:type="dxa"/>
              <w:left w:w="0" w:type="dxa"/>
              <w:bottom w:w="100" w:type="dxa"/>
              <w:right w:w="60" w:type="dxa"/>
            </w:tcMar>
          </w:tcPr>
          <w:p w14:paraId="2D28CBD0" w14:textId="77777777" w:rsidR="007E0724" w:rsidRDefault="00C4775C">
            <w:pPr>
              <w:pStyle w:val="AnnexNumberedText"/>
              <w:ind w:right="40"/>
            </w:pPr>
            <w:r>
              <w:t>2)</w:t>
            </w:r>
            <w:r>
              <w:tab/>
              <w:t>Aðlögun að loftslagsbreytingum</w:t>
            </w:r>
          </w:p>
        </w:tc>
        <w:tc>
          <w:tcPr>
            <w:tcW w:w="5808" w:type="dxa"/>
            <w:tcMar>
              <w:top w:w="100" w:type="dxa"/>
              <w:left w:w="0" w:type="dxa"/>
              <w:bottom w:w="100" w:type="dxa"/>
              <w:right w:w="60" w:type="dxa"/>
            </w:tcMar>
          </w:tcPr>
          <w:p w14:paraId="111FC71A" w14:textId="77777777" w:rsidR="007E0724" w:rsidRDefault="00C4775C">
            <w:pPr>
              <w:pStyle w:val="AnnexTableCellLeft"/>
              <w:ind w:left="40"/>
            </w:pPr>
            <w:r>
              <w:t>Starfsemin er í samræmi við viðmiðanirnar sem settar eru fram í viðbæti A við þennan viðauka.</w:t>
            </w:r>
          </w:p>
        </w:tc>
      </w:tr>
      <w:tr w:rsidR="007E0724" w14:paraId="3A476112" w14:textId="77777777">
        <w:trPr>
          <w:trHeight w:val="360"/>
        </w:trPr>
        <w:tc>
          <w:tcPr>
            <w:tcW w:w="2932" w:type="dxa"/>
            <w:tcMar>
              <w:top w:w="100" w:type="dxa"/>
              <w:left w:w="0" w:type="dxa"/>
              <w:bottom w:w="100" w:type="dxa"/>
              <w:right w:w="60" w:type="dxa"/>
            </w:tcMar>
          </w:tcPr>
          <w:p w14:paraId="4985B0CF" w14:textId="77777777" w:rsidR="007E0724" w:rsidRDefault="00C4775C">
            <w:pPr>
              <w:pStyle w:val="AnnexNumberedText"/>
              <w:ind w:right="40"/>
            </w:pPr>
            <w:r>
              <w:t>3)</w:t>
            </w:r>
            <w:r>
              <w:tab/>
              <w:t>Sjálfbær notkun og verndun vatns- og sjávarauðlinda</w:t>
            </w:r>
          </w:p>
        </w:tc>
        <w:tc>
          <w:tcPr>
            <w:tcW w:w="5808" w:type="dxa"/>
            <w:tcMar>
              <w:top w:w="100" w:type="dxa"/>
              <w:left w:w="0" w:type="dxa"/>
              <w:bottom w:w="100" w:type="dxa"/>
              <w:right w:w="60" w:type="dxa"/>
            </w:tcMar>
          </w:tcPr>
          <w:p w14:paraId="28DCD0EA" w14:textId="77777777" w:rsidR="007E0724" w:rsidRDefault="00C4775C">
            <w:pPr>
              <w:pStyle w:val="AnnexTableCellLeft"/>
              <w:ind w:left="40"/>
            </w:pPr>
            <w:r>
              <w:t>Starfsemin er í samræmi við viðmiðanirnar sem settar eru fram í viðbæti B við þennan viðauka.</w:t>
            </w:r>
          </w:p>
        </w:tc>
      </w:tr>
      <w:tr w:rsidR="007E0724" w14:paraId="4FDB6416" w14:textId="77777777">
        <w:trPr>
          <w:trHeight w:val="360"/>
        </w:trPr>
        <w:tc>
          <w:tcPr>
            <w:tcW w:w="2932" w:type="dxa"/>
            <w:tcMar>
              <w:top w:w="100" w:type="dxa"/>
              <w:left w:w="0" w:type="dxa"/>
              <w:bottom w:w="100" w:type="dxa"/>
              <w:right w:w="60" w:type="dxa"/>
            </w:tcMar>
          </w:tcPr>
          <w:p w14:paraId="5F63D4FE" w14:textId="77777777" w:rsidR="007E0724" w:rsidRDefault="00C4775C">
            <w:pPr>
              <w:pStyle w:val="AnnexNumberedText"/>
              <w:ind w:right="40"/>
            </w:pPr>
            <w:r>
              <w:lastRenderedPageBreak/>
              <w:t>4)</w:t>
            </w:r>
            <w:r>
              <w:tab/>
              <w:t>Umskipti yfir í hringrásarhagkerfi</w:t>
            </w:r>
          </w:p>
        </w:tc>
        <w:tc>
          <w:tcPr>
            <w:tcW w:w="5808" w:type="dxa"/>
            <w:tcMar>
              <w:top w:w="100" w:type="dxa"/>
              <w:left w:w="0" w:type="dxa"/>
              <w:bottom w:w="100" w:type="dxa"/>
              <w:right w:w="60" w:type="dxa"/>
            </w:tcMar>
          </w:tcPr>
          <w:p w14:paraId="13EEEBDE" w14:textId="77777777" w:rsidR="007E0724" w:rsidRDefault="00C4775C">
            <w:pPr>
              <w:pStyle w:val="AnnexTableCellLeft"/>
              <w:ind w:left="40"/>
            </w:pPr>
            <w:r>
              <w:t>Á ekki við</w:t>
            </w:r>
          </w:p>
        </w:tc>
      </w:tr>
      <w:tr w:rsidR="007E0724" w14:paraId="00691A3C" w14:textId="77777777">
        <w:trPr>
          <w:trHeight w:val="360"/>
        </w:trPr>
        <w:tc>
          <w:tcPr>
            <w:tcW w:w="2932" w:type="dxa"/>
            <w:tcMar>
              <w:top w:w="100" w:type="dxa"/>
              <w:left w:w="0" w:type="dxa"/>
              <w:bottom w:w="100" w:type="dxa"/>
              <w:right w:w="60" w:type="dxa"/>
            </w:tcMar>
          </w:tcPr>
          <w:p w14:paraId="2E9B81ED" w14:textId="77777777" w:rsidR="007E0724" w:rsidRDefault="00C4775C">
            <w:pPr>
              <w:pStyle w:val="AnnexNumberedText"/>
              <w:pageBreakBefore/>
            </w:pPr>
            <w:r>
              <w:lastRenderedPageBreak/>
              <w:t>5)</w:t>
            </w:r>
            <w:r>
              <w:tab/>
              <w:t>Mengunarvarnir og eftirlit með mengun</w:t>
            </w:r>
          </w:p>
        </w:tc>
        <w:tc>
          <w:tcPr>
            <w:tcW w:w="5808" w:type="dxa"/>
            <w:tcMar>
              <w:top w:w="100" w:type="dxa"/>
              <w:left w:w="0" w:type="dxa"/>
              <w:bottom w:w="100" w:type="dxa"/>
              <w:right w:w="60" w:type="dxa"/>
            </w:tcMar>
          </w:tcPr>
          <w:p w14:paraId="1ED42416" w14:textId="77777777" w:rsidR="007E0724" w:rsidRDefault="00C4775C">
            <w:pPr>
              <w:pStyle w:val="AnnexTableCellLeft"/>
              <w:spacing w:after="300"/>
              <w:ind w:left="40"/>
            </w:pPr>
            <w:r>
              <w:t>Starfsemin er í samræmi við viðmiðanirnar sem settar eru fram í viðbæti C við þennan viðauka.</w:t>
            </w:r>
          </w:p>
          <w:p w14:paraId="4B79224E" w14:textId="77777777" w:rsidR="007E0724" w:rsidRDefault="00C4775C">
            <w:pPr>
              <w:pStyle w:val="AnnexTableCellLeft"/>
              <w:spacing w:after="300"/>
              <w:ind w:left="40"/>
            </w:pPr>
            <w:r>
              <w:t>Losun fellur innan við eða undir svið losunargilda sem tengjast bestu aðgengilegu tækni samkvæmt nýjustu viðeigandi niðurstöðum um bestu aðgengilegu tækni, þ.m.t.:</w:t>
            </w:r>
          </w:p>
          <w:p w14:paraId="0125DAAA" w14:textId="77777777" w:rsidR="007E0724" w:rsidRDefault="00C4775C">
            <w:pPr>
              <w:pStyle w:val="AnnexNumberedText"/>
              <w:spacing w:after="300"/>
              <w:ind w:left="340"/>
              <w:rPr>
                <w:szCs w:val="18"/>
              </w:rPr>
            </w:pPr>
            <w:r>
              <w:t>a)</w:t>
            </w:r>
            <w:r>
              <w:tab/>
              <w:t xml:space="preserve">Tilvísunarskjal um bestu aðgengilegu tækni fyrir mikið magn af ólífrænum </w:t>
            </w:r>
            <w:proofErr w:type="spellStart"/>
            <w:r>
              <w:t>íðefnum</w:t>
            </w:r>
            <w:proofErr w:type="spellEnd"/>
            <w:r>
              <w:t xml:space="preserve"> – föst efni og önnur efni (</w:t>
            </w:r>
            <w:r>
              <w:rPr>
                <w:rStyle w:val="Tilvsunneanmlsgrein"/>
                <w:sz w:val="18"/>
                <w:szCs w:val="18"/>
              </w:rPr>
              <w:footnoteReference w:id="141"/>
            </w:r>
            <w:r>
              <w:t>),</w:t>
            </w:r>
          </w:p>
          <w:p w14:paraId="24425472" w14:textId="77777777" w:rsidR="007E0724" w:rsidRDefault="00C4775C">
            <w:pPr>
              <w:pStyle w:val="AnnexNumberedText"/>
              <w:spacing w:after="300"/>
              <w:ind w:left="340"/>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42"/>
            </w:r>
            <w:r>
              <w:t>).</w:t>
            </w:r>
          </w:p>
          <w:p w14:paraId="1FAE6518" w14:textId="77777777" w:rsidR="007E0724" w:rsidRDefault="00C4775C">
            <w:pPr>
              <w:pStyle w:val="AnnexTableCellLeft"/>
              <w:ind w:left="40"/>
            </w:pPr>
            <w:r>
              <w:t>Engin umtalsverð yfirfærsluáhrif milli umhverfishólfa eiga sér stað.</w:t>
            </w:r>
          </w:p>
        </w:tc>
      </w:tr>
      <w:tr w:rsidR="007E0724" w14:paraId="2442B280" w14:textId="77777777">
        <w:trPr>
          <w:trHeight w:val="360"/>
        </w:trPr>
        <w:tc>
          <w:tcPr>
            <w:tcW w:w="2932" w:type="dxa"/>
            <w:tcMar>
              <w:top w:w="100" w:type="dxa"/>
              <w:left w:w="0" w:type="dxa"/>
              <w:bottom w:w="100" w:type="dxa"/>
              <w:right w:w="60" w:type="dxa"/>
            </w:tcMar>
          </w:tcPr>
          <w:p w14:paraId="5B2016B9" w14:textId="77777777" w:rsidR="007E0724" w:rsidRDefault="00C4775C">
            <w:pPr>
              <w:pStyle w:val="AnnexNumberedText"/>
              <w:ind w:right="40"/>
            </w:pPr>
            <w:r>
              <w:t>6)</w:t>
            </w:r>
            <w:r>
              <w:tab/>
              <w:t>Vernd og endurheimt líffræðilegrar fjölbreytni og vistkerfa</w:t>
            </w:r>
          </w:p>
        </w:tc>
        <w:tc>
          <w:tcPr>
            <w:tcW w:w="5808" w:type="dxa"/>
            <w:tcMar>
              <w:top w:w="100" w:type="dxa"/>
              <w:left w:w="0" w:type="dxa"/>
              <w:bottom w:w="100" w:type="dxa"/>
              <w:right w:w="60" w:type="dxa"/>
            </w:tcMar>
          </w:tcPr>
          <w:p w14:paraId="79148BC3" w14:textId="77777777" w:rsidR="007E0724" w:rsidRDefault="00C4775C">
            <w:pPr>
              <w:pStyle w:val="AnnexTableCellLeft"/>
              <w:ind w:left="40"/>
            </w:pPr>
            <w:r>
              <w:t>Starfsemin er í samræmi við viðmiðanirnar sem settar eru fram í viðbæti D við þennan viðauka.</w:t>
            </w:r>
          </w:p>
        </w:tc>
      </w:tr>
    </w:tbl>
    <w:p w14:paraId="2DC69950" w14:textId="77777777" w:rsidR="007E0724" w:rsidRDefault="00C4775C">
      <w:pPr>
        <w:pStyle w:val="AnnexNumberedText"/>
        <w:spacing w:before="200" w:after="200"/>
        <w:ind w:left="500" w:hanging="500"/>
      </w:pPr>
      <w:r>
        <w:t>3.12.</w:t>
      </w:r>
      <w:r>
        <w:rPr>
          <w:b/>
        </w:rPr>
        <w:tab/>
        <w:t xml:space="preserve">Framleiðsla á </w:t>
      </w:r>
      <w:proofErr w:type="spellStart"/>
      <w:r>
        <w:rPr>
          <w:b/>
        </w:rPr>
        <w:t>sóda</w:t>
      </w:r>
      <w:proofErr w:type="spellEnd"/>
    </w:p>
    <w:p w14:paraId="36F47079" w14:textId="77777777" w:rsidR="007E0724" w:rsidRDefault="00C4775C">
      <w:pPr>
        <w:pStyle w:val="AnnexGrSeq3"/>
        <w:ind w:left="500"/>
        <w:jc w:val="both"/>
      </w:pPr>
      <w:r>
        <w:rPr>
          <w:i/>
        </w:rPr>
        <w:t>Lýsing á starfseminni</w:t>
      </w:r>
    </w:p>
    <w:p w14:paraId="5A8BA6B3" w14:textId="77777777" w:rsidR="007E0724" w:rsidRDefault="00C4775C">
      <w:pPr>
        <w:pStyle w:val="AnnexNormal"/>
        <w:ind w:left="500"/>
      </w:pPr>
      <w:r>
        <w:t xml:space="preserve">Framleiðsla á </w:t>
      </w:r>
      <w:proofErr w:type="spellStart"/>
      <w:r>
        <w:t>dínatríumkarbónati</w:t>
      </w:r>
      <w:proofErr w:type="spellEnd"/>
      <w:r>
        <w:t xml:space="preserve"> (</w:t>
      </w:r>
      <w:proofErr w:type="spellStart"/>
      <w:r>
        <w:t>sóda</w:t>
      </w:r>
      <w:proofErr w:type="spellEnd"/>
      <w:r>
        <w:t xml:space="preserve">, </w:t>
      </w:r>
      <w:proofErr w:type="spellStart"/>
      <w:r>
        <w:t>natríumkarbónat</w:t>
      </w:r>
      <w:proofErr w:type="spellEnd"/>
      <w:r>
        <w:t xml:space="preserve">, kolsýra, </w:t>
      </w:r>
      <w:proofErr w:type="spellStart"/>
      <w:r>
        <w:t>dínatríumsalt</w:t>
      </w:r>
      <w:proofErr w:type="spellEnd"/>
      <w:r>
        <w:t>).</w:t>
      </w:r>
    </w:p>
    <w:p w14:paraId="3A870B93" w14:textId="77777777" w:rsidR="007E0724" w:rsidRDefault="00C4775C">
      <w:pPr>
        <w:pStyle w:val="AnnexNormal"/>
        <w:ind w:left="500"/>
      </w:pPr>
      <w:r>
        <w:t>Atvinnustarfsemin í þessum flokki gæti tengst kóða atvinnugreinaflokkunar Evrópusambandsins C20.13 í samræmi við atvinnugreinaflokkunina sem komið var á með reglugerð (EB) nr. 1893/2006.</w:t>
      </w:r>
    </w:p>
    <w:p w14:paraId="69D3EB7A" w14:textId="77777777" w:rsidR="007E0724" w:rsidRDefault="00C4775C">
      <w:pPr>
        <w:pStyle w:val="AnnexNormal"/>
        <w:ind w:left="500"/>
      </w:pPr>
      <w:r>
        <w:t>Atvinnustarfsemi í þessum flokki er umbreytingarstarfsemi, eins og um getur í 2. mgr. 10. gr. reglugerðar (ESB) 2020/852, þegar hún er í samræmi við tæknilegu matsviðmiðin sem sett eru fram í þessum þætti.</w:t>
      </w:r>
    </w:p>
    <w:p w14:paraId="01FDA8CD" w14:textId="77777777" w:rsidR="007E0724" w:rsidRDefault="00C4775C">
      <w:pPr>
        <w:pStyle w:val="AnnexGrSeq3"/>
        <w:ind w:left="500"/>
        <w:jc w:val="both"/>
      </w:pPr>
      <w:r>
        <w:rPr>
          <w:i/>
        </w:rPr>
        <w:t>Tæknileg matsviðmið</w:t>
      </w:r>
    </w:p>
    <w:tbl>
      <w:tblPr>
        <w:tblStyle w:val="EFTATable"/>
        <w:tblW w:w="8740" w:type="dxa"/>
        <w:tblInd w:w="500" w:type="dxa"/>
        <w:tblLook w:val="04A0" w:firstRow="1" w:lastRow="0" w:firstColumn="1" w:lastColumn="0" w:noHBand="0" w:noVBand="1"/>
      </w:tblPr>
      <w:tblGrid>
        <w:gridCol w:w="2932"/>
        <w:gridCol w:w="5808"/>
      </w:tblGrid>
      <w:tr w:rsidR="007E0724" w14:paraId="18520B3B" w14:textId="77777777">
        <w:trPr>
          <w:trHeight w:val="240"/>
        </w:trPr>
        <w:tc>
          <w:tcPr>
            <w:tcW w:w="8740" w:type="dxa"/>
            <w:gridSpan w:val="2"/>
            <w:tcMar>
              <w:top w:w="100" w:type="dxa"/>
              <w:left w:w="0" w:type="dxa"/>
              <w:bottom w:w="100" w:type="dxa"/>
              <w:right w:w="40" w:type="dxa"/>
            </w:tcMar>
          </w:tcPr>
          <w:p w14:paraId="7B416F26"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06B4A28A" w14:textId="77777777">
        <w:trPr>
          <w:trHeight w:val="240"/>
        </w:trPr>
        <w:tc>
          <w:tcPr>
            <w:tcW w:w="8740" w:type="dxa"/>
            <w:gridSpan w:val="2"/>
            <w:tcMar>
              <w:top w:w="100" w:type="dxa"/>
              <w:left w:w="0" w:type="dxa"/>
              <w:bottom w:w="100" w:type="dxa"/>
              <w:right w:w="40" w:type="dxa"/>
            </w:tcMar>
          </w:tcPr>
          <w:p w14:paraId="1E859BBF" w14:textId="77777777" w:rsidR="007E0724" w:rsidRDefault="00C4775C">
            <w:pPr>
              <w:pStyle w:val="AnnexTableCellLeft"/>
            </w:pPr>
            <w:r>
              <w:t>Losun gróðurhúsalofttegunda (</w:t>
            </w:r>
            <w:r>
              <w:rPr>
                <w:rStyle w:val="Tilvsunneanmlsgrein"/>
                <w:sz w:val="18"/>
                <w:szCs w:val="18"/>
              </w:rPr>
              <w:footnoteReference w:id="143"/>
            </w:r>
            <w:r>
              <w:t xml:space="preserve">) frá ferlum við framleiðslu á </w:t>
            </w:r>
            <w:proofErr w:type="spellStart"/>
            <w:r>
              <w:t>sóda</w:t>
            </w:r>
            <w:proofErr w:type="spellEnd"/>
            <w:r>
              <w:t xml:space="preserve"> er minni en 0,789 (</w:t>
            </w:r>
            <w:r>
              <w:rPr>
                <w:rStyle w:val="Tilvsunneanmlsgrein"/>
                <w:sz w:val="18"/>
                <w:szCs w:val="18"/>
              </w:rPr>
              <w:footnoteReference w:id="144"/>
            </w:r>
            <w:r>
              <w:t>) tCO</w:t>
            </w:r>
            <w:r>
              <w:rPr>
                <w:vertAlign w:val="subscript"/>
              </w:rPr>
              <w:t>2</w:t>
            </w:r>
            <w:r>
              <w:t>e á hvert tonn af vöru.</w:t>
            </w:r>
          </w:p>
        </w:tc>
      </w:tr>
      <w:tr w:rsidR="007E0724" w14:paraId="6A848568" w14:textId="77777777">
        <w:trPr>
          <w:trHeight w:val="240"/>
        </w:trPr>
        <w:tc>
          <w:tcPr>
            <w:tcW w:w="8740" w:type="dxa"/>
            <w:gridSpan w:val="2"/>
            <w:tcMar>
              <w:top w:w="100" w:type="dxa"/>
              <w:left w:w="0" w:type="dxa"/>
              <w:bottom w:w="100" w:type="dxa"/>
              <w:right w:w="40" w:type="dxa"/>
            </w:tcMar>
          </w:tcPr>
          <w:p w14:paraId="5ACC4BCB" w14:textId="77777777" w:rsidR="007E0724" w:rsidRDefault="00C4775C">
            <w:pPr>
              <w:pStyle w:val="AnnexTableCellLeft"/>
            </w:pPr>
            <w:r>
              <w:t>Ekki valda umtalsverðu tjóni</w:t>
            </w:r>
          </w:p>
        </w:tc>
      </w:tr>
      <w:tr w:rsidR="007E0724" w14:paraId="664274C2" w14:textId="77777777">
        <w:trPr>
          <w:trHeight w:val="360"/>
        </w:trPr>
        <w:tc>
          <w:tcPr>
            <w:tcW w:w="2932" w:type="dxa"/>
            <w:tcMar>
              <w:top w:w="100" w:type="dxa"/>
              <w:left w:w="0" w:type="dxa"/>
              <w:bottom w:w="100" w:type="dxa"/>
              <w:right w:w="40" w:type="dxa"/>
            </w:tcMar>
          </w:tcPr>
          <w:p w14:paraId="78FEDEBD" w14:textId="77777777" w:rsidR="007E0724" w:rsidRDefault="00C4775C">
            <w:pPr>
              <w:pStyle w:val="AnnexNumberedText"/>
            </w:pPr>
            <w:r>
              <w:t>2)</w:t>
            </w:r>
            <w:r>
              <w:tab/>
              <w:t>Aðlögun að loftslagsbreytingum</w:t>
            </w:r>
          </w:p>
        </w:tc>
        <w:tc>
          <w:tcPr>
            <w:tcW w:w="5808" w:type="dxa"/>
            <w:tcMar>
              <w:top w:w="100" w:type="dxa"/>
              <w:left w:w="40" w:type="dxa"/>
              <w:bottom w:w="100" w:type="dxa"/>
              <w:right w:w="0" w:type="dxa"/>
            </w:tcMar>
          </w:tcPr>
          <w:p w14:paraId="64B3F171" w14:textId="77777777" w:rsidR="007E0724" w:rsidRDefault="00C4775C">
            <w:pPr>
              <w:pStyle w:val="AnnexTableCellLeft"/>
            </w:pPr>
            <w:r>
              <w:t>Starfsemin er í samræmi við viðmiðanirnar sem settar eru fram í viðbæti A við þennan viðauka.</w:t>
            </w:r>
          </w:p>
        </w:tc>
      </w:tr>
      <w:tr w:rsidR="007E0724" w14:paraId="72501C97" w14:textId="77777777">
        <w:trPr>
          <w:trHeight w:val="360"/>
        </w:trPr>
        <w:tc>
          <w:tcPr>
            <w:tcW w:w="2932" w:type="dxa"/>
            <w:tcMar>
              <w:top w:w="100" w:type="dxa"/>
              <w:left w:w="0" w:type="dxa"/>
              <w:bottom w:w="100" w:type="dxa"/>
              <w:right w:w="40" w:type="dxa"/>
            </w:tcMar>
          </w:tcPr>
          <w:p w14:paraId="1E862838" w14:textId="77777777" w:rsidR="007E0724" w:rsidRDefault="00C4775C">
            <w:pPr>
              <w:pStyle w:val="AnnexNumberedText"/>
            </w:pPr>
            <w:r>
              <w:t>3)</w:t>
            </w:r>
            <w:r>
              <w:tab/>
              <w:t>Sjálfbær notkun og verndun vatns- og sjávarauðlinda</w:t>
            </w:r>
          </w:p>
        </w:tc>
        <w:tc>
          <w:tcPr>
            <w:tcW w:w="5808" w:type="dxa"/>
            <w:tcMar>
              <w:top w:w="100" w:type="dxa"/>
              <w:left w:w="40" w:type="dxa"/>
              <w:bottom w:w="100" w:type="dxa"/>
              <w:right w:w="0" w:type="dxa"/>
            </w:tcMar>
          </w:tcPr>
          <w:p w14:paraId="1BC1BBD8" w14:textId="77777777" w:rsidR="007E0724" w:rsidRDefault="00C4775C">
            <w:pPr>
              <w:pStyle w:val="AnnexTableCellLeft"/>
            </w:pPr>
            <w:r>
              <w:t>Starfsemin er í samræmi við viðmiðanirnar sem settar eru fram í viðbæti B við þennan viðauka.</w:t>
            </w:r>
          </w:p>
        </w:tc>
      </w:tr>
      <w:tr w:rsidR="007E0724" w14:paraId="72F2CB04" w14:textId="77777777">
        <w:trPr>
          <w:trHeight w:val="240"/>
        </w:trPr>
        <w:tc>
          <w:tcPr>
            <w:tcW w:w="2932" w:type="dxa"/>
            <w:tcBorders>
              <w:bottom w:val="single" w:sz="4" w:space="0" w:color="auto"/>
            </w:tcBorders>
            <w:tcMar>
              <w:top w:w="100" w:type="dxa"/>
              <w:left w:w="0" w:type="dxa"/>
              <w:bottom w:w="100" w:type="dxa"/>
              <w:right w:w="40" w:type="dxa"/>
            </w:tcMar>
          </w:tcPr>
          <w:p w14:paraId="0665C5DE" w14:textId="77777777" w:rsidR="007E0724" w:rsidRDefault="00C4775C">
            <w:pPr>
              <w:pStyle w:val="AnnexNumberedText"/>
            </w:pPr>
            <w:r>
              <w:t>4)</w:t>
            </w:r>
            <w:r>
              <w:tab/>
              <w:t>Umskipti yfir í hringrásarhagkerfi</w:t>
            </w:r>
          </w:p>
        </w:tc>
        <w:tc>
          <w:tcPr>
            <w:tcW w:w="5808" w:type="dxa"/>
            <w:tcBorders>
              <w:bottom w:val="single" w:sz="4" w:space="0" w:color="auto"/>
            </w:tcBorders>
            <w:tcMar>
              <w:top w:w="100" w:type="dxa"/>
              <w:left w:w="40" w:type="dxa"/>
              <w:bottom w:w="100" w:type="dxa"/>
              <w:right w:w="0" w:type="dxa"/>
            </w:tcMar>
          </w:tcPr>
          <w:p w14:paraId="0964969D" w14:textId="77777777" w:rsidR="007E0724" w:rsidRDefault="00C4775C">
            <w:pPr>
              <w:pStyle w:val="AnnexTableCellLeft"/>
            </w:pPr>
            <w:r>
              <w:t>Á ekki við</w:t>
            </w:r>
          </w:p>
        </w:tc>
      </w:tr>
      <w:tr w:rsidR="007E0724" w14:paraId="1BAE701E" w14:textId="77777777">
        <w:trPr>
          <w:trHeight w:val="360"/>
        </w:trPr>
        <w:tc>
          <w:tcPr>
            <w:tcW w:w="2932" w:type="dxa"/>
            <w:tcBorders>
              <w:bottom w:val="nil"/>
            </w:tcBorders>
            <w:tcMar>
              <w:top w:w="100" w:type="dxa"/>
              <w:left w:w="0" w:type="dxa"/>
              <w:bottom w:w="100" w:type="dxa"/>
              <w:right w:w="40" w:type="dxa"/>
            </w:tcMar>
          </w:tcPr>
          <w:p w14:paraId="67634B51" w14:textId="77777777" w:rsidR="007E0724" w:rsidRDefault="00C4775C">
            <w:pPr>
              <w:pStyle w:val="AnnexNumberedText"/>
            </w:pPr>
            <w:r>
              <w:t>5)</w:t>
            </w:r>
            <w:r>
              <w:tab/>
              <w:t>Mengunarvarnir og eftirlit með mengun</w:t>
            </w:r>
          </w:p>
        </w:tc>
        <w:tc>
          <w:tcPr>
            <w:tcW w:w="5808" w:type="dxa"/>
            <w:tcBorders>
              <w:bottom w:val="nil"/>
            </w:tcBorders>
            <w:tcMar>
              <w:top w:w="100" w:type="dxa"/>
              <w:left w:w="40" w:type="dxa"/>
              <w:bottom w:w="100" w:type="dxa"/>
              <w:right w:w="0" w:type="dxa"/>
            </w:tcMar>
          </w:tcPr>
          <w:p w14:paraId="674D4DCC" w14:textId="77777777" w:rsidR="007E0724" w:rsidRDefault="00C4775C">
            <w:pPr>
              <w:pStyle w:val="AnnexTableCellLeft"/>
            </w:pPr>
            <w:r>
              <w:t>Starfsemin er í samræmi við viðmiðanirnar sem settar eru fram í viðbæti C við þennan viðauka.</w:t>
            </w:r>
          </w:p>
        </w:tc>
      </w:tr>
      <w:tr w:rsidR="007E0724" w14:paraId="4B332AFD" w14:textId="77777777">
        <w:trPr>
          <w:trHeight w:val="240"/>
        </w:trPr>
        <w:tc>
          <w:tcPr>
            <w:tcW w:w="2932" w:type="dxa"/>
            <w:tcBorders>
              <w:top w:val="single" w:sz="4" w:space="0" w:color="auto"/>
            </w:tcBorders>
            <w:tcMar>
              <w:top w:w="100" w:type="dxa"/>
              <w:left w:w="0" w:type="dxa"/>
              <w:bottom w:w="100" w:type="dxa"/>
              <w:right w:w="40" w:type="dxa"/>
            </w:tcMar>
          </w:tcPr>
          <w:p w14:paraId="0E0FDCAF" w14:textId="77777777" w:rsidR="007E0724" w:rsidRDefault="007E0724">
            <w:pPr>
              <w:pStyle w:val="AnnexTableCellLeft"/>
              <w:pageBreakBefore/>
            </w:pPr>
          </w:p>
        </w:tc>
        <w:tc>
          <w:tcPr>
            <w:tcW w:w="5808" w:type="dxa"/>
            <w:tcBorders>
              <w:top w:val="single" w:sz="4" w:space="0" w:color="auto"/>
            </w:tcBorders>
            <w:tcMar>
              <w:top w:w="100" w:type="dxa"/>
              <w:left w:w="40" w:type="dxa"/>
              <w:bottom w:w="100" w:type="dxa"/>
              <w:right w:w="0" w:type="dxa"/>
            </w:tcMar>
          </w:tcPr>
          <w:p w14:paraId="1191D861" w14:textId="77777777" w:rsidR="007E0724" w:rsidRDefault="00C4775C">
            <w:pPr>
              <w:pStyle w:val="AnnexTableCellLeft"/>
              <w:spacing w:after="240"/>
              <w:rPr>
                <w:szCs w:val="18"/>
              </w:rPr>
            </w:pPr>
            <w:r>
              <w:t>Losun fellur innan við eða undir svið losunargilda sem tengjast bestu aðgengilegu tækni samkvæmt nýjustu viðeigandi niðurstöðum um bestu aðgengilegu tækni, þ.m.t.:</w:t>
            </w:r>
          </w:p>
          <w:p w14:paraId="2326BA8F" w14:textId="77777777" w:rsidR="007E0724" w:rsidRDefault="00C4775C">
            <w:pPr>
              <w:pStyle w:val="AnnexNumberedText"/>
              <w:spacing w:after="240"/>
              <w:rPr>
                <w:szCs w:val="18"/>
              </w:rPr>
            </w:pPr>
            <w:r>
              <w:t>a)</w:t>
            </w:r>
            <w:r>
              <w:tab/>
              <w:t xml:space="preserve">Tilvísunarskjal um bestu aðgengilegu tækni fyrir mikið magn af ólífrænum </w:t>
            </w:r>
            <w:proofErr w:type="spellStart"/>
            <w:r>
              <w:t>íðefnum</w:t>
            </w:r>
            <w:proofErr w:type="spellEnd"/>
            <w:r>
              <w:t xml:space="preserve"> – föst efni og önnur efni (</w:t>
            </w:r>
            <w:r>
              <w:rPr>
                <w:rStyle w:val="Tilvsunneanmlsgrein"/>
                <w:sz w:val="18"/>
                <w:szCs w:val="18"/>
              </w:rPr>
              <w:footnoteReference w:id="145"/>
            </w:r>
            <w:r>
              <w:t>),</w:t>
            </w:r>
          </w:p>
          <w:p w14:paraId="1FCFD811" w14:textId="77777777" w:rsidR="007E0724" w:rsidRDefault="00C4775C">
            <w:pPr>
              <w:pStyle w:val="AnnexNumberedText"/>
              <w:spacing w:after="240"/>
              <w:rPr>
                <w:szCs w:val="18"/>
              </w:rPr>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46"/>
            </w:r>
            <w:r>
              <w:t>).</w:t>
            </w:r>
          </w:p>
          <w:p w14:paraId="03A0CF08" w14:textId="77777777" w:rsidR="007E0724" w:rsidRDefault="00C4775C">
            <w:pPr>
              <w:pStyle w:val="AnnexTableCellLeft"/>
              <w:spacing w:after="240"/>
            </w:pPr>
            <w:r>
              <w:t>Engin umtalsverð yfirfærsluáhrif milli umhverfishólfa eiga sér stað.</w:t>
            </w:r>
          </w:p>
        </w:tc>
      </w:tr>
      <w:tr w:rsidR="007E0724" w14:paraId="44D4EA2A" w14:textId="77777777">
        <w:trPr>
          <w:trHeight w:val="360"/>
        </w:trPr>
        <w:tc>
          <w:tcPr>
            <w:tcW w:w="2932" w:type="dxa"/>
            <w:tcMar>
              <w:top w:w="100" w:type="dxa"/>
              <w:left w:w="0" w:type="dxa"/>
              <w:bottom w:w="100" w:type="dxa"/>
              <w:right w:w="40" w:type="dxa"/>
            </w:tcMar>
          </w:tcPr>
          <w:p w14:paraId="050517E3" w14:textId="77777777" w:rsidR="007E0724" w:rsidRDefault="00C4775C">
            <w:pPr>
              <w:pStyle w:val="AnnexNumberedText"/>
            </w:pPr>
            <w:r>
              <w:t>6)</w:t>
            </w:r>
            <w:r>
              <w:tab/>
              <w:t>Vernd og endurheimt líffræðilegrar fjölbreytni og vistkerfa</w:t>
            </w:r>
          </w:p>
        </w:tc>
        <w:tc>
          <w:tcPr>
            <w:tcW w:w="5808" w:type="dxa"/>
            <w:tcMar>
              <w:top w:w="100" w:type="dxa"/>
              <w:left w:w="40" w:type="dxa"/>
              <w:bottom w:w="100" w:type="dxa"/>
              <w:right w:w="0" w:type="dxa"/>
            </w:tcMar>
          </w:tcPr>
          <w:p w14:paraId="2F720920" w14:textId="77777777" w:rsidR="007E0724" w:rsidRDefault="00C4775C">
            <w:pPr>
              <w:pStyle w:val="AnnexTableCellLeft"/>
            </w:pPr>
            <w:r>
              <w:t>Starfsemin er í samræmi við viðmiðanirnar sem settar eru fram í viðbæti D við þennan viðauka.</w:t>
            </w:r>
          </w:p>
        </w:tc>
      </w:tr>
    </w:tbl>
    <w:p w14:paraId="3728296C" w14:textId="77777777" w:rsidR="007E0724" w:rsidRDefault="00C4775C">
      <w:pPr>
        <w:pStyle w:val="AnnexNumberedText"/>
        <w:spacing w:before="200"/>
        <w:ind w:left="504" w:hanging="504"/>
      </w:pPr>
      <w:r>
        <w:t>3.13.</w:t>
      </w:r>
      <w:r>
        <w:rPr>
          <w:b/>
        </w:rPr>
        <w:tab/>
        <w:t xml:space="preserve">Framleiðsla á </w:t>
      </w:r>
      <w:proofErr w:type="spellStart"/>
      <w:r>
        <w:rPr>
          <w:b/>
        </w:rPr>
        <w:t>klór</w:t>
      </w:r>
      <w:proofErr w:type="spellEnd"/>
    </w:p>
    <w:p w14:paraId="1AC9D7BF" w14:textId="77777777" w:rsidR="007E0724" w:rsidRDefault="00C4775C">
      <w:pPr>
        <w:pStyle w:val="AnnexGrSeq3"/>
        <w:ind w:left="500"/>
        <w:jc w:val="both"/>
      </w:pPr>
      <w:r>
        <w:rPr>
          <w:i/>
        </w:rPr>
        <w:t>Lýsing á starfseminni</w:t>
      </w:r>
    </w:p>
    <w:p w14:paraId="4C66871D" w14:textId="77777777" w:rsidR="007E0724" w:rsidRDefault="00C4775C">
      <w:pPr>
        <w:pStyle w:val="AnnexNormal"/>
        <w:ind w:left="500"/>
      </w:pPr>
      <w:r>
        <w:t xml:space="preserve">Framleiðsla á </w:t>
      </w:r>
      <w:proofErr w:type="spellStart"/>
      <w:r>
        <w:t>klór</w:t>
      </w:r>
      <w:proofErr w:type="spellEnd"/>
      <w:r>
        <w:t>.</w:t>
      </w:r>
    </w:p>
    <w:p w14:paraId="145A3D61" w14:textId="77777777" w:rsidR="007E0724" w:rsidRDefault="00C4775C">
      <w:pPr>
        <w:pStyle w:val="AnnexNormal"/>
        <w:ind w:left="500"/>
      </w:pPr>
      <w:r>
        <w:t>Atvinnustarfsemin í þessum flokki gæti tengst kóða atvinnugreinaflokkunar Evrópusambandsins C20.13 í samræmi við atvinnugreinaflokkunina sem komið var á með reglugerð (EB) nr. 1893/2006.</w:t>
      </w:r>
    </w:p>
    <w:p w14:paraId="64F15D8B" w14:textId="77777777" w:rsidR="007E0724" w:rsidRDefault="00C4775C">
      <w:pPr>
        <w:pStyle w:val="AnnexNormal"/>
        <w:ind w:left="500"/>
      </w:pPr>
      <w:r>
        <w:t>Atvinnustarfsemi í þessum flokki er umbreytingarstarfsemi, eins og um getur í 2. mgr. 10. gr. reglugerðar (ESB) 2020/852, þegar hún er í samræmi við tæknilegu matsviðmiðin sem sett eru fram í þessum þætti.</w:t>
      </w:r>
    </w:p>
    <w:p w14:paraId="1A9E9D40" w14:textId="77777777" w:rsidR="007E0724" w:rsidRDefault="00C4775C">
      <w:pPr>
        <w:pStyle w:val="AnnexGrSeq3"/>
        <w:ind w:left="500"/>
        <w:jc w:val="both"/>
      </w:pPr>
      <w:r>
        <w:rPr>
          <w:i/>
        </w:rPr>
        <w:t>Tæknileg matsviðmið</w:t>
      </w:r>
    </w:p>
    <w:tbl>
      <w:tblPr>
        <w:tblStyle w:val="EFTATable"/>
        <w:tblW w:w="8724" w:type="dxa"/>
        <w:tblInd w:w="516" w:type="dxa"/>
        <w:tblLayout w:type="fixed"/>
        <w:tblLook w:val="04A0" w:firstRow="1" w:lastRow="0" w:firstColumn="1" w:lastColumn="0" w:noHBand="0" w:noVBand="1"/>
      </w:tblPr>
      <w:tblGrid>
        <w:gridCol w:w="3048"/>
        <w:gridCol w:w="5676"/>
      </w:tblGrid>
      <w:tr w:rsidR="007E0724" w14:paraId="68B20A12" w14:textId="77777777">
        <w:trPr>
          <w:trHeight w:val="240"/>
        </w:trPr>
        <w:tc>
          <w:tcPr>
            <w:tcW w:w="8724" w:type="dxa"/>
            <w:gridSpan w:val="2"/>
            <w:tcMar>
              <w:top w:w="100" w:type="dxa"/>
              <w:left w:w="0" w:type="dxa"/>
              <w:bottom w:w="100" w:type="dxa"/>
              <w:right w:w="60" w:type="dxa"/>
            </w:tcMar>
          </w:tcPr>
          <w:p w14:paraId="52036E79"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3DBF4CA0" w14:textId="77777777">
        <w:trPr>
          <w:trHeight w:val="240"/>
        </w:trPr>
        <w:tc>
          <w:tcPr>
            <w:tcW w:w="8724" w:type="dxa"/>
            <w:gridSpan w:val="2"/>
            <w:tcMar>
              <w:top w:w="100" w:type="dxa"/>
              <w:left w:w="0" w:type="dxa"/>
              <w:bottom w:w="100" w:type="dxa"/>
              <w:right w:w="60" w:type="dxa"/>
            </w:tcMar>
          </w:tcPr>
          <w:p w14:paraId="113946E2" w14:textId="77777777" w:rsidR="007E0724" w:rsidRDefault="00C4775C">
            <w:pPr>
              <w:pStyle w:val="AnnexTableCellLeft"/>
              <w:spacing w:after="240"/>
              <w:rPr>
                <w:szCs w:val="18"/>
              </w:rPr>
            </w:pPr>
            <w:r>
              <w:t xml:space="preserve">Raforkunotkun fyrir </w:t>
            </w:r>
            <w:proofErr w:type="spellStart"/>
            <w:r>
              <w:t>rafgreiningu</w:t>
            </w:r>
            <w:proofErr w:type="spellEnd"/>
            <w:r>
              <w:t xml:space="preserve"> og </w:t>
            </w:r>
            <w:proofErr w:type="spellStart"/>
            <w:r>
              <w:t>klórmeðhöndlun</w:t>
            </w:r>
            <w:proofErr w:type="spellEnd"/>
            <w:r>
              <w:t xml:space="preserve"> er jöfn eða minni en 2.45 </w:t>
            </w:r>
            <w:proofErr w:type="spellStart"/>
            <w:r>
              <w:t>MWh</w:t>
            </w:r>
            <w:proofErr w:type="spellEnd"/>
            <w:r>
              <w:t xml:space="preserve"> á hvert tonn af </w:t>
            </w:r>
            <w:proofErr w:type="spellStart"/>
            <w:r>
              <w:t>klór</w:t>
            </w:r>
            <w:proofErr w:type="spellEnd"/>
            <w:r>
              <w:t>.</w:t>
            </w:r>
          </w:p>
          <w:p w14:paraId="5D61069E" w14:textId="77777777" w:rsidR="007E0724" w:rsidRDefault="00C4775C">
            <w:pPr>
              <w:pStyle w:val="AnnexTableCellLeft"/>
              <w:spacing w:after="240"/>
              <w:rPr>
                <w:szCs w:val="18"/>
              </w:rPr>
            </w:pPr>
            <w:r>
              <w:t xml:space="preserve">Meðallosun gróðurhúsalofttegunda á vistferlinum frá raforku sem er notuð vegna </w:t>
            </w:r>
            <w:proofErr w:type="spellStart"/>
            <w:r>
              <w:t>klórframleiðslu</w:t>
            </w:r>
            <w:proofErr w:type="spellEnd"/>
            <w:r>
              <w:t xml:space="preserve"> er jöfn eða minni en 100 g CO</w:t>
            </w:r>
            <w:r>
              <w:rPr>
                <w:vertAlign w:val="subscript"/>
              </w:rPr>
              <w:t>2</w:t>
            </w:r>
            <w:r>
              <w:t>e/kWh.</w:t>
            </w:r>
          </w:p>
          <w:p w14:paraId="6E47D647" w14:textId="77777777" w:rsidR="007E0724" w:rsidRDefault="00C4775C">
            <w:pPr>
              <w:pStyle w:val="AnnexTableCellLeft"/>
              <w:spacing w:after="240"/>
              <w:rPr>
                <w:szCs w:val="18"/>
              </w:rPr>
            </w:pPr>
            <w:r>
              <w:t>Losun gróðurhúsalofttegunda á vistferlinum er reiknuð út með því að nota tilmæli 2013/179/ESB eða, að öðrum kosti, með því að nota ISO 14067:2018 (</w:t>
            </w:r>
            <w:r>
              <w:rPr>
                <w:rStyle w:val="Tilvsunneanmlsgrein"/>
                <w:sz w:val="18"/>
                <w:szCs w:val="18"/>
              </w:rPr>
              <w:footnoteReference w:id="147"/>
            </w:r>
            <w:r>
              <w:t>) eða ISO 14064-1:2018 (</w:t>
            </w:r>
            <w:r>
              <w:rPr>
                <w:rStyle w:val="Tilvsunneanmlsgrein"/>
                <w:sz w:val="18"/>
                <w:szCs w:val="18"/>
              </w:rPr>
              <w:footnoteReference w:id="148"/>
            </w:r>
            <w:r>
              <w:t>).</w:t>
            </w:r>
          </w:p>
          <w:p w14:paraId="54F45DCC" w14:textId="77777777" w:rsidR="007E0724" w:rsidRDefault="00C4775C">
            <w:pPr>
              <w:pStyle w:val="AnnexTableCellLeft"/>
              <w:spacing w:after="240"/>
              <w:rPr>
                <w:szCs w:val="18"/>
              </w:rPr>
            </w:pPr>
            <w:r>
              <w:t>Óháður þriðji aðili sannprófar magngreinda losun gróðurhúsalofttegunda á vistferlinum.</w:t>
            </w:r>
          </w:p>
        </w:tc>
      </w:tr>
      <w:tr w:rsidR="007E0724" w14:paraId="5A443C1D" w14:textId="77777777">
        <w:trPr>
          <w:trHeight w:val="240"/>
        </w:trPr>
        <w:tc>
          <w:tcPr>
            <w:tcW w:w="8724" w:type="dxa"/>
            <w:gridSpan w:val="2"/>
            <w:tcMar>
              <w:top w:w="100" w:type="dxa"/>
              <w:left w:w="0" w:type="dxa"/>
              <w:bottom w:w="100" w:type="dxa"/>
              <w:right w:w="60" w:type="dxa"/>
            </w:tcMar>
          </w:tcPr>
          <w:p w14:paraId="6EEB7714" w14:textId="77777777" w:rsidR="007E0724" w:rsidRDefault="00C4775C">
            <w:pPr>
              <w:pStyle w:val="AnnexTableCellLeft"/>
            </w:pPr>
            <w:r>
              <w:t>Ekki valda umtalsverðu tjóni</w:t>
            </w:r>
          </w:p>
        </w:tc>
      </w:tr>
      <w:tr w:rsidR="007E0724" w14:paraId="6EED6E4B" w14:textId="77777777">
        <w:trPr>
          <w:trHeight w:val="360"/>
        </w:trPr>
        <w:tc>
          <w:tcPr>
            <w:tcW w:w="3048" w:type="dxa"/>
            <w:tcMar>
              <w:top w:w="100" w:type="dxa"/>
              <w:left w:w="0" w:type="dxa"/>
              <w:bottom w:w="100" w:type="dxa"/>
              <w:right w:w="60" w:type="dxa"/>
            </w:tcMar>
          </w:tcPr>
          <w:p w14:paraId="06C31C80" w14:textId="77777777" w:rsidR="007E0724" w:rsidRDefault="00C4775C">
            <w:pPr>
              <w:pStyle w:val="AnnexNumberedText"/>
            </w:pPr>
            <w:r>
              <w:t>2)</w:t>
            </w:r>
            <w:r>
              <w:tab/>
              <w:t>Aðlögun að loftslagsbreytingum</w:t>
            </w:r>
          </w:p>
        </w:tc>
        <w:tc>
          <w:tcPr>
            <w:tcW w:w="5676" w:type="dxa"/>
            <w:tcMar>
              <w:top w:w="100" w:type="dxa"/>
              <w:left w:w="0" w:type="dxa"/>
              <w:bottom w:w="100" w:type="dxa"/>
              <w:right w:w="60" w:type="dxa"/>
            </w:tcMar>
          </w:tcPr>
          <w:p w14:paraId="06290690" w14:textId="77777777" w:rsidR="007E0724" w:rsidRDefault="00C4775C">
            <w:pPr>
              <w:pStyle w:val="AnnexTableCellLeft"/>
              <w:ind w:left="40"/>
            </w:pPr>
            <w:r>
              <w:t>Starfsemin er í samræmi við viðmiðanirnar sem settar eru fram í viðbæti A við þennan viðauka.</w:t>
            </w:r>
          </w:p>
        </w:tc>
      </w:tr>
      <w:tr w:rsidR="007E0724" w14:paraId="488AC403" w14:textId="77777777">
        <w:trPr>
          <w:trHeight w:val="360"/>
        </w:trPr>
        <w:tc>
          <w:tcPr>
            <w:tcW w:w="3048" w:type="dxa"/>
            <w:tcMar>
              <w:top w:w="100" w:type="dxa"/>
              <w:left w:w="0" w:type="dxa"/>
              <w:bottom w:w="100" w:type="dxa"/>
              <w:right w:w="60" w:type="dxa"/>
            </w:tcMar>
          </w:tcPr>
          <w:p w14:paraId="25AD24FD" w14:textId="77777777" w:rsidR="007E0724" w:rsidRDefault="00C4775C">
            <w:pPr>
              <w:pStyle w:val="AnnexNumberedText"/>
            </w:pPr>
            <w:r>
              <w:t>3)</w:t>
            </w:r>
            <w:r>
              <w:tab/>
              <w:t>Sjálfbær notkun og verndun vatns- og sjávarauðlinda</w:t>
            </w:r>
          </w:p>
        </w:tc>
        <w:tc>
          <w:tcPr>
            <w:tcW w:w="5676" w:type="dxa"/>
            <w:tcMar>
              <w:top w:w="100" w:type="dxa"/>
              <w:left w:w="0" w:type="dxa"/>
              <w:bottom w:w="100" w:type="dxa"/>
              <w:right w:w="60" w:type="dxa"/>
            </w:tcMar>
          </w:tcPr>
          <w:p w14:paraId="7E70CD8E" w14:textId="77777777" w:rsidR="007E0724" w:rsidRDefault="00C4775C">
            <w:pPr>
              <w:pStyle w:val="AnnexTableCellLeft"/>
              <w:ind w:left="40"/>
            </w:pPr>
            <w:r>
              <w:t>Starfsemin er í samræmi við viðmiðanirnar sem settar eru fram í viðbæti B við þennan viðauka.</w:t>
            </w:r>
          </w:p>
        </w:tc>
      </w:tr>
      <w:tr w:rsidR="007E0724" w14:paraId="705D1C0B" w14:textId="77777777">
        <w:trPr>
          <w:trHeight w:val="360"/>
        </w:trPr>
        <w:tc>
          <w:tcPr>
            <w:tcW w:w="3048" w:type="dxa"/>
            <w:tcMar>
              <w:top w:w="100" w:type="dxa"/>
              <w:left w:w="0" w:type="dxa"/>
              <w:bottom w:w="100" w:type="dxa"/>
              <w:right w:w="60" w:type="dxa"/>
            </w:tcMar>
          </w:tcPr>
          <w:p w14:paraId="0E8E71A6" w14:textId="77777777" w:rsidR="007E0724" w:rsidRDefault="00C4775C">
            <w:pPr>
              <w:pStyle w:val="AnnexNumberedText"/>
            </w:pPr>
            <w:r>
              <w:lastRenderedPageBreak/>
              <w:t>4)</w:t>
            </w:r>
            <w:r>
              <w:tab/>
              <w:t>Umskipti yfir í hringrásarhagkerfi</w:t>
            </w:r>
          </w:p>
        </w:tc>
        <w:tc>
          <w:tcPr>
            <w:tcW w:w="5676" w:type="dxa"/>
            <w:tcMar>
              <w:top w:w="100" w:type="dxa"/>
              <w:left w:w="0" w:type="dxa"/>
              <w:bottom w:w="100" w:type="dxa"/>
              <w:right w:w="60" w:type="dxa"/>
            </w:tcMar>
          </w:tcPr>
          <w:p w14:paraId="09AA9685" w14:textId="77777777" w:rsidR="007E0724" w:rsidRDefault="00C4775C">
            <w:pPr>
              <w:pStyle w:val="AnnexTableCellLeft"/>
              <w:ind w:left="40"/>
            </w:pPr>
            <w:r>
              <w:t>Á ekki við</w:t>
            </w:r>
          </w:p>
        </w:tc>
      </w:tr>
      <w:tr w:rsidR="007E0724" w14:paraId="1472080E" w14:textId="77777777">
        <w:trPr>
          <w:trHeight w:val="360"/>
        </w:trPr>
        <w:tc>
          <w:tcPr>
            <w:tcW w:w="3048" w:type="dxa"/>
            <w:tcMar>
              <w:top w:w="100" w:type="dxa"/>
              <w:left w:w="0" w:type="dxa"/>
              <w:bottom w:w="100" w:type="dxa"/>
              <w:right w:w="60" w:type="dxa"/>
            </w:tcMar>
          </w:tcPr>
          <w:p w14:paraId="3F09C6E2" w14:textId="77777777" w:rsidR="007E0724" w:rsidRDefault="00C4775C">
            <w:pPr>
              <w:pStyle w:val="AnnexNumberedText"/>
              <w:pageBreakBefore/>
            </w:pPr>
            <w:r>
              <w:lastRenderedPageBreak/>
              <w:t>5)</w:t>
            </w:r>
            <w:r>
              <w:tab/>
              <w:t>Mengunarvarnir og eftirlit með mengun</w:t>
            </w:r>
          </w:p>
        </w:tc>
        <w:tc>
          <w:tcPr>
            <w:tcW w:w="5676" w:type="dxa"/>
            <w:tcMar>
              <w:top w:w="100" w:type="dxa"/>
              <w:left w:w="0" w:type="dxa"/>
              <w:bottom w:w="100" w:type="dxa"/>
              <w:right w:w="60" w:type="dxa"/>
            </w:tcMar>
          </w:tcPr>
          <w:p w14:paraId="751FB3B9" w14:textId="77777777" w:rsidR="007E0724" w:rsidRDefault="00C4775C">
            <w:pPr>
              <w:pStyle w:val="AnnexTableCellLeft"/>
              <w:spacing w:after="200"/>
              <w:ind w:left="40"/>
            </w:pPr>
            <w:r>
              <w:t>Starfsemin er í samræmi við viðmiðanirnar sem settar eru fram í viðbæti C við þennan viðauka.</w:t>
            </w:r>
          </w:p>
          <w:p w14:paraId="5C3EC86D" w14:textId="77777777" w:rsidR="007E0724" w:rsidRDefault="00C4775C">
            <w:pPr>
              <w:pStyle w:val="AnnexTableCellLeft"/>
              <w:spacing w:after="240"/>
              <w:ind w:left="40"/>
              <w:rPr>
                <w:szCs w:val="18"/>
              </w:rPr>
            </w:pPr>
            <w:r>
              <w:t>Losun fellur innan við eða undir svið losunargilda sem tengjast bestu aðgengilegu tækni samkvæmt nýjustu viðeigandi niðurstöðum um bestu aðgengilegu tækni, þ.m.t.:</w:t>
            </w:r>
          </w:p>
          <w:p w14:paraId="6F9BE020" w14:textId="77777777" w:rsidR="007E0724" w:rsidRDefault="00C4775C">
            <w:pPr>
              <w:pStyle w:val="AnnexNumberedText"/>
              <w:spacing w:after="240"/>
              <w:ind w:left="340"/>
              <w:rPr>
                <w:szCs w:val="18"/>
              </w:rPr>
            </w:pPr>
            <w:r>
              <w:t>a)</w:t>
            </w:r>
            <w:r>
              <w:tab/>
              <w:t xml:space="preserve">niðurstöður um bestu aðgengilegu tækni vegna </w:t>
            </w:r>
            <w:proofErr w:type="spellStart"/>
            <w:r>
              <w:t>klóralkalíframleiðslu</w:t>
            </w:r>
            <w:proofErr w:type="spellEnd"/>
            <w:r>
              <w:t xml:space="preserve"> (</w:t>
            </w:r>
            <w:r>
              <w:rPr>
                <w:rStyle w:val="Tilvsunneanmlsgrein"/>
                <w:sz w:val="18"/>
                <w:szCs w:val="18"/>
              </w:rPr>
              <w:footnoteReference w:id="149"/>
            </w:r>
            <w:r>
              <w:t>),</w:t>
            </w:r>
          </w:p>
          <w:p w14:paraId="49F2265B" w14:textId="77777777" w:rsidR="007E0724" w:rsidRDefault="00C4775C">
            <w:pPr>
              <w:pStyle w:val="AnnexNumberedText"/>
              <w:spacing w:after="240"/>
              <w:ind w:left="340"/>
              <w:rPr>
                <w:szCs w:val="18"/>
              </w:rPr>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50"/>
            </w:r>
            <w:r>
              <w:t>).</w:t>
            </w:r>
          </w:p>
          <w:p w14:paraId="69B65F47" w14:textId="77777777" w:rsidR="007E0724" w:rsidRDefault="00C4775C">
            <w:pPr>
              <w:pStyle w:val="AnnexTableCellLeft"/>
              <w:spacing w:after="120"/>
              <w:ind w:left="40"/>
            </w:pPr>
            <w:r>
              <w:t>Engin umtalsverð yfirfærsluáhrif milli umhverfishólfa eiga sér stað.</w:t>
            </w:r>
          </w:p>
        </w:tc>
      </w:tr>
      <w:tr w:rsidR="007E0724" w14:paraId="30EED2D7" w14:textId="77777777">
        <w:trPr>
          <w:trHeight w:val="360"/>
        </w:trPr>
        <w:tc>
          <w:tcPr>
            <w:tcW w:w="3048" w:type="dxa"/>
            <w:tcMar>
              <w:top w:w="100" w:type="dxa"/>
              <w:left w:w="0" w:type="dxa"/>
              <w:bottom w:w="100" w:type="dxa"/>
              <w:right w:w="60" w:type="dxa"/>
            </w:tcMar>
          </w:tcPr>
          <w:p w14:paraId="75ABABB8" w14:textId="77777777" w:rsidR="007E0724" w:rsidRDefault="00C4775C">
            <w:pPr>
              <w:pStyle w:val="AnnexNumberedText"/>
            </w:pPr>
            <w:r>
              <w:t>6)</w:t>
            </w:r>
            <w:r>
              <w:tab/>
              <w:t>Vernd og endurheimt líffræðilegrar fjölbreytni og vistkerfa</w:t>
            </w:r>
          </w:p>
        </w:tc>
        <w:tc>
          <w:tcPr>
            <w:tcW w:w="5676" w:type="dxa"/>
            <w:tcMar>
              <w:top w:w="100" w:type="dxa"/>
              <w:left w:w="0" w:type="dxa"/>
              <w:bottom w:w="100" w:type="dxa"/>
              <w:right w:w="60" w:type="dxa"/>
            </w:tcMar>
          </w:tcPr>
          <w:p w14:paraId="55E7993E" w14:textId="77777777" w:rsidR="007E0724" w:rsidRDefault="00C4775C">
            <w:pPr>
              <w:pStyle w:val="AnnexTableCellLeft"/>
              <w:ind w:left="40"/>
            </w:pPr>
            <w:r>
              <w:t>Starfsemin er í samræmi við viðmiðanirnar sem settar eru fram í viðbæti D við þennan viðauka.</w:t>
            </w:r>
          </w:p>
        </w:tc>
      </w:tr>
    </w:tbl>
    <w:p w14:paraId="551B4A7C" w14:textId="77777777" w:rsidR="007E0724" w:rsidRDefault="00C4775C">
      <w:pPr>
        <w:pStyle w:val="AnnexNumberedText"/>
        <w:spacing w:before="200"/>
        <w:ind w:left="500" w:hanging="500"/>
      </w:pPr>
      <w:r>
        <w:t>3.14.</w:t>
      </w:r>
      <w:r>
        <w:rPr>
          <w:b/>
        </w:rPr>
        <w:tab/>
        <w:t>Framleiðsla á lífrænum grunnefnum</w:t>
      </w:r>
    </w:p>
    <w:p w14:paraId="130562B9" w14:textId="77777777" w:rsidR="007E0724" w:rsidRDefault="00C4775C">
      <w:pPr>
        <w:pStyle w:val="AnnexGrSeq3"/>
        <w:ind w:left="500"/>
        <w:jc w:val="left"/>
      </w:pPr>
      <w:r>
        <w:rPr>
          <w:i/>
        </w:rPr>
        <w:t>Lýsing á starfseminni</w:t>
      </w:r>
    </w:p>
    <w:p w14:paraId="50A9075B" w14:textId="77777777" w:rsidR="007E0724" w:rsidRDefault="00C4775C">
      <w:pPr>
        <w:pStyle w:val="AnnexNormal"/>
        <w:ind w:left="500"/>
        <w:jc w:val="left"/>
      </w:pPr>
      <w:r>
        <w:t>Framleiðsla á:</w:t>
      </w:r>
    </w:p>
    <w:p w14:paraId="7F8C1814" w14:textId="77777777" w:rsidR="007E0724" w:rsidRDefault="00C4775C">
      <w:pPr>
        <w:pStyle w:val="AnnexNumberedText"/>
        <w:spacing w:after="130"/>
        <w:ind w:left="800"/>
      </w:pPr>
      <w:r>
        <w:t>a)</w:t>
      </w:r>
      <w:r>
        <w:tab/>
      </w:r>
      <w:proofErr w:type="spellStart"/>
      <w:r>
        <w:t>hágæðaíðefnum</w:t>
      </w:r>
      <w:proofErr w:type="spellEnd"/>
      <w:r>
        <w:t>:</w:t>
      </w:r>
    </w:p>
    <w:p w14:paraId="3C84B84B" w14:textId="77777777" w:rsidR="007E0724" w:rsidRDefault="00C4775C">
      <w:pPr>
        <w:pStyle w:val="AnnexNumberedText"/>
        <w:spacing w:after="130"/>
        <w:ind w:left="1100"/>
      </w:pPr>
      <w:r>
        <w:t>i.</w:t>
      </w:r>
      <w:r>
        <w:tab/>
      </w:r>
      <w:proofErr w:type="spellStart"/>
      <w:r>
        <w:t>asetýlen</w:t>
      </w:r>
      <w:proofErr w:type="spellEnd"/>
      <w:r>
        <w:t>,</w:t>
      </w:r>
    </w:p>
    <w:p w14:paraId="4A9EE6FE" w14:textId="77777777" w:rsidR="007E0724" w:rsidRDefault="00C4775C">
      <w:pPr>
        <w:pStyle w:val="AnnexNumberedText"/>
        <w:spacing w:after="130"/>
        <w:ind w:left="1100"/>
      </w:pPr>
      <w:r>
        <w:t>ii.</w:t>
      </w:r>
      <w:r>
        <w:tab/>
      </w:r>
      <w:proofErr w:type="spellStart"/>
      <w:r>
        <w:t>etýlen</w:t>
      </w:r>
      <w:proofErr w:type="spellEnd"/>
      <w:r>
        <w:t>,</w:t>
      </w:r>
    </w:p>
    <w:p w14:paraId="4D107EA1" w14:textId="77777777" w:rsidR="007E0724" w:rsidRDefault="00C4775C">
      <w:pPr>
        <w:pStyle w:val="AnnexNumberedText"/>
        <w:spacing w:after="130"/>
        <w:ind w:left="1100"/>
      </w:pPr>
      <w:r>
        <w:t>iii.</w:t>
      </w:r>
      <w:r>
        <w:tab/>
      </w:r>
      <w:proofErr w:type="spellStart"/>
      <w:r>
        <w:t>própýlen</w:t>
      </w:r>
      <w:proofErr w:type="spellEnd"/>
      <w:r>
        <w:t>,</w:t>
      </w:r>
    </w:p>
    <w:p w14:paraId="0CD6D6F6" w14:textId="77777777" w:rsidR="007E0724" w:rsidRDefault="00C4775C">
      <w:pPr>
        <w:pStyle w:val="AnnexNumberedText"/>
        <w:spacing w:after="130"/>
        <w:ind w:left="1100"/>
      </w:pPr>
      <w:r>
        <w:t>iv.</w:t>
      </w:r>
      <w:r>
        <w:tab/>
      </w:r>
      <w:proofErr w:type="spellStart"/>
      <w:r>
        <w:t>bútadíen</w:t>
      </w:r>
      <w:proofErr w:type="spellEnd"/>
      <w:r>
        <w:t>.</w:t>
      </w:r>
    </w:p>
    <w:p w14:paraId="29014122" w14:textId="77777777" w:rsidR="007E0724" w:rsidRDefault="00C4775C">
      <w:pPr>
        <w:pStyle w:val="AnnexNumberedText"/>
        <w:spacing w:after="130"/>
        <w:ind w:left="800"/>
      </w:pPr>
      <w:r>
        <w:t>b)</w:t>
      </w:r>
      <w:r>
        <w:tab/>
      </w:r>
      <w:proofErr w:type="spellStart"/>
      <w:r>
        <w:t>arómötum</w:t>
      </w:r>
      <w:proofErr w:type="spellEnd"/>
      <w:r>
        <w:t>:</w:t>
      </w:r>
    </w:p>
    <w:p w14:paraId="302C7DCF" w14:textId="77777777" w:rsidR="007E0724" w:rsidRDefault="00C4775C">
      <w:pPr>
        <w:pStyle w:val="AnnexNumberedText"/>
        <w:spacing w:after="130"/>
        <w:ind w:left="1100"/>
      </w:pPr>
      <w:r>
        <w:t>i.</w:t>
      </w:r>
      <w:r>
        <w:tab/>
        <w:t xml:space="preserve">blönduð </w:t>
      </w:r>
      <w:proofErr w:type="spellStart"/>
      <w:r>
        <w:t>alkýlbensen</w:t>
      </w:r>
      <w:proofErr w:type="spellEnd"/>
      <w:r>
        <w:t xml:space="preserve">, blönduð </w:t>
      </w:r>
      <w:proofErr w:type="spellStart"/>
      <w:r>
        <w:t>alkýlnaftalín</w:t>
      </w:r>
      <w:proofErr w:type="spellEnd"/>
      <w:r>
        <w:t xml:space="preserve"> önnur en í nr. 2707 eða nr. 2902,</w:t>
      </w:r>
    </w:p>
    <w:p w14:paraId="35E33A7A" w14:textId="77777777" w:rsidR="007E0724" w:rsidRDefault="00C4775C">
      <w:pPr>
        <w:pStyle w:val="AnnexNumberedText"/>
        <w:spacing w:after="130"/>
        <w:ind w:left="1100"/>
      </w:pPr>
      <w:r>
        <w:t>ii.</w:t>
      </w:r>
      <w:r>
        <w:tab/>
      </w:r>
      <w:proofErr w:type="spellStart"/>
      <w:r>
        <w:t>sýklóhexan</w:t>
      </w:r>
      <w:proofErr w:type="spellEnd"/>
      <w:r>
        <w:t>,</w:t>
      </w:r>
    </w:p>
    <w:p w14:paraId="694730B6" w14:textId="77777777" w:rsidR="007E0724" w:rsidRDefault="00C4775C">
      <w:pPr>
        <w:pStyle w:val="AnnexNumberedText"/>
        <w:spacing w:after="130"/>
        <w:ind w:left="1100"/>
      </w:pPr>
      <w:r>
        <w:t>iii.</w:t>
      </w:r>
      <w:r>
        <w:tab/>
        <w:t>bensen,</w:t>
      </w:r>
    </w:p>
    <w:p w14:paraId="6B24A083" w14:textId="77777777" w:rsidR="007E0724" w:rsidRDefault="00C4775C">
      <w:pPr>
        <w:pStyle w:val="AnnexNumberedText"/>
        <w:spacing w:after="130"/>
        <w:ind w:left="1100"/>
      </w:pPr>
      <w:r>
        <w:t>iv.</w:t>
      </w:r>
      <w:r>
        <w:tab/>
      </w:r>
      <w:proofErr w:type="spellStart"/>
      <w:r>
        <w:t>tólúen</w:t>
      </w:r>
      <w:proofErr w:type="spellEnd"/>
      <w:r>
        <w:t>,</w:t>
      </w:r>
    </w:p>
    <w:p w14:paraId="772EBF17" w14:textId="77777777" w:rsidR="007E0724" w:rsidRDefault="00C4775C">
      <w:pPr>
        <w:pStyle w:val="AnnexNumberedText"/>
        <w:spacing w:after="130"/>
        <w:ind w:left="1100"/>
      </w:pPr>
      <w:r>
        <w:t>v.</w:t>
      </w:r>
      <w:r>
        <w:tab/>
        <w:t>o-</w:t>
      </w:r>
      <w:proofErr w:type="spellStart"/>
      <w:r>
        <w:t>xýlen</w:t>
      </w:r>
      <w:proofErr w:type="spellEnd"/>
      <w:r>
        <w:t>,</w:t>
      </w:r>
    </w:p>
    <w:p w14:paraId="5765DF26" w14:textId="77777777" w:rsidR="007E0724" w:rsidRDefault="00C4775C">
      <w:pPr>
        <w:pStyle w:val="AnnexNumberedText"/>
        <w:spacing w:after="130"/>
        <w:ind w:left="1100"/>
      </w:pPr>
      <w:r>
        <w:t>vi.</w:t>
      </w:r>
      <w:r>
        <w:tab/>
        <w:t>p-</w:t>
      </w:r>
      <w:proofErr w:type="spellStart"/>
      <w:r>
        <w:t>xýlen</w:t>
      </w:r>
      <w:proofErr w:type="spellEnd"/>
      <w:r>
        <w:t>,</w:t>
      </w:r>
    </w:p>
    <w:p w14:paraId="7A2E9024" w14:textId="77777777" w:rsidR="007E0724" w:rsidRDefault="00C4775C">
      <w:pPr>
        <w:pStyle w:val="AnnexNumberedText"/>
        <w:spacing w:after="130"/>
        <w:ind w:left="1100"/>
      </w:pPr>
      <w:r>
        <w:t>vii.</w:t>
      </w:r>
      <w:r>
        <w:tab/>
        <w:t>m-</w:t>
      </w:r>
      <w:proofErr w:type="spellStart"/>
      <w:r>
        <w:t>xýlen</w:t>
      </w:r>
      <w:proofErr w:type="spellEnd"/>
      <w:r>
        <w:t xml:space="preserve"> og blandaðar hverfur </w:t>
      </w:r>
      <w:proofErr w:type="spellStart"/>
      <w:r>
        <w:t>xýlens</w:t>
      </w:r>
      <w:proofErr w:type="spellEnd"/>
      <w:r>
        <w:t>,</w:t>
      </w:r>
    </w:p>
    <w:p w14:paraId="675C9F06" w14:textId="77777777" w:rsidR="007E0724" w:rsidRDefault="00C4775C">
      <w:pPr>
        <w:pStyle w:val="AnnexNumberedText"/>
        <w:spacing w:after="130"/>
        <w:ind w:left="1100"/>
      </w:pPr>
      <w:r>
        <w:t>viii.</w:t>
      </w:r>
      <w:r>
        <w:tab/>
      </w:r>
      <w:proofErr w:type="spellStart"/>
      <w:r>
        <w:t>etýlbensen</w:t>
      </w:r>
      <w:proofErr w:type="spellEnd"/>
      <w:r>
        <w:t>,</w:t>
      </w:r>
    </w:p>
    <w:p w14:paraId="674DA363" w14:textId="77777777" w:rsidR="007E0724" w:rsidRDefault="00C4775C">
      <w:pPr>
        <w:pStyle w:val="AnnexNumberedText"/>
        <w:spacing w:after="130"/>
        <w:ind w:left="1100"/>
      </w:pPr>
      <w:r>
        <w:t>ix.</w:t>
      </w:r>
      <w:r>
        <w:tab/>
      </w:r>
      <w:proofErr w:type="spellStart"/>
      <w:r>
        <w:t>kúmól</w:t>
      </w:r>
      <w:proofErr w:type="spellEnd"/>
      <w:r>
        <w:t>,</w:t>
      </w:r>
    </w:p>
    <w:p w14:paraId="2881F09F" w14:textId="77777777" w:rsidR="007E0724" w:rsidRDefault="00C4775C">
      <w:pPr>
        <w:pStyle w:val="AnnexNumberedText"/>
        <w:spacing w:after="130"/>
        <w:ind w:left="1100"/>
      </w:pPr>
      <w:r>
        <w:t>x.</w:t>
      </w:r>
      <w:r>
        <w:tab/>
      </w:r>
      <w:proofErr w:type="spellStart"/>
      <w:r>
        <w:t>bífenýl</w:t>
      </w:r>
      <w:proofErr w:type="spellEnd"/>
      <w:r>
        <w:t xml:space="preserve">, </w:t>
      </w:r>
      <w:proofErr w:type="spellStart"/>
      <w:r>
        <w:t>terfenýl</w:t>
      </w:r>
      <w:proofErr w:type="spellEnd"/>
      <w:r>
        <w:t xml:space="preserve">, </w:t>
      </w:r>
      <w:proofErr w:type="spellStart"/>
      <w:r>
        <w:t>vínýltólúen</w:t>
      </w:r>
      <w:proofErr w:type="spellEnd"/>
      <w:r>
        <w:t xml:space="preserve">, önnur hringuð vetniskolefni að undanskildum </w:t>
      </w:r>
      <w:proofErr w:type="spellStart"/>
      <w:r>
        <w:t>sýklönum</w:t>
      </w:r>
      <w:proofErr w:type="spellEnd"/>
      <w:r>
        <w:t xml:space="preserve">, </w:t>
      </w:r>
      <w:proofErr w:type="spellStart"/>
      <w:r>
        <w:t>sýklen</w:t>
      </w:r>
      <w:proofErr w:type="spellEnd"/>
      <w:r>
        <w:t xml:space="preserve">, </w:t>
      </w:r>
      <w:proofErr w:type="spellStart"/>
      <w:r>
        <w:t>sýklóterpen</w:t>
      </w:r>
      <w:proofErr w:type="spellEnd"/>
      <w:r>
        <w:t xml:space="preserve">, bensen, </w:t>
      </w:r>
      <w:proofErr w:type="spellStart"/>
      <w:r>
        <w:t>tólúen</w:t>
      </w:r>
      <w:proofErr w:type="spellEnd"/>
      <w:r>
        <w:t xml:space="preserve">, </w:t>
      </w:r>
      <w:proofErr w:type="spellStart"/>
      <w:r>
        <w:t>xýlen</w:t>
      </w:r>
      <w:proofErr w:type="spellEnd"/>
      <w:r>
        <w:t xml:space="preserve">, </w:t>
      </w:r>
      <w:proofErr w:type="spellStart"/>
      <w:r>
        <w:t>stýren</w:t>
      </w:r>
      <w:proofErr w:type="spellEnd"/>
      <w:r>
        <w:t xml:space="preserve">, </w:t>
      </w:r>
      <w:proofErr w:type="spellStart"/>
      <w:r>
        <w:t>etýlbensen</w:t>
      </w:r>
      <w:proofErr w:type="spellEnd"/>
      <w:r>
        <w:t xml:space="preserve">, </w:t>
      </w:r>
      <w:proofErr w:type="spellStart"/>
      <w:r>
        <w:t>kúmól</w:t>
      </w:r>
      <w:proofErr w:type="spellEnd"/>
      <w:r>
        <w:t xml:space="preserve">, </w:t>
      </w:r>
      <w:proofErr w:type="spellStart"/>
      <w:r>
        <w:t>naftalín</w:t>
      </w:r>
      <w:proofErr w:type="spellEnd"/>
      <w:r>
        <w:t xml:space="preserve">, </w:t>
      </w:r>
      <w:proofErr w:type="spellStart"/>
      <w:r>
        <w:t>antrasen</w:t>
      </w:r>
      <w:proofErr w:type="spellEnd"/>
      <w:r>
        <w:t>,</w:t>
      </w:r>
    </w:p>
    <w:p w14:paraId="1BF8CD92" w14:textId="77777777" w:rsidR="007E0724" w:rsidRDefault="00C4775C">
      <w:pPr>
        <w:pStyle w:val="AnnexNumberedText"/>
        <w:spacing w:after="130"/>
        <w:ind w:left="1100"/>
      </w:pPr>
      <w:r>
        <w:t>xi.</w:t>
      </w:r>
      <w:r>
        <w:tab/>
        <w:t xml:space="preserve">bensól (bensen), </w:t>
      </w:r>
      <w:proofErr w:type="spellStart"/>
      <w:r>
        <w:t>tólúól</w:t>
      </w:r>
      <w:proofErr w:type="spellEnd"/>
      <w:r>
        <w:t xml:space="preserve"> (</w:t>
      </w:r>
      <w:proofErr w:type="spellStart"/>
      <w:r>
        <w:t>tólúen</w:t>
      </w:r>
      <w:proofErr w:type="spellEnd"/>
      <w:r>
        <w:t xml:space="preserve">) og </w:t>
      </w:r>
      <w:proofErr w:type="spellStart"/>
      <w:r>
        <w:t>xýlól</w:t>
      </w:r>
      <w:proofErr w:type="spellEnd"/>
      <w:r>
        <w:t xml:space="preserve"> (</w:t>
      </w:r>
      <w:proofErr w:type="spellStart"/>
      <w:r>
        <w:t>xýlen</w:t>
      </w:r>
      <w:proofErr w:type="spellEnd"/>
      <w:r>
        <w:t>),</w:t>
      </w:r>
    </w:p>
    <w:p w14:paraId="32F30A4B" w14:textId="77777777" w:rsidR="007E0724" w:rsidRDefault="00C4775C">
      <w:pPr>
        <w:pStyle w:val="AnnexNumberedText"/>
        <w:spacing w:after="130"/>
        <w:ind w:left="1100"/>
      </w:pPr>
      <w:r>
        <w:t>xii.</w:t>
      </w:r>
      <w:r>
        <w:tab/>
      </w:r>
      <w:proofErr w:type="spellStart"/>
      <w:r>
        <w:t>naftalín</w:t>
      </w:r>
      <w:proofErr w:type="spellEnd"/>
      <w:r>
        <w:t xml:space="preserve"> og aðrar </w:t>
      </w:r>
      <w:proofErr w:type="spellStart"/>
      <w:r>
        <w:t>arómatískar</w:t>
      </w:r>
      <w:proofErr w:type="spellEnd"/>
      <w:r>
        <w:t xml:space="preserve"> vetniskolefnablöndur (að undanskildu bensóli, </w:t>
      </w:r>
      <w:proofErr w:type="spellStart"/>
      <w:r>
        <w:t>tólúóli</w:t>
      </w:r>
      <w:proofErr w:type="spellEnd"/>
      <w:r>
        <w:t xml:space="preserve">, </w:t>
      </w:r>
      <w:proofErr w:type="spellStart"/>
      <w:r>
        <w:t>xýlóli</w:t>
      </w:r>
      <w:proofErr w:type="spellEnd"/>
      <w:r>
        <w:t>).</w:t>
      </w:r>
    </w:p>
    <w:p w14:paraId="30DEB830" w14:textId="77777777" w:rsidR="007E0724" w:rsidRDefault="00C4775C">
      <w:pPr>
        <w:pStyle w:val="AnnexNumberedText"/>
        <w:spacing w:after="130"/>
        <w:ind w:left="800"/>
      </w:pPr>
      <w:r>
        <w:t>c)</w:t>
      </w:r>
      <w:r>
        <w:tab/>
      </w:r>
      <w:proofErr w:type="spellStart"/>
      <w:r>
        <w:t>vínýlklóríði</w:t>
      </w:r>
      <w:proofErr w:type="spellEnd"/>
      <w:r>
        <w:t>,</w:t>
      </w:r>
    </w:p>
    <w:p w14:paraId="6B4CD437" w14:textId="77777777" w:rsidR="007E0724" w:rsidRDefault="00C4775C">
      <w:pPr>
        <w:pStyle w:val="AnnexNumberedText"/>
        <w:spacing w:after="0"/>
        <w:ind w:left="800"/>
      </w:pPr>
      <w:r>
        <w:lastRenderedPageBreak/>
        <w:t>d)</w:t>
      </w:r>
      <w:r>
        <w:tab/>
      </w:r>
      <w:proofErr w:type="spellStart"/>
      <w:r>
        <w:t>stýreni</w:t>
      </w:r>
      <w:proofErr w:type="spellEnd"/>
      <w:r>
        <w:t>,</w:t>
      </w:r>
      <w:r>
        <w:br w:type="page"/>
      </w:r>
    </w:p>
    <w:p w14:paraId="7D762675" w14:textId="77777777" w:rsidR="007E0724" w:rsidRDefault="00C4775C">
      <w:pPr>
        <w:pStyle w:val="AnnexNumberedText"/>
        <w:spacing w:after="130"/>
        <w:ind w:left="800"/>
      </w:pPr>
      <w:r>
        <w:lastRenderedPageBreak/>
        <w:t>e)</w:t>
      </w:r>
      <w:r>
        <w:tab/>
      </w:r>
      <w:proofErr w:type="spellStart"/>
      <w:r>
        <w:t>etýlenoxíði</w:t>
      </w:r>
      <w:proofErr w:type="spellEnd"/>
      <w:r>
        <w:t>,</w:t>
      </w:r>
    </w:p>
    <w:p w14:paraId="38AE46AC" w14:textId="77777777" w:rsidR="007E0724" w:rsidRDefault="00C4775C">
      <w:pPr>
        <w:pStyle w:val="AnnexNumberedText"/>
        <w:spacing w:after="130"/>
        <w:ind w:left="800"/>
      </w:pPr>
      <w:r>
        <w:t>f)</w:t>
      </w:r>
      <w:r>
        <w:tab/>
      </w:r>
      <w:proofErr w:type="spellStart"/>
      <w:r>
        <w:t>mónóetýlenglýkóli</w:t>
      </w:r>
      <w:proofErr w:type="spellEnd"/>
      <w:r>
        <w:t>,</w:t>
      </w:r>
    </w:p>
    <w:p w14:paraId="10DA0B2E" w14:textId="77777777" w:rsidR="007E0724" w:rsidRDefault="00C4775C">
      <w:pPr>
        <w:pStyle w:val="AnnexNumberedText"/>
        <w:spacing w:after="130"/>
        <w:ind w:left="800"/>
      </w:pPr>
      <w:r>
        <w:t>g)</w:t>
      </w:r>
      <w:r>
        <w:tab/>
      </w:r>
      <w:proofErr w:type="spellStart"/>
      <w:r>
        <w:t>adipínsýru</w:t>
      </w:r>
      <w:proofErr w:type="spellEnd"/>
      <w:r>
        <w:t>.</w:t>
      </w:r>
    </w:p>
    <w:p w14:paraId="17EB9D42" w14:textId="77777777" w:rsidR="007E0724" w:rsidRDefault="00C4775C">
      <w:pPr>
        <w:pStyle w:val="AnnexNormal"/>
        <w:ind w:left="500"/>
      </w:pPr>
      <w:r>
        <w:t>Atvinnustarfsemin í þessum flokki gæti tengst kóða atvinnugreinaflokkunar Evrópusambandsins C20.14 í samræmi við atvinnugreinaflokkunina sem komið var á með reglugerð (EB) nr. 1893/2006.</w:t>
      </w:r>
    </w:p>
    <w:p w14:paraId="44FCB3A2" w14:textId="77777777" w:rsidR="007E0724" w:rsidRDefault="00C4775C">
      <w:pPr>
        <w:pStyle w:val="AnnexNormal"/>
        <w:ind w:left="500"/>
      </w:pPr>
      <w:r>
        <w:t>Atvinnustarfsemi í þessum flokki er umbreytingarstarfsemi, eins og um getur í 2. mgr. 10. gr. reglugerðar (ESB) 2020/852, þegar hún er í samræmi við tæknilegu matsviðmiðin sem sett eru fram í þessum þætti.</w:t>
      </w:r>
    </w:p>
    <w:p w14:paraId="2D8432B5" w14:textId="77777777" w:rsidR="007E0724" w:rsidRDefault="00C4775C">
      <w:pPr>
        <w:pStyle w:val="AnnexGrSeq3"/>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2582"/>
        <w:gridCol w:w="6170"/>
      </w:tblGrid>
      <w:tr w:rsidR="007E0724" w14:paraId="086331C7" w14:textId="77777777">
        <w:trPr>
          <w:trHeight w:val="240"/>
        </w:trPr>
        <w:tc>
          <w:tcPr>
            <w:tcW w:w="8752" w:type="dxa"/>
            <w:gridSpan w:val="2"/>
            <w:tcMar>
              <w:top w:w="100" w:type="dxa"/>
              <w:left w:w="0" w:type="dxa"/>
              <w:bottom w:w="100" w:type="dxa"/>
              <w:right w:w="60" w:type="dxa"/>
            </w:tcMar>
          </w:tcPr>
          <w:p w14:paraId="439A0FF6"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12D0B267" w14:textId="77777777">
        <w:trPr>
          <w:trHeight w:val="240"/>
        </w:trPr>
        <w:tc>
          <w:tcPr>
            <w:tcW w:w="8752" w:type="dxa"/>
            <w:gridSpan w:val="2"/>
            <w:tcMar>
              <w:top w:w="100" w:type="dxa"/>
              <w:left w:w="0" w:type="dxa"/>
              <w:bottom w:w="100" w:type="dxa"/>
              <w:right w:w="60" w:type="dxa"/>
            </w:tcMar>
          </w:tcPr>
          <w:p w14:paraId="607957DD" w14:textId="77777777" w:rsidR="007E0724" w:rsidRDefault="00C4775C">
            <w:pPr>
              <w:pStyle w:val="AnnexTableCellLeft"/>
              <w:spacing w:after="180"/>
            </w:pPr>
            <w:r>
              <w:t>losun gróðurhúsalofttegunda (</w:t>
            </w:r>
            <w:r>
              <w:rPr>
                <w:rStyle w:val="Tilvsunneanmlsgrein"/>
                <w:sz w:val="18"/>
              </w:rPr>
              <w:footnoteReference w:id="151"/>
            </w:r>
            <w:r>
              <w:t>) frá ferlum við framleiðslu á lífrænum grunnefnum er minni en:</w:t>
            </w:r>
          </w:p>
          <w:p w14:paraId="2A2C9872" w14:textId="77777777" w:rsidR="007E0724" w:rsidRDefault="00C4775C">
            <w:pPr>
              <w:pStyle w:val="AnnexNumberedText"/>
              <w:spacing w:after="180"/>
              <w:ind w:left="293" w:hanging="293"/>
            </w:pPr>
            <w:r>
              <w:t>a)</w:t>
            </w:r>
            <w:r>
              <w:tab/>
              <w:t xml:space="preserve">fyrir </w:t>
            </w:r>
            <w:proofErr w:type="spellStart"/>
            <w:r>
              <w:t>hágæðaíðefni</w:t>
            </w:r>
            <w:proofErr w:type="spellEnd"/>
            <w:r>
              <w:t>: 0,693 (</w:t>
            </w:r>
            <w:r>
              <w:rPr>
                <w:rStyle w:val="Tilvsunneanmlsgrein"/>
                <w:sz w:val="18"/>
              </w:rPr>
              <w:footnoteReference w:id="152"/>
            </w:r>
            <w:r>
              <w:t>) tCO</w:t>
            </w:r>
            <w:r>
              <w:rPr>
                <w:vertAlign w:val="subscript"/>
              </w:rPr>
              <w:t>2</w:t>
            </w:r>
            <w:r>
              <w:t xml:space="preserve">e/t af </w:t>
            </w:r>
            <w:proofErr w:type="spellStart"/>
            <w:r>
              <w:t>hágæðaíðefnum</w:t>
            </w:r>
            <w:proofErr w:type="spellEnd"/>
          </w:p>
          <w:p w14:paraId="0BE11B1E" w14:textId="77777777" w:rsidR="007E0724" w:rsidRDefault="00C4775C">
            <w:pPr>
              <w:pStyle w:val="AnnexNumberedText"/>
              <w:spacing w:after="180"/>
              <w:ind w:left="293" w:hanging="293"/>
            </w:pPr>
            <w:r>
              <w:t>b)</w:t>
            </w:r>
            <w:r>
              <w:tab/>
              <w:t xml:space="preserve">fyrir </w:t>
            </w:r>
            <w:proofErr w:type="spellStart"/>
            <w:r>
              <w:t>arómöt</w:t>
            </w:r>
            <w:proofErr w:type="spellEnd"/>
            <w:r>
              <w:t>: 0,0072 (</w:t>
            </w:r>
            <w:r>
              <w:rPr>
                <w:rStyle w:val="Tilvsunneanmlsgrein"/>
                <w:sz w:val="18"/>
              </w:rPr>
              <w:footnoteReference w:id="153"/>
            </w:r>
            <w:r>
              <w:t>) tCO</w:t>
            </w:r>
            <w:r>
              <w:rPr>
                <w:vertAlign w:val="subscript"/>
              </w:rPr>
              <w:t>2</w:t>
            </w:r>
            <w:r>
              <w:t>e/t af flóknu vegnu gegnumstreymi,</w:t>
            </w:r>
          </w:p>
          <w:p w14:paraId="55DA0F3C" w14:textId="77777777" w:rsidR="007E0724" w:rsidRDefault="00C4775C">
            <w:pPr>
              <w:pStyle w:val="AnnexNumberedText"/>
              <w:spacing w:after="180"/>
              <w:ind w:left="293" w:hanging="293"/>
            </w:pPr>
            <w:r>
              <w:t>c)</w:t>
            </w:r>
            <w:r>
              <w:tab/>
              <w:t xml:space="preserve">fyrir </w:t>
            </w:r>
            <w:proofErr w:type="spellStart"/>
            <w:r>
              <w:t>vínýlklóríð</w:t>
            </w:r>
            <w:proofErr w:type="spellEnd"/>
            <w:r>
              <w:t>: 0,171 (</w:t>
            </w:r>
            <w:r>
              <w:rPr>
                <w:rStyle w:val="Tilvsunneanmlsgrein"/>
                <w:sz w:val="18"/>
              </w:rPr>
              <w:footnoteReference w:id="154"/>
            </w:r>
            <w:r>
              <w:t>) tCO</w:t>
            </w:r>
            <w:r>
              <w:rPr>
                <w:vertAlign w:val="subscript"/>
              </w:rPr>
              <w:t>2</w:t>
            </w:r>
            <w:r>
              <w:t xml:space="preserve">e/t af </w:t>
            </w:r>
            <w:proofErr w:type="spellStart"/>
            <w:r>
              <w:t>vínýlklóríði</w:t>
            </w:r>
            <w:proofErr w:type="spellEnd"/>
            <w:r>
              <w:t>,</w:t>
            </w:r>
          </w:p>
          <w:p w14:paraId="298759A0" w14:textId="77777777" w:rsidR="007E0724" w:rsidRDefault="00C4775C">
            <w:pPr>
              <w:pStyle w:val="AnnexNumberedText"/>
              <w:spacing w:after="180"/>
              <w:ind w:left="293" w:hanging="293"/>
            </w:pPr>
            <w:r>
              <w:t>d)</w:t>
            </w:r>
            <w:r>
              <w:tab/>
              <w:t xml:space="preserve">fyrir </w:t>
            </w:r>
            <w:proofErr w:type="spellStart"/>
            <w:r>
              <w:t>stýren</w:t>
            </w:r>
            <w:proofErr w:type="spellEnd"/>
            <w:r>
              <w:t>: 0,419 (</w:t>
            </w:r>
            <w:r>
              <w:rPr>
                <w:rStyle w:val="Tilvsunneanmlsgrein"/>
                <w:sz w:val="18"/>
              </w:rPr>
              <w:footnoteReference w:id="155"/>
            </w:r>
            <w:r>
              <w:t>) tCO</w:t>
            </w:r>
            <w:r>
              <w:rPr>
                <w:vertAlign w:val="subscript"/>
              </w:rPr>
              <w:t>2</w:t>
            </w:r>
            <w:r>
              <w:t xml:space="preserve">e/t af </w:t>
            </w:r>
            <w:proofErr w:type="spellStart"/>
            <w:r>
              <w:t>stýreni</w:t>
            </w:r>
            <w:proofErr w:type="spellEnd"/>
            <w:r>
              <w:t>,</w:t>
            </w:r>
          </w:p>
          <w:p w14:paraId="48860705" w14:textId="77777777" w:rsidR="007E0724" w:rsidRDefault="00C4775C">
            <w:pPr>
              <w:pStyle w:val="AnnexNumberedText"/>
              <w:spacing w:after="180"/>
              <w:ind w:left="293" w:hanging="293"/>
            </w:pPr>
            <w:r>
              <w:t>e)</w:t>
            </w:r>
            <w:r>
              <w:tab/>
              <w:t xml:space="preserve">fyrir </w:t>
            </w:r>
            <w:proofErr w:type="spellStart"/>
            <w:r>
              <w:t>etýlenoxíð</w:t>
            </w:r>
            <w:proofErr w:type="spellEnd"/>
            <w:r>
              <w:t>/</w:t>
            </w:r>
            <w:proofErr w:type="spellStart"/>
            <w:r>
              <w:t>etýlenglýkól</w:t>
            </w:r>
            <w:proofErr w:type="spellEnd"/>
            <w:r>
              <w:t>: 0,314 (</w:t>
            </w:r>
            <w:r>
              <w:rPr>
                <w:rStyle w:val="Tilvsunneanmlsgrein"/>
                <w:sz w:val="18"/>
              </w:rPr>
              <w:footnoteReference w:id="156"/>
            </w:r>
            <w:r>
              <w:t>) tCO</w:t>
            </w:r>
            <w:r>
              <w:rPr>
                <w:vertAlign w:val="subscript"/>
              </w:rPr>
              <w:t>2</w:t>
            </w:r>
            <w:r>
              <w:t xml:space="preserve">e/t af </w:t>
            </w:r>
            <w:proofErr w:type="spellStart"/>
            <w:r>
              <w:t>etýlenoxíði</w:t>
            </w:r>
            <w:proofErr w:type="spellEnd"/>
            <w:r>
              <w:t>/-</w:t>
            </w:r>
            <w:proofErr w:type="spellStart"/>
            <w:r>
              <w:t>glýkóli</w:t>
            </w:r>
            <w:proofErr w:type="spellEnd"/>
            <w:r>
              <w:t>,</w:t>
            </w:r>
          </w:p>
          <w:p w14:paraId="58C837FC" w14:textId="77777777" w:rsidR="007E0724" w:rsidRDefault="00C4775C">
            <w:pPr>
              <w:pStyle w:val="AnnexNumberedText"/>
              <w:spacing w:after="180"/>
              <w:ind w:left="293" w:hanging="293"/>
            </w:pPr>
            <w:r>
              <w:t>f)</w:t>
            </w:r>
            <w:r>
              <w:tab/>
              <w:t xml:space="preserve">fyrir </w:t>
            </w:r>
            <w:proofErr w:type="spellStart"/>
            <w:r>
              <w:t>adipínsýru</w:t>
            </w:r>
            <w:proofErr w:type="spellEnd"/>
            <w:r>
              <w:t>: 0,32 (</w:t>
            </w:r>
            <w:r>
              <w:rPr>
                <w:rStyle w:val="Tilvsunneanmlsgrein"/>
                <w:sz w:val="18"/>
              </w:rPr>
              <w:footnoteReference w:id="157"/>
            </w:r>
            <w:r>
              <w:t>) tCO</w:t>
            </w:r>
            <w:r>
              <w:rPr>
                <w:vertAlign w:val="subscript"/>
              </w:rPr>
              <w:t>2</w:t>
            </w:r>
            <w:r>
              <w:t xml:space="preserve">e/t af </w:t>
            </w:r>
            <w:proofErr w:type="spellStart"/>
            <w:r>
              <w:t>adipínsýru</w:t>
            </w:r>
            <w:proofErr w:type="spellEnd"/>
            <w:r>
              <w:t>.</w:t>
            </w:r>
          </w:p>
          <w:p w14:paraId="1418B157" w14:textId="77777777" w:rsidR="007E0724" w:rsidRDefault="00C4775C">
            <w:pPr>
              <w:pStyle w:val="AnnexTableCellLeft"/>
              <w:spacing w:after="180"/>
            </w:pPr>
            <w:r>
              <w:t xml:space="preserve">Ef lífræn </w:t>
            </w:r>
            <w:proofErr w:type="spellStart"/>
            <w:r>
              <w:t>íðefni</w:t>
            </w:r>
            <w:proofErr w:type="spellEnd"/>
            <w:r>
              <w:t xml:space="preserve"> sem falla undir gildissviðið eru framleidd, að öllu leyti eða að hluta til, úr endurnýjanlegu hráefni er losun gróðurhúsalofttegunda á vistferli framleiddu </w:t>
            </w:r>
            <w:proofErr w:type="spellStart"/>
            <w:r>
              <w:t>íðefnanna</w:t>
            </w:r>
            <w:proofErr w:type="spellEnd"/>
            <w:r>
              <w:t xml:space="preserve">, sem eru framleidd að öllu leyti eða að hluta til úr endurnýjanlegu hráefni, minni en losun gróðurhúsalofttegunda á vistferli samsvarandi </w:t>
            </w:r>
            <w:proofErr w:type="spellStart"/>
            <w:r>
              <w:t>íðefna</w:t>
            </w:r>
            <w:proofErr w:type="spellEnd"/>
            <w:r>
              <w:t xml:space="preserve"> sem eru framleidd úr hráefni úr jarðefnaeldsneyti.</w:t>
            </w:r>
          </w:p>
          <w:p w14:paraId="12581493" w14:textId="77777777" w:rsidR="007E0724" w:rsidRDefault="00C4775C">
            <w:pPr>
              <w:pStyle w:val="AnnexTableCellLeft"/>
              <w:spacing w:after="180"/>
            </w:pPr>
            <w:r>
              <w:t>Losun gróðurhúsalofttegunda á vistferlinum er reiknuð út með því að nota tilmæli 2013/179/ESB eða, að öðrum kosti, með því að nota ISO 14067:2018 (</w:t>
            </w:r>
            <w:r>
              <w:rPr>
                <w:rStyle w:val="Tilvsunneanmlsgrein"/>
                <w:sz w:val="18"/>
              </w:rPr>
              <w:footnoteReference w:id="158"/>
            </w:r>
            <w:r>
              <w:t>) eða ISO 14064-1:2018 (</w:t>
            </w:r>
            <w:r>
              <w:rPr>
                <w:rStyle w:val="Tilvsunneanmlsgrein"/>
                <w:sz w:val="18"/>
              </w:rPr>
              <w:footnoteReference w:id="159"/>
            </w:r>
            <w:r>
              <w:t>).</w:t>
            </w:r>
          </w:p>
          <w:p w14:paraId="581A0732" w14:textId="77777777" w:rsidR="007E0724" w:rsidRDefault="00C4775C">
            <w:pPr>
              <w:pStyle w:val="AnnexTableCellLeft"/>
              <w:spacing w:after="180"/>
            </w:pPr>
            <w:r>
              <w:t>Óháður þriðji aðili sannprófar magngreinda losun gróðurhúsalofttegunda á vistferlinum.</w:t>
            </w:r>
          </w:p>
          <w:p w14:paraId="7992E10D" w14:textId="77777777" w:rsidR="007E0724" w:rsidRDefault="00C4775C">
            <w:pPr>
              <w:pStyle w:val="AnnexTableCellLeft"/>
              <w:spacing w:after="180"/>
            </w:pPr>
            <w:r>
              <w:t>Lífmassi úr landbúnaði sem er notaður til að framleiða lífræn grunnefni er í samræmi við viðmiðanirnar sem mælt er fyrir um í 2. til 5. mgr. 29. gr. tilskipunar (ESB) 2018/2001. Lífmassi úr skógi sem er notaður til að framleiða lífræn grunnefni er í samræmi við viðmiðanirnar sem mælt er fyrir um í 6. og 7. mgr. 29. gr. þeirrar tilskipunar.</w:t>
            </w:r>
          </w:p>
        </w:tc>
      </w:tr>
      <w:tr w:rsidR="007E0724" w14:paraId="47774D59" w14:textId="77777777">
        <w:trPr>
          <w:trHeight w:val="240"/>
        </w:trPr>
        <w:tc>
          <w:tcPr>
            <w:tcW w:w="8752" w:type="dxa"/>
            <w:gridSpan w:val="2"/>
            <w:tcMar>
              <w:top w:w="100" w:type="dxa"/>
              <w:left w:w="0" w:type="dxa"/>
              <w:bottom w:w="100" w:type="dxa"/>
              <w:right w:w="60" w:type="dxa"/>
            </w:tcMar>
          </w:tcPr>
          <w:p w14:paraId="6B58C480" w14:textId="77777777" w:rsidR="007E0724" w:rsidRDefault="00C4775C">
            <w:pPr>
              <w:pStyle w:val="AnnexTableCellLeft"/>
            </w:pPr>
            <w:r>
              <w:t>Ekki valda umtalsverðu tjóni</w:t>
            </w:r>
          </w:p>
        </w:tc>
      </w:tr>
      <w:tr w:rsidR="007E0724" w14:paraId="7B92531B" w14:textId="77777777">
        <w:trPr>
          <w:trHeight w:val="360"/>
        </w:trPr>
        <w:tc>
          <w:tcPr>
            <w:tcW w:w="2582" w:type="dxa"/>
            <w:tcMar>
              <w:top w:w="100" w:type="dxa"/>
              <w:left w:w="0" w:type="dxa"/>
              <w:bottom w:w="100" w:type="dxa"/>
              <w:right w:w="60" w:type="dxa"/>
            </w:tcMar>
          </w:tcPr>
          <w:p w14:paraId="46DF2A12" w14:textId="77777777" w:rsidR="007E0724" w:rsidRDefault="00C4775C">
            <w:pPr>
              <w:pStyle w:val="AnnexNumberedText"/>
              <w:spacing w:after="0"/>
            </w:pPr>
            <w:r>
              <w:lastRenderedPageBreak/>
              <w:t>2)</w:t>
            </w:r>
            <w:r>
              <w:tab/>
              <w:t>Aðlögun að loftslagsbreytingum</w:t>
            </w:r>
          </w:p>
        </w:tc>
        <w:tc>
          <w:tcPr>
            <w:tcW w:w="6170" w:type="dxa"/>
            <w:tcMar>
              <w:top w:w="100" w:type="dxa"/>
              <w:left w:w="0" w:type="dxa"/>
              <w:bottom w:w="100" w:type="dxa"/>
              <w:right w:w="60" w:type="dxa"/>
            </w:tcMar>
          </w:tcPr>
          <w:p w14:paraId="7A5DCD1A" w14:textId="77777777" w:rsidR="007E0724" w:rsidRDefault="00C4775C">
            <w:pPr>
              <w:pStyle w:val="AnnexTableCellLeft"/>
              <w:ind w:left="40"/>
            </w:pPr>
            <w:r>
              <w:t>Starfsemin er í samræmi við viðmiðanirnar sem settar eru fram í viðbæti A við þennan viðauka.</w:t>
            </w:r>
          </w:p>
        </w:tc>
      </w:tr>
      <w:tr w:rsidR="007E0724" w14:paraId="572DCF60" w14:textId="77777777">
        <w:trPr>
          <w:trHeight w:val="360"/>
        </w:trPr>
        <w:tc>
          <w:tcPr>
            <w:tcW w:w="2582" w:type="dxa"/>
            <w:tcMar>
              <w:top w:w="100" w:type="dxa"/>
              <w:left w:w="0" w:type="dxa"/>
              <w:bottom w:w="100" w:type="dxa"/>
              <w:right w:w="60" w:type="dxa"/>
            </w:tcMar>
          </w:tcPr>
          <w:p w14:paraId="378B2BF8" w14:textId="77777777" w:rsidR="007E0724" w:rsidRDefault="00C4775C">
            <w:pPr>
              <w:pStyle w:val="AnnexNumberedText"/>
              <w:pageBreakBefore/>
            </w:pPr>
            <w:r>
              <w:lastRenderedPageBreak/>
              <w:t>3)</w:t>
            </w:r>
            <w:r>
              <w:tab/>
              <w:t>Sjálfbær notkun og verndun vatns- og sjávarauðlinda</w:t>
            </w:r>
          </w:p>
        </w:tc>
        <w:tc>
          <w:tcPr>
            <w:tcW w:w="6170" w:type="dxa"/>
            <w:tcMar>
              <w:top w:w="100" w:type="dxa"/>
              <w:left w:w="0" w:type="dxa"/>
              <w:bottom w:w="100" w:type="dxa"/>
              <w:right w:w="60" w:type="dxa"/>
            </w:tcMar>
          </w:tcPr>
          <w:p w14:paraId="712297FE" w14:textId="77777777" w:rsidR="007E0724" w:rsidRDefault="00C4775C">
            <w:pPr>
              <w:pStyle w:val="AnnexTableCellLeft"/>
              <w:ind w:left="40"/>
            </w:pPr>
            <w:r>
              <w:t>Starfsemin er í samræmi við viðmiðanirnar sem settar eru fram í viðbæti B við þennan viðauka.</w:t>
            </w:r>
          </w:p>
        </w:tc>
      </w:tr>
      <w:tr w:rsidR="007E0724" w14:paraId="62CEA8F2" w14:textId="77777777">
        <w:trPr>
          <w:trHeight w:val="360"/>
        </w:trPr>
        <w:tc>
          <w:tcPr>
            <w:tcW w:w="2582" w:type="dxa"/>
            <w:tcMar>
              <w:top w:w="100" w:type="dxa"/>
              <w:left w:w="0" w:type="dxa"/>
              <w:bottom w:w="100" w:type="dxa"/>
              <w:right w:w="60" w:type="dxa"/>
            </w:tcMar>
          </w:tcPr>
          <w:p w14:paraId="1379897E" w14:textId="77777777" w:rsidR="007E0724" w:rsidRDefault="00C4775C">
            <w:pPr>
              <w:pStyle w:val="AnnexNumberedText"/>
            </w:pPr>
            <w:r>
              <w:t>4)</w:t>
            </w:r>
            <w:r>
              <w:tab/>
              <w:t>Umskipti yfir í hringrásarhagkerfi</w:t>
            </w:r>
          </w:p>
        </w:tc>
        <w:tc>
          <w:tcPr>
            <w:tcW w:w="6170" w:type="dxa"/>
            <w:tcMar>
              <w:top w:w="100" w:type="dxa"/>
              <w:left w:w="0" w:type="dxa"/>
              <w:bottom w:w="100" w:type="dxa"/>
              <w:right w:w="60" w:type="dxa"/>
            </w:tcMar>
          </w:tcPr>
          <w:p w14:paraId="389C64AA" w14:textId="77777777" w:rsidR="007E0724" w:rsidRDefault="00C4775C">
            <w:pPr>
              <w:pStyle w:val="AnnexTableCellLeft"/>
              <w:ind w:left="40"/>
            </w:pPr>
            <w:r>
              <w:t>Á ekki við</w:t>
            </w:r>
          </w:p>
        </w:tc>
      </w:tr>
      <w:tr w:rsidR="007E0724" w14:paraId="4F364CA6" w14:textId="77777777">
        <w:trPr>
          <w:trHeight w:val="360"/>
        </w:trPr>
        <w:tc>
          <w:tcPr>
            <w:tcW w:w="2582" w:type="dxa"/>
            <w:tcMar>
              <w:top w:w="100" w:type="dxa"/>
              <w:left w:w="0" w:type="dxa"/>
              <w:bottom w:w="100" w:type="dxa"/>
              <w:right w:w="60" w:type="dxa"/>
            </w:tcMar>
          </w:tcPr>
          <w:p w14:paraId="2D3427ED" w14:textId="77777777" w:rsidR="007E0724" w:rsidRDefault="00C4775C">
            <w:pPr>
              <w:pStyle w:val="AnnexNumberedText"/>
            </w:pPr>
            <w:r>
              <w:t>5)</w:t>
            </w:r>
            <w:r>
              <w:tab/>
              <w:t>Mengunarvarnir og eftirlit með mengun</w:t>
            </w:r>
          </w:p>
        </w:tc>
        <w:tc>
          <w:tcPr>
            <w:tcW w:w="6170" w:type="dxa"/>
            <w:tcMar>
              <w:top w:w="100" w:type="dxa"/>
              <w:left w:w="0" w:type="dxa"/>
              <w:bottom w:w="100" w:type="dxa"/>
              <w:right w:w="60" w:type="dxa"/>
            </w:tcMar>
          </w:tcPr>
          <w:p w14:paraId="44EC8B09" w14:textId="77777777" w:rsidR="007E0724" w:rsidRDefault="00C4775C">
            <w:pPr>
              <w:pStyle w:val="AnnexTableCellLeft"/>
            </w:pPr>
            <w:r>
              <w:t>Starfsemin er í samræmi við viðmiðanirnar sem settar eru fram í viðbæti C við þennan viðauka.</w:t>
            </w:r>
          </w:p>
          <w:p w14:paraId="419EAD3D" w14:textId="77777777" w:rsidR="007E0724" w:rsidRDefault="00C4775C">
            <w:pPr>
              <w:pStyle w:val="AnnexTableCellLeft"/>
              <w:spacing w:after="240"/>
              <w:ind w:left="40"/>
            </w:pPr>
            <w:r>
              <w:t>Losun fellur innan við eða undir svið losunargilda sem tengjast bestu aðgengilegu tækni samkvæmt nýjustu viðeigandi niðurstöðum um bestu aðgengilegu tækni, þ.m.t.:</w:t>
            </w:r>
          </w:p>
          <w:p w14:paraId="7F68D63F" w14:textId="77777777" w:rsidR="007E0724" w:rsidRDefault="00C4775C">
            <w:pPr>
              <w:pStyle w:val="AnnexNumberedText"/>
              <w:spacing w:after="240"/>
              <w:ind w:left="380" w:hanging="340"/>
              <w:rPr>
                <w:szCs w:val="18"/>
              </w:rPr>
            </w:pPr>
            <w:r>
              <w:t>a)</w:t>
            </w:r>
            <w:r>
              <w:tab/>
              <w:t xml:space="preserve">niðurstöður um bestu aðgengilegu tækni vegna framleiðslu á lífrænum </w:t>
            </w:r>
            <w:proofErr w:type="spellStart"/>
            <w:r>
              <w:t>íðefnum</w:t>
            </w:r>
            <w:proofErr w:type="spellEnd"/>
            <w:r>
              <w:t xml:space="preserve"> í miklu magni (</w:t>
            </w:r>
            <w:r>
              <w:rPr>
                <w:rStyle w:val="Tilvsunneanmlsgrein"/>
                <w:sz w:val="18"/>
                <w:szCs w:val="18"/>
              </w:rPr>
              <w:footnoteReference w:id="160"/>
            </w:r>
            <w:r>
              <w:t>),</w:t>
            </w:r>
          </w:p>
          <w:p w14:paraId="73F02DF6" w14:textId="77777777" w:rsidR="007E0724" w:rsidRDefault="00C4775C">
            <w:pPr>
              <w:pStyle w:val="AnnexNumberedText"/>
              <w:spacing w:after="240"/>
              <w:ind w:left="380" w:hanging="340"/>
              <w:rPr>
                <w:szCs w:val="18"/>
              </w:rPr>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61"/>
            </w:r>
            <w:r>
              <w:t>).</w:t>
            </w:r>
          </w:p>
          <w:p w14:paraId="602038F7" w14:textId="77777777" w:rsidR="007E0724" w:rsidRDefault="00C4775C">
            <w:pPr>
              <w:pStyle w:val="AnnexTableCellLeft"/>
              <w:ind w:left="40"/>
            </w:pPr>
            <w:r>
              <w:t>Engin umtalsverð yfirfærsluáhrif milli umhverfishólfa eiga sér stað.</w:t>
            </w:r>
          </w:p>
        </w:tc>
      </w:tr>
      <w:tr w:rsidR="007E0724" w14:paraId="333CD5FB" w14:textId="77777777">
        <w:trPr>
          <w:trHeight w:val="360"/>
        </w:trPr>
        <w:tc>
          <w:tcPr>
            <w:tcW w:w="2582" w:type="dxa"/>
            <w:tcMar>
              <w:top w:w="100" w:type="dxa"/>
              <w:left w:w="0" w:type="dxa"/>
              <w:bottom w:w="100" w:type="dxa"/>
              <w:right w:w="60" w:type="dxa"/>
            </w:tcMar>
          </w:tcPr>
          <w:p w14:paraId="71274BE0" w14:textId="77777777" w:rsidR="007E0724" w:rsidRDefault="00C4775C">
            <w:pPr>
              <w:pStyle w:val="AnnexNumberedText"/>
            </w:pPr>
            <w:r>
              <w:t>6)</w:t>
            </w:r>
            <w:r>
              <w:tab/>
              <w:t>Vernd og endurheimt líffræðilegrar fjölbreytni og vistkerfa</w:t>
            </w:r>
          </w:p>
        </w:tc>
        <w:tc>
          <w:tcPr>
            <w:tcW w:w="6170" w:type="dxa"/>
            <w:tcMar>
              <w:top w:w="100" w:type="dxa"/>
              <w:left w:w="0" w:type="dxa"/>
              <w:bottom w:w="100" w:type="dxa"/>
              <w:right w:w="60" w:type="dxa"/>
            </w:tcMar>
          </w:tcPr>
          <w:p w14:paraId="0B96CCD6" w14:textId="77777777" w:rsidR="007E0724" w:rsidRDefault="00C4775C">
            <w:pPr>
              <w:pStyle w:val="AnnexTableCellLeft"/>
              <w:ind w:left="40"/>
            </w:pPr>
            <w:r>
              <w:t>Starfsemin er í samræmi við viðmiðanirnar sem settar eru fram í viðbæti D við þennan viðauka.</w:t>
            </w:r>
          </w:p>
        </w:tc>
      </w:tr>
    </w:tbl>
    <w:p w14:paraId="3FE9C66A" w14:textId="77777777" w:rsidR="007E0724" w:rsidRDefault="00C4775C">
      <w:pPr>
        <w:pStyle w:val="AnnexNumberedText"/>
        <w:spacing w:before="200"/>
        <w:ind w:left="504" w:hanging="504"/>
      </w:pPr>
      <w:r>
        <w:t>3.15.</w:t>
      </w:r>
      <w:r>
        <w:rPr>
          <w:b/>
        </w:rPr>
        <w:tab/>
        <w:t xml:space="preserve">Framleiðsla á vatnsfríu </w:t>
      </w:r>
      <w:proofErr w:type="spellStart"/>
      <w:r>
        <w:rPr>
          <w:b/>
        </w:rPr>
        <w:t>ammoníaki</w:t>
      </w:r>
      <w:proofErr w:type="spellEnd"/>
    </w:p>
    <w:p w14:paraId="066DAE3F" w14:textId="77777777" w:rsidR="007E0724" w:rsidRDefault="00C4775C">
      <w:pPr>
        <w:pStyle w:val="AnnexGrSeq3"/>
        <w:spacing w:after="240"/>
        <w:ind w:left="500"/>
        <w:jc w:val="both"/>
      </w:pPr>
      <w:r>
        <w:rPr>
          <w:i/>
        </w:rPr>
        <w:t>Lýsing á starfseminni</w:t>
      </w:r>
    </w:p>
    <w:p w14:paraId="38C26348" w14:textId="77777777" w:rsidR="007E0724" w:rsidRDefault="00C4775C">
      <w:pPr>
        <w:pStyle w:val="AnnexNormal"/>
        <w:spacing w:after="240"/>
        <w:ind w:left="500"/>
      </w:pPr>
      <w:r>
        <w:t xml:space="preserve">Framleiðsla á vatnsfríu </w:t>
      </w:r>
      <w:proofErr w:type="spellStart"/>
      <w:r>
        <w:t>ammoníaki</w:t>
      </w:r>
      <w:proofErr w:type="spellEnd"/>
      <w:r>
        <w:t>.</w:t>
      </w:r>
    </w:p>
    <w:p w14:paraId="14678412" w14:textId="77777777" w:rsidR="007E0724" w:rsidRDefault="00C4775C">
      <w:pPr>
        <w:pStyle w:val="AnnexNormal"/>
        <w:spacing w:after="240"/>
        <w:ind w:left="500"/>
      </w:pPr>
      <w:r>
        <w:t>Atvinnustarfsemin í þessum flokki gæti tengst kóða atvinnugreinaflokkunar Evrópusambandsins C20.15 í samræmi við atvinnugreinaflokkunina sem komið var á með reglugerð (EB) nr. 1893/2006.</w:t>
      </w:r>
    </w:p>
    <w:p w14:paraId="624261E1" w14:textId="77777777" w:rsidR="007E0724" w:rsidRDefault="00C4775C">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764"/>
        <w:gridCol w:w="5976"/>
      </w:tblGrid>
      <w:tr w:rsidR="007E0724" w14:paraId="703F9C88" w14:textId="77777777">
        <w:trPr>
          <w:trHeight w:val="240"/>
        </w:trPr>
        <w:tc>
          <w:tcPr>
            <w:tcW w:w="8740" w:type="dxa"/>
            <w:gridSpan w:val="2"/>
            <w:tcMar>
              <w:top w:w="100" w:type="dxa"/>
              <w:left w:w="0" w:type="dxa"/>
              <w:bottom w:w="100" w:type="dxa"/>
              <w:right w:w="60" w:type="dxa"/>
            </w:tcMar>
          </w:tcPr>
          <w:p w14:paraId="27B1EF8C"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0B4E4CC0" w14:textId="77777777">
        <w:trPr>
          <w:trHeight w:val="360"/>
        </w:trPr>
        <w:tc>
          <w:tcPr>
            <w:tcW w:w="8740" w:type="dxa"/>
            <w:gridSpan w:val="2"/>
            <w:tcMar>
              <w:top w:w="100" w:type="dxa"/>
              <w:left w:w="0" w:type="dxa"/>
              <w:bottom w:w="100" w:type="dxa"/>
              <w:right w:w="60" w:type="dxa"/>
            </w:tcMar>
          </w:tcPr>
          <w:p w14:paraId="536502F8" w14:textId="77777777" w:rsidR="007E0724" w:rsidRDefault="00C4775C">
            <w:pPr>
              <w:pStyle w:val="AnnexTableCellLeft"/>
              <w:spacing w:after="240"/>
            </w:pPr>
            <w:r>
              <w:t>Starfsemin er í samræmi við eina af eftirfarandi viðmiðunum:</w:t>
            </w:r>
          </w:p>
          <w:p w14:paraId="652FBDC8" w14:textId="77777777" w:rsidR="007E0724" w:rsidRDefault="00C4775C">
            <w:pPr>
              <w:pStyle w:val="AnnexNumberedText"/>
              <w:spacing w:after="240"/>
              <w:ind w:left="293" w:hanging="293"/>
            </w:pPr>
            <w:r>
              <w:t>a)</w:t>
            </w:r>
            <w:r>
              <w:tab/>
            </w:r>
            <w:proofErr w:type="spellStart"/>
            <w:r>
              <w:t>ammoníak</w:t>
            </w:r>
            <w:proofErr w:type="spellEnd"/>
            <w:r>
              <w:t xml:space="preserve"> er framleitt úr vetni sem er í samræmi við tæknilegu matsviðmiðin sem sett eru fram í þætti 3.10 í þessum viðauka (framleiðsla á vetni),</w:t>
            </w:r>
          </w:p>
          <w:p w14:paraId="73908BC0" w14:textId="77777777" w:rsidR="007E0724" w:rsidRDefault="00C4775C">
            <w:pPr>
              <w:pStyle w:val="AnnexNumberedText"/>
              <w:ind w:left="293" w:hanging="293"/>
            </w:pPr>
            <w:r>
              <w:t>b)</w:t>
            </w:r>
            <w:r>
              <w:tab/>
            </w:r>
            <w:proofErr w:type="spellStart"/>
            <w:r>
              <w:t>ammoníak</w:t>
            </w:r>
            <w:proofErr w:type="spellEnd"/>
            <w:r>
              <w:t xml:space="preserve"> er endurheimt úr </w:t>
            </w:r>
            <w:proofErr w:type="spellStart"/>
            <w:r>
              <w:t>skólpi</w:t>
            </w:r>
            <w:proofErr w:type="spellEnd"/>
            <w:r>
              <w:t>.</w:t>
            </w:r>
          </w:p>
        </w:tc>
      </w:tr>
      <w:tr w:rsidR="007E0724" w14:paraId="01DAB8F5" w14:textId="77777777">
        <w:trPr>
          <w:trHeight w:val="240"/>
        </w:trPr>
        <w:tc>
          <w:tcPr>
            <w:tcW w:w="8740" w:type="dxa"/>
            <w:gridSpan w:val="2"/>
            <w:tcMar>
              <w:top w:w="100" w:type="dxa"/>
              <w:left w:w="0" w:type="dxa"/>
              <w:bottom w:w="100" w:type="dxa"/>
              <w:right w:w="60" w:type="dxa"/>
            </w:tcMar>
          </w:tcPr>
          <w:p w14:paraId="55E308F0" w14:textId="77777777" w:rsidR="007E0724" w:rsidRDefault="00C4775C">
            <w:pPr>
              <w:pStyle w:val="AnnexTableCellLeft"/>
            </w:pPr>
            <w:r>
              <w:t>Ekki valda umtalsverðu tjóni</w:t>
            </w:r>
          </w:p>
        </w:tc>
      </w:tr>
      <w:tr w:rsidR="007E0724" w14:paraId="1179178A" w14:textId="77777777">
        <w:trPr>
          <w:trHeight w:val="360"/>
        </w:trPr>
        <w:tc>
          <w:tcPr>
            <w:tcW w:w="2764" w:type="dxa"/>
            <w:tcMar>
              <w:top w:w="100" w:type="dxa"/>
              <w:left w:w="0" w:type="dxa"/>
              <w:bottom w:w="100" w:type="dxa"/>
              <w:right w:w="60" w:type="dxa"/>
            </w:tcMar>
          </w:tcPr>
          <w:p w14:paraId="3EF63358" w14:textId="77777777" w:rsidR="007E0724" w:rsidRDefault="00C4775C">
            <w:pPr>
              <w:pStyle w:val="AnnexNumberedText"/>
            </w:pPr>
            <w:r>
              <w:t>2)</w:t>
            </w:r>
            <w:r>
              <w:tab/>
              <w:t>Aðlögun að loftslagsbreytingum</w:t>
            </w:r>
          </w:p>
        </w:tc>
        <w:tc>
          <w:tcPr>
            <w:tcW w:w="5976" w:type="dxa"/>
            <w:tcMar>
              <w:top w:w="100" w:type="dxa"/>
              <w:left w:w="0" w:type="dxa"/>
              <w:bottom w:w="100" w:type="dxa"/>
              <w:right w:w="60" w:type="dxa"/>
            </w:tcMar>
          </w:tcPr>
          <w:p w14:paraId="061C947C" w14:textId="77777777" w:rsidR="007E0724" w:rsidRDefault="00C4775C">
            <w:pPr>
              <w:pStyle w:val="AnnexTableCellLeft"/>
              <w:ind w:left="40"/>
            </w:pPr>
            <w:r>
              <w:t>Starfsemin er í samræmi við viðmiðanirnar sem settar eru fram í viðbæti A við þennan viðauka.</w:t>
            </w:r>
          </w:p>
        </w:tc>
      </w:tr>
      <w:tr w:rsidR="007E0724" w14:paraId="3E973806" w14:textId="77777777">
        <w:trPr>
          <w:trHeight w:val="360"/>
        </w:trPr>
        <w:tc>
          <w:tcPr>
            <w:tcW w:w="2764" w:type="dxa"/>
            <w:tcMar>
              <w:top w:w="100" w:type="dxa"/>
              <w:left w:w="0" w:type="dxa"/>
              <w:bottom w:w="100" w:type="dxa"/>
              <w:right w:w="60" w:type="dxa"/>
            </w:tcMar>
          </w:tcPr>
          <w:p w14:paraId="6D88CF57" w14:textId="77777777" w:rsidR="007E0724" w:rsidRDefault="00C4775C">
            <w:pPr>
              <w:pStyle w:val="AnnexNumberedText"/>
            </w:pPr>
            <w:r>
              <w:t>3)</w:t>
            </w:r>
            <w:r>
              <w:tab/>
              <w:t>Sjálfbær notkun og verndun vatns- og sjávarauðlinda</w:t>
            </w:r>
          </w:p>
        </w:tc>
        <w:tc>
          <w:tcPr>
            <w:tcW w:w="5976" w:type="dxa"/>
            <w:tcMar>
              <w:top w:w="100" w:type="dxa"/>
              <w:left w:w="0" w:type="dxa"/>
              <w:bottom w:w="100" w:type="dxa"/>
              <w:right w:w="60" w:type="dxa"/>
            </w:tcMar>
          </w:tcPr>
          <w:p w14:paraId="34871E03" w14:textId="77777777" w:rsidR="007E0724" w:rsidRDefault="00C4775C">
            <w:pPr>
              <w:pStyle w:val="AnnexTableCellLeft"/>
              <w:ind w:left="40"/>
            </w:pPr>
            <w:r>
              <w:t>Starfsemin er í samræmi við viðmiðanirnar sem settar eru fram í viðbæti B við þennan viðauka.</w:t>
            </w:r>
          </w:p>
        </w:tc>
      </w:tr>
      <w:tr w:rsidR="007E0724" w14:paraId="315A780A" w14:textId="77777777">
        <w:trPr>
          <w:trHeight w:val="360"/>
        </w:trPr>
        <w:tc>
          <w:tcPr>
            <w:tcW w:w="2764" w:type="dxa"/>
            <w:tcMar>
              <w:top w:w="100" w:type="dxa"/>
              <w:left w:w="0" w:type="dxa"/>
              <w:bottom w:w="100" w:type="dxa"/>
              <w:right w:w="60" w:type="dxa"/>
            </w:tcMar>
          </w:tcPr>
          <w:p w14:paraId="4A4D1D57" w14:textId="77777777" w:rsidR="007E0724" w:rsidRDefault="00C4775C">
            <w:pPr>
              <w:pStyle w:val="AnnexNumberedText"/>
            </w:pPr>
            <w:r>
              <w:lastRenderedPageBreak/>
              <w:t>4)</w:t>
            </w:r>
            <w:r>
              <w:tab/>
              <w:t>Umskipti yfir í hringrásarhagkerfi</w:t>
            </w:r>
          </w:p>
        </w:tc>
        <w:tc>
          <w:tcPr>
            <w:tcW w:w="5976" w:type="dxa"/>
            <w:tcMar>
              <w:top w:w="100" w:type="dxa"/>
              <w:left w:w="0" w:type="dxa"/>
              <w:bottom w:w="100" w:type="dxa"/>
              <w:right w:w="60" w:type="dxa"/>
            </w:tcMar>
          </w:tcPr>
          <w:p w14:paraId="0B6B604F" w14:textId="77777777" w:rsidR="007E0724" w:rsidRDefault="00C4775C">
            <w:pPr>
              <w:pStyle w:val="AnnexTableCellLeft"/>
              <w:ind w:left="40"/>
            </w:pPr>
            <w:r>
              <w:t>Á ekki við</w:t>
            </w:r>
          </w:p>
        </w:tc>
      </w:tr>
      <w:tr w:rsidR="007E0724" w14:paraId="40C13F64" w14:textId="77777777">
        <w:trPr>
          <w:trHeight w:val="360"/>
        </w:trPr>
        <w:tc>
          <w:tcPr>
            <w:tcW w:w="2764" w:type="dxa"/>
            <w:tcMar>
              <w:top w:w="100" w:type="dxa"/>
              <w:left w:w="0" w:type="dxa"/>
              <w:bottom w:w="100" w:type="dxa"/>
              <w:right w:w="60" w:type="dxa"/>
            </w:tcMar>
          </w:tcPr>
          <w:p w14:paraId="76BBDA17" w14:textId="77777777" w:rsidR="007E0724" w:rsidRDefault="00C4775C">
            <w:pPr>
              <w:pStyle w:val="AnnexNumberedText"/>
              <w:pageBreakBefore/>
            </w:pPr>
            <w:r>
              <w:lastRenderedPageBreak/>
              <w:t>5)</w:t>
            </w:r>
            <w:r>
              <w:tab/>
              <w:t>Mengunarvarnir og eftirlit með mengun</w:t>
            </w:r>
          </w:p>
        </w:tc>
        <w:tc>
          <w:tcPr>
            <w:tcW w:w="5976" w:type="dxa"/>
            <w:tcMar>
              <w:top w:w="100" w:type="dxa"/>
              <w:left w:w="0" w:type="dxa"/>
              <w:bottom w:w="100" w:type="dxa"/>
              <w:right w:w="60" w:type="dxa"/>
            </w:tcMar>
          </w:tcPr>
          <w:p w14:paraId="1FAAA8FB" w14:textId="77777777" w:rsidR="007E0724" w:rsidRDefault="00C4775C">
            <w:pPr>
              <w:pStyle w:val="AnnexTableCellLeft"/>
              <w:spacing w:after="260"/>
              <w:ind w:left="40"/>
            </w:pPr>
            <w:r>
              <w:t>Starfsemin er í samræmi við viðmiðanirnar sem settar eru fram í viðbæti C við þennan viðauka.</w:t>
            </w:r>
          </w:p>
          <w:p w14:paraId="71216C23" w14:textId="77777777" w:rsidR="007E0724" w:rsidRDefault="00C4775C">
            <w:pPr>
              <w:pStyle w:val="AnnexTableCellLeft"/>
              <w:spacing w:after="260"/>
              <w:ind w:left="40"/>
            </w:pPr>
            <w:r>
              <w:t>Losun fellur innan við eða undir svið losunargilda sem tengjast bestu aðgengilegu tækni samkvæmt nýjustu viðeigandi niðurstöðum um bestu aðgengilegu tækni, þ.m.t.:</w:t>
            </w:r>
          </w:p>
          <w:p w14:paraId="2A3E7B71" w14:textId="77777777" w:rsidR="007E0724" w:rsidRDefault="00C4775C">
            <w:pPr>
              <w:pStyle w:val="AnnexNumberedText"/>
              <w:spacing w:after="260"/>
              <w:ind w:left="340"/>
              <w:rPr>
                <w:szCs w:val="18"/>
              </w:rPr>
            </w:pPr>
            <w:r>
              <w:t>a)</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w:t>
            </w:r>
            <w:r>
              <w:rPr>
                <w:rStyle w:val="Tilvsunneanmlsgrein"/>
                <w:sz w:val="18"/>
                <w:szCs w:val="18"/>
              </w:rPr>
              <w:footnoteReference w:id="162"/>
            </w:r>
            <w:r>
              <w:t>),</w:t>
            </w:r>
          </w:p>
          <w:p w14:paraId="3A127A4A" w14:textId="77777777" w:rsidR="007E0724" w:rsidRDefault="00C4775C">
            <w:pPr>
              <w:pStyle w:val="AnnexNumberedText"/>
              <w:spacing w:after="260"/>
              <w:ind w:left="340"/>
              <w:rPr>
                <w:szCs w:val="18"/>
              </w:rPr>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63"/>
            </w:r>
            <w:r>
              <w:t>).</w:t>
            </w:r>
          </w:p>
          <w:p w14:paraId="71EA335C" w14:textId="77777777" w:rsidR="007E0724" w:rsidRDefault="00C4775C">
            <w:pPr>
              <w:pStyle w:val="AnnexTableCellLeft"/>
              <w:ind w:left="40"/>
            </w:pPr>
            <w:r>
              <w:t>Engin umtalsverð yfirfærsluáhrif milli umhverfishólfa eiga sér stað.</w:t>
            </w:r>
          </w:p>
        </w:tc>
      </w:tr>
      <w:tr w:rsidR="007E0724" w14:paraId="0C8729FC" w14:textId="77777777">
        <w:trPr>
          <w:trHeight w:val="360"/>
        </w:trPr>
        <w:tc>
          <w:tcPr>
            <w:tcW w:w="2764" w:type="dxa"/>
            <w:tcMar>
              <w:top w:w="100" w:type="dxa"/>
              <w:left w:w="0" w:type="dxa"/>
              <w:bottom w:w="100" w:type="dxa"/>
              <w:right w:w="60" w:type="dxa"/>
            </w:tcMar>
          </w:tcPr>
          <w:p w14:paraId="50A9B99E" w14:textId="77777777" w:rsidR="007E0724" w:rsidRDefault="00C4775C">
            <w:pPr>
              <w:pStyle w:val="AnnexNumberedText"/>
            </w:pPr>
            <w:r>
              <w:t>6)</w:t>
            </w:r>
            <w:r>
              <w:tab/>
              <w:t>Vernd og endurheimt líffræðilegrar fjölbreytni og vistkerfa</w:t>
            </w:r>
          </w:p>
        </w:tc>
        <w:tc>
          <w:tcPr>
            <w:tcW w:w="5976" w:type="dxa"/>
            <w:tcMar>
              <w:top w:w="100" w:type="dxa"/>
              <w:left w:w="0" w:type="dxa"/>
              <w:bottom w:w="100" w:type="dxa"/>
              <w:right w:w="60" w:type="dxa"/>
            </w:tcMar>
          </w:tcPr>
          <w:p w14:paraId="1A42B785" w14:textId="77777777" w:rsidR="007E0724" w:rsidRDefault="00C4775C">
            <w:pPr>
              <w:pStyle w:val="AnnexTableCellLeft"/>
              <w:ind w:left="40"/>
            </w:pPr>
            <w:r>
              <w:t>Starfsemin er í samræmi við viðmiðanirnar sem settar eru fram í viðbæti D við þennan viðauka.</w:t>
            </w:r>
          </w:p>
        </w:tc>
      </w:tr>
    </w:tbl>
    <w:p w14:paraId="386252A8" w14:textId="77777777" w:rsidR="007E0724" w:rsidRDefault="00C4775C">
      <w:pPr>
        <w:pStyle w:val="AnnexNumberedText"/>
        <w:spacing w:before="200"/>
        <w:ind w:left="500" w:hanging="500"/>
      </w:pPr>
      <w:r>
        <w:t>3.16.</w:t>
      </w:r>
      <w:r>
        <w:rPr>
          <w:b/>
        </w:rPr>
        <w:tab/>
        <w:t>Framleiðsla á saltpéturssýru</w:t>
      </w:r>
    </w:p>
    <w:p w14:paraId="2F09D405" w14:textId="77777777" w:rsidR="007E0724" w:rsidRDefault="00C4775C">
      <w:pPr>
        <w:pStyle w:val="AnnexGrSeq3"/>
        <w:spacing w:after="260"/>
        <w:ind w:left="500"/>
        <w:jc w:val="both"/>
      </w:pPr>
      <w:r>
        <w:rPr>
          <w:i/>
        </w:rPr>
        <w:t>Lýsing á starfseminni</w:t>
      </w:r>
    </w:p>
    <w:p w14:paraId="27178741" w14:textId="77777777" w:rsidR="007E0724" w:rsidRDefault="00C4775C">
      <w:pPr>
        <w:pStyle w:val="AnnexNormal"/>
        <w:spacing w:after="260"/>
        <w:ind w:left="500"/>
      </w:pPr>
      <w:r>
        <w:t>Framleiðsla á saltpéturssýru.</w:t>
      </w:r>
    </w:p>
    <w:p w14:paraId="4CAC8E5F" w14:textId="77777777" w:rsidR="007E0724" w:rsidRDefault="00C4775C">
      <w:pPr>
        <w:pStyle w:val="AnnexNormal"/>
        <w:spacing w:after="260"/>
        <w:ind w:left="500"/>
      </w:pPr>
      <w:r>
        <w:t>Atvinnustarfsemin í þessum flokki gæti tengst kóða atvinnugreinaflokkunar Evrópusambandsins C20.15 í samræmi við atvinnugreinaflokkunina sem komið var á með reglugerð (EB) nr. 1893/2006.</w:t>
      </w:r>
    </w:p>
    <w:p w14:paraId="12DEB07A" w14:textId="77777777" w:rsidR="007E0724" w:rsidRDefault="00C4775C">
      <w:pPr>
        <w:pStyle w:val="AnnexNormal"/>
        <w:spacing w:after="260"/>
        <w:ind w:left="500"/>
      </w:pPr>
      <w:r>
        <w:t>Atvinnustarfsemi í þessum flokki er umbreytingarstarfsemi, eins og um getur í 2. mgr. 10. gr. reglugerðar (ESB) 2020/852, þegar hún er í samræmi við tæknilegu matsviðmiðin sem sett eru fram í þessum þætti.</w:t>
      </w:r>
    </w:p>
    <w:p w14:paraId="0424E342" w14:textId="77777777" w:rsidR="007E0724" w:rsidRDefault="00C4775C">
      <w:pPr>
        <w:pStyle w:val="AnnexGrSeq3"/>
        <w:spacing w:after="2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553"/>
        <w:gridCol w:w="6187"/>
      </w:tblGrid>
      <w:tr w:rsidR="007E0724" w14:paraId="26C02483" w14:textId="77777777">
        <w:trPr>
          <w:trHeight w:val="240"/>
        </w:trPr>
        <w:tc>
          <w:tcPr>
            <w:tcW w:w="8740" w:type="dxa"/>
            <w:gridSpan w:val="2"/>
            <w:tcMar>
              <w:top w:w="100" w:type="dxa"/>
              <w:left w:w="0" w:type="dxa"/>
              <w:bottom w:w="100" w:type="dxa"/>
              <w:right w:w="60" w:type="dxa"/>
            </w:tcMar>
          </w:tcPr>
          <w:p w14:paraId="162F1187"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6937FC2D" w14:textId="77777777">
        <w:trPr>
          <w:trHeight w:val="240"/>
        </w:trPr>
        <w:tc>
          <w:tcPr>
            <w:tcW w:w="8740" w:type="dxa"/>
            <w:gridSpan w:val="2"/>
            <w:tcMar>
              <w:top w:w="100" w:type="dxa"/>
              <w:left w:w="0" w:type="dxa"/>
              <w:bottom w:w="100" w:type="dxa"/>
              <w:right w:w="60" w:type="dxa"/>
            </w:tcMar>
          </w:tcPr>
          <w:p w14:paraId="34457F78" w14:textId="77777777" w:rsidR="007E0724" w:rsidRDefault="00C4775C">
            <w:pPr>
              <w:pStyle w:val="AnnexTableCellLeft"/>
              <w:rPr>
                <w:szCs w:val="18"/>
              </w:rPr>
            </w:pPr>
            <w:r>
              <w:t>Losun gróðurhúsalofttegunda (</w:t>
            </w:r>
            <w:r>
              <w:rPr>
                <w:rStyle w:val="Tilvsunneanmlsgrein"/>
                <w:sz w:val="18"/>
                <w:szCs w:val="18"/>
              </w:rPr>
              <w:footnoteReference w:id="164"/>
            </w:r>
            <w:r>
              <w:t>) frá framleiðslu á saltpéturssýru er minni en 0,038 (</w:t>
            </w:r>
            <w:r>
              <w:rPr>
                <w:rStyle w:val="Tilvsunneanmlsgrein"/>
                <w:sz w:val="18"/>
                <w:szCs w:val="18"/>
              </w:rPr>
              <w:footnoteReference w:id="165"/>
            </w:r>
            <w:r>
              <w:t>) tCO</w:t>
            </w:r>
            <w:r>
              <w:rPr>
                <w:vertAlign w:val="subscript"/>
              </w:rPr>
              <w:t>2</w:t>
            </w:r>
            <w:r>
              <w:t>e á hvert tonn af saltpéturssýru.</w:t>
            </w:r>
          </w:p>
        </w:tc>
      </w:tr>
      <w:tr w:rsidR="007E0724" w14:paraId="54C23D8F" w14:textId="77777777">
        <w:trPr>
          <w:trHeight w:val="240"/>
        </w:trPr>
        <w:tc>
          <w:tcPr>
            <w:tcW w:w="8740" w:type="dxa"/>
            <w:gridSpan w:val="2"/>
            <w:tcMar>
              <w:top w:w="100" w:type="dxa"/>
              <w:left w:w="0" w:type="dxa"/>
              <w:bottom w:w="100" w:type="dxa"/>
              <w:right w:w="60" w:type="dxa"/>
            </w:tcMar>
          </w:tcPr>
          <w:p w14:paraId="23D24588" w14:textId="77777777" w:rsidR="007E0724" w:rsidRDefault="00C4775C">
            <w:pPr>
              <w:pStyle w:val="AnnexTableCellLeft"/>
            </w:pPr>
            <w:r>
              <w:t>Ekki valda umtalsverðu tjóni</w:t>
            </w:r>
          </w:p>
        </w:tc>
      </w:tr>
      <w:tr w:rsidR="007E0724" w14:paraId="0F098917" w14:textId="77777777">
        <w:trPr>
          <w:trHeight w:val="360"/>
        </w:trPr>
        <w:tc>
          <w:tcPr>
            <w:tcW w:w="2553" w:type="dxa"/>
            <w:tcMar>
              <w:top w:w="100" w:type="dxa"/>
              <w:left w:w="0" w:type="dxa"/>
              <w:bottom w:w="100" w:type="dxa"/>
              <w:right w:w="60" w:type="dxa"/>
            </w:tcMar>
          </w:tcPr>
          <w:p w14:paraId="3AC077E8" w14:textId="77777777" w:rsidR="007E0724" w:rsidRDefault="00C4775C">
            <w:pPr>
              <w:pStyle w:val="AnnexNumberedText"/>
            </w:pPr>
            <w:r>
              <w:t>2)</w:t>
            </w:r>
            <w:r>
              <w:tab/>
              <w:t>Aðlögun að loftslagsbreytingum</w:t>
            </w:r>
          </w:p>
        </w:tc>
        <w:tc>
          <w:tcPr>
            <w:tcW w:w="6187" w:type="dxa"/>
            <w:tcMar>
              <w:top w:w="100" w:type="dxa"/>
              <w:left w:w="0" w:type="dxa"/>
              <w:bottom w:w="100" w:type="dxa"/>
              <w:right w:w="60" w:type="dxa"/>
            </w:tcMar>
          </w:tcPr>
          <w:p w14:paraId="04C4DAC6" w14:textId="77777777" w:rsidR="007E0724" w:rsidRDefault="00C4775C">
            <w:pPr>
              <w:pStyle w:val="AnnexTableCellLeft"/>
              <w:ind w:left="40"/>
            </w:pPr>
            <w:r>
              <w:t>Starfsemin er í samræmi við viðmiðanirnar sem settar eru fram í viðbæti A við þennan viðauka.</w:t>
            </w:r>
          </w:p>
        </w:tc>
      </w:tr>
      <w:tr w:rsidR="007E0724" w14:paraId="65978C46" w14:textId="77777777">
        <w:trPr>
          <w:trHeight w:val="360"/>
        </w:trPr>
        <w:tc>
          <w:tcPr>
            <w:tcW w:w="2553" w:type="dxa"/>
            <w:tcMar>
              <w:top w:w="100" w:type="dxa"/>
              <w:left w:w="0" w:type="dxa"/>
              <w:bottom w:w="100" w:type="dxa"/>
              <w:right w:w="60" w:type="dxa"/>
            </w:tcMar>
          </w:tcPr>
          <w:p w14:paraId="7BDD02CE" w14:textId="77777777" w:rsidR="007E0724" w:rsidRDefault="00C4775C">
            <w:pPr>
              <w:pStyle w:val="AnnexNumberedText"/>
            </w:pPr>
            <w:r>
              <w:t>3)</w:t>
            </w:r>
            <w:r>
              <w:tab/>
              <w:t>Sjálfbær notkun og verndun vatns- og sjávarauðlinda</w:t>
            </w:r>
          </w:p>
        </w:tc>
        <w:tc>
          <w:tcPr>
            <w:tcW w:w="6187" w:type="dxa"/>
            <w:tcMar>
              <w:top w:w="100" w:type="dxa"/>
              <w:left w:w="0" w:type="dxa"/>
              <w:bottom w:w="100" w:type="dxa"/>
              <w:right w:w="60" w:type="dxa"/>
            </w:tcMar>
          </w:tcPr>
          <w:p w14:paraId="68C195AA" w14:textId="77777777" w:rsidR="007E0724" w:rsidRDefault="00C4775C">
            <w:pPr>
              <w:pStyle w:val="AnnexTableCellLeft"/>
              <w:ind w:left="40"/>
            </w:pPr>
            <w:r>
              <w:t>Starfsemin er í samræmi við viðmiðanirnar sem settar eru fram í viðbæti B við þennan viðauka.</w:t>
            </w:r>
          </w:p>
        </w:tc>
      </w:tr>
      <w:tr w:rsidR="007E0724" w14:paraId="7D880AA9" w14:textId="77777777">
        <w:trPr>
          <w:trHeight w:val="360"/>
        </w:trPr>
        <w:tc>
          <w:tcPr>
            <w:tcW w:w="2553" w:type="dxa"/>
            <w:tcBorders>
              <w:bottom w:val="single" w:sz="4" w:space="0" w:color="auto"/>
            </w:tcBorders>
            <w:tcMar>
              <w:top w:w="100" w:type="dxa"/>
              <w:left w:w="0" w:type="dxa"/>
              <w:bottom w:w="100" w:type="dxa"/>
              <w:right w:w="60" w:type="dxa"/>
            </w:tcMar>
          </w:tcPr>
          <w:p w14:paraId="01ED3A64" w14:textId="77777777" w:rsidR="007E0724" w:rsidRDefault="00C4775C">
            <w:pPr>
              <w:pStyle w:val="AnnexNumberedText"/>
            </w:pPr>
            <w:r>
              <w:t>4)</w:t>
            </w:r>
            <w:r>
              <w:tab/>
              <w:t>Umskipti yfir í hringrásarhagkerfi</w:t>
            </w:r>
          </w:p>
        </w:tc>
        <w:tc>
          <w:tcPr>
            <w:tcW w:w="6187" w:type="dxa"/>
            <w:tcBorders>
              <w:bottom w:val="single" w:sz="4" w:space="0" w:color="auto"/>
            </w:tcBorders>
            <w:tcMar>
              <w:top w:w="100" w:type="dxa"/>
              <w:left w:w="0" w:type="dxa"/>
              <w:bottom w:w="100" w:type="dxa"/>
              <w:right w:w="60" w:type="dxa"/>
            </w:tcMar>
          </w:tcPr>
          <w:p w14:paraId="04E5C375" w14:textId="77777777" w:rsidR="007E0724" w:rsidRDefault="00C4775C">
            <w:pPr>
              <w:pStyle w:val="AnnexTableCellLeft"/>
              <w:ind w:left="40"/>
            </w:pPr>
            <w:r>
              <w:t>Á ekki við</w:t>
            </w:r>
          </w:p>
        </w:tc>
      </w:tr>
      <w:tr w:rsidR="007E0724" w14:paraId="4420C6FC" w14:textId="77777777">
        <w:trPr>
          <w:trHeight w:val="360"/>
        </w:trPr>
        <w:tc>
          <w:tcPr>
            <w:tcW w:w="2553" w:type="dxa"/>
            <w:tcBorders>
              <w:bottom w:val="nil"/>
            </w:tcBorders>
            <w:tcMar>
              <w:top w:w="100" w:type="dxa"/>
              <w:left w:w="0" w:type="dxa"/>
              <w:bottom w:w="100" w:type="dxa"/>
              <w:right w:w="60" w:type="dxa"/>
            </w:tcMar>
          </w:tcPr>
          <w:p w14:paraId="670DFE34" w14:textId="77777777" w:rsidR="007E0724" w:rsidRDefault="00C4775C">
            <w:pPr>
              <w:pStyle w:val="AnnexNumberedText"/>
            </w:pPr>
            <w:r>
              <w:t>5)</w:t>
            </w:r>
            <w:r>
              <w:tab/>
              <w:t xml:space="preserve">Mengunarvarnir og eftirlit </w:t>
            </w:r>
            <w:r>
              <w:lastRenderedPageBreak/>
              <w:t>með mengun</w:t>
            </w:r>
          </w:p>
        </w:tc>
        <w:tc>
          <w:tcPr>
            <w:tcW w:w="6187" w:type="dxa"/>
            <w:tcBorders>
              <w:bottom w:val="nil"/>
            </w:tcBorders>
            <w:tcMar>
              <w:top w:w="100" w:type="dxa"/>
              <w:left w:w="0" w:type="dxa"/>
              <w:bottom w:w="100" w:type="dxa"/>
              <w:right w:w="60" w:type="dxa"/>
            </w:tcMar>
          </w:tcPr>
          <w:p w14:paraId="1EDDF586" w14:textId="77777777" w:rsidR="007E0724" w:rsidRDefault="00C4775C">
            <w:pPr>
              <w:pStyle w:val="AnnexTableCellLeft"/>
              <w:ind w:left="40"/>
            </w:pPr>
            <w:r>
              <w:lastRenderedPageBreak/>
              <w:t xml:space="preserve">Starfsemin er í samræmi við viðmiðanirnar sem settar eru fram í viðbæti C við </w:t>
            </w:r>
            <w:r>
              <w:lastRenderedPageBreak/>
              <w:t>þennan viðauka.</w:t>
            </w:r>
          </w:p>
        </w:tc>
      </w:tr>
      <w:tr w:rsidR="007E0724" w14:paraId="66E568AC" w14:textId="77777777">
        <w:trPr>
          <w:trHeight w:val="240"/>
        </w:trPr>
        <w:tc>
          <w:tcPr>
            <w:tcW w:w="2553" w:type="dxa"/>
            <w:tcBorders>
              <w:top w:val="single" w:sz="4" w:space="0" w:color="auto"/>
            </w:tcBorders>
            <w:tcMar>
              <w:top w:w="100" w:type="dxa"/>
              <w:left w:w="0" w:type="dxa"/>
              <w:bottom w:w="100" w:type="dxa"/>
              <w:right w:w="60" w:type="dxa"/>
            </w:tcMar>
          </w:tcPr>
          <w:p w14:paraId="387E78F4" w14:textId="77777777" w:rsidR="007E0724" w:rsidRDefault="007E0724">
            <w:pPr>
              <w:pStyle w:val="AnnexTableCellLeft"/>
              <w:pageBreakBefore/>
            </w:pPr>
          </w:p>
        </w:tc>
        <w:tc>
          <w:tcPr>
            <w:tcW w:w="6187" w:type="dxa"/>
            <w:tcBorders>
              <w:top w:val="single" w:sz="4" w:space="0" w:color="auto"/>
            </w:tcBorders>
            <w:tcMar>
              <w:top w:w="100" w:type="dxa"/>
              <w:left w:w="0" w:type="dxa"/>
              <w:bottom w:w="100" w:type="dxa"/>
              <w:right w:w="60" w:type="dxa"/>
            </w:tcMar>
          </w:tcPr>
          <w:p w14:paraId="66F30673" w14:textId="77777777" w:rsidR="007E0724" w:rsidRDefault="00C4775C">
            <w:pPr>
              <w:pStyle w:val="AnnexTableCellLeft"/>
              <w:spacing w:after="240"/>
              <w:ind w:left="40"/>
            </w:pPr>
            <w:r>
              <w:t>Losun fellur innan við eða undir svið losunargilda sem tengjast bestu aðgengilegu tækni samkvæmt nýjustu viðeigandi niðurstöðum um bestu aðgengilegu tækni, þ.m.t.:</w:t>
            </w:r>
          </w:p>
          <w:p w14:paraId="144B5381" w14:textId="77777777" w:rsidR="007E0724" w:rsidRDefault="00C4775C">
            <w:pPr>
              <w:pStyle w:val="AnnexNumberedText"/>
              <w:spacing w:after="240"/>
              <w:ind w:left="340"/>
              <w:rPr>
                <w:szCs w:val="18"/>
              </w:rPr>
            </w:pPr>
            <w:r>
              <w:t>a)</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w:t>
            </w:r>
            <w:r>
              <w:rPr>
                <w:rStyle w:val="Tilvsunneanmlsgrein"/>
                <w:sz w:val="18"/>
                <w:szCs w:val="18"/>
              </w:rPr>
              <w:footnoteReference w:id="166"/>
            </w:r>
            <w:r>
              <w:t>),</w:t>
            </w:r>
          </w:p>
          <w:p w14:paraId="28CF3AA8" w14:textId="77777777" w:rsidR="007E0724" w:rsidRDefault="00C4775C">
            <w:pPr>
              <w:pStyle w:val="AnnexNumberedText"/>
              <w:spacing w:after="240"/>
              <w:ind w:left="340"/>
              <w:rPr>
                <w:szCs w:val="18"/>
              </w:rPr>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67"/>
            </w:r>
            <w:r>
              <w:t>).</w:t>
            </w:r>
          </w:p>
          <w:p w14:paraId="3109FAC0" w14:textId="77777777" w:rsidR="007E0724" w:rsidRDefault="00C4775C">
            <w:pPr>
              <w:pStyle w:val="AnnexTableCellLeft"/>
              <w:ind w:left="40"/>
            </w:pPr>
            <w:r>
              <w:t>Engin umtalsverð yfirfærsluáhrif milli umhverfishólfa eiga sér stað.</w:t>
            </w:r>
          </w:p>
        </w:tc>
      </w:tr>
      <w:tr w:rsidR="007E0724" w14:paraId="4462236C" w14:textId="77777777">
        <w:trPr>
          <w:trHeight w:val="360"/>
        </w:trPr>
        <w:tc>
          <w:tcPr>
            <w:tcW w:w="2553" w:type="dxa"/>
            <w:tcMar>
              <w:top w:w="100" w:type="dxa"/>
              <w:left w:w="0" w:type="dxa"/>
              <w:bottom w:w="100" w:type="dxa"/>
              <w:right w:w="60" w:type="dxa"/>
            </w:tcMar>
          </w:tcPr>
          <w:p w14:paraId="09ED6EEC" w14:textId="77777777" w:rsidR="007E0724" w:rsidRDefault="00C4775C">
            <w:pPr>
              <w:pStyle w:val="AnnexNumberedText"/>
            </w:pPr>
            <w:r>
              <w:t>6)</w:t>
            </w:r>
            <w:r>
              <w:tab/>
              <w:t>Vernd og endurheimt líffræðilegrar fjölbreytni og vistkerfa</w:t>
            </w:r>
          </w:p>
        </w:tc>
        <w:tc>
          <w:tcPr>
            <w:tcW w:w="6187" w:type="dxa"/>
            <w:tcMar>
              <w:top w:w="100" w:type="dxa"/>
              <w:left w:w="0" w:type="dxa"/>
              <w:bottom w:w="100" w:type="dxa"/>
              <w:right w:w="60" w:type="dxa"/>
            </w:tcMar>
          </w:tcPr>
          <w:p w14:paraId="74C4FE71" w14:textId="77777777" w:rsidR="007E0724" w:rsidRDefault="00C4775C">
            <w:pPr>
              <w:pStyle w:val="AnnexTableCellLeft"/>
              <w:ind w:left="40"/>
            </w:pPr>
            <w:r>
              <w:t>Starfsemin er í samræmi við viðmiðanirnar sem settar eru fram í viðbæti D við þennan viðauka.</w:t>
            </w:r>
          </w:p>
        </w:tc>
      </w:tr>
    </w:tbl>
    <w:p w14:paraId="03F5AF25" w14:textId="77777777" w:rsidR="007E0724" w:rsidRDefault="00C4775C">
      <w:pPr>
        <w:pStyle w:val="AnnexNumberedText"/>
        <w:spacing w:before="200"/>
        <w:ind w:left="500" w:hanging="500"/>
      </w:pPr>
      <w:r>
        <w:t>3.17.</w:t>
      </w:r>
      <w:r>
        <w:rPr>
          <w:b/>
        </w:rPr>
        <w:tab/>
        <w:t>Framleiðsla á plasthráefni</w:t>
      </w:r>
    </w:p>
    <w:p w14:paraId="034CC7CE" w14:textId="77777777" w:rsidR="007E0724" w:rsidRDefault="00C4775C">
      <w:pPr>
        <w:pStyle w:val="AnnexGrSeq3"/>
        <w:spacing w:after="240"/>
        <w:ind w:left="500"/>
        <w:jc w:val="both"/>
      </w:pPr>
      <w:r>
        <w:rPr>
          <w:i/>
        </w:rPr>
        <w:t>Lýsing á starfseminni</w:t>
      </w:r>
    </w:p>
    <w:p w14:paraId="3399E781" w14:textId="77777777" w:rsidR="007E0724" w:rsidRDefault="00C4775C">
      <w:pPr>
        <w:pStyle w:val="AnnexNormal"/>
        <w:spacing w:after="240"/>
        <w:ind w:left="500"/>
      </w:pPr>
      <w:r>
        <w:t xml:space="preserve">Framleiðsla á </w:t>
      </w:r>
      <w:proofErr w:type="spellStart"/>
      <w:r>
        <w:t>resíni</w:t>
      </w:r>
      <w:proofErr w:type="spellEnd"/>
      <w:r>
        <w:t xml:space="preserve">, plastefnum og </w:t>
      </w:r>
      <w:proofErr w:type="spellStart"/>
      <w:r>
        <w:t>ósúlfuðum</w:t>
      </w:r>
      <w:proofErr w:type="spellEnd"/>
      <w:r>
        <w:t xml:space="preserve"> hitadeigum teygjuefnum, samsetning og blöndun á </w:t>
      </w:r>
      <w:proofErr w:type="spellStart"/>
      <w:r>
        <w:t>resíni</w:t>
      </w:r>
      <w:proofErr w:type="spellEnd"/>
      <w:r>
        <w:t xml:space="preserve"> eftir pöntun, sem og raðframleiðsla á </w:t>
      </w:r>
      <w:proofErr w:type="spellStart"/>
      <w:r>
        <w:t>gerviresíni</w:t>
      </w:r>
      <w:proofErr w:type="spellEnd"/>
      <w:r>
        <w:t>.</w:t>
      </w:r>
    </w:p>
    <w:p w14:paraId="32530626" w14:textId="77777777" w:rsidR="007E0724" w:rsidRDefault="00C4775C">
      <w:pPr>
        <w:pStyle w:val="AnnexNormal"/>
        <w:spacing w:after="240"/>
        <w:ind w:left="500"/>
      </w:pPr>
      <w:r>
        <w:t>Atvinnustarfsemin í þessum flokki gæti tengst kóða atvinnugreinaflokkunar Evrópusambandsins C20.16 í samræmi við atvinnugreinaflokkunina sem komið var á með reglugerð (EB) nr. 1893/2006.</w:t>
      </w:r>
    </w:p>
    <w:p w14:paraId="361FB8D2" w14:textId="77777777" w:rsidR="007E0724" w:rsidRDefault="00C4775C">
      <w:pPr>
        <w:pStyle w:val="AnnexNormal"/>
        <w:spacing w:after="240"/>
        <w:ind w:left="500"/>
      </w:pPr>
      <w:r>
        <w:t>Atvinnustarfsemi í þessum flokki er umbreytingarstarfsemi, eins og um getur í 2. mgr. 10. gr. reglugerðar (ESB) 2020/852, þegar hún er í samræmi við tæknilegu matsviðmiðin sem sett eru fram í þessum þætti.</w:t>
      </w:r>
    </w:p>
    <w:p w14:paraId="7A022208" w14:textId="77777777" w:rsidR="007E0724" w:rsidRDefault="00C4775C">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682"/>
        <w:gridCol w:w="6058"/>
      </w:tblGrid>
      <w:tr w:rsidR="007E0724" w14:paraId="488C51BE" w14:textId="77777777">
        <w:trPr>
          <w:trHeight w:val="240"/>
        </w:trPr>
        <w:tc>
          <w:tcPr>
            <w:tcW w:w="8740" w:type="dxa"/>
            <w:gridSpan w:val="2"/>
            <w:tcBorders>
              <w:bottom w:val="single" w:sz="4" w:space="0" w:color="auto"/>
            </w:tcBorders>
            <w:tcMar>
              <w:top w:w="100" w:type="dxa"/>
              <w:left w:w="0" w:type="dxa"/>
              <w:bottom w:w="100" w:type="dxa"/>
              <w:right w:w="60" w:type="dxa"/>
            </w:tcMar>
          </w:tcPr>
          <w:p w14:paraId="3EE093A1"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46CD633B" w14:textId="77777777">
        <w:trPr>
          <w:trHeight w:val="360"/>
        </w:trPr>
        <w:tc>
          <w:tcPr>
            <w:tcW w:w="8740" w:type="dxa"/>
            <w:gridSpan w:val="2"/>
            <w:tcBorders>
              <w:bottom w:val="nil"/>
            </w:tcBorders>
            <w:tcMar>
              <w:top w:w="100" w:type="dxa"/>
              <w:left w:w="0" w:type="dxa"/>
              <w:bottom w:w="100" w:type="dxa"/>
              <w:right w:w="60" w:type="dxa"/>
            </w:tcMar>
          </w:tcPr>
          <w:p w14:paraId="4A28C016" w14:textId="77777777" w:rsidR="007E0724" w:rsidRDefault="00C4775C">
            <w:pPr>
              <w:pStyle w:val="AnnexTableCellLeft"/>
              <w:spacing w:after="300"/>
            </w:pPr>
            <w:r>
              <w:t>Starfsemin er í samræmi við eina af eftirfarandi viðmiðunum:</w:t>
            </w:r>
          </w:p>
          <w:p w14:paraId="185DF292" w14:textId="77777777" w:rsidR="007E0724" w:rsidRDefault="00C4775C">
            <w:pPr>
              <w:pStyle w:val="AnnexNumberedText"/>
              <w:spacing w:after="300"/>
            </w:pPr>
            <w:r>
              <w:t>a)</w:t>
            </w:r>
            <w:r>
              <w:tab/>
              <w:t>plasthráefnið er að öllu leyti framleitt með vélrænni endurvinnslu á plastúrgangi,</w:t>
            </w:r>
          </w:p>
          <w:p w14:paraId="672F9810" w14:textId="77777777" w:rsidR="007E0724" w:rsidRDefault="00C4775C">
            <w:pPr>
              <w:pStyle w:val="AnnexNumberedText"/>
              <w:spacing w:after="300"/>
              <w:rPr>
                <w:szCs w:val="18"/>
              </w:rPr>
            </w:pPr>
            <w:r>
              <w:t>b)</w:t>
            </w:r>
            <w:r>
              <w:tab/>
              <w:t xml:space="preserve">ef vélræn endurvinnsla er ekki tæknilega möguleg eða fjárhagslega hagkvæm er plasthráefnið að öllu leyti framleitt með efnafræðilegri endurvinnslu á plastúrgangi og losun gróðurhúsalofttegunda á vistferli framleidda plastsins, að undanskildum öllum </w:t>
            </w:r>
            <w:proofErr w:type="spellStart"/>
            <w:r>
              <w:t>útreiknuðum</w:t>
            </w:r>
            <w:proofErr w:type="spellEnd"/>
            <w:r>
              <w:t xml:space="preserve"> inneignum frá framleiðslu eldsneytis, er minni en losun gróðurhúsalofttegunda á vistferli samsvarandi plasthráefnis sem er framleitt úr hráefni úr jarðefnaeldsneyti. Losun gróðurhúsalofttegunda á vistferlinum er reiknuð út með því að nota tilmæli 2013/179/ESB eða, að öðrum kosti, með því að nota ISO 14067:2018 (</w:t>
            </w:r>
            <w:r>
              <w:rPr>
                <w:rStyle w:val="Tilvsunneanmlsgrein"/>
                <w:sz w:val="18"/>
                <w:szCs w:val="18"/>
              </w:rPr>
              <w:footnoteReference w:id="168"/>
            </w:r>
            <w:r>
              <w:t>) eða ISO 14064-1:2018 (</w:t>
            </w:r>
            <w:r>
              <w:rPr>
                <w:rStyle w:val="Tilvsunneanmlsgrein"/>
                <w:sz w:val="18"/>
                <w:szCs w:val="18"/>
              </w:rPr>
              <w:footnoteReference w:id="169"/>
            </w:r>
            <w:r>
              <w:t>). Óháður þriðji aðili sannprófar magngreinda losun gróðurhúsalofttegunda á vistferlinum.</w:t>
            </w:r>
          </w:p>
          <w:p w14:paraId="27E99387" w14:textId="77777777" w:rsidR="007E0724" w:rsidRDefault="00C4775C">
            <w:pPr>
              <w:pStyle w:val="AnnexNumberedText"/>
              <w:spacing w:after="0"/>
            </w:pPr>
            <w:r>
              <w:t>c)</w:t>
            </w:r>
            <w:r>
              <w:tab/>
              <w:t>unnið að öllu leyti eða að hluta til úr endurnýjanlegu hráefni (</w:t>
            </w:r>
            <w:r>
              <w:rPr>
                <w:rStyle w:val="Tilvsunneanmlsgrein"/>
                <w:sz w:val="18"/>
                <w:szCs w:val="18"/>
              </w:rPr>
              <w:footnoteReference w:id="170"/>
            </w:r>
            <w:r>
              <w:t>) og losun gróðurhúsalofttegunda á vistferli þess er minni en losun gróðurhúsalofttegunda á vistferli samsvarandi plasts sem er framleitt úr hráefni úr jarðefnaeldsneyti. Losun gróðurhúsalofttegunda á vistferlinum er reiknuð út með því að nota tilmæli 2013/179/ESB eða, að öðrum kosti, með því að nota ISO 14067:2018 eða ISO 14064-1:2018. Óháður þriðji aðili sannprófar magngreinda losun gróðurhúsalofttegunda á vistferlinum.</w:t>
            </w:r>
          </w:p>
        </w:tc>
      </w:tr>
      <w:tr w:rsidR="007E0724" w14:paraId="40C0954B" w14:textId="77777777">
        <w:trPr>
          <w:trHeight w:val="240"/>
        </w:trPr>
        <w:tc>
          <w:tcPr>
            <w:tcW w:w="8740" w:type="dxa"/>
            <w:gridSpan w:val="2"/>
            <w:tcBorders>
              <w:top w:val="nil"/>
            </w:tcBorders>
            <w:tcMar>
              <w:top w:w="100" w:type="dxa"/>
              <w:left w:w="0" w:type="dxa"/>
              <w:bottom w:w="100" w:type="dxa"/>
              <w:right w:w="60" w:type="dxa"/>
            </w:tcMar>
          </w:tcPr>
          <w:p w14:paraId="5064A952" w14:textId="77777777" w:rsidR="007E0724" w:rsidRDefault="00C4775C">
            <w:pPr>
              <w:pStyle w:val="AnnexTableCellLeft"/>
              <w:pageBreakBefore/>
            </w:pPr>
            <w:r>
              <w:lastRenderedPageBreak/>
              <w:t>Lífmassi úr landbúnaði sem er notaður til að framleiða plasthráefni er í samræmi við viðmiðanirnar sem mælt er fyrir um í 2. til 5. mgr. 29. gr. tilskipunar (ESB) 2018/2001. Lífmassi úr skógi sem er notaður til að framleiða plasthráefni er í samræmi við viðmiðanirnar sem mælt er fyrir um í 6. og 7. mgr. 29. gr. þeirrar tilskipunar.</w:t>
            </w:r>
          </w:p>
        </w:tc>
      </w:tr>
      <w:tr w:rsidR="007E0724" w14:paraId="337997CF" w14:textId="77777777">
        <w:trPr>
          <w:trHeight w:val="240"/>
        </w:trPr>
        <w:tc>
          <w:tcPr>
            <w:tcW w:w="8740" w:type="dxa"/>
            <w:gridSpan w:val="2"/>
            <w:tcMar>
              <w:top w:w="100" w:type="dxa"/>
              <w:left w:w="0" w:type="dxa"/>
              <w:bottom w:w="100" w:type="dxa"/>
              <w:right w:w="60" w:type="dxa"/>
            </w:tcMar>
          </w:tcPr>
          <w:p w14:paraId="372C244E" w14:textId="77777777" w:rsidR="007E0724" w:rsidRDefault="00C4775C">
            <w:pPr>
              <w:pStyle w:val="AnnexTableCellLeft"/>
            </w:pPr>
            <w:r>
              <w:t>Ekki valda umtalsverðu tjóni</w:t>
            </w:r>
          </w:p>
        </w:tc>
      </w:tr>
      <w:tr w:rsidR="007E0724" w14:paraId="3DE0D93F" w14:textId="77777777">
        <w:trPr>
          <w:trHeight w:val="360"/>
        </w:trPr>
        <w:tc>
          <w:tcPr>
            <w:tcW w:w="2682" w:type="dxa"/>
            <w:tcMar>
              <w:top w:w="100" w:type="dxa"/>
              <w:left w:w="0" w:type="dxa"/>
              <w:bottom w:w="100" w:type="dxa"/>
              <w:right w:w="60" w:type="dxa"/>
            </w:tcMar>
          </w:tcPr>
          <w:p w14:paraId="5AC1A103" w14:textId="77777777" w:rsidR="007E0724" w:rsidRDefault="00C4775C">
            <w:pPr>
              <w:pStyle w:val="AnnexNumberedText"/>
            </w:pPr>
            <w:r>
              <w:t>2)</w:t>
            </w:r>
            <w:r>
              <w:tab/>
              <w:t>Aðlögun að loftslagsbreytingum</w:t>
            </w:r>
          </w:p>
        </w:tc>
        <w:tc>
          <w:tcPr>
            <w:tcW w:w="6058" w:type="dxa"/>
            <w:tcMar>
              <w:top w:w="100" w:type="dxa"/>
              <w:left w:w="0" w:type="dxa"/>
              <w:bottom w:w="100" w:type="dxa"/>
              <w:right w:w="60" w:type="dxa"/>
            </w:tcMar>
          </w:tcPr>
          <w:p w14:paraId="514ACE80" w14:textId="77777777" w:rsidR="007E0724" w:rsidRDefault="00C4775C">
            <w:pPr>
              <w:pStyle w:val="AnnexTableCellLeft"/>
              <w:ind w:left="40"/>
            </w:pPr>
            <w:r>
              <w:t>Starfsemin er í samræmi við viðmiðanirnar sem settar eru fram í viðbæti A við þennan viðauka.</w:t>
            </w:r>
          </w:p>
        </w:tc>
      </w:tr>
      <w:tr w:rsidR="007E0724" w14:paraId="2EB53D96" w14:textId="77777777">
        <w:trPr>
          <w:trHeight w:val="360"/>
        </w:trPr>
        <w:tc>
          <w:tcPr>
            <w:tcW w:w="2682" w:type="dxa"/>
            <w:tcMar>
              <w:top w:w="100" w:type="dxa"/>
              <w:left w:w="0" w:type="dxa"/>
              <w:bottom w:w="100" w:type="dxa"/>
              <w:right w:w="60" w:type="dxa"/>
            </w:tcMar>
          </w:tcPr>
          <w:p w14:paraId="75FB0A12" w14:textId="77777777" w:rsidR="007E0724" w:rsidRDefault="00C4775C">
            <w:pPr>
              <w:pStyle w:val="AnnexNumberedText"/>
            </w:pPr>
            <w:r>
              <w:t>3)</w:t>
            </w:r>
            <w:r>
              <w:tab/>
              <w:t>Sjálfbær notkun og verndun vatns- og sjávarauðlinda</w:t>
            </w:r>
          </w:p>
        </w:tc>
        <w:tc>
          <w:tcPr>
            <w:tcW w:w="6058" w:type="dxa"/>
            <w:tcMar>
              <w:top w:w="100" w:type="dxa"/>
              <w:left w:w="0" w:type="dxa"/>
              <w:bottom w:w="100" w:type="dxa"/>
              <w:right w:w="60" w:type="dxa"/>
            </w:tcMar>
          </w:tcPr>
          <w:p w14:paraId="3ABE399E" w14:textId="77777777" w:rsidR="007E0724" w:rsidRDefault="00C4775C">
            <w:pPr>
              <w:pStyle w:val="AnnexTableCellLeft"/>
              <w:ind w:left="40"/>
            </w:pPr>
            <w:r>
              <w:t>Starfsemin er í samræmi við viðmiðanirnar sem settar eru fram í viðbæti B við þennan viðauka.</w:t>
            </w:r>
          </w:p>
        </w:tc>
      </w:tr>
      <w:tr w:rsidR="007E0724" w14:paraId="146BB485" w14:textId="77777777">
        <w:trPr>
          <w:trHeight w:val="360"/>
        </w:trPr>
        <w:tc>
          <w:tcPr>
            <w:tcW w:w="2682" w:type="dxa"/>
            <w:tcMar>
              <w:top w:w="100" w:type="dxa"/>
              <w:left w:w="0" w:type="dxa"/>
              <w:bottom w:w="100" w:type="dxa"/>
              <w:right w:w="60" w:type="dxa"/>
            </w:tcMar>
          </w:tcPr>
          <w:p w14:paraId="7A087F80" w14:textId="77777777" w:rsidR="007E0724" w:rsidRDefault="00C4775C">
            <w:pPr>
              <w:pStyle w:val="AnnexNumberedText"/>
            </w:pPr>
            <w:r>
              <w:t>4)</w:t>
            </w:r>
            <w:r>
              <w:tab/>
              <w:t>Umskipti yfir í hringrásarhagkerfi</w:t>
            </w:r>
          </w:p>
        </w:tc>
        <w:tc>
          <w:tcPr>
            <w:tcW w:w="6058" w:type="dxa"/>
            <w:tcMar>
              <w:top w:w="100" w:type="dxa"/>
              <w:left w:w="0" w:type="dxa"/>
              <w:bottom w:w="100" w:type="dxa"/>
              <w:right w:w="60" w:type="dxa"/>
            </w:tcMar>
          </w:tcPr>
          <w:p w14:paraId="331053CD" w14:textId="77777777" w:rsidR="007E0724" w:rsidRDefault="00C4775C">
            <w:pPr>
              <w:pStyle w:val="AnnexTableCellLeft"/>
              <w:ind w:left="40"/>
            </w:pPr>
            <w:r>
              <w:t>Á ekki við</w:t>
            </w:r>
          </w:p>
        </w:tc>
      </w:tr>
      <w:tr w:rsidR="007E0724" w14:paraId="6D8F0423" w14:textId="77777777">
        <w:trPr>
          <w:trHeight w:val="360"/>
        </w:trPr>
        <w:tc>
          <w:tcPr>
            <w:tcW w:w="2682" w:type="dxa"/>
            <w:tcMar>
              <w:top w:w="100" w:type="dxa"/>
              <w:left w:w="0" w:type="dxa"/>
              <w:bottom w:w="100" w:type="dxa"/>
              <w:right w:w="60" w:type="dxa"/>
            </w:tcMar>
          </w:tcPr>
          <w:p w14:paraId="02F90C04" w14:textId="77777777" w:rsidR="007E0724" w:rsidRDefault="00C4775C">
            <w:pPr>
              <w:pStyle w:val="AnnexNumberedText"/>
            </w:pPr>
            <w:r>
              <w:t>5)</w:t>
            </w:r>
            <w:r>
              <w:tab/>
              <w:t>Mengunarvarnir og eftirlit með mengun</w:t>
            </w:r>
          </w:p>
        </w:tc>
        <w:tc>
          <w:tcPr>
            <w:tcW w:w="6058" w:type="dxa"/>
            <w:tcMar>
              <w:top w:w="100" w:type="dxa"/>
              <w:left w:w="0" w:type="dxa"/>
              <w:bottom w:w="100" w:type="dxa"/>
              <w:right w:w="60" w:type="dxa"/>
            </w:tcMar>
          </w:tcPr>
          <w:p w14:paraId="274EA3B0" w14:textId="77777777" w:rsidR="007E0724" w:rsidRDefault="00C4775C">
            <w:pPr>
              <w:pStyle w:val="AnnexTableCellLeft"/>
              <w:ind w:left="40"/>
            </w:pPr>
            <w:r>
              <w:t>Starfsemin er í samræmi við viðmiðanirnar sem settar eru fram í viðbæti C við þennan viðauka.</w:t>
            </w:r>
          </w:p>
          <w:p w14:paraId="0EEA4D31" w14:textId="77777777" w:rsidR="007E0724" w:rsidRDefault="00C4775C">
            <w:pPr>
              <w:pStyle w:val="AnnexTableCellLeft"/>
              <w:spacing w:after="240"/>
              <w:ind w:left="40"/>
              <w:rPr>
                <w:szCs w:val="18"/>
              </w:rPr>
            </w:pPr>
            <w:r>
              <w:t>Losun fellur innan við eða undir svið losunargilda sem tengjast bestu aðgengilegu tækni samkvæmt nýjustu viðeigandi niðurstöðum um bestu aðgengilegu tækni, þ.m.t.:</w:t>
            </w:r>
          </w:p>
          <w:p w14:paraId="4DA00866" w14:textId="77777777" w:rsidR="007E0724" w:rsidRDefault="00C4775C">
            <w:pPr>
              <w:pStyle w:val="AnnexNumberedText"/>
              <w:spacing w:after="240"/>
              <w:ind w:left="380" w:hanging="340"/>
              <w:rPr>
                <w:szCs w:val="18"/>
              </w:rPr>
            </w:pPr>
            <w:r>
              <w:t>a)</w:t>
            </w:r>
            <w:r>
              <w:tab/>
              <w:t>Tilvísunarskjal um bestu aðgengilegu tækni fyrir framleiðslu á fjölliðum (</w:t>
            </w:r>
            <w:r>
              <w:rPr>
                <w:rStyle w:val="Tilvsunneanmlsgrein"/>
                <w:sz w:val="18"/>
                <w:szCs w:val="18"/>
              </w:rPr>
              <w:footnoteReference w:id="171"/>
            </w:r>
            <w:r>
              <w:t>),</w:t>
            </w:r>
          </w:p>
          <w:p w14:paraId="0F6F025B" w14:textId="77777777" w:rsidR="007E0724" w:rsidRDefault="00C4775C">
            <w:pPr>
              <w:pStyle w:val="AnnexNumberedText"/>
              <w:spacing w:after="240"/>
              <w:ind w:left="380" w:hanging="340"/>
              <w:rPr>
                <w:szCs w:val="18"/>
              </w:rPr>
            </w:pPr>
            <w:r>
              <w:t>b)</w:t>
            </w:r>
            <w:r>
              <w:tab/>
              <w:t xml:space="preserve">niðurstöður um bestu aðgengilegu tækni (BAT)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szCs w:val="18"/>
              </w:rPr>
              <w:footnoteReference w:id="172"/>
            </w:r>
            <w:r>
              <w:t>).</w:t>
            </w:r>
          </w:p>
          <w:p w14:paraId="30BA139C" w14:textId="77777777" w:rsidR="007E0724" w:rsidRDefault="00C4775C">
            <w:pPr>
              <w:pStyle w:val="AnnexTableCellLeft"/>
              <w:ind w:left="40"/>
            </w:pPr>
            <w:r>
              <w:t>Engin umtalsverð yfirfærsluáhrif milli umhverfishólfa eiga sér stað.</w:t>
            </w:r>
          </w:p>
        </w:tc>
      </w:tr>
      <w:tr w:rsidR="007E0724" w14:paraId="024B2B6B" w14:textId="77777777">
        <w:trPr>
          <w:trHeight w:val="360"/>
        </w:trPr>
        <w:tc>
          <w:tcPr>
            <w:tcW w:w="2682" w:type="dxa"/>
            <w:tcMar>
              <w:top w:w="100" w:type="dxa"/>
              <w:left w:w="0" w:type="dxa"/>
              <w:bottom w:w="100" w:type="dxa"/>
              <w:right w:w="60" w:type="dxa"/>
            </w:tcMar>
          </w:tcPr>
          <w:p w14:paraId="229EA2F6" w14:textId="77777777" w:rsidR="007E0724" w:rsidRDefault="00C4775C">
            <w:pPr>
              <w:pStyle w:val="AnnexNumberedText"/>
            </w:pPr>
            <w:r>
              <w:t>6)</w:t>
            </w:r>
            <w:r>
              <w:tab/>
              <w:t>Vernd og endurheimt líffræðilegrar fjölbreytni og vistkerfa</w:t>
            </w:r>
          </w:p>
        </w:tc>
        <w:tc>
          <w:tcPr>
            <w:tcW w:w="6058" w:type="dxa"/>
            <w:tcMar>
              <w:top w:w="100" w:type="dxa"/>
              <w:left w:w="0" w:type="dxa"/>
              <w:bottom w:w="100" w:type="dxa"/>
              <w:right w:w="60" w:type="dxa"/>
            </w:tcMar>
          </w:tcPr>
          <w:p w14:paraId="3ADE6EBD" w14:textId="77777777" w:rsidR="007E0724" w:rsidRDefault="00C4775C">
            <w:pPr>
              <w:pStyle w:val="AnnexTableCellLeft"/>
              <w:ind w:left="40"/>
            </w:pPr>
            <w:r>
              <w:t>Starfsemin er í samræmi við viðmiðanirnar sem settar eru fram í viðbæti D við þennan viðauka.</w:t>
            </w:r>
          </w:p>
        </w:tc>
      </w:tr>
    </w:tbl>
    <w:p w14:paraId="18CD6AC9" w14:textId="77777777" w:rsidR="007E0724" w:rsidRDefault="00C4775C">
      <w:pPr>
        <w:pStyle w:val="AnnexNumberedText"/>
        <w:spacing w:before="200" w:after="200"/>
        <w:ind w:left="500" w:hanging="500"/>
        <w:rPr>
          <w:sz w:val="16"/>
        </w:rPr>
      </w:pPr>
      <w:r>
        <w:t>4.</w:t>
      </w:r>
      <w:r>
        <w:tab/>
      </w:r>
      <w:r>
        <w:rPr>
          <w:sz w:val="16"/>
        </w:rPr>
        <w:t>ORKA</w:t>
      </w:r>
    </w:p>
    <w:p w14:paraId="1B865C5E" w14:textId="77777777" w:rsidR="007E0724" w:rsidRDefault="00C4775C">
      <w:pPr>
        <w:pStyle w:val="AnnexNumberedText"/>
        <w:spacing w:after="200"/>
        <w:ind w:left="500" w:hanging="500"/>
      </w:pPr>
      <w:r>
        <w:t>4.1.</w:t>
      </w:r>
      <w:r>
        <w:rPr>
          <w:b/>
        </w:rPr>
        <w:tab/>
        <w:t>Raforkuframleiðsla með notkun sólarraforkutækni</w:t>
      </w:r>
    </w:p>
    <w:p w14:paraId="0C92473C" w14:textId="77777777" w:rsidR="007E0724" w:rsidRDefault="00C4775C">
      <w:pPr>
        <w:pStyle w:val="AnnexGrSeq3"/>
        <w:ind w:left="500"/>
        <w:jc w:val="both"/>
      </w:pPr>
      <w:r>
        <w:rPr>
          <w:i/>
        </w:rPr>
        <w:t>Lýsing á starfseminni</w:t>
      </w:r>
    </w:p>
    <w:p w14:paraId="62C38E67" w14:textId="77777777" w:rsidR="007E0724" w:rsidRDefault="00C4775C">
      <w:pPr>
        <w:pStyle w:val="AnnexNormal"/>
        <w:ind w:left="500"/>
      </w:pPr>
      <w:r>
        <w:t>Bygging eða rekstur raforkuframleiðslustöðva sem framleiða raforku með notkun sólarraforkutækni.</w:t>
      </w:r>
    </w:p>
    <w:p w14:paraId="033AFBCF" w14:textId="77777777" w:rsidR="007E0724" w:rsidRDefault="00C4775C">
      <w:pPr>
        <w:pStyle w:val="AnnexNormal"/>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08DAE761" w14:textId="77777777" w:rsidR="007E0724" w:rsidRDefault="00C4775C">
      <w:pPr>
        <w:pStyle w:val="AnnexNormal"/>
        <w:ind w:left="500"/>
      </w:pPr>
      <w:r>
        <w:t>Atvinnustarfsemin í þessum flokki gæti tengst nokkrum kóðum atvinnugreinaflokkunar Evrópusambandsins, einkum D35.11 og F42.22, í samræmi við atvinnugreinaflokkunina sem komið var á með reglugerð (EB) nr. 1893/2006.</w:t>
      </w:r>
    </w:p>
    <w:p w14:paraId="50EB2A0A" w14:textId="77777777" w:rsidR="007E0724" w:rsidRDefault="00C4775C">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2"/>
        <w:gridCol w:w="5898"/>
      </w:tblGrid>
      <w:tr w:rsidR="007E0724" w14:paraId="0D4AC575" w14:textId="77777777">
        <w:trPr>
          <w:trHeight w:val="240"/>
        </w:trPr>
        <w:tc>
          <w:tcPr>
            <w:tcW w:w="8740" w:type="dxa"/>
            <w:gridSpan w:val="2"/>
            <w:tcMar>
              <w:top w:w="100" w:type="dxa"/>
              <w:left w:w="0" w:type="dxa"/>
              <w:bottom w:w="100" w:type="dxa"/>
              <w:right w:w="60" w:type="dxa"/>
            </w:tcMar>
          </w:tcPr>
          <w:p w14:paraId="68B89C22"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0FE4AD0F" w14:textId="77777777">
        <w:trPr>
          <w:trHeight w:val="240"/>
        </w:trPr>
        <w:tc>
          <w:tcPr>
            <w:tcW w:w="8740" w:type="dxa"/>
            <w:gridSpan w:val="2"/>
            <w:tcMar>
              <w:top w:w="100" w:type="dxa"/>
              <w:left w:w="0" w:type="dxa"/>
              <w:bottom w:w="100" w:type="dxa"/>
              <w:right w:w="60" w:type="dxa"/>
            </w:tcMar>
          </w:tcPr>
          <w:p w14:paraId="0885CBB6" w14:textId="77777777" w:rsidR="007E0724" w:rsidRDefault="00C4775C">
            <w:pPr>
              <w:pStyle w:val="AnnexTableCellLeft"/>
            </w:pPr>
            <w:r>
              <w:t>Í starfseminni er framleitt rafmagn með notkun sólarraforkutækni.</w:t>
            </w:r>
          </w:p>
        </w:tc>
      </w:tr>
      <w:tr w:rsidR="007E0724" w14:paraId="07BE010F" w14:textId="77777777">
        <w:trPr>
          <w:trHeight w:val="240"/>
        </w:trPr>
        <w:tc>
          <w:tcPr>
            <w:tcW w:w="8740" w:type="dxa"/>
            <w:gridSpan w:val="2"/>
            <w:tcMar>
              <w:top w:w="100" w:type="dxa"/>
              <w:left w:w="0" w:type="dxa"/>
              <w:bottom w:w="100" w:type="dxa"/>
              <w:right w:w="60" w:type="dxa"/>
            </w:tcMar>
          </w:tcPr>
          <w:p w14:paraId="52CFC4CE" w14:textId="77777777" w:rsidR="007E0724" w:rsidRDefault="00C4775C">
            <w:pPr>
              <w:pStyle w:val="AnnexTableCellLeft"/>
            </w:pPr>
            <w:r>
              <w:t>Ekki valda umtalsverðu tjóni</w:t>
            </w:r>
          </w:p>
        </w:tc>
      </w:tr>
      <w:tr w:rsidR="007E0724" w14:paraId="0D763A23" w14:textId="77777777">
        <w:trPr>
          <w:trHeight w:val="360"/>
        </w:trPr>
        <w:tc>
          <w:tcPr>
            <w:tcW w:w="2842" w:type="dxa"/>
            <w:tcMar>
              <w:top w:w="100" w:type="dxa"/>
              <w:left w:w="0" w:type="dxa"/>
              <w:bottom w:w="100" w:type="dxa"/>
              <w:right w:w="60" w:type="dxa"/>
            </w:tcMar>
          </w:tcPr>
          <w:p w14:paraId="1F3B5758" w14:textId="77777777" w:rsidR="007E0724" w:rsidRDefault="00C4775C">
            <w:pPr>
              <w:pStyle w:val="AnnexNumberedText"/>
              <w:pageBreakBefore/>
            </w:pPr>
            <w:r>
              <w:lastRenderedPageBreak/>
              <w:t>2)</w:t>
            </w:r>
            <w:r>
              <w:tab/>
              <w:t>Aðlögun að loftslagsbreytingum</w:t>
            </w:r>
          </w:p>
        </w:tc>
        <w:tc>
          <w:tcPr>
            <w:tcW w:w="5898" w:type="dxa"/>
            <w:tcMar>
              <w:top w:w="100" w:type="dxa"/>
              <w:left w:w="0" w:type="dxa"/>
              <w:bottom w:w="100" w:type="dxa"/>
              <w:right w:w="60" w:type="dxa"/>
            </w:tcMar>
          </w:tcPr>
          <w:p w14:paraId="42929BF7" w14:textId="77777777" w:rsidR="007E0724" w:rsidRDefault="00C4775C">
            <w:pPr>
              <w:pStyle w:val="AnnexTableCellLeft"/>
              <w:ind w:left="40"/>
            </w:pPr>
            <w:r>
              <w:t>Starfsemin er í samræmi við viðmiðanirnar sem settar eru fram í viðbæti A við þennan viðauka.</w:t>
            </w:r>
          </w:p>
        </w:tc>
      </w:tr>
      <w:tr w:rsidR="007E0724" w14:paraId="5598DF27" w14:textId="77777777">
        <w:trPr>
          <w:trHeight w:val="360"/>
        </w:trPr>
        <w:tc>
          <w:tcPr>
            <w:tcW w:w="2842" w:type="dxa"/>
            <w:tcMar>
              <w:top w:w="100" w:type="dxa"/>
              <w:left w:w="0" w:type="dxa"/>
              <w:bottom w:w="100" w:type="dxa"/>
              <w:right w:w="60" w:type="dxa"/>
            </w:tcMar>
          </w:tcPr>
          <w:p w14:paraId="0BA0F74E" w14:textId="77777777" w:rsidR="007E0724" w:rsidRDefault="00C4775C">
            <w:pPr>
              <w:pStyle w:val="AnnexNumberedText"/>
            </w:pPr>
            <w:r>
              <w:t>3)</w:t>
            </w:r>
            <w:r>
              <w:tab/>
              <w:t>Sjálfbær notkun og verndun vatns- og sjávarauðlinda</w:t>
            </w:r>
          </w:p>
        </w:tc>
        <w:tc>
          <w:tcPr>
            <w:tcW w:w="5898" w:type="dxa"/>
            <w:tcMar>
              <w:top w:w="100" w:type="dxa"/>
              <w:left w:w="0" w:type="dxa"/>
              <w:bottom w:w="100" w:type="dxa"/>
              <w:right w:w="60" w:type="dxa"/>
            </w:tcMar>
          </w:tcPr>
          <w:p w14:paraId="393C33B8" w14:textId="77777777" w:rsidR="007E0724" w:rsidRDefault="00C4775C">
            <w:pPr>
              <w:pStyle w:val="AnnexTableCellLeft"/>
              <w:ind w:left="40"/>
            </w:pPr>
            <w:r>
              <w:t>Á ekki við</w:t>
            </w:r>
          </w:p>
        </w:tc>
      </w:tr>
      <w:tr w:rsidR="007E0724" w14:paraId="0619DE77" w14:textId="77777777">
        <w:trPr>
          <w:trHeight w:val="360"/>
        </w:trPr>
        <w:tc>
          <w:tcPr>
            <w:tcW w:w="2842" w:type="dxa"/>
            <w:tcMar>
              <w:top w:w="100" w:type="dxa"/>
              <w:left w:w="0" w:type="dxa"/>
              <w:bottom w:w="100" w:type="dxa"/>
              <w:right w:w="60" w:type="dxa"/>
            </w:tcMar>
          </w:tcPr>
          <w:p w14:paraId="64B5B5AE" w14:textId="77777777" w:rsidR="007E0724" w:rsidRDefault="00C4775C">
            <w:pPr>
              <w:pStyle w:val="AnnexNumberedText"/>
            </w:pPr>
            <w:r>
              <w:t>4)</w:t>
            </w:r>
            <w:r>
              <w:tab/>
              <w:t>Umskipti yfir í hringrásarhagkerfi</w:t>
            </w:r>
          </w:p>
        </w:tc>
        <w:tc>
          <w:tcPr>
            <w:tcW w:w="5898" w:type="dxa"/>
            <w:tcMar>
              <w:top w:w="100" w:type="dxa"/>
              <w:left w:w="0" w:type="dxa"/>
              <w:bottom w:w="100" w:type="dxa"/>
              <w:right w:w="60" w:type="dxa"/>
            </w:tcMar>
          </w:tcPr>
          <w:p w14:paraId="2A07BE3C" w14:textId="77777777" w:rsidR="007E0724" w:rsidRDefault="00C4775C">
            <w:pPr>
              <w:pStyle w:val="AnnexTableCellLeft"/>
              <w:ind w:left="40"/>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7E0724" w14:paraId="1F765A04" w14:textId="77777777">
        <w:trPr>
          <w:trHeight w:val="360"/>
        </w:trPr>
        <w:tc>
          <w:tcPr>
            <w:tcW w:w="2842" w:type="dxa"/>
            <w:tcMar>
              <w:top w:w="100" w:type="dxa"/>
              <w:left w:w="0" w:type="dxa"/>
              <w:bottom w:w="100" w:type="dxa"/>
              <w:right w:w="60" w:type="dxa"/>
            </w:tcMar>
          </w:tcPr>
          <w:p w14:paraId="29782677" w14:textId="77777777" w:rsidR="007E0724" w:rsidRDefault="00C4775C">
            <w:pPr>
              <w:pStyle w:val="AnnexNumberedText"/>
            </w:pPr>
            <w:r>
              <w:t>5)</w:t>
            </w:r>
            <w:r>
              <w:tab/>
              <w:t>Mengunarvarnir og eftirlit með mengun</w:t>
            </w:r>
          </w:p>
        </w:tc>
        <w:tc>
          <w:tcPr>
            <w:tcW w:w="5898" w:type="dxa"/>
            <w:tcMar>
              <w:top w:w="100" w:type="dxa"/>
              <w:left w:w="0" w:type="dxa"/>
              <w:bottom w:w="100" w:type="dxa"/>
              <w:right w:w="60" w:type="dxa"/>
            </w:tcMar>
          </w:tcPr>
          <w:p w14:paraId="016875A8" w14:textId="77777777" w:rsidR="007E0724" w:rsidRDefault="00C4775C">
            <w:pPr>
              <w:pStyle w:val="AnnexTableCellLeft"/>
              <w:ind w:left="40"/>
            </w:pPr>
            <w:r>
              <w:t>Á ekki við</w:t>
            </w:r>
          </w:p>
        </w:tc>
      </w:tr>
      <w:tr w:rsidR="007E0724" w14:paraId="1DBA9B03" w14:textId="77777777">
        <w:trPr>
          <w:trHeight w:val="360"/>
        </w:trPr>
        <w:tc>
          <w:tcPr>
            <w:tcW w:w="2842" w:type="dxa"/>
            <w:tcMar>
              <w:top w:w="100" w:type="dxa"/>
              <w:left w:w="0" w:type="dxa"/>
              <w:bottom w:w="100" w:type="dxa"/>
              <w:right w:w="60" w:type="dxa"/>
            </w:tcMar>
          </w:tcPr>
          <w:p w14:paraId="1A6816D6" w14:textId="77777777" w:rsidR="007E0724" w:rsidRDefault="00C4775C">
            <w:pPr>
              <w:pStyle w:val="AnnexNumberedText"/>
            </w:pPr>
            <w:r>
              <w:t>6)</w:t>
            </w:r>
            <w:r>
              <w:tab/>
              <w:t>Vernd og endurheimt líffræðilegrar fjölbreytni og vistkerfa</w:t>
            </w:r>
          </w:p>
        </w:tc>
        <w:tc>
          <w:tcPr>
            <w:tcW w:w="5898" w:type="dxa"/>
            <w:tcMar>
              <w:top w:w="100" w:type="dxa"/>
              <w:left w:w="0" w:type="dxa"/>
              <w:bottom w:w="100" w:type="dxa"/>
              <w:right w:w="60" w:type="dxa"/>
            </w:tcMar>
          </w:tcPr>
          <w:p w14:paraId="2640C462" w14:textId="77777777" w:rsidR="007E0724" w:rsidRDefault="00C4775C">
            <w:pPr>
              <w:pStyle w:val="AnnexTableCellLeft"/>
              <w:ind w:left="40"/>
            </w:pPr>
            <w:r>
              <w:t>Starfsemin er í samræmi við viðmiðanirnar sem settar eru fram í viðbæti D við þennan viðauka.</w:t>
            </w:r>
          </w:p>
        </w:tc>
      </w:tr>
    </w:tbl>
    <w:p w14:paraId="1AD99527" w14:textId="77777777" w:rsidR="007E0724" w:rsidRDefault="00C4775C">
      <w:pPr>
        <w:pStyle w:val="AnnexNumberedText"/>
        <w:spacing w:before="200" w:after="360"/>
        <w:ind w:left="500" w:hanging="500"/>
      </w:pPr>
      <w:r>
        <w:t>4.2.</w:t>
      </w:r>
      <w:r>
        <w:rPr>
          <w:b/>
        </w:rPr>
        <w:tab/>
        <w:t>Raforkuframleiðsla með notkun þjappaðrar sólarorkutækni (CSP)</w:t>
      </w:r>
    </w:p>
    <w:p w14:paraId="283BA6D7" w14:textId="77777777" w:rsidR="007E0724" w:rsidRDefault="00C4775C">
      <w:pPr>
        <w:pStyle w:val="AnnexGrSeq3"/>
        <w:spacing w:after="360"/>
        <w:ind w:left="500"/>
        <w:jc w:val="both"/>
      </w:pPr>
      <w:r>
        <w:rPr>
          <w:i/>
        </w:rPr>
        <w:t>Lýsing á starfseminni</w:t>
      </w:r>
    </w:p>
    <w:p w14:paraId="137C41A4" w14:textId="77777777" w:rsidR="007E0724" w:rsidRDefault="00C4775C">
      <w:pPr>
        <w:pStyle w:val="AnnexNormal"/>
        <w:spacing w:after="360"/>
        <w:ind w:left="500"/>
      </w:pPr>
      <w:r>
        <w:t>Bygging eða rekstur raforkuframleiðslustöðva sem framleiða raforku með notkun þjappaðrar sólarorkutækni (CSP).</w:t>
      </w:r>
    </w:p>
    <w:p w14:paraId="20EEDCE7" w14:textId="77777777" w:rsidR="007E0724" w:rsidRDefault="00C4775C">
      <w:pPr>
        <w:pStyle w:val="AnnexNormal"/>
        <w:spacing w:after="360"/>
        <w:ind w:left="500"/>
      </w:pPr>
      <w:r>
        <w:t>Atvinnustarfsemin í þessum flokki gæti tengst nokkrum kóðum atvinnugreinaflokkunar Evrópusambandsins, einkum D35.11 og F42.22, í samræmi við atvinnugreinaflokkunina sem komið var á með reglugerð (EB) nr. 1893/2006.</w:t>
      </w:r>
    </w:p>
    <w:p w14:paraId="069D3B1D" w14:textId="77777777" w:rsidR="007E0724" w:rsidRDefault="00C4775C">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2"/>
        <w:gridCol w:w="5898"/>
      </w:tblGrid>
      <w:tr w:rsidR="007E0724" w14:paraId="4194B482" w14:textId="77777777">
        <w:trPr>
          <w:trHeight w:val="240"/>
        </w:trPr>
        <w:tc>
          <w:tcPr>
            <w:tcW w:w="8740" w:type="dxa"/>
            <w:gridSpan w:val="2"/>
            <w:tcMar>
              <w:top w:w="100" w:type="dxa"/>
              <w:left w:w="0" w:type="dxa"/>
              <w:bottom w:w="100" w:type="dxa"/>
              <w:right w:w="60" w:type="dxa"/>
            </w:tcMar>
          </w:tcPr>
          <w:p w14:paraId="58F1714E"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575ED856" w14:textId="77777777">
        <w:trPr>
          <w:trHeight w:val="240"/>
        </w:trPr>
        <w:tc>
          <w:tcPr>
            <w:tcW w:w="8740" w:type="dxa"/>
            <w:gridSpan w:val="2"/>
            <w:tcMar>
              <w:top w:w="100" w:type="dxa"/>
              <w:left w:w="0" w:type="dxa"/>
              <w:bottom w:w="100" w:type="dxa"/>
              <w:right w:w="60" w:type="dxa"/>
            </w:tcMar>
          </w:tcPr>
          <w:p w14:paraId="00DDC86E" w14:textId="77777777" w:rsidR="007E0724" w:rsidRDefault="00C4775C">
            <w:pPr>
              <w:pStyle w:val="AnnexTableCellLeft"/>
            </w:pPr>
            <w:r>
              <w:t>Í starfseminni er framleitt rafmagn með notkun þjappaðrar sólarorkutækni.</w:t>
            </w:r>
          </w:p>
        </w:tc>
      </w:tr>
      <w:tr w:rsidR="007E0724" w14:paraId="0C3665F8" w14:textId="77777777">
        <w:trPr>
          <w:trHeight w:val="240"/>
        </w:trPr>
        <w:tc>
          <w:tcPr>
            <w:tcW w:w="8740" w:type="dxa"/>
            <w:gridSpan w:val="2"/>
            <w:tcMar>
              <w:top w:w="100" w:type="dxa"/>
              <w:left w:w="0" w:type="dxa"/>
              <w:bottom w:w="100" w:type="dxa"/>
              <w:right w:w="60" w:type="dxa"/>
            </w:tcMar>
          </w:tcPr>
          <w:p w14:paraId="6C9E33CE" w14:textId="77777777" w:rsidR="007E0724" w:rsidRDefault="00C4775C">
            <w:pPr>
              <w:pStyle w:val="AnnexTableCellLeft"/>
            </w:pPr>
            <w:r>
              <w:t>Ekki valda umtalsverðu tjóni</w:t>
            </w:r>
          </w:p>
        </w:tc>
      </w:tr>
      <w:tr w:rsidR="007E0724" w14:paraId="7E738D5F" w14:textId="77777777">
        <w:trPr>
          <w:trHeight w:val="360"/>
        </w:trPr>
        <w:tc>
          <w:tcPr>
            <w:tcW w:w="2842" w:type="dxa"/>
            <w:tcMar>
              <w:top w:w="100" w:type="dxa"/>
              <w:left w:w="0" w:type="dxa"/>
              <w:bottom w:w="100" w:type="dxa"/>
              <w:right w:w="60" w:type="dxa"/>
            </w:tcMar>
          </w:tcPr>
          <w:p w14:paraId="1DF27F96" w14:textId="77777777" w:rsidR="007E0724" w:rsidRDefault="00C4775C">
            <w:pPr>
              <w:pStyle w:val="AnnexNumberedText"/>
            </w:pPr>
            <w:r>
              <w:t>2)</w:t>
            </w:r>
            <w:r>
              <w:tab/>
              <w:t>Aðlögun að loftslagsbreytingum</w:t>
            </w:r>
          </w:p>
        </w:tc>
        <w:tc>
          <w:tcPr>
            <w:tcW w:w="5898" w:type="dxa"/>
            <w:tcMar>
              <w:top w:w="100" w:type="dxa"/>
              <w:left w:w="0" w:type="dxa"/>
              <w:bottom w:w="100" w:type="dxa"/>
              <w:right w:w="60" w:type="dxa"/>
            </w:tcMar>
          </w:tcPr>
          <w:p w14:paraId="7B156293" w14:textId="77777777" w:rsidR="007E0724" w:rsidRDefault="00C4775C">
            <w:pPr>
              <w:pStyle w:val="AnnexTableCellLeft"/>
              <w:ind w:left="40"/>
            </w:pPr>
            <w:r>
              <w:t>Starfsemin er í samræmi við viðmiðanirnar sem settar eru fram í viðbæti A við þennan viðauka.</w:t>
            </w:r>
          </w:p>
        </w:tc>
      </w:tr>
      <w:tr w:rsidR="007E0724" w14:paraId="0F3E2EA5" w14:textId="77777777">
        <w:trPr>
          <w:trHeight w:val="360"/>
        </w:trPr>
        <w:tc>
          <w:tcPr>
            <w:tcW w:w="2842" w:type="dxa"/>
            <w:tcMar>
              <w:top w:w="100" w:type="dxa"/>
              <w:left w:w="0" w:type="dxa"/>
              <w:bottom w:w="100" w:type="dxa"/>
              <w:right w:w="60" w:type="dxa"/>
            </w:tcMar>
          </w:tcPr>
          <w:p w14:paraId="32036BF9" w14:textId="77777777" w:rsidR="007E0724" w:rsidRDefault="00C4775C">
            <w:pPr>
              <w:pStyle w:val="AnnexNumberedText"/>
            </w:pPr>
            <w:r>
              <w:t>3)</w:t>
            </w:r>
            <w:r>
              <w:tab/>
              <w:t>Sjálfbær notkun og verndun vatns- og sjávarauðlinda</w:t>
            </w:r>
          </w:p>
        </w:tc>
        <w:tc>
          <w:tcPr>
            <w:tcW w:w="5898" w:type="dxa"/>
            <w:tcMar>
              <w:top w:w="100" w:type="dxa"/>
              <w:left w:w="0" w:type="dxa"/>
              <w:bottom w:w="100" w:type="dxa"/>
              <w:right w:w="60" w:type="dxa"/>
            </w:tcMar>
          </w:tcPr>
          <w:p w14:paraId="4852100A" w14:textId="77777777" w:rsidR="007E0724" w:rsidRDefault="00C4775C">
            <w:pPr>
              <w:pStyle w:val="AnnexTableCellLeft"/>
              <w:ind w:left="40"/>
            </w:pPr>
            <w:r>
              <w:t>Starfsemin er í samræmi við viðmiðanirnar sem settar eru fram í viðbæti B við þennan viðauka.</w:t>
            </w:r>
          </w:p>
        </w:tc>
      </w:tr>
      <w:tr w:rsidR="007E0724" w14:paraId="711730F4" w14:textId="77777777">
        <w:trPr>
          <w:trHeight w:val="360"/>
        </w:trPr>
        <w:tc>
          <w:tcPr>
            <w:tcW w:w="2842" w:type="dxa"/>
            <w:tcMar>
              <w:top w:w="100" w:type="dxa"/>
              <w:left w:w="0" w:type="dxa"/>
              <w:bottom w:w="100" w:type="dxa"/>
              <w:right w:w="60" w:type="dxa"/>
            </w:tcMar>
          </w:tcPr>
          <w:p w14:paraId="5F902FB4" w14:textId="77777777" w:rsidR="007E0724" w:rsidRDefault="00C4775C">
            <w:pPr>
              <w:pStyle w:val="AnnexNumberedText"/>
            </w:pPr>
            <w:r>
              <w:t>4)</w:t>
            </w:r>
            <w:r>
              <w:tab/>
              <w:t>Umskipti yfir í hringrásarhagkerfi</w:t>
            </w:r>
          </w:p>
        </w:tc>
        <w:tc>
          <w:tcPr>
            <w:tcW w:w="5898" w:type="dxa"/>
            <w:tcMar>
              <w:top w:w="100" w:type="dxa"/>
              <w:left w:w="0" w:type="dxa"/>
              <w:bottom w:w="100" w:type="dxa"/>
              <w:right w:w="60" w:type="dxa"/>
            </w:tcMar>
          </w:tcPr>
          <w:p w14:paraId="3982FC56" w14:textId="77777777" w:rsidR="007E0724" w:rsidRDefault="00C4775C">
            <w:pPr>
              <w:pStyle w:val="AnnexTableCellLeft"/>
              <w:ind w:left="40"/>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7E0724" w14:paraId="4F0C2FB8" w14:textId="77777777">
        <w:trPr>
          <w:trHeight w:val="360"/>
        </w:trPr>
        <w:tc>
          <w:tcPr>
            <w:tcW w:w="2842" w:type="dxa"/>
            <w:tcMar>
              <w:top w:w="100" w:type="dxa"/>
              <w:left w:w="0" w:type="dxa"/>
              <w:bottom w:w="100" w:type="dxa"/>
              <w:right w:w="60" w:type="dxa"/>
            </w:tcMar>
          </w:tcPr>
          <w:p w14:paraId="21BDE5F2" w14:textId="77777777" w:rsidR="007E0724" w:rsidRDefault="00C4775C">
            <w:pPr>
              <w:pStyle w:val="AnnexNumberedText"/>
            </w:pPr>
            <w:r>
              <w:t>5)</w:t>
            </w:r>
            <w:r>
              <w:tab/>
              <w:t>Mengunarvarnir og eftirlit með mengun</w:t>
            </w:r>
          </w:p>
        </w:tc>
        <w:tc>
          <w:tcPr>
            <w:tcW w:w="5898" w:type="dxa"/>
            <w:tcMar>
              <w:top w:w="100" w:type="dxa"/>
              <w:left w:w="0" w:type="dxa"/>
              <w:bottom w:w="100" w:type="dxa"/>
              <w:right w:w="60" w:type="dxa"/>
            </w:tcMar>
          </w:tcPr>
          <w:p w14:paraId="0D2B3E92" w14:textId="77777777" w:rsidR="007E0724" w:rsidRDefault="00C4775C">
            <w:pPr>
              <w:pStyle w:val="AnnexTableCellLeft"/>
              <w:ind w:left="40"/>
            </w:pPr>
            <w:r>
              <w:t>Á ekki við</w:t>
            </w:r>
          </w:p>
        </w:tc>
      </w:tr>
      <w:tr w:rsidR="007E0724" w14:paraId="06498991" w14:textId="77777777">
        <w:trPr>
          <w:trHeight w:val="360"/>
        </w:trPr>
        <w:tc>
          <w:tcPr>
            <w:tcW w:w="2842" w:type="dxa"/>
            <w:tcMar>
              <w:top w:w="100" w:type="dxa"/>
              <w:left w:w="0" w:type="dxa"/>
              <w:bottom w:w="100" w:type="dxa"/>
              <w:right w:w="60" w:type="dxa"/>
            </w:tcMar>
          </w:tcPr>
          <w:p w14:paraId="218F8707" w14:textId="77777777" w:rsidR="007E0724" w:rsidRDefault="00C4775C">
            <w:pPr>
              <w:pStyle w:val="AnnexNumberedText"/>
            </w:pPr>
            <w:r>
              <w:t>6)</w:t>
            </w:r>
            <w:r>
              <w:tab/>
              <w:t>Vernd og endurheimt líffræðilegrar fjölbreytni og vistkerfa</w:t>
            </w:r>
          </w:p>
        </w:tc>
        <w:tc>
          <w:tcPr>
            <w:tcW w:w="5898" w:type="dxa"/>
            <w:tcMar>
              <w:top w:w="100" w:type="dxa"/>
              <w:left w:w="0" w:type="dxa"/>
              <w:bottom w:w="100" w:type="dxa"/>
              <w:right w:w="60" w:type="dxa"/>
            </w:tcMar>
          </w:tcPr>
          <w:p w14:paraId="1A3BE193" w14:textId="77777777" w:rsidR="007E0724" w:rsidRDefault="00C4775C">
            <w:pPr>
              <w:pStyle w:val="AnnexTableCellLeft"/>
              <w:ind w:left="40"/>
            </w:pPr>
            <w:r>
              <w:t>Starfsemin er í samræmi við viðmiðanirnar sem settar eru fram í viðbæti D við þennan viðauka.</w:t>
            </w:r>
          </w:p>
        </w:tc>
      </w:tr>
    </w:tbl>
    <w:p w14:paraId="4E2F25E4" w14:textId="77777777" w:rsidR="007E0724" w:rsidRDefault="00C4775C">
      <w:pPr>
        <w:pStyle w:val="AnnexNumberedText"/>
        <w:spacing w:before="200" w:after="400"/>
        <w:ind w:left="500" w:hanging="500"/>
      </w:pPr>
      <w:r>
        <w:t>4.3.</w:t>
      </w:r>
      <w:r>
        <w:rPr>
          <w:b/>
        </w:rPr>
        <w:tab/>
        <w:t>Raforkuframleiðsla úr vindorku</w:t>
      </w:r>
    </w:p>
    <w:p w14:paraId="01CD67BC" w14:textId="77777777" w:rsidR="007E0724" w:rsidRDefault="00C4775C">
      <w:pPr>
        <w:pStyle w:val="AnnexGrSeq3"/>
        <w:spacing w:after="400"/>
        <w:ind w:left="500"/>
        <w:jc w:val="both"/>
      </w:pPr>
      <w:r>
        <w:rPr>
          <w:i/>
        </w:rPr>
        <w:lastRenderedPageBreak/>
        <w:t>Lýsing á starfseminni</w:t>
      </w:r>
    </w:p>
    <w:p w14:paraId="40114AD9" w14:textId="77777777" w:rsidR="007E0724" w:rsidRDefault="00C4775C">
      <w:pPr>
        <w:pStyle w:val="AnnexNormal"/>
        <w:spacing w:after="0"/>
        <w:ind w:left="500"/>
      </w:pPr>
      <w:r>
        <w:t>Bygging eða rekstur raforkuframleiðslustöðva sem framleiða raforku úr vindorku.</w:t>
      </w:r>
      <w:r>
        <w:br w:type="page"/>
      </w:r>
    </w:p>
    <w:p w14:paraId="72713F79" w14:textId="77777777" w:rsidR="007E0724" w:rsidRDefault="00C4775C">
      <w:pPr>
        <w:pStyle w:val="AnnexNormal"/>
        <w:spacing w:after="360"/>
        <w:ind w:left="500"/>
      </w:pPr>
      <w:r>
        <w:lastRenderedPageBreak/>
        <w:t>Ef atvinnustarfsemi er óaðskiljanlegur hluti af „Uppsetning, viðhald og viðgerðir á tækni á sviði endurnýjanlegrar orku“, eins og um getur í þætti 7.6 í þessum viðauka, gilda tæknilegu matsviðmiðin sem tilgreind eru í þætti 7.6.</w:t>
      </w:r>
    </w:p>
    <w:p w14:paraId="7D9CF13A" w14:textId="77777777" w:rsidR="007E0724" w:rsidRDefault="00C4775C">
      <w:pPr>
        <w:pStyle w:val="AnnexNormal"/>
        <w:spacing w:after="360"/>
        <w:ind w:left="500"/>
      </w:pPr>
      <w:r>
        <w:t>Atvinnustarfsemin í þessum flokki gæti tengst nokkrum kóðum atvinnugreinaflokkunar Evrópusambandsins, einkum D35.11 og F42.22, í samræmi við atvinnugreinaflokkunina sem komið var á með reglugerð (EB) nr. 1893/2006.</w:t>
      </w:r>
    </w:p>
    <w:p w14:paraId="08DF2A0C" w14:textId="77777777" w:rsidR="007E0724" w:rsidRDefault="00C4775C">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00"/>
        <w:gridCol w:w="5940"/>
      </w:tblGrid>
      <w:tr w:rsidR="007E0724" w14:paraId="240F513A" w14:textId="77777777">
        <w:trPr>
          <w:trHeight w:val="240"/>
        </w:trPr>
        <w:tc>
          <w:tcPr>
            <w:tcW w:w="8740" w:type="dxa"/>
            <w:gridSpan w:val="2"/>
            <w:tcMar>
              <w:top w:w="100" w:type="dxa"/>
              <w:left w:w="0" w:type="dxa"/>
              <w:bottom w:w="100" w:type="dxa"/>
              <w:right w:w="60" w:type="dxa"/>
            </w:tcMar>
          </w:tcPr>
          <w:p w14:paraId="745CB817"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320D7A6C" w14:textId="77777777">
        <w:trPr>
          <w:trHeight w:val="240"/>
        </w:trPr>
        <w:tc>
          <w:tcPr>
            <w:tcW w:w="8740" w:type="dxa"/>
            <w:gridSpan w:val="2"/>
            <w:tcMar>
              <w:top w:w="100" w:type="dxa"/>
              <w:left w:w="0" w:type="dxa"/>
              <w:bottom w:w="100" w:type="dxa"/>
              <w:right w:w="60" w:type="dxa"/>
            </w:tcMar>
          </w:tcPr>
          <w:p w14:paraId="7AABF61C" w14:textId="77777777" w:rsidR="007E0724" w:rsidRDefault="00C4775C">
            <w:pPr>
              <w:pStyle w:val="AnnexTableCellLeft"/>
            </w:pPr>
            <w:r>
              <w:t>Í starfseminni er framleitt rafmagn úr vindorku.</w:t>
            </w:r>
          </w:p>
        </w:tc>
      </w:tr>
      <w:tr w:rsidR="007E0724" w14:paraId="07205608" w14:textId="77777777">
        <w:trPr>
          <w:trHeight w:val="240"/>
        </w:trPr>
        <w:tc>
          <w:tcPr>
            <w:tcW w:w="8740" w:type="dxa"/>
            <w:gridSpan w:val="2"/>
            <w:tcMar>
              <w:top w:w="100" w:type="dxa"/>
              <w:left w:w="0" w:type="dxa"/>
              <w:bottom w:w="100" w:type="dxa"/>
              <w:right w:w="60" w:type="dxa"/>
            </w:tcMar>
          </w:tcPr>
          <w:p w14:paraId="4A1E4A97" w14:textId="77777777" w:rsidR="007E0724" w:rsidRDefault="00C4775C">
            <w:pPr>
              <w:pStyle w:val="AnnexTableCellLeft"/>
            </w:pPr>
            <w:r>
              <w:t>Ekki valda umtalsverðu tjóni</w:t>
            </w:r>
          </w:p>
        </w:tc>
      </w:tr>
      <w:tr w:rsidR="007E0724" w14:paraId="5B683907" w14:textId="77777777">
        <w:trPr>
          <w:trHeight w:val="360"/>
        </w:trPr>
        <w:tc>
          <w:tcPr>
            <w:tcW w:w="2800" w:type="dxa"/>
            <w:tcMar>
              <w:top w:w="100" w:type="dxa"/>
              <w:left w:w="0" w:type="dxa"/>
              <w:bottom w:w="100" w:type="dxa"/>
              <w:right w:w="60" w:type="dxa"/>
            </w:tcMar>
          </w:tcPr>
          <w:p w14:paraId="7E9115D8" w14:textId="77777777" w:rsidR="007E0724" w:rsidRDefault="00C4775C">
            <w:pPr>
              <w:pStyle w:val="AnnexNumberedText"/>
            </w:pPr>
            <w:r>
              <w:t>2)</w:t>
            </w:r>
            <w:r>
              <w:tab/>
              <w:t>Aðlögun að loftslagsbreytingum</w:t>
            </w:r>
          </w:p>
        </w:tc>
        <w:tc>
          <w:tcPr>
            <w:tcW w:w="5940" w:type="dxa"/>
            <w:tcMar>
              <w:top w:w="100" w:type="dxa"/>
              <w:left w:w="0" w:type="dxa"/>
              <w:bottom w:w="100" w:type="dxa"/>
              <w:right w:w="60" w:type="dxa"/>
            </w:tcMar>
          </w:tcPr>
          <w:p w14:paraId="1EFFEE5D" w14:textId="77777777" w:rsidR="007E0724" w:rsidRDefault="00C4775C">
            <w:pPr>
              <w:pStyle w:val="AnnexTableCellLeft"/>
              <w:spacing w:after="240"/>
              <w:ind w:left="40"/>
            </w:pPr>
            <w:r>
              <w:t>Starfsemin er í samræmi við viðmiðanirnar sem settar eru fram í viðbæti A við þennan viðauka.</w:t>
            </w:r>
          </w:p>
        </w:tc>
      </w:tr>
      <w:tr w:rsidR="007E0724" w14:paraId="5F8FE7E1" w14:textId="77777777">
        <w:trPr>
          <w:trHeight w:val="360"/>
        </w:trPr>
        <w:tc>
          <w:tcPr>
            <w:tcW w:w="2800" w:type="dxa"/>
            <w:tcMar>
              <w:top w:w="100" w:type="dxa"/>
              <w:left w:w="0" w:type="dxa"/>
              <w:bottom w:w="100" w:type="dxa"/>
              <w:right w:w="60" w:type="dxa"/>
            </w:tcMar>
          </w:tcPr>
          <w:p w14:paraId="4860BA2D" w14:textId="77777777" w:rsidR="007E0724" w:rsidRDefault="00C4775C">
            <w:pPr>
              <w:pStyle w:val="AnnexNumberedText"/>
            </w:pPr>
            <w:r>
              <w:t>3)</w:t>
            </w:r>
            <w:r>
              <w:tab/>
              <w:t>Sjálfbær notkun og verndun vatns- og sjávarauðlinda</w:t>
            </w:r>
          </w:p>
        </w:tc>
        <w:tc>
          <w:tcPr>
            <w:tcW w:w="5940" w:type="dxa"/>
            <w:tcMar>
              <w:top w:w="100" w:type="dxa"/>
              <w:left w:w="0" w:type="dxa"/>
              <w:bottom w:w="100" w:type="dxa"/>
              <w:right w:w="60" w:type="dxa"/>
            </w:tcMar>
          </w:tcPr>
          <w:p w14:paraId="41D33B1F" w14:textId="77777777" w:rsidR="007E0724" w:rsidRDefault="00C4775C">
            <w:pPr>
              <w:pStyle w:val="AnnexTableCellLeft"/>
              <w:spacing w:after="240"/>
              <w:ind w:left="40"/>
            </w:pPr>
            <w:r>
              <w:t>Ef um er að ræða byggingu fyrir vindorku á hafi úti hindrar starfsemin ekki að góð umhverfisleg staða náist, eins og sett er fram í tilskipun Evrópuþingsins og ráðsins 2008/56/EB (</w:t>
            </w:r>
            <w:r>
              <w:rPr>
                <w:rStyle w:val="Tilvsunneanmlsgrein"/>
                <w:sz w:val="18"/>
                <w:szCs w:val="18"/>
              </w:rPr>
              <w:footnoteReference w:id="173"/>
            </w:r>
            <w:r>
              <w:t xml:space="preserve">), sem kallar á að viðeigandi ráðstafanir séu gerðar til að koma í veg fyrir eða milda áhrif í tengslum við lýsingu 11 (e. </w:t>
            </w:r>
            <w:proofErr w:type="spellStart"/>
            <w:r>
              <w:rPr>
                <w:i/>
                <w:iCs/>
              </w:rPr>
              <w:t>descriptor</w:t>
            </w:r>
            <w:proofErr w:type="spellEnd"/>
            <w:r>
              <w:t>) í þeirri tilskipun (Hávaði/Orka), sem mælt er fyrir um í I. viðauka við þá tilskipun, og eins og sett er fram í ákvörðun framkvæmdastjórnarinnar (ESB) 2017/848 (</w:t>
            </w:r>
            <w:r>
              <w:rPr>
                <w:rStyle w:val="Tilvsunneanmlsgrein"/>
                <w:sz w:val="18"/>
                <w:szCs w:val="18"/>
              </w:rPr>
              <w:footnoteReference w:id="174"/>
            </w:r>
            <w:r>
              <w:t>) í tengslum við viðkomandi viðmiðanir og aðferðafræðilega staðla fyrir þá lýsingu.</w:t>
            </w:r>
          </w:p>
        </w:tc>
      </w:tr>
      <w:tr w:rsidR="007E0724" w14:paraId="0BB13148" w14:textId="77777777">
        <w:trPr>
          <w:trHeight w:val="360"/>
        </w:trPr>
        <w:tc>
          <w:tcPr>
            <w:tcW w:w="2800" w:type="dxa"/>
            <w:tcMar>
              <w:top w:w="100" w:type="dxa"/>
              <w:left w:w="0" w:type="dxa"/>
              <w:bottom w:w="100" w:type="dxa"/>
              <w:right w:w="60" w:type="dxa"/>
            </w:tcMar>
          </w:tcPr>
          <w:p w14:paraId="2EBF97DA" w14:textId="77777777" w:rsidR="007E0724" w:rsidRDefault="00C4775C">
            <w:pPr>
              <w:pStyle w:val="AnnexNumberedText"/>
            </w:pPr>
            <w:r>
              <w:t>4)</w:t>
            </w:r>
            <w:r>
              <w:tab/>
              <w:t>Umskipti yfir í hringrásarhagkerfi</w:t>
            </w:r>
          </w:p>
        </w:tc>
        <w:tc>
          <w:tcPr>
            <w:tcW w:w="5940" w:type="dxa"/>
            <w:tcMar>
              <w:top w:w="100" w:type="dxa"/>
              <w:left w:w="0" w:type="dxa"/>
              <w:bottom w:w="100" w:type="dxa"/>
              <w:right w:w="60" w:type="dxa"/>
            </w:tcMar>
          </w:tcPr>
          <w:p w14:paraId="07315C5E" w14:textId="77777777" w:rsidR="007E0724" w:rsidRDefault="00C4775C">
            <w:pPr>
              <w:pStyle w:val="AnnexTableCellLeft"/>
              <w:spacing w:after="240"/>
              <w:ind w:left="40"/>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7E0724" w14:paraId="761E1BF6" w14:textId="77777777">
        <w:trPr>
          <w:trHeight w:val="360"/>
        </w:trPr>
        <w:tc>
          <w:tcPr>
            <w:tcW w:w="2800" w:type="dxa"/>
            <w:tcMar>
              <w:top w:w="100" w:type="dxa"/>
              <w:left w:w="0" w:type="dxa"/>
              <w:bottom w:w="100" w:type="dxa"/>
              <w:right w:w="60" w:type="dxa"/>
            </w:tcMar>
          </w:tcPr>
          <w:p w14:paraId="27BC544D" w14:textId="77777777" w:rsidR="007E0724" w:rsidRDefault="00C4775C">
            <w:pPr>
              <w:pStyle w:val="AnnexNumberedText"/>
            </w:pPr>
            <w:r>
              <w:t>5)</w:t>
            </w:r>
            <w:r>
              <w:tab/>
              <w:t>Mengunarvarnir og eftirlit með mengun</w:t>
            </w:r>
          </w:p>
        </w:tc>
        <w:tc>
          <w:tcPr>
            <w:tcW w:w="5940" w:type="dxa"/>
            <w:tcMar>
              <w:top w:w="100" w:type="dxa"/>
              <w:left w:w="0" w:type="dxa"/>
              <w:bottom w:w="100" w:type="dxa"/>
              <w:right w:w="60" w:type="dxa"/>
            </w:tcMar>
          </w:tcPr>
          <w:p w14:paraId="7EFAC9D6" w14:textId="77777777" w:rsidR="007E0724" w:rsidRDefault="00C4775C">
            <w:pPr>
              <w:pStyle w:val="AnnexTableCellLeft"/>
              <w:spacing w:after="240"/>
              <w:ind w:left="40"/>
            </w:pPr>
            <w:r>
              <w:t>Á ekki við</w:t>
            </w:r>
          </w:p>
        </w:tc>
      </w:tr>
      <w:tr w:rsidR="007E0724" w14:paraId="625AB03B" w14:textId="77777777">
        <w:trPr>
          <w:trHeight w:val="360"/>
        </w:trPr>
        <w:tc>
          <w:tcPr>
            <w:tcW w:w="2800" w:type="dxa"/>
            <w:tcMar>
              <w:top w:w="100" w:type="dxa"/>
              <w:left w:w="0" w:type="dxa"/>
              <w:bottom w:w="100" w:type="dxa"/>
              <w:right w:w="60" w:type="dxa"/>
            </w:tcMar>
          </w:tcPr>
          <w:p w14:paraId="7C23AB11" w14:textId="77777777" w:rsidR="007E0724" w:rsidRDefault="00C4775C">
            <w:pPr>
              <w:pStyle w:val="AnnexNumberedText"/>
            </w:pPr>
            <w:r>
              <w:t>6)</w:t>
            </w:r>
            <w:r>
              <w:tab/>
              <w:t>Vernd og endurheimt líffræðilegrar fjölbreytni og vistkerfa</w:t>
            </w:r>
          </w:p>
        </w:tc>
        <w:tc>
          <w:tcPr>
            <w:tcW w:w="5940" w:type="dxa"/>
            <w:tcMar>
              <w:top w:w="100" w:type="dxa"/>
              <w:left w:w="0" w:type="dxa"/>
              <w:bottom w:w="100" w:type="dxa"/>
              <w:right w:w="60" w:type="dxa"/>
            </w:tcMar>
          </w:tcPr>
          <w:p w14:paraId="7F66B15E" w14:textId="77777777" w:rsidR="007E0724" w:rsidRDefault="00C4775C">
            <w:pPr>
              <w:pStyle w:val="AnnexTableCellLeft"/>
              <w:spacing w:after="240"/>
              <w:ind w:left="40"/>
              <w:rPr>
                <w:szCs w:val="18"/>
              </w:rPr>
            </w:pPr>
            <w:r>
              <w:t>Starfsemin er í samræmi við viðmiðanirnar sem settar eru fram í viðbæti D við þennan viðauka (</w:t>
            </w:r>
            <w:r>
              <w:rPr>
                <w:rStyle w:val="Tilvsunneanmlsgrein"/>
                <w:sz w:val="18"/>
                <w:szCs w:val="18"/>
              </w:rPr>
              <w:footnoteReference w:id="175"/>
            </w:r>
            <w:r>
              <w:t>).</w:t>
            </w:r>
          </w:p>
          <w:p w14:paraId="21AF6FA4" w14:textId="77777777" w:rsidR="007E0724" w:rsidRDefault="00C4775C">
            <w:pPr>
              <w:pStyle w:val="AnnexTableCellLeft"/>
              <w:ind w:left="40"/>
              <w:rPr>
                <w:szCs w:val="18"/>
              </w:rPr>
            </w:pPr>
            <w:r>
              <w:t>Ef um er að ræða vindorku á hafi úti hindrar starfsemin ekki að góð umhverfisleg staða náist, eins og sett er fram í tilskipun 2008/56/EB, sem kallar á að viðeigandi ráðstafanir séu gerðar til að koma í veg fyrir eða milda áhrif í tengslum við lýsingu 1 í þeirri tilskipun (líffræðileg fjölbreytni) og lýsingu 6 (heilleiki hafsbotns), sem mælt er fyrir um í I. viðauka við þá tilskipun, og eins og sett er fram í ákvörðun (ESB) 2017/848 í tengslum við viðkomandi viðmiðanir og aðferðafræðilega staðla fyrir þær lýsingar.</w:t>
            </w:r>
          </w:p>
        </w:tc>
      </w:tr>
    </w:tbl>
    <w:p w14:paraId="4C27B67A" w14:textId="77777777" w:rsidR="007E0724" w:rsidRDefault="00C4775C">
      <w:pPr>
        <w:pStyle w:val="AnnexNumberedText"/>
        <w:spacing w:before="200" w:after="360"/>
        <w:ind w:left="500" w:hanging="500"/>
      </w:pPr>
      <w:r>
        <w:t>4.4.</w:t>
      </w:r>
      <w:r>
        <w:rPr>
          <w:b/>
        </w:rPr>
        <w:tab/>
        <w:t>Raforkuframleiðsla úr sjávarorkutækni</w:t>
      </w:r>
    </w:p>
    <w:p w14:paraId="2A904781" w14:textId="77777777" w:rsidR="007E0724" w:rsidRDefault="00C4775C">
      <w:pPr>
        <w:pStyle w:val="AnnexGrSeq3"/>
        <w:spacing w:after="360"/>
        <w:ind w:left="500"/>
        <w:jc w:val="both"/>
      </w:pPr>
      <w:r>
        <w:rPr>
          <w:i/>
        </w:rPr>
        <w:lastRenderedPageBreak/>
        <w:t>Lýsing á starfseminni</w:t>
      </w:r>
    </w:p>
    <w:p w14:paraId="7C13E9E4" w14:textId="77777777" w:rsidR="007E0724" w:rsidRDefault="00C4775C">
      <w:pPr>
        <w:pStyle w:val="AnnexNormal"/>
        <w:spacing w:after="0"/>
        <w:ind w:left="500"/>
      </w:pPr>
      <w:r>
        <w:t>Bygging eða rekstur raforkuframleiðslustöðva sem framleiða raforku úr sjávarorku.</w:t>
      </w:r>
      <w:r>
        <w:br w:type="page"/>
      </w:r>
    </w:p>
    <w:p w14:paraId="2300BB5A" w14:textId="77777777" w:rsidR="007E0724" w:rsidRDefault="00C4775C">
      <w:pPr>
        <w:pStyle w:val="AnnexNormal"/>
        <w:spacing w:after="360"/>
        <w:ind w:left="500"/>
      </w:pPr>
      <w:r>
        <w:lastRenderedPageBreak/>
        <w:t>Atvinnustarfsemin í þessum flokki gæti tengst nokkrum kóðum atvinnugreinaflokkunar Evrópusambandsins, einkum D35.11 og F42.22, í samræmi við atvinnugreinaflokkunina sem komið var á með reglugerð (EB) nr. 1893/2006.</w:t>
      </w:r>
    </w:p>
    <w:p w14:paraId="6E203858" w14:textId="77777777" w:rsidR="007E0724" w:rsidRDefault="00C4775C">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24"/>
        <w:gridCol w:w="5916"/>
      </w:tblGrid>
      <w:tr w:rsidR="007E0724" w14:paraId="5E4F7DD5" w14:textId="77777777">
        <w:trPr>
          <w:trHeight w:val="240"/>
        </w:trPr>
        <w:tc>
          <w:tcPr>
            <w:tcW w:w="8740" w:type="dxa"/>
            <w:gridSpan w:val="2"/>
            <w:tcMar>
              <w:top w:w="180" w:type="dxa"/>
              <w:left w:w="0" w:type="dxa"/>
              <w:bottom w:w="180" w:type="dxa"/>
              <w:right w:w="60" w:type="dxa"/>
            </w:tcMar>
          </w:tcPr>
          <w:p w14:paraId="651E8133"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203FF563" w14:textId="77777777">
        <w:trPr>
          <w:trHeight w:val="240"/>
        </w:trPr>
        <w:tc>
          <w:tcPr>
            <w:tcW w:w="8740" w:type="dxa"/>
            <w:gridSpan w:val="2"/>
            <w:tcMar>
              <w:top w:w="180" w:type="dxa"/>
              <w:left w:w="0" w:type="dxa"/>
              <w:bottom w:w="180" w:type="dxa"/>
              <w:right w:w="60" w:type="dxa"/>
            </w:tcMar>
          </w:tcPr>
          <w:p w14:paraId="2A9B3B55" w14:textId="77777777" w:rsidR="007E0724" w:rsidRDefault="00C4775C">
            <w:pPr>
              <w:pStyle w:val="AnnexTableCellLeft"/>
            </w:pPr>
            <w:r>
              <w:t>Í starfseminni er framleitt rafmagn úr sjávarorku.</w:t>
            </w:r>
          </w:p>
        </w:tc>
      </w:tr>
      <w:tr w:rsidR="007E0724" w14:paraId="60A3B62D" w14:textId="77777777">
        <w:trPr>
          <w:trHeight w:val="240"/>
        </w:trPr>
        <w:tc>
          <w:tcPr>
            <w:tcW w:w="8740" w:type="dxa"/>
            <w:gridSpan w:val="2"/>
            <w:tcMar>
              <w:top w:w="180" w:type="dxa"/>
              <w:left w:w="0" w:type="dxa"/>
              <w:bottom w:w="180" w:type="dxa"/>
              <w:right w:w="60" w:type="dxa"/>
            </w:tcMar>
          </w:tcPr>
          <w:p w14:paraId="50B591B5" w14:textId="77777777" w:rsidR="007E0724" w:rsidRDefault="00C4775C">
            <w:pPr>
              <w:pStyle w:val="AnnexTableCellLeft"/>
            </w:pPr>
            <w:r>
              <w:t>Ekki valda umtalsverðu tjóni</w:t>
            </w:r>
          </w:p>
        </w:tc>
      </w:tr>
      <w:tr w:rsidR="007E0724" w14:paraId="30CF66BF" w14:textId="77777777">
        <w:trPr>
          <w:trHeight w:val="360"/>
        </w:trPr>
        <w:tc>
          <w:tcPr>
            <w:tcW w:w="2824" w:type="dxa"/>
            <w:tcMar>
              <w:top w:w="180" w:type="dxa"/>
              <w:left w:w="0" w:type="dxa"/>
              <w:bottom w:w="180" w:type="dxa"/>
              <w:right w:w="60" w:type="dxa"/>
            </w:tcMar>
          </w:tcPr>
          <w:p w14:paraId="0390CBFF" w14:textId="77777777" w:rsidR="007E0724" w:rsidRDefault="00C4775C">
            <w:pPr>
              <w:pStyle w:val="AnnexNumberedText"/>
            </w:pPr>
            <w:r>
              <w:t>2)</w:t>
            </w:r>
            <w:r>
              <w:tab/>
              <w:t>Aðlögun að loftslagsbreytingum</w:t>
            </w:r>
          </w:p>
        </w:tc>
        <w:tc>
          <w:tcPr>
            <w:tcW w:w="5916" w:type="dxa"/>
            <w:tcMar>
              <w:top w:w="180" w:type="dxa"/>
              <w:left w:w="0" w:type="dxa"/>
              <w:bottom w:w="180" w:type="dxa"/>
              <w:right w:w="60" w:type="dxa"/>
            </w:tcMar>
          </w:tcPr>
          <w:p w14:paraId="64EE9B79" w14:textId="77777777" w:rsidR="007E0724" w:rsidRDefault="00C4775C">
            <w:pPr>
              <w:pStyle w:val="AnnexTableCellLeft"/>
              <w:ind w:left="40"/>
            </w:pPr>
            <w:r>
              <w:t>Starfsemin er í samræmi við viðmiðanirnar sem settar eru fram í viðbæti A við þennan viðauka.</w:t>
            </w:r>
          </w:p>
        </w:tc>
      </w:tr>
      <w:tr w:rsidR="007E0724" w14:paraId="40FDED37" w14:textId="77777777">
        <w:trPr>
          <w:trHeight w:val="360"/>
        </w:trPr>
        <w:tc>
          <w:tcPr>
            <w:tcW w:w="2824" w:type="dxa"/>
            <w:tcMar>
              <w:top w:w="180" w:type="dxa"/>
              <w:left w:w="0" w:type="dxa"/>
              <w:bottom w:w="180" w:type="dxa"/>
              <w:right w:w="60" w:type="dxa"/>
            </w:tcMar>
          </w:tcPr>
          <w:p w14:paraId="1FA5758C" w14:textId="77777777" w:rsidR="007E0724" w:rsidRDefault="00C4775C">
            <w:pPr>
              <w:pStyle w:val="AnnexNumberedText"/>
            </w:pPr>
            <w:r>
              <w:t>3)</w:t>
            </w:r>
            <w:r>
              <w:tab/>
              <w:t>Sjálfbær notkun og verndun vatns- og sjávarauðlinda</w:t>
            </w:r>
          </w:p>
        </w:tc>
        <w:tc>
          <w:tcPr>
            <w:tcW w:w="5916" w:type="dxa"/>
            <w:tcMar>
              <w:top w:w="180" w:type="dxa"/>
              <w:left w:w="0" w:type="dxa"/>
              <w:bottom w:w="180" w:type="dxa"/>
              <w:right w:w="60" w:type="dxa"/>
            </w:tcMar>
          </w:tcPr>
          <w:p w14:paraId="299B2C44" w14:textId="77777777" w:rsidR="007E0724" w:rsidRDefault="00C4775C">
            <w:pPr>
              <w:pStyle w:val="AnnexTableCellLeft"/>
              <w:ind w:left="40"/>
            </w:pPr>
            <w:r>
              <w:t>Starfsemin hindrar ekki að góð umhverfisleg staða náist, eins og sett er fram í tilskipun 2008/56/EB, sem kallar á að viðeigandi ráðstafanir séu gerðar til að koma í veg fyrir eða milda áhrif í tengslum við lýsingu 11 í þeirri tilskipun (Hávaði/Orka), sem mælt er fyrir um í I. viðauka við þá tilskipun, og eins og sett er fram í ákvörðun (ESB) 2017/848 í tengslum við viðkomandi viðmiðanir og aðferðafræðilega staðla fyrir þá lýsingu.</w:t>
            </w:r>
          </w:p>
        </w:tc>
      </w:tr>
      <w:tr w:rsidR="007E0724" w14:paraId="1E0F0FC8" w14:textId="77777777">
        <w:trPr>
          <w:trHeight w:val="360"/>
        </w:trPr>
        <w:tc>
          <w:tcPr>
            <w:tcW w:w="2824" w:type="dxa"/>
            <w:tcMar>
              <w:top w:w="180" w:type="dxa"/>
              <w:left w:w="0" w:type="dxa"/>
              <w:bottom w:w="180" w:type="dxa"/>
              <w:right w:w="60" w:type="dxa"/>
            </w:tcMar>
          </w:tcPr>
          <w:p w14:paraId="68823FE1" w14:textId="77777777" w:rsidR="007E0724" w:rsidRDefault="00C4775C">
            <w:pPr>
              <w:pStyle w:val="AnnexNumberedText"/>
            </w:pPr>
            <w:r>
              <w:t>4)</w:t>
            </w:r>
            <w:r>
              <w:tab/>
              <w:t>Umskipti yfir í hringrásarhagkerfi</w:t>
            </w:r>
          </w:p>
        </w:tc>
        <w:tc>
          <w:tcPr>
            <w:tcW w:w="5916" w:type="dxa"/>
            <w:tcMar>
              <w:top w:w="180" w:type="dxa"/>
              <w:left w:w="0" w:type="dxa"/>
              <w:bottom w:w="180" w:type="dxa"/>
              <w:right w:w="60" w:type="dxa"/>
            </w:tcMar>
          </w:tcPr>
          <w:p w14:paraId="67D97FF7" w14:textId="77777777" w:rsidR="007E0724" w:rsidRDefault="00C4775C">
            <w:pPr>
              <w:pStyle w:val="AnnexTableCellLeft"/>
              <w:ind w:left="40"/>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7E0724" w14:paraId="12C3E79E" w14:textId="77777777">
        <w:trPr>
          <w:trHeight w:val="360"/>
        </w:trPr>
        <w:tc>
          <w:tcPr>
            <w:tcW w:w="2824" w:type="dxa"/>
            <w:tcMar>
              <w:top w:w="180" w:type="dxa"/>
              <w:left w:w="0" w:type="dxa"/>
              <w:bottom w:w="180" w:type="dxa"/>
              <w:right w:w="60" w:type="dxa"/>
            </w:tcMar>
          </w:tcPr>
          <w:p w14:paraId="42DD3875" w14:textId="77777777" w:rsidR="007E0724" w:rsidRDefault="00C4775C">
            <w:pPr>
              <w:pStyle w:val="AnnexNumberedText"/>
            </w:pPr>
            <w:r>
              <w:t>5)</w:t>
            </w:r>
            <w:r>
              <w:tab/>
              <w:t>Mengunarvarnir og eftirlit með mengun</w:t>
            </w:r>
          </w:p>
        </w:tc>
        <w:tc>
          <w:tcPr>
            <w:tcW w:w="5916" w:type="dxa"/>
            <w:tcMar>
              <w:top w:w="180" w:type="dxa"/>
              <w:left w:w="0" w:type="dxa"/>
              <w:bottom w:w="180" w:type="dxa"/>
              <w:right w:w="60" w:type="dxa"/>
            </w:tcMar>
          </w:tcPr>
          <w:p w14:paraId="3BCBC150" w14:textId="77777777" w:rsidR="007E0724" w:rsidRDefault="00C4775C">
            <w:pPr>
              <w:pStyle w:val="AnnexTableCellLeft"/>
              <w:ind w:left="40"/>
            </w:pPr>
            <w:r>
              <w:t xml:space="preserve">Ráðstafanir eru til staðar til að lágmarka eiturhrif frá gróðurhindrandi málningu og </w:t>
            </w:r>
            <w:proofErr w:type="spellStart"/>
            <w:r>
              <w:t>sæfiefnum</w:t>
            </w:r>
            <w:proofErr w:type="spellEnd"/>
            <w:r>
              <w:t>, eins og mælt er fyrir um í reglugerð Evrópuþingsins og ráðsins (ESB) nr. 528/2012 (</w:t>
            </w:r>
            <w:r>
              <w:rPr>
                <w:rStyle w:val="Tilvsunneanmlsgrein"/>
                <w:sz w:val="18"/>
                <w:szCs w:val="18"/>
              </w:rPr>
              <w:footnoteReference w:id="176"/>
            </w:r>
            <w:r>
              <w:t>) þar sem alþjóðasamningurinn um eftirlit með skaðlegum, gróðurhindrandi efnum og/eða búnaði á skipum, sem var samþykktur 5. október 2001, er tekinn upp í lög Sambandsins.</w:t>
            </w:r>
          </w:p>
        </w:tc>
      </w:tr>
      <w:tr w:rsidR="007E0724" w14:paraId="22C67247" w14:textId="77777777">
        <w:trPr>
          <w:trHeight w:val="360"/>
        </w:trPr>
        <w:tc>
          <w:tcPr>
            <w:tcW w:w="2824" w:type="dxa"/>
            <w:tcMar>
              <w:top w:w="180" w:type="dxa"/>
              <w:left w:w="0" w:type="dxa"/>
              <w:bottom w:w="180" w:type="dxa"/>
              <w:right w:w="60" w:type="dxa"/>
            </w:tcMar>
          </w:tcPr>
          <w:p w14:paraId="00994BCE" w14:textId="77777777" w:rsidR="007E0724" w:rsidRDefault="00C4775C">
            <w:pPr>
              <w:pStyle w:val="AnnexNumberedText"/>
            </w:pPr>
            <w:r>
              <w:t>6)</w:t>
            </w:r>
            <w:r>
              <w:tab/>
              <w:t>Vernd og endurheimt líffræðilegrar fjölbreytni og vistkerfa</w:t>
            </w:r>
          </w:p>
        </w:tc>
        <w:tc>
          <w:tcPr>
            <w:tcW w:w="5916" w:type="dxa"/>
            <w:tcMar>
              <w:top w:w="180" w:type="dxa"/>
              <w:left w:w="0" w:type="dxa"/>
              <w:bottom w:w="180" w:type="dxa"/>
              <w:right w:w="60" w:type="dxa"/>
            </w:tcMar>
          </w:tcPr>
          <w:p w14:paraId="13FDC22E" w14:textId="77777777" w:rsidR="007E0724" w:rsidRDefault="00C4775C">
            <w:pPr>
              <w:pStyle w:val="AnnexTableCellLeft"/>
              <w:spacing w:after="300"/>
              <w:ind w:left="40"/>
            </w:pPr>
            <w:r>
              <w:t>Starfsemin er í samræmi við viðmiðanirnar sem settar eru fram í viðbæti D við þennan viðauka.</w:t>
            </w:r>
          </w:p>
          <w:p w14:paraId="090F15DD" w14:textId="77777777" w:rsidR="007E0724" w:rsidRDefault="00C4775C">
            <w:pPr>
              <w:pStyle w:val="AnnexTableCellLeft"/>
              <w:ind w:left="40"/>
            </w:pPr>
            <w:r>
              <w:t>Starfsemin hindrar ekki að góð umhverfisleg staða náist, eins og sett er fram í tilskipun 2008/56/EB, sem kallar á að viðeigandi ráðstafanir séu gerðar til að koma í veg fyrir eða milda áhrif í tengslum við lýsingu 1 í þeirri tilskipun (líffræðileg fjölbreytni), sem mælt er fyrir um í I. viðauka við þá tilskipun, og eins og sett er fram í ákvörðun (ESB) 2017/848 í tengslum við viðkomandi viðmiðanir og aðferðafræðilega staðla fyrir þá lýsingu.</w:t>
            </w:r>
          </w:p>
        </w:tc>
      </w:tr>
    </w:tbl>
    <w:p w14:paraId="321AC55A" w14:textId="77777777" w:rsidR="007E0724" w:rsidRDefault="00C4775C">
      <w:pPr>
        <w:pStyle w:val="AnnexNumberedText"/>
        <w:spacing w:before="200" w:after="360"/>
        <w:ind w:left="500" w:hanging="500"/>
      </w:pPr>
      <w:r>
        <w:t>4.5.</w:t>
      </w:r>
      <w:r>
        <w:rPr>
          <w:b/>
        </w:rPr>
        <w:tab/>
        <w:t>Raforkuframleiðsla úr vatnsorku</w:t>
      </w:r>
    </w:p>
    <w:p w14:paraId="4811EEB1" w14:textId="77777777" w:rsidR="007E0724" w:rsidRDefault="00C4775C">
      <w:pPr>
        <w:pStyle w:val="AnnexGrSeq3"/>
        <w:spacing w:after="360"/>
        <w:ind w:left="500"/>
        <w:jc w:val="both"/>
      </w:pPr>
      <w:r>
        <w:rPr>
          <w:i/>
        </w:rPr>
        <w:t>Lýsing á starfseminni</w:t>
      </w:r>
    </w:p>
    <w:p w14:paraId="72FEC817" w14:textId="77777777" w:rsidR="007E0724" w:rsidRDefault="00C4775C">
      <w:pPr>
        <w:pStyle w:val="AnnexNormal"/>
        <w:spacing w:after="360"/>
        <w:ind w:left="500"/>
      </w:pPr>
      <w:r>
        <w:t>Bygging eða rekstur raforkuframleiðslustöðva sem framleiða raforku úr vatnsorku.</w:t>
      </w:r>
    </w:p>
    <w:p w14:paraId="334EFCF6" w14:textId="77777777" w:rsidR="007E0724" w:rsidRDefault="00C4775C">
      <w:pPr>
        <w:pStyle w:val="AnnexNormal"/>
        <w:spacing w:after="0"/>
        <w:ind w:left="500"/>
      </w:pPr>
      <w:r>
        <w:lastRenderedPageBreak/>
        <w:t>Atvinnustarfsemin í þessum flokki gæti tengst nokkrum kóðum atvinnugreinaflokkunar Evrópusambandsins, einkum D35.11 og F42.22, í samræmi við atvinnugreinaflokkunina sem komið var á með reglugerð (EB) nr. 1893/2006.</w:t>
      </w:r>
      <w:r>
        <w:br w:type="page"/>
      </w:r>
    </w:p>
    <w:p w14:paraId="784B44B4" w14:textId="77777777" w:rsidR="007E0724" w:rsidRDefault="00C4775C">
      <w:pPr>
        <w:pStyle w:val="AnnexGrSeq3"/>
        <w:spacing w:after="300"/>
        <w:ind w:left="500"/>
        <w:jc w:val="left"/>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956"/>
        <w:gridCol w:w="5784"/>
      </w:tblGrid>
      <w:tr w:rsidR="007E0724" w14:paraId="2495B874" w14:textId="77777777">
        <w:trPr>
          <w:trHeight w:val="240"/>
        </w:trPr>
        <w:tc>
          <w:tcPr>
            <w:tcW w:w="8740" w:type="dxa"/>
            <w:gridSpan w:val="2"/>
            <w:tcMar>
              <w:top w:w="100" w:type="dxa"/>
              <w:left w:w="0" w:type="dxa"/>
              <w:bottom w:w="100" w:type="dxa"/>
              <w:right w:w="60" w:type="dxa"/>
            </w:tcMar>
          </w:tcPr>
          <w:p w14:paraId="7A979756"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7E03CB44" w14:textId="77777777">
        <w:trPr>
          <w:trHeight w:val="360"/>
        </w:trPr>
        <w:tc>
          <w:tcPr>
            <w:tcW w:w="8740" w:type="dxa"/>
            <w:gridSpan w:val="2"/>
            <w:tcMar>
              <w:top w:w="100" w:type="dxa"/>
              <w:left w:w="0" w:type="dxa"/>
              <w:bottom w:w="100" w:type="dxa"/>
              <w:right w:w="60" w:type="dxa"/>
            </w:tcMar>
          </w:tcPr>
          <w:p w14:paraId="1ED1F782" w14:textId="77777777" w:rsidR="007E0724" w:rsidRDefault="00C4775C">
            <w:pPr>
              <w:pStyle w:val="AnnexTableCellLeft"/>
              <w:spacing w:after="360"/>
              <w:rPr>
                <w:szCs w:val="18"/>
              </w:rPr>
            </w:pPr>
            <w:r>
              <w:t>Starfsemin er í samræmi við aðra hvora af eftirfarandi viðmiðunum:</w:t>
            </w:r>
          </w:p>
          <w:p w14:paraId="781106FF" w14:textId="77777777" w:rsidR="007E0724" w:rsidRDefault="00C4775C">
            <w:pPr>
              <w:pStyle w:val="AnnexNumberedText"/>
              <w:spacing w:after="360"/>
              <w:ind w:left="293" w:hanging="293"/>
              <w:rPr>
                <w:szCs w:val="18"/>
              </w:rPr>
            </w:pPr>
            <w:r>
              <w:t>a)</w:t>
            </w:r>
            <w:r>
              <w:tab/>
              <w:t xml:space="preserve">raforkuframleiðslustöðin er rennslisstöð (e. </w:t>
            </w:r>
            <w:proofErr w:type="spellStart"/>
            <w:r>
              <w:rPr>
                <w:i/>
                <w:iCs/>
              </w:rPr>
              <w:t>run</w:t>
            </w:r>
            <w:proofErr w:type="spellEnd"/>
            <w:r>
              <w:rPr>
                <w:i/>
                <w:iCs/>
              </w:rPr>
              <w:t>-of-</w:t>
            </w:r>
            <w:proofErr w:type="spellStart"/>
            <w:r>
              <w:rPr>
                <w:i/>
                <w:iCs/>
              </w:rPr>
              <w:t>river</w:t>
            </w:r>
            <w:proofErr w:type="spellEnd"/>
            <w:r>
              <w:rPr>
                <w:i/>
                <w:iCs/>
              </w:rPr>
              <w:t xml:space="preserve"> </w:t>
            </w:r>
            <w:proofErr w:type="spellStart"/>
            <w:r>
              <w:rPr>
                <w:i/>
                <w:iCs/>
              </w:rPr>
              <w:t>plant</w:t>
            </w:r>
            <w:proofErr w:type="spellEnd"/>
            <w:r>
              <w:t>) og er ekki með tilbúið uppistöðulón,</w:t>
            </w:r>
          </w:p>
          <w:p w14:paraId="40465D7F" w14:textId="77777777" w:rsidR="007E0724" w:rsidRDefault="00C4775C">
            <w:pPr>
              <w:pStyle w:val="AnnexNumberedText"/>
              <w:spacing w:after="360"/>
              <w:ind w:left="293" w:hanging="293"/>
              <w:rPr>
                <w:szCs w:val="18"/>
              </w:rPr>
            </w:pPr>
            <w:r>
              <w:t>b)</w:t>
            </w:r>
            <w:r>
              <w:tab/>
            </w:r>
            <w:proofErr w:type="spellStart"/>
            <w:r>
              <w:t>aflþéttni</w:t>
            </w:r>
            <w:proofErr w:type="spellEnd"/>
            <w:r>
              <w:t xml:space="preserve"> raforkuframleiðslustöðvarinnar er yfir 5 W/m</w:t>
            </w:r>
            <w:r>
              <w:rPr>
                <w:vertAlign w:val="superscript"/>
              </w:rPr>
              <w:t>2</w:t>
            </w:r>
            <w:r>
              <w:t>,</w:t>
            </w:r>
          </w:p>
          <w:p w14:paraId="667DAA86" w14:textId="77777777" w:rsidR="007E0724" w:rsidRDefault="00C4775C">
            <w:pPr>
              <w:pStyle w:val="AnnexNumberedText"/>
              <w:spacing w:after="360"/>
              <w:ind w:left="293" w:hanging="293"/>
              <w:rPr>
                <w:szCs w:val="18"/>
              </w:rPr>
            </w:pPr>
            <w:r>
              <w:t>c)</w:t>
            </w:r>
            <w:r>
              <w:tab/>
              <w:t>losun gróðurhúsalofttegunda á vistferlinum frá framleiðslu raforku úr vatnsorku er minni en 100 g CO</w:t>
            </w:r>
            <w:r>
              <w:rPr>
                <w:vertAlign w:val="subscript"/>
              </w:rPr>
              <w:t>2</w:t>
            </w:r>
            <w:r>
              <w:t>e/kWh. Losun gróðurhúsalofttegunda á vistferlinum er reiknuð út með því að nota tilmæli 2013/179/ESB eða, að öðrum kosti, með því að nota ISO 14067:2018 (</w:t>
            </w:r>
            <w:r>
              <w:rPr>
                <w:rStyle w:val="Tilvsunneanmlsgrein"/>
                <w:sz w:val="18"/>
                <w:szCs w:val="18"/>
              </w:rPr>
              <w:footnoteReference w:id="177"/>
            </w:r>
            <w:r>
              <w:t>), ISO 14064-1:2018 (</w:t>
            </w:r>
            <w:r>
              <w:rPr>
                <w:rStyle w:val="Tilvsunneanmlsgrein"/>
                <w:sz w:val="18"/>
                <w:szCs w:val="18"/>
              </w:rPr>
              <w:footnoteReference w:id="178"/>
            </w:r>
            <w:r>
              <w:t xml:space="preserve">) eða verkfærið </w:t>
            </w:r>
            <w:proofErr w:type="spellStart"/>
            <w:r>
              <w:t>G-res</w:t>
            </w:r>
            <w:proofErr w:type="spellEnd"/>
            <w:r>
              <w:t xml:space="preserve"> (</w:t>
            </w:r>
            <w:r>
              <w:rPr>
                <w:rStyle w:val="Tilvsunneanmlsgrein"/>
                <w:sz w:val="18"/>
                <w:szCs w:val="18"/>
              </w:rPr>
              <w:footnoteReference w:id="179"/>
            </w:r>
            <w:r>
              <w:t>). Óháður þriðji aðili sannprófar magngreinda losun gróðurhúsalofttegunda á vistferlinum.</w:t>
            </w:r>
          </w:p>
        </w:tc>
      </w:tr>
      <w:tr w:rsidR="007E0724" w14:paraId="14790158" w14:textId="77777777">
        <w:trPr>
          <w:trHeight w:val="240"/>
        </w:trPr>
        <w:tc>
          <w:tcPr>
            <w:tcW w:w="8740" w:type="dxa"/>
            <w:gridSpan w:val="2"/>
            <w:tcMar>
              <w:top w:w="100" w:type="dxa"/>
              <w:left w:w="0" w:type="dxa"/>
              <w:bottom w:w="100" w:type="dxa"/>
              <w:right w:w="60" w:type="dxa"/>
            </w:tcMar>
          </w:tcPr>
          <w:p w14:paraId="7299E1D1" w14:textId="77777777" w:rsidR="007E0724" w:rsidRDefault="00C4775C">
            <w:pPr>
              <w:pStyle w:val="AnnexTableCellLeft"/>
            </w:pPr>
            <w:r>
              <w:t>Ekki valda umtalsverðu tjóni</w:t>
            </w:r>
          </w:p>
        </w:tc>
      </w:tr>
      <w:tr w:rsidR="007E0724" w14:paraId="63FC13D3" w14:textId="77777777">
        <w:trPr>
          <w:trHeight w:val="360"/>
        </w:trPr>
        <w:tc>
          <w:tcPr>
            <w:tcW w:w="2956" w:type="dxa"/>
            <w:tcBorders>
              <w:bottom w:val="single" w:sz="4" w:space="0" w:color="auto"/>
            </w:tcBorders>
            <w:tcMar>
              <w:top w:w="100" w:type="dxa"/>
              <w:left w:w="0" w:type="dxa"/>
              <w:bottom w:w="100" w:type="dxa"/>
              <w:right w:w="60" w:type="dxa"/>
            </w:tcMar>
          </w:tcPr>
          <w:p w14:paraId="01354E89" w14:textId="77777777" w:rsidR="007E0724" w:rsidRDefault="00C4775C">
            <w:pPr>
              <w:pStyle w:val="AnnexNumberedText"/>
            </w:pPr>
            <w:r>
              <w:t>2)</w:t>
            </w:r>
            <w:r>
              <w:tab/>
              <w:t>Aðlögun að loftslagsbreytingum</w:t>
            </w:r>
          </w:p>
        </w:tc>
        <w:tc>
          <w:tcPr>
            <w:tcW w:w="5784" w:type="dxa"/>
            <w:tcBorders>
              <w:bottom w:val="single" w:sz="4" w:space="0" w:color="auto"/>
            </w:tcBorders>
            <w:tcMar>
              <w:top w:w="100" w:type="dxa"/>
              <w:left w:w="0" w:type="dxa"/>
              <w:bottom w:w="100" w:type="dxa"/>
              <w:right w:w="60" w:type="dxa"/>
            </w:tcMar>
          </w:tcPr>
          <w:p w14:paraId="75128EC5" w14:textId="77777777" w:rsidR="007E0724" w:rsidRDefault="00C4775C">
            <w:pPr>
              <w:pStyle w:val="AnnexTableCellLeft"/>
              <w:ind w:left="40"/>
            </w:pPr>
            <w:r>
              <w:t>Starfsemin er í samræmi við viðmiðanirnar sem settar eru fram í viðbæti A við þennan viðauka.</w:t>
            </w:r>
          </w:p>
        </w:tc>
      </w:tr>
      <w:tr w:rsidR="007E0724" w14:paraId="7C34348C" w14:textId="77777777">
        <w:trPr>
          <w:trHeight w:val="360"/>
        </w:trPr>
        <w:tc>
          <w:tcPr>
            <w:tcW w:w="2956" w:type="dxa"/>
            <w:tcBorders>
              <w:bottom w:val="nil"/>
            </w:tcBorders>
            <w:tcMar>
              <w:top w:w="100" w:type="dxa"/>
              <w:left w:w="0" w:type="dxa"/>
              <w:bottom w:w="100" w:type="dxa"/>
              <w:right w:w="60" w:type="dxa"/>
            </w:tcMar>
          </w:tcPr>
          <w:p w14:paraId="58917F8F" w14:textId="77777777" w:rsidR="007E0724" w:rsidRDefault="00C4775C">
            <w:pPr>
              <w:pStyle w:val="AnnexNumberedText"/>
            </w:pPr>
            <w:r>
              <w:t>3)</w:t>
            </w:r>
            <w:r>
              <w:tab/>
              <w:t>Sjálfbær notkun og verndun vatns- og sjávarauðlinda</w:t>
            </w:r>
          </w:p>
        </w:tc>
        <w:tc>
          <w:tcPr>
            <w:tcW w:w="5784" w:type="dxa"/>
            <w:tcBorders>
              <w:bottom w:val="nil"/>
            </w:tcBorders>
            <w:tcMar>
              <w:top w:w="100" w:type="dxa"/>
              <w:left w:w="0" w:type="dxa"/>
              <w:bottom w:w="100" w:type="dxa"/>
              <w:right w:w="60" w:type="dxa"/>
            </w:tcMar>
          </w:tcPr>
          <w:p w14:paraId="60D77F18" w14:textId="77777777" w:rsidR="007E0724" w:rsidRDefault="00C4775C">
            <w:pPr>
              <w:pStyle w:val="AnnexNumberedText"/>
              <w:tabs>
                <w:tab w:val="right" w:pos="135"/>
                <w:tab w:val="left" w:pos="508"/>
              </w:tabs>
              <w:spacing w:after="360"/>
              <w:ind w:left="40" w:firstLine="0"/>
            </w:pPr>
            <w:r>
              <w:tab/>
              <w:t>1.</w:t>
            </w:r>
            <w:r>
              <w:tab/>
              <w:t>Starfsemin er í samræmi við ákvæðin í tilskipun 2000/60/EB, einkum við allar kröfurnar sem mælt er fyrir um í 4. gr. tilskipunarinnar.</w:t>
            </w:r>
          </w:p>
          <w:p w14:paraId="46339602" w14:textId="77777777" w:rsidR="007E0724" w:rsidRDefault="00C4775C">
            <w:pPr>
              <w:pStyle w:val="AnnexNumberedText"/>
              <w:tabs>
                <w:tab w:val="right" w:pos="135"/>
                <w:tab w:val="left" w:pos="508"/>
              </w:tabs>
              <w:spacing w:after="360"/>
              <w:ind w:left="40" w:firstLine="0"/>
            </w:pPr>
            <w:r>
              <w:tab/>
              <w:t>2.</w:t>
            </w:r>
            <w:r>
              <w:tab/>
              <w:t>Að því er varðar rekstur á vatnsaflsstöðvum sem fyrir eru, þ.m.t. endurbótastarfsemi til að auka möguleikann á endurnýjanlegri orku eða orkugeymslu, er starfsemin í samræmi við eftirfarandi viðmiðanir:</w:t>
            </w:r>
          </w:p>
          <w:p w14:paraId="440E9FD8" w14:textId="77777777" w:rsidR="007E0724" w:rsidRDefault="00C4775C">
            <w:pPr>
              <w:pStyle w:val="AnnexNumberedText"/>
              <w:tabs>
                <w:tab w:val="left" w:pos="508"/>
                <w:tab w:val="right" w:pos="549"/>
              </w:tabs>
              <w:spacing w:after="360"/>
              <w:ind w:left="40" w:firstLine="0"/>
            </w:pPr>
            <w:r>
              <w:t>2.1.</w:t>
            </w:r>
            <w:r>
              <w:tab/>
              <w:t xml:space="preserve">Í samræmi við tilskipun 2000/60/EB og einkum 4. og 11. gr. þeirrar tilskipunar hefur öllum </w:t>
            </w:r>
            <w:proofErr w:type="spellStart"/>
            <w:r>
              <w:t>mildunarráðstöfunum</w:t>
            </w:r>
            <w:proofErr w:type="spellEnd"/>
            <w:r>
              <w:t>, sem eru tæknilega mögulegar og vistfræðilega viðeigandi, verið komið í framkvæmd til að draga úr neikvæðum áhrifum á vatn sem og á vernduð búsvæði og tegundir sem eru háðar vatni með beinum hætti.</w:t>
            </w:r>
          </w:p>
          <w:p w14:paraId="00170880" w14:textId="77777777" w:rsidR="007E0724" w:rsidRDefault="00C4775C">
            <w:pPr>
              <w:pStyle w:val="AnnexNumberedText"/>
              <w:tabs>
                <w:tab w:val="left" w:pos="508"/>
                <w:tab w:val="right" w:pos="549"/>
              </w:tabs>
              <w:spacing w:after="360"/>
              <w:ind w:left="40" w:firstLine="0"/>
            </w:pPr>
            <w:r>
              <w:t>2.2.</w:t>
            </w:r>
            <w:r>
              <w:tab/>
              <w:t xml:space="preserve">Ráðstafanir fela í sér, þar sem við á og með hliðsjón af vistkerfum sem eru til staðar frá náttúrunnar hendi í </w:t>
            </w:r>
            <w:proofErr w:type="spellStart"/>
            <w:r>
              <w:t>vatnshlotum</w:t>
            </w:r>
            <w:proofErr w:type="spellEnd"/>
            <w:r>
              <w:t xml:space="preserve"> sem verða fyrir áhrifum:</w:t>
            </w:r>
          </w:p>
          <w:p w14:paraId="0EADC09D" w14:textId="77777777" w:rsidR="007E0724" w:rsidRDefault="00C4775C">
            <w:pPr>
              <w:pStyle w:val="AnnexNumberedText"/>
              <w:spacing w:after="360"/>
              <w:ind w:left="380" w:hanging="340"/>
            </w:pPr>
            <w:r>
              <w:t>a)</w:t>
            </w:r>
            <w:r>
              <w:tab/>
              <w:t xml:space="preserve">ráðstafanir til að tryggja fiskgöngur með og á móti straumi (s.s. fiskvænir hverflar, leiðakerfi fyrir fiska, fullvirkir fiskvegir sem byggjast á nýjustu tækni, ráðstafanir til að stöðva eða lágmarka starfsemi og losanir á fiskgöngu- og </w:t>
            </w:r>
            <w:proofErr w:type="spellStart"/>
            <w:r>
              <w:t>hrygningartímabilum</w:t>
            </w:r>
            <w:proofErr w:type="spellEnd"/>
            <w:r>
              <w:t>),</w:t>
            </w:r>
          </w:p>
          <w:p w14:paraId="3AC2FDA9" w14:textId="77777777" w:rsidR="007E0724" w:rsidRDefault="00C4775C">
            <w:pPr>
              <w:pStyle w:val="AnnexNumberedText"/>
              <w:spacing w:after="360"/>
              <w:ind w:left="380" w:hanging="340"/>
            </w:pPr>
            <w:r>
              <w:t>b)</w:t>
            </w:r>
            <w:r>
              <w:tab/>
              <w:t>ráðstafanir til að tryggja vistfræðilegt lágmarksflæði (þ.m.t. að milda aðgerðir sem valda örum breytileika til skamms tíma í flæði eða toppum í vatnsflæði) og setflæði,</w:t>
            </w:r>
          </w:p>
          <w:p w14:paraId="658A0D7C" w14:textId="77777777" w:rsidR="007E0724" w:rsidRDefault="00C4775C">
            <w:pPr>
              <w:pStyle w:val="AnnexNumberedText"/>
              <w:spacing w:after="0"/>
              <w:ind w:left="380" w:hanging="340"/>
            </w:pPr>
            <w:r>
              <w:t>c)</w:t>
            </w:r>
            <w:r>
              <w:tab/>
              <w:t>ráðstafanir til að vernda eða efla búsvæði.</w:t>
            </w:r>
          </w:p>
        </w:tc>
      </w:tr>
      <w:tr w:rsidR="007E0724" w14:paraId="0CF98A64" w14:textId="77777777">
        <w:trPr>
          <w:trHeight w:val="240"/>
        </w:trPr>
        <w:tc>
          <w:tcPr>
            <w:tcW w:w="2956" w:type="dxa"/>
            <w:tcBorders>
              <w:top w:val="single" w:sz="4" w:space="0" w:color="auto"/>
              <w:bottom w:val="nil"/>
            </w:tcBorders>
            <w:tcMar>
              <w:top w:w="100" w:type="dxa"/>
              <w:left w:w="0" w:type="dxa"/>
              <w:bottom w:w="100" w:type="dxa"/>
              <w:right w:w="60" w:type="dxa"/>
            </w:tcMar>
          </w:tcPr>
          <w:p w14:paraId="79D0CB47" w14:textId="77777777" w:rsidR="007E0724" w:rsidRDefault="007E0724">
            <w:pPr>
              <w:pStyle w:val="AnnexTableCellLeft"/>
              <w:pageBreakBefore/>
              <w:ind w:left="300" w:hanging="300"/>
            </w:pPr>
          </w:p>
        </w:tc>
        <w:tc>
          <w:tcPr>
            <w:tcW w:w="5784" w:type="dxa"/>
            <w:tcBorders>
              <w:top w:val="single" w:sz="4" w:space="0" w:color="auto"/>
              <w:bottom w:val="nil"/>
            </w:tcBorders>
            <w:tcMar>
              <w:top w:w="100" w:type="dxa"/>
              <w:left w:w="0" w:type="dxa"/>
              <w:bottom w:w="100" w:type="dxa"/>
              <w:right w:w="60" w:type="dxa"/>
            </w:tcMar>
          </w:tcPr>
          <w:p w14:paraId="5A135CB3" w14:textId="77777777" w:rsidR="007E0724" w:rsidRDefault="00C4775C">
            <w:pPr>
              <w:pStyle w:val="AnnexNumberedText"/>
              <w:tabs>
                <w:tab w:val="right" w:pos="270"/>
                <w:tab w:val="left" w:pos="508"/>
              </w:tabs>
              <w:spacing w:after="600"/>
              <w:ind w:left="40" w:firstLine="0"/>
            </w:pPr>
            <w:r>
              <w:tab/>
              <w:t>2.3.</w:t>
            </w:r>
            <w:r>
              <w:tab/>
              <w:t>Skilvirkni þessara ráðstafana er vöktuð í tengslum við heimild eða leyfi þar sem tilgreind eru skilyrði sem miða að því að ná góðri stöðu eða getu vatnshlotsins sem verður fyrir áhrifum.</w:t>
            </w:r>
          </w:p>
          <w:p w14:paraId="33D82D3F" w14:textId="77777777" w:rsidR="007E0724" w:rsidRDefault="00C4775C">
            <w:pPr>
              <w:pStyle w:val="AnnexNumberedText"/>
              <w:tabs>
                <w:tab w:val="left" w:pos="508"/>
              </w:tabs>
              <w:spacing w:after="600"/>
              <w:ind w:left="40" w:firstLine="0"/>
            </w:pPr>
            <w:r>
              <w:t>3.</w:t>
            </w:r>
            <w:r>
              <w:tab/>
              <w:t>Að því er varðar byggingu nýrrar vatnsaflsstöðvar er starfsemin í samræmi við eftirfarandi viðmiðanir:</w:t>
            </w:r>
          </w:p>
          <w:p w14:paraId="074CAB26" w14:textId="77777777" w:rsidR="007E0724" w:rsidRDefault="00C4775C">
            <w:pPr>
              <w:pStyle w:val="AnnexNumberedText"/>
              <w:tabs>
                <w:tab w:val="left" w:pos="508"/>
                <w:tab w:val="right" w:pos="684"/>
              </w:tabs>
              <w:spacing w:after="600"/>
              <w:ind w:left="40" w:firstLine="0"/>
            </w:pPr>
            <w:r>
              <w:t>3.1.</w:t>
            </w:r>
            <w:r>
              <w:tab/>
              <w:t xml:space="preserve">Í samræmi við 4. gr. tilskipunar 2000/60/EB og einkum 7. mgr. þeirrar greinar er unnið mat á áhrifunum af verkefninu áður en byggt er til að meta öll möguleg áhrif þess á stöðu </w:t>
            </w:r>
            <w:proofErr w:type="spellStart"/>
            <w:r>
              <w:t>vatnshlota</w:t>
            </w:r>
            <w:proofErr w:type="spellEnd"/>
            <w:r>
              <w:t xml:space="preserve"> innan sama vatnasviðs og á vernduð búsvæði og tegundir sem eru háðar vatni með beinum hætti, einkum að teknu tilliti til sérstakra gönguslóða (e. </w:t>
            </w:r>
            <w:proofErr w:type="spellStart"/>
            <w:r>
              <w:rPr>
                <w:i/>
                <w:iCs/>
              </w:rPr>
              <w:t>migration</w:t>
            </w:r>
            <w:proofErr w:type="spellEnd"/>
            <w:r>
              <w:rPr>
                <w:i/>
                <w:iCs/>
              </w:rPr>
              <w:t xml:space="preserve"> </w:t>
            </w:r>
            <w:proofErr w:type="spellStart"/>
            <w:r>
              <w:rPr>
                <w:i/>
                <w:iCs/>
              </w:rPr>
              <w:t>corridor</w:t>
            </w:r>
            <w:proofErr w:type="spellEnd"/>
            <w:r>
              <w:t>), áa sem flæða frjálst eða vistkerfa nálægt óröskuðum aðstæðum.</w:t>
            </w:r>
          </w:p>
          <w:p w14:paraId="234E7B71" w14:textId="77777777" w:rsidR="007E0724" w:rsidRDefault="00C4775C">
            <w:pPr>
              <w:pStyle w:val="AnnexTableCellLeft"/>
              <w:spacing w:after="600"/>
              <w:ind w:left="40"/>
            </w:pPr>
            <w:r>
              <w:t>Matið er byggt á nýlegum, yfirgripsmiklum og nákvæmum gögnum, þ.m.t. vöktunargögn um líffræðilega gæðaþætti sem eru sérstaklega næmir fyrir vatnsformfræðilegum breytingum og um stöðu vatnshlotsins sem búist er við sem afleiðing af nýju starfseminni í samanburði við þá sem fyrir er.</w:t>
            </w:r>
          </w:p>
          <w:p w14:paraId="14E25F17" w14:textId="77777777" w:rsidR="007E0724" w:rsidRDefault="00C4775C">
            <w:pPr>
              <w:pStyle w:val="AnnexTableCellLeft"/>
              <w:spacing w:after="600"/>
              <w:ind w:left="40"/>
            </w:pPr>
            <w:r>
              <w:t>Einkum eru metin uppsöfnuð áhrif af þessu nýja verkefni með öðrum grunnvirkjum sem fyrir eru eða fyrirhuguð á vatnasviðinu.</w:t>
            </w:r>
          </w:p>
          <w:p w14:paraId="4B66C24E" w14:textId="77777777" w:rsidR="007E0724" w:rsidRDefault="00C4775C">
            <w:pPr>
              <w:pStyle w:val="AnnexNumberedText"/>
              <w:tabs>
                <w:tab w:val="left" w:pos="508"/>
                <w:tab w:val="right" w:pos="684"/>
              </w:tabs>
              <w:spacing w:after="600"/>
              <w:ind w:left="40" w:firstLine="0"/>
            </w:pPr>
            <w:r>
              <w:t>3.2.</w:t>
            </w:r>
            <w:r>
              <w:tab/>
              <w:t>Á grundvelli þessa mats á áhrifum hefur verið ákvarðað að stöðin sé skipulögð þannig, með hönnun og staðsetningu og með mildandi ráðstöfunum, að hún uppfylli eina af eftirfarandi kröfum:</w:t>
            </w:r>
          </w:p>
          <w:p w14:paraId="40391915" w14:textId="77777777" w:rsidR="007E0724" w:rsidRDefault="00C4775C">
            <w:pPr>
              <w:pStyle w:val="AnnexNumberedText"/>
              <w:spacing w:after="600"/>
              <w:ind w:left="340"/>
            </w:pPr>
            <w:r>
              <w:t>a)</w:t>
            </w:r>
            <w:r>
              <w:tab/>
              <w:t>stöðin hefur ekki í för með sér neina hnignun né stofnar því í hættu að ná góðri stöðu eða getu fyrir hið sérstaka vatnshlot sem hún tengist,</w:t>
            </w:r>
          </w:p>
          <w:p w14:paraId="6983FFEF" w14:textId="77777777" w:rsidR="007E0724" w:rsidRDefault="00C4775C">
            <w:pPr>
              <w:pStyle w:val="AnnexNumberedText"/>
              <w:spacing w:after="600"/>
              <w:ind w:left="340"/>
            </w:pPr>
            <w:r>
              <w:t>b)</w:t>
            </w:r>
            <w:r>
              <w:tab/>
              <w:t>ef áhætta er á að stöðin valdi hnignun eða stofni því í hættu að góð staða/geta náist fyrir hið sérstaka vatnshlot sem hún tengist er slík hnignun ekki umtalsverð og er rökstudd með ítarlegu kostnaðar- og ábatamati þar sem sýnt er fram á hvort tveggja af eftirfarandi:</w:t>
            </w:r>
          </w:p>
          <w:p w14:paraId="07FE74B4" w14:textId="77777777" w:rsidR="007E0724" w:rsidRDefault="00C4775C">
            <w:pPr>
              <w:pStyle w:val="AnnexNumberedText"/>
              <w:tabs>
                <w:tab w:val="right" w:pos="1281"/>
              </w:tabs>
              <w:spacing w:after="600"/>
              <w:ind w:left="640"/>
            </w:pPr>
            <w:r>
              <w:t>i.</w:t>
            </w:r>
            <w:r>
              <w:tab/>
              <w:t>ástæðurnar fyrir brýnum almannahagsmunum eða þá staðreynd að ávinningurinn sem búist er við af fyrirhugaðri vatnsaflsstöð vegur þyngra en sá kostnaður fyrir umhverfið og samfélagið sem hlýst af versnandi ástandi vatnsins,</w:t>
            </w:r>
          </w:p>
          <w:p w14:paraId="47CFE10D" w14:textId="77777777" w:rsidR="007E0724" w:rsidRDefault="00C4775C">
            <w:pPr>
              <w:pStyle w:val="AnnexNumberedText"/>
              <w:tabs>
                <w:tab w:val="right" w:pos="1281"/>
              </w:tabs>
              <w:ind w:left="640"/>
            </w:pPr>
            <w:r>
              <w:t>ii.</w:t>
            </w:r>
            <w:r>
              <w:tab/>
              <w:t xml:space="preserve">þá staðreynd að ekki er unnt að ná fram, af ástæðum sem varða tæknilegan </w:t>
            </w:r>
            <w:proofErr w:type="spellStart"/>
            <w:r>
              <w:t>framkvæmanleika</w:t>
            </w:r>
            <w:proofErr w:type="spellEnd"/>
            <w:r>
              <w:t xml:space="preserve"> eða óhóflegan kostnað, brýnum almannahagsmunum eða ávinningnum sem búist er við af stöðinni með öðrum aðferðum sem myndu leiða til betri </w:t>
            </w:r>
            <w:proofErr w:type="spellStart"/>
            <w:r>
              <w:t>umhverfislegrar</w:t>
            </w:r>
            <w:proofErr w:type="spellEnd"/>
            <w:r>
              <w:t xml:space="preserve"> niðurstöðu (s.s. með því að endurnýja vatnsaflsstöðvar sem fyrir eru eða með því að </w:t>
            </w:r>
            <w:r>
              <w:lastRenderedPageBreak/>
              <w:t>nota tækni sem raskar ekki samfellu árinnar).</w:t>
            </w:r>
          </w:p>
        </w:tc>
      </w:tr>
      <w:tr w:rsidR="007E0724" w14:paraId="545A05A9" w14:textId="77777777">
        <w:trPr>
          <w:trHeight w:val="240"/>
        </w:trPr>
        <w:tc>
          <w:tcPr>
            <w:tcW w:w="2956" w:type="dxa"/>
            <w:tcBorders>
              <w:top w:val="single" w:sz="4" w:space="0" w:color="auto"/>
            </w:tcBorders>
            <w:tcMar>
              <w:top w:w="100" w:type="dxa"/>
              <w:left w:w="0" w:type="dxa"/>
              <w:bottom w:w="100" w:type="dxa"/>
              <w:right w:w="60" w:type="dxa"/>
            </w:tcMar>
          </w:tcPr>
          <w:p w14:paraId="5C3EC98F" w14:textId="77777777" w:rsidR="007E0724" w:rsidRDefault="007E0724">
            <w:pPr>
              <w:pStyle w:val="AnnexTableCellLeft"/>
              <w:pageBreakBefore/>
              <w:ind w:left="300" w:hanging="300"/>
            </w:pPr>
          </w:p>
        </w:tc>
        <w:tc>
          <w:tcPr>
            <w:tcW w:w="5784" w:type="dxa"/>
            <w:tcBorders>
              <w:top w:val="single" w:sz="4" w:space="0" w:color="auto"/>
            </w:tcBorders>
            <w:tcMar>
              <w:top w:w="100" w:type="dxa"/>
              <w:left w:w="0" w:type="dxa"/>
              <w:bottom w:w="100" w:type="dxa"/>
              <w:right w:w="60" w:type="dxa"/>
            </w:tcMar>
          </w:tcPr>
          <w:p w14:paraId="6FC76BBB" w14:textId="77777777" w:rsidR="007E0724" w:rsidRDefault="00C4775C">
            <w:pPr>
              <w:pStyle w:val="AnnexNumberedText"/>
              <w:tabs>
                <w:tab w:val="left" w:pos="508"/>
              </w:tabs>
              <w:spacing w:after="360"/>
              <w:ind w:left="40" w:firstLine="0"/>
            </w:pPr>
            <w:r>
              <w:t>3.3.</w:t>
            </w:r>
            <w:r>
              <w:tab/>
              <w:t xml:space="preserve">Öllum </w:t>
            </w:r>
            <w:proofErr w:type="spellStart"/>
            <w:r>
              <w:t>mildunarráðstöfunum</w:t>
            </w:r>
            <w:proofErr w:type="spellEnd"/>
            <w:r>
              <w:t>, sem eru tæknilega mögulegar og vistfræðilega viðeigandi, hefur verið komið í framkvæmd til að draga úr neikvæðum áhrifum á vatn sem og á vernduð búsvæði og tegundir sem eru háðar vatni með beinum hætti.</w:t>
            </w:r>
          </w:p>
          <w:p w14:paraId="507CDDA4" w14:textId="77777777" w:rsidR="007E0724" w:rsidRDefault="00C4775C">
            <w:pPr>
              <w:pStyle w:val="AnnexTableCellLeft"/>
              <w:spacing w:after="360"/>
              <w:ind w:left="40"/>
            </w:pPr>
            <w:proofErr w:type="spellStart"/>
            <w:r>
              <w:t>Mildunarráðstafanir</w:t>
            </w:r>
            <w:proofErr w:type="spellEnd"/>
            <w:r>
              <w:t xml:space="preserve"> fela í sér, þar sem við á og með hliðsjón af vistkerfum sem eru til staðar frá náttúrunnar hendi í </w:t>
            </w:r>
            <w:proofErr w:type="spellStart"/>
            <w:r>
              <w:t>vatnshlotum</w:t>
            </w:r>
            <w:proofErr w:type="spellEnd"/>
            <w:r>
              <w:t xml:space="preserve"> sem verða fyrir áhrifum:</w:t>
            </w:r>
          </w:p>
          <w:p w14:paraId="614FCE64" w14:textId="77777777" w:rsidR="007E0724" w:rsidRDefault="00C4775C">
            <w:pPr>
              <w:pStyle w:val="AnnexNumberedText"/>
              <w:spacing w:after="360"/>
              <w:ind w:left="340"/>
            </w:pPr>
            <w:r>
              <w:t>a)</w:t>
            </w:r>
            <w:r>
              <w:tab/>
              <w:t xml:space="preserve">ráðstafanir til að tryggja fiskgöngur með og á móti straumi (s.s. fiskvænir hverflar, leiðakerfi fyrir fiska, fullvirkir fiskvegir sem byggjast á nýjustu tækni, ráðstafanir til að stöðva eða lágmarka starfsemi og losanir á fiskgöngu- og </w:t>
            </w:r>
            <w:proofErr w:type="spellStart"/>
            <w:r>
              <w:t>hrygningartímabilum</w:t>
            </w:r>
            <w:proofErr w:type="spellEnd"/>
            <w:r>
              <w:t>)</w:t>
            </w:r>
          </w:p>
          <w:p w14:paraId="4DADCF28" w14:textId="77777777" w:rsidR="007E0724" w:rsidRDefault="00C4775C">
            <w:pPr>
              <w:pStyle w:val="AnnexNumberedText"/>
              <w:spacing w:after="360"/>
              <w:ind w:left="340"/>
            </w:pPr>
            <w:r>
              <w:t>b)</w:t>
            </w:r>
            <w:r>
              <w:tab/>
              <w:t>ráðstafanir til að tryggja vistfræðilegt lágmarksflæði (þ.m.t. að milda aðgerðir sem valda örum breytileika til skamms tíma í flæði eða toppum í vatnsflæði) og setflæði,</w:t>
            </w:r>
          </w:p>
          <w:p w14:paraId="1FF122E6" w14:textId="77777777" w:rsidR="007E0724" w:rsidRDefault="00C4775C">
            <w:pPr>
              <w:pStyle w:val="AnnexNumberedText"/>
              <w:spacing w:after="360"/>
              <w:ind w:left="340"/>
            </w:pPr>
            <w:r>
              <w:t>c)</w:t>
            </w:r>
            <w:r>
              <w:tab/>
              <w:t>ráðstafanir til að vernda eða efla búsvæði.</w:t>
            </w:r>
          </w:p>
          <w:p w14:paraId="00D4A494" w14:textId="77777777" w:rsidR="007E0724" w:rsidRDefault="00C4775C">
            <w:pPr>
              <w:pStyle w:val="AnnexTableCellLeft"/>
              <w:spacing w:after="360"/>
              <w:ind w:left="40"/>
            </w:pPr>
            <w:r>
              <w:t>Skilvirkni þessara ráðstafana er vöktuð í tengslum við heimild eða leyfi þar sem tilgreind eru skilyrði sem miða að því að ná góðri stöðu eða getu vatnshlotsins sem verður fyrir áhrifum.</w:t>
            </w:r>
          </w:p>
          <w:p w14:paraId="78BA7F21" w14:textId="77777777" w:rsidR="007E0724" w:rsidRDefault="00C4775C">
            <w:pPr>
              <w:pStyle w:val="AnnexNumberedText"/>
              <w:tabs>
                <w:tab w:val="left" w:pos="508"/>
              </w:tabs>
              <w:spacing w:after="360"/>
              <w:ind w:left="40" w:firstLine="0"/>
            </w:pPr>
            <w:r>
              <w:t>3.4.</w:t>
            </w:r>
            <w:r>
              <w:tab/>
              <w:t xml:space="preserve">Stöðin stofnar því ekki í varanlega hættu að ná góðri stöðu/getu í neinu af </w:t>
            </w:r>
            <w:proofErr w:type="spellStart"/>
            <w:r>
              <w:t>vatnshlotunum</w:t>
            </w:r>
            <w:proofErr w:type="spellEnd"/>
            <w:r>
              <w:t xml:space="preserve"> á sama vatnasviðaumdæminu.</w:t>
            </w:r>
          </w:p>
          <w:p w14:paraId="25AC0C21" w14:textId="77777777" w:rsidR="007E0724" w:rsidRDefault="00C4775C">
            <w:pPr>
              <w:pStyle w:val="AnnexNumberedText"/>
              <w:tabs>
                <w:tab w:val="left" w:pos="508"/>
              </w:tabs>
              <w:spacing w:after="360"/>
              <w:ind w:left="40" w:firstLine="0"/>
            </w:pPr>
            <w:r>
              <w:t>3.5.</w:t>
            </w:r>
            <w:r>
              <w:tab/>
              <w:t>Í viðbót við mildandi ráðstafanirnar sem um getur hér að framan og ef við á er mótvægisaðgerðum komið í framkvæmd til að tryggja að verkefnið auki ekki á uppskiptingu vatnasviða á sama vatnasviðaumdæminu. Þessu er náð fram með því að koma aftur á samfellu innan sama vatnasviðaumdæmisins að því marki sem það vegur upp á móti röskun á samfellu sem fyrirhuguð vatnsaflsstöð kann að valda. Mótvægisaðgerðir hefjast áður en verkefninu er hrint í framkvæmd.</w:t>
            </w:r>
          </w:p>
        </w:tc>
      </w:tr>
      <w:tr w:rsidR="007E0724" w14:paraId="4EDAC647" w14:textId="77777777">
        <w:trPr>
          <w:trHeight w:val="360"/>
        </w:trPr>
        <w:tc>
          <w:tcPr>
            <w:tcW w:w="2956" w:type="dxa"/>
            <w:tcMar>
              <w:top w:w="100" w:type="dxa"/>
              <w:left w:w="0" w:type="dxa"/>
              <w:bottom w:w="100" w:type="dxa"/>
              <w:right w:w="60" w:type="dxa"/>
            </w:tcMar>
          </w:tcPr>
          <w:p w14:paraId="1C97FCAA" w14:textId="77777777" w:rsidR="007E0724" w:rsidRDefault="00C4775C">
            <w:pPr>
              <w:pStyle w:val="AnnexNumberedText"/>
            </w:pPr>
            <w:r>
              <w:t>4)</w:t>
            </w:r>
            <w:r>
              <w:tab/>
              <w:t>Umskipti yfir í hringrásarhagkerfi</w:t>
            </w:r>
          </w:p>
        </w:tc>
        <w:tc>
          <w:tcPr>
            <w:tcW w:w="5784" w:type="dxa"/>
            <w:tcMar>
              <w:top w:w="100" w:type="dxa"/>
              <w:left w:w="0" w:type="dxa"/>
              <w:bottom w:w="100" w:type="dxa"/>
              <w:right w:w="60" w:type="dxa"/>
            </w:tcMar>
          </w:tcPr>
          <w:p w14:paraId="0DC4B830" w14:textId="77777777" w:rsidR="007E0724" w:rsidRDefault="00C4775C">
            <w:pPr>
              <w:pStyle w:val="AnnexTableCellLeft"/>
              <w:ind w:left="40"/>
            </w:pPr>
            <w:r>
              <w:t>Á ekki við</w:t>
            </w:r>
          </w:p>
        </w:tc>
      </w:tr>
      <w:tr w:rsidR="007E0724" w14:paraId="0D2AE585" w14:textId="77777777">
        <w:trPr>
          <w:trHeight w:val="360"/>
        </w:trPr>
        <w:tc>
          <w:tcPr>
            <w:tcW w:w="2956" w:type="dxa"/>
            <w:tcMar>
              <w:top w:w="100" w:type="dxa"/>
              <w:left w:w="0" w:type="dxa"/>
              <w:bottom w:w="100" w:type="dxa"/>
              <w:right w:w="60" w:type="dxa"/>
            </w:tcMar>
          </w:tcPr>
          <w:p w14:paraId="39F57E84" w14:textId="77777777" w:rsidR="007E0724" w:rsidRDefault="00C4775C">
            <w:pPr>
              <w:pStyle w:val="AnnexNumberedText"/>
            </w:pPr>
            <w:r>
              <w:t>5)</w:t>
            </w:r>
            <w:r>
              <w:tab/>
              <w:t>Mengunarvarnir og eftirlit með mengun</w:t>
            </w:r>
          </w:p>
        </w:tc>
        <w:tc>
          <w:tcPr>
            <w:tcW w:w="5784" w:type="dxa"/>
            <w:tcMar>
              <w:top w:w="100" w:type="dxa"/>
              <w:left w:w="0" w:type="dxa"/>
              <w:bottom w:w="100" w:type="dxa"/>
              <w:right w:w="60" w:type="dxa"/>
            </w:tcMar>
          </w:tcPr>
          <w:p w14:paraId="1A0356F0" w14:textId="77777777" w:rsidR="007E0724" w:rsidRDefault="00C4775C">
            <w:pPr>
              <w:pStyle w:val="AnnexTableCellLeft"/>
              <w:ind w:left="40"/>
            </w:pPr>
            <w:r>
              <w:t>Á ekki við</w:t>
            </w:r>
          </w:p>
        </w:tc>
      </w:tr>
      <w:tr w:rsidR="007E0724" w14:paraId="4F616E67" w14:textId="77777777">
        <w:trPr>
          <w:trHeight w:val="360"/>
        </w:trPr>
        <w:tc>
          <w:tcPr>
            <w:tcW w:w="2956" w:type="dxa"/>
            <w:tcMar>
              <w:top w:w="100" w:type="dxa"/>
              <w:left w:w="0" w:type="dxa"/>
              <w:bottom w:w="100" w:type="dxa"/>
              <w:right w:w="60" w:type="dxa"/>
            </w:tcMar>
          </w:tcPr>
          <w:p w14:paraId="41B3D8DD" w14:textId="77777777" w:rsidR="007E0724" w:rsidRDefault="00C4775C">
            <w:pPr>
              <w:pStyle w:val="AnnexNumberedText"/>
            </w:pPr>
            <w:r>
              <w:t>6)</w:t>
            </w:r>
            <w:r>
              <w:tab/>
              <w:t>Vernd og endurheimt líffræðilegrar fjölbreytni og vistkerfa</w:t>
            </w:r>
          </w:p>
        </w:tc>
        <w:tc>
          <w:tcPr>
            <w:tcW w:w="5784" w:type="dxa"/>
            <w:tcMar>
              <w:top w:w="100" w:type="dxa"/>
              <w:left w:w="0" w:type="dxa"/>
              <w:bottom w:w="100" w:type="dxa"/>
              <w:right w:w="60" w:type="dxa"/>
            </w:tcMar>
          </w:tcPr>
          <w:p w14:paraId="2B935CF2" w14:textId="77777777" w:rsidR="007E0724" w:rsidRDefault="00C4775C">
            <w:pPr>
              <w:pStyle w:val="AnnexTableCellLeft"/>
              <w:ind w:left="40"/>
              <w:rPr>
                <w:szCs w:val="18"/>
              </w:rPr>
            </w:pPr>
            <w:r>
              <w:t>Starfsemin er í samræmi við viðmiðanirnar sem settar eru fram í viðbæti D við þennan viðauka (</w:t>
            </w:r>
            <w:r>
              <w:rPr>
                <w:rStyle w:val="Tilvsunneanmlsgrein"/>
                <w:sz w:val="18"/>
                <w:szCs w:val="18"/>
              </w:rPr>
              <w:footnoteReference w:id="180"/>
            </w:r>
            <w:r>
              <w:t>).</w:t>
            </w:r>
          </w:p>
        </w:tc>
      </w:tr>
    </w:tbl>
    <w:p w14:paraId="67D551FD" w14:textId="77777777" w:rsidR="007E0724" w:rsidRDefault="00C4775C">
      <w:pPr>
        <w:pStyle w:val="AnnexNumberedText"/>
        <w:spacing w:before="200" w:after="320"/>
        <w:ind w:left="500" w:hanging="500"/>
      </w:pPr>
      <w:r>
        <w:t>4.6.</w:t>
      </w:r>
      <w:r>
        <w:rPr>
          <w:b/>
        </w:rPr>
        <w:tab/>
        <w:t>Raforkuframleiðsla úr jarðvarmaorku</w:t>
      </w:r>
    </w:p>
    <w:p w14:paraId="7DB73850" w14:textId="77777777" w:rsidR="007E0724" w:rsidRDefault="00C4775C">
      <w:pPr>
        <w:pStyle w:val="AnnexGrSeq3"/>
        <w:spacing w:after="320"/>
        <w:ind w:left="500"/>
        <w:jc w:val="both"/>
      </w:pPr>
      <w:r>
        <w:rPr>
          <w:i/>
        </w:rPr>
        <w:t>Lýsing á starfseminni</w:t>
      </w:r>
    </w:p>
    <w:p w14:paraId="78F85A5B" w14:textId="77777777" w:rsidR="007E0724" w:rsidRDefault="00C4775C">
      <w:pPr>
        <w:pStyle w:val="AnnexNormal"/>
        <w:spacing w:after="320"/>
        <w:ind w:left="500"/>
      </w:pPr>
      <w:r>
        <w:t>Bygging eða rekstur raforkuframleiðslustöðva sem framleiða raforku úr jarðvarmaorku.</w:t>
      </w:r>
    </w:p>
    <w:p w14:paraId="6AAF5AA7" w14:textId="77777777" w:rsidR="007E0724" w:rsidRDefault="00C4775C">
      <w:pPr>
        <w:pStyle w:val="AnnexNormal"/>
        <w:spacing w:after="0"/>
        <w:ind w:left="500"/>
      </w:pPr>
      <w:r>
        <w:lastRenderedPageBreak/>
        <w:t>Atvinnustarfsemin í þessum flokki gæti tengst nokkrum kóðum atvinnugreinaflokkunar Evrópusambandsins, einkum D35.11 og F42.22, í samræmi við atvinnugreinaflokkunina sem komið var á með reglugerð (EB) nr. 1893/2006.</w:t>
      </w:r>
      <w:r>
        <w:br w:type="page"/>
      </w:r>
    </w:p>
    <w:p w14:paraId="6435B3C6" w14:textId="77777777" w:rsidR="007E0724" w:rsidRDefault="00C4775C">
      <w:pPr>
        <w:pStyle w:val="AnnexGrSeq3"/>
        <w:ind w:left="500"/>
        <w:jc w:val="left"/>
      </w:pPr>
      <w:r>
        <w:rPr>
          <w:i/>
        </w:rPr>
        <w:lastRenderedPageBreak/>
        <w:t>Tæknileg matsviðmið</w:t>
      </w:r>
    </w:p>
    <w:tbl>
      <w:tblPr>
        <w:tblStyle w:val="EFTATable"/>
        <w:tblW w:w="8752" w:type="dxa"/>
        <w:tblInd w:w="500" w:type="dxa"/>
        <w:tblLayout w:type="fixed"/>
        <w:tblLook w:val="04A0" w:firstRow="1" w:lastRow="0" w:firstColumn="1" w:lastColumn="0" w:noHBand="0" w:noVBand="1"/>
      </w:tblPr>
      <w:tblGrid>
        <w:gridCol w:w="2908"/>
        <w:gridCol w:w="5844"/>
      </w:tblGrid>
      <w:tr w:rsidR="007E0724" w14:paraId="2C2C3666" w14:textId="77777777">
        <w:trPr>
          <w:trHeight w:val="240"/>
        </w:trPr>
        <w:tc>
          <w:tcPr>
            <w:tcW w:w="8752" w:type="dxa"/>
            <w:gridSpan w:val="2"/>
            <w:tcMar>
              <w:top w:w="100" w:type="dxa"/>
              <w:left w:w="0" w:type="dxa"/>
              <w:bottom w:w="100" w:type="dxa"/>
              <w:right w:w="60" w:type="dxa"/>
            </w:tcMar>
          </w:tcPr>
          <w:p w14:paraId="7B3E9D79"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3E3BA089" w14:textId="77777777">
        <w:trPr>
          <w:trHeight w:val="240"/>
        </w:trPr>
        <w:tc>
          <w:tcPr>
            <w:tcW w:w="8752" w:type="dxa"/>
            <w:gridSpan w:val="2"/>
            <w:tcMar>
              <w:top w:w="100" w:type="dxa"/>
              <w:left w:w="0" w:type="dxa"/>
              <w:bottom w:w="100" w:type="dxa"/>
              <w:right w:w="60" w:type="dxa"/>
            </w:tcMar>
          </w:tcPr>
          <w:p w14:paraId="372FC23E" w14:textId="77777777" w:rsidR="007E0724" w:rsidRDefault="00C4775C">
            <w:pPr>
              <w:pStyle w:val="AnnexTableCellLeft"/>
            </w:pPr>
            <w:r>
              <w:t>Losun gróðurhúsalofttegunda á vistferlinum frá framleiðslu raforku úr jarðvarmaorku er minni en 100 g CO</w:t>
            </w:r>
            <w:r>
              <w:rPr>
                <w:vertAlign w:val="subscript"/>
              </w:rPr>
              <w:t>2</w:t>
            </w:r>
            <w:r>
              <w:t>e/kWh. Minnkun á losun gróðurhúsalofttegunda á vistferlinum er reiknuð út með því að nota tilmæli framkvæmdastjórnarinnar 2013/179/ESB eða, að öðrum kosti, með því að nota ISO 14067:2018 eða ISO 14064-1:2018. Óháður þriðji aðili sannprófar magngreinda losun gróðurhúsalofttegunda á vistferlinum.</w:t>
            </w:r>
          </w:p>
        </w:tc>
      </w:tr>
      <w:tr w:rsidR="007E0724" w14:paraId="2CEB8BB9" w14:textId="77777777">
        <w:trPr>
          <w:trHeight w:val="240"/>
        </w:trPr>
        <w:tc>
          <w:tcPr>
            <w:tcW w:w="8752" w:type="dxa"/>
            <w:gridSpan w:val="2"/>
            <w:tcMar>
              <w:top w:w="100" w:type="dxa"/>
              <w:left w:w="0" w:type="dxa"/>
              <w:bottom w:w="100" w:type="dxa"/>
              <w:right w:w="60" w:type="dxa"/>
            </w:tcMar>
          </w:tcPr>
          <w:p w14:paraId="108A83B6" w14:textId="77777777" w:rsidR="007E0724" w:rsidRDefault="00C4775C">
            <w:pPr>
              <w:pStyle w:val="AnnexTableCellLeft"/>
            </w:pPr>
            <w:r>
              <w:t>Ekki valda umtalsverðu tjóni</w:t>
            </w:r>
          </w:p>
        </w:tc>
      </w:tr>
      <w:tr w:rsidR="007E0724" w14:paraId="36A57164" w14:textId="77777777">
        <w:trPr>
          <w:trHeight w:val="360"/>
        </w:trPr>
        <w:tc>
          <w:tcPr>
            <w:tcW w:w="2908" w:type="dxa"/>
            <w:tcMar>
              <w:top w:w="100" w:type="dxa"/>
              <w:left w:w="0" w:type="dxa"/>
              <w:bottom w:w="100" w:type="dxa"/>
              <w:right w:w="60" w:type="dxa"/>
            </w:tcMar>
          </w:tcPr>
          <w:p w14:paraId="635C114C" w14:textId="77777777" w:rsidR="007E0724" w:rsidRDefault="00C4775C">
            <w:pPr>
              <w:pStyle w:val="AnnexNumberedText"/>
            </w:pPr>
            <w:r>
              <w:t>2)</w:t>
            </w:r>
            <w:r>
              <w:tab/>
              <w:t>Aðlögun að loftslagsbreytingum</w:t>
            </w:r>
          </w:p>
        </w:tc>
        <w:tc>
          <w:tcPr>
            <w:tcW w:w="5844" w:type="dxa"/>
            <w:tcMar>
              <w:top w:w="100" w:type="dxa"/>
              <w:left w:w="0" w:type="dxa"/>
              <w:bottom w:w="100" w:type="dxa"/>
              <w:right w:w="60" w:type="dxa"/>
            </w:tcMar>
          </w:tcPr>
          <w:p w14:paraId="5E106953" w14:textId="77777777" w:rsidR="007E0724" w:rsidRDefault="00C4775C">
            <w:pPr>
              <w:pStyle w:val="AnnexTableCellLeft"/>
              <w:ind w:left="40"/>
            </w:pPr>
            <w:r>
              <w:t>Starfsemin er í samræmi við viðmiðanirnar sem settar eru fram í viðbæti A við þennan viðauka.</w:t>
            </w:r>
          </w:p>
        </w:tc>
      </w:tr>
      <w:tr w:rsidR="007E0724" w14:paraId="7302DD0C" w14:textId="77777777">
        <w:trPr>
          <w:trHeight w:val="360"/>
        </w:trPr>
        <w:tc>
          <w:tcPr>
            <w:tcW w:w="2908" w:type="dxa"/>
            <w:tcMar>
              <w:top w:w="100" w:type="dxa"/>
              <w:left w:w="0" w:type="dxa"/>
              <w:bottom w:w="100" w:type="dxa"/>
              <w:right w:w="60" w:type="dxa"/>
            </w:tcMar>
          </w:tcPr>
          <w:p w14:paraId="03FBD3D0" w14:textId="77777777" w:rsidR="007E0724" w:rsidRDefault="00C4775C">
            <w:pPr>
              <w:pStyle w:val="AnnexNumberedText"/>
            </w:pPr>
            <w:r>
              <w:t>3)</w:t>
            </w:r>
            <w:r>
              <w:tab/>
              <w:t>Sjálfbær notkun og verndun vatns- og sjávarauðlinda</w:t>
            </w:r>
          </w:p>
        </w:tc>
        <w:tc>
          <w:tcPr>
            <w:tcW w:w="5844" w:type="dxa"/>
            <w:tcMar>
              <w:top w:w="100" w:type="dxa"/>
              <w:left w:w="0" w:type="dxa"/>
              <w:bottom w:w="100" w:type="dxa"/>
              <w:right w:w="60" w:type="dxa"/>
            </w:tcMar>
          </w:tcPr>
          <w:p w14:paraId="6EF974CD" w14:textId="77777777" w:rsidR="007E0724" w:rsidRDefault="00C4775C">
            <w:pPr>
              <w:pStyle w:val="AnnexTableCellLeft"/>
              <w:ind w:left="40"/>
            </w:pPr>
            <w:r>
              <w:t>Starfsemin er í samræmi við viðmiðanirnar sem settar eru fram í viðbæti B við þennan viðauka.</w:t>
            </w:r>
          </w:p>
        </w:tc>
      </w:tr>
      <w:tr w:rsidR="007E0724" w14:paraId="60BA23DD" w14:textId="77777777">
        <w:trPr>
          <w:trHeight w:val="360"/>
        </w:trPr>
        <w:tc>
          <w:tcPr>
            <w:tcW w:w="2908" w:type="dxa"/>
            <w:tcMar>
              <w:top w:w="100" w:type="dxa"/>
              <w:left w:w="0" w:type="dxa"/>
              <w:bottom w:w="100" w:type="dxa"/>
              <w:right w:w="60" w:type="dxa"/>
            </w:tcMar>
          </w:tcPr>
          <w:p w14:paraId="4FE709DF" w14:textId="77777777" w:rsidR="007E0724" w:rsidRDefault="00C4775C">
            <w:pPr>
              <w:pStyle w:val="AnnexNumberedText"/>
            </w:pPr>
            <w:r>
              <w:t>4)</w:t>
            </w:r>
            <w:r>
              <w:tab/>
              <w:t>Umskipti yfir í hringrásarhagkerfi</w:t>
            </w:r>
          </w:p>
        </w:tc>
        <w:tc>
          <w:tcPr>
            <w:tcW w:w="5844" w:type="dxa"/>
            <w:tcMar>
              <w:top w:w="100" w:type="dxa"/>
              <w:left w:w="0" w:type="dxa"/>
              <w:bottom w:w="100" w:type="dxa"/>
              <w:right w:w="60" w:type="dxa"/>
            </w:tcMar>
          </w:tcPr>
          <w:p w14:paraId="6D729B3B" w14:textId="77777777" w:rsidR="007E0724" w:rsidRDefault="00C4775C">
            <w:pPr>
              <w:pStyle w:val="AnnexTableCellLeft"/>
              <w:ind w:left="40"/>
            </w:pPr>
            <w:r>
              <w:t>Á ekki við</w:t>
            </w:r>
          </w:p>
        </w:tc>
      </w:tr>
      <w:tr w:rsidR="007E0724" w14:paraId="06DD9111" w14:textId="77777777">
        <w:trPr>
          <w:trHeight w:val="360"/>
        </w:trPr>
        <w:tc>
          <w:tcPr>
            <w:tcW w:w="2908" w:type="dxa"/>
            <w:tcMar>
              <w:top w:w="100" w:type="dxa"/>
              <w:left w:w="0" w:type="dxa"/>
              <w:bottom w:w="100" w:type="dxa"/>
              <w:right w:w="60" w:type="dxa"/>
            </w:tcMar>
          </w:tcPr>
          <w:p w14:paraId="5FFEB1D2" w14:textId="77777777" w:rsidR="007E0724" w:rsidRDefault="00C4775C">
            <w:pPr>
              <w:pStyle w:val="AnnexNumberedText"/>
              <w:rPr>
                <w:szCs w:val="18"/>
              </w:rPr>
            </w:pPr>
            <w:r>
              <w:t>5)</w:t>
            </w:r>
            <w:r>
              <w:tab/>
              <w:t>Mengunarvarnir og eftirlit með mengun</w:t>
            </w:r>
          </w:p>
        </w:tc>
        <w:tc>
          <w:tcPr>
            <w:tcW w:w="5844" w:type="dxa"/>
            <w:tcMar>
              <w:top w:w="100" w:type="dxa"/>
              <w:left w:w="0" w:type="dxa"/>
              <w:bottom w:w="100" w:type="dxa"/>
              <w:right w:w="60" w:type="dxa"/>
            </w:tcMar>
          </w:tcPr>
          <w:p w14:paraId="48F8ABA4" w14:textId="77777777" w:rsidR="007E0724" w:rsidRDefault="00C4775C">
            <w:pPr>
              <w:pStyle w:val="AnnexTableCellLeft"/>
              <w:ind w:left="40"/>
              <w:rPr>
                <w:szCs w:val="18"/>
              </w:rPr>
            </w:pPr>
            <w:r>
              <w:t xml:space="preserve">Að því er varðar </w:t>
            </w:r>
            <w:proofErr w:type="spellStart"/>
            <w:r>
              <w:t>starfrækslu</w:t>
            </w:r>
            <w:proofErr w:type="spellEnd"/>
            <w:r>
              <w:t xml:space="preserve"> jarðvarmaorkukerfa með háu vermi eru fullnægjandi hreinsunarkerfi til staðar til að draga úr losun í því skyni að hindra ekki að viðmiðunarmörk fyrir loftgæði náist, sem sett eru fram í tilskipun Evrópuþingsins og ráðsins 2004/107/EB (</w:t>
            </w:r>
            <w:r>
              <w:rPr>
                <w:rStyle w:val="Tilvsunneanmlsgrein"/>
                <w:sz w:val="18"/>
                <w:szCs w:val="18"/>
              </w:rPr>
              <w:footnoteReference w:id="181"/>
            </w:r>
            <w:r>
              <w:t>) og tilskipun Evrópuþingsins og ráðsins 2008/50/EB (</w:t>
            </w:r>
            <w:r>
              <w:rPr>
                <w:rStyle w:val="Tilvsunneanmlsgrein"/>
                <w:sz w:val="18"/>
                <w:szCs w:val="18"/>
              </w:rPr>
              <w:footnoteReference w:id="182"/>
            </w:r>
            <w:r>
              <w:t>).</w:t>
            </w:r>
          </w:p>
        </w:tc>
      </w:tr>
      <w:tr w:rsidR="007E0724" w14:paraId="1AE0FE57" w14:textId="77777777">
        <w:trPr>
          <w:trHeight w:val="360"/>
        </w:trPr>
        <w:tc>
          <w:tcPr>
            <w:tcW w:w="2908" w:type="dxa"/>
            <w:tcMar>
              <w:top w:w="100" w:type="dxa"/>
              <w:left w:w="0" w:type="dxa"/>
              <w:bottom w:w="100" w:type="dxa"/>
              <w:right w:w="60" w:type="dxa"/>
            </w:tcMar>
          </w:tcPr>
          <w:p w14:paraId="7D12EE85" w14:textId="77777777" w:rsidR="007E0724" w:rsidRDefault="00C4775C">
            <w:pPr>
              <w:pStyle w:val="AnnexNumberedText"/>
            </w:pPr>
            <w:r>
              <w:t>6)</w:t>
            </w:r>
            <w:r>
              <w:tab/>
              <w:t>Vernd og endurheimt líffræðilegrar fjölbreytni og vistkerfa</w:t>
            </w:r>
          </w:p>
        </w:tc>
        <w:tc>
          <w:tcPr>
            <w:tcW w:w="5844" w:type="dxa"/>
            <w:tcMar>
              <w:top w:w="100" w:type="dxa"/>
              <w:left w:w="0" w:type="dxa"/>
              <w:bottom w:w="100" w:type="dxa"/>
              <w:right w:w="60" w:type="dxa"/>
            </w:tcMar>
          </w:tcPr>
          <w:p w14:paraId="5A55711B" w14:textId="77777777" w:rsidR="007E0724" w:rsidRDefault="00C4775C">
            <w:pPr>
              <w:pStyle w:val="AnnexTableCellLeft"/>
              <w:ind w:left="40"/>
            </w:pPr>
            <w:r>
              <w:t>Starfsemin er í samræmi við viðmiðanirnar sem settar eru fram í viðbæti D við þennan viðauka.</w:t>
            </w:r>
          </w:p>
        </w:tc>
      </w:tr>
    </w:tbl>
    <w:p w14:paraId="448A07CD" w14:textId="77777777" w:rsidR="007E0724" w:rsidRDefault="00C4775C">
      <w:pPr>
        <w:pStyle w:val="AnnexNumberedText"/>
        <w:spacing w:before="200"/>
        <w:ind w:left="504" w:hanging="504"/>
      </w:pPr>
      <w:r>
        <w:t>4.7.</w:t>
      </w:r>
      <w:r>
        <w:rPr>
          <w:b/>
        </w:rPr>
        <w:tab/>
        <w:t>Raforkuframleiðsla úr endurnýjanlegu loftkenndu eldsneyti sem er ekki jarðefnaeldsneyti og fljótandi eldsneyti</w:t>
      </w:r>
    </w:p>
    <w:p w14:paraId="7E5A2626" w14:textId="77777777" w:rsidR="007E0724" w:rsidRDefault="00C4775C">
      <w:pPr>
        <w:pStyle w:val="AnnexGrSeq3"/>
        <w:ind w:left="500"/>
        <w:jc w:val="both"/>
      </w:pPr>
      <w:r>
        <w:rPr>
          <w:i/>
        </w:rPr>
        <w:t>Lýsing á starfseminni</w:t>
      </w:r>
    </w:p>
    <w:p w14:paraId="63768879" w14:textId="77777777" w:rsidR="007E0724" w:rsidRDefault="00C4775C">
      <w:pPr>
        <w:pStyle w:val="AnnexNormal"/>
        <w:ind w:left="500"/>
      </w:pPr>
      <w:r>
        <w:t>Bygging eða rekstur raforkuframleiðslustöðva sem framleiða raforku með notkun loftkennds og fljótandi eldsneytis af endurnýjanlegum uppruna. Þessi starfsemi nær ekki yfir framleiðslu á raforku þar sem einungis er notað lífgas og fljótandi lífeldsneyti (sjá þátt 4.8 í þessum viðauka).</w:t>
      </w:r>
    </w:p>
    <w:p w14:paraId="555E6FC9" w14:textId="77777777" w:rsidR="007E0724" w:rsidRDefault="00C4775C">
      <w:pPr>
        <w:pStyle w:val="AnnexNormal"/>
        <w:ind w:left="500"/>
      </w:pPr>
      <w:r>
        <w:t>Atvinnustarfsemin í þessum flokki gæti tengst nokkrum kóðum atvinnugreinaflokkunar Evrópusambandsins, einkum D35.11 og F42.22, í samræmi við atvinnugreinaflokkunina sem komið var á með reglugerð (EB) nr. 1893/2006.</w:t>
      </w:r>
    </w:p>
    <w:p w14:paraId="22F34617" w14:textId="77777777" w:rsidR="007E0724" w:rsidRDefault="00C4775C">
      <w:pPr>
        <w:pStyle w:val="AnnexGrSeq3"/>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2800"/>
        <w:gridCol w:w="5952"/>
      </w:tblGrid>
      <w:tr w:rsidR="007E0724" w14:paraId="1FD2AF08" w14:textId="77777777">
        <w:trPr>
          <w:trHeight w:val="240"/>
        </w:trPr>
        <w:tc>
          <w:tcPr>
            <w:tcW w:w="8752" w:type="dxa"/>
            <w:gridSpan w:val="2"/>
            <w:tcBorders>
              <w:bottom w:val="single" w:sz="4" w:space="0" w:color="auto"/>
            </w:tcBorders>
            <w:tcMar>
              <w:top w:w="100" w:type="dxa"/>
              <w:left w:w="0" w:type="dxa"/>
              <w:bottom w:w="100" w:type="dxa"/>
              <w:right w:w="60" w:type="dxa"/>
            </w:tcMar>
          </w:tcPr>
          <w:p w14:paraId="69D4B28D"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774C2493" w14:textId="77777777">
        <w:trPr>
          <w:trHeight w:val="240"/>
        </w:trPr>
        <w:tc>
          <w:tcPr>
            <w:tcW w:w="8752" w:type="dxa"/>
            <w:gridSpan w:val="2"/>
            <w:tcBorders>
              <w:bottom w:val="nil"/>
            </w:tcBorders>
            <w:tcMar>
              <w:top w:w="100" w:type="dxa"/>
              <w:left w:w="0" w:type="dxa"/>
              <w:bottom w:w="100" w:type="dxa"/>
              <w:right w:w="60" w:type="dxa"/>
            </w:tcMar>
          </w:tcPr>
          <w:p w14:paraId="70917748" w14:textId="77777777" w:rsidR="007E0724" w:rsidRDefault="00C4775C">
            <w:pPr>
              <w:pStyle w:val="AnnexNumberedText"/>
              <w:tabs>
                <w:tab w:val="left" w:pos="508"/>
              </w:tabs>
              <w:spacing w:after="240"/>
              <w:ind w:left="0" w:firstLine="0"/>
            </w:pPr>
            <w:r>
              <w:t>1.</w:t>
            </w:r>
            <w:r>
              <w:tab/>
              <w:t>Losun gróðurhúsalofttegunda á vistferlinum frá framleiðslu á raforku með notkun endurnýjanlegs loftkennds og fljótandi eldsneytis er minni en 100 g CO</w:t>
            </w:r>
            <w:r>
              <w:rPr>
                <w:vertAlign w:val="subscript"/>
              </w:rPr>
              <w:t>2</w:t>
            </w:r>
            <w:r>
              <w:t>e/kWh.</w:t>
            </w:r>
          </w:p>
          <w:p w14:paraId="1799F9E6" w14:textId="77777777" w:rsidR="007E0724" w:rsidRDefault="00C4775C">
            <w:pPr>
              <w:pStyle w:val="AnnexTableCellLeft"/>
              <w:spacing w:after="240"/>
              <w:rPr>
                <w:szCs w:val="18"/>
              </w:rPr>
            </w:pPr>
            <w:r>
              <w:t>Losun gróðurhúsalofttegunda á vistferlinum er reiknuð út á grundvelli verkefnissértækra gagna, ef þau eru tiltæk, með því að nota tilmæli 2013/179/ESB eða, að öðrum kosti, með því að nota ISO 14067:2018 (</w:t>
            </w:r>
            <w:r>
              <w:rPr>
                <w:rStyle w:val="Tilvsunneanmlsgrein"/>
                <w:sz w:val="18"/>
                <w:szCs w:val="18"/>
              </w:rPr>
              <w:footnoteReference w:id="183"/>
            </w:r>
            <w:r>
              <w:t>) eða ISO 14064-1:2018 (</w:t>
            </w:r>
            <w:r>
              <w:rPr>
                <w:rStyle w:val="Tilvsunneanmlsgrein"/>
                <w:sz w:val="18"/>
                <w:szCs w:val="18"/>
              </w:rPr>
              <w:footnoteReference w:id="184"/>
            </w:r>
            <w:r>
              <w:t>).</w:t>
            </w:r>
          </w:p>
          <w:p w14:paraId="0914A009" w14:textId="77777777" w:rsidR="007E0724" w:rsidRDefault="00C4775C">
            <w:pPr>
              <w:pStyle w:val="AnnexTableCellLeft"/>
            </w:pPr>
            <w:r>
              <w:lastRenderedPageBreak/>
              <w:t>Óháður þriðji aðili sannprófar magngreinda losun gróðurhúsalofttegunda á vistferlinum.</w:t>
            </w:r>
          </w:p>
        </w:tc>
      </w:tr>
      <w:tr w:rsidR="007E0724" w14:paraId="6E386C5C" w14:textId="77777777">
        <w:trPr>
          <w:trHeight w:val="360"/>
        </w:trPr>
        <w:tc>
          <w:tcPr>
            <w:tcW w:w="8752" w:type="dxa"/>
            <w:gridSpan w:val="2"/>
            <w:tcBorders>
              <w:top w:val="nil"/>
            </w:tcBorders>
            <w:tcMar>
              <w:top w:w="100" w:type="dxa"/>
              <w:left w:w="0" w:type="dxa"/>
              <w:bottom w:w="100" w:type="dxa"/>
              <w:right w:w="60" w:type="dxa"/>
            </w:tcMar>
          </w:tcPr>
          <w:p w14:paraId="3F241B28" w14:textId="77777777" w:rsidR="007E0724" w:rsidRDefault="00C4775C">
            <w:pPr>
              <w:pStyle w:val="AnnexNumberedText"/>
              <w:pageBreakBefore/>
              <w:tabs>
                <w:tab w:val="left" w:pos="508"/>
              </w:tabs>
              <w:spacing w:after="280"/>
              <w:ind w:left="0" w:firstLine="0"/>
            </w:pPr>
            <w:r>
              <w:lastRenderedPageBreak/>
              <w:t>2.</w:t>
            </w:r>
            <w:r>
              <w:tab/>
              <w:t xml:space="preserve">Ef stöðvar taka upp einhvers konar form </w:t>
            </w:r>
            <w:proofErr w:type="spellStart"/>
            <w:r>
              <w:t>mildunar</w:t>
            </w:r>
            <w:proofErr w:type="spellEnd"/>
            <w:r>
              <w:t xml:space="preserve"> (þ.m.t. </w:t>
            </w:r>
            <w:proofErr w:type="spellStart"/>
            <w:r>
              <w:t>kolefnisföngun</w:t>
            </w:r>
            <w:proofErr w:type="spellEnd"/>
            <w:r>
              <w:t xml:space="preserve"> eða notkun á </w:t>
            </w:r>
            <w:proofErr w:type="spellStart"/>
            <w:r>
              <w:t>afkoluðu</w:t>
            </w:r>
            <w:proofErr w:type="spellEnd"/>
            <w:r>
              <w:t xml:space="preserve"> eldsneyti) er sú </w:t>
            </w:r>
            <w:proofErr w:type="spellStart"/>
            <w:r>
              <w:t>mildunarstarfsemi</w:t>
            </w:r>
            <w:proofErr w:type="spellEnd"/>
            <w:r>
              <w:t xml:space="preserve"> í samræmi við viðmiðanirnar sem settar eru fram í viðkomandi þætti í þessum viðauka, eftir atvikum.</w:t>
            </w:r>
          </w:p>
          <w:p w14:paraId="67329BD4" w14:textId="77777777" w:rsidR="007E0724" w:rsidRDefault="00C4775C">
            <w:pPr>
              <w:pStyle w:val="AnnexTableCellLeft"/>
              <w:tabs>
                <w:tab w:val="left" w:pos="508"/>
              </w:tabs>
              <w:spacing w:after="280"/>
            </w:pPr>
            <w:r>
              <w:t>Ef koltvísýringur, sem væri að öðrum kosti losaður í raforkuframleiðsluferlinu, er fangaður í þeim tilgangi að geyma hann neðanjarðar er koltvísýringurinn fluttur og geymdur neðanjarðar í samræmi við tæknilegu matsviðmiðin sem sett eru fram í þáttum 5.11 og 5.12 í þessum viðauka.</w:t>
            </w:r>
          </w:p>
          <w:p w14:paraId="1B910D1A" w14:textId="77777777" w:rsidR="007E0724" w:rsidRDefault="00C4775C">
            <w:pPr>
              <w:pStyle w:val="AnnexNumberedText"/>
              <w:tabs>
                <w:tab w:val="left" w:pos="508"/>
              </w:tabs>
              <w:spacing w:after="280"/>
              <w:ind w:left="0" w:firstLine="0"/>
            </w:pPr>
            <w:r>
              <w:t>3.</w:t>
            </w:r>
            <w:r>
              <w:tab/>
              <w:t>Starfsemin uppfyllir aðra hvora eftirfarandi viðmiðun:</w:t>
            </w:r>
          </w:p>
          <w:p w14:paraId="26B0664E" w14:textId="77777777" w:rsidR="007E0724" w:rsidRDefault="00C4775C">
            <w:pPr>
              <w:pStyle w:val="AnnexNumberedText"/>
              <w:tabs>
                <w:tab w:val="left" w:pos="508"/>
              </w:tabs>
              <w:spacing w:after="280"/>
            </w:pPr>
            <w:r>
              <w:t>a)</w:t>
            </w:r>
            <w:r>
              <w:tab/>
              <w:t xml:space="preserve">við byggingu eru sett upp mælitæki til að vakta raunverulega losun, s.s. </w:t>
            </w:r>
            <w:proofErr w:type="spellStart"/>
            <w:r>
              <w:t>metanleka</w:t>
            </w:r>
            <w:proofErr w:type="spellEnd"/>
            <w:r>
              <w:t>, eða lekaskynjarar og viðgerðaáætlun innleidd,</w:t>
            </w:r>
          </w:p>
          <w:p w14:paraId="5851793A" w14:textId="77777777" w:rsidR="007E0724" w:rsidRDefault="00C4775C">
            <w:pPr>
              <w:pStyle w:val="AnnexNumberedText"/>
              <w:tabs>
                <w:tab w:val="left" w:pos="508"/>
              </w:tabs>
              <w:spacing w:after="280"/>
            </w:pPr>
            <w:r>
              <w:t>b)</w:t>
            </w:r>
            <w:r>
              <w:tab/>
              <w:t xml:space="preserve">við </w:t>
            </w:r>
            <w:proofErr w:type="spellStart"/>
            <w:r>
              <w:t>starfrækslu</w:t>
            </w:r>
            <w:proofErr w:type="spellEnd"/>
            <w:r>
              <w:t xml:space="preserve"> er greint frá raunmælingum á </w:t>
            </w:r>
            <w:proofErr w:type="spellStart"/>
            <w:r>
              <w:t>metanlosun</w:t>
            </w:r>
            <w:proofErr w:type="spellEnd"/>
            <w:r>
              <w:t xml:space="preserve"> og komið í veg fyrir leka.</w:t>
            </w:r>
          </w:p>
          <w:p w14:paraId="48A49D6E" w14:textId="77777777" w:rsidR="007E0724" w:rsidRDefault="00C4775C">
            <w:pPr>
              <w:pStyle w:val="AnnexNumberedText"/>
              <w:tabs>
                <w:tab w:val="left" w:pos="508"/>
              </w:tabs>
              <w:spacing w:after="280"/>
              <w:ind w:left="0" w:firstLine="0"/>
            </w:pPr>
            <w:r>
              <w:t>4.</w:t>
            </w:r>
            <w:r>
              <w:tab/>
              <w:t>Ef endurnýjanlegu loftkenndu eða fljótandi eldsneyti er blandað saman við lífgas eða fljótandi lífeldsneyti í starfseminni er lífmassinn úr landbúnaði, sem er notaður við framleiðsluna á lífgasinu eða fljótandi lífeldsneytinu, í samræmi við viðmiðanirnar sem mælt er fyrir um í 2. til 5. mgr. 29. gr. tilskipunar (ESB) 2018/2001 en lífmassi úr skógi uppfyllir viðmiðanirnar sem mælt er fyrir um í 6. og 7. mgr. 29. gr. þeirrar tilskipunar.</w:t>
            </w:r>
          </w:p>
        </w:tc>
      </w:tr>
      <w:tr w:rsidR="007E0724" w14:paraId="31D0331E" w14:textId="77777777">
        <w:trPr>
          <w:trHeight w:val="240"/>
        </w:trPr>
        <w:tc>
          <w:tcPr>
            <w:tcW w:w="8752" w:type="dxa"/>
            <w:gridSpan w:val="2"/>
            <w:tcMar>
              <w:top w:w="100" w:type="dxa"/>
              <w:left w:w="0" w:type="dxa"/>
              <w:bottom w:w="100" w:type="dxa"/>
              <w:right w:w="60" w:type="dxa"/>
            </w:tcMar>
          </w:tcPr>
          <w:p w14:paraId="05A1F8BE" w14:textId="77777777" w:rsidR="007E0724" w:rsidRDefault="00C4775C">
            <w:pPr>
              <w:pStyle w:val="AnnexTableCellLeft"/>
            </w:pPr>
            <w:r>
              <w:t>Ekki valda umtalsverðu tjóni</w:t>
            </w:r>
          </w:p>
        </w:tc>
      </w:tr>
      <w:tr w:rsidR="007E0724" w14:paraId="7D19E30E" w14:textId="77777777">
        <w:trPr>
          <w:trHeight w:val="360"/>
        </w:trPr>
        <w:tc>
          <w:tcPr>
            <w:tcW w:w="2800" w:type="dxa"/>
            <w:tcMar>
              <w:top w:w="100" w:type="dxa"/>
              <w:left w:w="0" w:type="dxa"/>
              <w:bottom w:w="100" w:type="dxa"/>
              <w:right w:w="60" w:type="dxa"/>
            </w:tcMar>
          </w:tcPr>
          <w:p w14:paraId="1B45D22E" w14:textId="77777777" w:rsidR="007E0724" w:rsidRDefault="00C4775C">
            <w:pPr>
              <w:pStyle w:val="AnnexNumberedText"/>
              <w:ind w:left="293" w:hanging="293"/>
            </w:pPr>
            <w:r>
              <w:t>2)</w:t>
            </w:r>
            <w:r>
              <w:tab/>
              <w:t>Aðlögun að loftslagsbreytingum</w:t>
            </w:r>
          </w:p>
        </w:tc>
        <w:tc>
          <w:tcPr>
            <w:tcW w:w="5952" w:type="dxa"/>
            <w:tcMar>
              <w:top w:w="100" w:type="dxa"/>
              <w:left w:w="0" w:type="dxa"/>
              <w:bottom w:w="100" w:type="dxa"/>
              <w:right w:w="60" w:type="dxa"/>
            </w:tcMar>
          </w:tcPr>
          <w:p w14:paraId="609CDEBD" w14:textId="77777777" w:rsidR="007E0724" w:rsidRDefault="00C4775C">
            <w:pPr>
              <w:pStyle w:val="AnnexTableCellLeft"/>
              <w:ind w:left="40"/>
            </w:pPr>
            <w:r>
              <w:t>Starfsemin er í samræmi við viðmiðanirnar sem settar eru fram í viðbæti A við þennan viðauka.</w:t>
            </w:r>
          </w:p>
        </w:tc>
      </w:tr>
      <w:tr w:rsidR="007E0724" w14:paraId="4C8674C8" w14:textId="77777777">
        <w:trPr>
          <w:trHeight w:val="360"/>
        </w:trPr>
        <w:tc>
          <w:tcPr>
            <w:tcW w:w="2800" w:type="dxa"/>
            <w:tcMar>
              <w:top w:w="100" w:type="dxa"/>
              <w:left w:w="0" w:type="dxa"/>
              <w:bottom w:w="100" w:type="dxa"/>
              <w:right w:w="60" w:type="dxa"/>
            </w:tcMar>
          </w:tcPr>
          <w:p w14:paraId="65288D97" w14:textId="77777777" w:rsidR="007E0724" w:rsidRDefault="00C4775C">
            <w:pPr>
              <w:pStyle w:val="AnnexNumberedText"/>
              <w:ind w:left="293" w:hanging="293"/>
            </w:pPr>
            <w:r>
              <w:t>3)</w:t>
            </w:r>
            <w:r>
              <w:tab/>
              <w:t>Sjálfbær notkun og verndun vatns- og sjávarauðlinda</w:t>
            </w:r>
          </w:p>
        </w:tc>
        <w:tc>
          <w:tcPr>
            <w:tcW w:w="5952" w:type="dxa"/>
            <w:tcMar>
              <w:top w:w="100" w:type="dxa"/>
              <w:left w:w="0" w:type="dxa"/>
              <w:bottom w:w="100" w:type="dxa"/>
              <w:right w:w="60" w:type="dxa"/>
            </w:tcMar>
          </w:tcPr>
          <w:p w14:paraId="5FCCBD49" w14:textId="77777777" w:rsidR="007E0724" w:rsidRDefault="00C4775C">
            <w:pPr>
              <w:pStyle w:val="AnnexTableCellLeft"/>
              <w:ind w:left="40"/>
            </w:pPr>
            <w:r>
              <w:t>Starfsemin er í samræmi við viðmiðanirnar sem settar eru fram í viðbæti B við þennan viðauka.</w:t>
            </w:r>
          </w:p>
        </w:tc>
      </w:tr>
      <w:tr w:rsidR="007E0724" w14:paraId="026B5041" w14:textId="77777777">
        <w:trPr>
          <w:trHeight w:val="360"/>
        </w:trPr>
        <w:tc>
          <w:tcPr>
            <w:tcW w:w="2800" w:type="dxa"/>
            <w:tcMar>
              <w:top w:w="100" w:type="dxa"/>
              <w:left w:w="0" w:type="dxa"/>
              <w:bottom w:w="100" w:type="dxa"/>
              <w:right w:w="60" w:type="dxa"/>
            </w:tcMar>
          </w:tcPr>
          <w:p w14:paraId="5D3AFFA3" w14:textId="77777777" w:rsidR="007E0724" w:rsidRDefault="00C4775C">
            <w:pPr>
              <w:pStyle w:val="AnnexNumberedText"/>
              <w:ind w:left="293" w:hanging="293"/>
            </w:pPr>
            <w:r>
              <w:t>4)</w:t>
            </w:r>
            <w:r>
              <w:tab/>
              <w:t>Umskipti yfir í hringrásarhagkerfi</w:t>
            </w:r>
          </w:p>
        </w:tc>
        <w:tc>
          <w:tcPr>
            <w:tcW w:w="5952" w:type="dxa"/>
            <w:tcMar>
              <w:top w:w="100" w:type="dxa"/>
              <w:left w:w="0" w:type="dxa"/>
              <w:bottom w:w="100" w:type="dxa"/>
              <w:right w:w="60" w:type="dxa"/>
            </w:tcMar>
          </w:tcPr>
          <w:p w14:paraId="3B6DE808" w14:textId="77777777" w:rsidR="007E0724" w:rsidRDefault="00C4775C">
            <w:pPr>
              <w:pStyle w:val="AnnexTableCellLeft"/>
              <w:ind w:left="40"/>
            </w:pPr>
            <w:r>
              <w:t>Á ekki við</w:t>
            </w:r>
          </w:p>
        </w:tc>
      </w:tr>
      <w:tr w:rsidR="007E0724" w14:paraId="1E2D55CB" w14:textId="77777777">
        <w:trPr>
          <w:trHeight w:val="360"/>
        </w:trPr>
        <w:tc>
          <w:tcPr>
            <w:tcW w:w="2800" w:type="dxa"/>
            <w:tcMar>
              <w:top w:w="100" w:type="dxa"/>
              <w:left w:w="0" w:type="dxa"/>
              <w:bottom w:w="100" w:type="dxa"/>
              <w:right w:w="60" w:type="dxa"/>
            </w:tcMar>
          </w:tcPr>
          <w:p w14:paraId="69F27CD1" w14:textId="77777777" w:rsidR="007E0724" w:rsidRDefault="00C4775C">
            <w:pPr>
              <w:pStyle w:val="AnnexNumberedText"/>
              <w:ind w:left="293" w:hanging="293"/>
            </w:pPr>
            <w:r>
              <w:t>5)</w:t>
            </w:r>
            <w:r>
              <w:tab/>
              <w:t>Mengunarvarnir og eftirlit með mengun</w:t>
            </w:r>
          </w:p>
        </w:tc>
        <w:tc>
          <w:tcPr>
            <w:tcW w:w="5952" w:type="dxa"/>
            <w:tcMar>
              <w:top w:w="100" w:type="dxa"/>
              <w:left w:w="0" w:type="dxa"/>
              <w:bottom w:w="100" w:type="dxa"/>
              <w:right w:w="60" w:type="dxa"/>
            </w:tcMar>
          </w:tcPr>
          <w:p w14:paraId="16AB4867" w14:textId="77777777" w:rsidR="007E0724" w:rsidRDefault="00C4775C">
            <w:pPr>
              <w:pStyle w:val="AnnexTableCellLeft"/>
              <w:spacing w:after="280"/>
              <w:ind w:left="40"/>
              <w:rPr>
                <w:szCs w:val="18"/>
              </w:rPr>
            </w:pPr>
            <w:r>
              <w:t>Losun fellur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185"/>
            </w:r>
            <w:r>
              <w:t>). Engin umtalsverð yfirfærsluáhrif milli umhverfishólfa eiga sér stað.</w:t>
            </w:r>
          </w:p>
          <w:p w14:paraId="4405662B" w14:textId="77777777" w:rsidR="007E0724" w:rsidRDefault="00C4775C">
            <w:pPr>
              <w:pStyle w:val="AnnexTableCellLeft"/>
              <w:spacing w:after="280"/>
              <w:ind w:left="40"/>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Evrópuþingsins og ráðsins (ESB) 2015/2193 (</w:t>
            </w:r>
            <w:r>
              <w:rPr>
                <w:rStyle w:val="Tilvsunneanmlsgrein"/>
                <w:sz w:val="18"/>
                <w:szCs w:val="18"/>
              </w:rPr>
              <w:footnoteReference w:id="186"/>
            </w:r>
            <w:r>
              <w:t>).</w:t>
            </w:r>
          </w:p>
        </w:tc>
      </w:tr>
      <w:tr w:rsidR="007E0724" w14:paraId="7D9AD0F7" w14:textId="77777777">
        <w:trPr>
          <w:trHeight w:val="360"/>
        </w:trPr>
        <w:tc>
          <w:tcPr>
            <w:tcW w:w="2800" w:type="dxa"/>
            <w:tcMar>
              <w:top w:w="100" w:type="dxa"/>
              <w:left w:w="0" w:type="dxa"/>
              <w:bottom w:w="100" w:type="dxa"/>
              <w:right w:w="60" w:type="dxa"/>
            </w:tcMar>
          </w:tcPr>
          <w:p w14:paraId="4C40FBE0" w14:textId="77777777" w:rsidR="007E0724" w:rsidRDefault="00C4775C">
            <w:pPr>
              <w:pStyle w:val="AnnexNumberedText"/>
              <w:ind w:left="293" w:hanging="293"/>
            </w:pPr>
            <w:r>
              <w:t>6)</w:t>
            </w:r>
            <w:r>
              <w:tab/>
              <w:t>Vernd og endurheimt líffræðilegrar fjölbreytni og vistkerfa</w:t>
            </w:r>
          </w:p>
        </w:tc>
        <w:tc>
          <w:tcPr>
            <w:tcW w:w="5952" w:type="dxa"/>
            <w:tcMar>
              <w:top w:w="100" w:type="dxa"/>
              <w:left w:w="0" w:type="dxa"/>
              <w:bottom w:w="100" w:type="dxa"/>
              <w:right w:w="60" w:type="dxa"/>
            </w:tcMar>
          </w:tcPr>
          <w:p w14:paraId="740BA3E0" w14:textId="77777777" w:rsidR="007E0724" w:rsidRDefault="00C4775C">
            <w:pPr>
              <w:pStyle w:val="AnnexTableCellLeft"/>
              <w:ind w:left="40"/>
            </w:pPr>
            <w:r>
              <w:t>Starfsemin er í samræmi við viðmiðanirnar sem settar eru fram í viðbæti D við þennan viðauka.</w:t>
            </w:r>
          </w:p>
        </w:tc>
      </w:tr>
    </w:tbl>
    <w:p w14:paraId="374F9907" w14:textId="77777777" w:rsidR="007E0724" w:rsidRDefault="00C4775C">
      <w:pPr>
        <w:pStyle w:val="AnnexNumberedText"/>
        <w:spacing w:before="200"/>
        <w:ind w:left="500" w:hanging="500"/>
      </w:pPr>
      <w:r>
        <w:t>4.8.</w:t>
      </w:r>
      <w:r>
        <w:rPr>
          <w:b/>
        </w:rPr>
        <w:tab/>
        <w:t>Raforkuframleiðsla úr líforku</w:t>
      </w:r>
    </w:p>
    <w:p w14:paraId="03AE80C8" w14:textId="77777777" w:rsidR="007E0724" w:rsidRDefault="00C4775C">
      <w:pPr>
        <w:pStyle w:val="AnnexGrSeq3"/>
        <w:ind w:left="500"/>
        <w:jc w:val="both"/>
      </w:pPr>
      <w:r>
        <w:rPr>
          <w:i/>
        </w:rPr>
        <w:lastRenderedPageBreak/>
        <w:t>Lýsing á starfseminni</w:t>
      </w:r>
    </w:p>
    <w:p w14:paraId="588F26F6" w14:textId="77777777" w:rsidR="007E0724" w:rsidRDefault="00C4775C">
      <w:pPr>
        <w:pStyle w:val="AnnexNormal"/>
        <w:ind w:left="500"/>
      </w:pPr>
      <w:r>
        <w:t>Bygging og rekstur raforkuframleiðslustöðva sem framleiða raforku eingöngu úr lífmassa, lífgasi eða fljótandi lífeldsneyti, að undanskilinni raforkuframleiðslu úr blöndu af endurnýjanlegu eldsneyti með lífgasi eða fljótandi lífeldsneyti (sjá þátt 4.7 í þessum viðauka).</w:t>
      </w:r>
      <w:r>
        <w:br w:type="page"/>
      </w:r>
    </w:p>
    <w:p w14:paraId="06D68EF3" w14:textId="77777777" w:rsidR="007E0724" w:rsidRDefault="00C4775C">
      <w:pPr>
        <w:pStyle w:val="AnnexNormal"/>
        <w:ind w:left="500"/>
      </w:pPr>
      <w:r>
        <w:lastRenderedPageBreak/>
        <w:t>Atvinnustarfsemin í þessum flokki gæti tengst kóða atvinnugreinaflokkunar Evrópusambandsins D35.11 í samræmi við atvinnugreinaflokkunina sem komið var á með reglugerð (EB) nr. 1893/2006.</w:t>
      </w:r>
    </w:p>
    <w:p w14:paraId="7036C31C" w14:textId="77777777" w:rsidR="007E0724" w:rsidRDefault="00C4775C">
      <w:pPr>
        <w:pStyle w:val="AnnexGrSeq3"/>
        <w:ind w:left="500"/>
        <w:jc w:val="left"/>
      </w:pPr>
      <w:r>
        <w:rPr>
          <w:i/>
        </w:rPr>
        <w:t>Tæknileg matsviðmið</w:t>
      </w:r>
    </w:p>
    <w:tbl>
      <w:tblPr>
        <w:tblStyle w:val="EFTATable"/>
        <w:tblW w:w="8740" w:type="dxa"/>
        <w:tblInd w:w="500" w:type="dxa"/>
        <w:tblLayout w:type="fixed"/>
        <w:tblLook w:val="04A0" w:firstRow="1" w:lastRow="0" w:firstColumn="1" w:lastColumn="0" w:noHBand="0" w:noVBand="1"/>
      </w:tblPr>
      <w:tblGrid>
        <w:gridCol w:w="2896"/>
        <w:gridCol w:w="12"/>
        <w:gridCol w:w="5832"/>
      </w:tblGrid>
      <w:tr w:rsidR="007E0724" w14:paraId="03DEF813" w14:textId="77777777">
        <w:trPr>
          <w:trHeight w:val="240"/>
        </w:trPr>
        <w:tc>
          <w:tcPr>
            <w:tcW w:w="8740" w:type="dxa"/>
            <w:gridSpan w:val="3"/>
            <w:tcMar>
              <w:top w:w="100" w:type="dxa"/>
              <w:left w:w="0" w:type="dxa"/>
              <w:bottom w:w="100" w:type="dxa"/>
              <w:right w:w="60" w:type="dxa"/>
            </w:tcMar>
          </w:tcPr>
          <w:p w14:paraId="7FE80A45"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1969E38B" w14:textId="77777777">
        <w:trPr>
          <w:trHeight w:val="360"/>
        </w:trPr>
        <w:tc>
          <w:tcPr>
            <w:tcW w:w="8740" w:type="dxa"/>
            <w:gridSpan w:val="3"/>
            <w:tcMar>
              <w:top w:w="100" w:type="dxa"/>
              <w:left w:w="0" w:type="dxa"/>
              <w:bottom w:w="100" w:type="dxa"/>
              <w:right w:w="60" w:type="dxa"/>
            </w:tcMar>
          </w:tcPr>
          <w:p w14:paraId="1BDF9FE3" w14:textId="77777777" w:rsidR="007E0724" w:rsidRDefault="00C4775C">
            <w:pPr>
              <w:pStyle w:val="AnnexNumberedText"/>
              <w:tabs>
                <w:tab w:val="left" w:pos="508"/>
              </w:tabs>
              <w:spacing w:after="460"/>
              <w:ind w:left="0" w:firstLine="0"/>
            </w:pPr>
            <w:r>
              <w:t>1.</w:t>
            </w:r>
            <w:r>
              <w:tab/>
              <w:t>Lífmassi úr landbúnaði sem er notaður í starfseminni er í samræmi við viðmiðanirnar sem mælt er fyrir um í 2. til 5. mgr. 29. gr. tilskipunar (ESB) 2018/2001. Lífmassi úr skógi sem er notaður í starfseminni er í samræmi við viðmiðanirnar sem mælt er fyrir um í 6. og 7. mgr. 29. gr. þeirrar tilskipunar.</w:t>
            </w:r>
          </w:p>
          <w:p w14:paraId="6D0576AB" w14:textId="77777777" w:rsidR="007E0724" w:rsidRDefault="00C4775C">
            <w:pPr>
              <w:pStyle w:val="AnnexNumberedText"/>
              <w:tabs>
                <w:tab w:val="left" w:pos="508"/>
              </w:tabs>
              <w:spacing w:after="460"/>
              <w:ind w:left="0" w:firstLine="0"/>
            </w:pPr>
            <w:r>
              <w:t>2.</w:t>
            </w:r>
            <w:r>
              <w:tab/>
              <w:t>Minnkun á losun gróðurhúsalofttegunda frá notkun lífmassa er a.m.k. 80% með tilliti til aðferðarinnar við að minnka gróðurhúsalofttegundir og hlutfallslegs jarðefnaeldsneytissambera sem sett eru fram í VI. viðauka við tilskipun (ESB) 2018/2001.</w:t>
            </w:r>
          </w:p>
          <w:p w14:paraId="05A66899" w14:textId="77777777" w:rsidR="007E0724" w:rsidRDefault="00C4775C">
            <w:pPr>
              <w:pStyle w:val="AnnexNumberedText"/>
              <w:tabs>
                <w:tab w:val="left" w:pos="508"/>
              </w:tabs>
              <w:spacing w:after="460"/>
              <w:ind w:left="0" w:firstLine="0"/>
            </w:pPr>
            <w:r>
              <w:t>3.</w:t>
            </w:r>
            <w:r>
              <w:tab/>
              <w:t xml:space="preserve">Ef stöðvar treysta á </w:t>
            </w:r>
            <w:proofErr w:type="spellStart"/>
            <w:r>
              <w:t>loftfirrða</w:t>
            </w:r>
            <w:proofErr w:type="spellEnd"/>
            <w:r>
              <w:t xml:space="preserve"> meltun lífræns efniviðar uppfyllir framleiðsla meltunnar viðmiðanirnar í þætti 5.6 og viðmiðun 1 og 2 í þætti 5.7 í þessum viðauka, eftir því sem við á.</w:t>
            </w:r>
          </w:p>
          <w:p w14:paraId="5C076D67" w14:textId="77777777" w:rsidR="007E0724" w:rsidRDefault="00C4775C">
            <w:pPr>
              <w:pStyle w:val="AnnexNumberedText"/>
              <w:tabs>
                <w:tab w:val="left" w:pos="508"/>
              </w:tabs>
              <w:spacing w:after="460"/>
              <w:ind w:left="0" w:firstLine="0"/>
            </w:pPr>
            <w:r>
              <w:t>4.</w:t>
            </w:r>
            <w:r>
              <w:tab/>
              <w:t>Ákvæði 1. og 2. liðar eiga ekki við um raforkuframleiðslustöðvar með heildarnafnvarmaafl sem er undir 2 MW þar sem notað er loftkennt lífmassaeldsneyti.</w:t>
            </w:r>
          </w:p>
          <w:p w14:paraId="23FCEE9F" w14:textId="77777777" w:rsidR="007E0724" w:rsidRDefault="00C4775C">
            <w:pPr>
              <w:pStyle w:val="AnnexNumberedText"/>
              <w:tabs>
                <w:tab w:val="left" w:pos="508"/>
              </w:tabs>
              <w:spacing w:after="460"/>
              <w:ind w:left="0" w:firstLine="0"/>
              <w:rPr>
                <w:szCs w:val="18"/>
              </w:rPr>
            </w:pPr>
            <w:r>
              <w:t>5.</w:t>
            </w:r>
            <w:r>
              <w:tab/>
              <w:t xml:space="preserve">Að því er varðar raforkuframleiðslustöðvar með heildarnafnvarmaafl frá 50 til 100 MW er notuð samvinnslutækni með góða </w:t>
            </w:r>
            <w:proofErr w:type="spellStart"/>
            <w:r>
              <w:t>orkunýtni</w:t>
            </w:r>
            <w:proofErr w:type="spellEnd"/>
            <w:r>
              <w:t xml:space="preserve"> í starfseminni eða, að því er varðar stöðvar sem framleiða eingöngu raforku, starfsemin uppfyllir </w:t>
            </w:r>
            <w:proofErr w:type="spellStart"/>
            <w:r>
              <w:t>orkunýtnistig</w:t>
            </w:r>
            <w:proofErr w:type="spellEnd"/>
            <w:r>
              <w:t xml:space="preserve"> sem tengist bestu aðgengilegu tækni sem sett er fram í nýjustu viðeigandi niðurstöðum um bestu aðgengilegu tækni, þ.m.t. niðurstöður um bestu aðgengilegu tækni fyrir stór brennsluver (</w:t>
            </w:r>
            <w:r>
              <w:rPr>
                <w:rStyle w:val="Tilvsunneanmlsgrein"/>
                <w:sz w:val="18"/>
                <w:szCs w:val="18"/>
              </w:rPr>
              <w:footnoteReference w:id="187"/>
            </w:r>
            <w:r>
              <w:t>).</w:t>
            </w:r>
          </w:p>
          <w:p w14:paraId="395B1A4F" w14:textId="77777777" w:rsidR="007E0724" w:rsidRDefault="00C4775C">
            <w:pPr>
              <w:pStyle w:val="AnnexNumberedText"/>
              <w:tabs>
                <w:tab w:val="left" w:pos="508"/>
              </w:tabs>
              <w:spacing w:after="460"/>
              <w:ind w:left="0" w:firstLine="0"/>
              <w:rPr>
                <w:szCs w:val="18"/>
              </w:rPr>
            </w:pPr>
            <w:r>
              <w:t>6.</w:t>
            </w:r>
            <w:r>
              <w:tab/>
              <w:t>Að því er varðar raforkuframleiðslustöðvar með heildarnafnvarmaafl yfir 100 MW er starfsemin í samræmi við eina eða fleiri af eftirfarandi viðmiðunum:</w:t>
            </w:r>
          </w:p>
          <w:p w14:paraId="770D2CA7" w14:textId="77777777" w:rsidR="007E0724" w:rsidRDefault="00C4775C">
            <w:pPr>
              <w:pStyle w:val="AnnexNumberedText"/>
              <w:spacing w:after="460"/>
              <w:rPr>
                <w:szCs w:val="18"/>
              </w:rPr>
            </w:pPr>
            <w:r>
              <w:t>a)</w:t>
            </w:r>
            <w:r>
              <w:tab/>
              <w:t xml:space="preserve">nær </w:t>
            </w:r>
            <w:proofErr w:type="spellStart"/>
            <w:r>
              <w:t>raforkunýtni</w:t>
            </w:r>
            <w:proofErr w:type="spellEnd"/>
            <w:r>
              <w:t xml:space="preserve"> sem nemur a.m.k. 36%,</w:t>
            </w:r>
          </w:p>
          <w:p w14:paraId="4F76E858" w14:textId="77777777" w:rsidR="007E0724" w:rsidRDefault="00C4775C">
            <w:pPr>
              <w:pStyle w:val="AnnexNumberedText"/>
              <w:spacing w:after="460"/>
              <w:rPr>
                <w:szCs w:val="18"/>
              </w:rPr>
            </w:pPr>
            <w:r>
              <w:t>b)</w:t>
            </w:r>
            <w:r>
              <w:tab/>
              <w:t xml:space="preserve">beitt er hánýtinni </w:t>
            </w:r>
            <w:proofErr w:type="spellStart"/>
            <w:r>
              <w:t>samþættri</w:t>
            </w:r>
            <w:proofErr w:type="spellEnd"/>
            <w:r>
              <w:t xml:space="preserve"> varma- og raforkuvinnslutækni (CHP) eins og um getur í tilskipun Evrópuþingsins og ráðsins 2012/27/ESB (</w:t>
            </w:r>
            <w:r>
              <w:rPr>
                <w:rStyle w:val="Tilvsunneanmlsgrein"/>
                <w:sz w:val="18"/>
                <w:szCs w:val="18"/>
              </w:rPr>
              <w:footnoteReference w:id="188"/>
            </w:r>
            <w:r>
              <w:t>).</w:t>
            </w:r>
          </w:p>
          <w:p w14:paraId="1FBC648B" w14:textId="77777777" w:rsidR="007E0724" w:rsidRDefault="00C4775C">
            <w:pPr>
              <w:pStyle w:val="AnnexNumberedText"/>
            </w:pPr>
            <w:r>
              <w:t>c)</w:t>
            </w:r>
            <w:r>
              <w:tab/>
              <w:t>notuð er tækni til að fanga og geyma kolefni. Ef koltvísýringur, sem væri að öðrum kosti losaður í raforkuframleiðsluferlinu, er fangaður í þeim tilgangi að geyma hann neðanjarðar er koltvísýringurinn fluttur og geymdur neðanjarðar í samræmi við tæknilegu matsviðmiðin sem sett eru fram í þáttum 5.11 og 5.12, eftir því sem við á í þessum viðauka.</w:t>
            </w:r>
          </w:p>
        </w:tc>
      </w:tr>
      <w:tr w:rsidR="007E0724" w14:paraId="6EE7DF55" w14:textId="77777777">
        <w:trPr>
          <w:trHeight w:val="240"/>
        </w:trPr>
        <w:tc>
          <w:tcPr>
            <w:tcW w:w="8740" w:type="dxa"/>
            <w:gridSpan w:val="3"/>
            <w:tcMar>
              <w:top w:w="100" w:type="dxa"/>
              <w:left w:w="0" w:type="dxa"/>
              <w:bottom w:w="100" w:type="dxa"/>
              <w:right w:w="60" w:type="dxa"/>
            </w:tcMar>
          </w:tcPr>
          <w:p w14:paraId="0E4B0412" w14:textId="77777777" w:rsidR="007E0724" w:rsidRDefault="00C4775C">
            <w:pPr>
              <w:pStyle w:val="AnnexTableCellLeft"/>
            </w:pPr>
            <w:r>
              <w:t>Ekki valda umtalsverðu tjóni</w:t>
            </w:r>
          </w:p>
        </w:tc>
      </w:tr>
      <w:tr w:rsidR="007E0724" w14:paraId="6E80BBF1" w14:textId="77777777">
        <w:trPr>
          <w:trHeight w:val="360"/>
        </w:trPr>
        <w:tc>
          <w:tcPr>
            <w:tcW w:w="2896" w:type="dxa"/>
            <w:tcMar>
              <w:top w:w="100" w:type="dxa"/>
              <w:left w:w="0" w:type="dxa"/>
              <w:bottom w:w="100" w:type="dxa"/>
              <w:right w:w="60" w:type="dxa"/>
            </w:tcMar>
          </w:tcPr>
          <w:p w14:paraId="506FB3F1" w14:textId="77777777" w:rsidR="007E0724" w:rsidRDefault="00C4775C">
            <w:pPr>
              <w:pStyle w:val="AnnexNumberedText"/>
            </w:pPr>
            <w:r>
              <w:t>2)</w:t>
            </w:r>
            <w:r>
              <w:tab/>
              <w:t>Aðlögun að loftslagsbreytingum</w:t>
            </w:r>
          </w:p>
        </w:tc>
        <w:tc>
          <w:tcPr>
            <w:tcW w:w="5844" w:type="dxa"/>
            <w:gridSpan w:val="2"/>
            <w:tcMar>
              <w:top w:w="100" w:type="dxa"/>
              <w:left w:w="0" w:type="dxa"/>
              <w:bottom w:w="100" w:type="dxa"/>
              <w:right w:w="60" w:type="dxa"/>
            </w:tcMar>
          </w:tcPr>
          <w:p w14:paraId="68570C53" w14:textId="77777777" w:rsidR="007E0724" w:rsidRDefault="00C4775C">
            <w:pPr>
              <w:pStyle w:val="AnnexTableCellLeft"/>
              <w:ind w:left="40"/>
            </w:pPr>
            <w:r>
              <w:t>Starfsemin er í samræmi við viðmiðanirnar sem settar eru fram í viðbæti A við þennan viðauka.</w:t>
            </w:r>
          </w:p>
        </w:tc>
      </w:tr>
      <w:tr w:rsidR="007E0724" w14:paraId="7F1394D7" w14:textId="77777777">
        <w:trPr>
          <w:trHeight w:val="360"/>
        </w:trPr>
        <w:tc>
          <w:tcPr>
            <w:tcW w:w="2896" w:type="dxa"/>
            <w:tcMar>
              <w:top w:w="100" w:type="dxa"/>
              <w:left w:w="0" w:type="dxa"/>
              <w:bottom w:w="100" w:type="dxa"/>
              <w:right w:w="60" w:type="dxa"/>
            </w:tcMar>
          </w:tcPr>
          <w:p w14:paraId="5BB70D0D" w14:textId="77777777" w:rsidR="007E0724" w:rsidRDefault="00C4775C">
            <w:pPr>
              <w:pStyle w:val="AnnexNumberedText"/>
            </w:pPr>
            <w:r>
              <w:t>3)</w:t>
            </w:r>
            <w:r>
              <w:tab/>
              <w:t>Sjálfbær notkun og verndun vatns- og sjávarauðlinda</w:t>
            </w:r>
          </w:p>
        </w:tc>
        <w:tc>
          <w:tcPr>
            <w:tcW w:w="5844" w:type="dxa"/>
            <w:gridSpan w:val="2"/>
            <w:tcMar>
              <w:top w:w="100" w:type="dxa"/>
              <w:left w:w="0" w:type="dxa"/>
              <w:bottom w:w="100" w:type="dxa"/>
              <w:right w:w="60" w:type="dxa"/>
            </w:tcMar>
          </w:tcPr>
          <w:p w14:paraId="187C9958" w14:textId="77777777" w:rsidR="007E0724" w:rsidRDefault="00C4775C">
            <w:pPr>
              <w:pStyle w:val="AnnexTableCellLeft"/>
              <w:ind w:left="40"/>
            </w:pPr>
            <w:r>
              <w:t>Starfsemin er í samræmi við viðmiðanirnar sem settar eru fram í viðbæti B við þennan viðauka.</w:t>
            </w:r>
          </w:p>
        </w:tc>
      </w:tr>
      <w:tr w:rsidR="007E0724" w14:paraId="079B428D" w14:textId="77777777">
        <w:trPr>
          <w:trHeight w:val="360"/>
        </w:trPr>
        <w:tc>
          <w:tcPr>
            <w:tcW w:w="2896" w:type="dxa"/>
            <w:tcMar>
              <w:top w:w="100" w:type="dxa"/>
              <w:left w:w="0" w:type="dxa"/>
              <w:bottom w:w="100" w:type="dxa"/>
              <w:right w:w="60" w:type="dxa"/>
            </w:tcMar>
          </w:tcPr>
          <w:p w14:paraId="2D41EE13" w14:textId="77777777" w:rsidR="007E0724" w:rsidRDefault="00C4775C">
            <w:pPr>
              <w:pStyle w:val="AnnexNumberedText"/>
            </w:pPr>
            <w:r>
              <w:lastRenderedPageBreak/>
              <w:t>4)</w:t>
            </w:r>
            <w:r>
              <w:tab/>
              <w:t>Umskipti yfir í hringrásarhagkerfi</w:t>
            </w:r>
          </w:p>
        </w:tc>
        <w:tc>
          <w:tcPr>
            <w:tcW w:w="5844" w:type="dxa"/>
            <w:gridSpan w:val="2"/>
            <w:tcMar>
              <w:top w:w="100" w:type="dxa"/>
              <w:left w:w="0" w:type="dxa"/>
              <w:bottom w:w="100" w:type="dxa"/>
              <w:right w:w="60" w:type="dxa"/>
            </w:tcMar>
          </w:tcPr>
          <w:p w14:paraId="55570D04" w14:textId="77777777" w:rsidR="007E0724" w:rsidRDefault="00C4775C">
            <w:pPr>
              <w:pStyle w:val="AnnexTableCellLeft"/>
              <w:ind w:left="40"/>
            </w:pPr>
            <w:r>
              <w:t>Á ekki við</w:t>
            </w:r>
          </w:p>
        </w:tc>
      </w:tr>
      <w:tr w:rsidR="007E0724" w14:paraId="1A0592B9" w14:textId="77777777">
        <w:trPr>
          <w:trHeight w:val="360"/>
        </w:trPr>
        <w:tc>
          <w:tcPr>
            <w:tcW w:w="2908" w:type="dxa"/>
            <w:gridSpan w:val="2"/>
            <w:tcMar>
              <w:top w:w="100" w:type="dxa"/>
              <w:left w:w="0" w:type="dxa"/>
              <w:bottom w:w="100" w:type="dxa"/>
              <w:right w:w="60" w:type="dxa"/>
            </w:tcMar>
          </w:tcPr>
          <w:p w14:paraId="6A54C482" w14:textId="77777777" w:rsidR="007E0724" w:rsidRDefault="00C4775C">
            <w:pPr>
              <w:pStyle w:val="AnnexNumberedText"/>
              <w:pageBreakBefore/>
            </w:pPr>
            <w:r>
              <w:lastRenderedPageBreak/>
              <w:t>5)</w:t>
            </w:r>
            <w:r>
              <w:tab/>
              <w:t>Mengunarvarnir og eftirlit með mengun</w:t>
            </w:r>
          </w:p>
        </w:tc>
        <w:tc>
          <w:tcPr>
            <w:tcW w:w="5832" w:type="dxa"/>
            <w:tcMar>
              <w:top w:w="100" w:type="dxa"/>
              <w:left w:w="0" w:type="dxa"/>
              <w:bottom w:w="100" w:type="dxa"/>
              <w:right w:w="60" w:type="dxa"/>
            </w:tcMar>
          </w:tcPr>
          <w:p w14:paraId="51038C49" w14:textId="77777777" w:rsidR="007E0724" w:rsidRDefault="00C4775C">
            <w:pPr>
              <w:pStyle w:val="AnnexTableCellLeft"/>
              <w:spacing w:after="250"/>
              <w:ind w:left="40"/>
              <w:rPr>
                <w:szCs w:val="18"/>
              </w:rPr>
            </w:pPr>
            <w:r>
              <w:t>Að því er varðar stöðvar sem falla undir gildissvið tilskipunar Evrópuþingsins og ráðsins 2010/75/ESB (</w:t>
            </w:r>
            <w:r>
              <w:rPr>
                <w:rStyle w:val="Tilvsunneanmlsgrein"/>
                <w:sz w:val="18"/>
                <w:szCs w:val="18"/>
              </w:rPr>
              <w:footnoteReference w:id="189"/>
            </w:r>
            <w:r>
              <w:t>), fellur losun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190"/>
            </w:r>
            <w:r>
              <w:t>). Engin umtalsverð yfirfærsluáhrif milli umhverfishólfa eiga sér stað.</w:t>
            </w:r>
          </w:p>
          <w:p w14:paraId="1029BD4A" w14:textId="77777777" w:rsidR="007E0724" w:rsidRDefault="00C4775C">
            <w:pPr>
              <w:pStyle w:val="AnnexTableCellLeft"/>
              <w:spacing w:after="250"/>
              <w:ind w:left="40"/>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p w14:paraId="2C4F8186" w14:textId="77777777" w:rsidR="007E0724" w:rsidRDefault="00C4775C">
            <w:pPr>
              <w:pStyle w:val="AnnexTableCellLeft"/>
              <w:spacing w:after="250"/>
              <w:ind w:left="40"/>
              <w:rPr>
                <w:szCs w:val="18"/>
              </w:rPr>
            </w:pPr>
            <w:r>
              <w:t>Að því er varðar stöðvar á svæðum eða hlutum svæða sem uppfylla ekki viðmiðunarmörkin fyrir loftgæði, sem mælt er fyrir um í tilskipun 2008/50/EB, eru gerðar ráðstafanir til að draga úr losun, að teknu tilliti til niðurstaða upplýsingaskiptanna (</w:t>
            </w:r>
            <w:r>
              <w:rPr>
                <w:rStyle w:val="Tilvsunneanmlsgrein"/>
                <w:sz w:val="18"/>
                <w:szCs w:val="18"/>
              </w:rPr>
              <w:footnoteReference w:id="191"/>
            </w:r>
            <w:r>
              <w:t>) sem framkvæmdastjórnin birtir í samræmi við 9. og 10. mgr. 6. gr. tilskipunar (ESB) 2015/2193.</w:t>
            </w:r>
          </w:p>
          <w:p w14:paraId="0128A9A8" w14:textId="77777777" w:rsidR="007E0724" w:rsidRDefault="00C4775C">
            <w:pPr>
              <w:pStyle w:val="AnnexTableCellLeft"/>
              <w:spacing w:after="250"/>
              <w:ind w:left="40"/>
              <w:rPr>
                <w:szCs w:val="18"/>
              </w:rPr>
            </w:pPr>
            <w:r>
              <w:t xml:space="preserve">Að því er varðar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í II. viðauka við reglugerð (ESB) 2019/1009 eða landsbundnar reglur um áburð eða jarðvegsbæta til notkunar í landbúnaði.</w:t>
            </w:r>
          </w:p>
          <w:p w14:paraId="10013972" w14:textId="77777777" w:rsidR="007E0724" w:rsidRDefault="00C4775C">
            <w:pPr>
              <w:pStyle w:val="AnnexTableCellLeft"/>
              <w:spacing w:after="250"/>
              <w:ind w:left="40"/>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192"/>
            </w:r>
            <w:r>
              <w:t>). Engin umtalsverð yfirfærsluáhrif milli umhverfishólfa eiga sér stað.</w:t>
            </w:r>
          </w:p>
        </w:tc>
      </w:tr>
      <w:tr w:rsidR="007E0724" w14:paraId="49A667AD" w14:textId="77777777">
        <w:trPr>
          <w:trHeight w:val="360"/>
        </w:trPr>
        <w:tc>
          <w:tcPr>
            <w:tcW w:w="2908" w:type="dxa"/>
            <w:gridSpan w:val="2"/>
            <w:tcMar>
              <w:top w:w="100" w:type="dxa"/>
              <w:left w:w="0" w:type="dxa"/>
              <w:bottom w:w="100" w:type="dxa"/>
              <w:right w:w="60" w:type="dxa"/>
            </w:tcMar>
          </w:tcPr>
          <w:p w14:paraId="62DA8D0C" w14:textId="77777777" w:rsidR="007E0724" w:rsidRDefault="00C4775C">
            <w:pPr>
              <w:pStyle w:val="AnnexNumberedText"/>
            </w:pPr>
            <w:r>
              <w:t>6)</w:t>
            </w:r>
            <w:r>
              <w:tab/>
              <w:t>Vernd og endurheimt líffræðilegrar fjölbreytni og vistkerfa</w:t>
            </w:r>
          </w:p>
        </w:tc>
        <w:tc>
          <w:tcPr>
            <w:tcW w:w="5832" w:type="dxa"/>
            <w:tcMar>
              <w:top w:w="100" w:type="dxa"/>
              <w:left w:w="0" w:type="dxa"/>
              <w:bottom w:w="100" w:type="dxa"/>
              <w:right w:w="60" w:type="dxa"/>
            </w:tcMar>
          </w:tcPr>
          <w:p w14:paraId="7561F2A4" w14:textId="77777777" w:rsidR="007E0724" w:rsidRDefault="00C4775C">
            <w:pPr>
              <w:pStyle w:val="AnnexTableCellLeft"/>
              <w:ind w:left="40"/>
            </w:pPr>
            <w:r>
              <w:t>Starfsemin er í samræmi við viðmiðanirnar sem settar eru fram í viðbæti D við þennan viðauka.</w:t>
            </w:r>
          </w:p>
        </w:tc>
      </w:tr>
    </w:tbl>
    <w:p w14:paraId="0FE4397C" w14:textId="77777777" w:rsidR="007E0724" w:rsidRDefault="00C4775C">
      <w:pPr>
        <w:pStyle w:val="AnnexNumberedText"/>
        <w:spacing w:before="200"/>
        <w:ind w:left="504" w:hanging="504"/>
      </w:pPr>
      <w:r>
        <w:t>4.9.</w:t>
      </w:r>
      <w:r>
        <w:rPr>
          <w:b/>
        </w:rPr>
        <w:tab/>
        <w:t>Flutningur og dreifing á raforku</w:t>
      </w:r>
    </w:p>
    <w:p w14:paraId="417DF129" w14:textId="77777777" w:rsidR="007E0724" w:rsidRDefault="00C4775C">
      <w:pPr>
        <w:pStyle w:val="AnnexGrSeq3"/>
        <w:spacing w:after="240"/>
        <w:ind w:left="500"/>
        <w:jc w:val="both"/>
      </w:pPr>
      <w:r>
        <w:rPr>
          <w:i/>
        </w:rPr>
        <w:t>Lýsing á starfseminni</w:t>
      </w:r>
    </w:p>
    <w:p w14:paraId="179984B1" w14:textId="77777777" w:rsidR="007E0724" w:rsidRDefault="00C4775C">
      <w:pPr>
        <w:pStyle w:val="AnnexNormal"/>
        <w:spacing w:after="240"/>
        <w:ind w:left="500"/>
      </w:pPr>
      <w:r>
        <w:t xml:space="preserve">Uppbygging og </w:t>
      </w:r>
      <w:proofErr w:type="spellStart"/>
      <w:r>
        <w:t>starfræksla</w:t>
      </w:r>
      <w:proofErr w:type="spellEnd"/>
      <w:r>
        <w:t xml:space="preserve"> flutningskerfa sem flytja raforku um samtengt kerfi fyrir mjög háa spennu og háspennu.</w:t>
      </w:r>
    </w:p>
    <w:p w14:paraId="7784491F" w14:textId="77777777" w:rsidR="007E0724" w:rsidRDefault="00C4775C">
      <w:pPr>
        <w:pStyle w:val="AnnexNormal"/>
        <w:spacing w:after="240"/>
        <w:ind w:left="500"/>
      </w:pPr>
      <w:r>
        <w:t xml:space="preserve">Uppbygging og </w:t>
      </w:r>
      <w:proofErr w:type="spellStart"/>
      <w:r>
        <w:t>starfræksla</w:t>
      </w:r>
      <w:proofErr w:type="spellEnd"/>
      <w:r>
        <w:t xml:space="preserve"> dreifikerfa sem flytja raforkuna um háspennu-, </w:t>
      </w:r>
      <w:proofErr w:type="spellStart"/>
      <w:r>
        <w:t>millispennu</w:t>
      </w:r>
      <w:proofErr w:type="spellEnd"/>
      <w:r>
        <w:t>- eða lágspennudreifikerfi.</w:t>
      </w:r>
    </w:p>
    <w:p w14:paraId="28F62DC3" w14:textId="77777777" w:rsidR="007E0724" w:rsidRDefault="00C4775C">
      <w:pPr>
        <w:pStyle w:val="AnnexNormal"/>
        <w:ind w:left="500"/>
      </w:pPr>
      <w:r>
        <w:t>Atvinnustarfsemin í þessum flokki gæti tengst nokkrum kóðum atvinnugreinaflokkunar Evrópusambandsins, einkum D35.12 og D35.13, í samræmi við atvinnugreinaflokkunina sem komið var á með reglugerð (EB) nr. 1893/2006.</w:t>
      </w:r>
      <w:r>
        <w:br w:type="page"/>
      </w:r>
    </w:p>
    <w:p w14:paraId="0746634A" w14:textId="77777777" w:rsidR="007E0724" w:rsidRDefault="00C4775C">
      <w:pPr>
        <w:pStyle w:val="AnnexNormal"/>
        <w:ind w:left="500"/>
      </w:pPr>
      <w:r>
        <w:lastRenderedPageBreak/>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325BD25E" w14:textId="77777777" w:rsidR="007E0724" w:rsidRDefault="00C4775C">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100"/>
        <w:gridCol w:w="5640"/>
      </w:tblGrid>
      <w:tr w:rsidR="007E0724" w14:paraId="75B42F49" w14:textId="77777777">
        <w:trPr>
          <w:trHeight w:val="240"/>
        </w:trPr>
        <w:tc>
          <w:tcPr>
            <w:tcW w:w="8740" w:type="dxa"/>
            <w:gridSpan w:val="2"/>
            <w:tcBorders>
              <w:bottom w:val="single" w:sz="4" w:space="0" w:color="auto"/>
            </w:tcBorders>
            <w:tcMar>
              <w:top w:w="100" w:type="dxa"/>
              <w:left w:w="0" w:type="dxa"/>
              <w:bottom w:w="100" w:type="dxa"/>
              <w:right w:w="60" w:type="dxa"/>
            </w:tcMar>
          </w:tcPr>
          <w:p w14:paraId="07A23ABE" w14:textId="77777777" w:rsidR="007E0724" w:rsidRDefault="00C4775C">
            <w:pPr>
              <w:pStyle w:val="AnnexTableCellLeft"/>
            </w:pPr>
            <w:r>
              <w:t xml:space="preserve">Verulegt framlag til </w:t>
            </w:r>
            <w:proofErr w:type="spellStart"/>
            <w:r>
              <w:t>mildunar</w:t>
            </w:r>
            <w:proofErr w:type="spellEnd"/>
            <w:r>
              <w:t xml:space="preserve"> loftslagsbreytinga</w:t>
            </w:r>
          </w:p>
        </w:tc>
      </w:tr>
      <w:tr w:rsidR="007E0724" w14:paraId="46FD9511" w14:textId="77777777">
        <w:trPr>
          <w:trHeight w:val="360"/>
        </w:trPr>
        <w:tc>
          <w:tcPr>
            <w:tcW w:w="8740" w:type="dxa"/>
            <w:gridSpan w:val="2"/>
            <w:tcBorders>
              <w:bottom w:val="nil"/>
            </w:tcBorders>
            <w:tcMar>
              <w:top w:w="100" w:type="dxa"/>
              <w:left w:w="0" w:type="dxa"/>
              <w:bottom w:w="100" w:type="dxa"/>
              <w:right w:w="60" w:type="dxa"/>
            </w:tcMar>
          </w:tcPr>
          <w:p w14:paraId="1C87006D" w14:textId="77777777" w:rsidR="007E0724" w:rsidRDefault="00C4775C">
            <w:pPr>
              <w:pStyle w:val="AnnexTableCellLeft"/>
              <w:spacing w:after="210"/>
            </w:pPr>
            <w:r>
              <w:t>Starfsemin er í samræmi við eina af eftirfarandi viðmiðunum:</w:t>
            </w:r>
          </w:p>
          <w:p w14:paraId="022827A6" w14:textId="77777777" w:rsidR="007E0724" w:rsidRDefault="00C4775C">
            <w:pPr>
              <w:pStyle w:val="AnnexNumberedText"/>
              <w:tabs>
                <w:tab w:val="left" w:pos="508"/>
              </w:tabs>
              <w:spacing w:after="210"/>
              <w:ind w:left="0" w:firstLine="0"/>
            </w:pPr>
            <w:r>
              <w:t>1.</w:t>
            </w:r>
            <w:r>
              <w:tab/>
              <w:t>Grunnvirki eða búnaður til flutnings og dreifingar er í raforkukerfi sem uppfyllir a.m.k. eina af eftirfarandi viðmiðunum:</w:t>
            </w:r>
          </w:p>
          <w:p w14:paraId="5985BACF" w14:textId="77777777" w:rsidR="007E0724" w:rsidRDefault="00C4775C">
            <w:pPr>
              <w:pStyle w:val="AnnexNumberedText"/>
              <w:spacing w:after="210"/>
            </w:pPr>
            <w:r>
              <w:t>a)</w:t>
            </w:r>
            <w:r>
              <w:tab/>
              <w:t>kerfið er samtengda evrópska kerfið, þ.e. samtengd stjórnsvæði aðildarríkja, Noregs, Sviss og Bretlands og undirskipuð kerfi þess,</w:t>
            </w:r>
          </w:p>
          <w:p w14:paraId="7A5C772E" w14:textId="77777777" w:rsidR="007E0724" w:rsidRDefault="00C4775C">
            <w:pPr>
              <w:pStyle w:val="AnnexNumberedText"/>
              <w:spacing w:after="210"/>
            </w:pPr>
            <w:r>
              <w:t>b)</w:t>
            </w:r>
            <w:r>
              <w:tab/>
              <w:t>yfir 67% af nýlega virkjaðri framleiðslugetu í kerfinu er undir viðmiðunargildinu fyrir framleiðsluna sem nemur 100 g CO</w:t>
            </w:r>
            <w:r>
              <w:rPr>
                <w:vertAlign w:val="subscript"/>
              </w:rPr>
              <w:t>2</w:t>
            </w:r>
            <w:r>
              <w:t>e/kWh, mælt á grundvelli vistferils í samræmi við raforkuframleiðsluviðmiðanir, yfir samfellt fimm ára tímabil,</w:t>
            </w:r>
          </w:p>
          <w:p w14:paraId="48552AB4" w14:textId="77777777" w:rsidR="007E0724" w:rsidRDefault="00C4775C">
            <w:pPr>
              <w:pStyle w:val="AnnexNumberedText"/>
              <w:spacing w:after="210"/>
            </w:pPr>
            <w:r>
              <w:t>c)</w:t>
            </w:r>
            <w:r>
              <w:tab/>
              <w:t>meðallosunarstuðull fyrir dreifikerfið, reiknaður út sem árleg heildarlosun frá orkuframleiðslu sem tengist kerfinu, deilt með hreinni árlegri heildarraforkuframleiðslu í því kerfi, er undir viðmiðunargildinu 100 g CO</w:t>
            </w:r>
            <w:r>
              <w:rPr>
                <w:vertAlign w:val="subscript"/>
              </w:rPr>
              <w:t>2</w:t>
            </w:r>
            <w:r>
              <w:t>e/kWh, mælt á grundvelli vistferils í samræmi við raforkuframleiðsluviðmiðanir, yfir samfellt fimm ára tímabil,</w:t>
            </w:r>
          </w:p>
          <w:p w14:paraId="06541323" w14:textId="77777777" w:rsidR="007E0724" w:rsidRDefault="00C4775C">
            <w:pPr>
              <w:pStyle w:val="AnnexTableCellLeft"/>
              <w:spacing w:after="210"/>
            </w:pPr>
            <w:r>
              <w:t xml:space="preserve">Grunnvirki sem ætlað er til að koma á beinni tengingu eða útvíkka fyrirliggjandi beina tengingu milli </w:t>
            </w:r>
            <w:proofErr w:type="spellStart"/>
            <w:r>
              <w:t>aðveitustöðvar</w:t>
            </w:r>
            <w:proofErr w:type="spellEnd"/>
            <w:r>
              <w:t xml:space="preserve"> eða </w:t>
            </w:r>
            <w:proofErr w:type="spellStart"/>
            <w:r>
              <w:t>netkerfis</w:t>
            </w:r>
            <w:proofErr w:type="spellEnd"/>
            <w:r>
              <w:t xml:space="preserve"> og orkuframleiðslustöðvar sem losar meira af gróðurhúsalofttegundum en 100 g CO</w:t>
            </w:r>
            <w:r>
              <w:rPr>
                <w:vertAlign w:val="subscript"/>
              </w:rPr>
              <w:t>2</w:t>
            </w:r>
            <w:r>
              <w:t>e/kWh, mælt á grundvelli vistferils, eru ekki í samræmi við reglur.</w:t>
            </w:r>
          </w:p>
          <w:p w14:paraId="626ECDBA" w14:textId="77777777" w:rsidR="007E0724" w:rsidRDefault="00C4775C">
            <w:pPr>
              <w:pStyle w:val="AnnexTableCellLeft"/>
              <w:spacing w:after="210"/>
            </w:pPr>
            <w:r>
              <w:t xml:space="preserve">Uppsetning mælainnviða sem uppfylla ekki kröfurnar fyrir </w:t>
            </w:r>
            <w:proofErr w:type="spellStart"/>
            <w:r>
              <w:t>snjallmælikerfi</w:t>
            </w:r>
            <w:proofErr w:type="spellEnd"/>
            <w:r>
              <w:t xml:space="preserve"> í 20. gr. tilskipunar (ESB) 2019/944 er ekki í samræmi við reglur.</w:t>
            </w:r>
          </w:p>
          <w:p w14:paraId="4FD73242" w14:textId="77777777" w:rsidR="007E0724" w:rsidRDefault="00C4775C">
            <w:pPr>
              <w:pStyle w:val="AnnexNumberedText"/>
              <w:tabs>
                <w:tab w:val="left" w:pos="508"/>
              </w:tabs>
              <w:spacing w:after="210"/>
              <w:ind w:left="0" w:firstLine="0"/>
            </w:pPr>
            <w:r>
              <w:t>2.</w:t>
            </w:r>
            <w:r>
              <w:tab/>
              <w:t>Starfsemin er ein af eftirfarandi:</w:t>
            </w:r>
          </w:p>
          <w:p w14:paraId="0DAFF814" w14:textId="77777777" w:rsidR="007E0724" w:rsidRDefault="00C4775C">
            <w:pPr>
              <w:pStyle w:val="AnnexNumberedText"/>
              <w:spacing w:after="210"/>
            </w:pPr>
            <w:r>
              <w:t>a)</w:t>
            </w:r>
            <w:r>
              <w:tab/>
              <w:t xml:space="preserve">lagning og </w:t>
            </w:r>
            <w:proofErr w:type="spellStart"/>
            <w:r>
              <w:t>starfræksla</w:t>
            </w:r>
            <w:proofErr w:type="spellEnd"/>
            <w:r>
              <w:t xml:space="preserve"> beinnar tengingar, eða útvíkkun fyrirliggjandi beinnar tengingar, fyrir raforkuframleiðslu með litla losun kolefna undir viðmiðunarmörkunum 100 g CO</w:t>
            </w:r>
            <w:r>
              <w:rPr>
                <w:vertAlign w:val="subscript"/>
              </w:rPr>
              <w:t>2</w:t>
            </w:r>
            <w:r>
              <w:t xml:space="preserve">e/kWh, mælt á á grundvelli vistferils, til </w:t>
            </w:r>
            <w:proofErr w:type="spellStart"/>
            <w:r>
              <w:t>aðveitustöðvar</w:t>
            </w:r>
            <w:proofErr w:type="spellEnd"/>
            <w:r>
              <w:t xml:space="preserve"> eða </w:t>
            </w:r>
            <w:proofErr w:type="spellStart"/>
            <w:r>
              <w:t>netkerfis</w:t>
            </w:r>
            <w:proofErr w:type="spellEnd"/>
            <w:r>
              <w:t>,</w:t>
            </w:r>
          </w:p>
          <w:p w14:paraId="32CCD289" w14:textId="77777777" w:rsidR="007E0724" w:rsidRDefault="00C4775C">
            <w:pPr>
              <w:pStyle w:val="AnnexNumberedText"/>
              <w:spacing w:after="210"/>
            </w:pPr>
            <w:r>
              <w:t>b)</w:t>
            </w:r>
            <w:r>
              <w:tab/>
              <w:t xml:space="preserve">uppbygging og rekstur á hleðslustöðvum fyrir </w:t>
            </w:r>
            <w:proofErr w:type="spellStart"/>
            <w:r>
              <w:t>rafknúin</w:t>
            </w:r>
            <w:proofErr w:type="spellEnd"/>
            <w:r>
              <w:t xml:space="preserve"> ökutæki og stuðningur við raforkugrunnvirki fyrir </w:t>
            </w:r>
            <w:proofErr w:type="spellStart"/>
            <w:r>
              <w:t>rafvæðingu</w:t>
            </w:r>
            <w:proofErr w:type="spellEnd"/>
            <w:r>
              <w:t xml:space="preserve"> flutninga, með fyrirvara um að farið sé að tæknilegum matsviðmiðum samkvæmt þættinum um flutninga í þessum viðauka,</w:t>
            </w:r>
          </w:p>
          <w:p w14:paraId="76B59F3E" w14:textId="77777777" w:rsidR="007E0724" w:rsidRDefault="00C4775C">
            <w:pPr>
              <w:pStyle w:val="AnnexNumberedText"/>
              <w:spacing w:after="210"/>
              <w:rPr>
                <w:szCs w:val="18"/>
              </w:rPr>
            </w:pPr>
            <w:r>
              <w:t>c)</w:t>
            </w:r>
            <w:r>
              <w:tab/>
              <w:t>uppsetning á flutnings- og dreifispennum sem uppfylla kröfurnar um Þrep 2 (frá 1. júlí 2021) sem settar eru fram í I. viðauka við reglugerð framkvæmdastjórnarinnar (ESB) nr. 548/2014 (</w:t>
            </w:r>
            <w:r>
              <w:rPr>
                <w:rStyle w:val="Tilvsunneanmlsgrein"/>
                <w:sz w:val="18"/>
                <w:szCs w:val="18"/>
              </w:rPr>
              <w:footnoteReference w:id="193"/>
            </w:r>
            <w:r>
              <w:t xml:space="preserve">) og, fyrir meðalstóra aflspenna með hæstu rekstrarspennu búnaðar sem fer ekki yfir 36 </w:t>
            </w:r>
            <w:proofErr w:type="spellStart"/>
            <w:r>
              <w:t>kV</w:t>
            </w:r>
            <w:proofErr w:type="spellEnd"/>
            <w:r>
              <w:t>, kröfurnar um AAA0-stig fyrir hámarkstöp án álags sem settar eru fram í staðli EN 50588-1 (</w:t>
            </w:r>
            <w:r>
              <w:rPr>
                <w:rStyle w:val="Tilvsunneanmlsgrein"/>
                <w:sz w:val="18"/>
                <w:szCs w:val="18"/>
              </w:rPr>
              <w:footnoteReference w:id="194"/>
            </w:r>
            <w:r>
              <w:t>).</w:t>
            </w:r>
          </w:p>
          <w:p w14:paraId="30AB06AF" w14:textId="77777777" w:rsidR="007E0724" w:rsidRDefault="00C4775C">
            <w:pPr>
              <w:pStyle w:val="AnnexNumberedText"/>
              <w:spacing w:after="210"/>
            </w:pPr>
            <w:r>
              <w:t>d)</w:t>
            </w:r>
            <w:r>
              <w:tab/>
              <w:t>uppbygging/uppsetning og rekstur á búnaði og grunnvirki þar sem meginmarkmiðið er að auka framleiðslu eða notkun á endurnýjanlegri raforku,</w:t>
            </w:r>
          </w:p>
          <w:p w14:paraId="2C2C367A" w14:textId="77777777" w:rsidR="007E0724" w:rsidRDefault="00C4775C">
            <w:pPr>
              <w:pStyle w:val="AnnexNumberedText"/>
              <w:spacing w:after="210"/>
            </w:pPr>
            <w:r>
              <w:t>e)</w:t>
            </w:r>
            <w:r>
              <w:tab/>
              <w:t xml:space="preserve">uppsetning á búnaði til að auka </w:t>
            </w:r>
            <w:proofErr w:type="spellStart"/>
            <w:r>
              <w:t>stýranleika</w:t>
            </w:r>
            <w:proofErr w:type="spellEnd"/>
            <w:r>
              <w:t xml:space="preserve"> og </w:t>
            </w:r>
            <w:proofErr w:type="spellStart"/>
            <w:r>
              <w:t>skoðanleika</w:t>
            </w:r>
            <w:proofErr w:type="spellEnd"/>
            <w:r>
              <w:t xml:space="preserve"> raforkukerfisins og til að gera það kleift að þróa og </w:t>
            </w:r>
            <w:proofErr w:type="spellStart"/>
            <w:r>
              <w:t>samþætta</w:t>
            </w:r>
            <w:proofErr w:type="spellEnd"/>
            <w:r>
              <w:t xml:space="preserve"> endurnýjanlega orkugjafa, þ.m.t.:</w:t>
            </w:r>
          </w:p>
          <w:p w14:paraId="3732A410" w14:textId="77777777" w:rsidR="007E0724" w:rsidRDefault="00C4775C">
            <w:pPr>
              <w:pStyle w:val="AnnexNumberedText"/>
              <w:spacing w:after="210"/>
              <w:ind w:left="600"/>
            </w:pPr>
            <w:r>
              <w:t>i.</w:t>
            </w:r>
            <w:r>
              <w:tab/>
              <w:t>skynjarar og mælitæki (þ.m.t. veðurfræðilegir skynjarar til að spá fyrir um endurnýjanlega framleiðslu),</w:t>
            </w:r>
          </w:p>
          <w:p w14:paraId="2CCCC711" w14:textId="77777777" w:rsidR="007E0724" w:rsidRDefault="00C4775C">
            <w:pPr>
              <w:pStyle w:val="AnnexNumberedText"/>
              <w:spacing w:after="240"/>
              <w:ind w:left="600"/>
            </w:pPr>
            <w:r>
              <w:t>ii.</w:t>
            </w:r>
            <w:r>
              <w:tab/>
              <w:t xml:space="preserve">boðskipti og stjórnun (þ.m.t. háþróaður hugbúnaður og stjórnherbergi, sjálfvirkni </w:t>
            </w:r>
            <w:proofErr w:type="spellStart"/>
            <w:r>
              <w:t>aðveitustöðva</w:t>
            </w:r>
            <w:proofErr w:type="spellEnd"/>
            <w:r>
              <w:t xml:space="preserve"> eða veitilína og </w:t>
            </w:r>
            <w:r>
              <w:lastRenderedPageBreak/>
              <w:t>geta til að stjórna spennu til að aðlagast dreifstýrðara innstreymi endurnýjanlegrar orku),</w:t>
            </w:r>
          </w:p>
        </w:tc>
      </w:tr>
      <w:tr w:rsidR="007E0724" w14:paraId="101DD6EC" w14:textId="77777777">
        <w:trPr>
          <w:trHeight w:val="360"/>
        </w:trPr>
        <w:tc>
          <w:tcPr>
            <w:tcW w:w="8740" w:type="dxa"/>
            <w:gridSpan w:val="2"/>
            <w:tcBorders>
              <w:top w:val="nil"/>
            </w:tcBorders>
            <w:tcMar>
              <w:top w:w="100" w:type="dxa"/>
              <w:left w:w="0" w:type="dxa"/>
              <w:bottom w:w="100" w:type="dxa"/>
              <w:right w:w="60" w:type="dxa"/>
            </w:tcMar>
          </w:tcPr>
          <w:p w14:paraId="094C885E" w14:textId="77777777" w:rsidR="007E0724" w:rsidRDefault="00C4775C">
            <w:pPr>
              <w:pStyle w:val="AnnexNumberedText"/>
              <w:pageBreakBefore/>
              <w:tabs>
                <w:tab w:val="right" w:pos="119"/>
              </w:tabs>
              <w:spacing w:after="360"/>
            </w:pPr>
            <w:r>
              <w:lastRenderedPageBreak/>
              <w:tab/>
              <w:t>f)</w:t>
            </w:r>
            <w:r>
              <w:tab/>
              <w:t xml:space="preserve">uppsetning á búnaði, s.s., en takmarkast ekki við, </w:t>
            </w:r>
            <w:proofErr w:type="spellStart"/>
            <w:r>
              <w:t>snjallmælikerfum</w:t>
            </w:r>
            <w:proofErr w:type="spellEnd"/>
            <w:r>
              <w:t xml:space="preserve"> sem sett verða upp síðar eða sem koma í stað </w:t>
            </w:r>
            <w:proofErr w:type="spellStart"/>
            <w:r>
              <w:t>snjallmælikerfa</w:t>
            </w:r>
            <w:proofErr w:type="spellEnd"/>
            <w:r>
              <w:t xml:space="preserve"> í samræmi við 6. mgr. 19. gr. tilskipunar Evrópuþingsins og ráðsins (ESB) 2019/944 (</w:t>
            </w:r>
            <w:r>
              <w:rPr>
                <w:rStyle w:val="Tilvsunneanmlsgrein"/>
                <w:sz w:val="18"/>
                <w:szCs w:val="18"/>
              </w:rPr>
              <w:footnoteReference w:id="195"/>
            </w:r>
            <w:r>
              <w:t xml:space="preserve">), sem uppfyllir kröfurnar í 20. gr. tilskipunar (ESB) 2019/944, sem getur flutt upplýsingar til notenda þannig að þeir geti, með fjartengingu, brugðist við notkun, þ.m.t. gagnanetmiðstöð (e. </w:t>
            </w:r>
            <w:proofErr w:type="spellStart"/>
            <w:r>
              <w:rPr>
                <w:i/>
                <w:iCs/>
              </w:rPr>
              <w:t>data</w:t>
            </w:r>
            <w:proofErr w:type="spellEnd"/>
            <w:r>
              <w:rPr>
                <w:i/>
                <w:iCs/>
              </w:rPr>
              <w:t xml:space="preserve"> </w:t>
            </w:r>
            <w:proofErr w:type="spellStart"/>
            <w:r>
              <w:rPr>
                <w:i/>
                <w:iCs/>
              </w:rPr>
              <w:t>hub</w:t>
            </w:r>
            <w:proofErr w:type="spellEnd"/>
            <w:r>
              <w:t>) fyrir viðskiptavini,</w:t>
            </w:r>
          </w:p>
          <w:p w14:paraId="581833CC" w14:textId="77777777" w:rsidR="007E0724" w:rsidRDefault="00C4775C">
            <w:pPr>
              <w:pStyle w:val="AnnexNumberedText"/>
              <w:spacing w:after="360"/>
            </w:pPr>
            <w:r>
              <w:t>g)</w:t>
            </w:r>
            <w:r>
              <w:tab/>
              <w:t>uppbygging/uppsetning á búnaði til að gera skipti á tiltekinni endurnýjanlegri raforku milli notenda möguleg,</w:t>
            </w:r>
          </w:p>
          <w:p w14:paraId="3387F50C" w14:textId="77777777" w:rsidR="007E0724" w:rsidRDefault="00C4775C">
            <w:pPr>
              <w:pStyle w:val="AnnexNumberedText"/>
              <w:spacing w:after="360"/>
            </w:pPr>
            <w:r>
              <w:t>h)</w:t>
            </w:r>
            <w:r>
              <w:tab/>
              <w:t>uppbygging og rekstur samtengla milli flutningskerfa, að því tilskildu að eitt af kerfunum sé í samræmi við reglur.</w:t>
            </w:r>
          </w:p>
          <w:p w14:paraId="01D0A255" w14:textId="77777777" w:rsidR="007E0724" w:rsidRDefault="00C4775C">
            <w:pPr>
              <w:pStyle w:val="AnnexTableCellLeft"/>
              <w:spacing w:after="360"/>
            </w:pPr>
            <w:r>
              <w:t>Að því er varðar þennan þátt gilda eftirfarandi skilgreiningar:</w:t>
            </w:r>
          </w:p>
          <w:p w14:paraId="3BF0499B" w14:textId="77777777" w:rsidR="007E0724" w:rsidRDefault="00C4775C">
            <w:pPr>
              <w:pStyle w:val="AnnexNumberedText"/>
              <w:spacing w:after="360"/>
            </w:pPr>
            <w:r>
              <w:t>a)</w:t>
            </w:r>
            <w:r>
              <w:tab/>
              <w:t>samfellda fimm ára tímabilið sem notað er til að ákvarða hvort farið er að viðmiðunarmörkunum er byggt á fimm samfelldum sögulegum árum, þ.m.t. árið sem nýjustu gögnin eru tiltæk fyrir,</w:t>
            </w:r>
          </w:p>
          <w:p w14:paraId="0C449808" w14:textId="77777777" w:rsidR="007E0724" w:rsidRDefault="00C4775C">
            <w:pPr>
              <w:pStyle w:val="AnnexNumberedText"/>
              <w:spacing w:after="360"/>
            </w:pPr>
            <w:r>
              <w:t>b)</w:t>
            </w:r>
            <w:r>
              <w:tab/>
              <w:t>„kerfi“: aflstýringarsvæði flutnings- eða dreifikerfis þar sem grunnvirki eða búnaður er settur upp,</w:t>
            </w:r>
          </w:p>
          <w:p w14:paraId="3E89116B" w14:textId="77777777" w:rsidR="007E0724" w:rsidRDefault="00C4775C">
            <w:pPr>
              <w:pStyle w:val="AnnexNumberedText"/>
              <w:spacing w:after="360"/>
            </w:pPr>
            <w:r>
              <w:t>c)</w:t>
            </w:r>
            <w:r>
              <w:tab/>
              <w:t>flutningskerfi geta náð yfir framleiðslugetu sem tengist undirskipuðum dreifikerfum,</w:t>
            </w:r>
          </w:p>
          <w:p w14:paraId="2B6E1DA6" w14:textId="77777777" w:rsidR="007E0724" w:rsidRDefault="00C4775C">
            <w:pPr>
              <w:pStyle w:val="AnnexNumberedText"/>
              <w:spacing w:after="360"/>
            </w:pPr>
            <w:r>
              <w:t>d)</w:t>
            </w:r>
            <w:r>
              <w:tab/>
              <w:t xml:space="preserve">dreifikerfi, sem eru undirskipuð flutningskerfi sem telst vera við það að ná fullri </w:t>
            </w:r>
            <w:proofErr w:type="spellStart"/>
            <w:r>
              <w:t>afkolun</w:t>
            </w:r>
            <w:proofErr w:type="spellEnd"/>
            <w:r>
              <w:t xml:space="preserve">, geta einnig talist vera við það að ná fullri </w:t>
            </w:r>
            <w:proofErr w:type="spellStart"/>
            <w:r>
              <w:t>afkolun</w:t>
            </w:r>
            <w:proofErr w:type="spellEnd"/>
            <w:r>
              <w:t>,</w:t>
            </w:r>
          </w:p>
          <w:p w14:paraId="3A7432BC" w14:textId="77777777" w:rsidR="007E0724" w:rsidRDefault="00C4775C">
            <w:pPr>
              <w:pStyle w:val="AnnexNumberedText"/>
              <w:spacing w:after="360"/>
            </w:pPr>
            <w:r>
              <w:t>e)</w:t>
            </w:r>
            <w:r>
              <w:tab/>
              <w:t>til að ákvarða hvort farið er að tilskildum ákvæðum er mögulegt að taka til athugunar kerfi sem nær yfir fleiri stjórnsvæði, sem eru samtengd og með umtalsverð orkuskipti á milli sín, en þá er notað vegið meðaltal losunarstuðuls allra hlutaðeigandi stjórnsvæða og einstök undirskipuð flutnings- eða dreifikerfi innan þessa kerfis eru ekki krafin um það hvert og eitt að sýna fram á að farið sé að tilskildum ákvæðum,</w:t>
            </w:r>
          </w:p>
          <w:p w14:paraId="16CB3070" w14:textId="77777777" w:rsidR="007E0724" w:rsidRDefault="00C4775C">
            <w:pPr>
              <w:pStyle w:val="AnnexNumberedText"/>
              <w:spacing w:after="360"/>
            </w:pPr>
            <w:r>
              <w:t>f)</w:t>
            </w:r>
            <w:r>
              <w:tab/>
              <w:t>mögulegt er að kerfi hætti að vera í samræmi við tilskilin ákvæði eftir að hafa verið það áður. Í kerfum sem hætta að vera í samræmi við tilskilin ákvæði er engin ný flutnings- og dreifingarstarfsemi í samræmi við tilskilin ákvæði frá þeirri stundu og áfram þar til kerfið verður aftur í samræmi við viðmiðunarmörkin (nema fyrir þá starfsemi sem er alltaf í samræmi við tilskilin ákvæði, sjá hér framar). Starfsemi innan undirskipaðra kerfa getur áfram verið í samræmi við tilskilin ákvæði ef þessi undirskipuðu kerfi uppfylla viðmiðanirnar í þessum þætti,</w:t>
            </w:r>
          </w:p>
          <w:p w14:paraId="0C0DFFDF" w14:textId="77777777" w:rsidR="007E0724" w:rsidRDefault="00C4775C">
            <w:pPr>
              <w:pStyle w:val="AnnexNumberedText"/>
              <w:spacing w:after="360"/>
            </w:pPr>
            <w:r>
              <w:t>g)</w:t>
            </w:r>
            <w:r>
              <w:tab/>
              <w:t xml:space="preserve">bein tenging eða útvíkkun fyrirliggjandi beinnar tengingar til framleiðslustöðva nær yfir grunnvirki sem eru ómissandi til að flytja tengda raforku frá raforkuvinnslustöðinni til </w:t>
            </w:r>
            <w:proofErr w:type="spellStart"/>
            <w:r>
              <w:t>aðveitustöðvar</w:t>
            </w:r>
            <w:proofErr w:type="spellEnd"/>
            <w:r>
              <w:t xml:space="preserve"> eða til </w:t>
            </w:r>
            <w:proofErr w:type="spellStart"/>
            <w:r>
              <w:t>netkerfisins</w:t>
            </w:r>
            <w:proofErr w:type="spellEnd"/>
            <w:r>
              <w:t>.</w:t>
            </w:r>
          </w:p>
        </w:tc>
      </w:tr>
      <w:tr w:rsidR="007E0724" w14:paraId="74F80DBF" w14:textId="77777777">
        <w:trPr>
          <w:trHeight w:val="240"/>
        </w:trPr>
        <w:tc>
          <w:tcPr>
            <w:tcW w:w="8740" w:type="dxa"/>
            <w:gridSpan w:val="2"/>
            <w:tcMar>
              <w:top w:w="100" w:type="dxa"/>
              <w:left w:w="0" w:type="dxa"/>
              <w:bottom w:w="100" w:type="dxa"/>
              <w:right w:w="60" w:type="dxa"/>
            </w:tcMar>
          </w:tcPr>
          <w:p w14:paraId="63CAC518" w14:textId="77777777" w:rsidR="007E0724" w:rsidRDefault="00C4775C">
            <w:pPr>
              <w:pStyle w:val="AnnexTableCellLeft"/>
            </w:pPr>
            <w:r>
              <w:t>Ekki valda umtalsverðu tjóni</w:t>
            </w:r>
          </w:p>
        </w:tc>
      </w:tr>
      <w:tr w:rsidR="007E0724" w14:paraId="453A60C9" w14:textId="77777777">
        <w:trPr>
          <w:trHeight w:val="360"/>
        </w:trPr>
        <w:tc>
          <w:tcPr>
            <w:tcW w:w="3100" w:type="dxa"/>
            <w:tcMar>
              <w:top w:w="100" w:type="dxa"/>
              <w:left w:w="0" w:type="dxa"/>
              <w:bottom w:w="100" w:type="dxa"/>
              <w:right w:w="60" w:type="dxa"/>
            </w:tcMar>
          </w:tcPr>
          <w:p w14:paraId="6B344508" w14:textId="77777777" w:rsidR="007E0724" w:rsidRDefault="00C4775C">
            <w:pPr>
              <w:pStyle w:val="AnnexNumberedText"/>
              <w:ind w:left="293" w:hanging="293"/>
            </w:pPr>
            <w:r>
              <w:t>2)</w:t>
            </w:r>
            <w:r>
              <w:tab/>
              <w:t>Aðlögun að loftslagsbreytingum</w:t>
            </w:r>
          </w:p>
        </w:tc>
        <w:tc>
          <w:tcPr>
            <w:tcW w:w="5640" w:type="dxa"/>
            <w:tcMar>
              <w:top w:w="100" w:type="dxa"/>
              <w:left w:w="0" w:type="dxa"/>
              <w:bottom w:w="100" w:type="dxa"/>
              <w:right w:w="0" w:type="dxa"/>
            </w:tcMar>
          </w:tcPr>
          <w:p w14:paraId="4F492C6E" w14:textId="77777777" w:rsidR="007E0724" w:rsidRDefault="00C4775C">
            <w:pPr>
              <w:pStyle w:val="AnnexTableCellLeft"/>
              <w:ind w:left="40"/>
            </w:pPr>
            <w:r>
              <w:t>Starfsemin er í samræmi við viðmiðanirnar sem settar eru fram í viðbæti A við þennan viðauka.</w:t>
            </w:r>
          </w:p>
        </w:tc>
      </w:tr>
      <w:tr w:rsidR="007E0724" w14:paraId="5BCEA53B" w14:textId="77777777">
        <w:trPr>
          <w:trHeight w:val="360"/>
        </w:trPr>
        <w:tc>
          <w:tcPr>
            <w:tcW w:w="3100" w:type="dxa"/>
            <w:tcMar>
              <w:top w:w="100" w:type="dxa"/>
              <w:left w:w="0" w:type="dxa"/>
              <w:bottom w:w="100" w:type="dxa"/>
              <w:right w:w="60" w:type="dxa"/>
            </w:tcMar>
          </w:tcPr>
          <w:p w14:paraId="6B9FDD47" w14:textId="77777777" w:rsidR="007E0724" w:rsidRDefault="00C4775C">
            <w:pPr>
              <w:pStyle w:val="AnnexNumberedText"/>
              <w:ind w:left="293" w:hanging="293"/>
            </w:pPr>
            <w:r>
              <w:t>3)</w:t>
            </w:r>
            <w:r>
              <w:tab/>
              <w:t>Sjálfbær notkun og verndun vatns- og sjávarauðlinda</w:t>
            </w:r>
          </w:p>
        </w:tc>
        <w:tc>
          <w:tcPr>
            <w:tcW w:w="5640" w:type="dxa"/>
            <w:tcMar>
              <w:top w:w="100" w:type="dxa"/>
              <w:left w:w="0" w:type="dxa"/>
              <w:bottom w:w="100" w:type="dxa"/>
              <w:right w:w="0" w:type="dxa"/>
            </w:tcMar>
          </w:tcPr>
          <w:p w14:paraId="6EF8D9F6" w14:textId="77777777" w:rsidR="007E0724" w:rsidRDefault="00C4775C">
            <w:pPr>
              <w:pStyle w:val="AnnexTableCellLeft"/>
              <w:ind w:left="40"/>
            </w:pPr>
            <w:r>
              <w:t>Á ekki við</w:t>
            </w:r>
          </w:p>
        </w:tc>
      </w:tr>
      <w:tr w:rsidR="007E0724" w14:paraId="46456E40" w14:textId="77777777">
        <w:trPr>
          <w:trHeight w:val="360"/>
        </w:trPr>
        <w:tc>
          <w:tcPr>
            <w:tcW w:w="3100" w:type="dxa"/>
            <w:tcMar>
              <w:top w:w="100" w:type="dxa"/>
              <w:left w:w="0" w:type="dxa"/>
              <w:bottom w:w="100" w:type="dxa"/>
              <w:right w:w="60" w:type="dxa"/>
            </w:tcMar>
          </w:tcPr>
          <w:p w14:paraId="21A5B3CF" w14:textId="77777777" w:rsidR="007E0724" w:rsidRDefault="00C4775C">
            <w:pPr>
              <w:pStyle w:val="AnnexNumberedText"/>
              <w:ind w:left="293" w:hanging="293"/>
            </w:pPr>
            <w:r>
              <w:t>4)</w:t>
            </w:r>
            <w:r>
              <w:tab/>
              <w:t>Umskipti yfir í hringrásarhagkerfi</w:t>
            </w:r>
          </w:p>
        </w:tc>
        <w:tc>
          <w:tcPr>
            <w:tcW w:w="5640" w:type="dxa"/>
            <w:tcMar>
              <w:top w:w="100" w:type="dxa"/>
              <w:left w:w="0" w:type="dxa"/>
              <w:bottom w:w="100" w:type="dxa"/>
              <w:right w:w="0" w:type="dxa"/>
            </w:tcMar>
          </w:tcPr>
          <w:p w14:paraId="6CEFCAD6" w14:textId="77777777" w:rsidR="007E0724" w:rsidRDefault="00C4775C">
            <w:pPr>
              <w:pStyle w:val="AnnexTableCellLeft"/>
              <w:ind w:left="40"/>
            </w:pPr>
            <w:r>
              <w:t>Úrgangsstjórnunaráætlun er til staðar og tryggir hámarksendurnotkun eða endurvinnslu við lok vistferilsins í samræmi við úrgangsmetakerfið, þ.m.t. með samningsbundnu samkomulagi við samstarfsaðila um meðhöndlun úrgangs, endurspeglast í fjárhagslegum spám eða opinberum skjölum um verkefnið.</w:t>
            </w:r>
          </w:p>
        </w:tc>
      </w:tr>
      <w:tr w:rsidR="007E0724" w14:paraId="505FD273" w14:textId="77777777">
        <w:trPr>
          <w:trHeight w:val="360"/>
        </w:trPr>
        <w:tc>
          <w:tcPr>
            <w:tcW w:w="3100" w:type="dxa"/>
            <w:tcMar>
              <w:top w:w="100" w:type="dxa"/>
              <w:left w:w="0" w:type="dxa"/>
              <w:bottom w:w="100" w:type="dxa"/>
              <w:right w:w="60" w:type="dxa"/>
            </w:tcMar>
          </w:tcPr>
          <w:p w14:paraId="70A3667D" w14:textId="77777777" w:rsidR="007E0724" w:rsidRDefault="00C4775C">
            <w:pPr>
              <w:pStyle w:val="AnnexNumberedText"/>
              <w:pageBreakBefore/>
              <w:ind w:left="293" w:hanging="293"/>
            </w:pPr>
            <w:r>
              <w:lastRenderedPageBreak/>
              <w:t>5)</w:t>
            </w:r>
            <w:r>
              <w:tab/>
              <w:t>Mengunarvarnir og eftirlit með mengun</w:t>
            </w:r>
          </w:p>
        </w:tc>
        <w:tc>
          <w:tcPr>
            <w:tcW w:w="5640" w:type="dxa"/>
            <w:tcMar>
              <w:top w:w="100" w:type="dxa"/>
              <w:left w:w="0" w:type="dxa"/>
              <w:bottom w:w="100" w:type="dxa"/>
              <w:right w:w="0" w:type="dxa"/>
            </w:tcMar>
          </w:tcPr>
          <w:p w14:paraId="479FB010" w14:textId="77777777" w:rsidR="007E0724" w:rsidRDefault="00C4775C">
            <w:pPr>
              <w:pStyle w:val="AnnexTableCellLeft"/>
              <w:spacing w:after="240"/>
              <w:ind w:left="40"/>
            </w:pPr>
            <w:r>
              <w:t>Háspennulínur ofanjarðar:</w:t>
            </w:r>
          </w:p>
          <w:p w14:paraId="543229F5" w14:textId="77777777" w:rsidR="007E0724" w:rsidRDefault="00C4775C">
            <w:pPr>
              <w:pStyle w:val="AnnexNumberedText"/>
              <w:spacing w:after="240"/>
              <w:ind w:left="340"/>
              <w:rPr>
                <w:szCs w:val="18"/>
              </w:rPr>
            </w:pPr>
            <w:r>
              <w:t>a)</w:t>
            </w:r>
            <w:r>
              <w:tab/>
              <w:t>Að því er varðar starfsemi á byggingarsvæði fylgir starfsemin meginreglunum í almennum leiðbeiningum Alþjóðalánastofnunarinnar um umhverfi, heilbrigði og öryggi (</w:t>
            </w:r>
            <w:r>
              <w:rPr>
                <w:rStyle w:val="Tilvsunneanmlsgrein"/>
                <w:sz w:val="18"/>
                <w:szCs w:val="18"/>
              </w:rPr>
              <w:footnoteReference w:id="196"/>
            </w:r>
            <w:r>
              <w:t>).</w:t>
            </w:r>
          </w:p>
          <w:p w14:paraId="2380752C" w14:textId="77777777" w:rsidR="007E0724" w:rsidRDefault="00C4775C">
            <w:pPr>
              <w:pStyle w:val="AnnexNumberedText"/>
              <w:spacing w:after="240"/>
              <w:ind w:left="340"/>
              <w:rPr>
                <w:szCs w:val="18"/>
              </w:rPr>
            </w:pPr>
            <w:r>
              <w:t>b)</w:t>
            </w:r>
            <w:r>
              <w:tab/>
              <w:t xml:space="preserve">starfsemin tekur mið af gildandi stöðlum og reglugerðum um að takmarka áhrif </w:t>
            </w:r>
            <w:proofErr w:type="spellStart"/>
            <w:r>
              <w:t>rafsegulgeislunar</w:t>
            </w:r>
            <w:proofErr w:type="spellEnd"/>
            <w:r>
              <w:t xml:space="preserve"> á heilbrigði manna, þ.m.t. fyrir starfsemi sem er stunduð í Sambandinu, tilmælum framkvæmdastjórnarinnar um takmörkun á </w:t>
            </w:r>
            <w:proofErr w:type="spellStart"/>
            <w:r>
              <w:t>váhrifum</w:t>
            </w:r>
            <w:proofErr w:type="spellEnd"/>
            <w:r>
              <w:t xml:space="preserve"> sem almenningur verður fyrir af völdum </w:t>
            </w:r>
            <w:proofErr w:type="spellStart"/>
            <w:r>
              <w:t>rafsegulsviðs</w:t>
            </w:r>
            <w:proofErr w:type="spellEnd"/>
            <w:r>
              <w:t xml:space="preserve"> (0 </w:t>
            </w:r>
            <w:proofErr w:type="spellStart"/>
            <w:r>
              <w:t>Hz</w:t>
            </w:r>
            <w:proofErr w:type="spellEnd"/>
            <w:r>
              <w:t xml:space="preserve"> til 300 </w:t>
            </w:r>
            <w:proofErr w:type="spellStart"/>
            <w:r>
              <w:t>Ghz</w:t>
            </w:r>
            <w:proofErr w:type="spellEnd"/>
            <w:r>
              <w:t>) (</w:t>
            </w:r>
            <w:r>
              <w:rPr>
                <w:rStyle w:val="Tilvsunneanmlsgrein"/>
                <w:sz w:val="18"/>
                <w:szCs w:val="18"/>
              </w:rPr>
              <w:footnoteReference w:id="197"/>
            </w:r>
            <w:r>
              <w:t>) og um starfsemi sem er stunduð í þriðju löndum, viðmiðunarreglur Alþjóðaráðsins um varnir gegn ójónandi geislun (ICNIRP) frá 1998 (</w:t>
            </w:r>
            <w:r>
              <w:rPr>
                <w:rStyle w:val="Tilvsunneanmlsgrein"/>
                <w:sz w:val="18"/>
                <w:szCs w:val="18"/>
              </w:rPr>
              <w:footnoteReference w:id="198"/>
            </w:r>
            <w:r>
              <w:t>).</w:t>
            </w:r>
          </w:p>
          <w:p w14:paraId="121BD24F" w14:textId="77777777" w:rsidR="007E0724" w:rsidRDefault="00C4775C">
            <w:pPr>
              <w:pStyle w:val="AnnexTableCellLeft"/>
              <w:spacing w:after="240"/>
              <w:ind w:left="40"/>
            </w:pPr>
            <w:r>
              <w:t xml:space="preserve">Í starfseminni eru ekki notuð </w:t>
            </w:r>
            <w:proofErr w:type="spellStart"/>
            <w:r>
              <w:t>fjölklóruð</w:t>
            </w:r>
            <w:proofErr w:type="spellEnd"/>
            <w:r>
              <w:t xml:space="preserve"> </w:t>
            </w:r>
            <w:proofErr w:type="spellStart"/>
            <w:r>
              <w:t>bífenýl</w:t>
            </w:r>
            <w:proofErr w:type="spellEnd"/>
            <w:r>
              <w:t>.</w:t>
            </w:r>
          </w:p>
        </w:tc>
      </w:tr>
      <w:tr w:rsidR="007E0724" w14:paraId="770B53D0" w14:textId="77777777">
        <w:trPr>
          <w:trHeight w:val="360"/>
        </w:trPr>
        <w:tc>
          <w:tcPr>
            <w:tcW w:w="3100" w:type="dxa"/>
            <w:tcMar>
              <w:top w:w="100" w:type="dxa"/>
              <w:left w:w="0" w:type="dxa"/>
              <w:bottom w:w="100" w:type="dxa"/>
              <w:right w:w="60" w:type="dxa"/>
            </w:tcMar>
          </w:tcPr>
          <w:p w14:paraId="071976FF" w14:textId="77777777" w:rsidR="007E0724" w:rsidRDefault="00C4775C">
            <w:pPr>
              <w:pStyle w:val="AnnexNumberedText"/>
              <w:ind w:left="293" w:hanging="293"/>
            </w:pPr>
            <w:r>
              <w:t>6)</w:t>
            </w:r>
            <w:r>
              <w:tab/>
              <w:t>Vernd og endurheimt líffræðilegrar fjölbreytni og vistkerfa</w:t>
            </w:r>
          </w:p>
        </w:tc>
        <w:tc>
          <w:tcPr>
            <w:tcW w:w="5640" w:type="dxa"/>
            <w:tcMar>
              <w:top w:w="100" w:type="dxa"/>
              <w:left w:w="0" w:type="dxa"/>
              <w:bottom w:w="100" w:type="dxa"/>
              <w:right w:w="0" w:type="dxa"/>
            </w:tcMar>
          </w:tcPr>
          <w:p w14:paraId="76F6D9B8" w14:textId="77777777" w:rsidR="007E0724" w:rsidRDefault="00C4775C">
            <w:pPr>
              <w:pStyle w:val="AnnexTableCellLeft"/>
              <w:ind w:left="40"/>
              <w:rPr>
                <w:szCs w:val="18"/>
              </w:rPr>
            </w:pPr>
            <w:r>
              <w:t>Starfsemin er í samræmi við viðmiðanirnar sem settar eru fram í viðbæti D við þennan viðauka (</w:t>
            </w:r>
            <w:r>
              <w:rPr>
                <w:rStyle w:val="Tilvsunneanmlsgrein"/>
                <w:sz w:val="18"/>
                <w:szCs w:val="18"/>
              </w:rPr>
              <w:footnoteReference w:id="199"/>
            </w:r>
            <w:r>
              <w:t>).</w:t>
            </w:r>
          </w:p>
        </w:tc>
      </w:tr>
    </w:tbl>
    <w:p w14:paraId="3413C29F" w14:textId="66774901" w:rsidR="007E0724" w:rsidRDefault="007E0724" w:rsidP="00C4775C">
      <w:pPr>
        <w:pStyle w:val="AnnexNumberedText"/>
        <w:spacing w:before="200" w:after="240"/>
        <w:ind w:left="500" w:hanging="500"/>
      </w:pPr>
    </w:p>
    <w:p w14:paraId="6D2AAB22" w14:textId="77777777" w:rsidR="00DB6835" w:rsidRDefault="00DB6835" w:rsidP="00DB6835">
      <w:pPr>
        <w:pStyle w:val="AnnexNumberedText"/>
        <w:spacing w:before="200" w:after="240"/>
        <w:ind w:left="500" w:hanging="500"/>
      </w:pPr>
      <w:r>
        <w:t>4.10.</w:t>
      </w:r>
      <w:r>
        <w:rPr>
          <w:b/>
        </w:rPr>
        <w:tab/>
        <w:t>Geymsla á raforku</w:t>
      </w:r>
    </w:p>
    <w:p w14:paraId="18F421D4" w14:textId="77777777" w:rsidR="00DB6835" w:rsidRDefault="00DB6835" w:rsidP="00DB6835">
      <w:pPr>
        <w:pStyle w:val="AnnexGrSeq3"/>
        <w:spacing w:after="240"/>
        <w:ind w:left="500"/>
        <w:jc w:val="both"/>
      </w:pPr>
      <w:r>
        <w:rPr>
          <w:i/>
        </w:rPr>
        <w:t>Lýsing á starfseminni</w:t>
      </w:r>
    </w:p>
    <w:p w14:paraId="68C279D6" w14:textId="77777777" w:rsidR="00DB6835" w:rsidRDefault="00DB6835" w:rsidP="00DB6835">
      <w:pPr>
        <w:pStyle w:val="AnnexNormal"/>
        <w:spacing w:after="240"/>
        <w:ind w:left="500"/>
      </w:pPr>
      <w:r>
        <w:t xml:space="preserve">Bygging og rekstur stöðva sem geyma raforku og skila henni síðar í formi raforku. Starfsemin nær yfir </w:t>
      </w:r>
      <w:proofErr w:type="spellStart"/>
      <w:r>
        <w:t>dælimiðlunarvatnsorku</w:t>
      </w:r>
      <w:proofErr w:type="spellEnd"/>
      <w:r>
        <w:t xml:space="preserve"> (e. </w:t>
      </w:r>
      <w:proofErr w:type="spellStart"/>
      <w:r>
        <w:rPr>
          <w:i/>
          <w:iCs/>
        </w:rPr>
        <w:t>pumped</w:t>
      </w:r>
      <w:proofErr w:type="spellEnd"/>
      <w:r>
        <w:rPr>
          <w:i/>
          <w:iCs/>
        </w:rPr>
        <w:t xml:space="preserve"> </w:t>
      </w:r>
      <w:proofErr w:type="spellStart"/>
      <w:r>
        <w:rPr>
          <w:i/>
          <w:iCs/>
        </w:rPr>
        <w:t>hydropower</w:t>
      </w:r>
      <w:proofErr w:type="spellEnd"/>
      <w:r>
        <w:rPr>
          <w:i/>
          <w:iCs/>
        </w:rPr>
        <w:t xml:space="preserve"> </w:t>
      </w:r>
      <w:proofErr w:type="spellStart"/>
      <w:r>
        <w:rPr>
          <w:i/>
          <w:iCs/>
        </w:rPr>
        <w:t>storage</w:t>
      </w:r>
      <w:proofErr w:type="spellEnd"/>
      <w:r>
        <w:t>).</w:t>
      </w:r>
    </w:p>
    <w:p w14:paraId="07C8ECF3" w14:textId="77777777" w:rsidR="00DB6835" w:rsidRDefault="00DB6835" w:rsidP="00DB6835">
      <w:pPr>
        <w:pStyle w:val="AnnexNormal"/>
        <w:spacing w:after="240"/>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4236D076" w14:textId="77777777" w:rsidR="00DB6835" w:rsidRDefault="00DB6835" w:rsidP="00DB6835">
      <w:pPr>
        <w:pStyle w:val="AnnexNormal"/>
        <w:spacing w:after="240"/>
        <w:ind w:left="500"/>
      </w:pPr>
      <w:r>
        <w:t>Atvinnustarfsemin í þessum flokki er ekki með sérstakan kóða atvinnugreinaflokkunar Evrópusambandsins, eins og um getur í atvinnugreinaflokkuninni sem komið var á með reglugerð (EB) nr. 1893/2006.</w:t>
      </w:r>
    </w:p>
    <w:p w14:paraId="4BE822D2" w14:textId="77777777" w:rsidR="00DB6835" w:rsidRDefault="00DB6835" w:rsidP="00DB6835">
      <w:pPr>
        <w:pStyle w:val="AnnexNormal"/>
        <w:spacing w:after="24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238CB7F8" w14:textId="77777777" w:rsidR="00DB6835" w:rsidRDefault="00DB6835" w:rsidP="00DB6835">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00"/>
        <w:gridCol w:w="5940"/>
      </w:tblGrid>
      <w:tr w:rsidR="00DB6835" w14:paraId="3B706A82" w14:textId="77777777" w:rsidTr="00A9140F">
        <w:trPr>
          <w:trHeight w:val="240"/>
        </w:trPr>
        <w:tc>
          <w:tcPr>
            <w:tcW w:w="8740" w:type="dxa"/>
            <w:gridSpan w:val="2"/>
            <w:tcMar>
              <w:top w:w="100" w:type="dxa"/>
              <w:left w:w="0" w:type="dxa"/>
              <w:bottom w:w="100" w:type="dxa"/>
              <w:right w:w="60" w:type="dxa"/>
            </w:tcMar>
          </w:tcPr>
          <w:p w14:paraId="687A6B3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38AD6C6" w14:textId="77777777" w:rsidTr="00A9140F">
        <w:trPr>
          <w:trHeight w:val="240"/>
        </w:trPr>
        <w:tc>
          <w:tcPr>
            <w:tcW w:w="8740" w:type="dxa"/>
            <w:gridSpan w:val="2"/>
            <w:tcMar>
              <w:top w:w="100" w:type="dxa"/>
              <w:left w:w="0" w:type="dxa"/>
              <w:bottom w:w="100" w:type="dxa"/>
              <w:right w:w="60" w:type="dxa"/>
            </w:tcMar>
          </w:tcPr>
          <w:p w14:paraId="62B2E048" w14:textId="77777777" w:rsidR="00DB6835" w:rsidRDefault="00DB6835" w:rsidP="00A9140F">
            <w:pPr>
              <w:pStyle w:val="AnnexTableCellLeft"/>
            </w:pPr>
            <w:r>
              <w:t xml:space="preserve">Starfsemin er bygging og rekstur á raforkugeymslu, þ.m.t. </w:t>
            </w:r>
            <w:proofErr w:type="spellStart"/>
            <w:r>
              <w:t>dælimiðlunarvatnsorka</w:t>
            </w:r>
            <w:proofErr w:type="spellEnd"/>
            <w:r>
              <w:t>.</w:t>
            </w:r>
          </w:p>
          <w:p w14:paraId="035308F2" w14:textId="77777777" w:rsidR="00DB6835" w:rsidRDefault="00DB6835" w:rsidP="00A9140F">
            <w:pPr>
              <w:pStyle w:val="AnnexTableCellLeft"/>
            </w:pPr>
            <w:r>
              <w:t xml:space="preserve">Ef starfsemin nær yfir geymslu á efnaorku er geymslumiðillinn (s.s. vetni eða </w:t>
            </w:r>
            <w:proofErr w:type="spellStart"/>
            <w:r>
              <w:t>ammoníak</w:t>
            </w:r>
            <w:proofErr w:type="spellEnd"/>
            <w:r>
              <w:t xml:space="preserve">) í samræmi við viðmiðanirnar fyrir framleiðslu á samsvarandi vöru sem eru tilgreindar í þáttum 3.7 til 3.17 í þessum viðauka. Ef vetni er notað sem geymsla á raforku, þar sem vetni uppfyllir tæknilegu matsviðmiðin sem tilgreind eru í þætti 3.10 í þessum viðauka, er einnig litið svo á að </w:t>
            </w:r>
            <w:proofErr w:type="spellStart"/>
            <w:r>
              <w:t>endurrafmögnun</w:t>
            </w:r>
            <w:proofErr w:type="spellEnd"/>
            <w:r>
              <w:t xml:space="preserve"> vetnis sé hluti af starfseminni.</w:t>
            </w:r>
          </w:p>
        </w:tc>
      </w:tr>
      <w:tr w:rsidR="00DB6835" w14:paraId="5AC54BF7" w14:textId="77777777" w:rsidTr="00A9140F">
        <w:trPr>
          <w:trHeight w:val="240"/>
        </w:trPr>
        <w:tc>
          <w:tcPr>
            <w:tcW w:w="8740" w:type="dxa"/>
            <w:gridSpan w:val="2"/>
            <w:tcMar>
              <w:top w:w="100" w:type="dxa"/>
              <w:left w:w="0" w:type="dxa"/>
              <w:bottom w:w="100" w:type="dxa"/>
              <w:right w:w="60" w:type="dxa"/>
            </w:tcMar>
          </w:tcPr>
          <w:p w14:paraId="205E3FE1" w14:textId="77777777" w:rsidR="00DB6835" w:rsidRDefault="00DB6835" w:rsidP="00A9140F">
            <w:pPr>
              <w:pStyle w:val="AnnexTableCellLeft"/>
            </w:pPr>
            <w:r>
              <w:lastRenderedPageBreak/>
              <w:t>Ekki valda umtalsverðu tjóni</w:t>
            </w:r>
          </w:p>
        </w:tc>
      </w:tr>
      <w:tr w:rsidR="00DB6835" w14:paraId="69865497" w14:textId="77777777" w:rsidTr="00A9140F">
        <w:trPr>
          <w:trHeight w:val="360"/>
        </w:trPr>
        <w:tc>
          <w:tcPr>
            <w:tcW w:w="2800" w:type="dxa"/>
            <w:tcMar>
              <w:top w:w="100" w:type="dxa"/>
              <w:left w:w="0" w:type="dxa"/>
              <w:bottom w:w="100" w:type="dxa"/>
              <w:right w:w="60" w:type="dxa"/>
            </w:tcMar>
          </w:tcPr>
          <w:p w14:paraId="5E002988" w14:textId="77777777" w:rsidR="00DB6835" w:rsidRDefault="00DB6835" w:rsidP="00A9140F">
            <w:pPr>
              <w:pStyle w:val="AnnexNumberedText"/>
            </w:pPr>
            <w:r>
              <w:t>2)</w:t>
            </w:r>
            <w:r>
              <w:tab/>
              <w:t>Aðlögun að loftslagsbreytingum</w:t>
            </w:r>
          </w:p>
        </w:tc>
        <w:tc>
          <w:tcPr>
            <w:tcW w:w="5940" w:type="dxa"/>
            <w:tcMar>
              <w:top w:w="100" w:type="dxa"/>
              <w:left w:w="0" w:type="dxa"/>
              <w:bottom w:w="100" w:type="dxa"/>
              <w:right w:w="0" w:type="dxa"/>
            </w:tcMar>
          </w:tcPr>
          <w:p w14:paraId="47462856" w14:textId="77777777" w:rsidR="00DB6835" w:rsidRDefault="00DB6835" w:rsidP="00A9140F">
            <w:pPr>
              <w:pStyle w:val="AnnexTableCellLeft"/>
              <w:ind w:left="40"/>
            </w:pPr>
            <w:r>
              <w:t>Starfsemin er í samræmi við viðmiðanirnar sem settar eru fram í viðbæti A við þennan viðauka.</w:t>
            </w:r>
          </w:p>
        </w:tc>
      </w:tr>
      <w:tr w:rsidR="00DB6835" w14:paraId="4DEC4D4D" w14:textId="77777777" w:rsidTr="00A9140F">
        <w:trPr>
          <w:trHeight w:val="360"/>
        </w:trPr>
        <w:tc>
          <w:tcPr>
            <w:tcW w:w="2800" w:type="dxa"/>
            <w:tcMar>
              <w:top w:w="100" w:type="dxa"/>
              <w:left w:w="0" w:type="dxa"/>
              <w:bottom w:w="100" w:type="dxa"/>
              <w:right w:w="60" w:type="dxa"/>
            </w:tcMar>
          </w:tcPr>
          <w:p w14:paraId="61680D87" w14:textId="77777777" w:rsidR="00DB6835" w:rsidRDefault="00DB6835" w:rsidP="00A9140F">
            <w:pPr>
              <w:pStyle w:val="AnnexNumberedText"/>
              <w:pageBreakBefore/>
            </w:pPr>
            <w:r>
              <w:lastRenderedPageBreak/>
              <w:t>3)</w:t>
            </w:r>
            <w:r>
              <w:tab/>
              <w:t>Sjálfbær notkun og verndun vatns- og sjávarauðlinda</w:t>
            </w:r>
          </w:p>
        </w:tc>
        <w:tc>
          <w:tcPr>
            <w:tcW w:w="5940" w:type="dxa"/>
            <w:tcMar>
              <w:top w:w="100" w:type="dxa"/>
              <w:left w:w="0" w:type="dxa"/>
              <w:bottom w:w="100" w:type="dxa"/>
              <w:right w:w="0" w:type="dxa"/>
            </w:tcMar>
          </w:tcPr>
          <w:p w14:paraId="6FDBEABA" w14:textId="77777777" w:rsidR="00DB6835" w:rsidRDefault="00DB6835" w:rsidP="00A9140F">
            <w:pPr>
              <w:pStyle w:val="AnnexTableCellLeft"/>
              <w:spacing w:after="240"/>
              <w:ind w:left="40"/>
            </w:pPr>
            <w:r>
              <w:t xml:space="preserve">Ef um er að ræða að </w:t>
            </w:r>
            <w:proofErr w:type="spellStart"/>
            <w:r>
              <w:t>dælimiðlunarvatnsorka</w:t>
            </w:r>
            <w:proofErr w:type="spellEnd"/>
            <w:r>
              <w:t xml:space="preserve"> er ekki tengd vatnasviði ár er starfsemin í samræmi við viðmiðanirnar sem settar eru fram í viðbæti B við þennan viðauka.</w:t>
            </w:r>
          </w:p>
          <w:p w14:paraId="62C8D6FB" w14:textId="77777777" w:rsidR="00DB6835" w:rsidRDefault="00DB6835" w:rsidP="00A9140F">
            <w:pPr>
              <w:pStyle w:val="AnnexTableCellLeft"/>
              <w:ind w:left="40"/>
            </w:pPr>
            <w:r>
              <w:t xml:space="preserve">Ef um er að ræða að </w:t>
            </w:r>
            <w:proofErr w:type="spellStart"/>
            <w:r>
              <w:t>dælimiðlunarvatnsorka</w:t>
            </w:r>
            <w:proofErr w:type="spellEnd"/>
            <w:r>
              <w:t xml:space="preserve"> er tengd vatnasviði ár er starfsemin í samræmi við viðmiðanirnar fyrir „ekki valda umtalsverðu tjóni“ fyrir sjálfbæra notkun og verndun vatns- og sjávarauðlinda sem eru tilgreindar í þætti 4.5 (Raforkuframleiðsla úr vatnsorku).</w:t>
            </w:r>
          </w:p>
        </w:tc>
      </w:tr>
      <w:tr w:rsidR="00DB6835" w14:paraId="0DBE767E" w14:textId="77777777" w:rsidTr="00A9140F">
        <w:trPr>
          <w:trHeight w:val="360"/>
        </w:trPr>
        <w:tc>
          <w:tcPr>
            <w:tcW w:w="2800" w:type="dxa"/>
            <w:tcMar>
              <w:top w:w="100" w:type="dxa"/>
              <w:left w:w="0" w:type="dxa"/>
              <w:bottom w:w="100" w:type="dxa"/>
              <w:right w:w="60" w:type="dxa"/>
            </w:tcMar>
          </w:tcPr>
          <w:p w14:paraId="7D5E4EF2" w14:textId="77777777" w:rsidR="00DB6835" w:rsidRDefault="00DB6835" w:rsidP="00A9140F">
            <w:pPr>
              <w:pStyle w:val="AnnexNumberedText"/>
            </w:pPr>
            <w:r>
              <w:t>4)</w:t>
            </w:r>
            <w:r>
              <w:tab/>
              <w:t>Umskipti yfir í hringrásarhagkerfi</w:t>
            </w:r>
          </w:p>
        </w:tc>
        <w:tc>
          <w:tcPr>
            <w:tcW w:w="5940" w:type="dxa"/>
            <w:tcMar>
              <w:top w:w="100" w:type="dxa"/>
              <w:left w:w="0" w:type="dxa"/>
              <w:bottom w:w="100" w:type="dxa"/>
              <w:right w:w="0" w:type="dxa"/>
            </w:tcMar>
          </w:tcPr>
          <w:p w14:paraId="2607A129" w14:textId="77777777" w:rsidR="00DB6835" w:rsidRDefault="00DB6835" w:rsidP="00A9140F">
            <w:pPr>
              <w:pStyle w:val="AnnexTableCellLeft"/>
              <w:ind w:left="40"/>
            </w:pPr>
            <w:r>
              <w:t>Úrgangsstjórnunaráætlun er til staðar og tryggir hámarksendurnotkun eða endurvinnslu við lok vistferilsins í samræmi við úrgangsmetakerfið, þ.m.t. með samningsbundnu samkomulagi við samstarfsaðila um meðhöndlun úrgangs, endurspeglast í fjárhagslegum spám eða opinberum skjölum um verkefnið.</w:t>
            </w:r>
          </w:p>
        </w:tc>
      </w:tr>
      <w:tr w:rsidR="00DB6835" w14:paraId="50A69814" w14:textId="77777777" w:rsidTr="00A9140F">
        <w:trPr>
          <w:trHeight w:val="360"/>
        </w:trPr>
        <w:tc>
          <w:tcPr>
            <w:tcW w:w="2800" w:type="dxa"/>
            <w:tcMar>
              <w:top w:w="100" w:type="dxa"/>
              <w:left w:w="0" w:type="dxa"/>
              <w:bottom w:w="100" w:type="dxa"/>
              <w:right w:w="60" w:type="dxa"/>
            </w:tcMar>
          </w:tcPr>
          <w:p w14:paraId="5ED47605" w14:textId="77777777" w:rsidR="00DB6835" w:rsidRDefault="00DB6835" w:rsidP="00A9140F">
            <w:pPr>
              <w:pStyle w:val="AnnexNumberedText"/>
            </w:pPr>
            <w:r>
              <w:t>5)</w:t>
            </w:r>
            <w:r>
              <w:tab/>
              <w:t>Mengunarvarnir og eftirlit með mengun</w:t>
            </w:r>
          </w:p>
        </w:tc>
        <w:tc>
          <w:tcPr>
            <w:tcW w:w="5940" w:type="dxa"/>
            <w:tcMar>
              <w:top w:w="100" w:type="dxa"/>
              <w:left w:w="0" w:type="dxa"/>
              <w:bottom w:w="100" w:type="dxa"/>
              <w:right w:w="0" w:type="dxa"/>
            </w:tcMar>
          </w:tcPr>
          <w:p w14:paraId="17C08B24" w14:textId="77777777" w:rsidR="00DB6835" w:rsidRDefault="00DB6835" w:rsidP="00A9140F">
            <w:pPr>
              <w:pStyle w:val="AnnexTableCellLeft"/>
              <w:ind w:left="40"/>
            </w:pPr>
            <w:r>
              <w:t>Á ekki við</w:t>
            </w:r>
          </w:p>
        </w:tc>
      </w:tr>
      <w:tr w:rsidR="00DB6835" w14:paraId="38F552CB" w14:textId="77777777" w:rsidTr="00A9140F">
        <w:trPr>
          <w:trHeight w:val="360"/>
        </w:trPr>
        <w:tc>
          <w:tcPr>
            <w:tcW w:w="2800" w:type="dxa"/>
            <w:tcMar>
              <w:top w:w="100" w:type="dxa"/>
              <w:left w:w="0" w:type="dxa"/>
              <w:bottom w:w="100" w:type="dxa"/>
              <w:right w:w="60" w:type="dxa"/>
            </w:tcMar>
          </w:tcPr>
          <w:p w14:paraId="2225135B" w14:textId="77777777" w:rsidR="00DB6835" w:rsidRDefault="00DB6835" w:rsidP="00A9140F">
            <w:pPr>
              <w:pStyle w:val="AnnexNumberedText"/>
            </w:pPr>
            <w:r>
              <w:t>6)</w:t>
            </w:r>
            <w:r>
              <w:tab/>
              <w:t>Vernd og endurheimt líffræðilegrar fjölbreytni og vistkerfa</w:t>
            </w:r>
          </w:p>
        </w:tc>
        <w:tc>
          <w:tcPr>
            <w:tcW w:w="5940" w:type="dxa"/>
            <w:tcMar>
              <w:top w:w="100" w:type="dxa"/>
              <w:left w:w="0" w:type="dxa"/>
              <w:bottom w:w="100" w:type="dxa"/>
              <w:right w:w="0" w:type="dxa"/>
            </w:tcMar>
          </w:tcPr>
          <w:p w14:paraId="0364469B" w14:textId="77777777" w:rsidR="00DB6835" w:rsidRDefault="00DB6835" w:rsidP="00A9140F">
            <w:pPr>
              <w:pStyle w:val="AnnexTableCellLeft"/>
              <w:ind w:left="40"/>
            </w:pPr>
            <w:r>
              <w:t>Starfsemin er í samræmi við viðmiðanirnar sem settar eru fram í viðbæti D við þennan viðauka.</w:t>
            </w:r>
          </w:p>
        </w:tc>
      </w:tr>
    </w:tbl>
    <w:p w14:paraId="36760F36" w14:textId="77777777" w:rsidR="00DB6835" w:rsidRDefault="00DB6835" w:rsidP="00DB6835">
      <w:pPr>
        <w:pStyle w:val="AnnexNumberedText"/>
        <w:spacing w:before="200" w:after="360"/>
        <w:ind w:left="500" w:hanging="500"/>
      </w:pPr>
      <w:r>
        <w:t>4.11.</w:t>
      </w:r>
      <w:r>
        <w:rPr>
          <w:b/>
        </w:rPr>
        <w:tab/>
        <w:t>Geymsla á varmaorku</w:t>
      </w:r>
    </w:p>
    <w:p w14:paraId="6A325FCF" w14:textId="77777777" w:rsidR="00DB6835" w:rsidRDefault="00DB6835" w:rsidP="00DB6835">
      <w:pPr>
        <w:pStyle w:val="AnnexGrSeq3"/>
        <w:spacing w:after="360"/>
        <w:ind w:left="500"/>
        <w:jc w:val="both"/>
      </w:pPr>
      <w:r>
        <w:rPr>
          <w:i/>
        </w:rPr>
        <w:t>Lýsing á starfseminni</w:t>
      </w:r>
    </w:p>
    <w:p w14:paraId="29927632" w14:textId="77777777" w:rsidR="00DB6835" w:rsidRDefault="00DB6835" w:rsidP="00DB6835">
      <w:pPr>
        <w:pStyle w:val="AnnexNormal"/>
        <w:spacing w:after="360"/>
        <w:ind w:left="500"/>
      </w:pPr>
      <w:r>
        <w:t>Bygging og rekstur stöðva sem geyma varmaorku og skila henni síðar í formi varmaorku eða annars orkubera.</w:t>
      </w:r>
    </w:p>
    <w:p w14:paraId="72CD2883" w14:textId="77777777" w:rsidR="00DB6835" w:rsidRDefault="00DB6835" w:rsidP="00DB6835">
      <w:pPr>
        <w:pStyle w:val="AnnexNormal"/>
        <w:spacing w:after="360"/>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43982D50" w14:textId="77777777" w:rsidR="00DB6835" w:rsidRDefault="00DB6835" w:rsidP="00DB6835">
      <w:pPr>
        <w:pStyle w:val="AnnexNormal"/>
        <w:spacing w:after="360"/>
        <w:ind w:left="500"/>
      </w:pPr>
      <w:r>
        <w:t>Atvinnustarfsemin í þessum flokki er ekki með sérstakan kóða atvinnugreinaflokkunar Evrópusambandsins, eins og um getur í atvinnugreinaflokkuninni sem komið var á með reglugerð (EB) nr. 1893/2006.</w:t>
      </w:r>
    </w:p>
    <w:p w14:paraId="400F3C7D" w14:textId="77777777" w:rsidR="00DB6835" w:rsidRDefault="00DB6835" w:rsidP="00DB6835">
      <w:pPr>
        <w:pStyle w:val="AnnexNormal"/>
        <w:spacing w:after="36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23906CDD" w14:textId="77777777" w:rsidR="00DB6835" w:rsidRDefault="00DB6835" w:rsidP="00DB6835">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00"/>
        <w:gridCol w:w="5940"/>
      </w:tblGrid>
      <w:tr w:rsidR="00DB6835" w14:paraId="6D5F452D" w14:textId="77777777" w:rsidTr="00A9140F">
        <w:trPr>
          <w:trHeight w:val="240"/>
        </w:trPr>
        <w:tc>
          <w:tcPr>
            <w:tcW w:w="8740" w:type="dxa"/>
            <w:gridSpan w:val="2"/>
            <w:tcMar>
              <w:top w:w="100" w:type="dxa"/>
              <w:left w:w="0" w:type="dxa"/>
              <w:bottom w:w="100" w:type="dxa"/>
              <w:right w:w="60" w:type="dxa"/>
            </w:tcMar>
          </w:tcPr>
          <w:p w14:paraId="76AD31E0"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0BB6DA38" w14:textId="77777777" w:rsidTr="00A9140F">
        <w:trPr>
          <w:trHeight w:val="240"/>
        </w:trPr>
        <w:tc>
          <w:tcPr>
            <w:tcW w:w="8740" w:type="dxa"/>
            <w:gridSpan w:val="2"/>
            <w:tcMar>
              <w:top w:w="100" w:type="dxa"/>
              <w:left w:w="0" w:type="dxa"/>
              <w:bottom w:w="100" w:type="dxa"/>
              <w:right w:w="60" w:type="dxa"/>
            </w:tcMar>
          </w:tcPr>
          <w:p w14:paraId="7AEDB147" w14:textId="77777777" w:rsidR="00DB6835" w:rsidRDefault="00DB6835" w:rsidP="00A9140F">
            <w:pPr>
              <w:pStyle w:val="AnnexTableCellLeft"/>
            </w:pPr>
            <w:r>
              <w:t>Í starfseminni er geymd varmaorka, þ.m.t. geymsla á varmaorku neðanjarðar (UTES) eða geymsla á varmaorku í veitum (ATES).</w:t>
            </w:r>
          </w:p>
        </w:tc>
      </w:tr>
      <w:tr w:rsidR="00DB6835" w14:paraId="6E0A2932" w14:textId="77777777" w:rsidTr="00A9140F">
        <w:trPr>
          <w:trHeight w:val="240"/>
        </w:trPr>
        <w:tc>
          <w:tcPr>
            <w:tcW w:w="8740" w:type="dxa"/>
            <w:gridSpan w:val="2"/>
            <w:tcMar>
              <w:top w:w="100" w:type="dxa"/>
              <w:left w:w="0" w:type="dxa"/>
              <w:bottom w:w="100" w:type="dxa"/>
              <w:right w:w="60" w:type="dxa"/>
            </w:tcMar>
          </w:tcPr>
          <w:p w14:paraId="00DE5FB4" w14:textId="77777777" w:rsidR="00DB6835" w:rsidRDefault="00DB6835" w:rsidP="00A9140F">
            <w:pPr>
              <w:pStyle w:val="AnnexTableCellLeft"/>
            </w:pPr>
            <w:r>
              <w:t>Ekki valda umtalsverðu tjóni</w:t>
            </w:r>
          </w:p>
        </w:tc>
      </w:tr>
      <w:tr w:rsidR="00DB6835" w14:paraId="29F544D9" w14:textId="77777777" w:rsidTr="00A9140F">
        <w:trPr>
          <w:trHeight w:val="360"/>
        </w:trPr>
        <w:tc>
          <w:tcPr>
            <w:tcW w:w="2800" w:type="dxa"/>
            <w:tcMar>
              <w:top w:w="100" w:type="dxa"/>
              <w:left w:w="0" w:type="dxa"/>
              <w:bottom w:w="100" w:type="dxa"/>
              <w:right w:w="60" w:type="dxa"/>
            </w:tcMar>
          </w:tcPr>
          <w:p w14:paraId="16DB54D6" w14:textId="77777777" w:rsidR="00DB6835" w:rsidRDefault="00DB6835" w:rsidP="00A9140F">
            <w:pPr>
              <w:pStyle w:val="AnnexNumberedText"/>
            </w:pPr>
            <w:r>
              <w:t>2)</w:t>
            </w:r>
            <w:r>
              <w:tab/>
              <w:t>Aðlögun að loftslagsbreytingum</w:t>
            </w:r>
          </w:p>
        </w:tc>
        <w:tc>
          <w:tcPr>
            <w:tcW w:w="5940" w:type="dxa"/>
            <w:tcMar>
              <w:top w:w="100" w:type="dxa"/>
              <w:left w:w="40" w:type="dxa"/>
              <w:bottom w:w="100" w:type="dxa"/>
              <w:right w:w="0" w:type="dxa"/>
            </w:tcMar>
          </w:tcPr>
          <w:p w14:paraId="77524385" w14:textId="77777777" w:rsidR="00DB6835" w:rsidRDefault="00DB6835" w:rsidP="00A9140F">
            <w:pPr>
              <w:pStyle w:val="AnnexTableCellLeft"/>
            </w:pPr>
            <w:r>
              <w:t>Starfsemin er í samræmi við viðmiðanirnar sem settar eru fram í viðbæti A við þennan viðauka.</w:t>
            </w:r>
          </w:p>
        </w:tc>
      </w:tr>
      <w:tr w:rsidR="00DB6835" w14:paraId="0DC48128" w14:textId="77777777" w:rsidTr="00A9140F">
        <w:trPr>
          <w:trHeight w:val="360"/>
        </w:trPr>
        <w:tc>
          <w:tcPr>
            <w:tcW w:w="2800" w:type="dxa"/>
            <w:tcMar>
              <w:top w:w="100" w:type="dxa"/>
              <w:left w:w="0" w:type="dxa"/>
              <w:bottom w:w="100" w:type="dxa"/>
              <w:right w:w="60" w:type="dxa"/>
            </w:tcMar>
          </w:tcPr>
          <w:p w14:paraId="415EF24D" w14:textId="77777777" w:rsidR="00DB6835" w:rsidRDefault="00DB6835" w:rsidP="00A9140F">
            <w:pPr>
              <w:pStyle w:val="AnnexNumberedText"/>
            </w:pPr>
            <w:r>
              <w:t>3)</w:t>
            </w:r>
            <w:r>
              <w:tab/>
              <w:t>Sjálfbær notkun og verndun vatns- og sjávarauðlinda</w:t>
            </w:r>
          </w:p>
        </w:tc>
        <w:tc>
          <w:tcPr>
            <w:tcW w:w="5940" w:type="dxa"/>
            <w:tcMar>
              <w:top w:w="100" w:type="dxa"/>
              <w:left w:w="40" w:type="dxa"/>
              <w:bottom w:w="100" w:type="dxa"/>
              <w:right w:w="0" w:type="dxa"/>
            </w:tcMar>
          </w:tcPr>
          <w:p w14:paraId="72825A06" w14:textId="77777777" w:rsidR="00DB6835" w:rsidRDefault="00DB6835" w:rsidP="00A9140F">
            <w:pPr>
              <w:pStyle w:val="AnnexTableCellLeft"/>
            </w:pPr>
            <w:r>
              <w:t>Að því er varðar geymslu á varmaorku í veitum er starfsemin í samræmi við viðmiðanirnar sem settar eru fram í viðbæti B við þennan viðauka.</w:t>
            </w:r>
          </w:p>
        </w:tc>
      </w:tr>
      <w:tr w:rsidR="00DB6835" w14:paraId="52B4108C" w14:textId="77777777" w:rsidTr="00A9140F">
        <w:trPr>
          <w:trHeight w:val="360"/>
        </w:trPr>
        <w:tc>
          <w:tcPr>
            <w:tcW w:w="2800" w:type="dxa"/>
            <w:tcMar>
              <w:top w:w="100" w:type="dxa"/>
              <w:left w:w="0" w:type="dxa"/>
              <w:bottom w:w="100" w:type="dxa"/>
              <w:right w:w="60" w:type="dxa"/>
            </w:tcMar>
          </w:tcPr>
          <w:p w14:paraId="469BA170" w14:textId="77777777" w:rsidR="00DB6835" w:rsidRDefault="00DB6835" w:rsidP="00A9140F">
            <w:pPr>
              <w:pStyle w:val="AnnexNumberedText"/>
            </w:pPr>
            <w:r>
              <w:t>4)</w:t>
            </w:r>
            <w:r>
              <w:tab/>
              <w:t>Umskipti yfir í hringrásarhagkerfi</w:t>
            </w:r>
          </w:p>
        </w:tc>
        <w:tc>
          <w:tcPr>
            <w:tcW w:w="5940" w:type="dxa"/>
            <w:tcMar>
              <w:top w:w="100" w:type="dxa"/>
              <w:left w:w="40" w:type="dxa"/>
              <w:bottom w:w="100" w:type="dxa"/>
              <w:right w:w="0" w:type="dxa"/>
            </w:tcMar>
          </w:tcPr>
          <w:p w14:paraId="5B8D3195" w14:textId="77777777" w:rsidR="00DB6835" w:rsidRDefault="00DB6835" w:rsidP="00A9140F">
            <w:pPr>
              <w:pStyle w:val="AnnexTableCellLeft"/>
            </w:pPr>
            <w:r>
              <w:t xml:space="preserve">Úrgangsstjórnunaráætlun er til staðar og tryggir hámarksendurnotkun, </w:t>
            </w:r>
            <w:proofErr w:type="spellStart"/>
            <w:r>
              <w:t>endurframleiðslu</w:t>
            </w:r>
            <w:proofErr w:type="spellEnd"/>
            <w:r>
              <w:t xml:space="preserve"> eða endurvinnslu við lok vistferilsins, þ.m.t. með samningsbundnu sam</w:t>
            </w:r>
            <w:r>
              <w:lastRenderedPageBreak/>
              <w:t>komulagi við samstarfsaðila um meðhöndlun úrgangs, endurspeglast í fjárhagslegum spám eða opinberum skjölum um verkefnið.</w:t>
            </w:r>
          </w:p>
        </w:tc>
      </w:tr>
      <w:tr w:rsidR="00DB6835" w14:paraId="40051CD7" w14:textId="77777777" w:rsidTr="00A9140F">
        <w:trPr>
          <w:trHeight w:val="360"/>
        </w:trPr>
        <w:tc>
          <w:tcPr>
            <w:tcW w:w="2800" w:type="dxa"/>
            <w:tcMar>
              <w:top w:w="100" w:type="dxa"/>
              <w:left w:w="0" w:type="dxa"/>
              <w:bottom w:w="100" w:type="dxa"/>
              <w:right w:w="60" w:type="dxa"/>
            </w:tcMar>
          </w:tcPr>
          <w:p w14:paraId="60EBA885" w14:textId="77777777" w:rsidR="00DB6835" w:rsidRDefault="00DB6835" w:rsidP="00A9140F">
            <w:pPr>
              <w:pStyle w:val="AnnexNumberedText"/>
              <w:pageBreakBefore/>
            </w:pPr>
            <w:r>
              <w:lastRenderedPageBreak/>
              <w:t>5)</w:t>
            </w:r>
            <w:r>
              <w:tab/>
              <w:t>Mengunarvarnir og eftirlit með mengun</w:t>
            </w:r>
          </w:p>
        </w:tc>
        <w:tc>
          <w:tcPr>
            <w:tcW w:w="5940" w:type="dxa"/>
            <w:tcMar>
              <w:top w:w="100" w:type="dxa"/>
              <w:left w:w="40" w:type="dxa"/>
              <w:bottom w:w="100" w:type="dxa"/>
              <w:right w:w="0" w:type="dxa"/>
            </w:tcMar>
          </w:tcPr>
          <w:p w14:paraId="4BACD21A" w14:textId="77777777" w:rsidR="00DB6835" w:rsidRDefault="00DB6835" w:rsidP="00A9140F">
            <w:pPr>
              <w:pStyle w:val="AnnexTableCellLeft"/>
            </w:pPr>
            <w:r>
              <w:t>Á ekki við</w:t>
            </w:r>
          </w:p>
        </w:tc>
      </w:tr>
      <w:tr w:rsidR="00DB6835" w14:paraId="758036F2" w14:textId="77777777" w:rsidTr="00A9140F">
        <w:trPr>
          <w:trHeight w:val="360"/>
        </w:trPr>
        <w:tc>
          <w:tcPr>
            <w:tcW w:w="2800" w:type="dxa"/>
            <w:tcMar>
              <w:top w:w="100" w:type="dxa"/>
              <w:left w:w="0" w:type="dxa"/>
              <w:bottom w:w="100" w:type="dxa"/>
              <w:right w:w="60" w:type="dxa"/>
            </w:tcMar>
          </w:tcPr>
          <w:p w14:paraId="1F304571" w14:textId="77777777" w:rsidR="00DB6835" w:rsidRDefault="00DB6835" w:rsidP="00A9140F">
            <w:pPr>
              <w:pStyle w:val="AnnexNumberedText"/>
            </w:pPr>
            <w:r>
              <w:t>6)</w:t>
            </w:r>
            <w:r>
              <w:tab/>
              <w:t>Vernd og endurheimt líffræðilegrar fjölbreytni og vistkerfa</w:t>
            </w:r>
          </w:p>
        </w:tc>
        <w:tc>
          <w:tcPr>
            <w:tcW w:w="5940" w:type="dxa"/>
            <w:tcMar>
              <w:top w:w="100" w:type="dxa"/>
              <w:left w:w="40" w:type="dxa"/>
              <w:bottom w:w="100" w:type="dxa"/>
              <w:right w:w="0" w:type="dxa"/>
            </w:tcMar>
          </w:tcPr>
          <w:p w14:paraId="19E4B1A8" w14:textId="77777777" w:rsidR="00DB6835" w:rsidRDefault="00DB6835" w:rsidP="00A9140F">
            <w:pPr>
              <w:pStyle w:val="AnnexTableCellLeft"/>
            </w:pPr>
            <w:r>
              <w:t>Starfsemin er í samræmi við viðmiðanirnar sem settar eru fram í viðbæti D við þennan viðauka.</w:t>
            </w:r>
          </w:p>
        </w:tc>
      </w:tr>
    </w:tbl>
    <w:p w14:paraId="52C8D59A" w14:textId="77777777" w:rsidR="00DB6835" w:rsidRDefault="00DB6835" w:rsidP="00DB6835">
      <w:pPr>
        <w:pStyle w:val="AnnexNumberedText"/>
        <w:spacing w:before="200"/>
        <w:ind w:left="500" w:hanging="500"/>
      </w:pPr>
      <w:r>
        <w:t>4.12.</w:t>
      </w:r>
      <w:r>
        <w:rPr>
          <w:b/>
        </w:rPr>
        <w:tab/>
        <w:t>Geymsla á vetni</w:t>
      </w:r>
    </w:p>
    <w:p w14:paraId="7DB7602A" w14:textId="77777777" w:rsidR="00DB6835" w:rsidRDefault="00DB6835" w:rsidP="00DB6835">
      <w:pPr>
        <w:pStyle w:val="AnnexGrSeq3"/>
        <w:ind w:left="500"/>
        <w:jc w:val="both"/>
      </w:pPr>
      <w:r>
        <w:rPr>
          <w:i/>
        </w:rPr>
        <w:t>Lýsing á starfseminni</w:t>
      </w:r>
    </w:p>
    <w:p w14:paraId="7EF128AF" w14:textId="77777777" w:rsidR="00DB6835" w:rsidRDefault="00DB6835" w:rsidP="00DB6835">
      <w:pPr>
        <w:pStyle w:val="AnnexNormal"/>
        <w:ind w:left="500"/>
      </w:pPr>
      <w:r>
        <w:t>Bygging og rekstur stöðva sem geyma vetni og skila því síðar.</w:t>
      </w:r>
    </w:p>
    <w:p w14:paraId="04B2C47A" w14:textId="77777777" w:rsidR="00DB6835" w:rsidRDefault="00DB6835" w:rsidP="00DB6835">
      <w:pPr>
        <w:pStyle w:val="AnnexNormal"/>
        <w:ind w:left="500"/>
      </w:pPr>
      <w:r>
        <w:t>Atvinnustarfsemin í þessum flokki er ekki með sérstakan kóða atvinnugreinaflokkunar Evrópusambandsins í samræmi við atvinnugreinaflokkunina sem komið var á með reglugerð (EB) nr. 1893/2006.</w:t>
      </w:r>
    </w:p>
    <w:p w14:paraId="59283C62" w14:textId="77777777" w:rsidR="00DB6835" w:rsidRDefault="00DB6835" w:rsidP="00DB6835">
      <w:pPr>
        <w:pStyle w:val="AnnexNormal"/>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77A1610D"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36"/>
        <w:gridCol w:w="5904"/>
      </w:tblGrid>
      <w:tr w:rsidR="00DB6835" w14:paraId="18862CBA" w14:textId="77777777" w:rsidTr="00A9140F">
        <w:trPr>
          <w:trHeight w:val="240"/>
        </w:trPr>
        <w:tc>
          <w:tcPr>
            <w:tcW w:w="8740" w:type="dxa"/>
            <w:gridSpan w:val="2"/>
            <w:tcMar>
              <w:top w:w="100" w:type="dxa"/>
              <w:left w:w="0" w:type="dxa"/>
              <w:bottom w:w="100" w:type="dxa"/>
              <w:right w:w="60" w:type="dxa"/>
            </w:tcMar>
          </w:tcPr>
          <w:p w14:paraId="05152DAE"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E346E8D" w14:textId="77777777" w:rsidTr="00A9140F">
        <w:trPr>
          <w:trHeight w:val="360"/>
        </w:trPr>
        <w:tc>
          <w:tcPr>
            <w:tcW w:w="8740" w:type="dxa"/>
            <w:gridSpan w:val="2"/>
            <w:tcMar>
              <w:top w:w="100" w:type="dxa"/>
              <w:left w:w="0" w:type="dxa"/>
              <w:bottom w:w="100" w:type="dxa"/>
              <w:right w:w="60" w:type="dxa"/>
            </w:tcMar>
          </w:tcPr>
          <w:p w14:paraId="6E6E9E1B" w14:textId="77777777" w:rsidR="00DB6835" w:rsidRDefault="00DB6835" w:rsidP="00A9140F">
            <w:pPr>
              <w:pStyle w:val="AnnexTableCellLeft"/>
              <w:spacing w:after="280"/>
            </w:pPr>
            <w:r>
              <w:t>Starfsemin er ein af eftirfarandi:</w:t>
            </w:r>
          </w:p>
          <w:p w14:paraId="24B4570A" w14:textId="77777777" w:rsidR="00DB6835" w:rsidRDefault="00DB6835" w:rsidP="00A9140F">
            <w:pPr>
              <w:pStyle w:val="AnnexNumberedText"/>
              <w:spacing w:after="280"/>
            </w:pPr>
            <w:r>
              <w:t>a)</w:t>
            </w:r>
            <w:r>
              <w:tab/>
              <w:t>bygging geymsluaðstöðu fyrir vetni,</w:t>
            </w:r>
          </w:p>
          <w:p w14:paraId="357BDD65" w14:textId="77777777" w:rsidR="00DB6835" w:rsidRDefault="00DB6835" w:rsidP="00A9140F">
            <w:pPr>
              <w:pStyle w:val="AnnexNumberedText"/>
              <w:spacing w:after="280"/>
            </w:pPr>
            <w:r>
              <w:t>b)</w:t>
            </w:r>
            <w:r>
              <w:tab/>
              <w:t>geymsluaðstöðu, sem fyrir er, fyrir gas neðanjarðar er umbreytt yfir í geymsluaðstöðu sem er eingöngu ætluð til geymslu á vetni,</w:t>
            </w:r>
          </w:p>
          <w:p w14:paraId="6BE93F75" w14:textId="77777777" w:rsidR="00DB6835" w:rsidRDefault="00DB6835" w:rsidP="00A9140F">
            <w:pPr>
              <w:pStyle w:val="AnnexNumberedText"/>
              <w:spacing w:after="280"/>
            </w:pPr>
            <w:r>
              <w:t>c)</w:t>
            </w:r>
            <w:r>
              <w:tab/>
              <w:t>rekstur geymsluaðstöðu fyrir vetni þar sem vetnið, sem geymt er í aðstöðunni, uppfyllir viðmiðanirnar fyrir framleiðslu á vetni sem settar eru fram í þætti 3.10 í þessum viðauka.</w:t>
            </w:r>
          </w:p>
        </w:tc>
      </w:tr>
      <w:tr w:rsidR="00DB6835" w14:paraId="540356C7" w14:textId="77777777" w:rsidTr="00A9140F">
        <w:trPr>
          <w:trHeight w:val="240"/>
        </w:trPr>
        <w:tc>
          <w:tcPr>
            <w:tcW w:w="8740" w:type="dxa"/>
            <w:gridSpan w:val="2"/>
            <w:tcMar>
              <w:top w:w="100" w:type="dxa"/>
              <w:left w:w="0" w:type="dxa"/>
              <w:bottom w:w="100" w:type="dxa"/>
              <w:right w:w="60" w:type="dxa"/>
            </w:tcMar>
          </w:tcPr>
          <w:p w14:paraId="6C820B95" w14:textId="77777777" w:rsidR="00DB6835" w:rsidRDefault="00DB6835" w:rsidP="00A9140F">
            <w:pPr>
              <w:pStyle w:val="AnnexTableCellLeft"/>
            </w:pPr>
            <w:r>
              <w:t>Ekki valda umtalsverðu tjóni</w:t>
            </w:r>
          </w:p>
        </w:tc>
      </w:tr>
      <w:tr w:rsidR="00DB6835" w14:paraId="4464177A" w14:textId="77777777" w:rsidTr="00A9140F">
        <w:trPr>
          <w:trHeight w:val="360"/>
        </w:trPr>
        <w:tc>
          <w:tcPr>
            <w:tcW w:w="2836" w:type="dxa"/>
            <w:tcMar>
              <w:top w:w="100" w:type="dxa"/>
              <w:left w:w="0" w:type="dxa"/>
              <w:bottom w:w="100" w:type="dxa"/>
              <w:right w:w="60" w:type="dxa"/>
            </w:tcMar>
          </w:tcPr>
          <w:p w14:paraId="1F24EFAE" w14:textId="77777777" w:rsidR="00DB6835" w:rsidRDefault="00DB6835" w:rsidP="00A9140F">
            <w:pPr>
              <w:pStyle w:val="AnnexNumberedText"/>
            </w:pPr>
            <w:r>
              <w:t>2)</w:t>
            </w:r>
            <w:r>
              <w:tab/>
              <w:t>Aðlögun að loftslagsbreytingum</w:t>
            </w:r>
          </w:p>
        </w:tc>
        <w:tc>
          <w:tcPr>
            <w:tcW w:w="5904" w:type="dxa"/>
            <w:tcMar>
              <w:top w:w="100" w:type="dxa"/>
              <w:left w:w="40" w:type="dxa"/>
              <w:bottom w:w="100" w:type="dxa"/>
              <w:right w:w="0" w:type="dxa"/>
            </w:tcMar>
          </w:tcPr>
          <w:p w14:paraId="670BA274" w14:textId="77777777" w:rsidR="00DB6835" w:rsidRDefault="00DB6835" w:rsidP="00A9140F">
            <w:pPr>
              <w:pStyle w:val="AnnexTableCellLeft"/>
            </w:pPr>
            <w:r>
              <w:t>Starfsemin er í samræmi við viðmiðanirnar sem settar eru fram í viðbæti A við þennan viðauka.</w:t>
            </w:r>
          </w:p>
        </w:tc>
      </w:tr>
      <w:tr w:rsidR="00DB6835" w14:paraId="01250590" w14:textId="77777777" w:rsidTr="00A9140F">
        <w:trPr>
          <w:trHeight w:val="360"/>
        </w:trPr>
        <w:tc>
          <w:tcPr>
            <w:tcW w:w="2836" w:type="dxa"/>
            <w:tcMar>
              <w:top w:w="100" w:type="dxa"/>
              <w:left w:w="0" w:type="dxa"/>
              <w:bottom w:w="100" w:type="dxa"/>
              <w:right w:w="60" w:type="dxa"/>
            </w:tcMar>
          </w:tcPr>
          <w:p w14:paraId="4EE58D45" w14:textId="77777777" w:rsidR="00DB6835" w:rsidRDefault="00DB6835" w:rsidP="00A9140F">
            <w:pPr>
              <w:pStyle w:val="AnnexNumberedText"/>
            </w:pPr>
            <w:r>
              <w:t>3)</w:t>
            </w:r>
            <w:r>
              <w:tab/>
              <w:t>Sjálfbær notkun og verndun vatns- og sjávarauðlinda</w:t>
            </w:r>
          </w:p>
        </w:tc>
        <w:tc>
          <w:tcPr>
            <w:tcW w:w="5904" w:type="dxa"/>
            <w:tcMar>
              <w:top w:w="100" w:type="dxa"/>
              <w:left w:w="40" w:type="dxa"/>
              <w:bottom w:w="100" w:type="dxa"/>
              <w:right w:w="0" w:type="dxa"/>
            </w:tcMar>
          </w:tcPr>
          <w:p w14:paraId="576963C3" w14:textId="77777777" w:rsidR="00DB6835" w:rsidRDefault="00DB6835" w:rsidP="00A9140F">
            <w:pPr>
              <w:pStyle w:val="AnnexTableCellLeft"/>
            </w:pPr>
            <w:r>
              <w:t>Á ekki við</w:t>
            </w:r>
          </w:p>
        </w:tc>
      </w:tr>
      <w:tr w:rsidR="00DB6835" w14:paraId="387B2C58" w14:textId="77777777" w:rsidTr="00A9140F">
        <w:trPr>
          <w:trHeight w:val="360"/>
        </w:trPr>
        <w:tc>
          <w:tcPr>
            <w:tcW w:w="2836" w:type="dxa"/>
            <w:tcMar>
              <w:top w:w="100" w:type="dxa"/>
              <w:left w:w="0" w:type="dxa"/>
              <w:bottom w:w="100" w:type="dxa"/>
              <w:right w:w="60" w:type="dxa"/>
            </w:tcMar>
          </w:tcPr>
          <w:p w14:paraId="04531100" w14:textId="77777777" w:rsidR="00DB6835" w:rsidRDefault="00DB6835" w:rsidP="00A9140F">
            <w:pPr>
              <w:pStyle w:val="AnnexNumberedText"/>
            </w:pPr>
            <w:r>
              <w:t>4)</w:t>
            </w:r>
            <w:r>
              <w:tab/>
              <w:t>Umskipti yfir í hringrásarhagkerfi</w:t>
            </w:r>
          </w:p>
        </w:tc>
        <w:tc>
          <w:tcPr>
            <w:tcW w:w="5904" w:type="dxa"/>
            <w:tcMar>
              <w:top w:w="100" w:type="dxa"/>
              <w:left w:w="40" w:type="dxa"/>
              <w:bottom w:w="100" w:type="dxa"/>
              <w:right w:w="0" w:type="dxa"/>
            </w:tcMar>
          </w:tcPr>
          <w:p w14:paraId="01BFDC83" w14:textId="77777777" w:rsidR="00DB6835" w:rsidRDefault="00DB6835" w:rsidP="00A9140F">
            <w:pPr>
              <w:pStyle w:val="AnnexTableCellLeft"/>
            </w:pPr>
            <w:r>
              <w:t xml:space="preserve">Úrgangsstjórnunaráætlun er til staðar og tryggir hámarksendurnotkun, </w:t>
            </w:r>
            <w:proofErr w:type="spellStart"/>
            <w:r>
              <w:t>endurframleiðslu</w:t>
            </w:r>
            <w:proofErr w:type="spellEnd"/>
            <w:r>
              <w:t xml:space="preserve"> eða endurvinnslu við lok vistferilsins, þ.m.t. með samningsbundnu samkomulagi við samstarfsaðila um meðhöndlun úrgangs, endurspeglast í fjárhagslegum spám eða opinberum skjölum um verkefnið.</w:t>
            </w:r>
          </w:p>
        </w:tc>
      </w:tr>
      <w:tr w:rsidR="00DB6835" w14:paraId="73BF0A24" w14:textId="77777777" w:rsidTr="00A9140F">
        <w:trPr>
          <w:trHeight w:val="360"/>
        </w:trPr>
        <w:tc>
          <w:tcPr>
            <w:tcW w:w="2836" w:type="dxa"/>
            <w:tcMar>
              <w:top w:w="100" w:type="dxa"/>
              <w:left w:w="0" w:type="dxa"/>
              <w:bottom w:w="100" w:type="dxa"/>
              <w:right w:w="60" w:type="dxa"/>
            </w:tcMar>
          </w:tcPr>
          <w:p w14:paraId="6861009D" w14:textId="77777777" w:rsidR="00DB6835" w:rsidRDefault="00DB6835" w:rsidP="00A9140F">
            <w:pPr>
              <w:pStyle w:val="AnnexNumberedText"/>
            </w:pPr>
            <w:r>
              <w:t>5)</w:t>
            </w:r>
            <w:r>
              <w:tab/>
              <w:t>Mengunarvarnir og eftirlit með mengun</w:t>
            </w:r>
          </w:p>
        </w:tc>
        <w:tc>
          <w:tcPr>
            <w:tcW w:w="5904" w:type="dxa"/>
            <w:tcMar>
              <w:top w:w="100" w:type="dxa"/>
              <w:left w:w="40" w:type="dxa"/>
              <w:bottom w:w="100" w:type="dxa"/>
              <w:right w:w="0" w:type="dxa"/>
            </w:tcMar>
          </w:tcPr>
          <w:p w14:paraId="6C6181D7" w14:textId="77777777" w:rsidR="00DB6835" w:rsidRDefault="00DB6835" w:rsidP="00A9140F">
            <w:pPr>
              <w:pStyle w:val="AnnexTableCellLeft"/>
              <w:rPr>
                <w:szCs w:val="18"/>
              </w:rPr>
            </w:pPr>
            <w:r>
              <w:t>Ef um er að ræða geymslu á meira en fimm tonnum er starfsemin í samræmi við tilskipun Evrópuþingsins og ráðsins 2012/18/ESB (</w:t>
            </w:r>
            <w:r>
              <w:rPr>
                <w:rStyle w:val="Tilvsunneanmlsgrein"/>
                <w:sz w:val="18"/>
                <w:szCs w:val="18"/>
              </w:rPr>
              <w:footnoteReference w:id="200"/>
            </w:r>
            <w:r>
              <w:t>).</w:t>
            </w:r>
          </w:p>
        </w:tc>
      </w:tr>
      <w:tr w:rsidR="00DB6835" w14:paraId="16D06397" w14:textId="77777777" w:rsidTr="00A9140F">
        <w:trPr>
          <w:trHeight w:val="360"/>
        </w:trPr>
        <w:tc>
          <w:tcPr>
            <w:tcW w:w="2836" w:type="dxa"/>
            <w:tcMar>
              <w:top w:w="100" w:type="dxa"/>
              <w:left w:w="0" w:type="dxa"/>
              <w:bottom w:w="100" w:type="dxa"/>
              <w:right w:w="60" w:type="dxa"/>
            </w:tcMar>
          </w:tcPr>
          <w:p w14:paraId="02F4FCCB" w14:textId="77777777" w:rsidR="00DB6835" w:rsidRDefault="00DB6835" w:rsidP="00A9140F">
            <w:pPr>
              <w:pStyle w:val="AnnexNumberedText"/>
            </w:pPr>
            <w:r>
              <w:t>6)</w:t>
            </w:r>
            <w:r>
              <w:tab/>
              <w:t>Vernd og endurheimt líffræðilegrar fjölbreytni og vistkerfa</w:t>
            </w:r>
          </w:p>
        </w:tc>
        <w:tc>
          <w:tcPr>
            <w:tcW w:w="5904" w:type="dxa"/>
            <w:tcMar>
              <w:top w:w="100" w:type="dxa"/>
              <w:left w:w="40" w:type="dxa"/>
              <w:bottom w:w="100" w:type="dxa"/>
              <w:right w:w="0" w:type="dxa"/>
            </w:tcMar>
          </w:tcPr>
          <w:p w14:paraId="0B92B903" w14:textId="77777777" w:rsidR="00DB6835" w:rsidRDefault="00DB6835" w:rsidP="00A9140F">
            <w:pPr>
              <w:pStyle w:val="AnnexTableCellLeft"/>
              <w:rPr>
                <w:szCs w:val="18"/>
              </w:rPr>
            </w:pPr>
            <w:r>
              <w:t>Starfsemin er í samræmi við viðmiðanirnar sem settar eru fram í viðbæti D við þennan viðauka.</w:t>
            </w:r>
          </w:p>
        </w:tc>
      </w:tr>
    </w:tbl>
    <w:p w14:paraId="53894481" w14:textId="77777777" w:rsidR="00DB6835" w:rsidRDefault="00DB6835" w:rsidP="00DB6835">
      <w:pPr>
        <w:pStyle w:val="AnnexNumberedText"/>
        <w:spacing w:before="200"/>
        <w:ind w:left="500" w:hanging="500"/>
      </w:pPr>
      <w:r>
        <w:lastRenderedPageBreak/>
        <w:t>4.13.</w:t>
      </w:r>
      <w:r>
        <w:rPr>
          <w:b/>
        </w:rPr>
        <w:tab/>
        <w:t>Framleiðsla á lífgasi og lífeldsneyti til notkunar í flutningum og á fljótandi lífeldsneyti</w:t>
      </w:r>
    </w:p>
    <w:p w14:paraId="5415DD58" w14:textId="77777777" w:rsidR="00DB6835" w:rsidRDefault="00DB6835" w:rsidP="00DB6835">
      <w:pPr>
        <w:pStyle w:val="AnnexGrSeq3"/>
        <w:ind w:left="500"/>
        <w:jc w:val="both"/>
      </w:pPr>
      <w:r>
        <w:rPr>
          <w:i/>
        </w:rPr>
        <w:t>Lýsing á starfseminni</w:t>
      </w:r>
    </w:p>
    <w:p w14:paraId="65D95E45" w14:textId="77777777" w:rsidR="00DB6835" w:rsidRDefault="00DB6835" w:rsidP="00DB6835">
      <w:pPr>
        <w:pStyle w:val="AnnexNormal"/>
        <w:spacing w:after="0"/>
        <w:ind w:left="500"/>
      </w:pPr>
      <w:r>
        <w:t>Framleiðsla á lífgasi eða lífeldsneyti til notkunar í flutningum og á fljótandi lífeldsneyti</w:t>
      </w:r>
      <w:r>
        <w:br w:type="page"/>
      </w:r>
    </w:p>
    <w:p w14:paraId="5F026D15" w14:textId="77777777" w:rsidR="00DB6835" w:rsidRDefault="00DB6835" w:rsidP="00DB6835">
      <w:pPr>
        <w:pStyle w:val="AnnexNormal"/>
        <w:spacing w:after="240"/>
        <w:ind w:left="500"/>
      </w:pPr>
      <w:r>
        <w:lastRenderedPageBreak/>
        <w:t>Atvinnustarfsemin í þessum flokki gæti tengst kóða atvinnugreinaflokkunar Evrópusambandsins D35.21 í samræmi við atvinnugreinaflokkunina sem komið var á með reglugerð (EB) nr. 1893/2006.</w:t>
      </w:r>
    </w:p>
    <w:p w14:paraId="7B1FADAB" w14:textId="77777777" w:rsidR="00DB6835" w:rsidRDefault="00DB6835" w:rsidP="00DB6835">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752"/>
        <w:gridCol w:w="5988"/>
      </w:tblGrid>
      <w:tr w:rsidR="00DB6835" w14:paraId="5692EA39" w14:textId="77777777" w:rsidTr="00A9140F">
        <w:trPr>
          <w:trHeight w:val="240"/>
        </w:trPr>
        <w:tc>
          <w:tcPr>
            <w:tcW w:w="8740" w:type="dxa"/>
            <w:gridSpan w:val="2"/>
            <w:tcMar>
              <w:top w:w="100" w:type="dxa"/>
              <w:left w:w="0" w:type="dxa"/>
              <w:bottom w:w="100" w:type="dxa"/>
              <w:right w:w="60" w:type="dxa"/>
            </w:tcMar>
          </w:tcPr>
          <w:p w14:paraId="095680AC"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90DB0D4" w14:textId="77777777" w:rsidTr="00A9140F">
        <w:trPr>
          <w:trHeight w:val="360"/>
        </w:trPr>
        <w:tc>
          <w:tcPr>
            <w:tcW w:w="8740" w:type="dxa"/>
            <w:gridSpan w:val="2"/>
            <w:tcMar>
              <w:top w:w="100" w:type="dxa"/>
              <w:left w:w="0" w:type="dxa"/>
              <w:bottom w:w="100" w:type="dxa"/>
              <w:right w:w="60" w:type="dxa"/>
            </w:tcMar>
          </w:tcPr>
          <w:p w14:paraId="5D307F32" w14:textId="77777777" w:rsidR="00DB6835" w:rsidRDefault="00DB6835" w:rsidP="00A9140F">
            <w:pPr>
              <w:pStyle w:val="AnnexNumberedText"/>
              <w:tabs>
                <w:tab w:val="left" w:pos="508"/>
              </w:tabs>
              <w:spacing w:after="240"/>
              <w:ind w:left="0" w:firstLine="0"/>
            </w:pPr>
            <w:r>
              <w:t>1.</w:t>
            </w:r>
            <w:r>
              <w:tab/>
              <w:t>Lífmassi úr landbúnaði sem er notaður til að framleiða lífgas eða lífeldsneyti til notkunar í flutningum og til að framleiða fljótandi lífeldsneyti er í samræmi við viðmiðanirnar sem mælt er fyrir um í 2. til 5. mgr. 29. gr. tilskipunar (ESB) 2018/2001. Lífmassi úr skógi sem er notaður til að framleiða lífgas eða lífeldsneyti til notkunar í flutningum og til að framleiða fljótandi lífeldsneyti er í samræmi við viðmiðanirnar sem mælt er fyrir um í 6. og 7. mgr. 29. gr. þeirrar tilskipunar.</w:t>
            </w:r>
          </w:p>
          <w:p w14:paraId="288C8FFC" w14:textId="77777777" w:rsidR="00DB6835" w:rsidRDefault="00DB6835" w:rsidP="00A9140F">
            <w:pPr>
              <w:pStyle w:val="AnnexTableCellLeft"/>
              <w:tabs>
                <w:tab w:val="left" w:pos="508"/>
              </w:tabs>
              <w:spacing w:after="240"/>
            </w:pPr>
            <w:r>
              <w:t>Matvæla- og fóðurplöntur eru ekki notaðar til að framleiða lífeldsneyti til notkunar í flutningum og til að framleiða fljótandi lífeldsneyti.</w:t>
            </w:r>
          </w:p>
          <w:p w14:paraId="337C82D3" w14:textId="77777777" w:rsidR="00DB6835" w:rsidRDefault="00DB6835" w:rsidP="00A9140F">
            <w:pPr>
              <w:pStyle w:val="AnnexNumberedText"/>
              <w:tabs>
                <w:tab w:val="left" w:pos="508"/>
              </w:tabs>
              <w:spacing w:after="240"/>
              <w:ind w:left="0" w:firstLine="0"/>
            </w:pPr>
            <w:r>
              <w:t>2.</w:t>
            </w:r>
            <w:r>
              <w:tab/>
              <w:t>Minnkun á losun gróðurhúsalofttegunda frá framleiðslu á lífeldsneyti og lífgasi til notkunar í flutningum og frá framleiðslu á fljótandi lífeldsneyti er a.m.k. 65% með tilliti til aðferðarinnar við að minnka gróðurhúsalofttegundir og hlutfallslegs jarðefnaeldsneytissambera sem sett eru fram í V. viðauka við tilskipun (ESB) 2018/2001.</w:t>
            </w:r>
          </w:p>
          <w:p w14:paraId="4AB3AF0B" w14:textId="77777777" w:rsidR="00DB6835" w:rsidRDefault="00DB6835" w:rsidP="00A9140F">
            <w:pPr>
              <w:pStyle w:val="AnnexNumberedText"/>
              <w:tabs>
                <w:tab w:val="left" w:pos="508"/>
              </w:tabs>
              <w:spacing w:after="240"/>
              <w:ind w:left="0" w:firstLine="0"/>
            </w:pPr>
            <w:r>
              <w:t>3.</w:t>
            </w:r>
            <w:r>
              <w:tab/>
              <w:t xml:space="preserve">Ef treyst er á </w:t>
            </w:r>
            <w:proofErr w:type="spellStart"/>
            <w:r>
              <w:t>loftfirrða</w:t>
            </w:r>
            <w:proofErr w:type="spellEnd"/>
            <w:r>
              <w:t xml:space="preserve"> meltun lífræns efniviðar uppfyllir framleiðsla meltunnar viðmiðanirnar í þætti 5.6 og viðmiðun 1 og 2 í þætti 5.7 í þessum viðauka, eftir því sem við á.</w:t>
            </w:r>
          </w:p>
          <w:p w14:paraId="6A4F2364" w14:textId="77777777" w:rsidR="00DB6835" w:rsidRDefault="00DB6835" w:rsidP="00A9140F">
            <w:pPr>
              <w:pStyle w:val="AnnexNumberedText"/>
              <w:tabs>
                <w:tab w:val="left" w:pos="508"/>
              </w:tabs>
              <w:spacing w:after="240"/>
              <w:ind w:left="0" w:firstLine="0"/>
            </w:pPr>
            <w:r>
              <w:t>4.</w:t>
            </w:r>
            <w:r>
              <w:tab/>
              <w:t>Ef koltvísýringur, sem væri að öðrum kosti losaður í framleiðsluferlinu, er fangaður í þeim tilgangi að geyma hann neðanjarðar er koltvísýringurinn fluttur og geymdur neðanjarðar í samræmi við tæknilegu matsviðmiðin sem sett eru fram í þáttum 5.11 og 5.12 í þessum viðauka.</w:t>
            </w:r>
          </w:p>
        </w:tc>
      </w:tr>
      <w:tr w:rsidR="00DB6835" w14:paraId="17B306BE" w14:textId="77777777" w:rsidTr="00A9140F">
        <w:trPr>
          <w:trHeight w:val="240"/>
        </w:trPr>
        <w:tc>
          <w:tcPr>
            <w:tcW w:w="8740" w:type="dxa"/>
            <w:gridSpan w:val="2"/>
            <w:tcMar>
              <w:top w:w="100" w:type="dxa"/>
              <w:left w:w="0" w:type="dxa"/>
              <w:bottom w:w="100" w:type="dxa"/>
              <w:right w:w="60" w:type="dxa"/>
            </w:tcMar>
          </w:tcPr>
          <w:p w14:paraId="1D45BEBC" w14:textId="77777777" w:rsidR="00DB6835" w:rsidRDefault="00DB6835" w:rsidP="00A9140F">
            <w:pPr>
              <w:pStyle w:val="AnnexTableCellLeft"/>
            </w:pPr>
            <w:r>
              <w:t>Ekki valda umtalsverðu tjóni</w:t>
            </w:r>
          </w:p>
        </w:tc>
      </w:tr>
      <w:tr w:rsidR="00DB6835" w14:paraId="658A41AF" w14:textId="77777777" w:rsidTr="00A9140F">
        <w:trPr>
          <w:trHeight w:val="360"/>
        </w:trPr>
        <w:tc>
          <w:tcPr>
            <w:tcW w:w="2752" w:type="dxa"/>
            <w:tcMar>
              <w:top w:w="100" w:type="dxa"/>
              <w:left w:w="0" w:type="dxa"/>
              <w:bottom w:w="100" w:type="dxa"/>
              <w:right w:w="60" w:type="dxa"/>
            </w:tcMar>
          </w:tcPr>
          <w:p w14:paraId="4A1675B3" w14:textId="77777777" w:rsidR="00DB6835" w:rsidRDefault="00DB6835" w:rsidP="00A9140F">
            <w:pPr>
              <w:pStyle w:val="AnnexNumberedText"/>
            </w:pPr>
            <w:r>
              <w:t>2)</w:t>
            </w:r>
            <w:r>
              <w:tab/>
              <w:t>Aðlögun að loftslagsbreytingum</w:t>
            </w:r>
          </w:p>
        </w:tc>
        <w:tc>
          <w:tcPr>
            <w:tcW w:w="5988" w:type="dxa"/>
            <w:tcMar>
              <w:top w:w="100" w:type="dxa"/>
              <w:left w:w="40" w:type="dxa"/>
              <w:bottom w:w="100" w:type="dxa"/>
              <w:right w:w="0" w:type="dxa"/>
            </w:tcMar>
          </w:tcPr>
          <w:p w14:paraId="5AAE233A" w14:textId="77777777" w:rsidR="00DB6835" w:rsidRDefault="00DB6835" w:rsidP="00A9140F">
            <w:pPr>
              <w:pStyle w:val="AnnexTableCellLeft"/>
            </w:pPr>
            <w:r>
              <w:t>Starfsemin er í samræmi við viðmiðanirnar sem settar eru fram í viðbæti A við þennan viðauka.</w:t>
            </w:r>
          </w:p>
        </w:tc>
      </w:tr>
      <w:tr w:rsidR="00DB6835" w14:paraId="0A849C8C" w14:textId="77777777" w:rsidTr="00A9140F">
        <w:trPr>
          <w:trHeight w:val="360"/>
        </w:trPr>
        <w:tc>
          <w:tcPr>
            <w:tcW w:w="2752" w:type="dxa"/>
            <w:tcMar>
              <w:top w:w="100" w:type="dxa"/>
              <w:left w:w="0" w:type="dxa"/>
              <w:bottom w:w="100" w:type="dxa"/>
              <w:right w:w="60" w:type="dxa"/>
            </w:tcMar>
          </w:tcPr>
          <w:p w14:paraId="0406B9B5" w14:textId="77777777" w:rsidR="00DB6835" w:rsidRDefault="00DB6835" w:rsidP="00A9140F">
            <w:pPr>
              <w:pStyle w:val="AnnexNumberedText"/>
            </w:pPr>
            <w:r>
              <w:t>3)</w:t>
            </w:r>
            <w:r>
              <w:tab/>
              <w:t>Sjálfbær notkun og verndun vatns- og sjávarauðlinda</w:t>
            </w:r>
          </w:p>
        </w:tc>
        <w:tc>
          <w:tcPr>
            <w:tcW w:w="5988" w:type="dxa"/>
            <w:tcMar>
              <w:top w:w="100" w:type="dxa"/>
              <w:left w:w="40" w:type="dxa"/>
              <w:bottom w:w="100" w:type="dxa"/>
              <w:right w:w="0" w:type="dxa"/>
            </w:tcMar>
          </w:tcPr>
          <w:p w14:paraId="110F1425" w14:textId="77777777" w:rsidR="00DB6835" w:rsidRDefault="00DB6835" w:rsidP="00A9140F">
            <w:pPr>
              <w:pStyle w:val="AnnexTableCellLeft"/>
            </w:pPr>
            <w:r>
              <w:t>Starfsemin er í samræmi við viðmiðanirnar sem settar eru fram í viðbæti B við þennan viðauka.</w:t>
            </w:r>
          </w:p>
        </w:tc>
      </w:tr>
      <w:tr w:rsidR="00DB6835" w14:paraId="64AF8789" w14:textId="77777777" w:rsidTr="00A9140F">
        <w:trPr>
          <w:trHeight w:val="360"/>
        </w:trPr>
        <w:tc>
          <w:tcPr>
            <w:tcW w:w="2752" w:type="dxa"/>
            <w:tcMar>
              <w:top w:w="100" w:type="dxa"/>
              <w:left w:w="0" w:type="dxa"/>
              <w:bottom w:w="100" w:type="dxa"/>
              <w:right w:w="60" w:type="dxa"/>
            </w:tcMar>
          </w:tcPr>
          <w:p w14:paraId="1C7656D1" w14:textId="77777777" w:rsidR="00DB6835" w:rsidRDefault="00DB6835" w:rsidP="00A9140F">
            <w:pPr>
              <w:pStyle w:val="AnnexNumberedText"/>
            </w:pPr>
            <w:r>
              <w:t>4)</w:t>
            </w:r>
            <w:r>
              <w:tab/>
              <w:t>Umskipti yfir í hringrásarhagkerfi</w:t>
            </w:r>
          </w:p>
        </w:tc>
        <w:tc>
          <w:tcPr>
            <w:tcW w:w="5988" w:type="dxa"/>
            <w:tcMar>
              <w:top w:w="100" w:type="dxa"/>
              <w:left w:w="40" w:type="dxa"/>
              <w:bottom w:w="100" w:type="dxa"/>
              <w:right w:w="0" w:type="dxa"/>
            </w:tcMar>
          </w:tcPr>
          <w:p w14:paraId="02ED4CFF" w14:textId="77777777" w:rsidR="00DB6835" w:rsidRDefault="00DB6835" w:rsidP="00A9140F">
            <w:pPr>
              <w:pStyle w:val="AnnexTableCellLeft"/>
            </w:pPr>
            <w:r>
              <w:t>Á ekki við</w:t>
            </w:r>
          </w:p>
        </w:tc>
      </w:tr>
      <w:tr w:rsidR="00DB6835" w14:paraId="53298F53" w14:textId="77777777" w:rsidTr="00A9140F">
        <w:trPr>
          <w:trHeight w:val="360"/>
        </w:trPr>
        <w:tc>
          <w:tcPr>
            <w:tcW w:w="2752" w:type="dxa"/>
            <w:tcMar>
              <w:top w:w="100" w:type="dxa"/>
              <w:left w:w="0" w:type="dxa"/>
              <w:bottom w:w="100" w:type="dxa"/>
              <w:right w:w="60" w:type="dxa"/>
            </w:tcMar>
          </w:tcPr>
          <w:p w14:paraId="3CEF75C1" w14:textId="77777777" w:rsidR="00DB6835" w:rsidRDefault="00DB6835" w:rsidP="00A9140F">
            <w:pPr>
              <w:pStyle w:val="AnnexNumberedText"/>
            </w:pPr>
            <w:r>
              <w:t>5)</w:t>
            </w:r>
            <w:r>
              <w:tab/>
              <w:t>Mengunarvarnir og eftirlit með mengun</w:t>
            </w:r>
          </w:p>
        </w:tc>
        <w:tc>
          <w:tcPr>
            <w:tcW w:w="5988" w:type="dxa"/>
            <w:tcMar>
              <w:top w:w="100" w:type="dxa"/>
              <w:left w:w="40" w:type="dxa"/>
              <w:bottom w:w="100" w:type="dxa"/>
              <w:right w:w="0" w:type="dxa"/>
            </w:tcMar>
          </w:tcPr>
          <w:p w14:paraId="49853592" w14:textId="77777777" w:rsidR="00DB6835" w:rsidRDefault="00DB6835" w:rsidP="00A9140F">
            <w:pPr>
              <w:pStyle w:val="AnnexTableCellLeft"/>
              <w:spacing w:after="240"/>
              <w:rPr>
                <w:szCs w:val="18"/>
              </w:rPr>
            </w:pPr>
            <w:r>
              <w:t>Við framleiðslu á lífgasi er sett loftþétt lok á geymsluna fyrir meltuna.</w:t>
            </w:r>
          </w:p>
          <w:p w14:paraId="1664EE52" w14:textId="77777777" w:rsidR="00DB6835" w:rsidRDefault="00DB6835" w:rsidP="00A9140F">
            <w:pPr>
              <w:pStyle w:val="AnnexTableCellLeft"/>
              <w:spacing w:after="240"/>
              <w:rPr>
                <w:szCs w:val="18"/>
              </w:rPr>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201"/>
            </w:r>
            <w:r>
              <w:t>). Engin umtalsverð yfirfærsluáhrif milli umhverfishólfa eiga sér stað.</w:t>
            </w:r>
          </w:p>
          <w:p w14:paraId="39176FD2" w14:textId="77777777" w:rsidR="00DB6835" w:rsidRDefault="00DB6835" w:rsidP="00A9140F">
            <w:pPr>
              <w:pStyle w:val="AnnexTableCellLeft"/>
              <w:spacing w:after="240"/>
            </w:pPr>
            <w:r>
              <w:t xml:space="preserve">Ef um er að ræða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um meltu eða efnisþáttaefniviðaflokki 3 um </w:t>
            </w:r>
            <w:proofErr w:type="spellStart"/>
            <w:r>
              <w:t>moltu</w:t>
            </w:r>
            <w:proofErr w:type="spellEnd"/>
            <w:r>
              <w:t>, eftir því sem við á, í II. viðauka við reglugerð (ESB) 2019/1009 eða landsbundnar reglur um áburð eða jarðvegsbæta til notkunar í landbúnaði.</w:t>
            </w:r>
          </w:p>
        </w:tc>
      </w:tr>
      <w:tr w:rsidR="00DB6835" w14:paraId="65731263" w14:textId="77777777" w:rsidTr="00A9140F">
        <w:trPr>
          <w:trHeight w:val="360"/>
        </w:trPr>
        <w:tc>
          <w:tcPr>
            <w:tcW w:w="2752" w:type="dxa"/>
            <w:tcMar>
              <w:top w:w="100" w:type="dxa"/>
              <w:left w:w="0" w:type="dxa"/>
              <w:bottom w:w="100" w:type="dxa"/>
              <w:right w:w="60" w:type="dxa"/>
            </w:tcMar>
          </w:tcPr>
          <w:p w14:paraId="7C6C3A4A" w14:textId="77777777" w:rsidR="00DB6835" w:rsidRDefault="00DB6835" w:rsidP="00A9140F">
            <w:pPr>
              <w:pStyle w:val="AnnexNumberedText"/>
              <w:ind w:left="293" w:hanging="293"/>
            </w:pPr>
            <w:r>
              <w:lastRenderedPageBreak/>
              <w:t>6)</w:t>
            </w:r>
            <w:r>
              <w:tab/>
              <w:t>Vernd og endurheimt líffræðilegrar fjölbreytni og vistkerfa</w:t>
            </w:r>
          </w:p>
        </w:tc>
        <w:tc>
          <w:tcPr>
            <w:tcW w:w="5988" w:type="dxa"/>
            <w:tcMar>
              <w:top w:w="100" w:type="dxa"/>
              <w:left w:w="40" w:type="dxa"/>
              <w:bottom w:w="100" w:type="dxa"/>
              <w:right w:w="0" w:type="dxa"/>
            </w:tcMar>
          </w:tcPr>
          <w:p w14:paraId="5F053299" w14:textId="77777777" w:rsidR="00DB6835" w:rsidRDefault="00DB6835" w:rsidP="00A9140F">
            <w:pPr>
              <w:pStyle w:val="AnnexTableCellLeft"/>
            </w:pPr>
            <w:r>
              <w:t>Starfsemin er í samræmi við viðmiðanirnar sem settar eru fram í viðbæti D við þennan viðauka.</w:t>
            </w:r>
          </w:p>
        </w:tc>
      </w:tr>
    </w:tbl>
    <w:p w14:paraId="0A955502" w14:textId="77777777" w:rsidR="00DB6835" w:rsidRDefault="00DB6835" w:rsidP="00DB6835">
      <w:pPr>
        <w:shd w:val="clear" w:color="auto" w:fill="auto"/>
        <w:spacing w:line="0" w:lineRule="auto"/>
        <w:jc w:val="left"/>
        <w:rPr>
          <w:color w:val="auto"/>
          <w14:ligatures w14:val="standard"/>
        </w:rPr>
      </w:pPr>
      <w:r>
        <w:br w:type="page"/>
      </w:r>
    </w:p>
    <w:p w14:paraId="1DEAD691" w14:textId="77777777" w:rsidR="00DB6835" w:rsidRDefault="00DB6835" w:rsidP="00DB6835">
      <w:pPr>
        <w:pStyle w:val="AnnexNumberedText"/>
        <w:ind w:left="500" w:hanging="500"/>
      </w:pPr>
      <w:r>
        <w:lastRenderedPageBreak/>
        <w:t>4.14.</w:t>
      </w:r>
      <w:r>
        <w:rPr>
          <w:b/>
        </w:rPr>
        <w:tab/>
        <w:t>Flutnings- og dreifikerfi fyrir endurnýjanlegt gas og lágkolefnisgas</w:t>
      </w:r>
    </w:p>
    <w:p w14:paraId="55362BED" w14:textId="77777777" w:rsidR="00DB6835" w:rsidRDefault="00DB6835" w:rsidP="00DB6835">
      <w:pPr>
        <w:pStyle w:val="AnnexGrSeq3"/>
        <w:ind w:left="500"/>
        <w:jc w:val="both"/>
      </w:pPr>
      <w:r>
        <w:rPr>
          <w:i/>
        </w:rPr>
        <w:t>Lýsing á starfseminni</w:t>
      </w:r>
    </w:p>
    <w:p w14:paraId="1A40063B" w14:textId="77777777" w:rsidR="00DB6835" w:rsidRDefault="00DB6835" w:rsidP="00DB6835">
      <w:pPr>
        <w:pStyle w:val="AnnexNormal"/>
        <w:ind w:left="500"/>
      </w:pPr>
      <w:r>
        <w:t>Umbreyting, önnur notkun eða endurbætur á gasdreifikerfum fyrir flutning og dreifingu á endurnýjanlegu gasi og lágkolefnisgasi.</w:t>
      </w:r>
    </w:p>
    <w:p w14:paraId="253BC4D3" w14:textId="77777777" w:rsidR="00DB6835" w:rsidRDefault="00DB6835" w:rsidP="00DB6835">
      <w:pPr>
        <w:pStyle w:val="AnnexNormal"/>
        <w:ind w:left="500"/>
      </w:pPr>
      <w:r>
        <w:t xml:space="preserve">Uppbygging eða </w:t>
      </w:r>
      <w:proofErr w:type="spellStart"/>
      <w:r>
        <w:t>starfræksla</w:t>
      </w:r>
      <w:proofErr w:type="spellEnd"/>
      <w:r>
        <w:t xml:space="preserve"> flutnings- og dreifingarleiðslna sem eru ætlaðar fyrir flutning á vetni eða öðru lágkolefnisgasi.</w:t>
      </w:r>
    </w:p>
    <w:p w14:paraId="00FA9FC2" w14:textId="77777777" w:rsidR="00DB6835" w:rsidRDefault="00DB6835" w:rsidP="00DB6835">
      <w:pPr>
        <w:pStyle w:val="AnnexNormal"/>
        <w:ind w:left="500"/>
      </w:pPr>
      <w:r>
        <w:t>Atvinnustarfsemin í þessum flokki gæti tengst nokkrum kóðum atvinnugreinaflokkunar Evrópusambandsins, einkum D35.22, F42.21 og H49.50, í samræmi við atvinnugreinaflokkunina sem komið var á með reglugerð (EB) nr. 1893/2006.</w:t>
      </w:r>
    </w:p>
    <w:p w14:paraId="29CF856F"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DB6835" w14:paraId="1501D318" w14:textId="77777777" w:rsidTr="00A9140F">
        <w:trPr>
          <w:trHeight w:val="240"/>
        </w:trPr>
        <w:tc>
          <w:tcPr>
            <w:tcW w:w="8740" w:type="dxa"/>
            <w:gridSpan w:val="2"/>
            <w:tcMar>
              <w:top w:w="100" w:type="dxa"/>
              <w:left w:w="0" w:type="dxa"/>
              <w:bottom w:w="100" w:type="dxa"/>
              <w:right w:w="60" w:type="dxa"/>
            </w:tcMar>
          </w:tcPr>
          <w:p w14:paraId="193EB065"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104A1955" w14:textId="77777777" w:rsidTr="00A9140F">
        <w:trPr>
          <w:trHeight w:val="360"/>
        </w:trPr>
        <w:tc>
          <w:tcPr>
            <w:tcW w:w="8740" w:type="dxa"/>
            <w:gridSpan w:val="2"/>
            <w:tcMar>
              <w:top w:w="100" w:type="dxa"/>
              <w:left w:w="0" w:type="dxa"/>
              <w:bottom w:w="100" w:type="dxa"/>
              <w:right w:w="60" w:type="dxa"/>
            </w:tcMar>
          </w:tcPr>
          <w:p w14:paraId="020C0AFD" w14:textId="77777777" w:rsidR="00DB6835" w:rsidRDefault="00DB6835" w:rsidP="00A9140F">
            <w:pPr>
              <w:pStyle w:val="AnnexNumberedText"/>
              <w:tabs>
                <w:tab w:val="left" w:pos="508"/>
              </w:tabs>
              <w:spacing w:after="180"/>
              <w:ind w:left="0" w:firstLine="0"/>
            </w:pPr>
            <w:r>
              <w:t>1.</w:t>
            </w:r>
            <w:r>
              <w:tab/>
              <w:t>Starfsemin samanstendur af einu af eftirfarandi:</w:t>
            </w:r>
          </w:p>
          <w:p w14:paraId="230E3DC7" w14:textId="77777777" w:rsidR="00DB6835" w:rsidRDefault="00DB6835" w:rsidP="00A9140F">
            <w:pPr>
              <w:pStyle w:val="AnnexNumberedText"/>
              <w:spacing w:after="180"/>
            </w:pPr>
            <w:r>
              <w:t>a)</w:t>
            </w:r>
            <w:r>
              <w:tab/>
              <w:t xml:space="preserve">uppbygging eða </w:t>
            </w:r>
            <w:proofErr w:type="spellStart"/>
            <w:r>
              <w:t>starfræksla</w:t>
            </w:r>
            <w:proofErr w:type="spellEnd"/>
            <w:r>
              <w:t xml:space="preserve"> nýs flutnings- og dreifikerfis sem er ætlað fyrir vetni eða annað lágkolefnisgas,</w:t>
            </w:r>
          </w:p>
          <w:p w14:paraId="7464BD6B" w14:textId="77777777" w:rsidR="00DB6835" w:rsidRDefault="00DB6835" w:rsidP="00A9140F">
            <w:pPr>
              <w:pStyle w:val="AnnexNumberedText"/>
              <w:spacing w:after="180"/>
            </w:pPr>
            <w:r>
              <w:t>b)</w:t>
            </w:r>
            <w:r>
              <w:tab/>
              <w:t>umbreyting/önnur notkun á jarðgasdreifikerfum sem fyrir er yfir í 100% vetni,</w:t>
            </w:r>
          </w:p>
          <w:p w14:paraId="57C39AF5" w14:textId="77777777" w:rsidR="00DB6835" w:rsidRDefault="00DB6835" w:rsidP="00A9140F">
            <w:pPr>
              <w:pStyle w:val="AnnexNumberedText"/>
              <w:spacing w:after="180"/>
            </w:pPr>
            <w:r>
              <w:t>c)</w:t>
            </w:r>
            <w:r>
              <w:tab/>
              <w:t xml:space="preserve">endurbætur á flutnings- og dreifikerfum fyrir gas sem gera það kleift að </w:t>
            </w:r>
            <w:proofErr w:type="spellStart"/>
            <w:r>
              <w:t>samþætta</w:t>
            </w:r>
            <w:proofErr w:type="spellEnd"/>
            <w:r>
              <w:t xml:space="preserve"> vetni og annað lágkolefnisgas í dreifikerfinu, þ.m.t. öll starfsemi við flutnings- eða dreifikerfi fyrir gas sem gerir það kleift að auka blöndun á vetni eða öðru lágkolefnisgasi í gaskerfinu,</w:t>
            </w:r>
          </w:p>
          <w:p w14:paraId="061C8C96" w14:textId="77777777" w:rsidR="00DB6835" w:rsidRDefault="00DB6835" w:rsidP="00A9140F">
            <w:pPr>
              <w:pStyle w:val="AnnexNumberedText"/>
              <w:tabs>
                <w:tab w:val="left" w:pos="508"/>
              </w:tabs>
              <w:spacing w:after="180"/>
              <w:ind w:left="0" w:firstLine="0"/>
            </w:pPr>
            <w:r>
              <w:t>2.</w:t>
            </w:r>
            <w:r>
              <w:tab/>
              <w:t xml:space="preserve">Starfsemin nær yfir lekagreiningu og viðgerðir á gasleiðslum sem fyrir eru og öðrum hlutum </w:t>
            </w:r>
            <w:proofErr w:type="spellStart"/>
            <w:r>
              <w:t>netkerfisins</w:t>
            </w:r>
            <w:proofErr w:type="spellEnd"/>
            <w:r>
              <w:t xml:space="preserve"> til að draga úr </w:t>
            </w:r>
            <w:proofErr w:type="spellStart"/>
            <w:r>
              <w:t>metanleka</w:t>
            </w:r>
            <w:proofErr w:type="spellEnd"/>
            <w:r>
              <w:t>.</w:t>
            </w:r>
          </w:p>
        </w:tc>
      </w:tr>
      <w:tr w:rsidR="00DB6835" w14:paraId="5FBD442D" w14:textId="77777777" w:rsidTr="00A9140F">
        <w:trPr>
          <w:trHeight w:val="240"/>
        </w:trPr>
        <w:tc>
          <w:tcPr>
            <w:tcW w:w="8740" w:type="dxa"/>
            <w:gridSpan w:val="2"/>
            <w:tcMar>
              <w:top w:w="100" w:type="dxa"/>
              <w:left w:w="0" w:type="dxa"/>
              <w:bottom w:w="100" w:type="dxa"/>
              <w:right w:w="60" w:type="dxa"/>
            </w:tcMar>
          </w:tcPr>
          <w:p w14:paraId="05BA8642" w14:textId="77777777" w:rsidR="00DB6835" w:rsidRDefault="00DB6835" w:rsidP="00A9140F">
            <w:pPr>
              <w:pStyle w:val="AnnexTableCellLeft"/>
            </w:pPr>
            <w:r>
              <w:t>Ekki valda umtalsverðu tjóni</w:t>
            </w:r>
          </w:p>
        </w:tc>
      </w:tr>
      <w:tr w:rsidR="00DB6835" w14:paraId="09ACE36C" w14:textId="77777777" w:rsidTr="00A9140F">
        <w:trPr>
          <w:trHeight w:val="360"/>
        </w:trPr>
        <w:tc>
          <w:tcPr>
            <w:tcW w:w="2848" w:type="dxa"/>
            <w:tcMar>
              <w:top w:w="100" w:type="dxa"/>
              <w:left w:w="0" w:type="dxa"/>
              <w:bottom w:w="100" w:type="dxa"/>
              <w:right w:w="60" w:type="dxa"/>
            </w:tcMar>
          </w:tcPr>
          <w:p w14:paraId="7AED6702" w14:textId="77777777" w:rsidR="00DB6835" w:rsidRDefault="00DB6835" w:rsidP="00A9140F">
            <w:pPr>
              <w:pStyle w:val="AnnexNumberedText"/>
              <w:ind w:left="293" w:hanging="293"/>
            </w:pPr>
            <w:r>
              <w:t>2)</w:t>
            </w:r>
            <w:r>
              <w:tab/>
              <w:t>Aðlögun að loftslagsbreytingum</w:t>
            </w:r>
          </w:p>
        </w:tc>
        <w:tc>
          <w:tcPr>
            <w:tcW w:w="5892" w:type="dxa"/>
            <w:tcMar>
              <w:top w:w="100" w:type="dxa"/>
              <w:left w:w="40" w:type="dxa"/>
              <w:bottom w:w="100" w:type="dxa"/>
              <w:right w:w="0" w:type="dxa"/>
            </w:tcMar>
          </w:tcPr>
          <w:p w14:paraId="0095B0D1" w14:textId="77777777" w:rsidR="00DB6835" w:rsidRDefault="00DB6835" w:rsidP="00A9140F">
            <w:pPr>
              <w:pStyle w:val="AnnexTableCellLeft"/>
            </w:pPr>
            <w:r>
              <w:t>Starfsemin er í samræmi við viðmiðanirnar sem settar eru fram í viðbæti A við þennan viðauka.</w:t>
            </w:r>
          </w:p>
        </w:tc>
      </w:tr>
      <w:tr w:rsidR="00DB6835" w14:paraId="28598A23" w14:textId="77777777" w:rsidTr="00A9140F">
        <w:trPr>
          <w:trHeight w:val="360"/>
        </w:trPr>
        <w:tc>
          <w:tcPr>
            <w:tcW w:w="2848" w:type="dxa"/>
            <w:tcMar>
              <w:top w:w="100" w:type="dxa"/>
              <w:left w:w="0" w:type="dxa"/>
              <w:bottom w:w="100" w:type="dxa"/>
              <w:right w:w="60" w:type="dxa"/>
            </w:tcMar>
          </w:tcPr>
          <w:p w14:paraId="489D6121" w14:textId="77777777" w:rsidR="00DB6835" w:rsidRDefault="00DB6835" w:rsidP="00A9140F">
            <w:pPr>
              <w:pStyle w:val="AnnexNumberedText"/>
              <w:ind w:left="293" w:hanging="293"/>
            </w:pPr>
            <w:r>
              <w:t>3)</w:t>
            </w:r>
            <w:r>
              <w:tab/>
              <w:t>Sjálfbær notkun og verndun vatns- og sjávarauðlinda</w:t>
            </w:r>
          </w:p>
        </w:tc>
        <w:tc>
          <w:tcPr>
            <w:tcW w:w="5892" w:type="dxa"/>
            <w:tcMar>
              <w:top w:w="100" w:type="dxa"/>
              <w:left w:w="40" w:type="dxa"/>
              <w:bottom w:w="100" w:type="dxa"/>
              <w:right w:w="0" w:type="dxa"/>
            </w:tcMar>
          </w:tcPr>
          <w:p w14:paraId="58A40B7C" w14:textId="77777777" w:rsidR="00DB6835" w:rsidRDefault="00DB6835" w:rsidP="00A9140F">
            <w:pPr>
              <w:pStyle w:val="AnnexTableCellLeft"/>
            </w:pPr>
            <w:r>
              <w:t>Starfsemin er í samræmi við viðmiðanirnar sem settar eru fram í viðbæti B við þennan viðauka.</w:t>
            </w:r>
          </w:p>
        </w:tc>
      </w:tr>
      <w:tr w:rsidR="00DB6835" w14:paraId="0F40D57B" w14:textId="77777777" w:rsidTr="00A9140F">
        <w:trPr>
          <w:trHeight w:val="360"/>
        </w:trPr>
        <w:tc>
          <w:tcPr>
            <w:tcW w:w="2848" w:type="dxa"/>
            <w:tcMar>
              <w:top w:w="100" w:type="dxa"/>
              <w:left w:w="0" w:type="dxa"/>
              <w:bottom w:w="100" w:type="dxa"/>
              <w:right w:w="60" w:type="dxa"/>
            </w:tcMar>
          </w:tcPr>
          <w:p w14:paraId="0E151E62" w14:textId="77777777" w:rsidR="00DB6835" w:rsidRDefault="00DB6835" w:rsidP="00A9140F">
            <w:pPr>
              <w:pStyle w:val="AnnexNumberedText"/>
              <w:ind w:left="293" w:hanging="293"/>
            </w:pPr>
            <w:r>
              <w:t>4)</w:t>
            </w:r>
            <w:r>
              <w:tab/>
              <w:t>Umskipti yfir í hringrásarhagkerfi</w:t>
            </w:r>
          </w:p>
        </w:tc>
        <w:tc>
          <w:tcPr>
            <w:tcW w:w="5892" w:type="dxa"/>
            <w:tcMar>
              <w:top w:w="100" w:type="dxa"/>
              <w:left w:w="40" w:type="dxa"/>
              <w:bottom w:w="100" w:type="dxa"/>
              <w:right w:w="0" w:type="dxa"/>
            </w:tcMar>
          </w:tcPr>
          <w:p w14:paraId="5B3B5BE2" w14:textId="77777777" w:rsidR="00DB6835" w:rsidRDefault="00DB6835" w:rsidP="00A9140F">
            <w:pPr>
              <w:pStyle w:val="AnnexTableCellLeft"/>
            </w:pPr>
            <w:r>
              <w:t>Á ekki við</w:t>
            </w:r>
          </w:p>
        </w:tc>
      </w:tr>
      <w:tr w:rsidR="00DB6835" w14:paraId="02552DA6" w14:textId="77777777" w:rsidTr="00A9140F">
        <w:trPr>
          <w:trHeight w:val="360"/>
        </w:trPr>
        <w:tc>
          <w:tcPr>
            <w:tcW w:w="2848" w:type="dxa"/>
            <w:tcMar>
              <w:top w:w="100" w:type="dxa"/>
              <w:left w:w="0" w:type="dxa"/>
              <w:bottom w:w="100" w:type="dxa"/>
              <w:right w:w="60" w:type="dxa"/>
            </w:tcMar>
          </w:tcPr>
          <w:p w14:paraId="454A8422" w14:textId="77777777" w:rsidR="00DB6835" w:rsidRDefault="00DB6835" w:rsidP="00A9140F">
            <w:pPr>
              <w:pStyle w:val="AnnexNumberedText"/>
              <w:ind w:left="293" w:hanging="293"/>
            </w:pPr>
            <w:r>
              <w:t>5)</w:t>
            </w:r>
            <w:r>
              <w:tab/>
              <w:t>Mengunarvarnir og eftirlit með mengun</w:t>
            </w:r>
          </w:p>
        </w:tc>
        <w:tc>
          <w:tcPr>
            <w:tcW w:w="5892" w:type="dxa"/>
            <w:tcMar>
              <w:top w:w="100" w:type="dxa"/>
              <w:left w:w="40" w:type="dxa"/>
              <w:bottom w:w="100" w:type="dxa"/>
              <w:right w:w="0" w:type="dxa"/>
            </w:tcMar>
          </w:tcPr>
          <w:p w14:paraId="56BBEBE2" w14:textId="77777777" w:rsidR="00DB6835" w:rsidRDefault="00DB6835" w:rsidP="00A9140F">
            <w:pPr>
              <w:pStyle w:val="AnnexTableCellLeft"/>
              <w:rPr>
                <w:szCs w:val="18"/>
              </w:rPr>
            </w:pPr>
            <w:r>
              <w:t>Viftur, þjöppur, dælur og annar búnaður sem er notaður, sem fellur undir tilskipun Evrópuþingsins og ráðsins 2009/125/EB (</w:t>
            </w:r>
            <w:r>
              <w:rPr>
                <w:rStyle w:val="Tilvsunneanmlsgrein"/>
                <w:sz w:val="18"/>
                <w:szCs w:val="18"/>
              </w:rPr>
              <w:footnoteReference w:id="202"/>
            </w:r>
            <w:r>
              <w:t>), eru, ef við á, í samræmi við kröfurnar fyrir hæsta flokk orkumerkimiða ESB og við framkvæmdarreglugerðir samkvæmt þeirri tilskipun og eru besta aðgengilega tækni.</w:t>
            </w:r>
          </w:p>
        </w:tc>
      </w:tr>
      <w:tr w:rsidR="00DB6835" w14:paraId="77B8FABF" w14:textId="77777777" w:rsidTr="00A9140F">
        <w:trPr>
          <w:trHeight w:val="360"/>
        </w:trPr>
        <w:tc>
          <w:tcPr>
            <w:tcW w:w="2848" w:type="dxa"/>
            <w:tcMar>
              <w:top w:w="100" w:type="dxa"/>
              <w:left w:w="0" w:type="dxa"/>
              <w:bottom w:w="100" w:type="dxa"/>
              <w:right w:w="60" w:type="dxa"/>
            </w:tcMar>
          </w:tcPr>
          <w:p w14:paraId="18C4E60A" w14:textId="77777777" w:rsidR="00DB6835" w:rsidRDefault="00DB6835" w:rsidP="00A9140F">
            <w:pPr>
              <w:pStyle w:val="AnnexNumberedText"/>
              <w:ind w:left="293" w:hanging="293"/>
            </w:pPr>
            <w:r>
              <w:t>6)</w:t>
            </w:r>
            <w:r>
              <w:tab/>
              <w:t>Vernd og endurheimt líffræðilegrar fjölbreytni og vistkerfa</w:t>
            </w:r>
          </w:p>
        </w:tc>
        <w:tc>
          <w:tcPr>
            <w:tcW w:w="5892" w:type="dxa"/>
            <w:tcMar>
              <w:top w:w="100" w:type="dxa"/>
              <w:left w:w="40" w:type="dxa"/>
              <w:bottom w:w="100" w:type="dxa"/>
              <w:right w:w="0" w:type="dxa"/>
            </w:tcMar>
          </w:tcPr>
          <w:p w14:paraId="54B9D1F8" w14:textId="77777777" w:rsidR="00DB6835" w:rsidRDefault="00DB6835" w:rsidP="00A9140F">
            <w:pPr>
              <w:pStyle w:val="AnnexTableCellLeft"/>
            </w:pPr>
            <w:r>
              <w:t>Starfsemin er í samræmi við viðmiðanirnar sem settar eru fram í viðbæti D við þennan viðauka.</w:t>
            </w:r>
          </w:p>
        </w:tc>
      </w:tr>
    </w:tbl>
    <w:p w14:paraId="0E78618F" w14:textId="77777777" w:rsidR="00DB6835" w:rsidRDefault="00DB6835" w:rsidP="00DB6835">
      <w:pPr>
        <w:pStyle w:val="AnnexNumberedText"/>
        <w:spacing w:before="200"/>
        <w:ind w:left="500" w:hanging="500"/>
      </w:pPr>
      <w:r>
        <w:t>4.15.</w:t>
      </w:r>
      <w:r>
        <w:rPr>
          <w:b/>
        </w:rPr>
        <w:tab/>
        <w:t xml:space="preserve">Dreifing </w:t>
      </w:r>
      <w:proofErr w:type="spellStart"/>
      <w:r>
        <w:rPr>
          <w:b/>
        </w:rPr>
        <w:t>fjarhitunar</w:t>
      </w:r>
      <w:proofErr w:type="spellEnd"/>
      <w:r>
        <w:rPr>
          <w:b/>
        </w:rPr>
        <w:t>/-kælingar</w:t>
      </w:r>
    </w:p>
    <w:p w14:paraId="3B435B47" w14:textId="77777777" w:rsidR="00DB6835" w:rsidRDefault="00DB6835" w:rsidP="00DB6835">
      <w:pPr>
        <w:pStyle w:val="AnnexGrSeq3"/>
        <w:ind w:left="500"/>
        <w:jc w:val="both"/>
      </w:pPr>
      <w:r>
        <w:rPr>
          <w:i/>
        </w:rPr>
        <w:t>Lýsing á starfseminni</w:t>
      </w:r>
    </w:p>
    <w:p w14:paraId="221192B4" w14:textId="77777777" w:rsidR="00DB6835" w:rsidRDefault="00DB6835" w:rsidP="00DB6835">
      <w:pPr>
        <w:pStyle w:val="AnnexNormal"/>
        <w:spacing w:after="0"/>
        <w:ind w:left="500"/>
      </w:pPr>
      <w:r>
        <w:t xml:space="preserve">Uppbygging, endurnýjun og </w:t>
      </w:r>
      <w:proofErr w:type="spellStart"/>
      <w:r>
        <w:t>starfræksla</w:t>
      </w:r>
      <w:proofErr w:type="spellEnd"/>
      <w:r>
        <w:t xml:space="preserve"> leiðslna og tengdra grunnvirkja til dreifingar á varma og kælingu sem endar við </w:t>
      </w:r>
      <w:proofErr w:type="spellStart"/>
      <w:r>
        <w:t>aðveitustöðina</w:t>
      </w:r>
      <w:proofErr w:type="spellEnd"/>
      <w:r>
        <w:t xml:space="preserve"> eða </w:t>
      </w:r>
      <w:proofErr w:type="spellStart"/>
      <w:r>
        <w:t>varmaskiptinn</w:t>
      </w:r>
      <w:proofErr w:type="spellEnd"/>
      <w:r>
        <w:t>.</w:t>
      </w:r>
      <w:r>
        <w:br w:type="page"/>
      </w:r>
    </w:p>
    <w:p w14:paraId="1735CA0D" w14:textId="77777777" w:rsidR="00DB6835" w:rsidRDefault="00DB6835" w:rsidP="00DB6835">
      <w:pPr>
        <w:pStyle w:val="AnnexNormal"/>
        <w:spacing w:after="320"/>
        <w:ind w:left="500"/>
      </w:pPr>
      <w:r>
        <w:lastRenderedPageBreak/>
        <w:t>Atvinnustarfsemin í þessum flokki gæti tengst kóða atvinnugreinaflokkunar Evrópusambandsins D35.30 í samræmi við atvinnugreinaflokkunina sem komið var á með reglugerð (EB) nr. 1893/2006.</w:t>
      </w:r>
    </w:p>
    <w:p w14:paraId="05951337" w14:textId="77777777" w:rsidR="00DB6835" w:rsidRDefault="00DB6835" w:rsidP="00DB6835">
      <w:pPr>
        <w:pStyle w:val="AnnexGrSeq3"/>
        <w:spacing w:after="32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84"/>
        <w:gridCol w:w="5856"/>
      </w:tblGrid>
      <w:tr w:rsidR="00DB6835" w14:paraId="2E6171D8" w14:textId="77777777" w:rsidTr="00A9140F">
        <w:trPr>
          <w:trHeight w:val="240"/>
        </w:trPr>
        <w:tc>
          <w:tcPr>
            <w:tcW w:w="8740" w:type="dxa"/>
            <w:gridSpan w:val="2"/>
            <w:tcMar>
              <w:top w:w="100" w:type="dxa"/>
              <w:left w:w="0" w:type="dxa"/>
              <w:bottom w:w="100" w:type="dxa"/>
              <w:right w:w="60" w:type="dxa"/>
            </w:tcMar>
          </w:tcPr>
          <w:p w14:paraId="430EEB30"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4AAB633" w14:textId="77777777" w:rsidTr="00A9140F">
        <w:trPr>
          <w:trHeight w:val="360"/>
        </w:trPr>
        <w:tc>
          <w:tcPr>
            <w:tcW w:w="8740" w:type="dxa"/>
            <w:gridSpan w:val="2"/>
            <w:tcMar>
              <w:top w:w="100" w:type="dxa"/>
              <w:left w:w="0" w:type="dxa"/>
              <w:bottom w:w="100" w:type="dxa"/>
              <w:right w:w="60" w:type="dxa"/>
            </w:tcMar>
          </w:tcPr>
          <w:p w14:paraId="6B594A67" w14:textId="77777777" w:rsidR="00DB6835" w:rsidRDefault="00DB6835" w:rsidP="00A9140F">
            <w:pPr>
              <w:pStyle w:val="AnnexTableCellLeft"/>
              <w:spacing w:after="320"/>
            </w:pPr>
            <w:r>
              <w:t>Starfsemin er í samræmi við eina af eftirfarandi viðmiðunum:</w:t>
            </w:r>
          </w:p>
          <w:p w14:paraId="5B883093" w14:textId="77777777" w:rsidR="00DB6835" w:rsidRDefault="00DB6835" w:rsidP="00A9140F">
            <w:pPr>
              <w:pStyle w:val="AnnexNumberedText"/>
              <w:spacing w:after="320"/>
            </w:pPr>
            <w:r>
              <w:t>a)</w:t>
            </w:r>
            <w:r>
              <w:tab/>
              <w:t xml:space="preserve">að því er varðar uppbyggingu og </w:t>
            </w:r>
            <w:proofErr w:type="spellStart"/>
            <w:r>
              <w:t>starfrækslu</w:t>
            </w:r>
            <w:proofErr w:type="spellEnd"/>
            <w:r>
              <w:t xml:space="preserve"> leiðslna og tengdra grunnvirkja til dreifingar á varma og kælingu uppfyllir kerfið skilgreininguna um skilvirk </w:t>
            </w:r>
            <w:proofErr w:type="spellStart"/>
            <w:r>
              <w:t>fjarhitunar</w:t>
            </w:r>
            <w:proofErr w:type="spellEnd"/>
            <w:r>
              <w:t>- og -kælikerfi sem mælt er fyrir um í 41. lið 2. gr. tilskipunar 2012/27/ESB,</w:t>
            </w:r>
          </w:p>
          <w:p w14:paraId="12BC6B9F" w14:textId="77777777" w:rsidR="00DB6835" w:rsidRDefault="00DB6835" w:rsidP="00A9140F">
            <w:pPr>
              <w:pStyle w:val="AnnexNumberedText"/>
              <w:spacing w:after="320"/>
            </w:pPr>
            <w:r>
              <w:t>b)</w:t>
            </w:r>
            <w:r>
              <w:tab/>
              <w:t xml:space="preserve">að því er varðar endurnýjun á leiðslum og tengdum grunnvirkjum til dreifingar á varma og kælingu hefst fjárfestingin, sem gerir það að verkum að kerfið uppfyllir skilgreininguna um skilvirka </w:t>
            </w:r>
            <w:proofErr w:type="spellStart"/>
            <w:r>
              <w:t>fjarhitun</w:t>
            </w:r>
            <w:proofErr w:type="spellEnd"/>
            <w:r>
              <w:t xml:space="preserve"> eða -kælingu sem mælt er fyrir um í 41. lið 2. gr. tilskipunar 2012/27/ESB, innan þriggja ára og byggir á samningsbundinni skyldu eða sambærilegri skyldu ef um er að ræða rekstraraðila sem sjá bæði um framleiðsluna og dreifikerfið,</w:t>
            </w:r>
          </w:p>
          <w:p w14:paraId="61795BAC" w14:textId="77777777" w:rsidR="00DB6835" w:rsidRDefault="00DB6835" w:rsidP="00A9140F">
            <w:pPr>
              <w:pStyle w:val="AnnexNumberedText"/>
              <w:spacing w:after="320"/>
            </w:pPr>
            <w:r>
              <w:t>c)</w:t>
            </w:r>
            <w:r>
              <w:tab/>
              <w:t>starfsemin er eftirfarandi:</w:t>
            </w:r>
          </w:p>
          <w:p w14:paraId="07BEB612" w14:textId="77777777" w:rsidR="00DB6835" w:rsidRDefault="00DB6835" w:rsidP="00A9140F">
            <w:pPr>
              <w:pStyle w:val="AnnexNumberedText"/>
              <w:spacing w:after="320"/>
              <w:ind w:left="600"/>
            </w:pPr>
            <w:r>
              <w:t>i.</w:t>
            </w:r>
            <w:r>
              <w:tab/>
              <w:t>breyting yfir í fyrirkomulag með lægri hita,</w:t>
            </w:r>
          </w:p>
          <w:p w14:paraId="3A5B892F" w14:textId="77777777" w:rsidR="00DB6835" w:rsidRDefault="00DB6835" w:rsidP="00A9140F">
            <w:pPr>
              <w:pStyle w:val="AnnexNumberedText"/>
              <w:spacing w:after="280"/>
              <w:ind w:left="600"/>
            </w:pPr>
            <w:r>
              <w:t>ii.</w:t>
            </w:r>
            <w:r>
              <w:tab/>
              <w:t>þróað tilraunakerfi (eftirlits- og orkustjórnunarkerfi, net hlutanna).</w:t>
            </w:r>
          </w:p>
        </w:tc>
      </w:tr>
      <w:tr w:rsidR="00DB6835" w14:paraId="5BF78DAB" w14:textId="77777777" w:rsidTr="00A9140F">
        <w:trPr>
          <w:trHeight w:val="240"/>
        </w:trPr>
        <w:tc>
          <w:tcPr>
            <w:tcW w:w="8740" w:type="dxa"/>
            <w:gridSpan w:val="2"/>
            <w:tcMar>
              <w:top w:w="100" w:type="dxa"/>
              <w:left w:w="0" w:type="dxa"/>
              <w:bottom w:w="100" w:type="dxa"/>
              <w:right w:w="60" w:type="dxa"/>
            </w:tcMar>
          </w:tcPr>
          <w:p w14:paraId="041CB279" w14:textId="77777777" w:rsidR="00DB6835" w:rsidRDefault="00DB6835" w:rsidP="00A9140F">
            <w:pPr>
              <w:pStyle w:val="AnnexTableCellLeft"/>
            </w:pPr>
            <w:r>
              <w:t>Ekki valda umtalsverðu tjóni</w:t>
            </w:r>
          </w:p>
        </w:tc>
      </w:tr>
      <w:tr w:rsidR="00DB6835" w14:paraId="2CB1F74C" w14:textId="77777777" w:rsidTr="00A9140F">
        <w:trPr>
          <w:trHeight w:val="360"/>
        </w:trPr>
        <w:tc>
          <w:tcPr>
            <w:tcW w:w="2884" w:type="dxa"/>
            <w:tcMar>
              <w:top w:w="100" w:type="dxa"/>
              <w:left w:w="0" w:type="dxa"/>
              <w:bottom w:w="100" w:type="dxa"/>
              <w:right w:w="60" w:type="dxa"/>
            </w:tcMar>
          </w:tcPr>
          <w:p w14:paraId="4302BE6D" w14:textId="77777777" w:rsidR="00DB6835" w:rsidRDefault="00DB6835" w:rsidP="00A9140F">
            <w:pPr>
              <w:pStyle w:val="AnnexNumberedText"/>
            </w:pPr>
            <w:r>
              <w:t>2)</w:t>
            </w:r>
            <w:r>
              <w:tab/>
              <w:t>Aðlögun að loftslagsbreytingum</w:t>
            </w:r>
          </w:p>
        </w:tc>
        <w:tc>
          <w:tcPr>
            <w:tcW w:w="5856" w:type="dxa"/>
            <w:tcMar>
              <w:top w:w="100" w:type="dxa"/>
              <w:left w:w="40" w:type="dxa"/>
              <w:bottom w:w="100" w:type="dxa"/>
              <w:right w:w="0" w:type="dxa"/>
            </w:tcMar>
          </w:tcPr>
          <w:p w14:paraId="5B502540" w14:textId="77777777" w:rsidR="00DB6835" w:rsidRDefault="00DB6835" w:rsidP="00A9140F">
            <w:pPr>
              <w:pStyle w:val="AnnexTableCellLeft"/>
            </w:pPr>
            <w:r>
              <w:t>Starfsemin er í samræmi við viðmiðanirnar sem settar eru fram í viðbæti A við þennan viðauka.</w:t>
            </w:r>
          </w:p>
        </w:tc>
      </w:tr>
      <w:tr w:rsidR="00DB6835" w14:paraId="409A476F" w14:textId="77777777" w:rsidTr="00A9140F">
        <w:trPr>
          <w:trHeight w:val="360"/>
        </w:trPr>
        <w:tc>
          <w:tcPr>
            <w:tcW w:w="2884" w:type="dxa"/>
            <w:tcMar>
              <w:top w:w="100" w:type="dxa"/>
              <w:left w:w="0" w:type="dxa"/>
              <w:bottom w:w="100" w:type="dxa"/>
              <w:right w:w="60" w:type="dxa"/>
            </w:tcMar>
          </w:tcPr>
          <w:p w14:paraId="4268D96E" w14:textId="77777777" w:rsidR="00DB6835" w:rsidRDefault="00DB6835" w:rsidP="00A9140F">
            <w:pPr>
              <w:pStyle w:val="AnnexNumberedText"/>
            </w:pPr>
            <w:r>
              <w:t>3)</w:t>
            </w:r>
            <w:r>
              <w:tab/>
              <w:t>Sjálfbær notkun og verndun vatns- og sjávarauðlinda</w:t>
            </w:r>
          </w:p>
        </w:tc>
        <w:tc>
          <w:tcPr>
            <w:tcW w:w="5856" w:type="dxa"/>
            <w:tcMar>
              <w:top w:w="100" w:type="dxa"/>
              <w:left w:w="40" w:type="dxa"/>
              <w:bottom w:w="100" w:type="dxa"/>
              <w:right w:w="0" w:type="dxa"/>
            </w:tcMar>
          </w:tcPr>
          <w:p w14:paraId="4B6A1AFD" w14:textId="77777777" w:rsidR="00DB6835" w:rsidRDefault="00DB6835" w:rsidP="00A9140F">
            <w:pPr>
              <w:pStyle w:val="AnnexTableCellLeft"/>
            </w:pPr>
            <w:r>
              <w:t>Starfsemin er í samræmi við viðmiðanirnar sem settar eru fram í viðbæti B við þennan viðauka.</w:t>
            </w:r>
          </w:p>
        </w:tc>
      </w:tr>
      <w:tr w:rsidR="00DB6835" w14:paraId="6AC83847" w14:textId="77777777" w:rsidTr="00A9140F">
        <w:trPr>
          <w:trHeight w:val="360"/>
        </w:trPr>
        <w:tc>
          <w:tcPr>
            <w:tcW w:w="2884" w:type="dxa"/>
            <w:tcMar>
              <w:top w:w="100" w:type="dxa"/>
              <w:left w:w="0" w:type="dxa"/>
              <w:bottom w:w="100" w:type="dxa"/>
              <w:right w:w="60" w:type="dxa"/>
            </w:tcMar>
          </w:tcPr>
          <w:p w14:paraId="79B339E6" w14:textId="77777777" w:rsidR="00DB6835" w:rsidRDefault="00DB6835" w:rsidP="00A9140F">
            <w:pPr>
              <w:pStyle w:val="AnnexNumberedText"/>
            </w:pPr>
            <w:r>
              <w:t>4)</w:t>
            </w:r>
            <w:r>
              <w:tab/>
              <w:t>Umskipti yfir í hringrásarhagkerfi</w:t>
            </w:r>
          </w:p>
        </w:tc>
        <w:tc>
          <w:tcPr>
            <w:tcW w:w="5856" w:type="dxa"/>
            <w:tcMar>
              <w:top w:w="100" w:type="dxa"/>
              <w:left w:w="40" w:type="dxa"/>
              <w:bottom w:w="100" w:type="dxa"/>
              <w:right w:w="0" w:type="dxa"/>
            </w:tcMar>
          </w:tcPr>
          <w:p w14:paraId="6BC11ED1" w14:textId="77777777" w:rsidR="00DB6835" w:rsidRDefault="00DB6835" w:rsidP="00A9140F">
            <w:pPr>
              <w:pStyle w:val="AnnexTableCellLeft"/>
            </w:pPr>
            <w:r>
              <w:t>Á ekki við</w:t>
            </w:r>
          </w:p>
        </w:tc>
      </w:tr>
      <w:tr w:rsidR="00DB6835" w14:paraId="1C05066A" w14:textId="77777777" w:rsidTr="00A9140F">
        <w:trPr>
          <w:trHeight w:val="360"/>
        </w:trPr>
        <w:tc>
          <w:tcPr>
            <w:tcW w:w="2884" w:type="dxa"/>
            <w:tcMar>
              <w:top w:w="100" w:type="dxa"/>
              <w:left w:w="0" w:type="dxa"/>
              <w:bottom w:w="100" w:type="dxa"/>
              <w:right w:w="60" w:type="dxa"/>
            </w:tcMar>
          </w:tcPr>
          <w:p w14:paraId="1E23DB7B" w14:textId="77777777" w:rsidR="00DB6835" w:rsidRDefault="00DB6835" w:rsidP="00A9140F">
            <w:pPr>
              <w:pStyle w:val="AnnexNumberedText"/>
            </w:pPr>
            <w:r>
              <w:t>5)</w:t>
            </w:r>
            <w:r>
              <w:tab/>
              <w:t>Mengunarvarnir og eftirlit með mengun</w:t>
            </w:r>
          </w:p>
        </w:tc>
        <w:tc>
          <w:tcPr>
            <w:tcW w:w="5856" w:type="dxa"/>
            <w:tcMar>
              <w:top w:w="100" w:type="dxa"/>
              <w:left w:w="40" w:type="dxa"/>
              <w:bottom w:w="100" w:type="dxa"/>
              <w:right w:w="0" w:type="dxa"/>
            </w:tcMar>
          </w:tcPr>
          <w:p w14:paraId="60A7AF82" w14:textId="77777777" w:rsidR="00DB6835" w:rsidRDefault="00DB6835" w:rsidP="00A9140F">
            <w:pPr>
              <w:pStyle w:val="AnnexTableCellLeft"/>
            </w:pPr>
            <w:r>
              <w:t>Viftur, þjöppur, dælur og annar búnaður sem er notaður, sem fellur undir tilskipun 2009/125/EB, eru, ef við á, í samræmi við kröfurnar fyrir hæsta flokk orkumerkimiða ESB og að öðru leyti við framkvæmdarreglugerðir samkvæmt þeirri tilskipun og eru besta aðgengilega tækni.</w:t>
            </w:r>
          </w:p>
        </w:tc>
      </w:tr>
      <w:tr w:rsidR="00DB6835" w14:paraId="0150EE0F" w14:textId="77777777" w:rsidTr="00A9140F">
        <w:trPr>
          <w:trHeight w:val="360"/>
        </w:trPr>
        <w:tc>
          <w:tcPr>
            <w:tcW w:w="2884" w:type="dxa"/>
            <w:tcMar>
              <w:top w:w="100" w:type="dxa"/>
              <w:left w:w="0" w:type="dxa"/>
              <w:bottom w:w="100" w:type="dxa"/>
              <w:right w:w="60" w:type="dxa"/>
            </w:tcMar>
          </w:tcPr>
          <w:p w14:paraId="07D3D179" w14:textId="77777777" w:rsidR="00DB6835" w:rsidRDefault="00DB6835" w:rsidP="00A9140F">
            <w:pPr>
              <w:pStyle w:val="AnnexNumberedText"/>
            </w:pPr>
            <w:r>
              <w:t>6)</w:t>
            </w:r>
            <w:r>
              <w:tab/>
              <w:t>Vernd og endurheimt líffræðilegrar fjölbreytni og vistkerfa</w:t>
            </w:r>
          </w:p>
        </w:tc>
        <w:tc>
          <w:tcPr>
            <w:tcW w:w="5856" w:type="dxa"/>
            <w:tcMar>
              <w:top w:w="100" w:type="dxa"/>
              <w:left w:w="40" w:type="dxa"/>
              <w:bottom w:w="100" w:type="dxa"/>
              <w:right w:w="0" w:type="dxa"/>
            </w:tcMar>
          </w:tcPr>
          <w:p w14:paraId="6417D4F0" w14:textId="77777777" w:rsidR="00DB6835" w:rsidRDefault="00DB6835" w:rsidP="00A9140F">
            <w:pPr>
              <w:pStyle w:val="AnnexTableCellLeft"/>
            </w:pPr>
            <w:r>
              <w:t>Starfsemin er í samræmi við viðmiðanirnar sem settar eru fram í viðbæti D við þennan viðauka.</w:t>
            </w:r>
          </w:p>
        </w:tc>
      </w:tr>
    </w:tbl>
    <w:p w14:paraId="18C95406" w14:textId="77777777" w:rsidR="00DB6835" w:rsidRDefault="00DB6835" w:rsidP="00DB6835">
      <w:pPr>
        <w:pStyle w:val="AnnexNumberedText"/>
        <w:spacing w:before="200" w:after="320"/>
        <w:ind w:left="500" w:hanging="500"/>
      </w:pPr>
      <w:r>
        <w:t>4.16.</w:t>
      </w:r>
      <w:r>
        <w:rPr>
          <w:b/>
        </w:rPr>
        <w:tab/>
        <w:t xml:space="preserve">Uppsetning og </w:t>
      </w:r>
      <w:proofErr w:type="spellStart"/>
      <w:r>
        <w:rPr>
          <w:b/>
        </w:rPr>
        <w:t>starfræksla</w:t>
      </w:r>
      <w:proofErr w:type="spellEnd"/>
      <w:r>
        <w:rPr>
          <w:b/>
        </w:rPr>
        <w:t xml:space="preserve"> rafmagnsvarmadæla</w:t>
      </w:r>
    </w:p>
    <w:p w14:paraId="7EA921D9" w14:textId="77777777" w:rsidR="00DB6835" w:rsidRDefault="00DB6835" w:rsidP="00DB6835">
      <w:pPr>
        <w:pStyle w:val="AnnexGrSeq3"/>
        <w:spacing w:after="320"/>
        <w:ind w:left="500"/>
        <w:jc w:val="both"/>
      </w:pPr>
      <w:r>
        <w:rPr>
          <w:i/>
        </w:rPr>
        <w:t>Lýsing á starfseminni</w:t>
      </w:r>
    </w:p>
    <w:p w14:paraId="39848BF7" w14:textId="77777777" w:rsidR="00DB6835" w:rsidRDefault="00DB6835" w:rsidP="00DB6835">
      <w:pPr>
        <w:pStyle w:val="AnnexNormal"/>
        <w:spacing w:after="320"/>
        <w:ind w:left="500"/>
      </w:pPr>
      <w:r>
        <w:t xml:space="preserve">Uppsetning og </w:t>
      </w:r>
      <w:proofErr w:type="spellStart"/>
      <w:r>
        <w:t>starfræksla</w:t>
      </w:r>
      <w:proofErr w:type="spellEnd"/>
      <w:r>
        <w:t xml:space="preserve"> rafmagnsvarmadæla.</w:t>
      </w:r>
    </w:p>
    <w:p w14:paraId="2CFA43D8" w14:textId="77777777" w:rsidR="00DB6835" w:rsidRDefault="00DB6835" w:rsidP="00DB6835">
      <w:pPr>
        <w:pStyle w:val="AnnexNormal"/>
        <w:spacing w:after="320"/>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18098964" w14:textId="77777777" w:rsidR="00DB6835" w:rsidRDefault="00DB6835" w:rsidP="00DB6835">
      <w:pPr>
        <w:pStyle w:val="AnnexNormal"/>
        <w:ind w:left="500"/>
      </w:pPr>
      <w:r>
        <w:t>Atvinnustarfsemin í þessum flokki gæti tengst nokkrum kóðum atvinnugreinaflokkunar Evrópusambandsins, einkum D35.30 og F43.22, í samræmi við atvinnugreinaflokkunina sem komið var á með reglugerð (EB) nr. 1893/2006.</w:t>
      </w:r>
      <w:r>
        <w:br w:type="page"/>
      </w:r>
    </w:p>
    <w:p w14:paraId="40E88597" w14:textId="77777777" w:rsidR="00DB6835" w:rsidRDefault="00DB6835" w:rsidP="00DB6835">
      <w:pPr>
        <w:pStyle w:val="AnnexGrSeq3"/>
        <w:ind w:left="500"/>
        <w:jc w:val="left"/>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980"/>
        <w:gridCol w:w="5760"/>
      </w:tblGrid>
      <w:tr w:rsidR="00DB6835" w14:paraId="13E30021" w14:textId="77777777" w:rsidTr="00A9140F">
        <w:trPr>
          <w:trHeight w:val="240"/>
        </w:trPr>
        <w:tc>
          <w:tcPr>
            <w:tcW w:w="8740" w:type="dxa"/>
            <w:gridSpan w:val="2"/>
            <w:tcMar>
              <w:top w:w="100" w:type="dxa"/>
              <w:left w:w="0" w:type="dxa"/>
              <w:bottom w:w="100" w:type="dxa"/>
              <w:right w:w="60" w:type="dxa"/>
            </w:tcMar>
          </w:tcPr>
          <w:p w14:paraId="3359B78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A9BF2F5" w14:textId="77777777" w:rsidTr="00A9140F">
        <w:trPr>
          <w:trHeight w:val="360"/>
        </w:trPr>
        <w:tc>
          <w:tcPr>
            <w:tcW w:w="8740" w:type="dxa"/>
            <w:gridSpan w:val="2"/>
            <w:tcMar>
              <w:top w:w="100" w:type="dxa"/>
              <w:left w:w="0" w:type="dxa"/>
              <w:bottom w:w="100" w:type="dxa"/>
              <w:right w:w="60" w:type="dxa"/>
            </w:tcMar>
          </w:tcPr>
          <w:p w14:paraId="0688A10C" w14:textId="77777777" w:rsidR="00DB6835" w:rsidRDefault="00DB6835" w:rsidP="00A9140F">
            <w:pPr>
              <w:pStyle w:val="AnnexTableCellLeft"/>
              <w:spacing w:after="260"/>
            </w:pPr>
            <w:r>
              <w:t xml:space="preserve">Uppsetning og </w:t>
            </w:r>
            <w:proofErr w:type="spellStart"/>
            <w:r>
              <w:t>starfræksla</w:t>
            </w:r>
            <w:proofErr w:type="spellEnd"/>
            <w:r>
              <w:t xml:space="preserve"> rafmagnsvarmadæla er í samræmi við báðar eftirfarandi viðmiðanir:</w:t>
            </w:r>
          </w:p>
          <w:p w14:paraId="4296FF88" w14:textId="77777777" w:rsidR="00DB6835" w:rsidRDefault="00DB6835" w:rsidP="00A9140F">
            <w:pPr>
              <w:pStyle w:val="AnnexNumberedText"/>
              <w:spacing w:after="260"/>
            </w:pPr>
            <w:r>
              <w:t>a)</w:t>
            </w:r>
            <w:r>
              <w:tab/>
              <w:t>viðmiðunarmörk fyrir kælimiðil: hnatthlýnunarmáttur fer ekki yfir 675,</w:t>
            </w:r>
          </w:p>
          <w:p w14:paraId="35D5EAC2" w14:textId="77777777" w:rsidR="00DB6835" w:rsidRDefault="00DB6835" w:rsidP="00A9140F">
            <w:pPr>
              <w:pStyle w:val="AnnexNumberedText"/>
              <w:spacing w:after="260"/>
            </w:pPr>
            <w:r>
              <w:t>b)</w:t>
            </w:r>
            <w:r>
              <w:tab/>
              <w:t xml:space="preserve">kröfur um </w:t>
            </w:r>
            <w:proofErr w:type="spellStart"/>
            <w:r>
              <w:t>orkunýtni</w:t>
            </w:r>
            <w:proofErr w:type="spellEnd"/>
            <w:r>
              <w:t>, sem mælt er fyrir um í framkvæmdarreglugerðum (</w:t>
            </w:r>
            <w:r>
              <w:rPr>
                <w:rStyle w:val="Tilvsunneanmlsgrein"/>
                <w:sz w:val="18"/>
                <w:szCs w:val="18"/>
              </w:rPr>
              <w:footnoteReference w:id="203"/>
            </w:r>
            <w:r>
              <w:t>) samkvæmt tilskipun 2009/125/EB, eru uppfylltar.</w:t>
            </w:r>
          </w:p>
        </w:tc>
      </w:tr>
      <w:tr w:rsidR="00DB6835" w14:paraId="41B11CB1" w14:textId="77777777" w:rsidTr="00A9140F">
        <w:trPr>
          <w:trHeight w:val="240"/>
        </w:trPr>
        <w:tc>
          <w:tcPr>
            <w:tcW w:w="8740" w:type="dxa"/>
            <w:gridSpan w:val="2"/>
            <w:tcMar>
              <w:top w:w="100" w:type="dxa"/>
              <w:left w:w="0" w:type="dxa"/>
              <w:bottom w:w="100" w:type="dxa"/>
              <w:right w:w="60" w:type="dxa"/>
            </w:tcMar>
          </w:tcPr>
          <w:p w14:paraId="7BC4A313" w14:textId="77777777" w:rsidR="00DB6835" w:rsidRDefault="00DB6835" w:rsidP="00A9140F">
            <w:pPr>
              <w:pStyle w:val="AnnexTableCellLeft"/>
            </w:pPr>
            <w:r>
              <w:t>Ekki valda umtalsverðu tjóni</w:t>
            </w:r>
          </w:p>
        </w:tc>
      </w:tr>
      <w:tr w:rsidR="00DB6835" w14:paraId="15D3B016" w14:textId="77777777" w:rsidTr="00A9140F">
        <w:trPr>
          <w:trHeight w:val="360"/>
        </w:trPr>
        <w:tc>
          <w:tcPr>
            <w:tcW w:w="2980" w:type="dxa"/>
            <w:tcMar>
              <w:top w:w="100" w:type="dxa"/>
              <w:left w:w="0" w:type="dxa"/>
              <w:bottom w:w="100" w:type="dxa"/>
              <w:right w:w="60" w:type="dxa"/>
            </w:tcMar>
          </w:tcPr>
          <w:p w14:paraId="42A697D4" w14:textId="77777777" w:rsidR="00DB6835" w:rsidRDefault="00DB6835" w:rsidP="00A9140F">
            <w:pPr>
              <w:pStyle w:val="AnnexNumberedText"/>
            </w:pPr>
            <w:r>
              <w:t>2)</w:t>
            </w:r>
            <w:r>
              <w:tab/>
              <w:t>Aðlögun að loftslagsbreytingum</w:t>
            </w:r>
          </w:p>
        </w:tc>
        <w:tc>
          <w:tcPr>
            <w:tcW w:w="5760" w:type="dxa"/>
            <w:tcMar>
              <w:top w:w="100" w:type="dxa"/>
              <w:left w:w="40" w:type="dxa"/>
              <w:bottom w:w="100" w:type="dxa"/>
              <w:right w:w="0" w:type="dxa"/>
            </w:tcMar>
          </w:tcPr>
          <w:p w14:paraId="0C1B7E94" w14:textId="77777777" w:rsidR="00DB6835" w:rsidRDefault="00DB6835" w:rsidP="00A9140F">
            <w:pPr>
              <w:pStyle w:val="AnnexTableCellLeft"/>
            </w:pPr>
            <w:r>
              <w:t>Starfsemin er í samræmi við viðmiðanirnar sem settar eru fram í viðbæti A við þennan viðauka.</w:t>
            </w:r>
          </w:p>
        </w:tc>
      </w:tr>
      <w:tr w:rsidR="00DB6835" w14:paraId="633EE7D0" w14:textId="77777777" w:rsidTr="00A9140F">
        <w:trPr>
          <w:trHeight w:val="360"/>
        </w:trPr>
        <w:tc>
          <w:tcPr>
            <w:tcW w:w="2980" w:type="dxa"/>
            <w:tcMar>
              <w:top w:w="100" w:type="dxa"/>
              <w:left w:w="0" w:type="dxa"/>
              <w:bottom w:w="100" w:type="dxa"/>
              <w:right w:w="60" w:type="dxa"/>
            </w:tcMar>
          </w:tcPr>
          <w:p w14:paraId="7516F7EF" w14:textId="77777777" w:rsidR="00DB6835" w:rsidRDefault="00DB6835" w:rsidP="00A9140F">
            <w:pPr>
              <w:pStyle w:val="AnnexNumberedText"/>
            </w:pPr>
            <w:r>
              <w:t>3)</w:t>
            </w:r>
            <w:r>
              <w:tab/>
              <w:t>Sjálfbær notkun og verndun vatns- og sjávarauðlinda</w:t>
            </w:r>
          </w:p>
        </w:tc>
        <w:tc>
          <w:tcPr>
            <w:tcW w:w="5760" w:type="dxa"/>
            <w:tcMar>
              <w:top w:w="100" w:type="dxa"/>
              <w:left w:w="40" w:type="dxa"/>
              <w:bottom w:w="100" w:type="dxa"/>
              <w:right w:w="0" w:type="dxa"/>
            </w:tcMar>
          </w:tcPr>
          <w:p w14:paraId="0D3271A8" w14:textId="77777777" w:rsidR="00DB6835" w:rsidRDefault="00DB6835" w:rsidP="00A9140F">
            <w:pPr>
              <w:pStyle w:val="AnnexTableCellLeft"/>
            </w:pPr>
            <w:r>
              <w:t>Starfsemin er í samræmi við viðmiðanirnar sem settar eru fram í viðbæti B við þennan viðauka.</w:t>
            </w:r>
          </w:p>
        </w:tc>
      </w:tr>
      <w:tr w:rsidR="00DB6835" w14:paraId="21C673A9" w14:textId="77777777" w:rsidTr="00A9140F">
        <w:trPr>
          <w:trHeight w:val="360"/>
        </w:trPr>
        <w:tc>
          <w:tcPr>
            <w:tcW w:w="2980" w:type="dxa"/>
            <w:tcMar>
              <w:top w:w="100" w:type="dxa"/>
              <w:left w:w="0" w:type="dxa"/>
              <w:bottom w:w="100" w:type="dxa"/>
              <w:right w:w="60" w:type="dxa"/>
            </w:tcMar>
          </w:tcPr>
          <w:p w14:paraId="7F4FEFB9" w14:textId="77777777" w:rsidR="00DB6835" w:rsidRDefault="00DB6835" w:rsidP="00A9140F">
            <w:pPr>
              <w:pStyle w:val="AnnexNumberedText"/>
            </w:pPr>
            <w:r>
              <w:t>4)</w:t>
            </w:r>
            <w:r>
              <w:tab/>
              <w:t>Umskipti yfir í hringrásarhagkerfi</w:t>
            </w:r>
          </w:p>
        </w:tc>
        <w:tc>
          <w:tcPr>
            <w:tcW w:w="5760" w:type="dxa"/>
            <w:tcMar>
              <w:top w:w="100" w:type="dxa"/>
              <w:left w:w="40" w:type="dxa"/>
              <w:bottom w:w="100" w:type="dxa"/>
              <w:right w:w="0" w:type="dxa"/>
            </w:tcMar>
          </w:tcPr>
          <w:p w14:paraId="38AC9241" w14:textId="77777777" w:rsidR="00DB6835" w:rsidRDefault="00DB6835" w:rsidP="00A9140F">
            <w:pPr>
              <w:pStyle w:val="AnnexTableCellLeft"/>
              <w:spacing w:after="240"/>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p w14:paraId="4F739FCE" w14:textId="77777777" w:rsidR="00DB6835" w:rsidRDefault="00DB6835" w:rsidP="00A9140F">
            <w:pPr>
              <w:pStyle w:val="AnnexTableCellLeft"/>
            </w:pPr>
            <w:r>
              <w:t xml:space="preserve">Úrgangsstjórnunaráætlun er til staðar og tryggir hámarksendurnotkun, </w:t>
            </w:r>
            <w:proofErr w:type="spellStart"/>
            <w:r>
              <w:t>endurframleiðslu</w:t>
            </w:r>
            <w:proofErr w:type="spellEnd"/>
            <w:r>
              <w:t xml:space="preserve"> eða endurvinnslu við lok vistferilsins, þ.m.t. með samningsbundnu samkomulagi við samstarfsaðila um meðhöndlun úrgangs, endurspeglast í fjárhagslegum spám eða opinberum skjölum um verkefnið.</w:t>
            </w:r>
          </w:p>
        </w:tc>
      </w:tr>
      <w:tr w:rsidR="00DB6835" w14:paraId="3A5E4849" w14:textId="77777777" w:rsidTr="00A9140F">
        <w:trPr>
          <w:trHeight w:val="360"/>
        </w:trPr>
        <w:tc>
          <w:tcPr>
            <w:tcW w:w="2980" w:type="dxa"/>
            <w:tcMar>
              <w:top w:w="100" w:type="dxa"/>
              <w:left w:w="0" w:type="dxa"/>
              <w:bottom w:w="100" w:type="dxa"/>
              <w:right w:w="60" w:type="dxa"/>
            </w:tcMar>
          </w:tcPr>
          <w:p w14:paraId="554FDB5B" w14:textId="77777777" w:rsidR="00DB6835" w:rsidRDefault="00DB6835" w:rsidP="00A9140F">
            <w:pPr>
              <w:pStyle w:val="AnnexNumberedText"/>
            </w:pPr>
            <w:r>
              <w:t>5)</w:t>
            </w:r>
            <w:r>
              <w:tab/>
              <w:t>Mengunarvarnir og eftirlit með mengun</w:t>
            </w:r>
          </w:p>
        </w:tc>
        <w:tc>
          <w:tcPr>
            <w:tcW w:w="5760" w:type="dxa"/>
            <w:tcMar>
              <w:top w:w="100" w:type="dxa"/>
              <w:left w:w="40" w:type="dxa"/>
              <w:bottom w:w="100" w:type="dxa"/>
              <w:right w:w="0" w:type="dxa"/>
            </w:tcMar>
          </w:tcPr>
          <w:p w14:paraId="739F1E67" w14:textId="77777777" w:rsidR="00DB6835" w:rsidRDefault="00DB6835" w:rsidP="00A9140F">
            <w:pPr>
              <w:pStyle w:val="AnnexTableCellLeft"/>
            </w:pPr>
            <w:r>
              <w:t>Að því er varðar loft í loft varmadælur með málafköst sem nema 12 kW eða minna er hljóðaflsstig innan- og utandyra undir viðmiðunarmörkunum sem sett eru fram í reglugerð framkvæmdastjórnarinnar (ESB) nr. 206/2012 (</w:t>
            </w:r>
            <w:r>
              <w:rPr>
                <w:rStyle w:val="Tilvsunneanmlsgrein"/>
                <w:sz w:val="18"/>
                <w:szCs w:val="18"/>
              </w:rPr>
              <w:footnoteReference w:id="204"/>
            </w:r>
            <w:r>
              <w:t>).</w:t>
            </w:r>
          </w:p>
        </w:tc>
      </w:tr>
      <w:tr w:rsidR="00DB6835" w14:paraId="562CC581" w14:textId="77777777" w:rsidTr="00A9140F">
        <w:trPr>
          <w:trHeight w:val="360"/>
        </w:trPr>
        <w:tc>
          <w:tcPr>
            <w:tcW w:w="2980" w:type="dxa"/>
            <w:tcMar>
              <w:top w:w="100" w:type="dxa"/>
              <w:left w:w="0" w:type="dxa"/>
              <w:bottom w:w="100" w:type="dxa"/>
              <w:right w:w="60" w:type="dxa"/>
            </w:tcMar>
          </w:tcPr>
          <w:p w14:paraId="4E07DD87" w14:textId="77777777" w:rsidR="00DB6835" w:rsidRDefault="00DB6835" w:rsidP="00A9140F">
            <w:pPr>
              <w:pStyle w:val="AnnexNumberedText"/>
            </w:pPr>
            <w:r>
              <w:t>6)</w:t>
            </w:r>
            <w:r>
              <w:tab/>
              <w:t>Vernd og endurheimt líffræðilegrar fjölbreytni og vistkerfa</w:t>
            </w:r>
          </w:p>
        </w:tc>
        <w:tc>
          <w:tcPr>
            <w:tcW w:w="5760" w:type="dxa"/>
            <w:tcMar>
              <w:top w:w="100" w:type="dxa"/>
              <w:left w:w="40" w:type="dxa"/>
              <w:bottom w:w="100" w:type="dxa"/>
              <w:right w:w="0" w:type="dxa"/>
            </w:tcMar>
          </w:tcPr>
          <w:p w14:paraId="1ECA690C" w14:textId="77777777" w:rsidR="00DB6835" w:rsidRDefault="00DB6835" w:rsidP="00A9140F">
            <w:pPr>
              <w:pStyle w:val="AnnexTableCellLeft"/>
            </w:pPr>
            <w:r>
              <w:t>Á ekki við</w:t>
            </w:r>
          </w:p>
        </w:tc>
      </w:tr>
    </w:tbl>
    <w:p w14:paraId="0EA1BF08" w14:textId="77777777" w:rsidR="00DB6835" w:rsidRDefault="00DB6835" w:rsidP="00DB6835">
      <w:pPr>
        <w:pStyle w:val="AnnexNumberedText"/>
        <w:spacing w:before="200"/>
        <w:ind w:left="500" w:hanging="500"/>
      </w:pPr>
      <w:r>
        <w:t>4.17.</w:t>
      </w:r>
      <w:r>
        <w:rPr>
          <w:b/>
        </w:rPr>
        <w:tab/>
      </w:r>
      <w:proofErr w:type="spellStart"/>
      <w:r>
        <w:rPr>
          <w:b/>
        </w:rPr>
        <w:t>Samþætt</w:t>
      </w:r>
      <w:proofErr w:type="spellEnd"/>
      <w:r>
        <w:rPr>
          <w:b/>
        </w:rPr>
        <w:t xml:space="preserve"> vinnsla varma/kælingar og raforku úr sólarorku</w:t>
      </w:r>
    </w:p>
    <w:p w14:paraId="6E2A4F39" w14:textId="77777777" w:rsidR="00DB6835" w:rsidRDefault="00DB6835" w:rsidP="00DB6835">
      <w:pPr>
        <w:pStyle w:val="AnnexGrSeq3"/>
        <w:ind w:left="500"/>
        <w:jc w:val="both"/>
      </w:pPr>
      <w:r>
        <w:rPr>
          <w:i/>
        </w:rPr>
        <w:t>Lýsing á starfseminni</w:t>
      </w:r>
    </w:p>
    <w:p w14:paraId="682E3C2F" w14:textId="77777777" w:rsidR="00DB6835" w:rsidRDefault="00DB6835" w:rsidP="00DB6835">
      <w:pPr>
        <w:pStyle w:val="AnnexNormal"/>
        <w:ind w:left="500"/>
      </w:pPr>
      <w:r>
        <w:t xml:space="preserve">Bygging og rekstur stöðva sem </w:t>
      </w:r>
      <w:proofErr w:type="spellStart"/>
      <w:r>
        <w:t>samþætta</w:t>
      </w:r>
      <w:proofErr w:type="spellEnd"/>
      <w:r>
        <w:t xml:space="preserve"> vinnslu raforku og varma/kælingar úr sólarorku.</w:t>
      </w:r>
    </w:p>
    <w:p w14:paraId="50C7C84A" w14:textId="77777777" w:rsidR="00DB6835" w:rsidRDefault="00DB6835" w:rsidP="00DB6835">
      <w:pPr>
        <w:pStyle w:val="AnnexNormal"/>
        <w:ind w:left="500"/>
      </w:pPr>
      <w:r>
        <w:t>Atvinnustarfsemin í þessum flokki gæti tengst nokkrum kóðum atvinnugreinaflokkunar Evrópusambandsins, einkum D35.11 og D35.30, í samræmi við atvinnugreinaflokkunina sem komið var á með reglugerð (EB) nr. 1893/2006.</w:t>
      </w:r>
    </w:p>
    <w:p w14:paraId="1B5BAA55"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2"/>
        <w:gridCol w:w="5898"/>
      </w:tblGrid>
      <w:tr w:rsidR="00DB6835" w14:paraId="3A2A3F6F" w14:textId="77777777" w:rsidTr="00A9140F">
        <w:trPr>
          <w:trHeight w:val="240"/>
        </w:trPr>
        <w:tc>
          <w:tcPr>
            <w:tcW w:w="8740" w:type="dxa"/>
            <w:gridSpan w:val="2"/>
            <w:tcMar>
              <w:top w:w="100" w:type="dxa"/>
              <w:left w:w="0" w:type="dxa"/>
              <w:bottom w:w="100" w:type="dxa"/>
              <w:right w:w="60" w:type="dxa"/>
            </w:tcMar>
          </w:tcPr>
          <w:p w14:paraId="26A2447D"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31D42073" w14:textId="77777777" w:rsidTr="00A9140F">
        <w:trPr>
          <w:trHeight w:val="240"/>
        </w:trPr>
        <w:tc>
          <w:tcPr>
            <w:tcW w:w="8740" w:type="dxa"/>
            <w:gridSpan w:val="2"/>
            <w:tcMar>
              <w:top w:w="100" w:type="dxa"/>
              <w:left w:w="0" w:type="dxa"/>
              <w:bottom w:w="100" w:type="dxa"/>
              <w:right w:w="60" w:type="dxa"/>
            </w:tcMar>
          </w:tcPr>
          <w:p w14:paraId="01D05EDE" w14:textId="77777777" w:rsidR="00DB6835" w:rsidRDefault="00DB6835" w:rsidP="00A9140F">
            <w:pPr>
              <w:pStyle w:val="AnnexTableCellLeft"/>
              <w:pageBreakBefore/>
            </w:pPr>
            <w:r>
              <w:lastRenderedPageBreak/>
              <w:t xml:space="preserve">Starfsemin samanstendur af </w:t>
            </w:r>
            <w:proofErr w:type="spellStart"/>
            <w:r>
              <w:t>samþættri</w:t>
            </w:r>
            <w:proofErr w:type="spellEnd"/>
            <w:r>
              <w:t xml:space="preserve"> (</w:t>
            </w:r>
            <w:r>
              <w:rPr>
                <w:rStyle w:val="Tilvsunneanmlsgrein"/>
                <w:sz w:val="18"/>
                <w:szCs w:val="18"/>
              </w:rPr>
              <w:footnoteReference w:id="205"/>
            </w:r>
            <w:r>
              <w:t>) vinnslu raforku og varma/kælingar úr sólarorku.</w:t>
            </w:r>
          </w:p>
        </w:tc>
      </w:tr>
      <w:tr w:rsidR="00DB6835" w14:paraId="0404BD9E" w14:textId="77777777" w:rsidTr="00A9140F">
        <w:trPr>
          <w:trHeight w:val="240"/>
        </w:trPr>
        <w:tc>
          <w:tcPr>
            <w:tcW w:w="8740" w:type="dxa"/>
            <w:gridSpan w:val="2"/>
            <w:tcMar>
              <w:top w:w="100" w:type="dxa"/>
              <w:left w:w="0" w:type="dxa"/>
              <w:bottom w:w="100" w:type="dxa"/>
              <w:right w:w="60" w:type="dxa"/>
            </w:tcMar>
          </w:tcPr>
          <w:p w14:paraId="31ED9F4B" w14:textId="77777777" w:rsidR="00DB6835" w:rsidRDefault="00DB6835" w:rsidP="00A9140F">
            <w:pPr>
              <w:pStyle w:val="AnnexTableCellLeft"/>
            </w:pPr>
            <w:r>
              <w:t>Ekki valda umtalsverðu tjóni</w:t>
            </w:r>
          </w:p>
        </w:tc>
      </w:tr>
      <w:tr w:rsidR="00DB6835" w14:paraId="1781A0FB" w14:textId="77777777" w:rsidTr="00A9140F">
        <w:trPr>
          <w:trHeight w:val="360"/>
        </w:trPr>
        <w:tc>
          <w:tcPr>
            <w:tcW w:w="2842" w:type="dxa"/>
            <w:tcMar>
              <w:top w:w="100" w:type="dxa"/>
              <w:left w:w="0" w:type="dxa"/>
              <w:bottom w:w="100" w:type="dxa"/>
              <w:right w:w="60" w:type="dxa"/>
            </w:tcMar>
          </w:tcPr>
          <w:p w14:paraId="44EB00CF" w14:textId="77777777" w:rsidR="00DB6835" w:rsidRDefault="00DB6835" w:rsidP="00A9140F">
            <w:pPr>
              <w:pStyle w:val="AnnexNumberedText"/>
              <w:ind w:left="293" w:hanging="293"/>
            </w:pPr>
            <w:r>
              <w:t>2)</w:t>
            </w:r>
            <w:r>
              <w:tab/>
              <w:t>Aðlögun að loftslagsbreytingum</w:t>
            </w:r>
          </w:p>
        </w:tc>
        <w:tc>
          <w:tcPr>
            <w:tcW w:w="5898" w:type="dxa"/>
            <w:tcMar>
              <w:top w:w="100" w:type="dxa"/>
              <w:left w:w="40" w:type="dxa"/>
              <w:bottom w:w="100" w:type="dxa"/>
              <w:right w:w="0" w:type="dxa"/>
            </w:tcMar>
          </w:tcPr>
          <w:p w14:paraId="068AD7B3" w14:textId="77777777" w:rsidR="00DB6835" w:rsidRDefault="00DB6835" w:rsidP="00A9140F">
            <w:pPr>
              <w:pStyle w:val="AnnexTableCellLeft"/>
            </w:pPr>
            <w:r>
              <w:t>Starfsemin er í samræmi við viðmiðanirnar sem settar eru fram í viðbæti A við þennan viðauka.</w:t>
            </w:r>
          </w:p>
        </w:tc>
      </w:tr>
      <w:tr w:rsidR="00DB6835" w14:paraId="241EF9B4" w14:textId="77777777" w:rsidTr="00A9140F">
        <w:trPr>
          <w:trHeight w:val="360"/>
        </w:trPr>
        <w:tc>
          <w:tcPr>
            <w:tcW w:w="2842" w:type="dxa"/>
            <w:tcMar>
              <w:top w:w="100" w:type="dxa"/>
              <w:left w:w="0" w:type="dxa"/>
              <w:bottom w:w="100" w:type="dxa"/>
              <w:right w:w="60" w:type="dxa"/>
            </w:tcMar>
          </w:tcPr>
          <w:p w14:paraId="63098470" w14:textId="77777777" w:rsidR="00DB6835" w:rsidRDefault="00DB6835" w:rsidP="00A9140F">
            <w:pPr>
              <w:pStyle w:val="AnnexNumberedText"/>
              <w:ind w:left="293" w:hanging="293"/>
            </w:pPr>
            <w:r>
              <w:t>3)</w:t>
            </w:r>
            <w:r>
              <w:tab/>
              <w:t>Sjálfbær notkun og verndun vatns- og sjávarauðlinda</w:t>
            </w:r>
          </w:p>
        </w:tc>
        <w:tc>
          <w:tcPr>
            <w:tcW w:w="5898" w:type="dxa"/>
            <w:tcMar>
              <w:top w:w="100" w:type="dxa"/>
              <w:left w:w="40" w:type="dxa"/>
              <w:bottom w:w="100" w:type="dxa"/>
              <w:right w:w="0" w:type="dxa"/>
            </w:tcMar>
          </w:tcPr>
          <w:p w14:paraId="7F2AB2EC" w14:textId="77777777" w:rsidR="00DB6835" w:rsidRDefault="00DB6835" w:rsidP="00A9140F">
            <w:pPr>
              <w:pStyle w:val="AnnexTableCellLeft"/>
            </w:pPr>
            <w:r>
              <w:t>Á ekki við</w:t>
            </w:r>
          </w:p>
        </w:tc>
      </w:tr>
      <w:tr w:rsidR="00DB6835" w14:paraId="0F6EC6A8" w14:textId="77777777" w:rsidTr="00A9140F">
        <w:trPr>
          <w:trHeight w:val="360"/>
        </w:trPr>
        <w:tc>
          <w:tcPr>
            <w:tcW w:w="2842" w:type="dxa"/>
            <w:tcMar>
              <w:top w:w="100" w:type="dxa"/>
              <w:left w:w="0" w:type="dxa"/>
              <w:bottom w:w="100" w:type="dxa"/>
              <w:right w:w="60" w:type="dxa"/>
            </w:tcMar>
          </w:tcPr>
          <w:p w14:paraId="535E2C81" w14:textId="77777777" w:rsidR="00DB6835" w:rsidRDefault="00DB6835" w:rsidP="00A9140F">
            <w:pPr>
              <w:pStyle w:val="AnnexNumberedText"/>
              <w:ind w:left="293" w:hanging="293"/>
            </w:pPr>
            <w:r>
              <w:t>4)</w:t>
            </w:r>
            <w:r>
              <w:tab/>
              <w:t>Umskipti yfir í hringrásarhagkerfi</w:t>
            </w:r>
          </w:p>
        </w:tc>
        <w:tc>
          <w:tcPr>
            <w:tcW w:w="5898" w:type="dxa"/>
            <w:tcMar>
              <w:top w:w="100" w:type="dxa"/>
              <w:left w:w="40" w:type="dxa"/>
              <w:bottom w:w="100" w:type="dxa"/>
              <w:right w:w="0" w:type="dxa"/>
            </w:tcMar>
          </w:tcPr>
          <w:p w14:paraId="5EDE40F4" w14:textId="77777777" w:rsidR="00DB6835" w:rsidRDefault="00DB6835"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DB6835" w14:paraId="37FD743E" w14:textId="77777777" w:rsidTr="00A9140F">
        <w:trPr>
          <w:trHeight w:val="360"/>
        </w:trPr>
        <w:tc>
          <w:tcPr>
            <w:tcW w:w="2842" w:type="dxa"/>
            <w:tcMar>
              <w:top w:w="100" w:type="dxa"/>
              <w:left w:w="0" w:type="dxa"/>
              <w:bottom w:w="100" w:type="dxa"/>
              <w:right w:w="60" w:type="dxa"/>
            </w:tcMar>
          </w:tcPr>
          <w:p w14:paraId="27C7D1BB" w14:textId="77777777" w:rsidR="00DB6835" w:rsidRDefault="00DB6835" w:rsidP="00A9140F">
            <w:pPr>
              <w:pStyle w:val="AnnexNumberedText"/>
              <w:ind w:left="293" w:hanging="293"/>
            </w:pPr>
            <w:r>
              <w:t>5)</w:t>
            </w:r>
            <w:r>
              <w:tab/>
              <w:t>Mengunarvarnir og eftirlit með mengun</w:t>
            </w:r>
          </w:p>
        </w:tc>
        <w:tc>
          <w:tcPr>
            <w:tcW w:w="5898" w:type="dxa"/>
            <w:tcMar>
              <w:top w:w="100" w:type="dxa"/>
              <w:left w:w="40" w:type="dxa"/>
              <w:bottom w:w="100" w:type="dxa"/>
              <w:right w:w="0" w:type="dxa"/>
            </w:tcMar>
          </w:tcPr>
          <w:p w14:paraId="37C5BD57" w14:textId="77777777" w:rsidR="00DB6835" w:rsidRDefault="00DB6835" w:rsidP="00A9140F">
            <w:pPr>
              <w:pStyle w:val="AnnexTableCellLeft"/>
            </w:pPr>
            <w:r>
              <w:t>Á ekki við</w:t>
            </w:r>
          </w:p>
        </w:tc>
      </w:tr>
      <w:tr w:rsidR="00DB6835" w14:paraId="7486D855" w14:textId="77777777" w:rsidTr="00A9140F">
        <w:trPr>
          <w:trHeight w:val="360"/>
        </w:trPr>
        <w:tc>
          <w:tcPr>
            <w:tcW w:w="2842" w:type="dxa"/>
            <w:tcMar>
              <w:top w:w="100" w:type="dxa"/>
              <w:left w:w="0" w:type="dxa"/>
              <w:bottom w:w="100" w:type="dxa"/>
              <w:right w:w="60" w:type="dxa"/>
            </w:tcMar>
          </w:tcPr>
          <w:p w14:paraId="11614CDC" w14:textId="77777777" w:rsidR="00DB6835" w:rsidRDefault="00DB6835" w:rsidP="00A9140F">
            <w:pPr>
              <w:pStyle w:val="AnnexNumberedText"/>
              <w:ind w:left="293" w:hanging="293"/>
            </w:pPr>
            <w:r>
              <w:t>6)</w:t>
            </w:r>
            <w:r>
              <w:tab/>
              <w:t>Vernd og endurheimt líffræðilegrar fjölbreytni og vistkerfa</w:t>
            </w:r>
          </w:p>
        </w:tc>
        <w:tc>
          <w:tcPr>
            <w:tcW w:w="5898" w:type="dxa"/>
            <w:tcMar>
              <w:top w:w="100" w:type="dxa"/>
              <w:left w:w="40" w:type="dxa"/>
              <w:bottom w:w="100" w:type="dxa"/>
              <w:right w:w="0" w:type="dxa"/>
            </w:tcMar>
          </w:tcPr>
          <w:p w14:paraId="5CCE61B2" w14:textId="77777777" w:rsidR="00DB6835" w:rsidRDefault="00DB6835" w:rsidP="00A9140F">
            <w:pPr>
              <w:pStyle w:val="AnnexTableCellLeft"/>
            </w:pPr>
            <w:r>
              <w:t>Starfsemin er í samræmi við viðmiðanirnar sem settar eru fram í viðbæti D við þennan viðauka.</w:t>
            </w:r>
          </w:p>
        </w:tc>
      </w:tr>
    </w:tbl>
    <w:p w14:paraId="74261994" w14:textId="77777777" w:rsidR="00DB6835" w:rsidRDefault="00DB6835" w:rsidP="00DB6835">
      <w:pPr>
        <w:pStyle w:val="AnnexNumberedText"/>
        <w:spacing w:before="200" w:after="360"/>
        <w:ind w:left="500" w:hanging="500"/>
      </w:pPr>
      <w:r>
        <w:t>4.18.</w:t>
      </w:r>
      <w:r>
        <w:rPr>
          <w:b/>
        </w:rPr>
        <w:tab/>
      </w:r>
      <w:proofErr w:type="spellStart"/>
      <w:r>
        <w:rPr>
          <w:b/>
        </w:rPr>
        <w:t>Samþætt</w:t>
      </w:r>
      <w:proofErr w:type="spellEnd"/>
      <w:r>
        <w:rPr>
          <w:b/>
        </w:rPr>
        <w:t xml:space="preserve"> vinnsla varma/kælingar og raforku úr jarðvarmaorku</w:t>
      </w:r>
    </w:p>
    <w:p w14:paraId="74B047C3" w14:textId="77777777" w:rsidR="00DB6835" w:rsidRDefault="00DB6835" w:rsidP="00DB6835">
      <w:pPr>
        <w:pStyle w:val="AnnexGrSeq3"/>
        <w:spacing w:after="360"/>
        <w:ind w:left="500"/>
        <w:jc w:val="both"/>
      </w:pPr>
      <w:r>
        <w:rPr>
          <w:i/>
        </w:rPr>
        <w:t>Lýsing á starfseminni</w:t>
      </w:r>
    </w:p>
    <w:p w14:paraId="29BDED91" w14:textId="77777777" w:rsidR="00DB6835" w:rsidRDefault="00DB6835" w:rsidP="00DB6835">
      <w:pPr>
        <w:pStyle w:val="AnnexNormal"/>
        <w:spacing w:after="360"/>
        <w:ind w:left="500"/>
      </w:pPr>
      <w:r>
        <w:t xml:space="preserve">Bygging og rekstur stöðva sem </w:t>
      </w:r>
      <w:proofErr w:type="spellStart"/>
      <w:r>
        <w:t>samþætta</w:t>
      </w:r>
      <w:proofErr w:type="spellEnd"/>
      <w:r>
        <w:t xml:space="preserve"> vinnslu varma/kælingar og raforku úr jarðvarmaorku.</w:t>
      </w:r>
    </w:p>
    <w:p w14:paraId="764F928A" w14:textId="77777777" w:rsidR="00DB6835" w:rsidRDefault="00DB6835" w:rsidP="00DB6835">
      <w:pPr>
        <w:pStyle w:val="AnnexNormal"/>
        <w:spacing w:after="360"/>
        <w:ind w:left="500"/>
      </w:pPr>
      <w:r>
        <w:t>Atvinnustarfsemin í þessum flokki gæti tengst nokkrum kóðum atvinnugreinaflokkunar Evrópusambandsins, einkum D35.11 og D35.30, í samræmi við atvinnugreinaflokkunina sem komið var á með reglugerð (EB) nr. 1893/2006.</w:t>
      </w:r>
    </w:p>
    <w:p w14:paraId="65B5A12E" w14:textId="77777777" w:rsidR="00DB6835" w:rsidRDefault="00DB6835" w:rsidP="00DB6835">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DB6835" w14:paraId="75CBB5EC" w14:textId="77777777" w:rsidTr="00A9140F">
        <w:trPr>
          <w:trHeight w:val="240"/>
        </w:trPr>
        <w:tc>
          <w:tcPr>
            <w:tcW w:w="8740" w:type="dxa"/>
            <w:gridSpan w:val="2"/>
            <w:tcMar>
              <w:top w:w="100" w:type="dxa"/>
              <w:left w:w="0" w:type="dxa"/>
              <w:bottom w:w="100" w:type="dxa"/>
              <w:right w:w="60" w:type="dxa"/>
            </w:tcMar>
          </w:tcPr>
          <w:p w14:paraId="03F55508"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C0CE89E" w14:textId="77777777" w:rsidTr="00A9140F">
        <w:trPr>
          <w:trHeight w:val="240"/>
        </w:trPr>
        <w:tc>
          <w:tcPr>
            <w:tcW w:w="8740" w:type="dxa"/>
            <w:gridSpan w:val="2"/>
            <w:tcMar>
              <w:top w:w="100" w:type="dxa"/>
              <w:left w:w="0" w:type="dxa"/>
              <w:bottom w:w="100" w:type="dxa"/>
              <w:right w:w="60" w:type="dxa"/>
            </w:tcMar>
          </w:tcPr>
          <w:p w14:paraId="230F0A69" w14:textId="77777777" w:rsidR="00DB6835" w:rsidRDefault="00DB6835" w:rsidP="00A9140F">
            <w:pPr>
              <w:pStyle w:val="AnnexTableCellLeft"/>
              <w:spacing w:after="360"/>
              <w:rPr>
                <w:szCs w:val="18"/>
              </w:rPr>
            </w:pPr>
            <w:r>
              <w:t xml:space="preserve">Losun gróðurhúsalofttegunda á vistferlinum frá </w:t>
            </w:r>
            <w:proofErr w:type="spellStart"/>
            <w:r>
              <w:t>samþættri</w:t>
            </w:r>
            <w:proofErr w:type="spellEnd"/>
            <w:r>
              <w:t xml:space="preserve"> vinnslu varma/kælingar og raforku (</w:t>
            </w:r>
            <w:r>
              <w:rPr>
                <w:rStyle w:val="Tilvsunneanmlsgrein"/>
                <w:sz w:val="18"/>
                <w:szCs w:val="18"/>
              </w:rPr>
              <w:footnoteReference w:id="206"/>
            </w:r>
            <w:r>
              <w:t>) úr jarðvarmaorku er minni en 100 g CO</w:t>
            </w:r>
            <w:r>
              <w:rPr>
                <w:vertAlign w:val="subscript"/>
              </w:rPr>
              <w:t>2</w:t>
            </w:r>
            <w:r>
              <w:t xml:space="preserve">e á hvert 1 kWh orkufrálags frá </w:t>
            </w:r>
            <w:proofErr w:type="spellStart"/>
            <w:r>
              <w:t>samþættri</w:t>
            </w:r>
            <w:proofErr w:type="spellEnd"/>
            <w:r>
              <w:t xml:space="preserve"> vinnslu.</w:t>
            </w:r>
          </w:p>
          <w:p w14:paraId="130F125F" w14:textId="77777777" w:rsidR="00DB6835" w:rsidRDefault="00DB6835" w:rsidP="00A9140F">
            <w:pPr>
              <w:pStyle w:val="AnnexTableCellLeft"/>
              <w:spacing w:after="360"/>
            </w:pPr>
            <w:r>
              <w:t>Losun gróðurhúsalofttegunda á vistferlinum er reiknuð út á grundvelli verkefnissértækra gagna, ef þau eru tiltæk, með því að nota tilmæli framkvæmdastjórnarinnar 2013/179/ESB eða, að öðrum kosti, með því að nota ISO 14067:2018 eða ISO 14064-1:2018.</w:t>
            </w:r>
          </w:p>
          <w:p w14:paraId="44409124" w14:textId="77777777" w:rsidR="00DB6835" w:rsidRDefault="00DB6835" w:rsidP="00A9140F">
            <w:pPr>
              <w:pStyle w:val="AnnexTableCellLeft"/>
              <w:spacing w:after="360"/>
            </w:pPr>
            <w:r>
              <w:t>Óháður þriðji aðili sannprófar magngreinda losun gróðurhúsalofttegunda á vistferlinum.</w:t>
            </w:r>
          </w:p>
        </w:tc>
      </w:tr>
      <w:tr w:rsidR="00DB6835" w14:paraId="6D611458" w14:textId="77777777" w:rsidTr="00A9140F">
        <w:trPr>
          <w:trHeight w:val="240"/>
        </w:trPr>
        <w:tc>
          <w:tcPr>
            <w:tcW w:w="8740" w:type="dxa"/>
            <w:gridSpan w:val="2"/>
            <w:tcMar>
              <w:top w:w="100" w:type="dxa"/>
              <w:left w:w="0" w:type="dxa"/>
              <w:bottom w:w="100" w:type="dxa"/>
              <w:right w:w="60" w:type="dxa"/>
            </w:tcMar>
          </w:tcPr>
          <w:p w14:paraId="1644EDBC" w14:textId="77777777" w:rsidR="00DB6835" w:rsidRDefault="00DB6835" w:rsidP="00A9140F">
            <w:pPr>
              <w:pStyle w:val="AnnexTableCellLeft"/>
            </w:pPr>
            <w:r>
              <w:t>Ekki valda umtalsverðu tjóni</w:t>
            </w:r>
          </w:p>
        </w:tc>
      </w:tr>
      <w:tr w:rsidR="00DB6835" w14:paraId="4C57D1D4" w14:textId="77777777" w:rsidTr="00A9140F">
        <w:trPr>
          <w:trHeight w:val="360"/>
        </w:trPr>
        <w:tc>
          <w:tcPr>
            <w:tcW w:w="2848" w:type="dxa"/>
            <w:tcMar>
              <w:top w:w="100" w:type="dxa"/>
              <w:left w:w="0" w:type="dxa"/>
              <w:bottom w:w="100" w:type="dxa"/>
              <w:right w:w="60" w:type="dxa"/>
            </w:tcMar>
          </w:tcPr>
          <w:p w14:paraId="40566603" w14:textId="77777777" w:rsidR="00DB6835" w:rsidRDefault="00DB6835" w:rsidP="00A9140F">
            <w:pPr>
              <w:pStyle w:val="AnnexNumberedText"/>
              <w:ind w:left="293" w:hanging="293"/>
            </w:pPr>
            <w:r>
              <w:t>2)</w:t>
            </w:r>
            <w:r>
              <w:tab/>
              <w:t>Aðlögun að loftslagsbreytingum</w:t>
            </w:r>
          </w:p>
        </w:tc>
        <w:tc>
          <w:tcPr>
            <w:tcW w:w="5892" w:type="dxa"/>
            <w:tcMar>
              <w:top w:w="100" w:type="dxa"/>
              <w:left w:w="40" w:type="dxa"/>
              <w:bottom w:w="100" w:type="dxa"/>
              <w:right w:w="0" w:type="dxa"/>
            </w:tcMar>
          </w:tcPr>
          <w:p w14:paraId="4D944640" w14:textId="77777777" w:rsidR="00DB6835" w:rsidRDefault="00DB6835" w:rsidP="00A9140F">
            <w:pPr>
              <w:pStyle w:val="AnnexTableCellLeft"/>
            </w:pPr>
            <w:r>
              <w:t>Starfsemin er í samræmi við viðmiðanirnar sem settar eru fram í viðbæti A við þennan viðauka.</w:t>
            </w:r>
          </w:p>
        </w:tc>
      </w:tr>
      <w:tr w:rsidR="00DB6835" w14:paraId="26601B29" w14:textId="77777777" w:rsidTr="00A9140F">
        <w:trPr>
          <w:trHeight w:val="360"/>
        </w:trPr>
        <w:tc>
          <w:tcPr>
            <w:tcW w:w="2848" w:type="dxa"/>
            <w:tcMar>
              <w:top w:w="100" w:type="dxa"/>
              <w:left w:w="0" w:type="dxa"/>
              <w:bottom w:w="100" w:type="dxa"/>
              <w:right w:w="60" w:type="dxa"/>
            </w:tcMar>
          </w:tcPr>
          <w:p w14:paraId="60197DEB" w14:textId="77777777" w:rsidR="00DB6835" w:rsidRDefault="00DB6835" w:rsidP="00A9140F">
            <w:pPr>
              <w:pStyle w:val="AnnexNumberedText"/>
              <w:ind w:left="293" w:hanging="293"/>
            </w:pPr>
            <w:r>
              <w:t>3)</w:t>
            </w:r>
            <w:r>
              <w:tab/>
              <w:t xml:space="preserve">Sjálfbær notkun og verndun </w:t>
            </w:r>
            <w:r>
              <w:lastRenderedPageBreak/>
              <w:t>vatns- og sjávarauðlinda</w:t>
            </w:r>
          </w:p>
        </w:tc>
        <w:tc>
          <w:tcPr>
            <w:tcW w:w="5892" w:type="dxa"/>
            <w:tcMar>
              <w:top w:w="100" w:type="dxa"/>
              <w:left w:w="40" w:type="dxa"/>
              <w:bottom w:w="100" w:type="dxa"/>
              <w:right w:w="0" w:type="dxa"/>
            </w:tcMar>
          </w:tcPr>
          <w:p w14:paraId="4D007A49" w14:textId="77777777" w:rsidR="00DB6835" w:rsidRDefault="00DB6835" w:rsidP="00A9140F">
            <w:pPr>
              <w:pStyle w:val="AnnexTableCellLeft"/>
            </w:pPr>
            <w:r>
              <w:lastRenderedPageBreak/>
              <w:t>Starfsemin er í samræmi við viðmiðanirnar sem settar eru fram í viðbæti B við þennan viðauka.</w:t>
            </w:r>
          </w:p>
        </w:tc>
      </w:tr>
      <w:tr w:rsidR="00DB6835" w14:paraId="2744A628" w14:textId="77777777" w:rsidTr="00A9140F">
        <w:trPr>
          <w:trHeight w:val="360"/>
        </w:trPr>
        <w:tc>
          <w:tcPr>
            <w:tcW w:w="2848" w:type="dxa"/>
            <w:tcMar>
              <w:top w:w="100" w:type="dxa"/>
              <w:left w:w="0" w:type="dxa"/>
              <w:bottom w:w="100" w:type="dxa"/>
              <w:right w:w="60" w:type="dxa"/>
            </w:tcMar>
          </w:tcPr>
          <w:p w14:paraId="4FFEC92A" w14:textId="77777777" w:rsidR="00DB6835" w:rsidRDefault="00DB6835" w:rsidP="00A9140F">
            <w:pPr>
              <w:pStyle w:val="AnnexNumberedText"/>
              <w:ind w:left="293" w:hanging="293"/>
            </w:pPr>
            <w:r>
              <w:t>4)</w:t>
            </w:r>
            <w:r>
              <w:tab/>
              <w:t>Umskipti yfir í hringrásarhagkerfi</w:t>
            </w:r>
          </w:p>
        </w:tc>
        <w:tc>
          <w:tcPr>
            <w:tcW w:w="5892" w:type="dxa"/>
            <w:tcMar>
              <w:top w:w="100" w:type="dxa"/>
              <w:left w:w="40" w:type="dxa"/>
              <w:bottom w:w="100" w:type="dxa"/>
              <w:right w:w="0" w:type="dxa"/>
            </w:tcMar>
          </w:tcPr>
          <w:p w14:paraId="7C781EDB" w14:textId="77777777" w:rsidR="00DB6835" w:rsidRDefault="00DB6835" w:rsidP="00A9140F">
            <w:pPr>
              <w:pStyle w:val="AnnexTableCellLeft"/>
            </w:pPr>
            <w:r>
              <w:t>Á ekki við</w:t>
            </w:r>
          </w:p>
        </w:tc>
      </w:tr>
      <w:tr w:rsidR="00DB6835" w14:paraId="5CC08AC2" w14:textId="77777777" w:rsidTr="00A9140F">
        <w:trPr>
          <w:trHeight w:val="360"/>
        </w:trPr>
        <w:tc>
          <w:tcPr>
            <w:tcW w:w="2848" w:type="dxa"/>
            <w:tcMar>
              <w:top w:w="100" w:type="dxa"/>
              <w:left w:w="0" w:type="dxa"/>
              <w:bottom w:w="100" w:type="dxa"/>
              <w:right w:w="60" w:type="dxa"/>
            </w:tcMar>
          </w:tcPr>
          <w:p w14:paraId="0FA703E8" w14:textId="77777777" w:rsidR="00DB6835" w:rsidRDefault="00DB6835" w:rsidP="00A9140F">
            <w:pPr>
              <w:pStyle w:val="AnnexNumberedText"/>
              <w:pageBreakBefore/>
              <w:ind w:left="293" w:hanging="293"/>
            </w:pPr>
            <w:r>
              <w:lastRenderedPageBreak/>
              <w:t>5)</w:t>
            </w:r>
            <w:r>
              <w:tab/>
              <w:t>Mengunarvarnir og eftirlit með mengun</w:t>
            </w:r>
          </w:p>
        </w:tc>
        <w:tc>
          <w:tcPr>
            <w:tcW w:w="5892" w:type="dxa"/>
            <w:tcMar>
              <w:top w:w="100" w:type="dxa"/>
              <w:left w:w="40" w:type="dxa"/>
              <w:bottom w:w="100" w:type="dxa"/>
              <w:right w:w="0" w:type="dxa"/>
            </w:tcMar>
          </w:tcPr>
          <w:p w14:paraId="154D97AD" w14:textId="77777777" w:rsidR="00DB6835" w:rsidRDefault="00DB6835" w:rsidP="00A9140F">
            <w:pPr>
              <w:pStyle w:val="AnnexTableCellLeft"/>
            </w:pPr>
            <w:r>
              <w:t xml:space="preserve">Að því er varðar </w:t>
            </w:r>
            <w:proofErr w:type="spellStart"/>
            <w:r>
              <w:t>starfrækslu</w:t>
            </w:r>
            <w:proofErr w:type="spellEnd"/>
            <w:r>
              <w:t xml:space="preserve"> jarðvarmaorkukerfa með háu vermi eru fullnægjandi hreinsunarkerfi til staðar til að draga úr losun í því skyni að hindra ekki að viðmiðunarmörk fyrir loftgæði náist, sem sett eru fram í tilskipunum 2004/107/EB og 2008/50/EB.</w:t>
            </w:r>
          </w:p>
        </w:tc>
      </w:tr>
      <w:tr w:rsidR="00DB6835" w14:paraId="371A05FE" w14:textId="77777777" w:rsidTr="00A9140F">
        <w:trPr>
          <w:trHeight w:val="360"/>
        </w:trPr>
        <w:tc>
          <w:tcPr>
            <w:tcW w:w="2848" w:type="dxa"/>
            <w:tcMar>
              <w:top w:w="100" w:type="dxa"/>
              <w:left w:w="0" w:type="dxa"/>
              <w:bottom w:w="100" w:type="dxa"/>
              <w:right w:w="60" w:type="dxa"/>
            </w:tcMar>
          </w:tcPr>
          <w:p w14:paraId="6198162E" w14:textId="77777777" w:rsidR="00DB6835" w:rsidRDefault="00DB6835" w:rsidP="00A9140F">
            <w:pPr>
              <w:pStyle w:val="AnnexNumberedText"/>
              <w:ind w:left="293" w:hanging="293"/>
            </w:pPr>
            <w:r>
              <w:t>6)</w:t>
            </w:r>
            <w:r>
              <w:tab/>
              <w:t>Vernd og endurheimt líffræðilegrar fjölbreytni og vistkerfa</w:t>
            </w:r>
          </w:p>
        </w:tc>
        <w:tc>
          <w:tcPr>
            <w:tcW w:w="5892" w:type="dxa"/>
            <w:tcMar>
              <w:top w:w="100" w:type="dxa"/>
              <w:left w:w="40" w:type="dxa"/>
              <w:bottom w:w="100" w:type="dxa"/>
              <w:right w:w="0" w:type="dxa"/>
            </w:tcMar>
          </w:tcPr>
          <w:p w14:paraId="2297DD85" w14:textId="77777777" w:rsidR="00DB6835" w:rsidRDefault="00DB6835" w:rsidP="00A9140F">
            <w:pPr>
              <w:pStyle w:val="AnnexTableCellLeft"/>
            </w:pPr>
            <w:r>
              <w:t>Starfsemin er í samræmi við viðmiðanirnar sem settar eru fram í viðbæti D við þennan viðauka.</w:t>
            </w:r>
          </w:p>
        </w:tc>
      </w:tr>
    </w:tbl>
    <w:p w14:paraId="7C64B078" w14:textId="77777777" w:rsidR="00DB6835" w:rsidRDefault="00DB6835" w:rsidP="00DB6835">
      <w:pPr>
        <w:pStyle w:val="AnnexNumberedText"/>
        <w:spacing w:before="200" w:after="200"/>
        <w:ind w:left="500" w:hanging="500"/>
      </w:pPr>
      <w:r>
        <w:t>4.19.</w:t>
      </w:r>
      <w:r>
        <w:rPr>
          <w:b/>
        </w:rPr>
        <w:tab/>
      </w:r>
      <w:proofErr w:type="spellStart"/>
      <w:r>
        <w:rPr>
          <w:b/>
        </w:rPr>
        <w:t>Samþætt</w:t>
      </w:r>
      <w:proofErr w:type="spellEnd"/>
      <w:r>
        <w:rPr>
          <w:b/>
        </w:rPr>
        <w:t xml:space="preserve"> vinnsla varma/kælingar og raforku úr endurnýjanlegu loftkenndu eldsneyti sem er ekki jarðefnaeldsneyti og fljótandi eldsneyti</w:t>
      </w:r>
    </w:p>
    <w:p w14:paraId="3DD2EB92" w14:textId="77777777" w:rsidR="00DB6835" w:rsidRDefault="00DB6835" w:rsidP="00DB6835">
      <w:pPr>
        <w:pStyle w:val="AnnexGrSeq3"/>
        <w:ind w:left="500"/>
        <w:jc w:val="both"/>
      </w:pPr>
      <w:r>
        <w:rPr>
          <w:i/>
        </w:rPr>
        <w:t>Lýsing á starfseminni</w:t>
      </w:r>
    </w:p>
    <w:p w14:paraId="5FA4232B" w14:textId="77777777" w:rsidR="00DB6835" w:rsidRDefault="00DB6835" w:rsidP="00DB6835">
      <w:pPr>
        <w:pStyle w:val="AnnexNormal"/>
        <w:ind w:left="500"/>
      </w:pPr>
      <w:r>
        <w:t xml:space="preserve">Bygging og rekstur </w:t>
      </w:r>
      <w:proofErr w:type="spellStart"/>
      <w:r>
        <w:t>samþættra</w:t>
      </w:r>
      <w:proofErr w:type="spellEnd"/>
      <w:r>
        <w:t xml:space="preserve"> varma/kælingar og raforkuvinnslustöðva þar sem notað er loftkennt og fljótandi eldsneyti af endurnýjanlegum uppruna. Þessi starfsemi nær ekki yfir </w:t>
      </w:r>
      <w:proofErr w:type="spellStart"/>
      <w:r>
        <w:t>samþætta</w:t>
      </w:r>
      <w:proofErr w:type="spellEnd"/>
      <w:r>
        <w:t xml:space="preserve"> vinnslu varma/kælingar og raforku þar sem einungis er notað lífgas og fljótandi lífeldsneyti (sjá þátt 4.20 í þessum viðauka).</w:t>
      </w:r>
    </w:p>
    <w:p w14:paraId="36E60E60" w14:textId="77777777" w:rsidR="00DB6835" w:rsidRDefault="00DB6835" w:rsidP="00DB6835">
      <w:pPr>
        <w:pStyle w:val="AnnexNormal"/>
        <w:ind w:left="500"/>
      </w:pPr>
      <w:r>
        <w:t>Atvinnustarfsemin í þessum flokki gæti tengst nokkrum kóðum atvinnugreinaflokkunar Evrópusambandsins, einkum D35.11 og D35.30, í samræmi við atvinnugreinaflokkunina sem komið var á með reglugerð (EB) nr. 1893/2006.</w:t>
      </w:r>
    </w:p>
    <w:p w14:paraId="32C245FA"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DB6835" w14:paraId="363F4825"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62035E23"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4F13DDD" w14:textId="77777777" w:rsidTr="00A9140F">
        <w:trPr>
          <w:trHeight w:val="360"/>
        </w:trPr>
        <w:tc>
          <w:tcPr>
            <w:tcW w:w="8740" w:type="dxa"/>
            <w:gridSpan w:val="2"/>
            <w:tcBorders>
              <w:bottom w:val="single" w:sz="4" w:space="0" w:color="auto"/>
            </w:tcBorders>
            <w:tcMar>
              <w:top w:w="100" w:type="dxa"/>
              <w:left w:w="0" w:type="dxa"/>
              <w:bottom w:w="100" w:type="dxa"/>
              <w:right w:w="60" w:type="dxa"/>
            </w:tcMar>
          </w:tcPr>
          <w:p w14:paraId="34BF8EB5" w14:textId="77777777" w:rsidR="00DB6835" w:rsidRDefault="00DB6835" w:rsidP="00A9140F">
            <w:pPr>
              <w:pStyle w:val="AnnexNumberedText"/>
              <w:tabs>
                <w:tab w:val="left" w:pos="508"/>
              </w:tabs>
              <w:spacing w:after="200"/>
              <w:ind w:left="0" w:firstLine="0"/>
              <w:rPr>
                <w:szCs w:val="18"/>
              </w:rPr>
            </w:pPr>
            <w:r>
              <w:t>1.</w:t>
            </w:r>
            <w:r>
              <w:tab/>
              <w:t xml:space="preserve">Losun gróðurhúsalofttegunda á vistferlinum frá </w:t>
            </w:r>
            <w:proofErr w:type="spellStart"/>
            <w:r>
              <w:t>samþættri</w:t>
            </w:r>
            <w:proofErr w:type="spellEnd"/>
            <w:r>
              <w:t xml:space="preserve"> vinnslu varma/kælingar og raforku (</w:t>
            </w:r>
            <w:r>
              <w:rPr>
                <w:rStyle w:val="Tilvsunneanmlsgrein"/>
                <w:sz w:val="18"/>
                <w:szCs w:val="18"/>
              </w:rPr>
              <w:footnoteReference w:id="207"/>
            </w:r>
            <w:r>
              <w:t>) úr endurnýjanlegu loftkenndu og fljótandi eldsneyti er minni en 100 g CO</w:t>
            </w:r>
            <w:r>
              <w:rPr>
                <w:vertAlign w:val="subscript"/>
              </w:rPr>
              <w:t>2</w:t>
            </w:r>
            <w:r>
              <w:t xml:space="preserve">e á hvert 1 kWh orkufrálags frá </w:t>
            </w:r>
            <w:proofErr w:type="spellStart"/>
            <w:r>
              <w:t>samþættri</w:t>
            </w:r>
            <w:proofErr w:type="spellEnd"/>
            <w:r>
              <w:t xml:space="preserve"> vinnslu.</w:t>
            </w:r>
          </w:p>
          <w:p w14:paraId="33D2725F" w14:textId="77777777" w:rsidR="00DB6835" w:rsidRDefault="00DB6835" w:rsidP="00A9140F">
            <w:pPr>
              <w:pStyle w:val="AnnexTableCellLeft"/>
              <w:spacing w:after="200"/>
              <w:rPr>
                <w:szCs w:val="18"/>
              </w:rPr>
            </w:pPr>
            <w:r>
              <w:t>Losun gróðurhúsalofttegunda á vistferlinum er reiknuð út á grundvelli verkefnissértækra gagna, ef þau eru tiltæk, með því að nota tilmæli 2013/179/ESB eða, að öðrum kosti, með því að nota ISO 14067:2018 (</w:t>
            </w:r>
            <w:r>
              <w:rPr>
                <w:rStyle w:val="Tilvsunneanmlsgrein"/>
                <w:sz w:val="18"/>
                <w:szCs w:val="18"/>
              </w:rPr>
              <w:footnoteReference w:id="208"/>
            </w:r>
            <w:r>
              <w:t>) eða ISO 14064-1:2018 (</w:t>
            </w:r>
            <w:r>
              <w:rPr>
                <w:rStyle w:val="Tilvsunneanmlsgrein"/>
                <w:sz w:val="18"/>
                <w:szCs w:val="18"/>
              </w:rPr>
              <w:footnoteReference w:id="209"/>
            </w:r>
            <w:r>
              <w:t>).</w:t>
            </w:r>
          </w:p>
          <w:p w14:paraId="2B7A7E54" w14:textId="77777777" w:rsidR="00DB6835" w:rsidRDefault="00DB6835" w:rsidP="00A9140F">
            <w:pPr>
              <w:pStyle w:val="AnnexTableCellLeft"/>
              <w:spacing w:after="200"/>
            </w:pPr>
            <w:r>
              <w:t>Óháður þriðji aðili sannprófar magngreinda losun gróðurhúsalofttegunda á vistferlinum.</w:t>
            </w:r>
          </w:p>
          <w:p w14:paraId="154D31DD" w14:textId="77777777" w:rsidR="00DB6835" w:rsidRDefault="00DB6835" w:rsidP="00A9140F">
            <w:pPr>
              <w:pStyle w:val="AnnexNumberedText"/>
              <w:tabs>
                <w:tab w:val="left" w:pos="508"/>
              </w:tabs>
              <w:spacing w:after="200"/>
              <w:ind w:left="0" w:firstLine="0"/>
            </w:pPr>
            <w:r>
              <w:t>2.</w:t>
            </w:r>
            <w:r>
              <w:tab/>
              <w:t xml:space="preserve">Ef stöðvar taka upp einhvers konar form </w:t>
            </w:r>
            <w:proofErr w:type="spellStart"/>
            <w:r>
              <w:t>mildunar</w:t>
            </w:r>
            <w:proofErr w:type="spellEnd"/>
            <w:r>
              <w:t xml:space="preserve"> (þ.m.t. </w:t>
            </w:r>
            <w:proofErr w:type="spellStart"/>
            <w:r>
              <w:t>kolefnisföngun</w:t>
            </w:r>
            <w:proofErr w:type="spellEnd"/>
            <w:r>
              <w:t xml:space="preserve"> eða notkun á </w:t>
            </w:r>
            <w:proofErr w:type="spellStart"/>
            <w:r>
              <w:t>afkoluðu</w:t>
            </w:r>
            <w:proofErr w:type="spellEnd"/>
            <w:r>
              <w:t xml:space="preserve"> eldsneyti) er sú </w:t>
            </w:r>
            <w:proofErr w:type="spellStart"/>
            <w:r>
              <w:t>mildunarstarfsemi</w:t>
            </w:r>
            <w:proofErr w:type="spellEnd"/>
            <w:r>
              <w:t xml:space="preserve"> í samræmi við viðkomandi þætti í þessum viðauka, eftir atvikum.</w:t>
            </w:r>
          </w:p>
          <w:p w14:paraId="4D7E9A7D" w14:textId="77777777" w:rsidR="00DB6835" w:rsidRDefault="00DB6835" w:rsidP="00A9140F">
            <w:pPr>
              <w:pStyle w:val="AnnexTableCellLeft"/>
              <w:spacing w:after="200"/>
            </w:pPr>
            <w:r>
              <w:t xml:space="preserve">Ef koltvísýringur, sem væri að öðrum kosti losaður í samvinnslu </w:t>
            </w:r>
            <w:proofErr w:type="spellStart"/>
            <w:r>
              <w:t>raf</w:t>
            </w:r>
            <w:proofErr w:type="spellEnd"/>
            <w:r>
              <w:t>- og varmaorku, er fangaður í þeim tilgangi að geyma hann neðanjarðar er koltvísýringurinn fluttur og geymdur neðanjarðar í samræmi við tæknilegu matsviðmiðin sem sett eru fram í þáttum 5.11 og 5.12 í þessum viðauka.</w:t>
            </w:r>
          </w:p>
          <w:p w14:paraId="0CF997E3" w14:textId="77777777" w:rsidR="00DB6835" w:rsidRDefault="00DB6835" w:rsidP="00A9140F">
            <w:pPr>
              <w:pStyle w:val="AnnexNumberedText"/>
              <w:tabs>
                <w:tab w:val="left" w:pos="508"/>
              </w:tabs>
              <w:spacing w:after="200"/>
              <w:ind w:left="0" w:firstLine="0"/>
            </w:pPr>
            <w:r>
              <w:t>3.</w:t>
            </w:r>
            <w:r>
              <w:tab/>
              <w:t>Starfsemin uppfyllir aðra hvora eftirfarandi viðmiðun:</w:t>
            </w:r>
          </w:p>
          <w:p w14:paraId="5E449736" w14:textId="77777777" w:rsidR="00DB6835" w:rsidRDefault="00DB6835" w:rsidP="00A9140F">
            <w:pPr>
              <w:pStyle w:val="AnnexNumberedText"/>
              <w:spacing w:after="200"/>
            </w:pPr>
            <w:r>
              <w:t>a)</w:t>
            </w:r>
            <w:r>
              <w:tab/>
              <w:t xml:space="preserve">við byggingu eru sett upp mælitæki til að vakta raunverulega losun, s.s. </w:t>
            </w:r>
            <w:proofErr w:type="spellStart"/>
            <w:r>
              <w:t>metanleka</w:t>
            </w:r>
            <w:proofErr w:type="spellEnd"/>
            <w:r>
              <w:t>, eða lekaskynjarar og viðgerðaáætlun innleidd,</w:t>
            </w:r>
          </w:p>
          <w:p w14:paraId="0869D1DB" w14:textId="77777777" w:rsidR="00DB6835" w:rsidRDefault="00DB6835" w:rsidP="00A9140F">
            <w:pPr>
              <w:pStyle w:val="AnnexNumberedText"/>
              <w:spacing w:after="200"/>
            </w:pPr>
            <w:r>
              <w:t>b)</w:t>
            </w:r>
            <w:r>
              <w:tab/>
              <w:t xml:space="preserve">við </w:t>
            </w:r>
            <w:proofErr w:type="spellStart"/>
            <w:r>
              <w:t>starfrækslu</w:t>
            </w:r>
            <w:proofErr w:type="spellEnd"/>
            <w:r>
              <w:t xml:space="preserve"> er greint frá raunmælingum á </w:t>
            </w:r>
            <w:proofErr w:type="spellStart"/>
            <w:r>
              <w:t>metanlosun</w:t>
            </w:r>
            <w:proofErr w:type="spellEnd"/>
            <w:r>
              <w:t xml:space="preserve"> og komið í veg fyrir leka.</w:t>
            </w:r>
          </w:p>
          <w:p w14:paraId="5EA46CDD" w14:textId="77777777" w:rsidR="00DB6835" w:rsidRDefault="00DB6835" w:rsidP="00A9140F">
            <w:pPr>
              <w:pStyle w:val="AnnexNumberedText"/>
              <w:tabs>
                <w:tab w:val="left" w:pos="508"/>
              </w:tabs>
              <w:spacing w:after="100"/>
              <w:ind w:left="0" w:firstLine="0"/>
            </w:pPr>
            <w:r>
              <w:t>4.</w:t>
            </w:r>
            <w:r>
              <w:tab/>
              <w:t>Ef endurnýjanlegu loftkenndu eða fljótandi eldsneyti er blandað saman við lífgas eða fljótandi lífeldsneyti í starfseminni er lífmassinn úr landbúnaði, sem er notaður við framleiðsluna á lífgasinu eða fljótandi lífeldsneytinu, í samræmi við viðmiðanirnar sem mælt er fyrir um í 2. til 5. mgr. 29. gr. tilskipunar (ESB) 2018/2001 en lífmassi úr skógi uppfyllir viðmiðanirnar sem mælt er fyrir um í 6. og 7. mgr. 29. gr. þeirrar tilskipunar.</w:t>
            </w:r>
          </w:p>
        </w:tc>
      </w:tr>
      <w:tr w:rsidR="00DB6835" w14:paraId="2E53DFC9"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15DF307D" w14:textId="77777777" w:rsidR="00DB6835" w:rsidRDefault="00DB6835" w:rsidP="00A9140F">
            <w:pPr>
              <w:pStyle w:val="AnnexTableCellLeft"/>
            </w:pPr>
            <w:r>
              <w:t>Ekki valda umtalsverðu tjóni</w:t>
            </w:r>
          </w:p>
        </w:tc>
      </w:tr>
      <w:tr w:rsidR="00DB6835" w14:paraId="449EB078" w14:textId="77777777" w:rsidTr="00A9140F">
        <w:trPr>
          <w:trHeight w:val="360"/>
        </w:trPr>
        <w:tc>
          <w:tcPr>
            <w:tcW w:w="2848" w:type="dxa"/>
            <w:tcMar>
              <w:top w:w="100" w:type="dxa"/>
              <w:left w:w="0" w:type="dxa"/>
              <w:bottom w:w="100" w:type="dxa"/>
              <w:right w:w="60" w:type="dxa"/>
            </w:tcMar>
          </w:tcPr>
          <w:p w14:paraId="62BCFA95" w14:textId="77777777" w:rsidR="00DB6835" w:rsidRDefault="00DB6835" w:rsidP="00A9140F">
            <w:pPr>
              <w:pStyle w:val="AnnexNumberedText"/>
              <w:ind w:left="293" w:hanging="293"/>
            </w:pPr>
            <w:r>
              <w:lastRenderedPageBreak/>
              <w:t>2)</w:t>
            </w:r>
            <w:r>
              <w:tab/>
              <w:t>Aðlögun að loftslagsbreytingum</w:t>
            </w:r>
          </w:p>
        </w:tc>
        <w:tc>
          <w:tcPr>
            <w:tcW w:w="5892" w:type="dxa"/>
            <w:tcMar>
              <w:top w:w="100" w:type="dxa"/>
              <w:left w:w="40" w:type="dxa"/>
              <w:bottom w:w="100" w:type="dxa"/>
              <w:right w:w="0" w:type="dxa"/>
            </w:tcMar>
          </w:tcPr>
          <w:p w14:paraId="06E61ACC" w14:textId="77777777" w:rsidR="00DB6835" w:rsidRDefault="00DB6835" w:rsidP="00A9140F">
            <w:pPr>
              <w:pStyle w:val="AnnexTableCellLeft"/>
            </w:pPr>
            <w:r>
              <w:t>Starfsemin er í samræmi við viðmiðanirnar sem settar eru fram í viðbæti A við þennan viðauka.</w:t>
            </w:r>
          </w:p>
        </w:tc>
      </w:tr>
      <w:tr w:rsidR="00DB6835" w14:paraId="4C043E44" w14:textId="77777777" w:rsidTr="00A9140F">
        <w:trPr>
          <w:trHeight w:val="360"/>
        </w:trPr>
        <w:tc>
          <w:tcPr>
            <w:tcW w:w="2848" w:type="dxa"/>
            <w:tcMar>
              <w:top w:w="100" w:type="dxa"/>
              <w:left w:w="0" w:type="dxa"/>
              <w:bottom w:w="100" w:type="dxa"/>
              <w:right w:w="60" w:type="dxa"/>
            </w:tcMar>
          </w:tcPr>
          <w:p w14:paraId="16E4B374" w14:textId="77777777" w:rsidR="00DB6835" w:rsidRDefault="00DB6835" w:rsidP="00A9140F">
            <w:pPr>
              <w:pStyle w:val="AnnexNumberedText"/>
              <w:pageBreakBefore/>
              <w:ind w:left="293" w:hanging="293"/>
            </w:pPr>
            <w:r>
              <w:lastRenderedPageBreak/>
              <w:t>3)</w:t>
            </w:r>
            <w:r>
              <w:tab/>
              <w:t>Sjálfbær notkun og verndun vatns- og sjávarauðlinda</w:t>
            </w:r>
          </w:p>
        </w:tc>
        <w:tc>
          <w:tcPr>
            <w:tcW w:w="5892" w:type="dxa"/>
            <w:tcMar>
              <w:top w:w="100" w:type="dxa"/>
              <w:left w:w="40" w:type="dxa"/>
              <w:bottom w:w="100" w:type="dxa"/>
              <w:right w:w="0" w:type="dxa"/>
            </w:tcMar>
          </w:tcPr>
          <w:p w14:paraId="5EC52408" w14:textId="77777777" w:rsidR="00DB6835" w:rsidRDefault="00DB6835" w:rsidP="00A9140F">
            <w:pPr>
              <w:pStyle w:val="AnnexTableCellLeft"/>
            </w:pPr>
            <w:r>
              <w:t>Starfsemin er í samræmi við viðmiðanirnar sem settar eru fram í viðbæti B við þennan viðauka.</w:t>
            </w:r>
          </w:p>
        </w:tc>
      </w:tr>
      <w:tr w:rsidR="00DB6835" w14:paraId="10B78739" w14:textId="77777777" w:rsidTr="00A9140F">
        <w:trPr>
          <w:trHeight w:val="360"/>
        </w:trPr>
        <w:tc>
          <w:tcPr>
            <w:tcW w:w="2848" w:type="dxa"/>
            <w:tcMar>
              <w:top w:w="100" w:type="dxa"/>
              <w:left w:w="0" w:type="dxa"/>
              <w:bottom w:w="100" w:type="dxa"/>
              <w:right w:w="60" w:type="dxa"/>
            </w:tcMar>
          </w:tcPr>
          <w:p w14:paraId="59D59E1A" w14:textId="77777777" w:rsidR="00DB6835" w:rsidRDefault="00DB6835" w:rsidP="00A9140F">
            <w:pPr>
              <w:pStyle w:val="AnnexNumberedText"/>
              <w:ind w:left="293" w:hanging="293"/>
            </w:pPr>
            <w:r>
              <w:t>4)</w:t>
            </w:r>
            <w:r>
              <w:tab/>
              <w:t>Umskipti yfir í hringrásarhagkerfi</w:t>
            </w:r>
          </w:p>
        </w:tc>
        <w:tc>
          <w:tcPr>
            <w:tcW w:w="5892" w:type="dxa"/>
            <w:tcMar>
              <w:top w:w="100" w:type="dxa"/>
              <w:left w:w="40" w:type="dxa"/>
              <w:bottom w:w="100" w:type="dxa"/>
              <w:right w:w="0" w:type="dxa"/>
            </w:tcMar>
          </w:tcPr>
          <w:p w14:paraId="731F3EC2" w14:textId="77777777" w:rsidR="00DB6835" w:rsidRDefault="00DB6835" w:rsidP="00A9140F">
            <w:pPr>
              <w:pStyle w:val="AnnexTableCellLeft"/>
            </w:pPr>
            <w:r>
              <w:t>Á ekki við</w:t>
            </w:r>
          </w:p>
        </w:tc>
      </w:tr>
      <w:tr w:rsidR="00DB6835" w14:paraId="5FA051FF" w14:textId="77777777" w:rsidTr="00A9140F">
        <w:trPr>
          <w:trHeight w:val="360"/>
        </w:trPr>
        <w:tc>
          <w:tcPr>
            <w:tcW w:w="2848" w:type="dxa"/>
            <w:tcMar>
              <w:top w:w="100" w:type="dxa"/>
              <w:left w:w="0" w:type="dxa"/>
              <w:bottom w:w="100" w:type="dxa"/>
              <w:right w:w="60" w:type="dxa"/>
            </w:tcMar>
          </w:tcPr>
          <w:p w14:paraId="6BCB5B2A" w14:textId="77777777" w:rsidR="00DB6835" w:rsidRDefault="00DB6835" w:rsidP="00A9140F">
            <w:pPr>
              <w:pStyle w:val="AnnexNumberedText"/>
              <w:ind w:left="293" w:hanging="293"/>
            </w:pPr>
            <w:r>
              <w:t>5)</w:t>
            </w:r>
            <w:r>
              <w:tab/>
              <w:t>Mengunarvarnir og eftirlit með mengun</w:t>
            </w:r>
          </w:p>
        </w:tc>
        <w:tc>
          <w:tcPr>
            <w:tcW w:w="5892" w:type="dxa"/>
            <w:tcMar>
              <w:top w:w="100" w:type="dxa"/>
              <w:left w:w="40" w:type="dxa"/>
              <w:bottom w:w="100" w:type="dxa"/>
              <w:right w:w="0" w:type="dxa"/>
            </w:tcMar>
          </w:tcPr>
          <w:p w14:paraId="737542B4" w14:textId="77777777" w:rsidR="00DB6835" w:rsidRDefault="00DB6835" w:rsidP="00A9140F">
            <w:pPr>
              <w:pStyle w:val="AnnexTableCellLeft"/>
              <w:spacing w:after="240"/>
              <w:rPr>
                <w:szCs w:val="18"/>
              </w:rPr>
            </w:pPr>
            <w:r>
              <w:t>Losun fellur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210"/>
            </w:r>
            <w:r>
              <w:t>). Engin umtalsverð yfirfærsluáhrif milli umhverfishólfa eiga sér stað.</w:t>
            </w:r>
          </w:p>
          <w:p w14:paraId="748CFBAF" w14:textId="77777777" w:rsidR="00DB6835" w:rsidRDefault="00DB6835" w:rsidP="00A9140F">
            <w:pPr>
              <w:pStyle w:val="AnnexTableCellLeft"/>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tc>
      </w:tr>
      <w:tr w:rsidR="00DB6835" w14:paraId="39D6EBBD" w14:textId="77777777" w:rsidTr="00A9140F">
        <w:trPr>
          <w:trHeight w:val="360"/>
        </w:trPr>
        <w:tc>
          <w:tcPr>
            <w:tcW w:w="2848" w:type="dxa"/>
            <w:tcMar>
              <w:top w:w="100" w:type="dxa"/>
              <w:left w:w="0" w:type="dxa"/>
              <w:bottom w:w="100" w:type="dxa"/>
              <w:right w:w="60" w:type="dxa"/>
            </w:tcMar>
          </w:tcPr>
          <w:p w14:paraId="2476935B" w14:textId="77777777" w:rsidR="00DB6835" w:rsidRDefault="00DB6835" w:rsidP="00A9140F">
            <w:pPr>
              <w:pStyle w:val="AnnexNumberedText"/>
              <w:ind w:left="293" w:hanging="293"/>
            </w:pPr>
            <w:r>
              <w:t>6)</w:t>
            </w:r>
            <w:r>
              <w:tab/>
              <w:t>Vernd og endurheimt líffræðilegrar fjölbreytni og vistkerfa</w:t>
            </w:r>
          </w:p>
        </w:tc>
        <w:tc>
          <w:tcPr>
            <w:tcW w:w="5892" w:type="dxa"/>
            <w:tcMar>
              <w:top w:w="100" w:type="dxa"/>
              <w:left w:w="40" w:type="dxa"/>
              <w:bottom w:w="100" w:type="dxa"/>
              <w:right w:w="0" w:type="dxa"/>
            </w:tcMar>
          </w:tcPr>
          <w:p w14:paraId="73FFDD3A" w14:textId="77777777" w:rsidR="00DB6835" w:rsidRDefault="00DB6835" w:rsidP="00A9140F">
            <w:pPr>
              <w:pStyle w:val="AnnexTableCellLeft"/>
            </w:pPr>
            <w:r>
              <w:t>Starfsemin er í samræmi við viðmiðanirnar sem settar eru fram í viðbæti D við þennan viðauka.</w:t>
            </w:r>
          </w:p>
        </w:tc>
      </w:tr>
    </w:tbl>
    <w:p w14:paraId="051E7A45" w14:textId="77777777" w:rsidR="00DB6835" w:rsidRDefault="00DB6835" w:rsidP="00DB6835">
      <w:pPr>
        <w:pStyle w:val="AnnexNumberedText"/>
        <w:spacing w:before="200"/>
        <w:ind w:left="500" w:hanging="500"/>
      </w:pPr>
      <w:r>
        <w:t>4.20.</w:t>
      </w:r>
      <w:r>
        <w:rPr>
          <w:b/>
        </w:rPr>
        <w:tab/>
      </w:r>
      <w:proofErr w:type="spellStart"/>
      <w:r>
        <w:rPr>
          <w:b/>
        </w:rPr>
        <w:t>Samþætt</w:t>
      </w:r>
      <w:proofErr w:type="spellEnd"/>
      <w:r>
        <w:rPr>
          <w:b/>
        </w:rPr>
        <w:t xml:space="preserve"> vinnsla varma/kælingar og raforku úr líforku</w:t>
      </w:r>
    </w:p>
    <w:p w14:paraId="7D455CEA" w14:textId="77777777" w:rsidR="00DB6835" w:rsidRDefault="00DB6835" w:rsidP="00DB6835">
      <w:pPr>
        <w:pStyle w:val="AnnexGrSeq3"/>
        <w:ind w:left="500"/>
        <w:jc w:val="both"/>
      </w:pPr>
      <w:r>
        <w:rPr>
          <w:i/>
        </w:rPr>
        <w:t>Lýsing á starfseminni</w:t>
      </w:r>
    </w:p>
    <w:p w14:paraId="690A7185" w14:textId="77777777" w:rsidR="00DB6835" w:rsidRDefault="00DB6835" w:rsidP="00DB6835">
      <w:pPr>
        <w:pStyle w:val="AnnexNormal"/>
        <w:ind w:left="500"/>
      </w:pPr>
      <w:r>
        <w:t xml:space="preserve">Bygging og rekstur stöðva sem eru notaðar til </w:t>
      </w:r>
      <w:proofErr w:type="spellStart"/>
      <w:r>
        <w:t>samþættrar</w:t>
      </w:r>
      <w:proofErr w:type="spellEnd"/>
      <w:r>
        <w:t xml:space="preserve"> vinnslu á varma/kælingu og raforku eingöngu úr lífmassa, lífgasi eða fljótandi lífeldsneyti og að undanskilinni </w:t>
      </w:r>
      <w:proofErr w:type="spellStart"/>
      <w:r>
        <w:t>samþættri</w:t>
      </w:r>
      <w:proofErr w:type="spellEnd"/>
      <w:r>
        <w:t xml:space="preserve"> varma- og raforkuvinnslu úr blöndu af endurnýjanlegu eldsneyti með lífgasi eða fljótandi lífeldsneyti (sjá þátt 4.19 í þessum viðauka).</w:t>
      </w:r>
    </w:p>
    <w:p w14:paraId="50B1E68A" w14:textId="77777777" w:rsidR="00DB6835" w:rsidRDefault="00DB6835" w:rsidP="00DB6835">
      <w:pPr>
        <w:pStyle w:val="AnnexNormal"/>
        <w:ind w:left="500"/>
      </w:pPr>
      <w:r>
        <w:t>Atvinnustarfsemin í þessum flokki gæti tengst nokkrum kóðum atvinnugreinaflokkunar Evrópusambandsins, einkum D35.11 og D35.30, í samræmi við atvinnugreinaflokkunina sem komið var á með reglugerð (EB) nr. 1893/2006.</w:t>
      </w:r>
    </w:p>
    <w:p w14:paraId="53E61333"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84"/>
        <w:gridCol w:w="5856"/>
      </w:tblGrid>
      <w:tr w:rsidR="00DB6835" w14:paraId="654E546C" w14:textId="77777777" w:rsidTr="00A9140F">
        <w:trPr>
          <w:trHeight w:val="240"/>
        </w:trPr>
        <w:tc>
          <w:tcPr>
            <w:tcW w:w="8740" w:type="dxa"/>
            <w:gridSpan w:val="2"/>
            <w:tcMar>
              <w:top w:w="100" w:type="dxa"/>
              <w:left w:w="0" w:type="dxa"/>
              <w:bottom w:w="100" w:type="dxa"/>
              <w:right w:w="60" w:type="dxa"/>
            </w:tcMar>
          </w:tcPr>
          <w:p w14:paraId="3C7B67E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0D3D3AD" w14:textId="77777777" w:rsidTr="00A9140F">
        <w:trPr>
          <w:trHeight w:val="360"/>
        </w:trPr>
        <w:tc>
          <w:tcPr>
            <w:tcW w:w="8740" w:type="dxa"/>
            <w:gridSpan w:val="2"/>
            <w:tcMar>
              <w:top w:w="100" w:type="dxa"/>
              <w:left w:w="0" w:type="dxa"/>
              <w:bottom w:w="100" w:type="dxa"/>
              <w:right w:w="60" w:type="dxa"/>
            </w:tcMar>
          </w:tcPr>
          <w:p w14:paraId="090999F7" w14:textId="77777777" w:rsidR="00DB6835" w:rsidRDefault="00DB6835" w:rsidP="00A9140F">
            <w:pPr>
              <w:pStyle w:val="AnnexNumberedText"/>
              <w:tabs>
                <w:tab w:val="left" w:pos="508"/>
              </w:tabs>
              <w:spacing w:after="220"/>
              <w:ind w:left="0" w:firstLine="0"/>
            </w:pPr>
            <w:r>
              <w:t>1.</w:t>
            </w:r>
            <w:r>
              <w:tab/>
              <w:t>Lífmassi úr landbúnaði sem er notaður í starfseminni er í samræmi við viðmiðanirnar sem mælt er fyrir um í 2. til 5. mgr. 29. gr. tilskipunar (ESB) 2018/2001. Lífmassi úr skógi sem er notaður í starfseminni er í samræmi við viðmiðanirnar sem mælt er fyrir um í 6. og 7. mgr. 29. gr. þeirrar tilskipunar.</w:t>
            </w:r>
          </w:p>
          <w:p w14:paraId="50644D54" w14:textId="77777777" w:rsidR="00DB6835" w:rsidRDefault="00DB6835" w:rsidP="00A9140F">
            <w:pPr>
              <w:pStyle w:val="AnnexNumberedText"/>
              <w:tabs>
                <w:tab w:val="left" w:pos="508"/>
              </w:tabs>
              <w:spacing w:after="220"/>
              <w:ind w:left="0" w:firstLine="0"/>
            </w:pPr>
            <w:r>
              <w:t>2.</w:t>
            </w:r>
            <w:r>
              <w:tab/>
              <w:t xml:space="preserve">Minnkun á losun gróðurhúsalofttegunda frá notkun lífmassa í stöðvum fyrir samvinnslu </w:t>
            </w:r>
            <w:proofErr w:type="spellStart"/>
            <w:r>
              <w:t>raf</w:t>
            </w:r>
            <w:proofErr w:type="spellEnd"/>
            <w:r>
              <w:t>- og varmaorku er a.m.k. 80% með tilliti til aðferðarinnar við að minnka losun gróðurhúsalofttegunda og hlutfallslegs jarðefnaeldsneytissambera sem sett er fram í VI. viðauka við tilskipun (ESB) 2018/2001.</w:t>
            </w:r>
          </w:p>
          <w:p w14:paraId="32F77CFD" w14:textId="77777777" w:rsidR="00DB6835" w:rsidRDefault="00DB6835" w:rsidP="00A9140F">
            <w:pPr>
              <w:pStyle w:val="AnnexNumberedText"/>
              <w:tabs>
                <w:tab w:val="left" w:pos="508"/>
              </w:tabs>
              <w:spacing w:after="220"/>
              <w:ind w:left="0" w:firstLine="0"/>
            </w:pPr>
            <w:r>
              <w:t>3.</w:t>
            </w:r>
            <w:r>
              <w:tab/>
              <w:t xml:space="preserve">Ef stöðvar fyrir samvinnslu </w:t>
            </w:r>
            <w:proofErr w:type="spellStart"/>
            <w:r>
              <w:t>raf</w:t>
            </w:r>
            <w:proofErr w:type="spellEnd"/>
            <w:r>
              <w:t xml:space="preserve">- og varmaorku treysta á </w:t>
            </w:r>
            <w:proofErr w:type="spellStart"/>
            <w:r>
              <w:t>loftfirrða</w:t>
            </w:r>
            <w:proofErr w:type="spellEnd"/>
            <w:r>
              <w:t xml:space="preserve"> meltun lífræns efniviðar uppfyllir framleiðsla meltunnar viðmiðanirnar í þætti 5.6 og viðmiðun 1 og 2 í þætti 5.7 í þessum viðauka, eftir því sem við á.</w:t>
            </w:r>
          </w:p>
          <w:p w14:paraId="5B82B7D8" w14:textId="77777777" w:rsidR="00DB6835" w:rsidRDefault="00DB6835" w:rsidP="00A9140F">
            <w:pPr>
              <w:pStyle w:val="AnnexNumberedText"/>
              <w:tabs>
                <w:tab w:val="left" w:pos="508"/>
              </w:tabs>
              <w:spacing w:after="220"/>
              <w:ind w:left="0" w:firstLine="0"/>
            </w:pPr>
            <w:r>
              <w:t>4.</w:t>
            </w:r>
            <w:r>
              <w:tab/>
              <w:t xml:space="preserve">Ákvæði 1. og 2. liðar eiga ekki við um stöðvar fyrir samvinnslu </w:t>
            </w:r>
            <w:proofErr w:type="spellStart"/>
            <w:r>
              <w:t>raf</w:t>
            </w:r>
            <w:proofErr w:type="spellEnd"/>
            <w:r>
              <w:t>- og varmaorku með heildarnafnvarmaafl undir 2 MW og þar sem loftkennt lífmassaeldsneyti er notað.</w:t>
            </w:r>
          </w:p>
        </w:tc>
      </w:tr>
      <w:tr w:rsidR="00DB6835" w14:paraId="713159AA" w14:textId="77777777" w:rsidTr="00A9140F">
        <w:trPr>
          <w:trHeight w:val="240"/>
        </w:trPr>
        <w:tc>
          <w:tcPr>
            <w:tcW w:w="8740" w:type="dxa"/>
            <w:gridSpan w:val="2"/>
            <w:tcMar>
              <w:top w:w="100" w:type="dxa"/>
              <w:left w:w="0" w:type="dxa"/>
              <w:bottom w:w="100" w:type="dxa"/>
              <w:right w:w="60" w:type="dxa"/>
            </w:tcMar>
          </w:tcPr>
          <w:p w14:paraId="196C7781" w14:textId="77777777" w:rsidR="00DB6835" w:rsidRDefault="00DB6835" w:rsidP="00A9140F">
            <w:pPr>
              <w:pStyle w:val="AnnexTableCellLeft"/>
            </w:pPr>
            <w:r>
              <w:t>Ekki valda umtalsverðu tjóni</w:t>
            </w:r>
          </w:p>
        </w:tc>
      </w:tr>
      <w:tr w:rsidR="00DB6835" w14:paraId="7449E0B9" w14:textId="77777777" w:rsidTr="00A9140F">
        <w:trPr>
          <w:trHeight w:val="360"/>
        </w:trPr>
        <w:tc>
          <w:tcPr>
            <w:tcW w:w="2884" w:type="dxa"/>
            <w:tcMar>
              <w:top w:w="100" w:type="dxa"/>
              <w:left w:w="0" w:type="dxa"/>
              <w:bottom w:w="100" w:type="dxa"/>
              <w:right w:w="60" w:type="dxa"/>
            </w:tcMar>
          </w:tcPr>
          <w:p w14:paraId="0D49CBBE" w14:textId="77777777" w:rsidR="00DB6835" w:rsidRDefault="00DB6835" w:rsidP="00A9140F">
            <w:pPr>
              <w:pStyle w:val="AnnexNumberedText"/>
            </w:pPr>
            <w:r>
              <w:t>2)</w:t>
            </w:r>
            <w:r>
              <w:tab/>
              <w:t>Aðlögun að loftslagsbreytingum</w:t>
            </w:r>
          </w:p>
        </w:tc>
        <w:tc>
          <w:tcPr>
            <w:tcW w:w="5856" w:type="dxa"/>
            <w:tcMar>
              <w:top w:w="100" w:type="dxa"/>
              <w:left w:w="40" w:type="dxa"/>
              <w:bottom w:w="100" w:type="dxa"/>
              <w:right w:w="0" w:type="dxa"/>
            </w:tcMar>
          </w:tcPr>
          <w:p w14:paraId="6319EA99" w14:textId="77777777" w:rsidR="00DB6835" w:rsidRDefault="00DB6835" w:rsidP="00A9140F">
            <w:pPr>
              <w:pStyle w:val="AnnexTableCellLeft"/>
            </w:pPr>
            <w:r>
              <w:t>Starfsemin er í samræmi við viðmiðanirnar sem settar eru fram í viðbæti A við þennan viðauka.</w:t>
            </w:r>
          </w:p>
        </w:tc>
      </w:tr>
      <w:tr w:rsidR="00DB6835" w14:paraId="56B6D9A4" w14:textId="77777777" w:rsidTr="00A9140F">
        <w:trPr>
          <w:trHeight w:val="360"/>
        </w:trPr>
        <w:tc>
          <w:tcPr>
            <w:tcW w:w="2884" w:type="dxa"/>
            <w:tcMar>
              <w:top w:w="100" w:type="dxa"/>
              <w:left w:w="0" w:type="dxa"/>
              <w:bottom w:w="100" w:type="dxa"/>
              <w:right w:w="60" w:type="dxa"/>
            </w:tcMar>
          </w:tcPr>
          <w:p w14:paraId="513EFDAF" w14:textId="77777777" w:rsidR="00DB6835" w:rsidRDefault="00DB6835" w:rsidP="00A9140F">
            <w:pPr>
              <w:pStyle w:val="AnnexNumberedText"/>
            </w:pPr>
            <w:r>
              <w:t>3)</w:t>
            </w:r>
            <w:r>
              <w:tab/>
              <w:t>Sjálfbær notkun og verndun vatns- og sjávarauðlinda</w:t>
            </w:r>
          </w:p>
        </w:tc>
        <w:tc>
          <w:tcPr>
            <w:tcW w:w="5856" w:type="dxa"/>
            <w:tcMar>
              <w:top w:w="100" w:type="dxa"/>
              <w:left w:w="40" w:type="dxa"/>
              <w:bottom w:w="100" w:type="dxa"/>
              <w:right w:w="0" w:type="dxa"/>
            </w:tcMar>
          </w:tcPr>
          <w:p w14:paraId="789712BD" w14:textId="77777777" w:rsidR="00DB6835" w:rsidRDefault="00DB6835" w:rsidP="00A9140F">
            <w:pPr>
              <w:pStyle w:val="AnnexTableCellLeft"/>
            </w:pPr>
            <w:r>
              <w:t>Starfsemin er í samræmi við viðmiðanirnar sem settar eru fram í viðbæti B við þennan viðauka.</w:t>
            </w:r>
          </w:p>
        </w:tc>
      </w:tr>
      <w:tr w:rsidR="00DB6835" w14:paraId="3CA1BB33" w14:textId="77777777" w:rsidTr="00A9140F">
        <w:trPr>
          <w:trHeight w:val="360"/>
        </w:trPr>
        <w:tc>
          <w:tcPr>
            <w:tcW w:w="2884" w:type="dxa"/>
            <w:tcMar>
              <w:top w:w="100" w:type="dxa"/>
              <w:left w:w="0" w:type="dxa"/>
              <w:bottom w:w="100" w:type="dxa"/>
              <w:right w:w="60" w:type="dxa"/>
            </w:tcMar>
          </w:tcPr>
          <w:p w14:paraId="3FC84185" w14:textId="77777777" w:rsidR="00DB6835" w:rsidRDefault="00DB6835" w:rsidP="00A9140F">
            <w:pPr>
              <w:pStyle w:val="AnnexNumberedText"/>
              <w:pageBreakBefore/>
            </w:pPr>
            <w:r>
              <w:lastRenderedPageBreak/>
              <w:t>4)</w:t>
            </w:r>
            <w:r>
              <w:tab/>
              <w:t>Umskipti yfir í hringrásarhagkerfi</w:t>
            </w:r>
          </w:p>
        </w:tc>
        <w:tc>
          <w:tcPr>
            <w:tcW w:w="5856" w:type="dxa"/>
            <w:tcMar>
              <w:top w:w="100" w:type="dxa"/>
              <w:left w:w="40" w:type="dxa"/>
              <w:bottom w:w="100" w:type="dxa"/>
              <w:right w:w="0" w:type="dxa"/>
            </w:tcMar>
          </w:tcPr>
          <w:p w14:paraId="00865619" w14:textId="77777777" w:rsidR="00DB6835" w:rsidRDefault="00DB6835" w:rsidP="00A9140F">
            <w:pPr>
              <w:pStyle w:val="AnnexTableCellLeft"/>
            </w:pPr>
            <w:r>
              <w:t>Á ekki við</w:t>
            </w:r>
          </w:p>
        </w:tc>
      </w:tr>
      <w:tr w:rsidR="00DB6835" w14:paraId="3714FB2D" w14:textId="77777777" w:rsidTr="00A9140F">
        <w:trPr>
          <w:trHeight w:val="360"/>
        </w:trPr>
        <w:tc>
          <w:tcPr>
            <w:tcW w:w="2884" w:type="dxa"/>
            <w:tcMar>
              <w:top w:w="100" w:type="dxa"/>
              <w:left w:w="0" w:type="dxa"/>
              <w:bottom w:w="100" w:type="dxa"/>
              <w:right w:w="60" w:type="dxa"/>
            </w:tcMar>
          </w:tcPr>
          <w:p w14:paraId="23975D43" w14:textId="77777777" w:rsidR="00DB6835" w:rsidRDefault="00DB6835" w:rsidP="00A9140F">
            <w:pPr>
              <w:pStyle w:val="AnnexNumberedText"/>
            </w:pPr>
            <w:r>
              <w:t>5)</w:t>
            </w:r>
            <w:r>
              <w:tab/>
              <w:t>Mengunarvarnir og eftirlit með mengun</w:t>
            </w:r>
          </w:p>
        </w:tc>
        <w:tc>
          <w:tcPr>
            <w:tcW w:w="5856" w:type="dxa"/>
            <w:tcMar>
              <w:top w:w="100" w:type="dxa"/>
              <w:left w:w="40" w:type="dxa"/>
              <w:bottom w:w="100" w:type="dxa"/>
              <w:right w:w="0" w:type="dxa"/>
            </w:tcMar>
          </w:tcPr>
          <w:p w14:paraId="00E18818" w14:textId="77777777" w:rsidR="00DB6835" w:rsidRDefault="00DB6835" w:rsidP="00A9140F">
            <w:pPr>
              <w:pStyle w:val="AnnexTableCellLeft"/>
              <w:spacing w:after="300"/>
              <w:rPr>
                <w:szCs w:val="18"/>
              </w:rPr>
            </w:pPr>
            <w:r>
              <w:t>Að því er varðar stöðvar sem falla undir gildissvið tilskipunar 2010/75/ESB fellur losun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211"/>
            </w:r>
            <w:r>
              <w:t>), um leið og tryggt er að engin umtalsverð yfirfærsluáhrif milli umhverfishólfa eigi sér stað.</w:t>
            </w:r>
          </w:p>
          <w:p w14:paraId="672EAF66" w14:textId="77777777" w:rsidR="00DB6835" w:rsidRDefault="00DB6835" w:rsidP="00A9140F">
            <w:pPr>
              <w:pStyle w:val="AnnexTableCellLeft"/>
              <w:spacing w:after="300"/>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p w14:paraId="050BBC1E" w14:textId="77777777" w:rsidR="00DB6835" w:rsidRDefault="00DB6835" w:rsidP="00A9140F">
            <w:pPr>
              <w:pStyle w:val="AnnexTableCellLeft"/>
              <w:spacing w:after="300"/>
              <w:rPr>
                <w:szCs w:val="18"/>
              </w:rPr>
            </w:pPr>
            <w:r>
              <w:t>Að því er varðar stöðvar á svæðum eða hlutum svæða sem uppfylla ekki viðmiðunarmörkin fyrir loftgæði, sem mælt er fyrir um í tilskipun 2008/50/EB, er tekið tilliti til niðurstaðna upplýsingaskiptanna (</w:t>
            </w:r>
            <w:r>
              <w:rPr>
                <w:rStyle w:val="Tilvsunneanmlsgrein"/>
                <w:sz w:val="18"/>
                <w:szCs w:val="18"/>
              </w:rPr>
              <w:footnoteReference w:id="212"/>
            </w:r>
            <w:r>
              <w:t>) sem framkvæmdastjórnin birtir í samræmi við 9. og 10. mgr. 6. gr. tilskipunar (ESB) 2015/2193.</w:t>
            </w:r>
          </w:p>
          <w:p w14:paraId="2E3C8498" w14:textId="77777777" w:rsidR="00DB6835" w:rsidRDefault="00DB6835" w:rsidP="00A9140F">
            <w:pPr>
              <w:pStyle w:val="AnnexTableCellLeft"/>
              <w:spacing w:after="300"/>
              <w:rPr>
                <w:szCs w:val="18"/>
              </w:rPr>
            </w:pPr>
            <w:r>
              <w:t xml:space="preserve">Ef um er að ræða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í II. viðauka við reglugerð (ESB) 2019/1009 eða landsbundnar reglur um áburð eða jarðvegsbæta til notkunar í landbúnaði.</w:t>
            </w:r>
          </w:p>
          <w:p w14:paraId="62B78FD0" w14:textId="77777777" w:rsidR="00DB6835" w:rsidRDefault="00DB6835" w:rsidP="00A9140F">
            <w:pPr>
              <w:pStyle w:val="AnnexTableCellLeft"/>
              <w:spacing w:after="300"/>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213"/>
            </w:r>
            <w:r>
              <w:t>). Engin umtalsverð yfirfærsluáhrif milli umhverfishólfa eiga sér stað.</w:t>
            </w:r>
          </w:p>
        </w:tc>
      </w:tr>
      <w:tr w:rsidR="00DB6835" w14:paraId="5693251D" w14:textId="77777777" w:rsidTr="00A9140F">
        <w:trPr>
          <w:trHeight w:val="360"/>
        </w:trPr>
        <w:tc>
          <w:tcPr>
            <w:tcW w:w="2884" w:type="dxa"/>
            <w:tcMar>
              <w:top w:w="100" w:type="dxa"/>
              <w:left w:w="0" w:type="dxa"/>
              <w:bottom w:w="100" w:type="dxa"/>
              <w:right w:w="60" w:type="dxa"/>
            </w:tcMar>
          </w:tcPr>
          <w:p w14:paraId="3AF4B44E" w14:textId="77777777" w:rsidR="00DB6835" w:rsidRDefault="00DB6835" w:rsidP="00A9140F">
            <w:pPr>
              <w:pStyle w:val="AnnexNumberedText"/>
            </w:pPr>
            <w:r>
              <w:t>6)</w:t>
            </w:r>
            <w:r>
              <w:tab/>
              <w:t>Vernd og endurheimt líffræðilegrar fjölbreytni og vistkerfa</w:t>
            </w:r>
          </w:p>
        </w:tc>
        <w:tc>
          <w:tcPr>
            <w:tcW w:w="5856" w:type="dxa"/>
            <w:tcMar>
              <w:top w:w="100" w:type="dxa"/>
              <w:left w:w="40" w:type="dxa"/>
              <w:bottom w:w="100" w:type="dxa"/>
              <w:right w:w="0" w:type="dxa"/>
            </w:tcMar>
          </w:tcPr>
          <w:p w14:paraId="58B5EEB3" w14:textId="77777777" w:rsidR="00DB6835" w:rsidRDefault="00DB6835" w:rsidP="00A9140F">
            <w:pPr>
              <w:pStyle w:val="AnnexTableCellLeft"/>
            </w:pPr>
            <w:r>
              <w:t>Starfsemin er í samræmi við viðmiðanirnar sem settar eru fram í viðbæti D við þennan viðauka.</w:t>
            </w:r>
          </w:p>
        </w:tc>
      </w:tr>
    </w:tbl>
    <w:p w14:paraId="6603AC70" w14:textId="77777777" w:rsidR="00DB6835" w:rsidRDefault="00DB6835" w:rsidP="00DB6835">
      <w:pPr>
        <w:pStyle w:val="AnnexNumberedText"/>
        <w:spacing w:before="200" w:after="360"/>
        <w:ind w:left="500" w:hanging="500"/>
      </w:pPr>
      <w:r>
        <w:t>4.21.</w:t>
      </w:r>
      <w:r>
        <w:rPr>
          <w:b/>
        </w:rPr>
        <w:tab/>
        <w:t>Framleiðsla á varma/kælingu úr sólarvarmaorku</w:t>
      </w:r>
    </w:p>
    <w:p w14:paraId="35FB3BE6" w14:textId="77777777" w:rsidR="00DB6835" w:rsidRDefault="00DB6835" w:rsidP="00DB6835">
      <w:pPr>
        <w:pStyle w:val="AnnexGrSeq3"/>
        <w:spacing w:after="360"/>
        <w:ind w:left="500"/>
        <w:jc w:val="both"/>
      </w:pPr>
      <w:r>
        <w:rPr>
          <w:i/>
        </w:rPr>
        <w:t>Lýsing á starfseminni</w:t>
      </w:r>
    </w:p>
    <w:p w14:paraId="0235C006" w14:textId="77777777" w:rsidR="00DB6835" w:rsidRDefault="00DB6835" w:rsidP="00DB6835">
      <w:pPr>
        <w:pStyle w:val="AnnexNormal"/>
        <w:spacing w:after="360"/>
        <w:ind w:left="500"/>
      </w:pPr>
      <w:r>
        <w:t>Uppbygging og rekstur stöðva sem framleiða varma/kælingu úr sólarvarmaorkutækni.</w:t>
      </w:r>
    </w:p>
    <w:p w14:paraId="63145502" w14:textId="77777777" w:rsidR="00DB6835" w:rsidRDefault="00DB6835" w:rsidP="00DB6835">
      <w:pPr>
        <w:pStyle w:val="AnnexNormal"/>
        <w:spacing w:after="360"/>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1E0E1BBA" w14:textId="77777777" w:rsidR="00DB6835" w:rsidRDefault="00DB6835" w:rsidP="00DB6835">
      <w:pPr>
        <w:pStyle w:val="AnnexNormal"/>
        <w:spacing w:after="0"/>
        <w:ind w:left="500"/>
      </w:pPr>
      <w:r>
        <w:t>Atvinnustarfsemin í þessum flokki gæti tengst kóða atvinnugreinaflokkunar Evrópusambandsins D35.30 í samræmi við atvinnugreinaflokkunina sem komið var á með reglugerð (EB) nr. 1893/2006.</w:t>
      </w:r>
      <w:r>
        <w:br w:type="page"/>
      </w:r>
    </w:p>
    <w:p w14:paraId="1E4A6B90"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842"/>
        <w:gridCol w:w="5898"/>
      </w:tblGrid>
      <w:tr w:rsidR="00DB6835" w14:paraId="2080EC6A" w14:textId="77777777" w:rsidTr="00A9140F">
        <w:trPr>
          <w:trHeight w:val="240"/>
        </w:trPr>
        <w:tc>
          <w:tcPr>
            <w:tcW w:w="8740" w:type="dxa"/>
            <w:gridSpan w:val="2"/>
            <w:tcMar>
              <w:top w:w="100" w:type="dxa"/>
              <w:left w:w="0" w:type="dxa"/>
              <w:bottom w:w="100" w:type="dxa"/>
              <w:right w:w="60" w:type="dxa"/>
            </w:tcMar>
          </w:tcPr>
          <w:p w14:paraId="280D479C"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9CC065B" w14:textId="77777777" w:rsidTr="00A9140F">
        <w:trPr>
          <w:trHeight w:val="240"/>
        </w:trPr>
        <w:tc>
          <w:tcPr>
            <w:tcW w:w="8740" w:type="dxa"/>
            <w:gridSpan w:val="2"/>
            <w:tcMar>
              <w:top w:w="100" w:type="dxa"/>
              <w:left w:w="0" w:type="dxa"/>
              <w:bottom w:w="100" w:type="dxa"/>
              <w:right w:w="60" w:type="dxa"/>
            </w:tcMar>
          </w:tcPr>
          <w:p w14:paraId="0CFA4F97" w14:textId="77777777" w:rsidR="00DB6835" w:rsidRDefault="00DB6835" w:rsidP="00A9140F">
            <w:pPr>
              <w:pStyle w:val="AnnexTableCellLeft"/>
            </w:pPr>
            <w:r>
              <w:t>Í starfseminni er framleiðsla á varma/kælingu með notkun sólarvarmaorku.</w:t>
            </w:r>
          </w:p>
        </w:tc>
      </w:tr>
      <w:tr w:rsidR="00DB6835" w14:paraId="2047AF1C" w14:textId="77777777" w:rsidTr="00A9140F">
        <w:trPr>
          <w:trHeight w:val="240"/>
        </w:trPr>
        <w:tc>
          <w:tcPr>
            <w:tcW w:w="8740" w:type="dxa"/>
            <w:gridSpan w:val="2"/>
            <w:tcMar>
              <w:top w:w="100" w:type="dxa"/>
              <w:left w:w="0" w:type="dxa"/>
              <w:bottom w:w="100" w:type="dxa"/>
              <w:right w:w="60" w:type="dxa"/>
            </w:tcMar>
          </w:tcPr>
          <w:p w14:paraId="231CBB3C" w14:textId="77777777" w:rsidR="00DB6835" w:rsidRDefault="00DB6835" w:rsidP="00A9140F">
            <w:pPr>
              <w:pStyle w:val="AnnexTableCellLeft"/>
            </w:pPr>
            <w:r>
              <w:t>Ekki valda umtalsverðu tjóni</w:t>
            </w:r>
          </w:p>
        </w:tc>
      </w:tr>
      <w:tr w:rsidR="00DB6835" w14:paraId="5B821530" w14:textId="77777777" w:rsidTr="00A9140F">
        <w:trPr>
          <w:trHeight w:val="360"/>
        </w:trPr>
        <w:tc>
          <w:tcPr>
            <w:tcW w:w="2842" w:type="dxa"/>
            <w:tcMar>
              <w:top w:w="100" w:type="dxa"/>
              <w:left w:w="0" w:type="dxa"/>
              <w:bottom w:w="100" w:type="dxa"/>
              <w:right w:w="60" w:type="dxa"/>
            </w:tcMar>
          </w:tcPr>
          <w:p w14:paraId="7915957E" w14:textId="77777777" w:rsidR="00DB6835" w:rsidRDefault="00DB6835" w:rsidP="00A9140F">
            <w:pPr>
              <w:pStyle w:val="AnnexNumberedText"/>
            </w:pPr>
            <w:r>
              <w:t>2)</w:t>
            </w:r>
            <w:r>
              <w:tab/>
              <w:t>Aðlögun að loftslagsbreytingum</w:t>
            </w:r>
          </w:p>
        </w:tc>
        <w:tc>
          <w:tcPr>
            <w:tcW w:w="5898" w:type="dxa"/>
            <w:tcMar>
              <w:top w:w="100" w:type="dxa"/>
              <w:left w:w="40" w:type="dxa"/>
              <w:bottom w:w="100" w:type="dxa"/>
              <w:right w:w="0" w:type="dxa"/>
            </w:tcMar>
          </w:tcPr>
          <w:p w14:paraId="4C14F830" w14:textId="77777777" w:rsidR="00DB6835" w:rsidRDefault="00DB6835" w:rsidP="00A9140F">
            <w:pPr>
              <w:pStyle w:val="AnnexTableCellLeft"/>
            </w:pPr>
            <w:r>
              <w:t>Starfsemin er í samræmi við viðmiðanirnar sem settar eru fram í viðbæti A við þennan viðauka.</w:t>
            </w:r>
          </w:p>
        </w:tc>
      </w:tr>
      <w:tr w:rsidR="00DB6835" w14:paraId="46C17DDE" w14:textId="77777777" w:rsidTr="00A9140F">
        <w:trPr>
          <w:trHeight w:val="360"/>
        </w:trPr>
        <w:tc>
          <w:tcPr>
            <w:tcW w:w="2842" w:type="dxa"/>
            <w:tcMar>
              <w:top w:w="100" w:type="dxa"/>
              <w:left w:w="0" w:type="dxa"/>
              <w:bottom w:w="100" w:type="dxa"/>
              <w:right w:w="60" w:type="dxa"/>
            </w:tcMar>
          </w:tcPr>
          <w:p w14:paraId="2873C4C8" w14:textId="77777777" w:rsidR="00DB6835" w:rsidRDefault="00DB6835" w:rsidP="00A9140F">
            <w:pPr>
              <w:pStyle w:val="AnnexNumberedText"/>
            </w:pPr>
            <w:r>
              <w:t>3)</w:t>
            </w:r>
            <w:r>
              <w:tab/>
              <w:t>Sjálfbær notkun og verndun vatns- og sjávarauðlinda</w:t>
            </w:r>
          </w:p>
        </w:tc>
        <w:tc>
          <w:tcPr>
            <w:tcW w:w="5898" w:type="dxa"/>
            <w:tcMar>
              <w:top w:w="100" w:type="dxa"/>
              <w:left w:w="40" w:type="dxa"/>
              <w:bottom w:w="100" w:type="dxa"/>
              <w:right w:w="0" w:type="dxa"/>
            </w:tcMar>
          </w:tcPr>
          <w:p w14:paraId="7C50E72C" w14:textId="77777777" w:rsidR="00DB6835" w:rsidRDefault="00DB6835" w:rsidP="00A9140F">
            <w:pPr>
              <w:pStyle w:val="AnnexTableCellLeft"/>
            </w:pPr>
            <w:r>
              <w:t>Á ekki við</w:t>
            </w:r>
          </w:p>
        </w:tc>
      </w:tr>
      <w:tr w:rsidR="00DB6835" w14:paraId="5CD80D24" w14:textId="77777777" w:rsidTr="00A9140F">
        <w:trPr>
          <w:trHeight w:val="360"/>
        </w:trPr>
        <w:tc>
          <w:tcPr>
            <w:tcW w:w="2842" w:type="dxa"/>
            <w:tcMar>
              <w:top w:w="100" w:type="dxa"/>
              <w:left w:w="0" w:type="dxa"/>
              <w:bottom w:w="100" w:type="dxa"/>
              <w:right w:w="60" w:type="dxa"/>
            </w:tcMar>
          </w:tcPr>
          <w:p w14:paraId="0806834C" w14:textId="77777777" w:rsidR="00DB6835" w:rsidRDefault="00DB6835" w:rsidP="00A9140F">
            <w:pPr>
              <w:pStyle w:val="AnnexNumberedText"/>
            </w:pPr>
            <w:r>
              <w:t>4)</w:t>
            </w:r>
            <w:r>
              <w:tab/>
              <w:t>Umskipti yfir í hringrásarhagkerfi</w:t>
            </w:r>
          </w:p>
        </w:tc>
        <w:tc>
          <w:tcPr>
            <w:tcW w:w="5898" w:type="dxa"/>
            <w:tcMar>
              <w:top w:w="100" w:type="dxa"/>
              <w:left w:w="40" w:type="dxa"/>
              <w:bottom w:w="100" w:type="dxa"/>
              <w:right w:w="0" w:type="dxa"/>
            </w:tcMar>
          </w:tcPr>
          <w:p w14:paraId="7CE79F52" w14:textId="77777777" w:rsidR="00DB6835" w:rsidRDefault="00DB6835"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DB6835" w14:paraId="02C4F6DD" w14:textId="77777777" w:rsidTr="00A9140F">
        <w:trPr>
          <w:trHeight w:val="360"/>
        </w:trPr>
        <w:tc>
          <w:tcPr>
            <w:tcW w:w="2842" w:type="dxa"/>
            <w:tcMar>
              <w:top w:w="100" w:type="dxa"/>
              <w:left w:w="0" w:type="dxa"/>
              <w:bottom w:w="100" w:type="dxa"/>
              <w:right w:w="60" w:type="dxa"/>
            </w:tcMar>
          </w:tcPr>
          <w:p w14:paraId="677CFDC2" w14:textId="77777777" w:rsidR="00DB6835" w:rsidRDefault="00DB6835" w:rsidP="00A9140F">
            <w:pPr>
              <w:pStyle w:val="AnnexNumberedText"/>
            </w:pPr>
            <w:r>
              <w:t>5)</w:t>
            </w:r>
            <w:r>
              <w:tab/>
              <w:t>Mengunarvarnir og eftirlit með mengun</w:t>
            </w:r>
          </w:p>
        </w:tc>
        <w:tc>
          <w:tcPr>
            <w:tcW w:w="5898" w:type="dxa"/>
            <w:tcMar>
              <w:top w:w="100" w:type="dxa"/>
              <w:left w:w="40" w:type="dxa"/>
              <w:bottom w:w="100" w:type="dxa"/>
              <w:right w:w="0" w:type="dxa"/>
            </w:tcMar>
          </w:tcPr>
          <w:p w14:paraId="411FF9F5" w14:textId="77777777" w:rsidR="00DB6835" w:rsidRDefault="00DB6835" w:rsidP="00A9140F">
            <w:pPr>
              <w:pStyle w:val="AnnexTableCellLeft"/>
            </w:pPr>
            <w:r>
              <w:t>Á ekki við</w:t>
            </w:r>
          </w:p>
        </w:tc>
      </w:tr>
      <w:tr w:rsidR="00DB6835" w14:paraId="2E008745" w14:textId="77777777" w:rsidTr="00A9140F">
        <w:trPr>
          <w:trHeight w:val="360"/>
        </w:trPr>
        <w:tc>
          <w:tcPr>
            <w:tcW w:w="2842" w:type="dxa"/>
            <w:tcMar>
              <w:top w:w="100" w:type="dxa"/>
              <w:left w:w="0" w:type="dxa"/>
              <w:bottom w:w="100" w:type="dxa"/>
              <w:right w:w="60" w:type="dxa"/>
            </w:tcMar>
          </w:tcPr>
          <w:p w14:paraId="593F1B01" w14:textId="77777777" w:rsidR="00DB6835" w:rsidRDefault="00DB6835" w:rsidP="00A9140F">
            <w:pPr>
              <w:pStyle w:val="AnnexNumberedText"/>
            </w:pPr>
            <w:r>
              <w:t>6)</w:t>
            </w:r>
            <w:r>
              <w:tab/>
              <w:t>Vernd og endurheimt líffræðilegrar fjölbreytni og vistkerfa</w:t>
            </w:r>
          </w:p>
        </w:tc>
        <w:tc>
          <w:tcPr>
            <w:tcW w:w="5898" w:type="dxa"/>
            <w:tcMar>
              <w:top w:w="100" w:type="dxa"/>
              <w:left w:w="40" w:type="dxa"/>
              <w:bottom w:w="100" w:type="dxa"/>
              <w:right w:w="0" w:type="dxa"/>
            </w:tcMar>
          </w:tcPr>
          <w:p w14:paraId="64FBE156" w14:textId="77777777" w:rsidR="00DB6835" w:rsidRDefault="00DB6835" w:rsidP="00A9140F">
            <w:pPr>
              <w:pStyle w:val="AnnexTableCellLeft"/>
            </w:pPr>
            <w:r>
              <w:t>Starfsemin er í samræmi við viðmiðanirnar sem settar eru fram í viðbæti D við þennan viðauka.</w:t>
            </w:r>
          </w:p>
        </w:tc>
      </w:tr>
    </w:tbl>
    <w:p w14:paraId="6552328A" w14:textId="77777777" w:rsidR="00DB6835" w:rsidRDefault="00DB6835" w:rsidP="00DB6835">
      <w:pPr>
        <w:pStyle w:val="AnnexNumberedText"/>
        <w:spacing w:before="200" w:after="340"/>
        <w:ind w:left="500" w:hanging="500"/>
      </w:pPr>
      <w:r>
        <w:t>4.22.</w:t>
      </w:r>
      <w:r>
        <w:rPr>
          <w:b/>
        </w:rPr>
        <w:tab/>
        <w:t>Framleiðsla á varma/kælingu úr jarðvarmaorku</w:t>
      </w:r>
    </w:p>
    <w:p w14:paraId="1D69B51F" w14:textId="77777777" w:rsidR="00DB6835" w:rsidRDefault="00DB6835" w:rsidP="00DB6835">
      <w:pPr>
        <w:pStyle w:val="AnnexGrSeq3"/>
        <w:spacing w:after="340"/>
        <w:ind w:left="500"/>
        <w:jc w:val="both"/>
      </w:pPr>
      <w:r>
        <w:rPr>
          <w:i/>
        </w:rPr>
        <w:t>Lýsing á starfseminni</w:t>
      </w:r>
    </w:p>
    <w:p w14:paraId="7B5629B2" w14:textId="77777777" w:rsidR="00DB6835" w:rsidRDefault="00DB6835" w:rsidP="00DB6835">
      <w:pPr>
        <w:pStyle w:val="AnnexNormal"/>
        <w:spacing w:after="340"/>
        <w:ind w:left="500"/>
      </w:pPr>
      <w:r>
        <w:t>Bygging eða rekstur stöðva sem framleiða varma/kælingu úr jarðvarmaorku.</w:t>
      </w:r>
    </w:p>
    <w:p w14:paraId="338A7DC9" w14:textId="77777777" w:rsidR="00DB6835" w:rsidRDefault="00DB6835" w:rsidP="00DB6835">
      <w:pPr>
        <w:pStyle w:val="AnnexNormal"/>
        <w:spacing w:after="340"/>
        <w:ind w:left="500"/>
      </w:pPr>
      <w:r>
        <w:t>Atvinnustarfsemin í þessum flokki gæti tengst kóða atvinnugreinaflokkunar Evrópusambandsins D35.30 í samræmi við atvinnugreinaflokkunina sem komið var á með reglugerð (EB) nr. 1893/2006.</w:t>
      </w:r>
    </w:p>
    <w:p w14:paraId="6308660D" w14:textId="77777777" w:rsidR="00DB6835" w:rsidRDefault="00DB6835" w:rsidP="00DB6835">
      <w:pPr>
        <w:pStyle w:val="AnnexGrSeq3"/>
        <w:spacing w:after="3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08"/>
        <w:gridCol w:w="5832"/>
      </w:tblGrid>
      <w:tr w:rsidR="00DB6835" w14:paraId="3633F87C" w14:textId="77777777" w:rsidTr="00A9140F">
        <w:trPr>
          <w:trHeight w:val="240"/>
        </w:trPr>
        <w:tc>
          <w:tcPr>
            <w:tcW w:w="8740" w:type="dxa"/>
            <w:gridSpan w:val="2"/>
            <w:tcMar>
              <w:top w:w="100" w:type="dxa"/>
              <w:left w:w="0" w:type="dxa"/>
              <w:bottom w:w="100" w:type="dxa"/>
              <w:right w:w="60" w:type="dxa"/>
            </w:tcMar>
          </w:tcPr>
          <w:p w14:paraId="543FFF5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3AFD7662" w14:textId="77777777" w:rsidTr="00A9140F">
        <w:trPr>
          <w:trHeight w:val="240"/>
        </w:trPr>
        <w:tc>
          <w:tcPr>
            <w:tcW w:w="8740" w:type="dxa"/>
            <w:gridSpan w:val="2"/>
            <w:tcMar>
              <w:top w:w="100" w:type="dxa"/>
              <w:left w:w="0" w:type="dxa"/>
              <w:bottom w:w="100" w:type="dxa"/>
              <w:right w:w="60" w:type="dxa"/>
            </w:tcMar>
          </w:tcPr>
          <w:p w14:paraId="02D09042" w14:textId="77777777" w:rsidR="00DB6835" w:rsidRDefault="00DB6835" w:rsidP="00A9140F">
            <w:pPr>
              <w:pStyle w:val="AnnexTableCellLeft"/>
              <w:spacing w:after="340"/>
            </w:pPr>
            <w:r>
              <w:t>Losun gróðurhúsalofttegunda á vistferlinum frá framleiðslu á varma/kælingu úr jarðvarmaorku er minni en 100 g CO</w:t>
            </w:r>
            <w:r>
              <w:rPr>
                <w:vertAlign w:val="subscript"/>
              </w:rPr>
              <w:t>2</w:t>
            </w:r>
            <w:r>
              <w:t>e/kWh.</w:t>
            </w:r>
          </w:p>
          <w:p w14:paraId="163AD3F9" w14:textId="77777777" w:rsidR="00DB6835" w:rsidRDefault="00DB6835" w:rsidP="00A9140F">
            <w:pPr>
              <w:pStyle w:val="AnnexTableCellLeft"/>
              <w:spacing w:after="340"/>
            </w:pPr>
            <w:r>
              <w:t>Losun gróðurhúsalofttegunda á vistferlinum er reiknuð út á grundvelli verkefnissértækra gagna, ef þau eru tiltæk, með því að nota tilmæli framkvæmdastjórnarinnar 2013/179/ESB eða, að öðrum kosti, með því að nota ISO 14067:2018 eða ISO 14064-1:2018.</w:t>
            </w:r>
          </w:p>
          <w:p w14:paraId="69E2C070" w14:textId="77777777" w:rsidR="00DB6835" w:rsidRDefault="00DB6835" w:rsidP="00A9140F">
            <w:pPr>
              <w:pStyle w:val="AnnexTableCellLeft"/>
              <w:spacing w:after="340"/>
            </w:pPr>
            <w:r>
              <w:t>Óháður þriðji aðili sannprófar magngreinda losun gróðurhúsalofttegunda á vistferlinum.</w:t>
            </w:r>
          </w:p>
        </w:tc>
      </w:tr>
      <w:tr w:rsidR="00DB6835" w14:paraId="052130E6" w14:textId="77777777" w:rsidTr="00A9140F">
        <w:trPr>
          <w:trHeight w:val="240"/>
        </w:trPr>
        <w:tc>
          <w:tcPr>
            <w:tcW w:w="8740" w:type="dxa"/>
            <w:gridSpan w:val="2"/>
            <w:tcMar>
              <w:top w:w="100" w:type="dxa"/>
              <w:left w:w="0" w:type="dxa"/>
              <w:bottom w:w="100" w:type="dxa"/>
              <w:right w:w="60" w:type="dxa"/>
            </w:tcMar>
          </w:tcPr>
          <w:p w14:paraId="28B36472" w14:textId="77777777" w:rsidR="00DB6835" w:rsidRDefault="00DB6835" w:rsidP="00A9140F">
            <w:pPr>
              <w:pStyle w:val="AnnexTableCellLeft"/>
            </w:pPr>
            <w:r>
              <w:t>Ekki valda umtalsverðu tjóni</w:t>
            </w:r>
          </w:p>
        </w:tc>
      </w:tr>
      <w:tr w:rsidR="00DB6835" w14:paraId="3EE89231" w14:textId="77777777" w:rsidTr="00A9140F">
        <w:trPr>
          <w:trHeight w:val="360"/>
        </w:trPr>
        <w:tc>
          <w:tcPr>
            <w:tcW w:w="2908" w:type="dxa"/>
            <w:tcMar>
              <w:top w:w="100" w:type="dxa"/>
              <w:left w:w="0" w:type="dxa"/>
              <w:bottom w:w="100" w:type="dxa"/>
              <w:right w:w="60" w:type="dxa"/>
            </w:tcMar>
          </w:tcPr>
          <w:p w14:paraId="655DA5F8" w14:textId="77777777" w:rsidR="00DB6835" w:rsidRDefault="00DB6835" w:rsidP="00A9140F">
            <w:pPr>
              <w:pStyle w:val="AnnexNumberedText"/>
            </w:pPr>
            <w:r>
              <w:t>2)</w:t>
            </w:r>
            <w:r>
              <w:tab/>
              <w:t>Aðlögun að loftslagsbreytingum</w:t>
            </w:r>
          </w:p>
        </w:tc>
        <w:tc>
          <w:tcPr>
            <w:tcW w:w="5832" w:type="dxa"/>
            <w:tcMar>
              <w:top w:w="100" w:type="dxa"/>
              <w:left w:w="40" w:type="dxa"/>
              <w:bottom w:w="100" w:type="dxa"/>
              <w:right w:w="0" w:type="dxa"/>
            </w:tcMar>
          </w:tcPr>
          <w:p w14:paraId="54B500B2" w14:textId="77777777" w:rsidR="00DB6835" w:rsidRDefault="00DB6835" w:rsidP="00A9140F">
            <w:pPr>
              <w:pStyle w:val="AnnexTableCellLeft"/>
            </w:pPr>
            <w:r>
              <w:t>Starfsemin er í samræmi við viðmiðanirnar sem settar eru fram í viðbæti A við þennan viðauka.</w:t>
            </w:r>
          </w:p>
        </w:tc>
      </w:tr>
      <w:tr w:rsidR="00DB6835" w14:paraId="24A083D4" w14:textId="77777777" w:rsidTr="00A9140F">
        <w:trPr>
          <w:trHeight w:val="360"/>
        </w:trPr>
        <w:tc>
          <w:tcPr>
            <w:tcW w:w="2908" w:type="dxa"/>
            <w:tcMar>
              <w:top w:w="100" w:type="dxa"/>
              <w:left w:w="0" w:type="dxa"/>
              <w:bottom w:w="100" w:type="dxa"/>
              <w:right w:w="60" w:type="dxa"/>
            </w:tcMar>
          </w:tcPr>
          <w:p w14:paraId="7B3D405B" w14:textId="77777777" w:rsidR="00DB6835" w:rsidRDefault="00DB6835" w:rsidP="00A9140F">
            <w:pPr>
              <w:pStyle w:val="AnnexNumberedText"/>
            </w:pPr>
            <w:r>
              <w:t>3)</w:t>
            </w:r>
            <w:r>
              <w:tab/>
              <w:t>Sjálfbær notkun og verndun vatns- og sjávarauðlinda</w:t>
            </w:r>
          </w:p>
        </w:tc>
        <w:tc>
          <w:tcPr>
            <w:tcW w:w="5832" w:type="dxa"/>
            <w:tcMar>
              <w:top w:w="100" w:type="dxa"/>
              <w:left w:w="40" w:type="dxa"/>
              <w:bottom w:w="100" w:type="dxa"/>
              <w:right w:w="0" w:type="dxa"/>
            </w:tcMar>
          </w:tcPr>
          <w:p w14:paraId="77DAEC19" w14:textId="77777777" w:rsidR="00DB6835" w:rsidRDefault="00DB6835" w:rsidP="00A9140F">
            <w:pPr>
              <w:pStyle w:val="AnnexTableCellLeft"/>
            </w:pPr>
            <w:r>
              <w:t>Starfsemin er í samræmi við viðmiðanirnar sem settar eru fram í viðbæti B við þennan viðauka.</w:t>
            </w:r>
          </w:p>
        </w:tc>
      </w:tr>
      <w:tr w:rsidR="00DB6835" w14:paraId="5D0DCD08" w14:textId="77777777" w:rsidTr="00A9140F">
        <w:trPr>
          <w:trHeight w:val="360"/>
        </w:trPr>
        <w:tc>
          <w:tcPr>
            <w:tcW w:w="2908" w:type="dxa"/>
            <w:tcMar>
              <w:top w:w="100" w:type="dxa"/>
              <w:left w:w="0" w:type="dxa"/>
              <w:bottom w:w="100" w:type="dxa"/>
              <w:right w:w="60" w:type="dxa"/>
            </w:tcMar>
          </w:tcPr>
          <w:p w14:paraId="3CEE2286" w14:textId="77777777" w:rsidR="00DB6835" w:rsidRDefault="00DB6835" w:rsidP="00A9140F">
            <w:pPr>
              <w:pStyle w:val="AnnexNumberedText"/>
            </w:pPr>
            <w:r>
              <w:lastRenderedPageBreak/>
              <w:t>4)</w:t>
            </w:r>
            <w:r>
              <w:tab/>
              <w:t>Umskipti yfir í hringrásarhagkerfi</w:t>
            </w:r>
          </w:p>
        </w:tc>
        <w:tc>
          <w:tcPr>
            <w:tcW w:w="5832" w:type="dxa"/>
            <w:tcMar>
              <w:top w:w="100" w:type="dxa"/>
              <w:left w:w="40" w:type="dxa"/>
              <w:bottom w:w="100" w:type="dxa"/>
              <w:right w:w="0" w:type="dxa"/>
            </w:tcMar>
          </w:tcPr>
          <w:p w14:paraId="16AF4599" w14:textId="77777777" w:rsidR="00DB6835" w:rsidRDefault="00DB6835" w:rsidP="00A9140F">
            <w:pPr>
              <w:pStyle w:val="AnnexTableCellLeft"/>
            </w:pPr>
            <w:r>
              <w:t>Á ekki við</w:t>
            </w:r>
          </w:p>
        </w:tc>
      </w:tr>
      <w:tr w:rsidR="00DB6835" w14:paraId="743B36F6" w14:textId="77777777" w:rsidTr="00A9140F">
        <w:trPr>
          <w:trHeight w:val="360"/>
        </w:trPr>
        <w:tc>
          <w:tcPr>
            <w:tcW w:w="2908" w:type="dxa"/>
            <w:tcMar>
              <w:top w:w="100" w:type="dxa"/>
              <w:left w:w="0" w:type="dxa"/>
              <w:bottom w:w="100" w:type="dxa"/>
              <w:right w:w="60" w:type="dxa"/>
            </w:tcMar>
          </w:tcPr>
          <w:p w14:paraId="757F8C90" w14:textId="77777777" w:rsidR="00DB6835" w:rsidRDefault="00DB6835" w:rsidP="00A9140F">
            <w:pPr>
              <w:pStyle w:val="AnnexNumberedText"/>
              <w:pageBreakBefore/>
              <w:ind w:left="293" w:hanging="293"/>
            </w:pPr>
            <w:r>
              <w:lastRenderedPageBreak/>
              <w:t>5)</w:t>
            </w:r>
            <w:r>
              <w:tab/>
              <w:t>Mengunarvarnir og eftirlit með mengun</w:t>
            </w:r>
          </w:p>
        </w:tc>
        <w:tc>
          <w:tcPr>
            <w:tcW w:w="5832" w:type="dxa"/>
            <w:tcMar>
              <w:top w:w="100" w:type="dxa"/>
              <w:left w:w="40" w:type="dxa"/>
              <w:bottom w:w="100" w:type="dxa"/>
              <w:right w:w="0" w:type="dxa"/>
            </w:tcMar>
          </w:tcPr>
          <w:p w14:paraId="3940564A" w14:textId="77777777" w:rsidR="00DB6835" w:rsidRDefault="00DB6835" w:rsidP="00A9140F">
            <w:pPr>
              <w:pStyle w:val="AnnexTableCellLeft"/>
            </w:pPr>
            <w:r>
              <w:t xml:space="preserve">Að því er varðar </w:t>
            </w:r>
            <w:proofErr w:type="spellStart"/>
            <w:r>
              <w:t>starfrækslu</w:t>
            </w:r>
            <w:proofErr w:type="spellEnd"/>
            <w:r>
              <w:t xml:space="preserve"> jarðvarmaorkukerfa með háu vermi eru fullnægjandi hreinsunarkerfi til staðar til að draga úr losun í því skyni að hindra ekki að viðmiðunarmörk fyrir loftgæði náist, sem sett eru fram í tilskipunum 2004/107/EB og 2008/50/EB.</w:t>
            </w:r>
          </w:p>
        </w:tc>
      </w:tr>
      <w:tr w:rsidR="00DB6835" w14:paraId="711B2384" w14:textId="77777777" w:rsidTr="00A9140F">
        <w:trPr>
          <w:trHeight w:val="360"/>
        </w:trPr>
        <w:tc>
          <w:tcPr>
            <w:tcW w:w="2908" w:type="dxa"/>
            <w:tcMar>
              <w:top w:w="100" w:type="dxa"/>
              <w:left w:w="0" w:type="dxa"/>
              <w:bottom w:w="100" w:type="dxa"/>
              <w:right w:w="60" w:type="dxa"/>
            </w:tcMar>
          </w:tcPr>
          <w:p w14:paraId="1EB872A8" w14:textId="77777777" w:rsidR="00DB6835" w:rsidRDefault="00DB6835" w:rsidP="00A9140F">
            <w:pPr>
              <w:pStyle w:val="AnnexNumberedText"/>
              <w:ind w:left="293" w:hanging="293"/>
            </w:pPr>
            <w:r>
              <w:t>6)</w:t>
            </w:r>
            <w:r>
              <w:tab/>
              <w:t>Vernd og endurheimt líffræðilegrar fjölbreytni og vistkerfa</w:t>
            </w:r>
          </w:p>
        </w:tc>
        <w:tc>
          <w:tcPr>
            <w:tcW w:w="5832" w:type="dxa"/>
            <w:tcMar>
              <w:top w:w="100" w:type="dxa"/>
              <w:left w:w="40" w:type="dxa"/>
              <w:bottom w:w="100" w:type="dxa"/>
              <w:right w:w="0" w:type="dxa"/>
            </w:tcMar>
          </w:tcPr>
          <w:p w14:paraId="2513511A" w14:textId="77777777" w:rsidR="00DB6835" w:rsidRDefault="00DB6835" w:rsidP="00A9140F">
            <w:pPr>
              <w:pStyle w:val="AnnexTableCellLeft"/>
            </w:pPr>
            <w:r>
              <w:t>Starfsemin er í samræmi við viðmiðanirnar sem settar eru fram í viðbæti D við þennan viðauka.</w:t>
            </w:r>
          </w:p>
        </w:tc>
      </w:tr>
    </w:tbl>
    <w:p w14:paraId="392E6D53" w14:textId="77777777" w:rsidR="00DB6835" w:rsidRDefault="00DB6835" w:rsidP="00DB6835">
      <w:pPr>
        <w:pStyle w:val="AnnexNumberedText"/>
        <w:spacing w:before="200" w:after="200"/>
        <w:ind w:left="500" w:hanging="500"/>
      </w:pPr>
      <w:r>
        <w:t>4.23.</w:t>
      </w:r>
      <w:r>
        <w:rPr>
          <w:b/>
        </w:rPr>
        <w:tab/>
        <w:t>Framleiðsla á varma/kælingu úr endurnýjanlegu loftkenndu eldsneyti sem er ekki jarðefnaeldsneyti og fljótandi eldsneyti</w:t>
      </w:r>
    </w:p>
    <w:p w14:paraId="4524D20F" w14:textId="77777777" w:rsidR="00DB6835" w:rsidRDefault="00DB6835" w:rsidP="00DB6835">
      <w:pPr>
        <w:pStyle w:val="AnnexGrSeq3"/>
        <w:ind w:left="500"/>
        <w:jc w:val="both"/>
      </w:pPr>
      <w:r>
        <w:rPr>
          <w:i/>
        </w:rPr>
        <w:t>Lýsing á starfseminni</w:t>
      </w:r>
    </w:p>
    <w:p w14:paraId="309B592D" w14:textId="77777777" w:rsidR="00DB6835" w:rsidRDefault="00DB6835" w:rsidP="00DB6835">
      <w:pPr>
        <w:pStyle w:val="AnnexNormal"/>
        <w:ind w:left="500"/>
      </w:pPr>
      <w:r>
        <w:t>Bygging og rekstur varmaframleiðslustöðva sem framleiða varma/kælingu með notkun loftkennds og fljótandi eldsneytis af endurnýjanlegum uppruna. Þessi starfsemi nær ekki yfir framleiðslu á varma/kælingu þar sem einungis er notað lífgas og fljótandi lífeldsneyti (sjá þátt 4.24 í þessum viðauka).</w:t>
      </w:r>
    </w:p>
    <w:p w14:paraId="52B8D103" w14:textId="77777777" w:rsidR="00DB6835" w:rsidRDefault="00DB6835" w:rsidP="00DB6835">
      <w:pPr>
        <w:pStyle w:val="AnnexNormal"/>
        <w:ind w:left="500"/>
      </w:pPr>
      <w:r>
        <w:t>Atvinnustarfsemin í þessum flokki gæti tengst kóða atvinnugreinaflokkunar Evrópusambandsins D35.30 í samræmi við atvinnugreinaflokkunina sem komið var á með reglugerð (EB) nr. 1893/2006.</w:t>
      </w:r>
    </w:p>
    <w:p w14:paraId="17374CBD"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08"/>
        <w:gridCol w:w="5832"/>
      </w:tblGrid>
      <w:tr w:rsidR="00DB6835" w14:paraId="5391914C" w14:textId="77777777" w:rsidTr="00A9140F">
        <w:trPr>
          <w:trHeight w:val="240"/>
        </w:trPr>
        <w:tc>
          <w:tcPr>
            <w:tcW w:w="8740" w:type="dxa"/>
            <w:gridSpan w:val="2"/>
            <w:tcMar>
              <w:top w:w="100" w:type="dxa"/>
              <w:left w:w="0" w:type="dxa"/>
              <w:bottom w:w="100" w:type="dxa"/>
              <w:right w:w="60" w:type="dxa"/>
            </w:tcMar>
          </w:tcPr>
          <w:p w14:paraId="3F87B0AC"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818D541" w14:textId="77777777" w:rsidTr="00A9140F">
        <w:trPr>
          <w:trHeight w:val="360"/>
        </w:trPr>
        <w:tc>
          <w:tcPr>
            <w:tcW w:w="8740" w:type="dxa"/>
            <w:gridSpan w:val="2"/>
            <w:tcMar>
              <w:top w:w="100" w:type="dxa"/>
              <w:left w:w="0" w:type="dxa"/>
              <w:bottom w:w="100" w:type="dxa"/>
              <w:right w:w="60" w:type="dxa"/>
            </w:tcMar>
          </w:tcPr>
          <w:p w14:paraId="127FF025" w14:textId="77777777" w:rsidR="00DB6835" w:rsidRDefault="00DB6835" w:rsidP="00A9140F">
            <w:pPr>
              <w:pStyle w:val="AnnexNumberedText"/>
              <w:tabs>
                <w:tab w:val="left" w:pos="508"/>
              </w:tabs>
              <w:spacing w:after="200"/>
              <w:ind w:left="0" w:firstLine="0"/>
            </w:pPr>
            <w:r>
              <w:t>1.</w:t>
            </w:r>
            <w:r>
              <w:tab/>
              <w:t>Losun gróðurhúsalofttegunda á vistferlinum frá framleiðslu á varma/kælingu með notkun endurnýjanlegs loftkennds og fljótandi eldsneytis er minni en 100 g CO</w:t>
            </w:r>
            <w:r>
              <w:rPr>
                <w:vertAlign w:val="subscript"/>
              </w:rPr>
              <w:t>2</w:t>
            </w:r>
            <w:r>
              <w:t>e/kWh.</w:t>
            </w:r>
          </w:p>
          <w:p w14:paraId="512C859F" w14:textId="77777777" w:rsidR="00DB6835" w:rsidRDefault="00DB6835" w:rsidP="00A9140F">
            <w:pPr>
              <w:pStyle w:val="AnnexTableCellLeft"/>
              <w:spacing w:after="200"/>
              <w:rPr>
                <w:szCs w:val="18"/>
              </w:rPr>
            </w:pPr>
            <w:r>
              <w:t>Losun gróðurhúsalofttegunda á vistferlinum er reiknuð út á grundvelli verkefnissértækra gagna, ef þau eru tiltæk, með því að nota tilmæli 2013/179/ESB eða, að öðrum kosti, með því að nota ISO 14067:2018 (</w:t>
            </w:r>
            <w:r>
              <w:rPr>
                <w:rStyle w:val="Tilvsunneanmlsgrein"/>
                <w:sz w:val="18"/>
                <w:szCs w:val="18"/>
              </w:rPr>
              <w:footnoteReference w:id="214"/>
            </w:r>
            <w:r>
              <w:t>) eða ISO 14064-1:2018 (</w:t>
            </w:r>
            <w:r>
              <w:rPr>
                <w:rStyle w:val="Tilvsunneanmlsgrein"/>
                <w:sz w:val="18"/>
                <w:szCs w:val="18"/>
              </w:rPr>
              <w:footnoteReference w:id="215"/>
            </w:r>
            <w:r>
              <w:t>).</w:t>
            </w:r>
          </w:p>
          <w:p w14:paraId="340EF7DC" w14:textId="77777777" w:rsidR="00DB6835" w:rsidRDefault="00DB6835" w:rsidP="00A9140F">
            <w:pPr>
              <w:pStyle w:val="AnnexTableCellLeft"/>
              <w:spacing w:after="200"/>
            </w:pPr>
            <w:r>
              <w:t>Óháður þriðji aðili sannprófar magngreinda losun gróðurhúsalofttegunda á vistferlinum.</w:t>
            </w:r>
          </w:p>
          <w:p w14:paraId="3D477742" w14:textId="77777777" w:rsidR="00DB6835" w:rsidRDefault="00DB6835" w:rsidP="00A9140F">
            <w:pPr>
              <w:pStyle w:val="AnnexNumberedText"/>
              <w:tabs>
                <w:tab w:val="left" w:pos="508"/>
              </w:tabs>
              <w:spacing w:after="200"/>
              <w:ind w:left="0" w:firstLine="0"/>
            </w:pPr>
            <w:r>
              <w:t>2.</w:t>
            </w:r>
            <w:r>
              <w:tab/>
              <w:t xml:space="preserve">Ef stöðvar taka upp einhvers konar form </w:t>
            </w:r>
            <w:proofErr w:type="spellStart"/>
            <w:r>
              <w:t>mildunar</w:t>
            </w:r>
            <w:proofErr w:type="spellEnd"/>
            <w:r>
              <w:t xml:space="preserve"> (þ.m.t. </w:t>
            </w:r>
            <w:proofErr w:type="spellStart"/>
            <w:r>
              <w:t>kolefnisföngun</w:t>
            </w:r>
            <w:proofErr w:type="spellEnd"/>
            <w:r>
              <w:t xml:space="preserve"> eða notkun á </w:t>
            </w:r>
            <w:proofErr w:type="spellStart"/>
            <w:r>
              <w:t>afkoluðu</w:t>
            </w:r>
            <w:proofErr w:type="spellEnd"/>
            <w:r>
              <w:t xml:space="preserve"> eldsneyti) er sú </w:t>
            </w:r>
            <w:proofErr w:type="spellStart"/>
            <w:r>
              <w:t>mildunarstarfsemi</w:t>
            </w:r>
            <w:proofErr w:type="spellEnd"/>
            <w:r>
              <w:t xml:space="preserve"> í samræmi við viðkomandi þætti í þessum viðauka, eftir atvikum.</w:t>
            </w:r>
          </w:p>
          <w:p w14:paraId="79B6EBA0" w14:textId="77777777" w:rsidR="00DB6835" w:rsidRDefault="00DB6835" w:rsidP="00A9140F">
            <w:pPr>
              <w:pStyle w:val="AnnexTableCellLeft"/>
              <w:spacing w:after="200"/>
            </w:pPr>
            <w:r>
              <w:t>Ef koltvísýringur, sem væri að öðrum kosti losaður í raforkuframleiðsluferlinu, er fangaður í þeim tilgangi að geyma hann neðanjarðar er koltvísýringurinn fluttur og geymdur neðanjarðar í samræmi við tæknilegu matsviðmiðin sem sett eru fram í þáttum 5.11 og 5.12 í þessum viðauka.</w:t>
            </w:r>
          </w:p>
          <w:p w14:paraId="797A525B" w14:textId="77777777" w:rsidR="00DB6835" w:rsidRDefault="00DB6835" w:rsidP="00A9140F">
            <w:pPr>
              <w:pStyle w:val="AnnexNumberedText"/>
              <w:tabs>
                <w:tab w:val="left" w:pos="508"/>
              </w:tabs>
              <w:spacing w:after="200"/>
              <w:ind w:left="0" w:firstLine="0"/>
            </w:pPr>
            <w:r>
              <w:t>3.</w:t>
            </w:r>
            <w:r>
              <w:tab/>
              <w:t>Starfsemin uppfyllir aðra hvora eftirfarandi viðmiðun:</w:t>
            </w:r>
          </w:p>
          <w:p w14:paraId="64B6695D" w14:textId="77777777" w:rsidR="00DB6835" w:rsidRDefault="00DB6835" w:rsidP="00A9140F">
            <w:pPr>
              <w:pStyle w:val="AnnexNumberedText"/>
              <w:spacing w:after="200"/>
            </w:pPr>
            <w:r>
              <w:t>a)</w:t>
            </w:r>
            <w:r>
              <w:tab/>
              <w:t xml:space="preserve">við byggingu eru sett upp mælitæki til að vakta raunverulega losun, s.s. </w:t>
            </w:r>
            <w:proofErr w:type="spellStart"/>
            <w:r>
              <w:t>metanleka</w:t>
            </w:r>
            <w:proofErr w:type="spellEnd"/>
            <w:r>
              <w:t>, eða lekaskynjarar og viðgerðaáætlun innleidd,</w:t>
            </w:r>
          </w:p>
          <w:p w14:paraId="44F4FBD0" w14:textId="77777777" w:rsidR="00DB6835" w:rsidRDefault="00DB6835" w:rsidP="00A9140F">
            <w:pPr>
              <w:pStyle w:val="AnnexNumberedText"/>
              <w:spacing w:after="200"/>
            </w:pPr>
            <w:r>
              <w:t>b)</w:t>
            </w:r>
            <w:r>
              <w:tab/>
              <w:t xml:space="preserve">við </w:t>
            </w:r>
            <w:proofErr w:type="spellStart"/>
            <w:r>
              <w:t>starfrækslu</w:t>
            </w:r>
            <w:proofErr w:type="spellEnd"/>
            <w:r>
              <w:t xml:space="preserve"> er greint frá raunmælingum á </w:t>
            </w:r>
            <w:proofErr w:type="spellStart"/>
            <w:r>
              <w:t>metanlosun</w:t>
            </w:r>
            <w:proofErr w:type="spellEnd"/>
            <w:r>
              <w:t xml:space="preserve"> og komið í veg fyrir leka.</w:t>
            </w:r>
          </w:p>
          <w:p w14:paraId="056D2B0A" w14:textId="77777777" w:rsidR="00DB6835" w:rsidRDefault="00DB6835" w:rsidP="00A9140F">
            <w:pPr>
              <w:pStyle w:val="AnnexNumberedText"/>
              <w:tabs>
                <w:tab w:val="left" w:pos="508"/>
              </w:tabs>
              <w:spacing w:after="200"/>
              <w:ind w:left="0" w:firstLine="0"/>
            </w:pPr>
            <w:r>
              <w:t>4.</w:t>
            </w:r>
            <w:r>
              <w:tab/>
              <w:t>Ef endurnýjanlegu loftkenndu eða fljótandi eldsneyti er blandað saman við lífgas eða fljótandi lífeldsneyti í starfseminni er lífmassinn úr landbúnaði, sem er notaður við framleiðsluna á lífgasinu eða fljótandi lífeldsneytinu, í samræmi við viðmiðanirnar sem mælt er fyrir um í 2. til 5. mgr. 29. gr. tilskipunar (ESB) 2018/2001 en lífmassi úr skógi uppfyllir viðmiðanirnar sem mælt er fyrir um í 6. og 7. mgr. 29. gr. þeirrar tilskipunar.</w:t>
            </w:r>
          </w:p>
        </w:tc>
      </w:tr>
      <w:tr w:rsidR="00DB6835" w14:paraId="2AE19045" w14:textId="77777777" w:rsidTr="00A9140F">
        <w:trPr>
          <w:trHeight w:val="240"/>
        </w:trPr>
        <w:tc>
          <w:tcPr>
            <w:tcW w:w="8740" w:type="dxa"/>
            <w:gridSpan w:val="2"/>
            <w:tcMar>
              <w:top w:w="100" w:type="dxa"/>
              <w:left w:w="0" w:type="dxa"/>
              <w:bottom w:w="100" w:type="dxa"/>
              <w:right w:w="60" w:type="dxa"/>
            </w:tcMar>
          </w:tcPr>
          <w:p w14:paraId="7BBA0869" w14:textId="77777777" w:rsidR="00DB6835" w:rsidRDefault="00DB6835" w:rsidP="00A9140F">
            <w:pPr>
              <w:pStyle w:val="AnnexTableCellLeft"/>
            </w:pPr>
            <w:r>
              <w:t>Ekki valda umtalsverðu tjóni</w:t>
            </w:r>
          </w:p>
        </w:tc>
      </w:tr>
      <w:tr w:rsidR="00DB6835" w14:paraId="10B86CE4" w14:textId="77777777" w:rsidTr="00A9140F">
        <w:trPr>
          <w:trHeight w:val="360"/>
        </w:trPr>
        <w:tc>
          <w:tcPr>
            <w:tcW w:w="2908" w:type="dxa"/>
            <w:tcMar>
              <w:top w:w="100" w:type="dxa"/>
              <w:left w:w="0" w:type="dxa"/>
              <w:bottom w:w="100" w:type="dxa"/>
              <w:right w:w="60" w:type="dxa"/>
            </w:tcMar>
          </w:tcPr>
          <w:p w14:paraId="2A685EBD" w14:textId="77777777" w:rsidR="00DB6835" w:rsidRDefault="00DB6835" w:rsidP="00A9140F">
            <w:pPr>
              <w:pStyle w:val="AnnexNumberedText"/>
            </w:pPr>
            <w:r>
              <w:lastRenderedPageBreak/>
              <w:t>2)</w:t>
            </w:r>
            <w:r>
              <w:tab/>
              <w:t>Aðlögun að loftslagsbreytingum</w:t>
            </w:r>
          </w:p>
        </w:tc>
        <w:tc>
          <w:tcPr>
            <w:tcW w:w="5832" w:type="dxa"/>
            <w:tcMar>
              <w:top w:w="100" w:type="dxa"/>
              <w:left w:w="40" w:type="dxa"/>
              <w:bottom w:w="100" w:type="dxa"/>
              <w:right w:w="0" w:type="dxa"/>
            </w:tcMar>
          </w:tcPr>
          <w:p w14:paraId="010750EE" w14:textId="77777777" w:rsidR="00DB6835" w:rsidRDefault="00DB6835" w:rsidP="00A9140F">
            <w:pPr>
              <w:pStyle w:val="AnnexTableCellLeft"/>
            </w:pPr>
            <w:r>
              <w:t>Starfsemin er í samræmi við viðmiðanirnar sem settar eru fram í viðbæti A við þennan viðauka.</w:t>
            </w:r>
          </w:p>
        </w:tc>
      </w:tr>
      <w:tr w:rsidR="00DB6835" w14:paraId="7007BA98" w14:textId="77777777" w:rsidTr="00A9140F">
        <w:trPr>
          <w:trHeight w:val="360"/>
        </w:trPr>
        <w:tc>
          <w:tcPr>
            <w:tcW w:w="2908" w:type="dxa"/>
            <w:tcMar>
              <w:top w:w="100" w:type="dxa"/>
              <w:left w:w="0" w:type="dxa"/>
              <w:bottom w:w="100" w:type="dxa"/>
              <w:right w:w="60" w:type="dxa"/>
            </w:tcMar>
          </w:tcPr>
          <w:p w14:paraId="0E3623AD" w14:textId="77777777" w:rsidR="00DB6835" w:rsidRDefault="00DB6835" w:rsidP="00A9140F">
            <w:pPr>
              <w:pStyle w:val="AnnexNumberedText"/>
              <w:pageBreakBefore/>
            </w:pPr>
            <w:r>
              <w:lastRenderedPageBreak/>
              <w:t>3)</w:t>
            </w:r>
            <w:r>
              <w:tab/>
              <w:t>Sjálfbær notkun og verndun vatns- og sjávarauðlinda</w:t>
            </w:r>
          </w:p>
        </w:tc>
        <w:tc>
          <w:tcPr>
            <w:tcW w:w="5832" w:type="dxa"/>
            <w:tcMar>
              <w:top w:w="100" w:type="dxa"/>
              <w:left w:w="40" w:type="dxa"/>
              <w:bottom w:w="100" w:type="dxa"/>
              <w:right w:w="0" w:type="dxa"/>
            </w:tcMar>
          </w:tcPr>
          <w:p w14:paraId="4E034F58" w14:textId="77777777" w:rsidR="00DB6835" w:rsidRDefault="00DB6835" w:rsidP="00A9140F">
            <w:pPr>
              <w:pStyle w:val="AnnexTableCellLeft"/>
            </w:pPr>
            <w:r>
              <w:t>Starfsemin er í samræmi við viðmiðanirnar sem settar eru fram í viðbæti B við þennan viðauka.</w:t>
            </w:r>
          </w:p>
        </w:tc>
      </w:tr>
      <w:tr w:rsidR="00DB6835" w14:paraId="0C09F089" w14:textId="77777777" w:rsidTr="00A9140F">
        <w:trPr>
          <w:trHeight w:val="360"/>
        </w:trPr>
        <w:tc>
          <w:tcPr>
            <w:tcW w:w="2908" w:type="dxa"/>
            <w:tcMar>
              <w:top w:w="100" w:type="dxa"/>
              <w:left w:w="0" w:type="dxa"/>
              <w:bottom w:w="100" w:type="dxa"/>
              <w:right w:w="60" w:type="dxa"/>
            </w:tcMar>
          </w:tcPr>
          <w:p w14:paraId="738E56A5" w14:textId="77777777" w:rsidR="00DB6835" w:rsidRDefault="00DB6835" w:rsidP="00A9140F">
            <w:pPr>
              <w:pStyle w:val="AnnexNumberedText"/>
            </w:pPr>
            <w:r>
              <w:t>4)</w:t>
            </w:r>
            <w:r>
              <w:tab/>
              <w:t>Umskipti yfir í hringrásarhagkerfi</w:t>
            </w:r>
          </w:p>
        </w:tc>
        <w:tc>
          <w:tcPr>
            <w:tcW w:w="5832" w:type="dxa"/>
            <w:tcMar>
              <w:top w:w="100" w:type="dxa"/>
              <w:left w:w="40" w:type="dxa"/>
              <w:bottom w:w="100" w:type="dxa"/>
              <w:right w:w="0" w:type="dxa"/>
            </w:tcMar>
          </w:tcPr>
          <w:p w14:paraId="369EFAD8" w14:textId="77777777" w:rsidR="00DB6835" w:rsidRDefault="00DB6835" w:rsidP="00A9140F">
            <w:pPr>
              <w:pStyle w:val="AnnexTableCellLeft"/>
            </w:pPr>
            <w:r>
              <w:t>Á ekki við</w:t>
            </w:r>
          </w:p>
        </w:tc>
      </w:tr>
      <w:tr w:rsidR="00DB6835" w14:paraId="6FEDFB21" w14:textId="77777777" w:rsidTr="00A9140F">
        <w:trPr>
          <w:trHeight w:val="360"/>
        </w:trPr>
        <w:tc>
          <w:tcPr>
            <w:tcW w:w="2908" w:type="dxa"/>
            <w:tcMar>
              <w:top w:w="100" w:type="dxa"/>
              <w:left w:w="0" w:type="dxa"/>
              <w:bottom w:w="100" w:type="dxa"/>
              <w:right w:w="60" w:type="dxa"/>
            </w:tcMar>
          </w:tcPr>
          <w:p w14:paraId="745D76DB" w14:textId="77777777" w:rsidR="00DB6835" w:rsidRDefault="00DB6835" w:rsidP="00A9140F">
            <w:pPr>
              <w:pStyle w:val="AnnexNumberedText"/>
            </w:pPr>
            <w:r>
              <w:t>5)</w:t>
            </w:r>
            <w:r>
              <w:tab/>
              <w:t>Mengunarvarnir og eftirlit með mengun</w:t>
            </w:r>
          </w:p>
        </w:tc>
        <w:tc>
          <w:tcPr>
            <w:tcW w:w="5832" w:type="dxa"/>
            <w:tcMar>
              <w:top w:w="100" w:type="dxa"/>
              <w:left w:w="40" w:type="dxa"/>
              <w:bottom w:w="100" w:type="dxa"/>
              <w:right w:w="0" w:type="dxa"/>
            </w:tcMar>
          </w:tcPr>
          <w:p w14:paraId="40A5AD83" w14:textId="77777777" w:rsidR="00DB6835" w:rsidRDefault="00DB6835" w:rsidP="00A9140F">
            <w:pPr>
              <w:pStyle w:val="AnnexTableCellLeft"/>
              <w:spacing w:after="200"/>
              <w:rPr>
                <w:szCs w:val="18"/>
              </w:rPr>
            </w:pPr>
            <w:r>
              <w:t>Losun fellur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216"/>
            </w:r>
            <w:r>
              <w:t>). Engin umtalsverð yfirfærsluáhrif milli umhverfishólfa eiga sér stað.</w:t>
            </w:r>
          </w:p>
          <w:p w14:paraId="2EFE6178" w14:textId="77777777" w:rsidR="00DB6835" w:rsidRDefault="00DB6835" w:rsidP="00A9140F">
            <w:pPr>
              <w:pStyle w:val="AnnexTableCellLeft"/>
              <w:spacing w:after="200"/>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tc>
      </w:tr>
      <w:tr w:rsidR="00DB6835" w14:paraId="6804C094" w14:textId="77777777" w:rsidTr="00A9140F">
        <w:trPr>
          <w:trHeight w:val="360"/>
        </w:trPr>
        <w:tc>
          <w:tcPr>
            <w:tcW w:w="2908" w:type="dxa"/>
            <w:tcMar>
              <w:top w:w="100" w:type="dxa"/>
              <w:left w:w="0" w:type="dxa"/>
              <w:bottom w:w="100" w:type="dxa"/>
              <w:right w:w="60" w:type="dxa"/>
            </w:tcMar>
          </w:tcPr>
          <w:p w14:paraId="17C80638" w14:textId="77777777" w:rsidR="00DB6835" w:rsidRDefault="00DB6835" w:rsidP="00A9140F">
            <w:pPr>
              <w:pStyle w:val="AnnexNumberedText"/>
              <w:ind w:left="293" w:hanging="293"/>
            </w:pPr>
            <w:r>
              <w:t>6)</w:t>
            </w:r>
            <w:r>
              <w:tab/>
              <w:t>Vernd og endurheimt líffræðilegrar fjölbreytni og vistkerfa</w:t>
            </w:r>
          </w:p>
        </w:tc>
        <w:tc>
          <w:tcPr>
            <w:tcW w:w="5832" w:type="dxa"/>
            <w:tcMar>
              <w:top w:w="100" w:type="dxa"/>
              <w:left w:w="40" w:type="dxa"/>
              <w:bottom w:w="100" w:type="dxa"/>
              <w:right w:w="0" w:type="dxa"/>
            </w:tcMar>
          </w:tcPr>
          <w:p w14:paraId="6FA3551A" w14:textId="77777777" w:rsidR="00DB6835" w:rsidRDefault="00DB6835" w:rsidP="00A9140F">
            <w:pPr>
              <w:pStyle w:val="AnnexTableCellLeft"/>
            </w:pPr>
            <w:r>
              <w:t>Starfsemin er í samræmi við viðmiðanirnar sem settar eru fram í viðbæti D við þennan viðauka.</w:t>
            </w:r>
          </w:p>
        </w:tc>
      </w:tr>
    </w:tbl>
    <w:p w14:paraId="195CCA9B" w14:textId="77777777" w:rsidR="00DB6835" w:rsidRDefault="00DB6835" w:rsidP="00DB6835">
      <w:pPr>
        <w:pStyle w:val="AnnexNumberedText"/>
        <w:spacing w:before="200"/>
        <w:ind w:left="500" w:hanging="500"/>
      </w:pPr>
      <w:r>
        <w:t>4.24.</w:t>
      </w:r>
      <w:r>
        <w:rPr>
          <w:b/>
        </w:rPr>
        <w:tab/>
        <w:t>Framleiðsla á varma/kælingu úr líforku</w:t>
      </w:r>
    </w:p>
    <w:p w14:paraId="17D551CF" w14:textId="77777777" w:rsidR="00DB6835" w:rsidRDefault="00DB6835" w:rsidP="00DB6835">
      <w:pPr>
        <w:pStyle w:val="AnnexGrSeq3"/>
        <w:spacing w:after="220"/>
        <w:ind w:left="500"/>
        <w:jc w:val="both"/>
      </w:pPr>
      <w:r>
        <w:rPr>
          <w:i/>
        </w:rPr>
        <w:t>Lýsing á starfseminni</w:t>
      </w:r>
    </w:p>
    <w:p w14:paraId="6DB04032" w14:textId="77777777" w:rsidR="00DB6835" w:rsidRDefault="00DB6835" w:rsidP="00DB6835">
      <w:pPr>
        <w:pStyle w:val="AnnexNormal"/>
        <w:spacing w:after="220"/>
        <w:ind w:left="500"/>
      </w:pPr>
      <w:r>
        <w:t>Bygging og rekstur stöðva sem framleiða varma/kælingu eingöngu úr lífmassa, lífgasi eða fljótandi lífeldsneyti og að undanskilinni framleiðslu á varma/kælingu úr blöndu af endurnýjanlegu eldsneyti með lífgasi eða fljótandi lífeldsneyti (sjá þátt 4.23 í þessum viðauka).</w:t>
      </w:r>
    </w:p>
    <w:p w14:paraId="1D9BC1BE" w14:textId="77777777" w:rsidR="00DB6835" w:rsidRDefault="00DB6835" w:rsidP="00DB6835">
      <w:pPr>
        <w:pStyle w:val="AnnexNormal"/>
        <w:spacing w:after="220"/>
        <w:ind w:left="500"/>
      </w:pPr>
      <w:r>
        <w:t>Atvinnustarfsemin í þessum flokki gæti tengst kóða atvinnugreinaflokkunar Evrópusambandsins D35.30 í samræmi við atvinnugreinaflokkunina sem komið var á með reglugerð (EB) nr. 1893/2006.</w:t>
      </w:r>
    </w:p>
    <w:p w14:paraId="7B6447FF" w14:textId="77777777" w:rsidR="00DB6835" w:rsidRDefault="00DB6835" w:rsidP="00DB6835">
      <w:pPr>
        <w:pStyle w:val="AnnexGrSeq3"/>
        <w:spacing w:after="22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00"/>
        <w:gridCol w:w="5940"/>
      </w:tblGrid>
      <w:tr w:rsidR="00DB6835" w14:paraId="7AD57CB5" w14:textId="77777777" w:rsidTr="00A9140F">
        <w:trPr>
          <w:trHeight w:val="240"/>
        </w:trPr>
        <w:tc>
          <w:tcPr>
            <w:tcW w:w="8740" w:type="dxa"/>
            <w:gridSpan w:val="2"/>
            <w:tcMar>
              <w:top w:w="100" w:type="dxa"/>
              <w:left w:w="0" w:type="dxa"/>
              <w:bottom w:w="100" w:type="dxa"/>
              <w:right w:w="60" w:type="dxa"/>
            </w:tcMar>
          </w:tcPr>
          <w:p w14:paraId="512B07C2"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544DA26C" w14:textId="77777777" w:rsidTr="00A9140F">
        <w:trPr>
          <w:trHeight w:val="360"/>
        </w:trPr>
        <w:tc>
          <w:tcPr>
            <w:tcW w:w="8740" w:type="dxa"/>
            <w:gridSpan w:val="2"/>
            <w:tcMar>
              <w:top w:w="100" w:type="dxa"/>
              <w:left w:w="0" w:type="dxa"/>
              <w:bottom w:w="100" w:type="dxa"/>
              <w:right w:w="60" w:type="dxa"/>
            </w:tcMar>
          </w:tcPr>
          <w:p w14:paraId="6B1E26C9" w14:textId="77777777" w:rsidR="00DB6835" w:rsidRDefault="00DB6835" w:rsidP="00A9140F">
            <w:pPr>
              <w:pStyle w:val="AnnexNumberedText"/>
              <w:tabs>
                <w:tab w:val="left" w:pos="508"/>
              </w:tabs>
              <w:spacing w:after="200"/>
              <w:ind w:left="0" w:firstLine="0"/>
            </w:pPr>
            <w:r>
              <w:t>1.</w:t>
            </w:r>
            <w:r>
              <w:tab/>
              <w:t>Lífmassi úr landbúnaði sem er notaður í starfseminni til að framleiða varma og kælingu er í samræmi við viðmiðanirnar sem mælt er fyrir um í 2. til 5. mgr. 29. gr. tilskipunar (ESB) 2018/2001. Lífmassi úr skógi sem er notaður í starfseminni er í samræmi við viðmiðanirnar sem mælt er fyrir um í 6. og 7. mgr. 29. gr. þeirrar tilskipunar.</w:t>
            </w:r>
          </w:p>
          <w:p w14:paraId="7EC2D0BF" w14:textId="77777777" w:rsidR="00DB6835" w:rsidRDefault="00DB6835" w:rsidP="00A9140F">
            <w:pPr>
              <w:pStyle w:val="AnnexNumberedText"/>
              <w:tabs>
                <w:tab w:val="left" w:pos="508"/>
              </w:tabs>
              <w:spacing w:after="200"/>
              <w:ind w:left="0" w:firstLine="0"/>
            </w:pPr>
            <w:r>
              <w:t>2.</w:t>
            </w:r>
            <w:r>
              <w:tab/>
              <w:t>Minnkun á losun gróðurhúsalofttegunda frá notkun lífmassa er a.m.k. 80% með tilliti til aðferðarinnar við að minnka losun gróðurhúsalofttegunda og hlutfallslegs jarðefnaeldsneytissambera sem sett er fram í VI. viðauka við tilskipun (ESB) 2018/2001.</w:t>
            </w:r>
          </w:p>
          <w:p w14:paraId="12CF269A" w14:textId="77777777" w:rsidR="00DB6835" w:rsidRDefault="00DB6835" w:rsidP="00A9140F">
            <w:pPr>
              <w:pStyle w:val="AnnexNumberedText"/>
              <w:tabs>
                <w:tab w:val="left" w:pos="508"/>
              </w:tabs>
              <w:spacing w:after="200"/>
              <w:ind w:left="0" w:firstLine="0"/>
            </w:pPr>
            <w:r>
              <w:t>3.</w:t>
            </w:r>
            <w:r>
              <w:tab/>
              <w:t xml:space="preserve">Ef stöðvar treysta á </w:t>
            </w:r>
            <w:proofErr w:type="spellStart"/>
            <w:r>
              <w:t>loftfirrða</w:t>
            </w:r>
            <w:proofErr w:type="spellEnd"/>
            <w:r>
              <w:t xml:space="preserve"> meltun lífræns efniviðar uppfyllir framleiðsla meltunnar viðmiðanirnar í þætti 5.6 og viðmiðun 1 og 2 í þætti 5.7 í þessum viðauka, eftir því sem við á.</w:t>
            </w:r>
          </w:p>
          <w:p w14:paraId="3008951F" w14:textId="77777777" w:rsidR="00DB6835" w:rsidRDefault="00DB6835" w:rsidP="00A9140F">
            <w:pPr>
              <w:pStyle w:val="AnnexNumberedText"/>
              <w:tabs>
                <w:tab w:val="left" w:pos="508"/>
              </w:tabs>
              <w:spacing w:after="200"/>
              <w:ind w:left="0" w:firstLine="0"/>
            </w:pPr>
            <w:r>
              <w:t>4.</w:t>
            </w:r>
            <w:r>
              <w:tab/>
              <w:t>Ákvæði 1. og 2. liðar eiga ekki við um varmaframleiðslustöðvar með heildarnafnvarmaafl undir 2 MW og þar sem loftkennt lífmassaeldsneyti er notað.</w:t>
            </w:r>
          </w:p>
        </w:tc>
      </w:tr>
      <w:tr w:rsidR="00DB6835" w14:paraId="25E745E6" w14:textId="77777777" w:rsidTr="00A9140F">
        <w:trPr>
          <w:trHeight w:val="240"/>
        </w:trPr>
        <w:tc>
          <w:tcPr>
            <w:tcW w:w="8740" w:type="dxa"/>
            <w:gridSpan w:val="2"/>
            <w:tcMar>
              <w:top w:w="100" w:type="dxa"/>
              <w:left w:w="0" w:type="dxa"/>
              <w:bottom w:w="100" w:type="dxa"/>
              <w:right w:w="60" w:type="dxa"/>
            </w:tcMar>
          </w:tcPr>
          <w:p w14:paraId="415CF31C" w14:textId="77777777" w:rsidR="00DB6835" w:rsidRDefault="00DB6835" w:rsidP="00A9140F">
            <w:pPr>
              <w:pStyle w:val="AnnexTableCellLeft"/>
            </w:pPr>
            <w:r>
              <w:t>Ekki valda umtalsverðu tjóni</w:t>
            </w:r>
          </w:p>
        </w:tc>
      </w:tr>
      <w:tr w:rsidR="00DB6835" w14:paraId="1ADA5F2D" w14:textId="77777777" w:rsidTr="00A9140F">
        <w:trPr>
          <w:trHeight w:val="360"/>
        </w:trPr>
        <w:tc>
          <w:tcPr>
            <w:tcW w:w="2800" w:type="dxa"/>
            <w:tcMar>
              <w:top w:w="100" w:type="dxa"/>
              <w:left w:w="0" w:type="dxa"/>
              <w:bottom w:w="100" w:type="dxa"/>
              <w:right w:w="60" w:type="dxa"/>
            </w:tcMar>
          </w:tcPr>
          <w:p w14:paraId="34716265" w14:textId="77777777" w:rsidR="00DB6835" w:rsidRDefault="00DB6835" w:rsidP="00A9140F">
            <w:pPr>
              <w:pStyle w:val="AnnexNumberedText"/>
            </w:pPr>
            <w:r>
              <w:t>2)</w:t>
            </w:r>
            <w:r>
              <w:tab/>
              <w:t>Aðlögun að loftslagsbreytingum</w:t>
            </w:r>
          </w:p>
        </w:tc>
        <w:tc>
          <w:tcPr>
            <w:tcW w:w="5940" w:type="dxa"/>
            <w:tcMar>
              <w:top w:w="100" w:type="dxa"/>
              <w:left w:w="40" w:type="dxa"/>
              <w:bottom w:w="100" w:type="dxa"/>
              <w:right w:w="0" w:type="dxa"/>
            </w:tcMar>
          </w:tcPr>
          <w:p w14:paraId="7CD88E5C" w14:textId="77777777" w:rsidR="00DB6835" w:rsidRDefault="00DB6835" w:rsidP="00A9140F">
            <w:pPr>
              <w:pStyle w:val="AnnexTableCellLeft"/>
            </w:pPr>
            <w:r>
              <w:t>Starfsemin er í samræmi við viðmiðanirnar sem settar eru fram í viðbæti A við þennan viðauka.</w:t>
            </w:r>
          </w:p>
        </w:tc>
      </w:tr>
      <w:tr w:rsidR="00DB6835" w14:paraId="2282A267" w14:textId="77777777" w:rsidTr="00A9140F">
        <w:trPr>
          <w:trHeight w:val="360"/>
        </w:trPr>
        <w:tc>
          <w:tcPr>
            <w:tcW w:w="2800" w:type="dxa"/>
            <w:tcMar>
              <w:top w:w="100" w:type="dxa"/>
              <w:left w:w="0" w:type="dxa"/>
              <w:bottom w:w="100" w:type="dxa"/>
              <w:right w:w="60" w:type="dxa"/>
            </w:tcMar>
          </w:tcPr>
          <w:p w14:paraId="46820FA6" w14:textId="77777777" w:rsidR="00DB6835" w:rsidRDefault="00DB6835" w:rsidP="00A9140F">
            <w:pPr>
              <w:pStyle w:val="AnnexNumberedText"/>
            </w:pPr>
            <w:r>
              <w:t>3)</w:t>
            </w:r>
            <w:r>
              <w:tab/>
              <w:t>Sjálfbær notkun og verndun vatns- og sjávarauðlinda</w:t>
            </w:r>
          </w:p>
        </w:tc>
        <w:tc>
          <w:tcPr>
            <w:tcW w:w="5940" w:type="dxa"/>
            <w:tcMar>
              <w:top w:w="100" w:type="dxa"/>
              <w:left w:w="40" w:type="dxa"/>
              <w:bottom w:w="100" w:type="dxa"/>
              <w:right w:w="0" w:type="dxa"/>
            </w:tcMar>
          </w:tcPr>
          <w:p w14:paraId="069F2608" w14:textId="77777777" w:rsidR="00DB6835" w:rsidRDefault="00DB6835" w:rsidP="00A9140F">
            <w:pPr>
              <w:pStyle w:val="AnnexTableCellLeft"/>
            </w:pPr>
            <w:r>
              <w:t>Starfsemin er í samræmi við viðmiðanirnar sem settar eru fram í viðbæti B við þennan viðauka.</w:t>
            </w:r>
          </w:p>
        </w:tc>
      </w:tr>
      <w:tr w:rsidR="00DB6835" w14:paraId="4CE220DA" w14:textId="77777777" w:rsidTr="00A9140F">
        <w:trPr>
          <w:trHeight w:val="360"/>
        </w:trPr>
        <w:tc>
          <w:tcPr>
            <w:tcW w:w="2800" w:type="dxa"/>
            <w:tcMar>
              <w:top w:w="100" w:type="dxa"/>
              <w:left w:w="0" w:type="dxa"/>
              <w:bottom w:w="100" w:type="dxa"/>
              <w:right w:w="60" w:type="dxa"/>
            </w:tcMar>
          </w:tcPr>
          <w:p w14:paraId="089D0451" w14:textId="77777777" w:rsidR="00DB6835" w:rsidRDefault="00DB6835" w:rsidP="00A9140F">
            <w:pPr>
              <w:pStyle w:val="AnnexNumberedText"/>
              <w:pageBreakBefore/>
            </w:pPr>
            <w:r>
              <w:lastRenderedPageBreak/>
              <w:t>4)</w:t>
            </w:r>
            <w:r>
              <w:tab/>
              <w:t>Umskipti yfir í hringrásarhagkerfi</w:t>
            </w:r>
          </w:p>
        </w:tc>
        <w:tc>
          <w:tcPr>
            <w:tcW w:w="5940" w:type="dxa"/>
            <w:tcMar>
              <w:top w:w="100" w:type="dxa"/>
              <w:left w:w="40" w:type="dxa"/>
              <w:bottom w:w="100" w:type="dxa"/>
              <w:right w:w="0" w:type="dxa"/>
            </w:tcMar>
          </w:tcPr>
          <w:p w14:paraId="0ABB4210" w14:textId="77777777" w:rsidR="00DB6835" w:rsidRDefault="00DB6835" w:rsidP="00A9140F">
            <w:pPr>
              <w:pStyle w:val="AnnexTableCellLeft"/>
            </w:pPr>
            <w:r>
              <w:t>Á ekki við</w:t>
            </w:r>
          </w:p>
        </w:tc>
      </w:tr>
      <w:tr w:rsidR="00DB6835" w14:paraId="7D84DB8E" w14:textId="77777777" w:rsidTr="00A9140F">
        <w:trPr>
          <w:trHeight w:val="360"/>
        </w:trPr>
        <w:tc>
          <w:tcPr>
            <w:tcW w:w="2800" w:type="dxa"/>
            <w:tcMar>
              <w:top w:w="100" w:type="dxa"/>
              <w:left w:w="0" w:type="dxa"/>
              <w:bottom w:w="100" w:type="dxa"/>
              <w:right w:w="60" w:type="dxa"/>
            </w:tcMar>
          </w:tcPr>
          <w:p w14:paraId="1A131826" w14:textId="77777777" w:rsidR="00DB6835" w:rsidRDefault="00DB6835" w:rsidP="00A9140F">
            <w:pPr>
              <w:pStyle w:val="AnnexNumberedText"/>
            </w:pPr>
            <w:r>
              <w:t>5)</w:t>
            </w:r>
            <w:r>
              <w:tab/>
              <w:t>Mengunarvarnir og eftirlit með mengun</w:t>
            </w:r>
          </w:p>
        </w:tc>
        <w:tc>
          <w:tcPr>
            <w:tcW w:w="5940" w:type="dxa"/>
            <w:tcMar>
              <w:top w:w="100" w:type="dxa"/>
              <w:left w:w="40" w:type="dxa"/>
              <w:bottom w:w="100" w:type="dxa"/>
              <w:right w:w="0" w:type="dxa"/>
            </w:tcMar>
          </w:tcPr>
          <w:p w14:paraId="6992322F" w14:textId="77777777" w:rsidR="00DB6835" w:rsidRDefault="00DB6835" w:rsidP="00A9140F">
            <w:pPr>
              <w:pStyle w:val="AnnexTableCellLeft"/>
              <w:spacing w:after="460"/>
              <w:rPr>
                <w:szCs w:val="18"/>
              </w:rPr>
            </w:pPr>
            <w:r>
              <w:t>Að því er varðar stöðvar sem falla undir gildissvið tilskipunar 2010/75/ESB fellur losun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217"/>
            </w:r>
            <w:r>
              <w:t>), um leið og tryggt er að engin umtalsverð yfirfærsluáhrif milli umhverfishólfa eigi sér stað.</w:t>
            </w:r>
          </w:p>
          <w:p w14:paraId="289C20BF" w14:textId="77777777" w:rsidR="00DB6835" w:rsidRDefault="00DB6835" w:rsidP="00A9140F">
            <w:pPr>
              <w:pStyle w:val="AnnexTableCellLeft"/>
              <w:spacing w:after="460"/>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p w14:paraId="08A119E7" w14:textId="77777777" w:rsidR="00DB6835" w:rsidRDefault="00DB6835" w:rsidP="00A9140F">
            <w:pPr>
              <w:pStyle w:val="AnnexTableCellLeft"/>
              <w:spacing w:after="460"/>
              <w:rPr>
                <w:szCs w:val="18"/>
              </w:rPr>
            </w:pPr>
            <w:r>
              <w:t>Að því er varðar stöðvar á svæðum eða hlutum svæða sem uppfylla ekki viðmiðunarmörkin fyrir loftgæði, sem mælt er fyrir um í tilskipun 2008/50/EB, er tekið tilliti til niðurstaðna upplýsingaskiptanna (</w:t>
            </w:r>
            <w:r>
              <w:rPr>
                <w:rStyle w:val="Tilvsunneanmlsgrein"/>
                <w:sz w:val="18"/>
                <w:szCs w:val="18"/>
              </w:rPr>
              <w:footnoteReference w:id="218"/>
            </w:r>
            <w:r>
              <w:t>) sem framkvæmdastjórnin birtir í samræmi við 9. og 10. mgr. 6. gr. tilskipunar (ESB) 2015/2193.</w:t>
            </w:r>
          </w:p>
          <w:p w14:paraId="276B7694" w14:textId="77777777" w:rsidR="00DB6835" w:rsidRDefault="00DB6835" w:rsidP="00A9140F">
            <w:pPr>
              <w:pStyle w:val="AnnexTableCellLeft"/>
              <w:spacing w:after="460"/>
              <w:rPr>
                <w:szCs w:val="18"/>
              </w:rPr>
            </w:pPr>
            <w:r>
              <w:t xml:space="preserve">Að því er varðar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í II. viðauka við reglugerð (ESB) 2019/1009 eða landsbundnar reglur um áburð eða jarðvegsbæta til notkunar í landbúnaði.</w:t>
            </w:r>
          </w:p>
          <w:p w14:paraId="60B0E66D" w14:textId="77777777" w:rsidR="00DB6835" w:rsidRDefault="00DB6835" w:rsidP="00A9140F">
            <w:pPr>
              <w:pStyle w:val="AnnexTableCellLeft"/>
              <w:spacing w:after="200"/>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219"/>
            </w:r>
            <w:r>
              <w:t>). Engin umtalsverð yfirfærsluáhrif milli umhverfishólfa eiga sér stað.</w:t>
            </w:r>
          </w:p>
        </w:tc>
      </w:tr>
      <w:tr w:rsidR="00DB6835" w14:paraId="0EEA6061" w14:textId="77777777" w:rsidTr="00A9140F">
        <w:trPr>
          <w:trHeight w:val="360"/>
        </w:trPr>
        <w:tc>
          <w:tcPr>
            <w:tcW w:w="2800" w:type="dxa"/>
            <w:tcMar>
              <w:top w:w="100" w:type="dxa"/>
              <w:left w:w="0" w:type="dxa"/>
              <w:bottom w:w="100" w:type="dxa"/>
              <w:right w:w="60" w:type="dxa"/>
            </w:tcMar>
          </w:tcPr>
          <w:p w14:paraId="6CE7CF5E" w14:textId="77777777" w:rsidR="00DB6835" w:rsidRDefault="00DB6835" w:rsidP="00A9140F">
            <w:pPr>
              <w:pStyle w:val="AnnexNumberedText"/>
            </w:pPr>
            <w:r>
              <w:t>6)</w:t>
            </w:r>
            <w:r>
              <w:tab/>
              <w:t>Vernd og endurheimt líffræðilegrar fjölbreytni og vistkerfa</w:t>
            </w:r>
          </w:p>
        </w:tc>
        <w:tc>
          <w:tcPr>
            <w:tcW w:w="5940" w:type="dxa"/>
            <w:tcMar>
              <w:top w:w="100" w:type="dxa"/>
              <w:left w:w="40" w:type="dxa"/>
              <w:bottom w:w="100" w:type="dxa"/>
              <w:right w:w="0" w:type="dxa"/>
            </w:tcMar>
          </w:tcPr>
          <w:p w14:paraId="140B41DC" w14:textId="77777777" w:rsidR="00DB6835" w:rsidRDefault="00DB6835" w:rsidP="00A9140F">
            <w:pPr>
              <w:pStyle w:val="AnnexTableCellLeft"/>
            </w:pPr>
            <w:r>
              <w:t>Starfsemin er í samræmi við viðmiðanirnar sem settar eru fram í viðbæti D við þennan viðauka.</w:t>
            </w:r>
          </w:p>
        </w:tc>
      </w:tr>
    </w:tbl>
    <w:p w14:paraId="50801957" w14:textId="77777777" w:rsidR="00DB6835" w:rsidRDefault="00DB6835" w:rsidP="00DB6835">
      <w:pPr>
        <w:pStyle w:val="AnnexNumberedText"/>
        <w:spacing w:before="200" w:after="460"/>
        <w:ind w:left="500" w:hanging="500"/>
      </w:pPr>
      <w:r>
        <w:t>4.25.</w:t>
      </w:r>
      <w:r>
        <w:rPr>
          <w:b/>
        </w:rPr>
        <w:tab/>
        <w:t xml:space="preserve">Framleiðsla á varma/kælingu úr </w:t>
      </w:r>
      <w:proofErr w:type="spellStart"/>
      <w:r>
        <w:rPr>
          <w:b/>
        </w:rPr>
        <w:t>glatvarma</w:t>
      </w:r>
      <w:proofErr w:type="spellEnd"/>
    </w:p>
    <w:p w14:paraId="5D590FF8" w14:textId="77777777" w:rsidR="00DB6835" w:rsidRDefault="00DB6835" w:rsidP="00DB6835">
      <w:pPr>
        <w:pStyle w:val="AnnexGrSeq3"/>
        <w:spacing w:after="460"/>
        <w:ind w:left="500"/>
        <w:jc w:val="both"/>
      </w:pPr>
      <w:r>
        <w:rPr>
          <w:i/>
        </w:rPr>
        <w:t>Lýsing á starfseminni</w:t>
      </w:r>
    </w:p>
    <w:p w14:paraId="3CC6967A" w14:textId="77777777" w:rsidR="00DB6835" w:rsidRDefault="00DB6835" w:rsidP="00DB6835">
      <w:pPr>
        <w:pStyle w:val="AnnexNormal"/>
        <w:spacing w:after="460"/>
        <w:ind w:left="500"/>
      </w:pPr>
      <w:r>
        <w:t xml:space="preserve">Bygging og rekstur stöðva sem framleiða varma/kælingu úr </w:t>
      </w:r>
      <w:proofErr w:type="spellStart"/>
      <w:r>
        <w:t>glatvarma</w:t>
      </w:r>
      <w:proofErr w:type="spellEnd"/>
      <w:r>
        <w:t>.</w:t>
      </w:r>
    </w:p>
    <w:p w14:paraId="2987AA0D" w14:textId="77777777" w:rsidR="00DB6835" w:rsidRDefault="00DB6835" w:rsidP="00DB6835">
      <w:pPr>
        <w:pStyle w:val="AnnexNormal"/>
        <w:ind w:left="500"/>
      </w:pPr>
      <w:r>
        <w:t>Atvinnustarfsemin í þessum flokki gæti tengst kóða atvinnugreinaflokkunar Evrópusambandsins D35.30 í samræmi við atvinnugreinaflokkunina sem komið var á með reglugerð (EB) nr. 1893/2006.</w:t>
      </w:r>
      <w:r>
        <w:br w:type="page"/>
      </w:r>
    </w:p>
    <w:p w14:paraId="5493857F"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908"/>
        <w:gridCol w:w="5832"/>
      </w:tblGrid>
      <w:tr w:rsidR="00DB6835" w14:paraId="3C17BF2B" w14:textId="77777777" w:rsidTr="00A9140F">
        <w:trPr>
          <w:trHeight w:val="240"/>
        </w:trPr>
        <w:tc>
          <w:tcPr>
            <w:tcW w:w="8740" w:type="dxa"/>
            <w:gridSpan w:val="2"/>
            <w:tcMar>
              <w:top w:w="100" w:type="dxa"/>
              <w:left w:w="0" w:type="dxa"/>
              <w:bottom w:w="100" w:type="dxa"/>
              <w:right w:w="60" w:type="dxa"/>
            </w:tcMar>
          </w:tcPr>
          <w:p w14:paraId="3A752BA2"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0321D69E" w14:textId="77777777" w:rsidTr="00A9140F">
        <w:trPr>
          <w:trHeight w:val="240"/>
        </w:trPr>
        <w:tc>
          <w:tcPr>
            <w:tcW w:w="8740" w:type="dxa"/>
            <w:gridSpan w:val="2"/>
            <w:tcMar>
              <w:top w:w="100" w:type="dxa"/>
              <w:left w:w="0" w:type="dxa"/>
              <w:bottom w:w="100" w:type="dxa"/>
              <w:right w:w="60" w:type="dxa"/>
            </w:tcMar>
          </w:tcPr>
          <w:p w14:paraId="760D9BE0" w14:textId="77777777" w:rsidR="00DB6835" w:rsidRDefault="00DB6835" w:rsidP="00A9140F">
            <w:pPr>
              <w:pStyle w:val="AnnexTableCellLeft"/>
            </w:pPr>
            <w:r>
              <w:t xml:space="preserve">Í starfseminni er framleiðsla á varma/kælingu úr </w:t>
            </w:r>
            <w:proofErr w:type="spellStart"/>
            <w:r>
              <w:t>glatvarma</w:t>
            </w:r>
            <w:proofErr w:type="spellEnd"/>
            <w:r>
              <w:t>.</w:t>
            </w:r>
          </w:p>
        </w:tc>
      </w:tr>
      <w:tr w:rsidR="00DB6835" w14:paraId="7617E15C" w14:textId="77777777" w:rsidTr="00A9140F">
        <w:trPr>
          <w:trHeight w:val="240"/>
        </w:trPr>
        <w:tc>
          <w:tcPr>
            <w:tcW w:w="8740" w:type="dxa"/>
            <w:gridSpan w:val="2"/>
            <w:tcMar>
              <w:top w:w="100" w:type="dxa"/>
              <w:left w:w="0" w:type="dxa"/>
              <w:bottom w:w="100" w:type="dxa"/>
              <w:right w:w="60" w:type="dxa"/>
            </w:tcMar>
          </w:tcPr>
          <w:p w14:paraId="443310CA" w14:textId="77777777" w:rsidR="00DB6835" w:rsidRDefault="00DB6835" w:rsidP="00A9140F">
            <w:pPr>
              <w:pStyle w:val="AnnexTableCellLeft"/>
            </w:pPr>
            <w:r>
              <w:t>Ekki valda umtalsverðu tjóni</w:t>
            </w:r>
          </w:p>
        </w:tc>
      </w:tr>
      <w:tr w:rsidR="00DB6835" w14:paraId="0BCF76A4" w14:textId="77777777" w:rsidTr="00A9140F">
        <w:trPr>
          <w:trHeight w:val="360"/>
        </w:trPr>
        <w:tc>
          <w:tcPr>
            <w:tcW w:w="2908" w:type="dxa"/>
            <w:tcMar>
              <w:top w:w="100" w:type="dxa"/>
              <w:left w:w="0" w:type="dxa"/>
              <w:bottom w:w="100" w:type="dxa"/>
              <w:right w:w="60" w:type="dxa"/>
            </w:tcMar>
          </w:tcPr>
          <w:p w14:paraId="0D2D7E50" w14:textId="77777777" w:rsidR="00DB6835" w:rsidRDefault="00DB6835" w:rsidP="00A9140F">
            <w:pPr>
              <w:pStyle w:val="AnnexNumberedText"/>
              <w:spacing w:after="160"/>
              <w:ind w:left="293" w:hanging="293"/>
            </w:pPr>
            <w:r>
              <w:t>2)</w:t>
            </w:r>
            <w:r>
              <w:tab/>
              <w:t>Aðlögun að loftslagsbreytingum</w:t>
            </w:r>
          </w:p>
        </w:tc>
        <w:tc>
          <w:tcPr>
            <w:tcW w:w="5832" w:type="dxa"/>
            <w:tcMar>
              <w:top w:w="100" w:type="dxa"/>
              <w:left w:w="40" w:type="dxa"/>
              <w:bottom w:w="100" w:type="dxa"/>
              <w:right w:w="0" w:type="dxa"/>
            </w:tcMar>
          </w:tcPr>
          <w:p w14:paraId="25536827" w14:textId="77777777" w:rsidR="00DB6835" w:rsidRDefault="00DB6835" w:rsidP="00A9140F">
            <w:pPr>
              <w:pStyle w:val="AnnexTableCellLeft"/>
              <w:spacing w:after="160"/>
            </w:pPr>
            <w:r>
              <w:t>Starfsemin er í samræmi við viðmiðanirnar sem settar eru fram í viðbæti A við þennan viðauka.</w:t>
            </w:r>
          </w:p>
        </w:tc>
      </w:tr>
      <w:tr w:rsidR="00DB6835" w14:paraId="3BC81484" w14:textId="77777777" w:rsidTr="00A9140F">
        <w:trPr>
          <w:trHeight w:val="360"/>
        </w:trPr>
        <w:tc>
          <w:tcPr>
            <w:tcW w:w="2908" w:type="dxa"/>
            <w:tcMar>
              <w:top w:w="100" w:type="dxa"/>
              <w:left w:w="0" w:type="dxa"/>
              <w:bottom w:w="100" w:type="dxa"/>
              <w:right w:w="60" w:type="dxa"/>
            </w:tcMar>
          </w:tcPr>
          <w:p w14:paraId="31071638" w14:textId="77777777" w:rsidR="00DB6835" w:rsidRDefault="00DB6835" w:rsidP="00A9140F">
            <w:pPr>
              <w:pStyle w:val="AnnexNumberedText"/>
              <w:spacing w:after="160"/>
              <w:ind w:left="293" w:hanging="293"/>
            </w:pPr>
            <w:r>
              <w:t>3)</w:t>
            </w:r>
            <w:r>
              <w:tab/>
              <w:t>Sjálfbær notkun og verndun vatns- og sjávarauðlinda</w:t>
            </w:r>
          </w:p>
        </w:tc>
        <w:tc>
          <w:tcPr>
            <w:tcW w:w="5832" w:type="dxa"/>
            <w:tcMar>
              <w:top w:w="100" w:type="dxa"/>
              <w:left w:w="40" w:type="dxa"/>
              <w:bottom w:w="100" w:type="dxa"/>
              <w:right w:w="0" w:type="dxa"/>
            </w:tcMar>
          </w:tcPr>
          <w:p w14:paraId="77EC355C" w14:textId="77777777" w:rsidR="00DB6835" w:rsidRDefault="00DB6835" w:rsidP="00A9140F">
            <w:pPr>
              <w:pStyle w:val="AnnexTableCellLeft"/>
              <w:spacing w:after="160"/>
            </w:pPr>
            <w:r>
              <w:t>Á ekki við</w:t>
            </w:r>
          </w:p>
        </w:tc>
      </w:tr>
      <w:tr w:rsidR="00DB6835" w14:paraId="2CE23562" w14:textId="77777777" w:rsidTr="00A9140F">
        <w:trPr>
          <w:trHeight w:val="360"/>
        </w:trPr>
        <w:tc>
          <w:tcPr>
            <w:tcW w:w="2908" w:type="dxa"/>
            <w:tcMar>
              <w:top w:w="100" w:type="dxa"/>
              <w:left w:w="0" w:type="dxa"/>
              <w:bottom w:w="100" w:type="dxa"/>
              <w:right w:w="60" w:type="dxa"/>
            </w:tcMar>
          </w:tcPr>
          <w:p w14:paraId="05C7DCCE" w14:textId="77777777" w:rsidR="00DB6835" w:rsidRDefault="00DB6835" w:rsidP="00A9140F">
            <w:pPr>
              <w:pStyle w:val="AnnexNumberedText"/>
              <w:spacing w:after="160"/>
              <w:ind w:left="293" w:hanging="293"/>
            </w:pPr>
            <w:r>
              <w:t>4)</w:t>
            </w:r>
            <w:r>
              <w:tab/>
              <w:t>Umskipti yfir í hringrásarhagkerfi</w:t>
            </w:r>
          </w:p>
        </w:tc>
        <w:tc>
          <w:tcPr>
            <w:tcW w:w="5832" w:type="dxa"/>
            <w:tcMar>
              <w:top w:w="100" w:type="dxa"/>
              <w:left w:w="40" w:type="dxa"/>
              <w:bottom w:w="100" w:type="dxa"/>
              <w:right w:w="0" w:type="dxa"/>
            </w:tcMar>
          </w:tcPr>
          <w:p w14:paraId="5F6E7DEF" w14:textId="77777777" w:rsidR="00DB6835" w:rsidRDefault="00DB6835" w:rsidP="00A9140F">
            <w:pPr>
              <w:pStyle w:val="AnnexTableCellLeft"/>
              <w:spacing w:after="160"/>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DB6835" w14:paraId="4F37693D" w14:textId="77777777" w:rsidTr="00A9140F">
        <w:trPr>
          <w:trHeight w:val="360"/>
        </w:trPr>
        <w:tc>
          <w:tcPr>
            <w:tcW w:w="2908" w:type="dxa"/>
            <w:tcMar>
              <w:top w:w="100" w:type="dxa"/>
              <w:left w:w="0" w:type="dxa"/>
              <w:bottom w:w="100" w:type="dxa"/>
              <w:right w:w="60" w:type="dxa"/>
            </w:tcMar>
          </w:tcPr>
          <w:p w14:paraId="7D26B83B" w14:textId="77777777" w:rsidR="00DB6835" w:rsidRDefault="00DB6835" w:rsidP="00A9140F">
            <w:pPr>
              <w:pStyle w:val="AnnexNumberedText"/>
              <w:spacing w:after="160"/>
              <w:ind w:left="293" w:hanging="293"/>
            </w:pPr>
            <w:r>
              <w:t>5)</w:t>
            </w:r>
            <w:r>
              <w:tab/>
              <w:t>Mengunarvarnir og eftirlit með mengun</w:t>
            </w:r>
          </w:p>
        </w:tc>
        <w:tc>
          <w:tcPr>
            <w:tcW w:w="5832" w:type="dxa"/>
            <w:tcMar>
              <w:top w:w="100" w:type="dxa"/>
              <w:left w:w="40" w:type="dxa"/>
              <w:bottom w:w="100" w:type="dxa"/>
              <w:right w:w="0" w:type="dxa"/>
            </w:tcMar>
          </w:tcPr>
          <w:p w14:paraId="5176A226" w14:textId="77777777" w:rsidR="00DB6835" w:rsidRDefault="00DB6835" w:rsidP="00A9140F">
            <w:pPr>
              <w:pStyle w:val="AnnexTableCellLeft"/>
              <w:spacing w:after="160"/>
            </w:pPr>
            <w:r>
              <w:t>Dælur og sú tegund búnaðar sem er notuð, sem falla undir visthönnun og orkumerkingar, eru, ef við á, í samræmi við kröfurnar fyrir hæsta flokk orkumerkimiða ESB sem mælt er fyrir um í reglugerð (ESB) 2017/1369, og við framkvæmdarreglugerðir samkvæmt tilskipun 2009/125/EB og eru besta aðgengilega tækni.</w:t>
            </w:r>
          </w:p>
        </w:tc>
      </w:tr>
      <w:tr w:rsidR="00DB6835" w14:paraId="4AF9298E" w14:textId="77777777" w:rsidTr="00A9140F">
        <w:trPr>
          <w:trHeight w:val="360"/>
        </w:trPr>
        <w:tc>
          <w:tcPr>
            <w:tcW w:w="2908" w:type="dxa"/>
            <w:tcMar>
              <w:top w:w="100" w:type="dxa"/>
              <w:left w:w="0" w:type="dxa"/>
              <w:bottom w:w="100" w:type="dxa"/>
              <w:right w:w="60" w:type="dxa"/>
            </w:tcMar>
          </w:tcPr>
          <w:p w14:paraId="1BCD3668" w14:textId="77777777" w:rsidR="00DB6835" w:rsidRDefault="00DB6835" w:rsidP="00A9140F">
            <w:pPr>
              <w:pStyle w:val="AnnexNumberedText"/>
              <w:spacing w:after="160"/>
              <w:ind w:left="293" w:hanging="293"/>
            </w:pPr>
            <w:r>
              <w:t>6)</w:t>
            </w:r>
            <w:r>
              <w:tab/>
              <w:t>Vernd og endurheimt líffræðilegrar fjölbreytni og vistkerfa</w:t>
            </w:r>
          </w:p>
        </w:tc>
        <w:tc>
          <w:tcPr>
            <w:tcW w:w="5832" w:type="dxa"/>
            <w:tcMar>
              <w:top w:w="100" w:type="dxa"/>
              <w:left w:w="40" w:type="dxa"/>
              <w:bottom w:w="100" w:type="dxa"/>
              <w:right w:w="0" w:type="dxa"/>
            </w:tcMar>
          </w:tcPr>
          <w:p w14:paraId="2AAD072E" w14:textId="77777777" w:rsidR="00DB6835" w:rsidRDefault="00DB6835" w:rsidP="00A9140F">
            <w:pPr>
              <w:pStyle w:val="AnnexTableCellLeft"/>
              <w:spacing w:after="160"/>
            </w:pPr>
            <w:r>
              <w:t>Starfsemin er í samræmi við viðmiðanirnar sem settar eru fram í viðbæti D við þennan viðauka.</w:t>
            </w:r>
          </w:p>
        </w:tc>
      </w:tr>
    </w:tbl>
    <w:p w14:paraId="53BC0F1E" w14:textId="77777777" w:rsidR="00DB6835" w:rsidRDefault="00DB6835" w:rsidP="00DB6835">
      <w:pPr>
        <w:pStyle w:val="AnnexNumberedText"/>
        <w:spacing w:before="200" w:after="500"/>
        <w:ind w:left="500" w:hanging="500"/>
      </w:pPr>
      <w:r>
        <w:t>5.</w:t>
      </w:r>
      <w:r>
        <w:tab/>
        <w:t>VATNSVEITA, FRÁVEITUKERFI, ÚRGANGSSTJÓRNUN OG HREINSUN</w:t>
      </w:r>
    </w:p>
    <w:p w14:paraId="709CC644" w14:textId="77777777" w:rsidR="00DB6835" w:rsidRDefault="00DB6835" w:rsidP="00DB6835">
      <w:pPr>
        <w:pStyle w:val="AnnexNumberedText"/>
        <w:spacing w:before="200" w:after="500"/>
        <w:ind w:left="500" w:hanging="500"/>
      </w:pPr>
      <w:r>
        <w:t>5.1.</w:t>
      </w:r>
      <w:r>
        <w:rPr>
          <w:b/>
        </w:rPr>
        <w:tab/>
        <w:t xml:space="preserve">Uppbygging, stækkun og </w:t>
      </w:r>
      <w:proofErr w:type="spellStart"/>
      <w:r>
        <w:rPr>
          <w:b/>
        </w:rPr>
        <w:t>starfræksla</w:t>
      </w:r>
      <w:proofErr w:type="spellEnd"/>
      <w:r>
        <w:rPr>
          <w:b/>
        </w:rPr>
        <w:t xml:space="preserve"> vatnsöflunar-, </w:t>
      </w:r>
      <w:proofErr w:type="spellStart"/>
      <w:r>
        <w:rPr>
          <w:b/>
        </w:rPr>
        <w:t>vatnshreinsi</w:t>
      </w:r>
      <w:proofErr w:type="spellEnd"/>
      <w:r>
        <w:rPr>
          <w:b/>
        </w:rPr>
        <w:t>- og vatnsveitukerfa</w:t>
      </w:r>
    </w:p>
    <w:p w14:paraId="496F0CC6" w14:textId="77777777" w:rsidR="00DB6835" w:rsidRDefault="00DB6835" w:rsidP="00DB6835">
      <w:pPr>
        <w:pStyle w:val="AnnexGrSeq3"/>
        <w:spacing w:after="500"/>
        <w:ind w:left="500"/>
        <w:jc w:val="both"/>
      </w:pPr>
      <w:r>
        <w:rPr>
          <w:i/>
        </w:rPr>
        <w:t>Lýsing á starfseminni</w:t>
      </w:r>
    </w:p>
    <w:p w14:paraId="4449DB53" w14:textId="77777777" w:rsidR="00DB6835" w:rsidRDefault="00DB6835" w:rsidP="00DB6835">
      <w:pPr>
        <w:pStyle w:val="AnnexNormal"/>
        <w:spacing w:after="500"/>
        <w:ind w:left="500"/>
      </w:pPr>
      <w:r>
        <w:t xml:space="preserve">Uppbygging, stækkun og rekstur vatnsöflunar-, </w:t>
      </w:r>
      <w:proofErr w:type="spellStart"/>
      <w:r>
        <w:t>vatnshreinsi</w:t>
      </w:r>
      <w:proofErr w:type="spellEnd"/>
      <w:r>
        <w:t>- og vatnsveitukerfa.</w:t>
      </w:r>
    </w:p>
    <w:p w14:paraId="606FDF5C" w14:textId="77777777" w:rsidR="00DB6835" w:rsidRDefault="00DB6835" w:rsidP="00DB6835">
      <w:pPr>
        <w:pStyle w:val="AnnexNormal"/>
        <w:spacing w:after="500"/>
        <w:ind w:left="500"/>
      </w:pPr>
      <w:r>
        <w:t>Atvinnustarfsemin í þessum flokki gæti tengst nokkrum kóðum atvinnugreinaflokkunar Evrópusambandsins, einkum E36.00 og F42.99, í samræmi við atvinnugreinaflokkunina sem komið var á með reglugerð (EB) nr. 1893/2006.</w:t>
      </w:r>
    </w:p>
    <w:p w14:paraId="3ED8AEF4" w14:textId="77777777" w:rsidR="00DB6835" w:rsidRDefault="00DB6835" w:rsidP="00DB6835">
      <w:pPr>
        <w:pStyle w:val="AnnexGrSeq3"/>
        <w:spacing w:after="5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016"/>
        <w:gridCol w:w="5724"/>
      </w:tblGrid>
      <w:tr w:rsidR="00DB6835" w14:paraId="739389CB"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19BC9B03"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8E76640" w14:textId="77777777" w:rsidTr="00A9140F">
        <w:trPr>
          <w:trHeight w:val="360"/>
        </w:trPr>
        <w:tc>
          <w:tcPr>
            <w:tcW w:w="8740" w:type="dxa"/>
            <w:gridSpan w:val="2"/>
            <w:tcBorders>
              <w:bottom w:val="nil"/>
            </w:tcBorders>
            <w:tcMar>
              <w:top w:w="100" w:type="dxa"/>
              <w:left w:w="0" w:type="dxa"/>
              <w:bottom w:w="100" w:type="dxa"/>
              <w:right w:w="60" w:type="dxa"/>
            </w:tcMar>
          </w:tcPr>
          <w:p w14:paraId="7E1A2A6D" w14:textId="77777777" w:rsidR="00DB6835" w:rsidRDefault="00DB6835" w:rsidP="00A9140F">
            <w:pPr>
              <w:pStyle w:val="AnnexTableCellLeft"/>
              <w:spacing w:after="400"/>
            </w:pPr>
            <w:r>
              <w:t>Vatnsveitukerfið er í samræmi við eina af eftirfarandi viðmiðunum:</w:t>
            </w:r>
          </w:p>
          <w:p w14:paraId="4CDA9733" w14:textId="77777777" w:rsidR="00DB6835" w:rsidRDefault="00DB6835" w:rsidP="00A9140F">
            <w:pPr>
              <w:pStyle w:val="AnnexNumberedText"/>
            </w:pPr>
            <w:r>
              <w:t>a)</w:t>
            </w:r>
            <w:r>
              <w:tab/>
              <w:t>meðaltal nettóorkunotkunar við töku og meðhöndlun er jafnt og eða minna en 0,5 kWh á hvern rúmmetra af vatni fyrir vatnsveituna. Að því er varðar nettóorkunotkun er hægt að taka tillit til ráðstafana til að draga úr orkunotkun, s.s. uppsprettustjórnunar (íkoma mengunarefnaálags), og, eins og við á, orkuframleiðslu (s.s. vatnsorku, sólarorku og vindorku),</w:t>
            </w:r>
          </w:p>
        </w:tc>
      </w:tr>
      <w:tr w:rsidR="00DB6835" w14:paraId="2AE54306" w14:textId="77777777" w:rsidTr="00A9140F">
        <w:trPr>
          <w:trHeight w:val="360"/>
        </w:trPr>
        <w:tc>
          <w:tcPr>
            <w:tcW w:w="8740" w:type="dxa"/>
            <w:gridSpan w:val="2"/>
            <w:tcBorders>
              <w:top w:val="nil"/>
            </w:tcBorders>
            <w:tcMar>
              <w:top w:w="100" w:type="dxa"/>
              <w:left w:w="0" w:type="dxa"/>
              <w:bottom w:w="100" w:type="dxa"/>
              <w:right w:w="60" w:type="dxa"/>
            </w:tcMar>
          </w:tcPr>
          <w:p w14:paraId="604AA693" w14:textId="77777777" w:rsidR="00DB6835" w:rsidRDefault="00DB6835" w:rsidP="00A9140F">
            <w:pPr>
              <w:pStyle w:val="AnnexNumberedText"/>
              <w:pageBreakBefore/>
              <w:spacing w:after="400"/>
            </w:pPr>
            <w:r>
              <w:lastRenderedPageBreak/>
              <w:t>b)</w:t>
            </w:r>
            <w:r>
              <w:tab/>
              <w:t>lekagildið er annaðhvort reiknað út með því að nota innviðalekastuðulinn (ILI) (</w:t>
            </w:r>
            <w:r>
              <w:rPr>
                <w:rStyle w:val="Tilvsunneanmlsgrein"/>
                <w:sz w:val="18"/>
                <w:szCs w:val="18"/>
              </w:rPr>
              <w:footnoteReference w:id="220"/>
            </w:r>
            <w:r>
              <w:t>) sem matsaðferð og viðmiðunargildið er jafnt og eða lægra en 1,5 eða reiknað út með því að nota aðra viðeigandi aðferð og viðmiðunargildið er fastsett í samræmi við 4. gr. tilskipunar Evrópuþingsins og ráðsins (ESB) 2020/2184 (</w:t>
            </w:r>
            <w:r>
              <w:rPr>
                <w:rStyle w:val="Tilvsunneanmlsgrein"/>
                <w:sz w:val="18"/>
                <w:szCs w:val="18"/>
              </w:rPr>
              <w:footnoteReference w:id="221"/>
            </w:r>
            <w:r>
              <w:t xml:space="preserve">). Þessum útreikningi skal beitt á allt vatnsveitukerfið (dreifing) þar sem vinnan fer fram, þ.e. á vatnstökusvæðinu, afmörkuðu mælisvæði eða -svæðum (e. </w:t>
            </w:r>
            <w:proofErr w:type="spellStart"/>
            <w:r>
              <w:rPr>
                <w:i/>
                <w:iCs/>
              </w:rPr>
              <w:t>district</w:t>
            </w:r>
            <w:proofErr w:type="spellEnd"/>
            <w:r>
              <w:rPr>
                <w:i/>
                <w:iCs/>
              </w:rPr>
              <w:t xml:space="preserve"> </w:t>
            </w:r>
            <w:proofErr w:type="spellStart"/>
            <w:r>
              <w:rPr>
                <w:i/>
                <w:iCs/>
              </w:rPr>
              <w:t>metered</w:t>
            </w:r>
            <w:proofErr w:type="spellEnd"/>
            <w:r>
              <w:rPr>
                <w:i/>
                <w:iCs/>
              </w:rPr>
              <w:t xml:space="preserve"> </w:t>
            </w:r>
            <w:proofErr w:type="spellStart"/>
            <w:r>
              <w:rPr>
                <w:i/>
                <w:iCs/>
              </w:rPr>
              <w:t>area</w:t>
            </w:r>
            <w:proofErr w:type="spellEnd"/>
            <w:r>
              <w:t xml:space="preserve">) eða á svæði/svæðum þar sem þrýstingi er stjórnað (e. </w:t>
            </w:r>
            <w:proofErr w:type="spellStart"/>
            <w:r>
              <w:rPr>
                <w:i/>
                <w:iCs/>
              </w:rPr>
              <w:t>pressure</w:t>
            </w:r>
            <w:proofErr w:type="spellEnd"/>
            <w:r>
              <w:rPr>
                <w:i/>
                <w:iCs/>
              </w:rPr>
              <w:t xml:space="preserve"> </w:t>
            </w:r>
            <w:proofErr w:type="spellStart"/>
            <w:r>
              <w:rPr>
                <w:i/>
                <w:iCs/>
              </w:rPr>
              <w:t>managed</w:t>
            </w:r>
            <w:proofErr w:type="spellEnd"/>
            <w:r>
              <w:rPr>
                <w:i/>
                <w:iCs/>
              </w:rPr>
              <w:t xml:space="preserve"> </w:t>
            </w:r>
            <w:proofErr w:type="spellStart"/>
            <w:r>
              <w:rPr>
                <w:i/>
                <w:iCs/>
              </w:rPr>
              <w:t>area</w:t>
            </w:r>
            <w:proofErr w:type="spellEnd"/>
            <w:r>
              <w:t>).</w:t>
            </w:r>
          </w:p>
        </w:tc>
      </w:tr>
      <w:tr w:rsidR="00DB6835" w14:paraId="65869DB0" w14:textId="77777777" w:rsidTr="00A9140F">
        <w:trPr>
          <w:trHeight w:val="240"/>
        </w:trPr>
        <w:tc>
          <w:tcPr>
            <w:tcW w:w="8740" w:type="dxa"/>
            <w:gridSpan w:val="2"/>
            <w:tcMar>
              <w:top w:w="100" w:type="dxa"/>
              <w:left w:w="0" w:type="dxa"/>
              <w:bottom w:w="100" w:type="dxa"/>
              <w:right w:w="60" w:type="dxa"/>
            </w:tcMar>
          </w:tcPr>
          <w:p w14:paraId="38490D0E" w14:textId="77777777" w:rsidR="00DB6835" w:rsidRDefault="00DB6835" w:rsidP="00A9140F">
            <w:pPr>
              <w:pStyle w:val="AnnexTableCellLeft"/>
            </w:pPr>
            <w:r>
              <w:t>Ekki valda umtalsverðu tjóni</w:t>
            </w:r>
          </w:p>
        </w:tc>
      </w:tr>
      <w:tr w:rsidR="00DB6835" w14:paraId="65D338C7" w14:textId="77777777" w:rsidTr="00A9140F">
        <w:trPr>
          <w:trHeight w:val="360"/>
        </w:trPr>
        <w:tc>
          <w:tcPr>
            <w:tcW w:w="3016" w:type="dxa"/>
            <w:tcMar>
              <w:top w:w="100" w:type="dxa"/>
              <w:left w:w="0" w:type="dxa"/>
              <w:bottom w:w="100" w:type="dxa"/>
              <w:right w:w="60" w:type="dxa"/>
            </w:tcMar>
          </w:tcPr>
          <w:p w14:paraId="785C4D57" w14:textId="77777777" w:rsidR="00DB6835" w:rsidRDefault="00DB6835" w:rsidP="00A9140F">
            <w:pPr>
              <w:pStyle w:val="AnnexNumberedText"/>
            </w:pPr>
            <w:r>
              <w:t>2)</w:t>
            </w:r>
            <w:r>
              <w:tab/>
              <w:t>Aðlögun að loftslagsbreytingum</w:t>
            </w:r>
          </w:p>
        </w:tc>
        <w:tc>
          <w:tcPr>
            <w:tcW w:w="5724" w:type="dxa"/>
            <w:tcMar>
              <w:top w:w="100" w:type="dxa"/>
              <w:left w:w="40" w:type="dxa"/>
              <w:bottom w:w="100" w:type="dxa"/>
              <w:right w:w="0" w:type="dxa"/>
            </w:tcMar>
          </w:tcPr>
          <w:p w14:paraId="080FEBBC" w14:textId="77777777" w:rsidR="00DB6835" w:rsidRDefault="00DB6835" w:rsidP="00A9140F">
            <w:pPr>
              <w:pStyle w:val="AnnexTableCellLeft"/>
            </w:pPr>
            <w:r>
              <w:t>Starfsemin er í samræmi við viðmiðanirnar sem settar eru fram í viðbæti A við þennan viðauka.</w:t>
            </w:r>
          </w:p>
        </w:tc>
      </w:tr>
      <w:tr w:rsidR="00DB6835" w14:paraId="59B11552" w14:textId="77777777" w:rsidTr="00A9140F">
        <w:trPr>
          <w:trHeight w:val="360"/>
        </w:trPr>
        <w:tc>
          <w:tcPr>
            <w:tcW w:w="3016" w:type="dxa"/>
            <w:tcMar>
              <w:top w:w="100" w:type="dxa"/>
              <w:left w:w="0" w:type="dxa"/>
              <w:bottom w:w="100" w:type="dxa"/>
              <w:right w:w="60" w:type="dxa"/>
            </w:tcMar>
          </w:tcPr>
          <w:p w14:paraId="73360DF2" w14:textId="77777777" w:rsidR="00DB6835" w:rsidRDefault="00DB6835" w:rsidP="00A9140F">
            <w:pPr>
              <w:pStyle w:val="AnnexNumberedText"/>
            </w:pPr>
            <w:r>
              <w:t>3)</w:t>
            </w:r>
            <w:r>
              <w:tab/>
              <w:t>Sjálfbær notkun og verndun vatns- og sjávarauðlinda</w:t>
            </w:r>
          </w:p>
        </w:tc>
        <w:tc>
          <w:tcPr>
            <w:tcW w:w="5724" w:type="dxa"/>
            <w:tcMar>
              <w:top w:w="100" w:type="dxa"/>
              <w:left w:w="40" w:type="dxa"/>
              <w:bottom w:w="100" w:type="dxa"/>
              <w:right w:w="0" w:type="dxa"/>
            </w:tcMar>
          </w:tcPr>
          <w:p w14:paraId="7BC1ED14" w14:textId="77777777" w:rsidR="00DB6835" w:rsidRDefault="00DB6835" w:rsidP="00A9140F">
            <w:pPr>
              <w:pStyle w:val="AnnexTableCellLeft"/>
            </w:pPr>
            <w:r>
              <w:t>Starfsemin er í samræmi við viðmiðanirnar sem settar eru fram í viðbæti B við þennan viðauka.</w:t>
            </w:r>
          </w:p>
        </w:tc>
      </w:tr>
      <w:tr w:rsidR="00DB6835" w14:paraId="2069B752" w14:textId="77777777" w:rsidTr="00A9140F">
        <w:trPr>
          <w:trHeight w:val="360"/>
        </w:trPr>
        <w:tc>
          <w:tcPr>
            <w:tcW w:w="3016" w:type="dxa"/>
            <w:tcMar>
              <w:top w:w="100" w:type="dxa"/>
              <w:left w:w="0" w:type="dxa"/>
              <w:bottom w:w="100" w:type="dxa"/>
              <w:right w:w="60" w:type="dxa"/>
            </w:tcMar>
          </w:tcPr>
          <w:p w14:paraId="798BCAC5" w14:textId="77777777" w:rsidR="00DB6835" w:rsidRDefault="00DB6835" w:rsidP="00A9140F">
            <w:pPr>
              <w:pStyle w:val="AnnexNumberedText"/>
            </w:pPr>
            <w:r>
              <w:t>4)</w:t>
            </w:r>
            <w:r>
              <w:tab/>
              <w:t>Umskipti yfir í hringrásarhagkerfi</w:t>
            </w:r>
          </w:p>
        </w:tc>
        <w:tc>
          <w:tcPr>
            <w:tcW w:w="5724" w:type="dxa"/>
            <w:tcMar>
              <w:top w:w="100" w:type="dxa"/>
              <w:left w:w="40" w:type="dxa"/>
              <w:bottom w:w="100" w:type="dxa"/>
              <w:right w:w="0" w:type="dxa"/>
            </w:tcMar>
          </w:tcPr>
          <w:p w14:paraId="02EEDB8F" w14:textId="77777777" w:rsidR="00DB6835" w:rsidRDefault="00DB6835" w:rsidP="00A9140F">
            <w:pPr>
              <w:pStyle w:val="AnnexTableCellLeft"/>
            </w:pPr>
            <w:r>
              <w:t>Á ekki við</w:t>
            </w:r>
          </w:p>
        </w:tc>
      </w:tr>
      <w:tr w:rsidR="00DB6835" w14:paraId="42C920AE" w14:textId="77777777" w:rsidTr="00A9140F">
        <w:trPr>
          <w:trHeight w:val="360"/>
        </w:trPr>
        <w:tc>
          <w:tcPr>
            <w:tcW w:w="3016" w:type="dxa"/>
            <w:tcMar>
              <w:top w:w="100" w:type="dxa"/>
              <w:left w:w="0" w:type="dxa"/>
              <w:bottom w:w="100" w:type="dxa"/>
              <w:right w:w="60" w:type="dxa"/>
            </w:tcMar>
          </w:tcPr>
          <w:p w14:paraId="12AA8B60" w14:textId="77777777" w:rsidR="00DB6835" w:rsidRDefault="00DB6835" w:rsidP="00A9140F">
            <w:pPr>
              <w:pStyle w:val="AnnexNumberedText"/>
            </w:pPr>
            <w:r>
              <w:t>5)</w:t>
            </w:r>
            <w:r>
              <w:tab/>
              <w:t>Mengunarvarnir og eftirlit með mengun</w:t>
            </w:r>
          </w:p>
        </w:tc>
        <w:tc>
          <w:tcPr>
            <w:tcW w:w="5724" w:type="dxa"/>
            <w:tcMar>
              <w:top w:w="100" w:type="dxa"/>
              <w:left w:w="40" w:type="dxa"/>
              <w:bottom w:w="100" w:type="dxa"/>
              <w:right w:w="0" w:type="dxa"/>
            </w:tcMar>
          </w:tcPr>
          <w:p w14:paraId="33B1B067" w14:textId="77777777" w:rsidR="00DB6835" w:rsidRDefault="00DB6835" w:rsidP="00A9140F">
            <w:pPr>
              <w:pStyle w:val="AnnexTableCellLeft"/>
            </w:pPr>
            <w:r>
              <w:t>Á ekki við</w:t>
            </w:r>
          </w:p>
        </w:tc>
      </w:tr>
      <w:tr w:rsidR="00DB6835" w14:paraId="68762761" w14:textId="77777777" w:rsidTr="00A9140F">
        <w:trPr>
          <w:trHeight w:val="360"/>
        </w:trPr>
        <w:tc>
          <w:tcPr>
            <w:tcW w:w="3016" w:type="dxa"/>
            <w:tcMar>
              <w:top w:w="100" w:type="dxa"/>
              <w:left w:w="0" w:type="dxa"/>
              <w:bottom w:w="100" w:type="dxa"/>
              <w:right w:w="60" w:type="dxa"/>
            </w:tcMar>
          </w:tcPr>
          <w:p w14:paraId="38F79511" w14:textId="77777777" w:rsidR="00DB6835" w:rsidRDefault="00DB6835" w:rsidP="00A9140F">
            <w:pPr>
              <w:pStyle w:val="AnnexNumberedText"/>
            </w:pPr>
            <w:r>
              <w:t>6)</w:t>
            </w:r>
            <w:r>
              <w:tab/>
              <w:t>Vernd og endurheimt líffræðilegrar fjölbreytni og vistkerfa</w:t>
            </w:r>
          </w:p>
        </w:tc>
        <w:tc>
          <w:tcPr>
            <w:tcW w:w="5724" w:type="dxa"/>
            <w:tcMar>
              <w:top w:w="100" w:type="dxa"/>
              <w:left w:w="40" w:type="dxa"/>
              <w:bottom w:w="100" w:type="dxa"/>
              <w:right w:w="0" w:type="dxa"/>
            </w:tcMar>
          </w:tcPr>
          <w:p w14:paraId="0D1E8F8F" w14:textId="77777777" w:rsidR="00DB6835" w:rsidRDefault="00DB6835" w:rsidP="00A9140F">
            <w:pPr>
              <w:pStyle w:val="AnnexTableCellLeft"/>
            </w:pPr>
            <w:r>
              <w:t>Starfsemin er í samræmi við viðmiðanirnar sem settar eru fram í viðbæti D við þennan viðauka.</w:t>
            </w:r>
          </w:p>
        </w:tc>
      </w:tr>
    </w:tbl>
    <w:p w14:paraId="17D1AA8E" w14:textId="77777777" w:rsidR="00DB6835" w:rsidRDefault="00DB6835" w:rsidP="00DB6835">
      <w:pPr>
        <w:pStyle w:val="AnnexNumberedText"/>
        <w:spacing w:before="200" w:after="440"/>
        <w:ind w:left="500" w:hanging="500"/>
      </w:pPr>
      <w:r>
        <w:t>5.2.</w:t>
      </w:r>
      <w:r>
        <w:rPr>
          <w:b/>
        </w:rPr>
        <w:tab/>
        <w:t xml:space="preserve">Endurnýjun vatnsöflunar-, </w:t>
      </w:r>
      <w:proofErr w:type="spellStart"/>
      <w:r>
        <w:rPr>
          <w:b/>
        </w:rPr>
        <w:t>vatnshreinsi</w:t>
      </w:r>
      <w:proofErr w:type="spellEnd"/>
      <w:r>
        <w:rPr>
          <w:b/>
        </w:rPr>
        <w:t>- og vatnsveitukerfa</w:t>
      </w:r>
    </w:p>
    <w:p w14:paraId="6188B5CB" w14:textId="77777777" w:rsidR="00DB6835" w:rsidRDefault="00DB6835" w:rsidP="00DB6835">
      <w:pPr>
        <w:pStyle w:val="AnnexGrSeq3"/>
        <w:spacing w:after="440"/>
        <w:ind w:left="500"/>
        <w:jc w:val="both"/>
      </w:pPr>
      <w:r>
        <w:rPr>
          <w:i/>
        </w:rPr>
        <w:t>Lýsing á starfseminni</w:t>
      </w:r>
    </w:p>
    <w:p w14:paraId="54B30D07" w14:textId="77777777" w:rsidR="00DB6835" w:rsidRDefault="00DB6835" w:rsidP="00DB6835">
      <w:pPr>
        <w:pStyle w:val="AnnexNormal"/>
        <w:spacing w:after="440"/>
        <w:ind w:left="500"/>
      </w:pPr>
      <w:r>
        <w:t>Endurnýjun vatnsöflunar-,</w:t>
      </w:r>
      <w:proofErr w:type="spellStart"/>
      <w:r>
        <w:t>vatnshreinsi</w:t>
      </w:r>
      <w:proofErr w:type="spellEnd"/>
      <w:r>
        <w:t>- og vatnsveitukerfa, þ.m.t. endurnýjun grunnvirkja fyrir vatnsöflun, hreinsun og dreifingu vegna þarfa heimila og iðnaðar. Hún felur ekki í sér neinar verulegar breytingar á rennslismagni vatnsins sem er safnað, hreinsað eða afhent.</w:t>
      </w:r>
    </w:p>
    <w:p w14:paraId="7407AF0A" w14:textId="77777777" w:rsidR="00DB6835" w:rsidRDefault="00DB6835" w:rsidP="00DB6835">
      <w:pPr>
        <w:pStyle w:val="AnnexNormal"/>
        <w:spacing w:after="440"/>
        <w:ind w:left="500"/>
      </w:pPr>
      <w:r>
        <w:t>Atvinnustarfsemin í þessum flokki gæti tengst nokkrum kóðum atvinnugreinaflokkunar Evrópusambandsins, einkum E36.00 og F42.99, í samræmi við atvinnugreinaflokkunina sem komið var á með reglugerð (EB) nr. 1893/2006.</w:t>
      </w:r>
    </w:p>
    <w:p w14:paraId="65D3093E" w14:textId="77777777" w:rsidR="00DB6835" w:rsidRDefault="00DB6835" w:rsidP="00DB6835">
      <w:pPr>
        <w:pStyle w:val="AnnexGrSeq3"/>
        <w:spacing w:after="4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088"/>
        <w:gridCol w:w="5652"/>
      </w:tblGrid>
      <w:tr w:rsidR="00DB6835" w14:paraId="35EE42C4"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6C167E0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719C43F" w14:textId="77777777" w:rsidTr="00A9140F">
        <w:trPr>
          <w:trHeight w:val="360"/>
        </w:trPr>
        <w:tc>
          <w:tcPr>
            <w:tcW w:w="8740" w:type="dxa"/>
            <w:gridSpan w:val="2"/>
            <w:tcBorders>
              <w:bottom w:val="nil"/>
            </w:tcBorders>
            <w:tcMar>
              <w:top w:w="100" w:type="dxa"/>
              <w:left w:w="0" w:type="dxa"/>
              <w:bottom w:w="100" w:type="dxa"/>
              <w:right w:w="60" w:type="dxa"/>
            </w:tcMar>
          </w:tcPr>
          <w:p w14:paraId="108419DF" w14:textId="77777777" w:rsidR="00DB6835" w:rsidRDefault="00DB6835" w:rsidP="00A9140F">
            <w:pPr>
              <w:pStyle w:val="AnnexTableCellLeft"/>
              <w:spacing w:after="400"/>
            </w:pPr>
            <w:r>
              <w:t xml:space="preserve">Endurnýjun á vatnsveitukerfinu leiðir til bættrar </w:t>
            </w:r>
            <w:proofErr w:type="spellStart"/>
            <w:r>
              <w:t>orkunýtni</w:t>
            </w:r>
            <w:proofErr w:type="spellEnd"/>
            <w:r>
              <w:t xml:space="preserve"> með einu af eftirfarandi:</w:t>
            </w:r>
          </w:p>
          <w:p w14:paraId="36E12A1F" w14:textId="77777777" w:rsidR="00DB6835" w:rsidRDefault="00DB6835" w:rsidP="00A9140F">
            <w:pPr>
              <w:pStyle w:val="AnnexNumberedText"/>
            </w:pPr>
            <w:r>
              <w:t>a)</w:t>
            </w:r>
            <w:r>
              <w:tab/>
              <w:t>með því að draga úr meðaltali nettóorkunotkunar kerfisins um a.m.k. 20% samanborið við eigin grunnframmistöðu, reiknað sem meðaltal þriggja ára, þ.m.t. taka og hreinsun, mælt í kWh á hvern rúmmetra af vatni fyrir vatnsveituna,</w:t>
            </w:r>
          </w:p>
        </w:tc>
      </w:tr>
      <w:tr w:rsidR="00DB6835" w14:paraId="0890BBB3" w14:textId="77777777" w:rsidTr="00A9140F">
        <w:trPr>
          <w:trHeight w:val="360"/>
        </w:trPr>
        <w:tc>
          <w:tcPr>
            <w:tcW w:w="8740" w:type="dxa"/>
            <w:gridSpan w:val="2"/>
            <w:tcBorders>
              <w:top w:val="nil"/>
            </w:tcBorders>
            <w:tcMar>
              <w:top w:w="100" w:type="dxa"/>
              <w:left w:w="0" w:type="dxa"/>
              <w:bottom w:w="100" w:type="dxa"/>
              <w:right w:w="60" w:type="dxa"/>
            </w:tcMar>
          </w:tcPr>
          <w:p w14:paraId="328A8EB0" w14:textId="77777777" w:rsidR="00DB6835" w:rsidRDefault="00DB6835" w:rsidP="00A9140F">
            <w:pPr>
              <w:pStyle w:val="AnnexNumberedText"/>
              <w:pageBreakBefore/>
              <w:rPr>
                <w:szCs w:val="18"/>
              </w:rPr>
            </w:pPr>
            <w:r>
              <w:lastRenderedPageBreak/>
              <w:t>b)</w:t>
            </w:r>
            <w:r>
              <w:tab/>
              <w:t>með því að brúa bilið um a.m.k. 20%, annaðhvort milli núverandi lekagildis, reiknað sem meðaltal þriggja ára, reiknað út með því að nota innviðalekastuðulinn sem matsaðferð og innviðalekastuðul sem nemur 1,5 (</w:t>
            </w:r>
            <w:r>
              <w:rPr>
                <w:rStyle w:val="Tilvsunneanmlsgrein"/>
                <w:sz w:val="18"/>
                <w:szCs w:val="18"/>
              </w:rPr>
              <w:footnoteReference w:id="222"/>
            </w:r>
            <w:r>
              <w:t>), eða milli núverandi lekagildis, reiknað sem meðaltal þriggja ára, reiknað út með því að nota aðra viðeigandi aðferð og viðmiðunargildið er fastsett í samræmi við 4. gr. tilskipunar (ESB) 2020/2184. Núverandi lekagildi, reiknað sem meðaltal þriggja ára, er reiknað út fyrir allt vatnsveitukerfið (dreifing) þar sem vinnan fer fram, þ.e. fyrir endurnýjaða vatnsveitukerfið (dreifing) á afmörkuðu mælisvæði eða -svæðum eða á svæði/svæðum þar sem þrýstingi er stjórnað.</w:t>
            </w:r>
          </w:p>
        </w:tc>
      </w:tr>
      <w:tr w:rsidR="00DB6835" w14:paraId="6FAFC06B" w14:textId="77777777" w:rsidTr="00A9140F">
        <w:trPr>
          <w:trHeight w:val="240"/>
        </w:trPr>
        <w:tc>
          <w:tcPr>
            <w:tcW w:w="8740" w:type="dxa"/>
            <w:gridSpan w:val="2"/>
            <w:tcMar>
              <w:top w:w="100" w:type="dxa"/>
              <w:left w:w="0" w:type="dxa"/>
              <w:bottom w:w="100" w:type="dxa"/>
              <w:right w:w="60" w:type="dxa"/>
            </w:tcMar>
          </w:tcPr>
          <w:p w14:paraId="337D79A0" w14:textId="77777777" w:rsidR="00DB6835" w:rsidRDefault="00DB6835" w:rsidP="00A9140F">
            <w:pPr>
              <w:pStyle w:val="AnnexTableCellLeft"/>
            </w:pPr>
            <w:r>
              <w:t>Ekki valda umtalsverðu tjóni</w:t>
            </w:r>
          </w:p>
        </w:tc>
      </w:tr>
      <w:tr w:rsidR="00DB6835" w14:paraId="19366950" w14:textId="77777777" w:rsidTr="00A9140F">
        <w:trPr>
          <w:trHeight w:val="360"/>
        </w:trPr>
        <w:tc>
          <w:tcPr>
            <w:tcW w:w="3088" w:type="dxa"/>
            <w:tcMar>
              <w:top w:w="100" w:type="dxa"/>
              <w:left w:w="0" w:type="dxa"/>
              <w:bottom w:w="100" w:type="dxa"/>
              <w:right w:w="60" w:type="dxa"/>
            </w:tcMar>
          </w:tcPr>
          <w:p w14:paraId="4475CC25" w14:textId="77777777" w:rsidR="00DB6835" w:rsidRDefault="00DB6835" w:rsidP="00A9140F">
            <w:pPr>
              <w:pStyle w:val="AnnexNumberedText"/>
            </w:pPr>
            <w:r>
              <w:t>2)</w:t>
            </w:r>
            <w:r>
              <w:tab/>
              <w:t>Aðlögun að loftslagsbreytingum</w:t>
            </w:r>
          </w:p>
        </w:tc>
        <w:tc>
          <w:tcPr>
            <w:tcW w:w="5652" w:type="dxa"/>
            <w:tcMar>
              <w:top w:w="100" w:type="dxa"/>
              <w:left w:w="40" w:type="dxa"/>
              <w:bottom w:w="100" w:type="dxa"/>
              <w:right w:w="0" w:type="dxa"/>
            </w:tcMar>
          </w:tcPr>
          <w:p w14:paraId="76258A45" w14:textId="77777777" w:rsidR="00DB6835" w:rsidRDefault="00DB6835" w:rsidP="00A9140F">
            <w:pPr>
              <w:pStyle w:val="AnnexTableCellLeft"/>
            </w:pPr>
            <w:r>
              <w:t>Starfsemin er í samræmi við viðmiðanirnar sem settar eru fram í viðbæti A við þennan viðauka.</w:t>
            </w:r>
          </w:p>
        </w:tc>
      </w:tr>
      <w:tr w:rsidR="00DB6835" w14:paraId="30E89A8B" w14:textId="77777777" w:rsidTr="00A9140F">
        <w:trPr>
          <w:trHeight w:val="360"/>
        </w:trPr>
        <w:tc>
          <w:tcPr>
            <w:tcW w:w="3088" w:type="dxa"/>
            <w:tcMar>
              <w:top w:w="100" w:type="dxa"/>
              <w:left w:w="0" w:type="dxa"/>
              <w:bottom w:w="100" w:type="dxa"/>
              <w:right w:w="60" w:type="dxa"/>
            </w:tcMar>
          </w:tcPr>
          <w:p w14:paraId="5772D96F" w14:textId="77777777" w:rsidR="00DB6835" w:rsidRDefault="00DB6835" w:rsidP="00A9140F">
            <w:pPr>
              <w:pStyle w:val="AnnexNumberedText"/>
            </w:pPr>
            <w:r>
              <w:t>3)</w:t>
            </w:r>
            <w:r>
              <w:tab/>
              <w:t>Sjálfbær notkun og verndun vatns- og sjávarauðlinda</w:t>
            </w:r>
          </w:p>
        </w:tc>
        <w:tc>
          <w:tcPr>
            <w:tcW w:w="5652" w:type="dxa"/>
            <w:tcMar>
              <w:top w:w="100" w:type="dxa"/>
              <w:left w:w="40" w:type="dxa"/>
              <w:bottom w:w="100" w:type="dxa"/>
              <w:right w:w="0" w:type="dxa"/>
            </w:tcMar>
          </w:tcPr>
          <w:p w14:paraId="6C0C5A14" w14:textId="77777777" w:rsidR="00DB6835" w:rsidRDefault="00DB6835" w:rsidP="00A9140F">
            <w:pPr>
              <w:pStyle w:val="AnnexTableCellLeft"/>
            </w:pPr>
            <w:r>
              <w:t>Starfsemin er í samræmi við viðmiðanirnar sem settar eru fram í viðbæti B við þennan viðauka.</w:t>
            </w:r>
          </w:p>
        </w:tc>
      </w:tr>
      <w:tr w:rsidR="00DB6835" w14:paraId="7854FEC9" w14:textId="77777777" w:rsidTr="00A9140F">
        <w:trPr>
          <w:trHeight w:val="360"/>
        </w:trPr>
        <w:tc>
          <w:tcPr>
            <w:tcW w:w="3088" w:type="dxa"/>
            <w:tcMar>
              <w:top w:w="100" w:type="dxa"/>
              <w:left w:w="0" w:type="dxa"/>
              <w:bottom w:w="100" w:type="dxa"/>
              <w:right w:w="60" w:type="dxa"/>
            </w:tcMar>
          </w:tcPr>
          <w:p w14:paraId="667D81EA" w14:textId="77777777" w:rsidR="00DB6835" w:rsidRDefault="00DB6835" w:rsidP="00A9140F">
            <w:pPr>
              <w:pStyle w:val="AnnexNumberedText"/>
            </w:pPr>
            <w:r>
              <w:t>4)</w:t>
            </w:r>
            <w:r>
              <w:tab/>
              <w:t>Umskipti yfir í hringrásarhagkerfi</w:t>
            </w:r>
          </w:p>
        </w:tc>
        <w:tc>
          <w:tcPr>
            <w:tcW w:w="5652" w:type="dxa"/>
            <w:tcMar>
              <w:top w:w="100" w:type="dxa"/>
              <w:left w:w="40" w:type="dxa"/>
              <w:bottom w:w="100" w:type="dxa"/>
              <w:right w:w="0" w:type="dxa"/>
            </w:tcMar>
          </w:tcPr>
          <w:p w14:paraId="77EDC96B" w14:textId="77777777" w:rsidR="00DB6835" w:rsidRDefault="00DB6835" w:rsidP="00A9140F">
            <w:pPr>
              <w:pStyle w:val="AnnexTableCellLeft"/>
            </w:pPr>
            <w:r>
              <w:t>Á ekki við</w:t>
            </w:r>
          </w:p>
        </w:tc>
      </w:tr>
      <w:tr w:rsidR="00DB6835" w14:paraId="6DF7BA71" w14:textId="77777777" w:rsidTr="00A9140F">
        <w:trPr>
          <w:trHeight w:val="360"/>
        </w:trPr>
        <w:tc>
          <w:tcPr>
            <w:tcW w:w="3088" w:type="dxa"/>
            <w:tcMar>
              <w:top w:w="100" w:type="dxa"/>
              <w:left w:w="0" w:type="dxa"/>
              <w:bottom w:w="100" w:type="dxa"/>
              <w:right w:w="60" w:type="dxa"/>
            </w:tcMar>
          </w:tcPr>
          <w:p w14:paraId="6FBF5B07" w14:textId="77777777" w:rsidR="00DB6835" w:rsidRDefault="00DB6835" w:rsidP="00A9140F">
            <w:pPr>
              <w:pStyle w:val="AnnexNumberedText"/>
            </w:pPr>
            <w:r>
              <w:t>5)</w:t>
            </w:r>
            <w:r>
              <w:tab/>
              <w:t>Mengunarvarnir og eftirlit með mengun</w:t>
            </w:r>
          </w:p>
        </w:tc>
        <w:tc>
          <w:tcPr>
            <w:tcW w:w="5652" w:type="dxa"/>
            <w:tcMar>
              <w:top w:w="100" w:type="dxa"/>
              <w:left w:w="40" w:type="dxa"/>
              <w:bottom w:w="100" w:type="dxa"/>
              <w:right w:w="0" w:type="dxa"/>
            </w:tcMar>
          </w:tcPr>
          <w:p w14:paraId="1B141F0B" w14:textId="77777777" w:rsidR="00DB6835" w:rsidRDefault="00DB6835" w:rsidP="00A9140F">
            <w:pPr>
              <w:pStyle w:val="AnnexTableCellLeft"/>
            </w:pPr>
            <w:r>
              <w:t>Á ekki við</w:t>
            </w:r>
          </w:p>
        </w:tc>
      </w:tr>
      <w:tr w:rsidR="00DB6835" w14:paraId="393FE2D0" w14:textId="77777777" w:rsidTr="00A9140F">
        <w:trPr>
          <w:trHeight w:val="360"/>
        </w:trPr>
        <w:tc>
          <w:tcPr>
            <w:tcW w:w="3088" w:type="dxa"/>
            <w:tcMar>
              <w:top w:w="100" w:type="dxa"/>
              <w:left w:w="0" w:type="dxa"/>
              <w:bottom w:w="100" w:type="dxa"/>
              <w:right w:w="60" w:type="dxa"/>
            </w:tcMar>
          </w:tcPr>
          <w:p w14:paraId="53B86BE6" w14:textId="77777777" w:rsidR="00DB6835" w:rsidRDefault="00DB6835" w:rsidP="00A9140F">
            <w:pPr>
              <w:pStyle w:val="AnnexNumberedText"/>
            </w:pPr>
            <w:r>
              <w:t>6)</w:t>
            </w:r>
            <w:r>
              <w:tab/>
              <w:t>Vernd og endurheimt líffræðilegrar fjölbreytni og vistkerfa</w:t>
            </w:r>
          </w:p>
        </w:tc>
        <w:tc>
          <w:tcPr>
            <w:tcW w:w="5652" w:type="dxa"/>
            <w:tcMar>
              <w:top w:w="100" w:type="dxa"/>
              <w:left w:w="40" w:type="dxa"/>
              <w:bottom w:w="100" w:type="dxa"/>
              <w:right w:w="0" w:type="dxa"/>
            </w:tcMar>
          </w:tcPr>
          <w:p w14:paraId="6510314A" w14:textId="77777777" w:rsidR="00DB6835" w:rsidRDefault="00DB6835" w:rsidP="00A9140F">
            <w:pPr>
              <w:pStyle w:val="AnnexTableCellLeft"/>
            </w:pPr>
            <w:r>
              <w:t>Starfsemin er í samræmi við viðmiðanirnar sem settar eru fram í viðbæti D við þennan viðauka.</w:t>
            </w:r>
          </w:p>
        </w:tc>
      </w:tr>
    </w:tbl>
    <w:p w14:paraId="62ED13DC" w14:textId="77777777" w:rsidR="00DB6835" w:rsidRDefault="00DB6835" w:rsidP="00DB6835">
      <w:pPr>
        <w:pStyle w:val="AnnexNumberedText"/>
        <w:spacing w:before="200" w:after="300"/>
        <w:ind w:left="500" w:hanging="500"/>
      </w:pPr>
      <w:r>
        <w:t>5.3.</w:t>
      </w:r>
      <w:r>
        <w:rPr>
          <w:b/>
        </w:rPr>
        <w:tab/>
        <w:t xml:space="preserve">Uppbygging, stækkun og </w:t>
      </w:r>
      <w:proofErr w:type="spellStart"/>
      <w:r>
        <w:rPr>
          <w:b/>
        </w:rPr>
        <w:t>starfræksla</w:t>
      </w:r>
      <w:proofErr w:type="spellEnd"/>
      <w:r>
        <w:rPr>
          <w:b/>
        </w:rPr>
        <w:t xml:space="preserve"> </w:t>
      </w:r>
      <w:proofErr w:type="spellStart"/>
      <w:r>
        <w:rPr>
          <w:b/>
        </w:rPr>
        <w:t>skólpsöfnunar</w:t>
      </w:r>
      <w:proofErr w:type="spellEnd"/>
      <w:r>
        <w:rPr>
          <w:b/>
        </w:rPr>
        <w:t xml:space="preserve"> og -hreinsunarkerfa</w:t>
      </w:r>
    </w:p>
    <w:p w14:paraId="3C1FD802" w14:textId="77777777" w:rsidR="00DB6835" w:rsidRDefault="00DB6835" w:rsidP="00DB6835">
      <w:pPr>
        <w:pStyle w:val="AnnexGrSeq3"/>
        <w:spacing w:after="300"/>
        <w:ind w:left="500"/>
        <w:jc w:val="both"/>
      </w:pPr>
      <w:r>
        <w:rPr>
          <w:i/>
        </w:rPr>
        <w:t>Lýsing á starfseminni</w:t>
      </w:r>
    </w:p>
    <w:p w14:paraId="2CAE8C96" w14:textId="77777777" w:rsidR="00DB6835" w:rsidRDefault="00DB6835" w:rsidP="00DB6835">
      <w:pPr>
        <w:pStyle w:val="AnnexNormal"/>
        <w:spacing w:after="300"/>
        <w:ind w:left="500"/>
      </w:pPr>
      <w:r>
        <w:t xml:space="preserve">Uppbygging, stækkun og </w:t>
      </w:r>
      <w:proofErr w:type="spellStart"/>
      <w:r>
        <w:t>starfræksla</w:t>
      </w:r>
      <w:proofErr w:type="spellEnd"/>
      <w:r>
        <w:t xml:space="preserve"> á miðlægum </w:t>
      </w:r>
      <w:proofErr w:type="spellStart"/>
      <w:r>
        <w:t>skólpkerfum</w:t>
      </w:r>
      <w:proofErr w:type="spellEnd"/>
      <w:r>
        <w:t>, þ.m.t. söfnun (fráveitukerfi) og hreinsun.</w:t>
      </w:r>
    </w:p>
    <w:p w14:paraId="3F541163" w14:textId="77777777" w:rsidR="00DB6835" w:rsidRDefault="00DB6835" w:rsidP="00DB6835">
      <w:pPr>
        <w:pStyle w:val="AnnexNormal"/>
        <w:spacing w:after="300"/>
        <w:ind w:left="500"/>
      </w:pPr>
      <w:r>
        <w:t>Atvinnustarfsemin í þessum flokki gæti tengst nokkrum kóðum atvinnugreinaflokkunar Evrópusambandsins, einkum E37.00 og F42.99, í samræmi við atvinnugreinaflokkunina sem komið var á með reglugerð (EB) nr. 1893/2006.</w:t>
      </w:r>
    </w:p>
    <w:p w14:paraId="172BD3F7" w14:textId="77777777" w:rsidR="00DB6835" w:rsidRDefault="00DB6835" w:rsidP="00DB6835">
      <w:pPr>
        <w:pStyle w:val="AnnexGrSeq3"/>
        <w:spacing w:after="3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20"/>
        <w:gridCol w:w="5820"/>
      </w:tblGrid>
      <w:tr w:rsidR="00DB6835" w14:paraId="58863184"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076F6BC6"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DBA85D5" w14:textId="77777777" w:rsidTr="00A9140F">
        <w:trPr>
          <w:trHeight w:val="240"/>
        </w:trPr>
        <w:tc>
          <w:tcPr>
            <w:tcW w:w="8740" w:type="dxa"/>
            <w:gridSpan w:val="2"/>
            <w:tcBorders>
              <w:bottom w:val="nil"/>
            </w:tcBorders>
            <w:tcMar>
              <w:top w:w="100" w:type="dxa"/>
              <w:left w:w="0" w:type="dxa"/>
              <w:bottom w:w="100" w:type="dxa"/>
              <w:right w:w="60" w:type="dxa"/>
            </w:tcMar>
          </w:tcPr>
          <w:p w14:paraId="2F2683B3" w14:textId="77777777" w:rsidR="00DB6835" w:rsidRDefault="00DB6835" w:rsidP="00A9140F">
            <w:pPr>
              <w:pStyle w:val="AnnexNumberedText"/>
              <w:tabs>
                <w:tab w:val="left" w:pos="508"/>
              </w:tabs>
              <w:spacing w:after="340"/>
              <w:ind w:left="0" w:firstLine="0"/>
            </w:pPr>
            <w:r>
              <w:t>1.</w:t>
            </w:r>
            <w:r>
              <w:tab/>
              <w:t xml:space="preserve">Nettóorkunotkun </w:t>
            </w:r>
            <w:proofErr w:type="spellStart"/>
            <w:r>
              <w:t>skólphreinsistöðvarinnar</w:t>
            </w:r>
            <w:proofErr w:type="spellEnd"/>
            <w:r>
              <w:t xml:space="preserve"> er jöfn eða minni en:</w:t>
            </w:r>
          </w:p>
          <w:p w14:paraId="73972F55" w14:textId="77777777" w:rsidR="00DB6835" w:rsidRDefault="00DB6835" w:rsidP="00A9140F">
            <w:pPr>
              <w:pStyle w:val="AnnexNumberedText"/>
              <w:spacing w:after="340"/>
            </w:pPr>
            <w:r>
              <w:t>a)</w:t>
            </w:r>
            <w:r>
              <w:tab/>
              <w:t>35 kWh á hverja persónueiningu á ári fyrir hreinsistöð með afkastagetu undir 10 000 persónueiningum,</w:t>
            </w:r>
          </w:p>
          <w:p w14:paraId="09FFD0C2" w14:textId="77777777" w:rsidR="00DB6835" w:rsidRDefault="00DB6835" w:rsidP="00A9140F">
            <w:pPr>
              <w:pStyle w:val="AnnexNumberedText"/>
              <w:spacing w:after="340"/>
            </w:pPr>
            <w:r>
              <w:t>b)</w:t>
            </w:r>
            <w:r>
              <w:tab/>
              <w:t>25 kWh á hverja persónueiningu á ári fyrir hreinsistöð með afkastagetu á bilinu 10 000 til 100 000 persónueiningar,</w:t>
            </w:r>
          </w:p>
          <w:p w14:paraId="35F86623" w14:textId="77777777" w:rsidR="00DB6835" w:rsidRDefault="00DB6835" w:rsidP="00A9140F">
            <w:pPr>
              <w:pStyle w:val="AnnexNumberedText"/>
              <w:spacing w:after="340"/>
            </w:pPr>
            <w:r>
              <w:t>c)</w:t>
            </w:r>
            <w:r>
              <w:tab/>
              <w:t>20 kWh á hverja persónueiningu á ári fyrir hreinsistöð með afkastagetu yfir 100 000 persónueiningar,</w:t>
            </w:r>
          </w:p>
          <w:p w14:paraId="15732762" w14:textId="77777777" w:rsidR="00DB6835" w:rsidRDefault="00DB6835" w:rsidP="00A9140F">
            <w:pPr>
              <w:pStyle w:val="AnnexTableCellLeft"/>
            </w:pPr>
            <w:r>
              <w:t xml:space="preserve">Að því er varðar nettóorkunotkun </w:t>
            </w:r>
            <w:proofErr w:type="spellStart"/>
            <w:r>
              <w:t>skólphreinsistöðvarinnar</w:t>
            </w:r>
            <w:proofErr w:type="spellEnd"/>
            <w:r>
              <w:t xml:space="preserve"> er hægt að taka tillit til ráðstafana til að draga úr orkunotkun sem varða uppsprettustjórnun (dregið úr íkomu regnvatns eða mengunarefnaálags) og, eins og við á, orkuframleiðslu innan kerfisins (s.s. vatnsorku, sólarorku, varmaorku og vindorku).</w:t>
            </w:r>
          </w:p>
        </w:tc>
      </w:tr>
      <w:tr w:rsidR="00DB6835" w14:paraId="4ADD5E9B" w14:textId="77777777" w:rsidTr="00A9140F">
        <w:trPr>
          <w:trHeight w:val="360"/>
        </w:trPr>
        <w:tc>
          <w:tcPr>
            <w:tcW w:w="8740" w:type="dxa"/>
            <w:gridSpan w:val="2"/>
            <w:tcBorders>
              <w:top w:val="nil"/>
            </w:tcBorders>
            <w:tcMar>
              <w:top w:w="100" w:type="dxa"/>
              <w:left w:w="0" w:type="dxa"/>
              <w:bottom w:w="100" w:type="dxa"/>
              <w:right w:w="60" w:type="dxa"/>
            </w:tcMar>
          </w:tcPr>
          <w:p w14:paraId="77AD3529" w14:textId="77777777" w:rsidR="00DB6835" w:rsidRDefault="00DB6835" w:rsidP="00A9140F">
            <w:pPr>
              <w:pStyle w:val="AnnexNumberedText"/>
              <w:pageBreakBefore/>
              <w:spacing w:after="500"/>
              <w:ind w:left="279" w:hanging="279"/>
            </w:pPr>
            <w:r>
              <w:lastRenderedPageBreak/>
              <w:t>2.</w:t>
            </w:r>
            <w:r>
              <w:tab/>
              <w:t xml:space="preserve">Að því er varðar byggingu og stækkun </w:t>
            </w:r>
            <w:proofErr w:type="spellStart"/>
            <w:r>
              <w:t>skólphreinsistöðvar</w:t>
            </w:r>
            <w:proofErr w:type="spellEnd"/>
            <w:r>
              <w:t xml:space="preserve"> eða </w:t>
            </w:r>
            <w:proofErr w:type="spellStart"/>
            <w:r>
              <w:t>skólphreinsistöðvar</w:t>
            </w:r>
            <w:proofErr w:type="spellEnd"/>
            <w:r>
              <w:t xml:space="preserve"> með söfnunarkerfi, sem koma í stað hreinsikerfa sem valda meiri losun gróðurhúsalofttegunda (s.s. rotþrær, </w:t>
            </w:r>
            <w:proofErr w:type="spellStart"/>
            <w:r>
              <w:t>loftfirrð</w:t>
            </w:r>
            <w:proofErr w:type="spellEnd"/>
            <w:r>
              <w:t xml:space="preserve"> lón), er framkvæmt mat á beinni losun gróðurhúsalofttegunda (</w:t>
            </w:r>
            <w:r>
              <w:rPr>
                <w:rStyle w:val="Tilvsunneanmlsgrein"/>
                <w:sz w:val="18"/>
                <w:szCs w:val="18"/>
              </w:rPr>
              <w:footnoteReference w:id="223"/>
            </w:r>
            <w:r>
              <w:t>). Niðurstöðurnar eru birtar fjárfestum og viðskiptavinum hvenær sem krafist er.</w:t>
            </w:r>
          </w:p>
        </w:tc>
      </w:tr>
      <w:tr w:rsidR="00DB6835" w14:paraId="2832AE4F" w14:textId="77777777" w:rsidTr="00A9140F">
        <w:trPr>
          <w:trHeight w:val="240"/>
        </w:trPr>
        <w:tc>
          <w:tcPr>
            <w:tcW w:w="8740" w:type="dxa"/>
            <w:gridSpan w:val="2"/>
            <w:tcMar>
              <w:top w:w="100" w:type="dxa"/>
              <w:left w:w="0" w:type="dxa"/>
              <w:bottom w:w="100" w:type="dxa"/>
              <w:right w:w="60" w:type="dxa"/>
            </w:tcMar>
          </w:tcPr>
          <w:p w14:paraId="29832BC3" w14:textId="77777777" w:rsidR="00DB6835" w:rsidRDefault="00DB6835" w:rsidP="00A9140F">
            <w:pPr>
              <w:pStyle w:val="AnnexTableCellLeft"/>
            </w:pPr>
            <w:r>
              <w:t>Ekki valda umtalsverðu tjóni</w:t>
            </w:r>
          </w:p>
        </w:tc>
      </w:tr>
      <w:tr w:rsidR="00DB6835" w14:paraId="3FFA8AE0" w14:textId="77777777" w:rsidTr="00A9140F">
        <w:trPr>
          <w:trHeight w:val="360"/>
        </w:trPr>
        <w:tc>
          <w:tcPr>
            <w:tcW w:w="2920" w:type="dxa"/>
            <w:tcMar>
              <w:top w:w="100" w:type="dxa"/>
              <w:left w:w="0" w:type="dxa"/>
              <w:bottom w:w="100" w:type="dxa"/>
              <w:right w:w="60" w:type="dxa"/>
            </w:tcMar>
          </w:tcPr>
          <w:p w14:paraId="3B55D7B4" w14:textId="77777777" w:rsidR="00DB6835" w:rsidRDefault="00DB6835" w:rsidP="00A9140F">
            <w:pPr>
              <w:pStyle w:val="AnnexNumberedText"/>
              <w:ind w:left="293" w:hanging="293"/>
            </w:pPr>
            <w:r>
              <w:t>2)</w:t>
            </w:r>
            <w:r>
              <w:tab/>
              <w:t>Aðlögun að loftslagsbreytingum</w:t>
            </w:r>
          </w:p>
        </w:tc>
        <w:tc>
          <w:tcPr>
            <w:tcW w:w="5820" w:type="dxa"/>
            <w:tcMar>
              <w:top w:w="100" w:type="dxa"/>
              <w:left w:w="40" w:type="dxa"/>
              <w:bottom w:w="100" w:type="dxa"/>
              <w:right w:w="0" w:type="dxa"/>
            </w:tcMar>
          </w:tcPr>
          <w:p w14:paraId="6740E769" w14:textId="77777777" w:rsidR="00DB6835" w:rsidRDefault="00DB6835" w:rsidP="00A9140F">
            <w:pPr>
              <w:pStyle w:val="AnnexTableCellLeft"/>
            </w:pPr>
            <w:r>
              <w:t>Starfsemin er í samræmi við viðmiðanirnar sem settar eru fram í viðbæti A við þennan viðauka.</w:t>
            </w:r>
          </w:p>
        </w:tc>
      </w:tr>
      <w:tr w:rsidR="00DB6835" w14:paraId="1DE3FB4A" w14:textId="77777777" w:rsidTr="00A9140F">
        <w:trPr>
          <w:trHeight w:val="360"/>
        </w:trPr>
        <w:tc>
          <w:tcPr>
            <w:tcW w:w="2920" w:type="dxa"/>
            <w:tcMar>
              <w:top w:w="100" w:type="dxa"/>
              <w:left w:w="0" w:type="dxa"/>
              <w:bottom w:w="100" w:type="dxa"/>
              <w:right w:w="60" w:type="dxa"/>
            </w:tcMar>
          </w:tcPr>
          <w:p w14:paraId="09AE8427" w14:textId="77777777" w:rsidR="00DB6835" w:rsidRDefault="00DB6835" w:rsidP="00A9140F">
            <w:pPr>
              <w:pStyle w:val="AnnexNumberedText"/>
              <w:ind w:left="293" w:hanging="293"/>
            </w:pPr>
            <w:r>
              <w:t>3)</w:t>
            </w:r>
            <w:r>
              <w:tab/>
              <w:t>Sjálfbær notkun og verndun vatns- og sjávarauðlinda</w:t>
            </w:r>
          </w:p>
        </w:tc>
        <w:tc>
          <w:tcPr>
            <w:tcW w:w="5820" w:type="dxa"/>
            <w:tcMar>
              <w:top w:w="100" w:type="dxa"/>
              <w:left w:w="40" w:type="dxa"/>
              <w:bottom w:w="100" w:type="dxa"/>
              <w:right w:w="0" w:type="dxa"/>
            </w:tcMar>
          </w:tcPr>
          <w:p w14:paraId="0710784E" w14:textId="77777777" w:rsidR="00DB6835" w:rsidRDefault="00DB6835" w:rsidP="00A9140F">
            <w:pPr>
              <w:pStyle w:val="AnnexTableCellLeft"/>
              <w:rPr>
                <w:szCs w:val="18"/>
              </w:rPr>
            </w:pPr>
            <w:r>
              <w:t xml:space="preserve">Starfsemin er í samræmi við viðmiðanirnar sem settar eru fram í viðbæti B við þennan viðauka. Ef </w:t>
            </w:r>
            <w:proofErr w:type="spellStart"/>
            <w:r>
              <w:t>skólp</w:t>
            </w:r>
            <w:proofErr w:type="spellEnd"/>
            <w:r>
              <w:t xml:space="preserve"> er meðhöndlað að því marki að það sé hentugt til endurnotkunar til áveitu í landbúnaði hafa tilskildar aðgerðir til áhættustjórnunar til að komast hjá óhagstæðum umhverfisáhrifum verið skilgreindar og þeim komið til framkvæmda (</w:t>
            </w:r>
            <w:r>
              <w:rPr>
                <w:rStyle w:val="Tilvsunneanmlsgrein"/>
                <w:sz w:val="18"/>
                <w:szCs w:val="18"/>
              </w:rPr>
              <w:footnoteReference w:id="224"/>
            </w:r>
            <w:r>
              <w:t>).</w:t>
            </w:r>
          </w:p>
        </w:tc>
      </w:tr>
      <w:tr w:rsidR="00DB6835" w14:paraId="3DB5753E" w14:textId="77777777" w:rsidTr="00A9140F">
        <w:trPr>
          <w:trHeight w:val="360"/>
        </w:trPr>
        <w:tc>
          <w:tcPr>
            <w:tcW w:w="2920" w:type="dxa"/>
            <w:tcMar>
              <w:top w:w="100" w:type="dxa"/>
              <w:left w:w="0" w:type="dxa"/>
              <w:bottom w:w="100" w:type="dxa"/>
              <w:right w:w="60" w:type="dxa"/>
            </w:tcMar>
          </w:tcPr>
          <w:p w14:paraId="4E2C0D24" w14:textId="77777777" w:rsidR="00DB6835" w:rsidRDefault="00DB6835" w:rsidP="00A9140F">
            <w:pPr>
              <w:pStyle w:val="AnnexNumberedText"/>
              <w:ind w:left="293" w:hanging="293"/>
            </w:pPr>
            <w:r>
              <w:t>4)</w:t>
            </w:r>
            <w:r>
              <w:tab/>
              <w:t>Umskipti yfir í hringrásarhagkerfi</w:t>
            </w:r>
          </w:p>
        </w:tc>
        <w:tc>
          <w:tcPr>
            <w:tcW w:w="5820" w:type="dxa"/>
            <w:tcMar>
              <w:top w:w="100" w:type="dxa"/>
              <w:left w:w="40" w:type="dxa"/>
              <w:bottom w:w="100" w:type="dxa"/>
              <w:right w:w="0" w:type="dxa"/>
            </w:tcMar>
          </w:tcPr>
          <w:p w14:paraId="0B00EDF5" w14:textId="77777777" w:rsidR="00DB6835" w:rsidRDefault="00DB6835" w:rsidP="00A9140F">
            <w:pPr>
              <w:pStyle w:val="AnnexTableCellLeft"/>
              <w:rPr>
                <w:szCs w:val="18"/>
              </w:rPr>
            </w:pPr>
            <w:r>
              <w:t>Á ekki við</w:t>
            </w:r>
          </w:p>
        </w:tc>
      </w:tr>
      <w:tr w:rsidR="00DB6835" w14:paraId="15F2A36B" w14:textId="77777777" w:rsidTr="00A9140F">
        <w:trPr>
          <w:trHeight w:val="360"/>
        </w:trPr>
        <w:tc>
          <w:tcPr>
            <w:tcW w:w="2920" w:type="dxa"/>
            <w:tcMar>
              <w:top w:w="100" w:type="dxa"/>
              <w:left w:w="0" w:type="dxa"/>
              <w:bottom w:w="100" w:type="dxa"/>
              <w:right w:w="60" w:type="dxa"/>
            </w:tcMar>
          </w:tcPr>
          <w:p w14:paraId="755FAFED" w14:textId="77777777" w:rsidR="00DB6835" w:rsidRDefault="00DB6835" w:rsidP="00A9140F">
            <w:pPr>
              <w:pStyle w:val="AnnexNumberedText"/>
              <w:ind w:left="293" w:hanging="293"/>
            </w:pPr>
            <w:r>
              <w:t>5)</w:t>
            </w:r>
            <w:r>
              <w:tab/>
              <w:t>Mengunarvarnir og eftirlit með mengun</w:t>
            </w:r>
          </w:p>
        </w:tc>
        <w:tc>
          <w:tcPr>
            <w:tcW w:w="5820" w:type="dxa"/>
            <w:tcMar>
              <w:top w:w="100" w:type="dxa"/>
              <w:left w:w="40" w:type="dxa"/>
              <w:bottom w:w="100" w:type="dxa"/>
              <w:right w:w="0" w:type="dxa"/>
            </w:tcMar>
          </w:tcPr>
          <w:p w14:paraId="72ED0038" w14:textId="77777777" w:rsidR="00DB6835" w:rsidRDefault="00DB6835" w:rsidP="00A9140F">
            <w:pPr>
              <w:pStyle w:val="AnnexTableCellLeft"/>
              <w:spacing w:after="400"/>
              <w:rPr>
                <w:szCs w:val="18"/>
              </w:rPr>
            </w:pPr>
            <w:r>
              <w:t>Losun í viðtökuvatn uppfyllir kröfurnar sem mælt er fyrir um í tilskipun ráðsins 91/271/EBE (</w:t>
            </w:r>
            <w:r>
              <w:rPr>
                <w:rStyle w:val="Tilvsunneanmlsgrein"/>
                <w:sz w:val="18"/>
                <w:szCs w:val="18"/>
              </w:rPr>
              <w:footnoteReference w:id="225"/>
            </w:r>
            <w:r>
              <w:t>) eða eins og krafist er í ákvæðum landslaga þar sem fram kemur tiltekið leyfilegt hámarksinnihald mengunarefna frá losun í viðtökuvatn.</w:t>
            </w:r>
          </w:p>
          <w:p w14:paraId="092E5E8E" w14:textId="77777777" w:rsidR="00DB6835" w:rsidRDefault="00DB6835" w:rsidP="00A9140F">
            <w:pPr>
              <w:pStyle w:val="AnnexTableCellLeft"/>
              <w:spacing w:after="400"/>
              <w:rPr>
                <w:szCs w:val="18"/>
              </w:rPr>
            </w:pPr>
            <w:r>
              <w:t xml:space="preserve">Viðeigandi ráðstafanir hafa verið gerðar til að komast hjá og draga úr óhóflegu yfirfalli úrkomuvatns frá </w:t>
            </w:r>
            <w:proofErr w:type="spellStart"/>
            <w:r>
              <w:t>skólpsöfnunarkerfinu</w:t>
            </w:r>
            <w:proofErr w:type="spellEnd"/>
            <w:r>
              <w:t xml:space="preserve"> sem geta falið í sér náttúrumiðaðar lausnir, aðskilin yfirfallssöfnunarkerfi, vatnssöfnunartanka (e. </w:t>
            </w:r>
            <w:proofErr w:type="spellStart"/>
            <w:r>
              <w:rPr>
                <w:i/>
                <w:iCs/>
              </w:rPr>
              <w:t>retention</w:t>
            </w:r>
            <w:proofErr w:type="spellEnd"/>
            <w:r>
              <w:rPr>
                <w:i/>
                <w:iCs/>
              </w:rPr>
              <w:t xml:space="preserve"> tank</w:t>
            </w:r>
            <w:r>
              <w:t xml:space="preserve">) og meðhöndlun á fyrsta </w:t>
            </w:r>
            <w:proofErr w:type="spellStart"/>
            <w:r>
              <w:t>skolvatni</w:t>
            </w:r>
            <w:proofErr w:type="spellEnd"/>
            <w:r>
              <w:t>.</w:t>
            </w:r>
          </w:p>
          <w:p w14:paraId="52EE2AF4" w14:textId="77777777" w:rsidR="00DB6835" w:rsidRDefault="00DB6835" w:rsidP="00A9140F">
            <w:pPr>
              <w:pStyle w:val="AnnexTableCellLeft"/>
              <w:spacing w:after="400"/>
              <w:rPr>
                <w:szCs w:val="18"/>
              </w:rPr>
            </w:pPr>
            <w:proofErr w:type="spellStart"/>
            <w:r>
              <w:t>Skólpseyra</w:t>
            </w:r>
            <w:proofErr w:type="spellEnd"/>
            <w:r>
              <w:t xml:space="preserve"> er notuð í samræmi við tilskipun ráðsins 86/278/EBE (</w:t>
            </w:r>
            <w:r>
              <w:rPr>
                <w:rStyle w:val="Tilvsunneanmlsgrein"/>
                <w:sz w:val="18"/>
                <w:szCs w:val="18"/>
              </w:rPr>
              <w:footnoteReference w:id="226"/>
            </w:r>
            <w:r>
              <w:t xml:space="preserve">) eða eins og krafist er samkvæmt landslögum að því er varðar dreifingu </w:t>
            </w:r>
            <w:proofErr w:type="spellStart"/>
            <w:r>
              <w:t>seyru</w:t>
            </w:r>
            <w:proofErr w:type="spellEnd"/>
            <w:r>
              <w:t xml:space="preserve"> á jarðveg eða sérhverja aðra notkun </w:t>
            </w:r>
            <w:proofErr w:type="spellStart"/>
            <w:r>
              <w:t>seyru</w:t>
            </w:r>
            <w:proofErr w:type="spellEnd"/>
            <w:r>
              <w:t xml:space="preserve"> á og í jarðveginn.</w:t>
            </w:r>
          </w:p>
        </w:tc>
      </w:tr>
      <w:tr w:rsidR="00DB6835" w14:paraId="38F9C978" w14:textId="77777777" w:rsidTr="00A9140F">
        <w:trPr>
          <w:trHeight w:val="360"/>
        </w:trPr>
        <w:tc>
          <w:tcPr>
            <w:tcW w:w="2920" w:type="dxa"/>
            <w:tcMar>
              <w:top w:w="100" w:type="dxa"/>
              <w:left w:w="0" w:type="dxa"/>
              <w:bottom w:w="100" w:type="dxa"/>
              <w:right w:w="60" w:type="dxa"/>
            </w:tcMar>
          </w:tcPr>
          <w:p w14:paraId="1873EC02" w14:textId="77777777" w:rsidR="00DB6835" w:rsidRDefault="00DB6835" w:rsidP="00A9140F">
            <w:pPr>
              <w:pStyle w:val="AnnexNumberedText"/>
              <w:ind w:left="293" w:hanging="293"/>
            </w:pPr>
            <w:r>
              <w:t>6)</w:t>
            </w:r>
            <w:r>
              <w:tab/>
              <w:t>Vernd og endurheimt líffræðilegrar fjölbreytni og vistkerfa</w:t>
            </w:r>
          </w:p>
        </w:tc>
        <w:tc>
          <w:tcPr>
            <w:tcW w:w="5820" w:type="dxa"/>
            <w:tcMar>
              <w:top w:w="100" w:type="dxa"/>
              <w:left w:w="40" w:type="dxa"/>
              <w:bottom w:w="100" w:type="dxa"/>
              <w:right w:w="0" w:type="dxa"/>
            </w:tcMar>
          </w:tcPr>
          <w:p w14:paraId="3231BBAE" w14:textId="77777777" w:rsidR="00DB6835" w:rsidRDefault="00DB6835" w:rsidP="00A9140F">
            <w:pPr>
              <w:pStyle w:val="AnnexTableCellLeft"/>
            </w:pPr>
            <w:r>
              <w:t>Starfsemin er í samræmi við viðmiðanirnar sem settar eru fram í viðbæti D við þennan viðauka.</w:t>
            </w:r>
          </w:p>
        </w:tc>
      </w:tr>
    </w:tbl>
    <w:p w14:paraId="61B2D077" w14:textId="77777777" w:rsidR="00DB6835" w:rsidRDefault="00DB6835" w:rsidP="00DB6835">
      <w:pPr>
        <w:pStyle w:val="AnnexNumberedText"/>
        <w:spacing w:before="200" w:after="500"/>
        <w:ind w:left="500" w:hanging="500"/>
      </w:pPr>
      <w:r>
        <w:t>5.4.</w:t>
      </w:r>
      <w:r>
        <w:rPr>
          <w:b/>
        </w:rPr>
        <w:tab/>
        <w:t xml:space="preserve">Endurnýjun </w:t>
      </w:r>
      <w:proofErr w:type="spellStart"/>
      <w:r>
        <w:rPr>
          <w:b/>
        </w:rPr>
        <w:t>skólpsöfnunar</w:t>
      </w:r>
      <w:proofErr w:type="spellEnd"/>
      <w:r>
        <w:rPr>
          <w:b/>
        </w:rPr>
        <w:t xml:space="preserve"> og -hreinsunarkerfa</w:t>
      </w:r>
    </w:p>
    <w:p w14:paraId="23F45733" w14:textId="77777777" w:rsidR="00DB6835" w:rsidRDefault="00DB6835" w:rsidP="00DB6835">
      <w:pPr>
        <w:pStyle w:val="AnnexGrSeq3"/>
        <w:spacing w:after="500"/>
        <w:ind w:left="500"/>
        <w:jc w:val="both"/>
      </w:pPr>
      <w:r>
        <w:rPr>
          <w:i/>
        </w:rPr>
        <w:t>Lýsing á starfseminni</w:t>
      </w:r>
    </w:p>
    <w:p w14:paraId="6FC1FD91" w14:textId="77777777" w:rsidR="00DB6835" w:rsidRDefault="00DB6835" w:rsidP="00DB6835">
      <w:pPr>
        <w:pStyle w:val="AnnexNormal"/>
        <w:spacing w:after="500"/>
        <w:ind w:left="500"/>
      </w:pPr>
      <w:r>
        <w:t xml:space="preserve">Endurnýjun á miðlægum </w:t>
      </w:r>
      <w:proofErr w:type="spellStart"/>
      <w:r>
        <w:t>skólpkerfum</w:t>
      </w:r>
      <w:proofErr w:type="spellEnd"/>
      <w:r>
        <w:t xml:space="preserve">, þ.m.t. söfnun (fráveitukerfi) og hreinsun. Hún felur ekki í sér neinar verulegar breytingar er varða álag eða rennslismagn vatnsins sem er safnað eða hreinsað í </w:t>
      </w:r>
      <w:proofErr w:type="spellStart"/>
      <w:r>
        <w:t>skólpkerfinu</w:t>
      </w:r>
      <w:proofErr w:type="spellEnd"/>
      <w:r>
        <w:t>.</w:t>
      </w:r>
    </w:p>
    <w:p w14:paraId="00298CCE" w14:textId="77777777" w:rsidR="00DB6835" w:rsidRDefault="00DB6835" w:rsidP="00DB6835">
      <w:pPr>
        <w:pStyle w:val="AnnexNormal"/>
        <w:spacing w:after="0"/>
        <w:ind w:left="500"/>
      </w:pPr>
      <w:r>
        <w:lastRenderedPageBreak/>
        <w:t>Atvinnustarfsemin í þessum flokki gæti tengst kóða atvinnugreinaflokkunar Evrópusambandsins E37.00 í samræmi við atvinnugreinaflokkunina sem komið var á með reglugerð (EB) nr. 1893/2006.</w:t>
      </w:r>
      <w:r>
        <w:br w:type="page"/>
      </w:r>
    </w:p>
    <w:p w14:paraId="550B6851"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ook w:val="04A0" w:firstRow="1" w:lastRow="0" w:firstColumn="1" w:lastColumn="0" w:noHBand="0" w:noVBand="1"/>
      </w:tblPr>
      <w:tblGrid>
        <w:gridCol w:w="2824"/>
        <w:gridCol w:w="5916"/>
      </w:tblGrid>
      <w:tr w:rsidR="00DB6835" w14:paraId="73EE30D1" w14:textId="77777777" w:rsidTr="00A9140F">
        <w:trPr>
          <w:trHeight w:val="240"/>
        </w:trPr>
        <w:tc>
          <w:tcPr>
            <w:tcW w:w="8740" w:type="dxa"/>
            <w:gridSpan w:val="2"/>
            <w:tcMar>
              <w:top w:w="100" w:type="dxa"/>
              <w:left w:w="0" w:type="dxa"/>
              <w:bottom w:w="100" w:type="dxa"/>
              <w:right w:w="60" w:type="dxa"/>
            </w:tcMar>
          </w:tcPr>
          <w:p w14:paraId="31ADCF15"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AB70E29" w14:textId="77777777" w:rsidTr="00A9140F">
        <w:trPr>
          <w:trHeight w:val="360"/>
        </w:trPr>
        <w:tc>
          <w:tcPr>
            <w:tcW w:w="8740" w:type="dxa"/>
            <w:gridSpan w:val="2"/>
            <w:tcMar>
              <w:top w:w="100" w:type="dxa"/>
              <w:left w:w="0" w:type="dxa"/>
              <w:bottom w:w="100" w:type="dxa"/>
              <w:right w:w="60" w:type="dxa"/>
            </w:tcMar>
          </w:tcPr>
          <w:p w14:paraId="13D3BA1D" w14:textId="77777777" w:rsidR="00DB6835" w:rsidRDefault="00DB6835" w:rsidP="00A9140F">
            <w:pPr>
              <w:pStyle w:val="AnnexNumberedText"/>
              <w:tabs>
                <w:tab w:val="left" w:pos="508"/>
              </w:tabs>
              <w:spacing w:after="360"/>
              <w:ind w:left="0" w:firstLine="0"/>
            </w:pPr>
            <w:r>
              <w:t>1.</w:t>
            </w:r>
            <w:r>
              <w:tab/>
              <w:t xml:space="preserve">Endurnýjun söfnunarkerfis bætir </w:t>
            </w:r>
            <w:proofErr w:type="spellStart"/>
            <w:r>
              <w:t>orkunýtni</w:t>
            </w:r>
            <w:proofErr w:type="spellEnd"/>
            <w:r>
              <w:t xml:space="preserve"> með því að draga úr meðalorkunotkun um 20%, samanborið við eigin grunnframmistöðu, reiknað sem meðaltal þriggja ára, sem sýnt er fram á á ársgrundvelli. Hægt er að gera grein fyrir þessari minnkun á orkunotkun í tengslum við verkefnið (þ.e. endurnýjun söfnunarkerfisins) eða allan </w:t>
            </w:r>
            <w:proofErr w:type="spellStart"/>
            <w:r>
              <w:t>skólpsöfnunarstað</w:t>
            </w:r>
            <w:proofErr w:type="spellEnd"/>
            <w:r>
              <w:t xml:space="preserve"> þéttbýlisstaðarins á síðari stigum (þ.e. þar með talið söfnunarkerfið, hreinsistöðin eða losun </w:t>
            </w:r>
            <w:proofErr w:type="spellStart"/>
            <w:r>
              <w:t>skólps</w:t>
            </w:r>
            <w:proofErr w:type="spellEnd"/>
            <w:r>
              <w:t xml:space="preserve"> á síðari stigum).</w:t>
            </w:r>
          </w:p>
          <w:p w14:paraId="3C97AB80" w14:textId="77777777" w:rsidR="00DB6835" w:rsidRDefault="00DB6835" w:rsidP="00A9140F">
            <w:pPr>
              <w:pStyle w:val="AnnexNumberedText"/>
              <w:tabs>
                <w:tab w:val="left" w:pos="508"/>
              </w:tabs>
              <w:spacing w:after="360"/>
              <w:ind w:left="0" w:firstLine="0"/>
            </w:pPr>
            <w:r>
              <w:t>2.</w:t>
            </w:r>
            <w:r>
              <w:tab/>
              <w:t xml:space="preserve">Endurnýjun </w:t>
            </w:r>
            <w:proofErr w:type="spellStart"/>
            <w:r>
              <w:t>skólphreinsistöðvar</w:t>
            </w:r>
            <w:proofErr w:type="spellEnd"/>
            <w:r>
              <w:t xml:space="preserve"> bætir </w:t>
            </w:r>
            <w:proofErr w:type="spellStart"/>
            <w:r>
              <w:t>orkunýtni</w:t>
            </w:r>
            <w:proofErr w:type="spellEnd"/>
            <w:r>
              <w:t xml:space="preserve"> með því að draga úr meðalorkunotkun kerfisins um a.m.k. 20%, samanborið við eigin grunnframmistöðu, reiknað sem meðaltal þriggja ára, sem sýnt er fram á á ársgrundvelli.</w:t>
            </w:r>
          </w:p>
          <w:p w14:paraId="219B137C" w14:textId="77777777" w:rsidR="00DB6835" w:rsidRDefault="00DB6835" w:rsidP="00A9140F">
            <w:pPr>
              <w:pStyle w:val="AnnexNumberedText"/>
              <w:tabs>
                <w:tab w:val="left" w:pos="508"/>
              </w:tabs>
              <w:spacing w:after="360"/>
              <w:ind w:left="0" w:firstLine="0"/>
            </w:pPr>
            <w:r>
              <w:t>3.</w:t>
            </w:r>
            <w:r>
              <w:tab/>
              <w:t xml:space="preserve">Að því er varðar 1. og 2. lið er nettóorkunotkun kerfisins reiknuð út í kWh á hverja persónueiningu á ári af </w:t>
            </w:r>
            <w:proofErr w:type="spellStart"/>
            <w:r>
              <w:t>skólpi</w:t>
            </w:r>
            <w:proofErr w:type="spellEnd"/>
            <w:r>
              <w:t xml:space="preserve"> sem er safnað eða frárennsli sem er hreinsað, að teknu tilliti til ráðstafana sem draga úr orkunotkun sem varða uppsprettustjórnun (dregið úr íkomu regnvatns eða mengunarefnaálags) og, eins og við á, orkuframleiðslu innan kerfisins (s.s. vatnsorku, sólarorku, varmaorku og vindorku).</w:t>
            </w:r>
          </w:p>
          <w:p w14:paraId="5547488C" w14:textId="77777777" w:rsidR="00DB6835" w:rsidRDefault="00DB6835" w:rsidP="00A9140F">
            <w:pPr>
              <w:pStyle w:val="AnnexNumberedText"/>
              <w:tabs>
                <w:tab w:val="left" w:pos="508"/>
              </w:tabs>
              <w:spacing w:after="280"/>
              <w:ind w:left="0" w:firstLine="0"/>
            </w:pPr>
            <w:r>
              <w:t>4.</w:t>
            </w:r>
            <w:r>
              <w:tab/>
              <w:t xml:space="preserve">Að því er varðar 1. og 2. lið sýnir rekstraraðilinn fram á að engar verulegar breytingar hafi átt sér stað að því er varðar ytri skilyrði, þ.m.t. breytingar á heimild(um) til losunar eða breytingar á álagi fyrir þéttbýlisstaðinn sem leitt gæti til samdráttar í orkunotkun, óháð ráðstöfunum á sviði </w:t>
            </w:r>
            <w:proofErr w:type="spellStart"/>
            <w:r>
              <w:t>nýtni</w:t>
            </w:r>
            <w:proofErr w:type="spellEnd"/>
            <w:r>
              <w:t xml:space="preserve"> sem gripið er til.</w:t>
            </w:r>
          </w:p>
        </w:tc>
      </w:tr>
      <w:tr w:rsidR="00DB6835" w14:paraId="5EB47CF1" w14:textId="77777777" w:rsidTr="00A9140F">
        <w:trPr>
          <w:trHeight w:val="240"/>
        </w:trPr>
        <w:tc>
          <w:tcPr>
            <w:tcW w:w="8740" w:type="dxa"/>
            <w:gridSpan w:val="2"/>
            <w:tcMar>
              <w:top w:w="100" w:type="dxa"/>
              <w:left w:w="0" w:type="dxa"/>
              <w:bottom w:w="100" w:type="dxa"/>
              <w:right w:w="60" w:type="dxa"/>
            </w:tcMar>
          </w:tcPr>
          <w:p w14:paraId="4BA6F291" w14:textId="77777777" w:rsidR="00DB6835" w:rsidRDefault="00DB6835" w:rsidP="00A9140F">
            <w:pPr>
              <w:pStyle w:val="AnnexTableCellLeft"/>
            </w:pPr>
            <w:r>
              <w:t>Ekki valda umtalsverðu tjóni</w:t>
            </w:r>
          </w:p>
        </w:tc>
      </w:tr>
      <w:tr w:rsidR="00DB6835" w14:paraId="64143FEB" w14:textId="77777777" w:rsidTr="00A9140F">
        <w:trPr>
          <w:trHeight w:val="360"/>
        </w:trPr>
        <w:tc>
          <w:tcPr>
            <w:tcW w:w="2824" w:type="dxa"/>
            <w:tcMar>
              <w:top w:w="100" w:type="dxa"/>
              <w:left w:w="0" w:type="dxa"/>
              <w:bottom w:w="100" w:type="dxa"/>
              <w:right w:w="60" w:type="dxa"/>
            </w:tcMar>
          </w:tcPr>
          <w:p w14:paraId="4D2A0257" w14:textId="77777777" w:rsidR="00DB6835" w:rsidRDefault="00DB6835" w:rsidP="00A9140F">
            <w:pPr>
              <w:pStyle w:val="AnnexNumberedText"/>
            </w:pPr>
            <w:r>
              <w:t>2)</w:t>
            </w:r>
            <w:r>
              <w:tab/>
              <w:t>Aðlögun að loftslagsbreytingum</w:t>
            </w:r>
          </w:p>
        </w:tc>
        <w:tc>
          <w:tcPr>
            <w:tcW w:w="5916" w:type="dxa"/>
            <w:tcMar>
              <w:top w:w="100" w:type="dxa"/>
              <w:left w:w="40" w:type="dxa"/>
              <w:bottom w:w="100" w:type="dxa"/>
              <w:right w:w="0" w:type="dxa"/>
            </w:tcMar>
          </w:tcPr>
          <w:p w14:paraId="5FA8A6CF" w14:textId="77777777" w:rsidR="00DB6835" w:rsidRDefault="00DB6835" w:rsidP="00A9140F">
            <w:pPr>
              <w:pStyle w:val="AnnexTableCellLeft"/>
            </w:pPr>
            <w:r>
              <w:t>Starfsemin er í samræmi við viðmiðanirnar sem settar eru fram í viðbæti A við þennan viðauka.</w:t>
            </w:r>
          </w:p>
        </w:tc>
      </w:tr>
      <w:tr w:rsidR="00DB6835" w14:paraId="641EDFF7" w14:textId="77777777" w:rsidTr="00A9140F">
        <w:trPr>
          <w:trHeight w:val="360"/>
        </w:trPr>
        <w:tc>
          <w:tcPr>
            <w:tcW w:w="2824" w:type="dxa"/>
            <w:tcMar>
              <w:top w:w="100" w:type="dxa"/>
              <w:left w:w="0" w:type="dxa"/>
              <w:bottom w:w="100" w:type="dxa"/>
              <w:right w:w="60" w:type="dxa"/>
            </w:tcMar>
          </w:tcPr>
          <w:p w14:paraId="77E509B6" w14:textId="77777777" w:rsidR="00DB6835" w:rsidRDefault="00DB6835" w:rsidP="00A9140F">
            <w:pPr>
              <w:pStyle w:val="AnnexNumberedText"/>
            </w:pPr>
            <w:r>
              <w:t>3)</w:t>
            </w:r>
            <w:r>
              <w:tab/>
              <w:t>Sjálfbær notkun og verndun vatns- og sjávarauðlinda</w:t>
            </w:r>
          </w:p>
        </w:tc>
        <w:tc>
          <w:tcPr>
            <w:tcW w:w="5916" w:type="dxa"/>
            <w:tcMar>
              <w:top w:w="100" w:type="dxa"/>
              <w:left w:w="40" w:type="dxa"/>
              <w:bottom w:w="100" w:type="dxa"/>
              <w:right w:w="0" w:type="dxa"/>
            </w:tcMar>
          </w:tcPr>
          <w:p w14:paraId="28B2882D" w14:textId="77777777" w:rsidR="00DB6835" w:rsidRDefault="00DB6835" w:rsidP="00A9140F">
            <w:pPr>
              <w:pStyle w:val="AnnexTableCellLeft"/>
            </w:pPr>
            <w:r>
              <w:t xml:space="preserve">Starfsemin er í samræmi við viðmiðanirnar sem settar eru fram í viðbæti B við þennan viðauka. Ef </w:t>
            </w:r>
            <w:proofErr w:type="spellStart"/>
            <w:r>
              <w:t>skólp</w:t>
            </w:r>
            <w:proofErr w:type="spellEnd"/>
            <w:r>
              <w:t xml:space="preserve"> er meðhöndlað að því marki að það sé hentugt til endurnotkunar til áveitu í landbúnaði hafa tilskildar aðgerðir til áhættustjórnunar til að komast hjá óhagstæðum umhverfisáhrifum verið skilgreindar og þeim komið til framkvæmda (</w:t>
            </w:r>
            <w:r>
              <w:rPr>
                <w:rStyle w:val="Tilvsunneanmlsgrein"/>
                <w:sz w:val="18"/>
                <w:szCs w:val="18"/>
              </w:rPr>
              <w:footnoteReference w:id="227"/>
            </w:r>
            <w:r>
              <w:t>).</w:t>
            </w:r>
          </w:p>
        </w:tc>
      </w:tr>
      <w:tr w:rsidR="00DB6835" w14:paraId="604F0559" w14:textId="77777777" w:rsidTr="00A9140F">
        <w:trPr>
          <w:trHeight w:val="360"/>
        </w:trPr>
        <w:tc>
          <w:tcPr>
            <w:tcW w:w="2824" w:type="dxa"/>
            <w:tcMar>
              <w:top w:w="100" w:type="dxa"/>
              <w:left w:w="0" w:type="dxa"/>
              <w:bottom w:w="100" w:type="dxa"/>
              <w:right w:w="60" w:type="dxa"/>
            </w:tcMar>
          </w:tcPr>
          <w:p w14:paraId="0F82FAB9" w14:textId="77777777" w:rsidR="00DB6835" w:rsidRDefault="00DB6835" w:rsidP="00A9140F">
            <w:pPr>
              <w:pStyle w:val="AnnexNumberedText"/>
            </w:pPr>
            <w:r>
              <w:t>4)</w:t>
            </w:r>
            <w:r>
              <w:tab/>
              <w:t>Umskipti yfir í hringrásarhagkerfi</w:t>
            </w:r>
          </w:p>
        </w:tc>
        <w:tc>
          <w:tcPr>
            <w:tcW w:w="5916" w:type="dxa"/>
            <w:tcMar>
              <w:top w:w="100" w:type="dxa"/>
              <w:left w:w="40" w:type="dxa"/>
              <w:bottom w:w="100" w:type="dxa"/>
              <w:right w:w="0" w:type="dxa"/>
            </w:tcMar>
          </w:tcPr>
          <w:p w14:paraId="2ED94594" w14:textId="77777777" w:rsidR="00DB6835" w:rsidRDefault="00DB6835" w:rsidP="00A9140F">
            <w:pPr>
              <w:pStyle w:val="AnnexTableCellLeft"/>
            </w:pPr>
            <w:r>
              <w:t>Á ekki við</w:t>
            </w:r>
          </w:p>
        </w:tc>
      </w:tr>
      <w:tr w:rsidR="00DB6835" w14:paraId="0258658D" w14:textId="77777777" w:rsidTr="00A9140F">
        <w:trPr>
          <w:trHeight w:val="360"/>
        </w:trPr>
        <w:tc>
          <w:tcPr>
            <w:tcW w:w="2824" w:type="dxa"/>
            <w:tcMar>
              <w:top w:w="100" w:type="dxa"/>
              <w:left w:w="0" w:type="dxa"/>
              <w:bottom w:w="100" w:type="dxa"/>
              <w:right w:w="60" w:type="dxa"/>
            </w:tcMar>
          </w:tcPr>
          <w:p w14:paraId="528D0537" w14:textId="77777777" w:rsidR="00DB6835" w:rsidRDefault="00DB6835" w:rsidP="00A9140F">
            <w:pPr>
              <w:pStyle w:val="AnnexNumberedText"/>
            </w:pPr>
            <w:r>
              <w:t>5)</w:t>
            </w:r>
            <w:r>
              <w:tab/>
              <w:t>Mengunarvarnir og eftirlit með mengun</w:t>
            </w:r>
          </w:p>
        </w:tc>
        <w:tc>
          <w:tcPr>
            <w:tcW w:w="5916" w:type="dxa"/>
            <w:tcMar>
              <w:top w:w="100" w:type="dxa"/>
              <w:left w:w="40" w:type="dxa"/>
              <w:bottom w:w="100" w:type="dxa"/>
              <w:right w:w="0" w:type="dxa"/>
            </w:tcMar>
          </w:tcPr>
          <w:p w14:paraId="070DFFAD" w14:textId="77777777" w:rsidR="00DB6835" w:rsidRDefault="00DB6835" w:rsidP="00A9140F">
            <w:pPr>
              <w:pStyle w:val="AnnexTableCellLeft"/>
              <w:spacing w:after="360"/>
            </w:pPr>
            <w:r>
              <w:t>Losun í viðtökuvatn uppfyllir kröfurnar sem mælt er fyrir um í tilskipun 91/271/EBE eða eins og krafist er í ákvæðum landslaga þar sem fram kemur tiltekið leyfilegt hámarksinnihald mengunarefna frá losun í viðtökuvatn.</w:t>
            </w:r>
          </w:p>
          <w:p w14:paraId="3F164A84" w14:textId="77777777" w:rsidR="00DB6835" w:rsidRDefault="00DB6835" w:rsidP="00A9140F">
            <w:pPr>
              <w:pStyle w:val="AnnexTableCellLeft"/>
              <w:spacing w:after="360"/>
            </w:pPr>
            <w:r>
              <w:t xml:space="preserve">Viðeigandi ráðstafanir hafa verið gerðar til að komast hjá og draga úr óhóflegu yfirfalli úrkomuvatns frá </w:t>
            </w:r>
            <w:proofErr w:type="spellStart"/>
            <w:r>
              <w:t>skólpsöfnunarkerfinu</w:t>
            </w:r>
            <w:proofErr w:type="spellEnd"/>
            <w:r>
              <w:t xml:space="preserve"> sem geta falið í sér náttúrumiðaðar lausnir, aðskilin yfirfallssöfnunarkerfi, vatnssöfnunartanka og meðhöndlun á fyrsta </w:t>
            </w:r>
            <w:proofErr w:type="spellStart"/>
            <w:r>
              <w:t>skolvatni</w:t>
            </w:r>
            <w:proofErr w:type="spellEnd"/>
            <w:r>
              <w:t>.</w:t>
            </w:r>
          </w:p>
          <w:p w14:paraId="55358C68" w14:textId="77777777" w:rsidR="00DB6835" w:rsidRDefault="00DB6835" w:rsidP="00A9140F">
            <w:pPr>
              <w:pStyle w:val="AnnexTableCellLeft"/>
              <w:spacing w:after="200"/>
            </w:pPr>
            <w:proofErr w:type="spellStart"/>
            <w:r>
              <w:t>Skólpseyra</w:t>
            </w:r>
            <w:proofErr w:type="spellEnd"/>
            <w:r>
              <w:t xml:space="preserve"> er notuð í samræmi við tilskipun 86/278/EBE eða eins og krafist er samkvæmt landslögum að því er varðar dreifingu </w:t>
            </w:r>
            <w:proofErr w:type="spellStart"/>
            <w:r>
              <w:t>seyru</w:t>
            </w:r>
            <w:proofErr w:type="spellEnd"/>
            <w:r>
              <w:t xml:space="preserve"> á jarðveg eða sérhverja aðra notkun </w:t>
            </w:r>
            <w:proofErr w:type="spellStart"/>
            <w:r>
              <w:t>seyru</w:t>
            </w:r>
            <w:proofErr w:type="spellEnd"/>
            <w:r>
              <w:t xml:space="preserve"> á og í jarðveginn.</w:t>
            </w:r>
          </w:p>
        </w:tc>
      </w:tr>
      <w:tr w:rsidR="00DB6835" w14:paraId="1A2C6ADE" w14:textId="77777777" w:rsidTr="00A9140F">
        <w:trPr>
          <w:trHeight w:val="360"/>
        </w:trPr>
        <w:tc>
          <w:tcPr>
            <w:tcW w:w="2824" w:type="dxa"/>
            <w:tcMar>
              <w:top w:w="100" w:type="dxa"/>
              <w:left w:w="0" w:type="dxa"/>
              <w:bottom w:w="100" w:type="dxa"/>
              <w:right w:w="60" w:type="dxa"/>
            </w:tcMar>
          </w:tcPr>
          <w:p w14:paraId="143C77B1" w14:textId="77777777" w:rsidR="00DB6835" w:rsidRDefault="00DB6835" w:rsidP="00A9140F">
            <w:pPr>
              <w:pStyle w:val="AnnexNumberedText"/>
            </w:pPr>
            <w:r>
              <w:t>6)</w:t>
            </w:r>
            <w:r>
              <w:tab/>
              <w:t>Vernd og endurheimt líffræðilegrar fjölbreytni og vistkerfa</w:t>
            </w:r>
          </w:p>
        </w:tc>
        <w:tc>
          <w:tcPr>
            <w:tcW w:w="5916" w:type="dxa"/>
            <w:tcMar>
              <w:top w:w="100" w:type="dxa"/>
              <w:left w:w="40" w:type="dxa"/>
              <w:bottom w:w="100" w:type="dxa"/>
              <w:right w:w="0" w:type="dxa"/>
            </w:tcMar>
          </w:tcPr>
          <w:p w14:paraId="6EC86DE2" w14:textId="77777777" w:rsidR="00DB6835" w:rsidRDefault="00DB6835" w:rsidP="00A9140F">
            <w:pPr>
              <w:pStyle w:val="AnnexTableCellLeft"/>
            </w:pPr>
            <w:r>
              <w:t>Starfsemin er í samræmi við viðmiðanirnar sem settar eru fram í viðbæti D við þennan viðauka.</w:t>
            </w:r>
          </w:p>
        </w:tc>
      </w:tr>
    </w:tbl>
    <w:p w14:paraId="350C928D" w14:textId="77777777" w:rsidR="00DB6835" w:rsidRDefault="00DB6835" w:rsidP="00DB6835">
      <w:pPr>
        <w:shd w:val="clear" w:color="auto" w:fill="auto"/>
        <w:spacing w:line="0" w:lineRule="auto"/>
        <w:jc w:val="left"/>
        <w:rPr>
          <w:color w:val="auto"/>
          <w14:ligatures w14:val="standard"/>
        </w:rPr>
      </w:pPr>
      <w:r>
        <w:br w:type="page"/>
      </w:r>
    </w:p>
    <w:p w14:paraId="3E5F0523" w14:textId="77777777" w:rsidR="00DB6835" w:rsidRDefault="00DB6835" w:rsidP="00DB6835">
      <w:pPr>
        <w:pStyle w:val="AnnexNumberedText"/>
        <w:ind w:left="500" w:hanging="500"/>
      </w:pPr>
      <w:r>
        <w:lastRenderedPageBreak/>
        <w:t>5.5.</w:t>
      </w:r>
      <w:r>
        <w:rPr>
          <w:b/>
        </w:rPr>
        <w:tab/>
        <w:t>Söfnun og flutningur á hættulausum úrgangi sem er aðgreindur í hluta við upptök</w:t>
      </w:r>
    </w:p>
    <w:p w14:paraId="5E54E85A" w14:textId="77777777" w:rsidR="00DB6835" w:rsidRDefault="00DB6835" w:rsidP="00DB6835">
      <w:pPr>
        <w:pStyle w:val="AnnexGrSeq3"/>
        <w:spacing w:after="280"/>
        <w:ind w:left="500"/>
        <w:jc w:val="both"/>
        <w:rPr>
          <w:szCs w:val="18"/>
        </w:rPr>
      </w:pPr>
      <w:r>
        <w:rPr>
          <w:i/>
        </w:rPr>
        <w:t>Lýsing á starfseminni</w:t>
      </w:r>
    </w:p>
    <w:p w14:paraId="7A62C053" w14:textId="77777777" w:rsidR="00DB6835" w:rsidRDefault="00DB6835" w:rsidP="00DB6835">
      <w:pPr>
        <w:pStyle w:val="AnnexNormal"/>
        <w:spacing w:after="280"/>
        <w:ind w:left="500"/>
        <w:rPr>
          <w:szCs w:val="18"/>
        </w:rPr>
      </w:pPr>
      <w:r>
        <w:t>Aðskilin söfnun og flutningur á hættulausum úrgangi í einstökum eða blönduðum hlutum (</w:t>
      </w:r>
      <w:bookmarkStart w:id="32" w:name="NOTE_227"/>
      <w:r>
        <w:rPr>
          <w:rStyle w:val="Tilvsunneanmlsgrein"/>
          <w:sz w:val="18"/>
          <w:szCs w:val="18"/>
        </w:rPr>
        <w:footnoteReference w:id="228"/>
      </w:r>
      <w:bookmarkEnd w:id="32"/>
      <w:r>
        <w:t>) sem miðar að undirbúningi fyrir endurnotkun eða endurvinnslu.</w:t>
      </w:r>
    </w:p>
    <w:p w14:paraId="3979251E" w14:textId="77777777" w:rsidR="00DB6835" w:rsidRDefault="00DB6835" w:rsidP="00DB6835">
      <w:pPr>
        <w:pStyle w:val="AnnexNormal"/>
        <w:spacing w:after="280"/>
        <w:ind w:left="500"/>
        <w:rPr>
          <w:szCs w:val="18"/>
        </w:rPr>
      </w:pPr>
      <w:r>
        <w:t>Atvinnustarfsemin í þessum flokki gæti tengst kóða atvinnugreinaflokkunar Evrópusambandsins E38.11 í samræmi við atvinnugreinaflokkunina sem komið var á með reglugerð (EB) nr. 1893/2006.</w:t>
      </w:r>
    </w:p>
    <w:p w14:paraId="7791B834" w14:textId="77777777" w:rsidR="00DB6835" w:rsidRDefault="00DB6835" w:rsidP="00DB6835">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108"/>
        <w:gridCol w:w="5632"/>
      </w:tblGrid>
      <w:tr w:rsidR="00DB6835" w14:paraId="41E2B0DA" w14:textId="77777777" w:rsidTr="00A9140F">
        <w:trPr>
          <w:trHeight w:val="240"/>
        </w:trPr>
        <w:tc>
          <w:tcPr>
            <w:tcW w:w="8740" w:type="dxa"/>
            <w:gridSpan w:val="2"/>
            <w:tcMar>
              <w:top w:w="100" w:type="dxa"/>
              <w:left w:w="0" w:type="dxa"/>
              <w:bottom w:w="100" w:type="dxa"/>
              <w:right w:w="60" w:type="dxa"/>
            </w:tcMar>
          </w:tcPr>
          <w:p w14:paraId="2C54879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5A030A8" w14:textId="77777777" w:rsidTr="00A9140F">
        <w:trPr>
          <w:trHeight w:val="240"/>
        </w:trPr>
        <w:tc>
          <w:tcPr>
            <w:tcW w:w="8740" w:type="dxa"/>
            <w:gridSpan w:val="2"/>
            <w:tcMar>
              <w:top w:w="100" w:type="dxa"/>
              <w:left w:w="0" w:type="dxa"/>
              <w:bottom w:w="100" w:type="dxa"/>
              <w:right w:w="60" w:type="dxa"/>
            </w:tcMar>
          </w:tcPr>
          <w:p w14:paraId="30A784D8" w14:textId="77777777" w:rsidR="00DB6835" w:rsidRDefault="00DB6835" w:rsidP="00A9140F">
            <w:pPr>
              <w:pStyle w:val="AnnexTableCellLeft"/>
            </w:pPr>
            <w:r>
              <w:t>Allur hættulaus úrgangur, sem er safnað og hann fluttur á aðskilinn hátt, sem er aðskilinn við upptök er ætlaður til undirbúnings fyrir endurnotkun eða endurvinnslu.</w:t>
            </w:r>
          </w:p>
        </w:tc>
      </w:tr>
      <w:tr w:rsidR="00DB6835" w14:paraId="3732A78F" w14:textId="77777777" w:rsidTr="00A9140F">
        <w:trPr>
          <w:trHeight w:val="240"/>
        </w:trPr>
        <w:tc>
          <w:tcPr>
            <w:tcW w:w="8740" w:type="dxa"/>
            <w:gridSpan w:val="2"/>
            <w:tcMar>
              <w:top w:w="100" w:type="dxa"/>
              <w:left w:w="0" w:type="dxa"/>
              <w:bottom w:w="100" w:type="dxa"/>
              <w:right w:w="60" w:type="dxa"/>
            </w:tcMar>
          </w:tcPr>
          <w:p w14:paraId="0D775CE0" w14:textId="77777777" w:rsidR="00DB6835" w:rsidRDefault="00DB6835" w:rsidP="00A9140F">
            <w:pPr>
              <w:pStyle w:val="AnnexTableCellLeft"/>
            </w:pPr>
            <w:r>
              <w:t>Ekki valda umtalsverðu tjóni</w:t>
            </w:r>
          </w:p>
        </w:tc>
      </w:tr>
      <w:tr w:rsidR="00DB6835" w14:paraId="670C26B6" w14:textId="77777777" w:rsidTr="00A9140F">
        <w:trPr>
          <w:trHeight w:val="360"/>
        </w:trPr>
        <w:tc>
          <w:tcPr>
            <w:tcW w:w="3108" w:type="dxa"/>
            <w:tcMar>
              <w:top w:w="100" w:type="dxa"/>
              <w:left w:w="0" w:type="dxa"/>
              <w:bottom w:w="100" w:type="dxa"/>
              <w:right w:w="60" w:type="dxa"/>
            </w:tcMar>
          </w:tcPr>
          <w:p w14:paraId="2D52FCE8" w14:textId="77777777" w:rsidR="00DB6835" w:rsidRDefault="00DB6835" w:rsidP="00A9140F">
            <w:pPr>
              <w:pStyle w:val="AnnexNumberedText"/>
            </w:pPr>
            <w:r>
              <w:t>2)</w:t>
            </w:r>
            <w:r>
              <w:tab/>
              <w:t>Aðlögun að loftslagsbreytingum</w:t>
            </w:r>
          </w:p>
        </w:tc>
        <w:tc>
          <w:tcPr>
            <w:tcW w:w="5632" w:type="dxa"/>
            <w:tcMar>
              <w:top w:w="100" w:type="dxa"/>
              <w:left w:w="40" w:type="dxa"/>
              <w:bottom w:w="100" w:type="dxa"/>
              <w:right w:w="0" w:type="dxa"/>
            </w:tcMar>
          </w:tcPr>
          <w:p w14:paraId="63BD0F98" w14:textId="77777777" w:rsidR="00DB6835" w:rsidRDefault="00DB6835" w:rsidP="00A9140F">
            <w:pPr>
              <w:pStyle w:val="AnnexTableCellLeft"/>
            </w:pPr>
            <w:r>
              <w:t>Starfsemin er í samræmi við viðmiðanirnar sem settar eru fram í viðbæti A við þennan viðauka.</w:t>
            </w:r>
          </w:p>
        </w:tc>
      </w:tr>
      <w:tr w:rsidR="00DB6835" w14:paraId="3AAC5A62" w14:textId="77777777" w:rsidTr="00A9140F">
        <w:trPr>
          <w:trHeight w:val="360"/>
        </w:trPr>
        <w:tc>
          <w:tcPr>
            <w:tcW w:w="3108" w:type="dxa"/>
            <w:tcMar>
              <w:top w:w="100" w:type="dxa"/>
              <w:left w:w="0" w:type="dxa"/>
              <w:bottom w:w="100" w:type="dxa"/>
              <w:right w:w="60" w:type="dxa"/>
            </w:tcMar>
          </w:tcPr>
          <w:p w14:paraId="583614EB" w14:textId="77777777" w:rsidR="00DB6835" w:rsidRDefault="00DB6835" w:rsidP="00A9140F">
            <w:pPr>
              <w:pStyle w:val="AnnexNumberedText"/>
            </w:pPr>
            <w:r>
              <w:t>3)</w:t>
            </w:r>
            <w:r>
              <w:tab/>
              <w:t>Sjálfbær notkun og verndun vatns- og sjávarauðlinda</w:t>
            </w:r>
          </w:p>
        </w:tc>
        <w:tc>
          <w:tcPr>
            <w:tcW w:w="5632" w:type="dxa"/>
            <w:tcMar>
              <w:top w:w="100" w:type="dxa"/>
              <w:left w:w="40" w:type="dxa"/>
              <w:bottom w:w="100" w:type="dxa"/>
              <w:right w:w="0" w:type="dxa"/>
            </w:tcMar>
          </w:tcPr>
          <w:p w14:paraId="2DCD5E6D" w14:textId="77777777" w:rsidR="00DB6835" w:rsidRDefault="00DB6835" w:rsidP="00A9140F">
            <w:pPr>
              <w:pStyle w:val="AnnexTableCellLeft"/>
            </w:pPr>
            <w:r>
              <w:t>Á ekki við</w:t>
            </w:r>
          </w:p>
        </w:tc>
      </w:tr>
      <w:tr w:rsidR="00DB6835" w14:paraId="2347142C" w14:textId="77777777" w:rsidTr="00A9140F">
        <w:trPr>
          <w:trHeight w:val="360"/>
        </w:trPr>
        <w:tc>
          <w:tcPr>
            <w:tcW w:w="3108" w:type="dxa"/>
            <w:tcMar>
              <w:top w:w="100" w:type="dxa"/>
              <w:left w:w="0" w:type="dxa"/>
              <w:bottom w:w="100" w:type="dxa"/>
              <w:right w:w="60" w:type="dxa"/>
            </w:tcMar>
          </w:tcPr>
          <w:p w14:paraId="011432D4" w14:textId="77777777" w:rsidR="00DB6835" w:rsidRDefault="00DB6835" w:rsidP="00A9140F">
            <w:pPr>
              <w:pStyle w:val="AnnexNumberedText"/>
            </w:pPr>
            <w:r>
              <w:t>4)</w:t>
            </w:r>
            <w:r>
              <w:tab/>
              <w:t>Umskipti yfir í hringrásarhagkerfi</w:t>
            </w:r>
          </w:p>
        </w:tc>
        <w:tc>
          <w:tcPr>
            <w:tcW w:w="5632" w:type="dxa"/>
            <w:tcMar>
              <w:top w:w="100" w:type="dxa"/>
              <w:left w:w="40" w:type="dxa"/>
              <w:bottom w:w="100" w:type="dxa"/>
              <w:right w:w="0" w:type="dxa"/>
            </w:tcMar>
          </w:tcPr>
          <w:p w14:paraId="7EEE9E97" w14:textId="77777777" w:rsidR="00DB6835" w:rsidRDefault="00DB6835" w:rsidP="00A9140F">
            <w:pPr>
              <w:pStyle w:val="AnnexTableCellLeft"/>
            </w:pPr>
            <w:r>
              <w:t>Í stöðvum fyrir geymslu og flutning úrgangs er hlutum úrgangs, sem er safnað á aðskilinn hátt, ekki blandað saman við annan úrgang eða efniviði með mismunandi eiginleika.</w:t>
            </w:r>
          </w:p>
        </w:tc>
      </w:tr>
      <w:tr w:rsidR="00DB6835" w14:paraId="20F79DB1" w14:textId="77777777" w:rsidTr="00A9140F">
        <w:trPr>
          <w:trHeight w:val="360"/>
        </w:trPr>
        <w:tc>
          <w:tcPr>
            <w:tcW w:w="3108" w:type="dxa"/>
            <w:tcMar>
              <w:top w:w="100" w:type="dxa"/>
              <w:left w:w="0" w:type="dxa"/>
              <w:bottom w:w="100" w:type="dxa"/>
              <w:right w:w="60" w:type="dxa"/>
            </w:tcMar>
          </w:tcPr>
          <w:p w14:paraId="78DDB106" w14:textId="77777777" w:rsidR="00DB6835" w:rsidRDefault="00DB6835" w:rsidP="00A9140F">
            <w:pPr>
              <w:pStyle w:val="AnnexNumberedText"/>
            </w:pPr>
            <w:r>
              <w:t>5)</w:t>
            </w:r>
            <w:r>
              <w:tab/>
              <w:t>Mengunarvarnir og eftirlit með mengun</w:t>
            </w:r>
          </w:p>
        </w:tc>
        <w:tc>
          <w:tcPr>
            <w:tcW w:w="5632" w:type="dxa"/>
            <w:tcMar>
              <w:top w:w="100" w:type="dxa"/>
              <w:left w:w="40" w:type="dxa"/>
              <w:bottom w:w="100" w:type="dxa"/>
              <w:right w:w="0" w:type="dxa"/>
            </w:tcMar>
          </w:tcPr>
          <w:p w14:paraId="6BDD3999" w14:textId="77777777" w:rsidR="00DB6835" w:rsidRDefault="00DB6835" w:rsidP="00A9140F">
            <w:pPr>
              <w:pStyle w:val="AnnexTableCellLeft"/>
            </w:pPr>
            <w:r>
              <w:t>Á ekki við</w:t>
            </w:r>
          </w:p>
        </w:tc>
      </w:tr>
      <w:tr w:rsidR="00DB6835" w14:paraId="17DC8DA2" w14:textId="77777777" w:rsidTr="00A9140F">
        <w:trPr>
          <w:trHeight w:val="360"/>
        </w:trPr>
        <w:tc>
          <w:tcPr>
            <w:tcW w:w="3108" w:type="dxa"/>
            <w:tcMar>
              <w:top w:w="100" w:type="dxa"/>
              <w:left w:w="0" w:type="dxa"/>
              <w:bottom w:w="100" w:type="dxa"/>
              <w:right w:w="60" w:type="dxa"/>
            </w:tcMar>
          </w:tcPr>
          <w:p w14:paraId="5669538F" w14:textId="77777777" w:rsidR="00DB6835" w:rsidRDefault="00DB6835" w:rsidP="00A9140F">
            <w:pPr>
              <w:pStyle w:val="AnnexNumberedText"/>
            </w:pPr>
            <w:r>
              <w:t>6)</w:t>
            </w:r>
            <w:r>
              <w:tab/>
              <w:t>Vernd og endurheimt líffræðilegrar fjölbreytni og vistkerfa</w:t>
            </w:r>
          </w:p>
        </w:tc>
        <w:tc>
          <w:tcPr>
            <w:tcW w:w="5632" w:type="dxa"/>
            <w:tcMar>
              <w:top w:w="100" w:type="dxa"/>
              <w:left w:w="40" w:type="dxa"/>
              <w:bottom w:w="100" w:type="dxa"/>
              <w:right w:w="0" w:type="dxa"/>
            </w:tcMar>
          </w:tcPr>
          <w:p w14:paraId="21B780FF" w14:textId="77777777" w:rsidR="00DB6835" w:rsidRDefault="00DB6835" w:rsidP="00A9140F">
            <w:pPr>
              <w:pStyle w:val="AnnexTableCellLeft"/>
            </w:pPr>
            <w:r>
              <w:t>Á ekki við</w:t>
            </w:r>
          </w:p>
        </w:tc>
      </w:tr>
    </w:tbl>
    <w:p w14:paraId="03322EE9" w14:textId="77777777" w:rsidR="00DB6835" w:rsidRDefault="00DB6835" w:rsidP="00DB6835">
      <w:pPr>
        <w:pStyle w:val="AnnexNumberedText"/>
        <w:spacing w:before="200" w:after="360"/>
        <w:ind w:left="500" w:hanging="500"/>
      </w:pPr>
      <w:r>
        <w:t>5.6.</w:t>
      </w:r>
      <w:r>
        <w:rPr>
          <w:b/>
        </w:rPr>
        <w:tab/>
      </w:r>
      <w:proofErr w:type="spellStart"/>
      <w:r>
        <w:rPr>
          <w:b/>
        </w:rPr>
        <w:t>Loftfirrð</w:t>
      </w:r>
      <w:proofErr w:type="spellEnd"/>
      <w:r>
        <w:rPr>
          <w:b/>
        </w:rPr>
        <w:t xml:space="preserve"> meltun </w:t>
      </w:r>
      <w:proofErr w:type="spellStart"/>
      <w:r>
        <w:rPr>
          <w:b/>
        </w:rPr>
        <w:t>skólpseyru</w:t>
      </w:r>
      <w:proofErr w:type="spellEnd"/>
    </w:p>
    <w:p w14:paraId="373E56D2" w14:textId="77777777" w:rsidR="00DB6835" w:rsidRDefault="00DB6835" w:rsidP="00DB6835">
      <w:pPr>
        <w:pStyle w:val="AnnexGrSeq3"/>
        <w:spacing w:after="360"/>
        <w:ind w:left="500"/>
        <w:jc w:val="both"/>
      </w:pPr>
      <w:r>
        <w:rPr>
          <w:i/>
        </w:rPr>
        <w:t>Lýsing á starfseminni</w:t>
      </w:r>
    </w:p>
    <w:p w14:paraId="6D957647" w14:textId="77777777" w:rsidR="00DB6835" w:rsidRDefault="00DB6835" w:rsidP="00DB6835">
      <w:pPr>
        <w:pStyle w:val="AnnexNormal"/>
        <w:spacing w:after="360"/>
        <w:ind w:left="500"/>
      </w:pPr>
      <w:r>
        <w:t xml:space="preserve">Bygging og rekstur stöðva til að hreinsa </w:t>
      </w:r>
      <w:proofErr w:type="spellStart"/>
      <w:r>
        <w:t>skólpseyru</w:t>
      </w:r>
      <w:proofErr w:type="spellEnd"/>
      <w:r>
        <w:t xml:space="preserve"> með </w:t>
      </w:r>
      <w:proofErr w:type="spellStart"/>
      <w:r>
        <w:t>loftfirrðri</w:t>
      </w:r>
      <w:proofErr w:type="spellEnd"/>
      <w:r>
        <w:t xml:space="preserve"> meltun með endanlega framleiðslu og notkun á lífgasi eða </w:t>
      </w:r>
      <w:proofErr w:type="spellStart"/>
      <w:r>
        <w:t>íðefnum</w:t>
      </w:r>
      <w:proofErr w:type="spellEnd"/>
      <w:r>
        <w:t>.</w:t>
      </w:r>
    </w:p>
    <w:p w14:paraId="19E77748" w14:textId="77777777" w:rsidR="00DB6835" w:rsidRDefault="00DB6835" w:rsidP="00DB6835">
      <w:pPr>
        <w:pStyle w:val="AnnexNormal"/>
        <w:spacing w:after="360"/>
        <w:ind w:left="500"/>
      </w:pPr>
      <w:r>
        <w:t>Atvinnustarfsemin í þessum flokki gæti tengst nokkrum kóðum atvinnugreinaflokkunar Evrópusambandsins, einkum E37.00 og F42.99, í samræmi við atvinnugreinaflokkunina sem komið var á með reglugerð (EB) nr. 1893/2006.</w:t>
      </w:r>
    </w:p>
    <w:p w14:paraId="5FD7D7CD" w14:textId="77777777" w:rsidR="00DB6835" w:rsidRDefault="00DB6835" w:rsidP="00DB6835">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788"/>
        <w:gridCol w:w="5952"/>
      </w:tblGrid>
      <w:tr w:rsidR="00DB6835" w14:paraId="76CE3095"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67EBAB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383ADDD3" w14:textId="77777777" w:rsidTr="00A9140F">
        <w:trPr>
          <w:trHeight w:val="360"/>
        </w:trPr>
        <w:tc>
          <w:tcPr>
            <w:tcW w:w="8740" w:type="dxa"/>
            <w:gridSpan w:val="2"/>
            <w:tcBorders>
              <w:bottom w:val="nil"/>
            </w:tcBorders>
            <w:tcMar>
              <w:top w:w="100" w:type="dxa"/>
              <w:left w:w="0" w:type="dxa"/>
              <w:bottom w:w="100" w:type="dxa"/>
              <w:right w:w="60" w:type="dxa"/>
            </w:tcMar>
          </w:tcPr>
          <w:p w14:paraId="5F2ABB30" w14:textId="77777777" w:rsidR="00DB6835" w:rsidRDefault="00DB6835" w:rsidP="00A9140F">
            <w:pPr>
              <w:pStyle w:val="AnnexNumberedText"/>
              <w:tabs>
                <w:tab w:val="left" w:pos="508"/>
              </w:tabs>
              <w:ind w:left="0" w:firstLine="0"/>
            </w:pPr>
            <w:r>
              <w:t>1.</w:t>
            </w:r>
            <w:r>
              <w:tab/>
              <w:t xml:space="preserve">Vöktunar- og viðbragðsáætlun er til staðar í því skyni að lágmarka </w:t>
            </w:r>
            <w:proofErr w:type="spellStart"/>
            <w:r>
              <w:t>metanleka</w:t>
            </w:r>
            <w:proofErr w:type="spellEnd"/>
            <w:r>
              <w:t xml:space="preserve"> í stöðinni.</w:t>
            </w:r>
          </w:p>
          <w:p w14:paraId="055C1268" w14:textId="77777777" w:rsidR="00DB6835" w:rsidRDefault="00DB6835" w:rsidP="00A9140F">
            <w:pPr>
              <w:pStyle w:val="AnnexNumberedText"/>
              <w:tabs>
                <w:tab w:val="left" w:pos="508"/>
              </w:tabs>
              <w:ind w:left="0" w:firstLine="0"/>
            </w:pPr>
            <w:r>
              <w:lastRenderedPageBreak/>
              <w:t>2.</w:t>
            </w:r>
            <w:r>
              <w:tab/>
              <w:t xml:space="preserve">Framleitt lífgas er notað beint til framleiðslu á raforku eða varma eða uppfært í lífmetan til </w:t>
            </w:r>
            <w:proofErr w:type="spellStart"/>
            <w:r>
              <w:t>inndælingar</w:t>
            </w:r>
            <w:proofErr w:type="spellEnd"/>
            <w:r>
              <w:t xml:space="preserve"> í dreifikerfi jarðgass eða notað sem eldsneyti á farartæki eða sem hráefni í efnaiðnaði.</w:t>
            </w:r>
          </w:p>
        </w:tc>
      </w:tr>
      <w:tr w:rsidR="00DB6835" w14:paraId="0F027848"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455CAA6A" w14:textId="77777777" w:rsidR="00DB6835" w:rsidRDefault="00DB6835" w:rsidP="00A9140F">
            <w:pPr>
              <w:pStyle w:val="AnnexTableCellLeft"/>
              <w:pageBreakBefore/>
            </w:pPr>
            <w:r>
              <w:lastRenderedPageBreak/>
              <w:t>Ekki valda umtalsverðu tjóni</w:t>
            </w:r>
          </w:p>
        </w:tc>
      </w:tr>
      <w:tr w:rsidR="00DB6835" w14:paraId="5824DAEA" w14:textId="77777777" w:rsidTr="00A9140F">
        <w:trPr>
          <w:trHeight w:val="360"/>
        </w:trPr>
        <w:tc>
          <w:tcPr>
            <w:tcW w:w="2788" w:type="dxa"/>
            <w:tcMar>
              <w:top w:w="100" w:type="dxa"/>
              <w:left w:w="0" w:type="dxa"/>
              <w:bottom w:w="100" w:type="dxa"/>
              <w:right w:w="60" w:type="dxa"/>
            </w:tcMar>
          </w:tcPr>
          <w:p w14:paraId="6CCD187A" w14:textId="77777777" w:rsidR="00DB6835" w:rsidRDefault="00DB6835" w:rsidP="00A9140F">
            <w:pPr>
              <w:pStyle w:val="AnnexNumberedText"/>
            </w:pPr>
            <w:r>
              <w:t>2)</w:t>
            </w:r>
            <w:r>
              <w:tab/>
              <w:t>Aðlögun að loftslagsbreytingum</w:t>
            </w:r>
          </w:p>
        </w:tc>
        <w:tc>
          <w:tcPr>
            <w:tcW w:w="5952" w:type="dxa"/>
            <w:tcMar>
              <w:top w:w="100" w:type="dxa"/>
              <w:left w:w="40" w:type="dxa"/>
              <w:bottom w:w="100" w:type="dxa"/>
              <w:right w:w="60" w:type="dxa"/>
            </w:tcMar>
          </w:tcPr>
          <w:p w14:paraId="1330F49D" w14:textId="77777777" w:rsidR="00DB6835" w:rsidRDefault="00DB6835" w:rsidP="00A9140F">
            <w:pPr>
              <w:pStyle w:val="AnnexTableCellLeft"/>
            </w:pPr>
            <w:r>
              <w:t>Starfsemin er í samræmi við viðmiðanirnar sem settar eru fram í viðbæti A við þennan viðauka.</w:t>
            </w:r>
          </w:p>
        </w:tc>
      </w:tr>
      <w:tr w:rsidR="00DB6835" w14:paraId="4865E26D" w14:textId="77777777" w:rsidTr="00A9140F">
        <w:trPr>
          <w:trHeight w:val="360"/>
        </w:trPr>
        <w:tc>
          <w:tcPr>
            <w:tcW w:w="2788" w:type="dxa"/>
            <w:tcMar>
              <w:top w:w="100" w:type="dxa"/>
              <w:left w:w="0" w:type="dxa"/>
              <w:bottom w:w="100" w:type="dxa"/>
              <w:right w:w="60" w:type="dxa"/>
            </w:tcMar>
          </w:tcPr>
          <w:p w14:paraId="18EF1F79" w14:textId="77777777" w:rsidR="00DB6835" w:rsidRDefault="00DB6835" w:rsidP="00A9140F">
            <w:pPr>
              <w:pStyle w:val="AnnexNumberedText"/>
            </w:pPr>
            <w:r>
              <w:t>3)</w:t>
            </w:r>
            <w:r>
              <w:tab/>
              <w:t>Sjálfbær notkun og verndun vatns- og sjávarauðlinda</w:t>
            </w:r>
          </w:p>
        </w:tc>
        <w:tc>
          <w:tcPr>
            <w:tcW w:w="5952" w:type="dxa"/>
            <w:tcMar>
              <w:top w:w="100" w:type="dxa"/>
              <w:left w:w="40" w:type="dxa"/>
              <w:bottom w:w="100" w:type="dxa"/>
              <w:right w:w="60" w:type="dxa"/>
            </w:tcMar>
          </w:tcPr>
          <w:p w14:paraId="28971DFB" w14:textId="77777777" w:rsidR="00DB6835" w:rsidRDefault="00DB6835" w:rsidP="00A9140F">
            <w:pPr>
              <w:pStyle w:val="AnnexTableCellLeft"/>
            </w:pPr>
            <w:r>
              <w:t>Starfsemin er í samræmi við viðmiðanirnar sem settar eru fram í viðbæti B við þennan viðauka.</w:t>
            </w:r>
          </w:p>
        </w:tc>
      </w:tr>
      <w:tr w:rsidR="00DB6835" w14:paraId="26622BA0" w14:textId="77777777" w:rsidTr="00A9140F">
        <w:trPr>
          <w:trHeight w:val="360"/>
        </w:trPr>
        <w:tc>
          <w:tcPr>
            <w:tcW w:w="2788" w:type="dxa"/>
            <w:tcMar>
              <w:top w:w="100" w:type="dxa"/>
              <w:left w:w="0" w:type="dxa"/>
              <w:bottom w:w="100" w:type="dxa"/>
              <w:right w:w="60" w:type="dxa"/>
            </w:tcMar>
          </w:tcPr>
          <w:p w14:paraId="07AC4AF0" w14:textId="77777777" w:rsidR="00DB6835" w:rsidRDefault="00DB6835" w:rsidP="00A9140F">
            <w:pPr>
              <w:pStyle w:val="AnnexNumberedText"/>
            </w:pPr>
            <w:r>
              <w:t>4)</w:t>
            </w:r>
            <w:r>
              <w:tab/>
              <w:t>Umskipti yfir í hringrásarhagkerfi</w:t>
            </w:r>
          </w:p>
        </w:tc>
        <w:tc>
          <w:tcPr>
            <w:tcW w:w="5952" w:type="dxa"/>
            <w:tcMar>
              <w:top w:w="100" w:type="dxa"/>
              <w:left w:w="40" w:type="dxa"/>
              <w:bottom w:w="100" w:type="dxa"/>
              <w:right w:w="60" w:type="dxa"/>
            </w:tcMar>
          </w:tcPr>
          <w:p w14:paraId="77C39CC5" w14:textId="77777777" w:rsidR="00DB6835" w:rsidRDefault="00DB6835" w:rsidP="00A9140F">
            <w:pPr>
              <w:pStyle w:val="AnnexTableCellLeft"/>
            </w:pPr>
            <w:r>
              <w:t>Á ekki við</w:t>
            </w:r>
          </w:p>
        </w:tc>
      </w:tr>
      <w:tr w:rsidR="00DB6835" w14:paraId="6F6C8779" w14:textId="77777777" w:rsidTr="00A9140F">
        <w:trPr>
          <w:trHeight w:val="360"/>
        </w:trPr>
        <w:tc>
          <w:tcPr>
            <w:tcW w:w="2788" w:type="dxa"/>
            <w:tcMar>
              <w:top w:w="100" w:type="dxa"/>
              <w:left w:w="0" w:type="dxa"/>
              <w:bottom w:w="100" w:type="dxa"/>
              <w:right w:w="60" w:type="dxa"/>
            </w:tcMar>
          </w:tcPr>
          <w:p w14:paraId="1F306EEC" w14:textId="77777777" w:rsidR="00DB6835" w:rsidRDefault="00DB6835" w:rsidP="00A9140F">
            <w:pPr>
              <w:pStyle w:val="AnnexNumberedText"/>
            </w:pPr>
            <w:r>
              <w:t>5)</w:t>
            </w:r>
            <w:r>
              <w:tab/>
              <w:t>Mengunarvarnir og eftirlit með mengun</w:t>
            </w:r>
          </w:p>
        </w:tc>
        <w:tc>
          <w:tcPr>
            <w:tcW w:w="5952" w:type="dxa"/>
            <w:tcMar>
              <w:top w:w="100" w:type="dxa"/>
              <w:left w:w="40" w:type="dxa"/>
              <w:bottom w:w="100" w:type="dxa"/>
              <w:right w:w="60" w:type="dxa"/>
            </w:tcMar>
          </w:tcPr>
          <w:p w14:paraId="201C0663" w14:textId="77777777" w:rsidR="00DB6835" w:rsidRDefault="00DB6835" w:rsidP="00A9140F">
            <w:pPr>
              <w:pStyle w:val="AnnexTableCellLeft"/>
              <w:spacing w:after="280"/>
              <w:rPr>
                <w:szCs w:val="18"/>
              </w:rPr>
            </w:pPr>
            <w:r>
              <w:t xml:space="preserve">Losun fellur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w:t>
            </w:r>
            <w:proofErr w:type="spellStart"/>
            <w:r>
              <w:t>loftfirrða</w:t>
            </w:r>
            <w:proofErr w:type="spellEnd"/>
            <w:r>
              <w:t xml:space="preserve"> meðhöndlun úrgangs (</w:t>
            </w:r>
            <w:r>
              <w:rPr>
                <w:rStyle w:val="Tilvsunneanmlsgrein"/>
                <w:sz w:val="18"/>
                <w:szCs w:val="18"/>
              </w:rPr>
              <w:footnoteReference w:id="229"/>
            </w:r>
            <w:r>
              <w:t>). Engin umtalsverð yfirfærsluáhrif milli umhverfishólfa eiga sér stað.</w:t>
            </w:r>
          </w:p>
          <w:p w14:paraId="6E2DD5B6" w14:textId="77777777" w:rsidR="00DB6835" w:rsidRDefault="00DB6835" w:rsidP="00A9140F">
            <w:pPr>
              <w:pStyle w:val="AnnexTableCellLeft"/>
              <w:spacing w:after="280"/>
            </w:pPr>
            <w:r>
              <w:t xml:space="preserve">Ef meltan sem verður til er ætluð til notkunar sem áburður eða </w:t>
            </w:r>
            <w:proofErr w:type="spellStart"/>
            <w:r>
              <w:t>jarðvegsbætir</w:t>
            </w:r>
            <w:proofErr w:type="spellEnd"/>
            <w:r>
              <w:t xml:space="preserve"> er köfnunarefnisinnihald hennar (með leyfilegt hámarksgildi sem nemur ± 25%) tilkynnt kaupandanum eða aðilanum sem ber ábyrgð á meltunni.</w:t>
            </w:r>
          </w:p>
        </w:tc>
      </w:tr>
      <w:tr w:rsidR="00DB6835" w14:paraId="09791DAE" w14:textId="77777777" w:rsidTr="00A9140F">
        <w:trPr>
          <w:trHeight w:val="360"/>
        </w:trPr>
        <w:tc>
          <w:tcPr>
            <w:tcW w:w="2788" w:type="dxa"/>
            <w:tcMar>
              <w:top w:w="100" w:type="dxa"/>
              <w:left w:w="0" w:type="dxa"/>
              <w:bottom w:w="100" w:type="dxa"/>
              <w:right w:w="60" w:type="dxa"/>
            </w:tcMar>
          </w:tcPr>
          <w:p w14:paraId="31961D93" w14:textId="77777777" w:rsidR="00DB6835" w:rsidRDefault="00DB6835" w:rsidP="00A9140F">
            <w:pPr>
              <w:pStyle w:val="AnnexNumberedText"/>
            </w:pPr>
            <w:r>
              <w:t>6)</w:t>
            </w:r>
            <w:r>
              <w:tab/>
              <w:t>Vernd og endurheimt líffræðilegrar fjölbreytni og vistkerfa</w:t>
            </w:r>
          </w:p>
        </w:tc>
        <w:tc>
          <w:tcPr>
            <w:tcW w:w="5952" w:type="dxa"/>
            <w:tcMar>
              <w:top w:w="100" w:type="dxa"/>
              <w:left w:w="40" w:type="dxa"/>
              <w:bottom w:w="100" w:type="dxa"/>
              <w:right w:w="60" w:type="dxa"/>
            </w:tcMar>
          </w:tcPr>
          <w:p w14:paraId="66F96A8A" w14:textId="77777777" w:rsidR="00DB6835" w:rsidRDefault="00DB6835" w:rsidP="00A9140F">
            <w:pPr>
              <w:pStyle w:val="AnnexTableCellLeft"/>
            </w:pPr>
            <w:r>
              <w:t>Starfsemin er í samræmi við viðmiðanirnar sem settar eru fram í viðbæti D við þennan viðauka.</w:t>
            </w:r>
          </w:p>
        </w:tc>
      </w:tr>
    </w:tbl>
    <w:p w14:paraId="0674651F" w14:textId="77777777" w:rsidR="00DB6835" w:rsidRDefault="00DB6835" w:rsidP="00DB6835">
      <w:pPr>
        <w:pStyle w:val="AnnexNumberedText"/>
        <w:spacing w:before="200" w:after="280"/>
        <w:ind w:left="500" w:hanging="500"/>
      </w:pPr>
      <w:r>
        <w:t>5.7.</w:t>
      </w:r>
      <w:r>
        <w:rPr>
          <w:b/>
        </w:rPr>
        <w:tab/>
      </w:r>
      <w:proofErr w:type="spellStart"/>
      <w:r>
        <w:rPr>
          <w:b/>
        </w:rPr>
        <w:t>Loftfirrð</w:t>
      </w:r>
      <w:proofErr w:type="spellEnd"/>
      <w:r>
        <w:rPr>
          <w:b/>
        </w:rPr>
        <w:t xml:space="preserve"> meltun lífúrgangs</w:t>
      </w:r>
    </w:p>
    <w:p w14:paraId="3A57FF9F" w14:textId="77777777" w:rsidR="00DB6835" w:rsidRDefault="00DB6835" w:rsidP="00DB6835">
      <w:pPr>
        <w:pStyle w:val="AnnexGrSeq3"/>
        <w:spacing w:after="280"/>
        <w:ind w:left="500"/>
        <w:jc w:val="both"/>
        <w:rPr>
          <w:szCs w:val="18"/>
        </w:rPr>
      </w:pPr>
      <w:r>
        <w:rPr>
          <w:i/>
        </w:rPr>
        <w:t>Lýsing á starfseminni</w:t>
      </w:r>
    </w:p>
    <w:p w14:paraId="5CF65ACA" w14:textId="77777777" w:rsidR="00DB6835" w:rsidRDefault="00DB6835" w:rsidP="00DB6835">
      <w:pPr>
        <w:pStyle w:val="AnnexNormal"/>
        <w:spacing w:after="280"/>
        <w:ind w:left="500"/>
        <w:rPr>
          <w:szCs w:val="18"/>
        </w:rPr>
      </w:pPr>
      <w:r>
        <w:t>Bygging og rekstur sérstakra stöðva til að hreinsa lífúrgang, sem er safnað á aðskilinn hátt (</w:t>
      </w:r>
      <w:bookmarkStart w:id="33" w:name="NOTE_229"/>
      <w:r>
        <w:rPr>
          <w:rStyle w:val="Tilvsunneanmlsgrein"/>
          <w:sz w:val="18"/>
          <w:szCs w:val="18"/>
        </w:rPr>
        <w:footnoteReference w:id="230"/>
      </w:r>
      <w:bookmarkEnd w:id="33"/>
      <w:r>
        <w:t xml:space="preserve">), með </w:t>
      </w:r>
      <w:proofErr w:type="spellStart"/>
      <w:r>
        <w:t>loftfirrðri</w:t>
      </w:r>
      <w:proofErr w:type="spellEnd"/>
      <w:r>
        <w:t xml:space="preserve"> meltun með endanlega framleiðslu og notkun á lífgasi og meltu og/eða </w:t>
      </w:r>
      <w:proofErr w:type="spellStart"/>
      <w:r>
        <w:t>íðefnum</w:t>
      </w:r>
      <w:proofErr w:type="spellEnd"/>
      <w:r>
        <w:t>.</w:t>
      </w:r>
    </w:p>
    <w:p w14:paraId="7205E407" w14:textId="77777777" w:rsidR="00DB6835" w:rsidRDefault="00DB6835" w:rsidP="00DB6835">
      <w:pPr>
        <w:pStyle w:val="AnnexNormal"/>
        <w:spacing w:after="280"/>
        <w:ind w:left="500"/>
        <w:rPr>
          <w:szCs w:val="18"/>
        </w:rPr>
      </w:pPr>
      <w:r>
        <w:t>Atvinnustarfsemin í þessum flokki gæti tengst nokkrum kóðum atvinnugreinaflokkunar Evrópusambandsins, einkum E38.21 og F42.99, í samræmi við atvinnugreinaflokkunina sem komið var á með reglugerð (EB) nr. 1893/2006.</w:t>
      </w:r>
    </w:p>
    <w:p w14:paraId="6709C8EB" w14:textId="77777777" w:rsidR="00DB6835" w:rsidRDefault="00DB6835" w:rsidP="00DB6835">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24"/>
        <w:gridCol w:w="5916"/>
      </w:tblGrid>
      <w:tr w:rsidR="00DB6835" w14:paraId="758F5C7A"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D6DBA41"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2945520" w14:textId="77777777" w:rsidTr="00A9140F">
        <w:trPr>
          <w:trHeight w:val="360"/>
        </w:trPr>
        <w:tc>
          <w:tcPr>
            <w:tcW w:w="8740" w:type="dxa"/>
            <w:gridSpan w:val="2"/>
            <w:tcBorders>
              <w:bottom w:val="nil"/>
            </w:tcBorders>
            <w:tcMar>
              <w:top w:w="100" w:type="dxa"/>
              <w:left w:w="0" w:type="dxa"/>
              <w:bottom w:w="100" w:type="dxa"/>
              <w:right w:w="60" w:type="dxa"/>
            </w:tcMar>
          </w:tcPr>
          <w:p w14:paraId="17DBA0BF" w14:textId="77777777" w:rsidR="00DB6835" w:rsidRDefault="00DB6835" w:rsidP="00A9140F">
            <w:pPr>
              <w:pStyle w:val="AnnexNumberedText"/>
              <w:tabs>
                <w:tab w:val="left" w:pos="508"/>
              </w:tabs>
              <w:spacing w:after="280"/>
              <w:ind w:left="0" w:firstLine="0"/>
            </w:pPr>
            <w:r>
              <w:t>1.</w:t>
            </w:r>
            <w:r>
              <w:tab/>
              <w:t xml:space="preserve">Vöktunar- og viðbragðsáætlun er til staðar í því skyni að lágmarka </w:t>
            </w:r>
            <w:proofErr w:type="spellStart"/>
            <w:r>
              <w:t>metanleka</w:t>
            </w:r>
            <w:proofErr w:type="spellEnd"/>
            <w:r>
              <w:t xml:space="preserve"> í stöðinni.</w:t>
            </w:r>
          </w:p>
          <w:p w14:paraId="5FB26C91" w14:textId="77777777" w:rsidR="00DB6835" w:rsidRDefault="00DB6835" w:rsidP="00A9140F">
            <w:pPr>
              <w:pStyle w:val="AnnexNumberedText"/>
              <w:tabs>
                <w:tab w:val="left" w:pos="508"/>
              </w:tabs>
              <w:spacing w:after="280"/>
              <w:ind w:left="0" w:firstLine="0"/>
            </w:pPr>
            <w:r>
              <w:t>2.</w:t>
            </w:r>
            <w:r>
              <w:tab/>
              <w:t xml:space="preserve">Framleitt lífgas er notað beint til framleiðslu á raforku eða varma eða uppfært í lífmetan til </w:t>
            </w:r>
            <w:proofErr w:type="spellStart"/>
            <w:r>
              <w:t>inndælingar</w:t>
            </w:r>
            <w:proofErr w:type="spellEnd"/>
            <w:r>
              <w:t xml:space="preserve"> í dreifikerfi jarðgass eða notað sem eldsneyti á farartæki eða sem hráefni í efnaiðnaði.</w:t>
            </w:r>
          </w:p>
          <w:p w14:paraId="5AFBE4D2" w14:textId="77777777" w:rsidR="00DB6835" w:rsidRDefault="00DB6835" w:rsidP="00A9140F">
            <w:pPr>
              <w:pStyle w:val="AnnexNumberedText"/>
              <w:tabs>
                <w:tab w:val="left" w:pos="508"/>
              </w:tabs>
              <w:spacing w:after="280"/>
              <w:ind w:left="0" w:firstLine="0"/>
            </w:pPr>
            <w:r>
              <w:t>3.</w:t>
            </w:r>
            <w:r>
              <w:tab/>
              <w:t xml:space="preserve">Lífúrgangur sem er notaður til </w:t>
            </w:r>
            <w:proofErr w:type="spellStart"/>
            <w:r>
              <w:t>loftfirrðrar</w:t>
            </w:r>
            <w:proofErr w:type="spellEnd"/>
            <w:r>
              <w:t xml:space="preserve"> </w:t>
            </w:r>
            <w:proofErr w:type="spellStart"/>
            <w:r>
              <w:t>meltunar</w:t>
            </w:r>
            <w:proofErr w:type="spellEnd"/>
            <w:r>
              <w:t xml:space="preserve"> er aðgreindur við upptök og safnað saman sértaklega.</w:t>
            </w:r>
          </w:p>
          <w:p w14:paraId="0C862695" w14:textId="77777777" w:rsidR="00DB6835" w:rsidRDefault="00DB6835" w:rsidP="00A9140F">
            <w:pPr>
              <w:pStyle w:val="AnnexNumberedText"/>
              <w:tabs>
                <w:tab w:val="left" w:pos="508"/>
              </w:tabs>
              <w:spacing w:after="280"/>
              <w:ind w:left="0" w:firstLine="0"/>
            </w:pPr>
            <w:r>
              <w:t>4.</w:t>
            </w:r>
            <w:r>
              <w:tab/>
              <w:t xml:space="preserve">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w:t>
            </w:r>
          </w:p>
          <w:p w14:paraId="1182D0E3" w14:textId="77777777" w:rsidR="00DB6835" w:rsidRDefault="00DB6835" w:rsidP="00A9140F">
            <w:pPr>
              <w:pStyle w:val="AnnexNumberedText"/>
              <w:tabs>
                <w:tab w:val="left" w:pos="508"/>
              </w:tabs>
              <w:spacing w:after="0"/>
              <w:ind w:left="0" w:firstLine="0"/>
            </w:pPr>
            <w:r>
              <w:t>5.</w:t>
            </w:r>
            <w:r>
              <w:tab/>
              <w:t>Í sérstökum stöðvum til að hreinsa lífúrgang er hlutfall matvæla- og fóðurplantna (</w:t>
            </w:r>
            <w:r>
              <w:rPr>
                <w:rStyle w:val="Tilvsunneanmlsgrein"/>
                <w:sz w:val="18"/>
                <w:szCs w:val="18"/>
              </w:rPr>
              <w:footnoteReference w:id="231"/>
            </w:r>
            <w:r>
              <w:t>) sem eru notaðar sem ílagshráefni, mælt eftir þyngd, sem ársmeðaltal, 10% eða minna af ílagshráefninu.</w:t>
            </w:r>
          </w:p>
        </w:tc>
      </w:tr>
      <w:tr w:rsidR="00DB6835" w14:paraId="6795C2DA"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6F92A375" w14:textId="77777777" w:rsidR="00DB6835" w:rsidRDefault="00DB6835" w:rsidP="00A9140F">
            <w:pPr>
              <w:pStyle w:val="AnnexTableCellLeft"/>
              <w:pageBreakBefore/>
            </w:pPr>
            <w:r>
              <w:lastRenderedPageBreak/>
              <w:t>Ekki valda umtalsverðu tjóni</w:t>
            </w:r>
          </w:p>
        </w:tc>
      </w:tr>
      <w:tr w:rsidR="00DB6835" w14:paraId="50D9F48B" w14:textId="77777777" w:rsidTr="00A9140F">
        <w:trPr>
          <w:trHeight w:val="360"/>
        </w:trPr>
        <w:tc>
          <w:tcPr>
            <w:tcW w:w="2824" w:type="dxa"/>
            <w:tcMar>
              <w:top w:w="100" w:type="dxa"/>
              <w:left w:w="0" w:type="dxa"/>
              <w:bottom w:w="100" w:type="dxa"/>
              <w:right w:w="60" w:type="dxa"/>
            </w:tcMar>
          </w:tcPr>
          <w:p w14:paraId="77610F11" w14:textId="77777777" w:rsidR="00DB6835" w:rsidRDefault="00DB6835" w:rsidP="00A9140F">
            <w:pPr>
              <w:pStyle w:val="AnnexNumberedText"/>
            </w:pPr>
            <w:r>
              <w:t>2)</w:t>
            </w:r>
            <w:r>
              <w:tab/>
              <w:t>Aðlögun að loftslagsbreytingum</w:t>
            </w:r>
          </w:p>
        </w:tc>
        <w:tc>
          <w:tcPr>
            <w:tcW w:w="5916" w:type="dxa"/>
            <w:tcMar>
              <w:top w:w="100" w:type="dxa"/>
              <w:left w:w="40" w:type="dxa"/>
              <w:bottom w:w="100" w:type="dxa"/>
              <w:right w:w="0" w:type="dxa"/>
            </w:tcMar>
          </w:tcPr>
          <w:p w14:paraId="618BF244" w14:textId="77777777" w:rsidR="00DB6835" w:rsidRDefault="00DB6835" w:rsidP="00A9140F">
            <w:pPr>
              <w:pStyle w:val="AnnexTableCellLeft"/>
            </w:pPr>
            <w:r>
              <w:t>Starfsemin er í samræmi við viðmiðanirnar sem settar eru fram í viðbæti A við þennan viðauka.</w:t>
            </w:r>
          </w:p>
        </w:tc>
      </w:tr>
      <w:tr w:rsidR="00DB6835" w14:paraId="440C9A51" w14:textId="77777777" w:rsidTr="00A9140F">
        <w:trPr>
          <w:trHeight w:val="360"/>
        </w:trPr>
        <w:tc>
          <w:tcPr>
            <w:tcW w:w="2824" w:type="dxa"/>
            <w:tcMar>
              <w:top w:w="100" w:type="dxa"/>
              <w:left w:w="0" w:type="dxa"/>
              <w:bottom w:w="100" w:type="dxa"/>
              <w:right w:w="60" w:type="dxa"/>
            </w:tcMar>
          </w:tcPr>
          <w:p w14:paraId="54874A2B" w14:textId="77777777" w:rsidR="00DB6835" w:rsidRDefault="00DB6835" w:rsidP="00A9140F">
            <w:pPr>
              <w:pStyle w:val="AnnexNumberedText"/>
            </w:pPr>
            <w:r>
              <w:t>3)</w:t>
            </w:r>
            <w:r>
              <w:tab/>
              <w:t>Sjálfbær notkun og verndun vatns- og sjávarauðlinda</w:t>
            </w:r>
          </w:p>
        </w:tc>
        <w:tc>
          <w:tcPr>
            <w:tcW w:w="5916" w:type="dxa"/>
            <w:tcMar>
              <w:top w:w="100" w:type="dxa"/>
              <w:left w:w="40" w:type="dxa"/>
              <w:bottom w:w="100" w:type="dxa"/>
              <w:right w:w="0" w:type="dxa"/>
            </w:tcMar>
          </w:tcPr>
          <w:p w14:paraId="65352D02" w14:textId="77777777" w:rsidR="00DB6835" w:rsidRDefault="00DB6835" w:rsidP="00A9140F">
            <w:pPr>
              <w:pStyle w:val="AnnexTableCellLeft"/>
            </w:pPr>
            <w:r>
              <w:t>Starfsemin er í samræmi við viðmiðanirnar sem settar eru fram í viðbæti B við þennan viðauka.</w:t>
            </w:r>
          </w:p>
        </w:tc>
      </w:tr>
      <w:tr w:rsidR="00DB6835" w14:paraId="7803D9D1" w14:textId="77777777" w:rsidTr="00A9140F">
        <w:trPr>
          <w:trHeight w:val="360"/>
        </w:trPr>
        <w:tc>
          <w:tcPr>
            <w:tcW w:w="2824" w:type="dxa"/>
            <w:tcMar>
              <w:top w:w="100" w:type="dxa"/>
              <w:left w:w="0" w:type="dxa"/>
              <w:bottom w:w="100" w:type="dxa"/>
              <w:right w:w="60" w:type="dxa"/>
            </w:tcMar>
          </w:tcPr>
          <w:p w14:paraId="3288E12E" w14:textId="77777777" w:rsidR="00DB6835" w:rsidRDefault="00DB6835" w:rsidP="00A9140F">
            <w:pPr>
              <w:pStyle w:val="AnnexNumberedText"/>
            </w:pPr>
            <w:r>
              <w:t>4)</w:t>
            </w:r>
            <w:r>
              <w:tab/>
              <w:t>Umskipti yfir í hringrásarhagkerfi</w:t>
            </w:r>
          </w:p>
        </w:tc>
        <w:tc>
          <w:tcPr>
            <w:tcW w:w="5916" w:type="dxa"/>
            <w:tcMar>
              <w:top w:w="100" w:type="dxa"/>
              <w:left w:w="40" w:type="dxa"/>
              <w:bottom w:w="100" w:type="dxa"/>
              <w:right w:w="0" w:type="dxa"/>
            </w:tcMar>
          </w:tcPr>
          <w:p w14:paraId="48336DB0" w14:textId="77777777" w:rsidR="00DB6835" w:rsidRDefault="00DB6835" w:rsidP="00A9140F">
            <w:pPr>
              <w:pStyle w:val="AnnexTableCellLeft"/>
            </w:pPr>
            <w:r>
              <w:t>Á ekki við</w:t>
            </w:r>
          </w:p>
        </w:tc>
      </w:tr>
      <w:tr w:rsidR="00DB6835" w14:paraId="277ECC84" w14:textId="77777777" w:rsidTr="00A9140F">
        <w:trPr>
          <w:trHeight w:val="360"/>
        </w:trPr>
        <w:tc>
          <w:tcPr>
            <w:tcW w:w="2824" w:type="dxa"/>
            <w:tcMar>
              <w:top w:w="100" w:type="dxa"/>
              <w:left w:w="0" w:type="dxa"/>
              <w:bottom w:w="100" w:type="dxa"/>
              <w:right w:w="60" w:type="dxa"/>
            </w:tcMar>
          </w:tcPr>
          <w:p w14:paraId="46C821CF" w14:textId="77777777" w:rsidR="00DB6835" w:rsidRDefault="00DB6835" w:rsidP="00A9140F">
            <w:pPr>
              <w:pStyle w:val="AnnexNumberedText"/>
            </w:pPr>
            <w:r>
              <w:t>5)</w:t>
            </w:r>
            <w:r>
              <w:tab/>
              <w:t>Mengunarvarnir og eftirlit með mengun</w:t>
            </w:r>
          </w:p>
        </w:tc>
        <w:tc>
          <w:tcPr>
            <w:tcW w:w="5916" w:type="dxa"/>
            <w:tcMar>
              <w:top w:w="100" w:type="dxa"/>
              <w:left w:w="40" w:type="dxa"/>
              <w:bottom w:w="100" w:type="dxa"/>
              <w:right w:w="0" w:type="dxa"/>
            </w:tcMar>
          </w:tcPr>
          <w:p w14:paraId="06C5D7D9" w14:textId="77777777" w:rsidR="00DB6835" w:rsidRDefault="00DB6835" w:rsidP="00A9140F">
            <w:pPr>
              <w:pStyle w:val="AnnexTableCellLeft"/>
              <w:spacing w:after="280"/>
              <w:rPr>
                <w:szCs w:val="18"/>
              </w:rPr>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232"/>
            </w:r>
            <w:r>
              <w:t>). Engin umtalsverð yfirfærsluáhrif milli umhverfishólfa eiga sér stað.</w:t>
            </w:r>
          </w:p>
          <w:p w14:paraId="6EF6448B" w14:textId="77777777" w:rsidR="00DB6835" w:rsidRDefault="00DB6835" w:rsidP="00A9140F">
            <w:pPr>
              <w:pStyle w:val="AnnexTableCellLeft"/>
              <w:spacing w:after="280"/>
            </w:pPr>
            <w:r>
              <w:t xml:space="preserve">Framleidd melta uppfyllir kröfurnar fyrir áburðarefni sem settar eru fram í efnisþáttaefniviðaflokkum 4 og 5 um meltu eða efnisþáttaefniviðaflokki 3 um </w:t>
            </w:r>
            <w:proofErr w:type="spellStart"/>
            <w:r>
              <w:t>moltu</w:t>
            </w:r>
            <w:proofErr w:type="spellEnd"/>
            <w:r>
              <w:t>, eftir því sem við á, í II. viðauka við reglugerð (ESB) 2019/1009 eða landsbundnar reglur um áburð eða jarðvegsbæta til notkunar í landbúnaði.</w:t>
            </w:r>
          </w:p>
          <w:p w14:paraId="78B088D8" w14:textId="77777777" w:rsidR="00DB6835" w:rsidRDefault="00DB6835" w:rsidP="00A9140F">
            <w:pPr>
              <w:pStyle w:val="AnnexTableCellLeft"/>
              <w:spacing w:after="200"/>
            </w:pPr>
            <w:r>
              <w:t xml:space="preserve">Köfnunarefnisinnihald (með leyfilegt hámarksgildi sem nemur ± 25%) meltu sem er notuð sem áburður eða </w:t>
            </w:r>
            <w:proofErr w:type="spellStart"/>
            <w:r>
              <w:t>jarðvegsbætir</w:t>
            </w:r>
            <w:proofErr w:type="spellEnd"/>
            <w:r>
              <w:t xml:space="preserve"> er tilkynnt kaupandanum eða aðilanum sem ber ábyrgð á meltunni.</w:t>
            </w:r>
          </w:p>
        </w:tc>
      </w:tr>
      <w:tr w:rsidR="00DB6835" w14:paraId="662856AA" w14:textId="77777777" w:rsidTr="00A9140F">
        <w:trPr>
          <w:trHeight w:val="360"/>
        </w:trPr>
        <w:tc>
          <w:tcPr>
            <w:tcW w:w="2824" w:type="dxa"/>
            <w:tcMar>
              <w:top w:w="100" w:type="dxa"/>
              <w:left w:w="0" w:type="dxa"/>
              <w:bottom w:w="100" w:type="dxa"/>
              <w:right w:w="60" w:type="dxa"/>
            </w:tcMar>
          </w:tcPr>
          <w:p w14:paraId="4678BC25" w14:textId="77777777" w:rsidR="00DB6835" w:rsidRDefault="00DB6835" w:rsidP="00A9140F">
            <w:pPr>
              <w:pStyle w:val="AnnexNumberedText"/>
            </w:pPr>
            <w:r>
              <w:t>6)</w:t>
            </w:r>
            <w:r>
              <w:tab/>
              <w:t>Vernd og endurheimt líffræðilegrar fjölbreytni og vistkerfa</w:t>
            </w:r>
          </w:p>
        </w:tc>
        <w:tc>
          <w:tcPr>
            <w:tcW w:w="5916" w:type="dxa"/>
            <w:tcMar>
              <w:top w:w="100" w:type="dxa"/>
              <w:left w:w="40" w:type="dxa"/>
              <w:bottom w:w="100" w:type="dxa"/>
              <w:right w:w="0" w:type="dxa"/>
            </w:tcMar>
          </w:tcPr>
          <w:p w14:paraId="20D6A944" w14:textId="77777777" w:rsidR="00DB6835" w:rsidRDefault="00DB6835" w:rsidP="00A9140F">
            <w:pPr>
              <w:pStyle w:val="AnnexTableCellLeft"/>
            </w:pPr>
            <w:r>
              <w:t>Starfsemin er í samræmi við viðmiðanirnar sem settar eru fram í viðbæti D við þennan viðauka.</w:t>
            </w:r>
          </w:p>
        </w:tc>
      </w:tr>
    </w:tbl>
    <w:p w14:paraId="3491A41B" w14:textId="77777777" w:rsidR="00DB6835" w:rsidRDefault="00DB6835" w:rsidP="00DB6835">
      <w:pPr>
        <w:pStyle w:val="AnnexNumberedText"/>
        <w:spacing w:before="200" w:after="280"/>
        <w:ind w:left="500" w:hanging="500"/>
      </w:pPr>
      <w:r>
        <w:t>5.8.</w:t>
      </w:r>
      <w:r>
        <w:rPr>
          <w:b/>
        </w:rPr>
        <w:tab/>
      </w:r>
      <w:proofErr w:type="spellStart"/>
      <w:r>
        <w:rPr>
          <w:b/>
        </w:rPr>
        <w:t>Mylting</w:t>
      </w:r>
      <w:proofErr w:type="spellEnd"/>
      <w:r>
        <w:rPr>
          <w:b/>
        </w:rPr>
        <w:t xml:space="preserve"> lífúrgangs</w:t>
      </w:r>
    </w:p>
    <w:p w14:paraId="52516C4F" w14:textId="77777777" w:rsidR="00DB6835" w:rsidRDefault="00DB6835" w:rsidP="00DB6835">
      <w:pPr>
        <w:pStyle w:val="AnnexGrSeq3"/>
        <w:spacing w:after="280"/>
        <w:ind w:left="500"/>
        <w:jc w:val="both"/>
        <w:rPr>
          <w:szCs w:val="18"/>
        </w:rPr>
      </w:pPr>
      <w:r>
        <w:rPr>
          <w:i/>
        </w:rPr>
        <w:t>Lýsing á starfseminni</w:t>
      </w:r>
    </w:p>
    <w:p w14:paraId="18B4FE00" w14:textId="77777777" w:rsidR="00DB6835" w:rsidRDefault="00DB6835" w:rsidP="00DB6835">
      <w:pPr>
        <w:pStyle w:val="AnnexNormal"/>
        <w:spacing w:after="280"/>
        <w:ind w:left="500"/>
        <w:rPr>
          <w:szCs w:val="18"/>
        </w:rPr>
      </w:pPr>
      <w:r>
        <w:t>Bygging og rekstur sérstakra stöðva til að hreinsa lífúrgang, sem er safnað á aðskilinn hátt (</w:t>
      </w:r>
      <w:bookmarkStart w:id="34" w:name="NOTE_232"/>
      <w:r>
        <w:rPr>
          <w:rStyle w:val="Tilvsunneanmlsgrein"/>
          <w:sz w:val="18"/>
          <w:szCs w:val="18"/>
        </w:rPr>
        <w:footnoteReference w:id="233"/>
      </w:r>
      <w:bookmarkEnd w:id="34"/>
      <w:r>
        <w:t xml:space="preserve">), með </w:t>
      </w:r>
      <w:proofErr w:type="spellStart"/>
      <w:r>
        <w:t>myltingu</w:t>
      </w:r>
      <w:proofErr w:type="spellEnd"/>
      <w:r>
        <w:t xml:space="preserve"> (loftháð meltun) með endanlega framleiðslu og notkun á </w:t>
      </w:r>
      <w:proofErr w:type="spellStart"/>
      <w:r>
        <w:t>moltu</w:t>
      </w:r>
      <w:proofErr w:type="spellEnd"/>
      <w:r>
        <w:t>.</w:t>
      </w:r>
    </w:p>
    <w:p w14:paraId="7280FDAB" w14:textId="77777777" w:rsidR="00DB6835" w:rsidRDefault="00DB6835" w:rsidP="00DB6835">
      <w:pPr>
        <w:pStyle w:val="AnnexNormal"/>
        <w:spacing w:after="280"/>
        <w:ind w:left="500"/>
        <w:rPr>
          <w:szCs w:val="18"/>
        </w:rPr>
      </w:pPr>
      <w:r>
        <w:t>Atvinnustarfsemin í þessum flokki gæti tengst nokkrum kóðum atvinnugreinaflokkunar Evrópusambandsins, einkum E38.21 og F42.99, í samræmi við atvinnugreinaflokkunina sem komið var á með reglugerð (EB) nr. 1893/2006.</w:t>
      </w:r>
    </w:p>
    <w:p w14:paraId="599087C0" w14:textId="77777777" w:rsidR="00DB6835" w:rsidRDefault="00DB6835" w:rsidP="00DB6835">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84"/>
        <w:gridCol w:w="5856"/>
      </w:tblGrid>
      <w:tr w:rsidR="00DB6835" w14:paraId="65DEB614" w14:textId="77777777" w:rsidTr="00A9140F">
        <w:trPr>
          <w:trHeight w:val="240"/>
        </w:trPr>
        <w:tc>
          <w:tcPr>
            <w:tcW w:w="8740" w:type="dxa"/>
            <w:gridSpan w:val="2"/>
            <w:tcMar>
              <w:top w:w="100" w:type="dxa"/>
              <w:left w:w="0" w:type="dxa"/>
              <w:bottom w:w="100" w:type="dxa"/>
              <w:right w:w="60" w:type="dxa"/>
            </w:tcMar>
          </w:tcPr>
          <w:p w14:paraId="18B4A9B1"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34C3C8B" w14:textId="77777777" w:rsidTr="00A9140F">
        <w:trPr>
          <w:trHeight w:val="360"/>
        </w:trPr>
        <w:tc>
          <w:tcPr>
            <w:tcW w:w="8740" w:type="dxa"/>
            <w:gridSpan w:val="2"/>
            <w:tcMar>
              <w:top w:w="100" w:type="dxa"/>
              <w:left w:w="0" w:type="dxa"/>
              <w:bottom w:w="100" w:type="dxa"/>
              <w:right w:w="60" w:type="dxa"/>
            </w:tcMar>
          </w:tcPr>
          <w:p w14:paraId="2BFC01BF" w14:textId="77777777" w:rsidR="00DB6835" w:rsidRDefault="00DB6835" w:rsidP="00A9140F">
            <w:pPr>
              <w:pStyle w:val="AnnexNumberedText"/>
              <w:tabs>
                <w:tab w:val="left" w:pos="508"/>
              </w:tabs>
              <w:ind w:left="0" w:firstLine="0"/>
            </w:pPr>
            <w:r>
              <w:t>1.</w:t>
            </w:r>
            <w:r>
              <w:tab/>
              <w:t xml:space="preserve">Lífúrgangur sem er </w:t>
            </w:r>
            <w:proofErr w:type="spellStart"/>
            <w:r>
              <w:t>myltaður</w:t>
            </w:r>
            <w:proofErr w:type="spellEnd"/>
            <w:r>
              <w:t xml:space="preserve"> er aðgreindur við upptök og safnað saman sértaklega.</w:t>
            </w:r>
          </w:p>
          <w:p w14:paraId="7DDBC61D" w14:textId="77777777" w:rsidR="00DB6835" w:rsidRDefault="00DB6835" w:rsidP="00A9140F">
            <w:pPr>
              <w:pStyle w:val="AnnexNumberedText"/>
              <w:tabs>
                <w:tab w:val="left" w:pos="508"/>
              </w:tabs>
              <w:ind w:left="0" w:firstLine="0"/>
            </w:pPr>
            <w:r>
              <w:t>2.</w:t>
            </w:r>
            <w:r>
              <w:tab/>
              <w:t xml:space="preserve">Framleidd </w:t>
            </w:r>
            <w:proofErr w:type="spellStart"/>
            <w:r>
              <w:t>molta</w:t>
            </w:r>
            <w:proofErr w:type="spellEnd"/>
            <w:r>
              <w:t xml:space="preserve"> er notuð sem áburður eða </w:t>
            </w:r>
            <w:proofErr w:type="spellStart"/>
            <w:r>
              <w:t>jarðvegsbætir</w:t>
            </w:r>
            <w:proofErr w:type="spellEnd"/>
            <w:r>
              <w:t xml:space="preserve"> og uppfyllir kröfurnar fyrir áburðarefni sem settar eru fram í efnisþáttaefniviðaflokki 3 í II. viðauka við reglugerð (ESB) 2019/1009 eða landsbundnar reglur um áburð eða jarðvegsbæta til notkunar í landbúnaði.</w:t>
            </w:r>
          </w:p>
        </w:tc>
      </w:tr>
      <w:tr w:rsidR="00DB6835" w14:paraId="0F8F3F16" w14:textId="77777777" w:rsidTr="00A9140F">
        <w:trPr>
          <w:trHeight w:val="240"/>
        </w:trPr>
        <w:tc>
          <w:tcPr>
            <w:tcW w:w="8740" w:type="dxa"/>
            <w:gridSpan w:val="2"/>
            <w:tcMar>
              <w:top w:w="100" w:type="dxa"/>
              <w:left w:w="0" w:type="dxa"/>
              <w:bottom w:w="100" w:type="dxa"/>
              <w:right w:w="60" w:type="dxa"/>
            </w:tcMar>
          </w:tcPr>
          <w:p w14:paraId="4EBBA3FF" w14:textId="77777777" w:rsidR="00DB6835" w:rsidRDefault="00DB6835" w:rsidP="00A9140F">
            <w:pPr>
              <w:pStyle w:val="AnnexTableCellLeft"/>
            </w:pPr>
            <w:r>
              <w:t>Ekki valda umtalsverðu tjóni</w:t>
            </w:r>
          </w:p>
        </w:tc>
      </w:tr>
      <w:tr w:rsidR="00DB6835" w14:paraId="43FBDA46" w14:textId="77777777" w:rsidTr="00A9140F">
        <w:trPr>
          <w:trHeight w:val="360"/>
        </w:trPr>
        <w:tc>
          <w:tcPr>
            <w:tcW w:w="2884" w:type="dxa"/>
            <w:tcMar>
              <w:top w:w="100" w:type="dxa"/>
              <w:left w:w="0" w:type="dxa"/>
              <w:bottom w:w="100" w:type="dxa"/>
              <w:right w:w="60" w:type="dxa"/>
            </w:tcMar>
          </w:tcPr>
          <w:p w14:paraId="0573F37B" w14:textId="77777777" w:rsidR="00DB6835" w:rsidRDefault="00DB6835" w:rsidP="00A9140F">
            <w:pPr>
              <w:pStyle w:val="AnnexNumberedText"/>
            </w:pPr>
            <w:r>
              <w:lastRenderedPageBreak/>
              <w:t>2)</w:t>
            </w:r>
            <w:r>
              <w:tab/>
              <w:t>Aðlögun að loftslagsbreytingum</w:t>
            </w:r>
          </w:p>
        </w:tc>
        <w:tc>
          <w:tcPr>
            <w:tcW w:w="5856" w:type="dxa"/>
            <w:tcMar>
              <w:top w:w="100" w:type="dxa"/>
              <w:left w:w="40" w:type="dxa"/>
              <w:bottom w:w="100" w:type="dxa"/>
              <w:right w:w="0" w:type="dxa"/>
            </w:tcMar>
          </w:tcPr>
          <w:p w14:paraId="4C5069E8" w14:textId="77777777" w:rsidR="00DB6835" w:rsidRDefault="00DB6835" w:rsidP="00A9140F">
            <w:pPr>
              <w:pStyle w:val="AnnexTableCellLeft"/>
            </w:pPr>
            <w:r>
              <w:t>Starfsemin er í samræmi við viðmiðanirnar sem settar eru fram í viðbæti A við þennan viðauka.</w:t>
            </w:r>
          </w:p>
        </w:tc>
      </w:tr>
      <w:tr w:rsidR="00DB6835" w14:paraId="1C3211DD" w14:textId="77777777" w:rsidTr="00A9140F">
        <w:trPr>
          <w:trHeight w:val="360"/>
        </w:trPr>
        <w:tc>
          <w:tcPr>
            <w:tcW w:w="2884" w:type="dxa"/>
            <w:tcMar>
              <w:top w:w="100" w:type="dxa"/>
              <w:left w:w="0" w:type="dxa"/>
              <w:bottom w:w="100" w:type="dxa"/>
              <w:right w:w="60" w:type="dxa"/>
            </w:tcMar>
          </w:tcPr>
          <w:p w14:paraId="2FF185F9" w14:textId="77777777" w:rsidR="00DB6835" w:rsidRDefault="00DB6835" w:rsidP="00A9140F">
            <w:pPr>
              <w:pStyle w:val="AnnexNumberedText"/>
              <w:pageBreakBefore/>
            </w:pPr>
            <w:r>
              <w:lastRenderedPageBreak/>
              <w:t>3)</w:t>
            </w:r>
            <w:r>
              <w:tab/>
              <w:t>Sjálfbær notkun og verndun vatns- og sjávarauðlinda</w:t>
            </w:r>
          </w:p>
        </w:tc>
        <w:tc>
          <w:tcPr>
            <w:tcW w:w="5856" w:type="dxa"/>
            <w:tcMar>
              <w:top w:w="100" w:type="dxa"/>
              <w:left w:w="40" w:type="dxa"/>
              <w:bottom w:w="100" w:type="dxa"/>
              <w:right w:w="0" w:type="dxa"/>
            </w:tcMar>
          </w:tcPr>
          <w:p w14:paraId="5FAD736D" w14:textId="77777777" w:rsidR="00DB6835" w:rsidRDefault="00DB6835" w:rsidP="00A9140F">
            <w:pPr>
              <w:pStyle w:val="AnnexTableCellLeft"/>
            </w:pPr>
            <w:r>
              <w:t>Á ekki við</w:t>
            </w:r>
          </w:p>
        </w:tc>
      </w:tr>
      <w:tr w:rsidR="00DB6835" w14:paraId="01193601" w14:textId="77777777" w:rsidTr="00A9140F">
        <w:trPr>
          <w:trHeight w:val="360"/>
        </w:trPr>
        <w:tc>
          <w:tcPr>
            <w:tcW w:w="2884" w:type="dxa"/>
            <w:tcMar>
              <w:top w:w="100" w:type="dxa"/>
              <w:left w:w="0" w:type="dxa"/>
              <w:bottom w:w="100" w:type="dxa"/>
              <w:right w:w="60" w:type="dxa"/>
            </w:tcMar>
          </w:tcPr>
          <w:p w14:paraId="47E40907" w14:textId="77777777" w:rsidR="00DB6835" w:rsidRDefault="00DB6835" w:rsidP="00A9140F">
            <w:pPr>
              <w:pStyle w:val="AnnexNumberedText"/>
            </w:pPr>
            <w:r>
              <w:t>4)</w:t>
            </w:r>
            <w:r>
              <w:tab/>
              <w:t>Umskipti yfir í hringrásarhagkerfi</w:t>
            </w:r>
          </w:p>
        </w:tc>
        <w:tc>
          <w:tcPr>
            <w:tcW w:w="5856" w:type="dxa"/>
            <w:tcMar>
              <w:top w:w="100" w:type="dxa"/>
              <w:left w:w="40" w:type="dxa"/>
              <w:bottom w:w="100" w:type="dxa"/>
              <w:right w:w="0" w:type="dxa"/>
            </w:tcMar>
          </w:tcPr>
          <w:p w14:paraId="123B1ECC" w14:textId="77777777" w:rsidR="00DB6835" w:rsidRDefault="00DB6835" w:rsidP="00A9140F">
            <w:pPr>
              <w:pStyle w:val="AnnexTableCellLeft"/>
            </w:pPr>
            <w:r>
              <w:t>Á ekki við</w:t>
            </w:r>
          </w:p>
        </w:tc>
      </w:tr>
      <w:tr w:rsidR="00DB6835" w14:paraId="4B3B1423" w14:textId="77777777" w:rsidTr="00A9140F">
        <w:trPr>
          <w:trHeight w:val="360"/>
        </w:trPr>
        <w:tc>
          <w:tcPr>
            <w:tcW w:w="2884" w:type="dxa"/>
            <w:tcMar>
              <w:top w:w="100" w:type="dxa"/>
              <w:left w:w="0" w:type="dxa"/>
              <w:bottom w:w="100" w:type="dxa"/>
              <w:right w:w="60" w:type="dxa"/>
            </w:tcMar>
          </w:tcPr>
          <w:p w14:paraId="3F397930" w14:textId="77777777" w:rsidR="00DB6835" w:rsidRDefault="00DB6835" w:rsidP="00A9140F">
            <w:pPr>
              <w:pStyle w:val="AnnexNumberedText"/>
            </w:pPr>
            <w:r>
              <w:t>5)</w:t>
            </w:r>
            <w:r>
              <w:tab/>
              <w:t>Mengunarvarnir og eftirlit með mengun</w:t>
            </w:r>
          </w:p>
        </w:tc>
        <w:tc>
          <w:tcPr>
            <w:tcW w:w="5856" w:type="dxa"/>
            <w:tcMar>
              <w:top w:w="100" w:type="dxa"/>
              <w:left w:w="40" w:type="dxa"/>
              <w:bottom w:w="100" w:type="dxa"/>
              <w:right w:w="0" w:type="dxa"/>
            </w:tcMar>
          </w:tcPr>
          <w:p w14:paraId="1AEB0274" w14:textId="77777777" w:rsidR="00DB6835" w:rsidRDefault="00DB6835" w:rsidP="00A9140F">
            <w:pPr>
              <w:pStyle w:val="AnnexTableCellLeft"/>
              <w:spacing w:after="360"/>
              <w:rPr>
                <w:szCs w:val="18"/>
              </w:rPr>
            </w:pPr>
            <w:r>
              <w:t xml:space="preserve">Að því er varðar </w:t>
            </w:r>
            <w:proofErr w:type="spellStart"/>
            <w:r>
              <w:t>myltingarstöðvar</w:t>
            </w:r>
            <w:proofErr w:type="spellEnd"/>
            <w:r>
              <w:t xml:space="preserve"> sem meðhöndla yfir 75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234"/>
            </w:r>
            <w:r>
              <w:t>). Engin umtalsverð yfirfærsluáhrif milli umhverfishólfa eiga sér stað.</w:t>
            </w:r>
          </w:p>
          <w:p w14:paraId="44C9DD2E" w14:textId="77777777" w:rsidR="00DB6835" w:rsidRDefault="00DB6835" w:rsidP="00A9140F">
            <w:pPr>
              <w:pStyle w:val="AnnexTableCellLeft"/>
              <w:spacing w:after="240"/>
              <w:rPr>
                <w:szCs w:val="18"/>
              </w:rPr>
            </w:pPr>
            <w:r>
              <w:t>Á staðnum er kerfi til staðar sem kemur í veg fyrir að sigvatn komist í grunnvatnið.</w:t>
            </w:r>
          </w:p>
          <w:p w14:paraId="0F36FAAA" w14:textId="77777777" w:rsidR="00DB6835" w:rsidRDefault="00DB6835" w:rsidP="00A9140F">
            <w:pPr>
              <w:pStyle w:val="AnnexTableCellLeft"/>
              <w:spacing w:after="240"/>
            </w:pPr>
            <w:r>
              <w:t xml:space="preserve">Framleidd </w:t>
            </w:r>
            <w:proofErr w:type="spellStart"/>
            <w:r>
              <w:t>molta</w:t>
            </w:r>
            <w:proofErr w:type="spellEnd"/>
            <w:r>
              <w:t xml:space="preserve"> uppfyllir kröfurnar fyrir áburðarefni sem settar eru fram í efnisþáttaefniviðaflokki 3 í II. viðauka við reglugerð (ESB) 2019/1009 eða landsbundnar reglur um áburð eða jarðvegsbæta til notkunar í landbúnaði.</w:t>
            </w:r>
          </w:p>
        </w:tc>
      </w:tr>
      <w:tr w:rsidR="00DB6835" w14:paraId="2C5A8058" w14:textId="77777777" w:rsidTr="00A9140F">
        <w:trPr>
          <w:trHeight w:val="360"/>
        </w:trPr>
        <w:tc>
          <w:tcPr>
            <w:tcW w:w="2884" w:type="dxa"/>
            <w:tcMar>
              <w:top w:w="100" w:type="dxa"/>
              <w:left w:w="0" w:type="dxa"/>
              <w:bottom w:w="100" w:type="dxa"/>
              <w:right w:w="60" w:type="dxa"/>
            </w:tcMar>
          </w:tcPr>
          <w:p w14:paraId="34806E63" w14:textId="77777777" w:rsidR="00DB6835" w:rsidRDefault="00DB6835" w:rsidP="00A9140F">
            <w:pPr>
              <w:pStyle w:val="AnnexNumberedText"/>
              <w:ind w:left="293" w:hanging="293"/>
            </w:pPr>
            <w:r>
              <w:t>6)</w:t>
            </w:r>
            <w:r>
              <w:tab/>
              <w:t>Vernd og endurheimt líffræðilegrar fjölbreytni og vistkerfa</w:t>
            </w:r>
          </w:p>
        </w:tc>
        <w:tc>
          <w:tcPr>
            <w:tcW w:w="5856" w:type="dxa"/>
            <w:tcMar>
              <w:top w:w="100" w:type="dxa"/>
              <w:left w:w="40" w:type="dxa"/>
              <w:bottom w:w="100" w:type="dxa"/>
              <w:right w:w="0" w:type="dxa"/>
            </w:tcMar>
          </w:tcPr>
          <w:p w14:paraId="3E17A67B" w14:textId="77777777" w:rsidR="00DB6835" w:rsidRDefault="00DB6835" w:rsidP="00A9140F">
            <w:pPr>
              <w:pStyle w:val="AnnexTableCellLeft"/>
            </w:pPr>
            <w:r>
              <w:t>Starfsemin er í samræmi við viðmiðanirnar sem settar eru fram í viðbæti D við þennan viðauka.</w:t>
            </w:r>
          </w:p>
        </w:tc>
      </w:tr>
    </w:tbl>
    <w:p w14:paraId="26FA8AA2" w14:textId="77777777" w:rsidR="00DB6835" w:rsidRDefault="00DB6835" w:rsidP="00DB6835">
      <w:pPr>
        <w:pStyle w:val="AnnexNumberedText"/>
        <w:spacing w:before="200" w:after="360"/>
        <w:ind w:left="500" w:hanging="500"/>
      </w:pPr>
      <w:r>
        <w:t>5.9.</w:t>
      </w:r>
      <w:r>
        <w:rPr>
          <w:b/>
        </w:rPr>
        <w:tab/>
        <w:t>Endurheimt efnis úr hættulausum úrgangi</w:t>
      </w:r>
    </w:p>
    <w:p w14:paraId="74A53A72" w14:textId="77777777" w:rsidR="00DB6835" w:rsidRDefault="00DB6835" w:rsidP="00DB6835">
      <w:pPr>
        <w:pStyle w:val="AnnexGrSeq3"/>
        <w:spacing w:after="360"/>
        <w:ind w:left="500"/>
        <w:jc w:val="both"/>
      </w:pPr>
      <w:r>
        <w:rPr>
          <w:i/>
        </w:rPr>
        <w:t>Lýsing á starfseminni</w:t>
      </w:r>
    </w:p>
    <w:p w14:paraId="01C02034" w14:textId="77777777" w:rsidR="00DB6835" w:rsidRDefault="00DB6835" w:rsidP="00DB6835">
      <w:pPr>
        <w:pStyle w:val="AnnexNormal"/>
        <w:spacing w:after="360"/>
        <w:ind w:left="500"/>
      </w:pPr>
      <w:r>
        <w:t>Bygging og rekstur stöðva fyrir flokkun og vinnslu á hættulausum úrgangsstraumum, sem er safnað á aðskilinn hátt, í endurunnin hráefni, sem felur í sér vélræna endurvinnslu, nema til fyllingar.</w:t>
      </w:r>
    </w:p>
    <w:p w14:paraId="42A016E0" w14:textId="77777777" w:rsidR="00DB6835" w:rsidRDefault="00DB6835" w:rsidP="00DB6835">
      <w:pPr>
        <w:pStyle w:val="AnnexNormal"/>
        <w:spacing w:after="360"/>
        <w:ind w:left="500"/>
      </w:pPr>
      <w:r>
        <w:t>Atvinnustarfsemin í þessum flokki gæti tengst nokkrum kóðum atvinnugreinaflokkunar Evrópusambandsins, einkum E38.32 og F42.99, í samræmi við atvinnugreinaflokkunina sem komið var á með reglugerð (EB) nr. 1893/2006.</w:t>
      </w:r>
    </w:p>
    <w:p w14:paraId="129A5AC2" w14:textId="77777777" w:rsidR="00DB6835" w:rsidRDefault="00DB6835" w:rsidP="00DB6835">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84"/>
        <w:gridCol w:w="5856"/>
      </w:tblGrid>
      <w:tr w:rsidR="00DB6835" w14:paraId="64246774" w14:textId="77777777" w:rsidTr="00A9140F">
        <w:trPr>
          <w:trHeight w:val="240"/>
        </w:trPr>
        <w:tc>
          <w:tcPr>
            <w:tcW w:w="8740" w:type="dxa"/>
            <w:gridSpan w:val="2"/>
            <w:tcMar>
              <w:top w:w="100" w:type="dxa"/>
              <w:left w:w="0" w:type="dxa"/>
              <w:bottom w:w="100" w:type="dxa"/>
              <w:right w:w="60" w:type="dxa"/>
            </w:tcMar>
          </w:tcPr>
          <w:p w14:paraId="4698849D"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505B25A2" w14:textId="77777777" w:rsidTr="00A9140F">
        <w:trPr>
          <w:trHeight w:val="240"/>
        </w:trPr>
        <w:tc>
          <w:tcPr>
            <w:tcW w:w="8740" w:type="dxa"/>
            <w:gridSpan w:val="2"/>
            <w:tcMar>
              <w:top w:w="100" w:type="dxa"/>
              <w:left w:w="0" w:type="dxa"/>
              <w:bottom w:w="100" w:type="dxa"/>
              <w:right w:w="60" w:type="dxa"/>
            </w:tcMar>
          </w:tcPr>
          <w:p w14:paraId="63A1C6F9" w14:textId="77777777" w:rsidR="00DB6835" w:rsidRDefault="00DB6835" w:rsidP="00A9140F">
            <w:pPr>
              <w:pStyle w:val="AnnexTableCellLeft"/>
            </w:pPr>
            <w:r>
              <w:t>Í starfseminni er a.m.k. 50%, miðað við þyngd, af unnum, hættulausum úrgangi sem er safnað á aðskilinn hátt umbreytt í endurunnin hráefni sem henta til útskiptingar fyrir nýja efniviði í framleiðsluferlinu.</w:t>
            </w:r>
          </w:p>
        </w:tc>
      </w:tr>
      <w:tr w:rsidR="00DB6835" w14:paraId="77F45D15" w14:textId="77777777" w:rsidTr="00A9140F">
        <w:trPr>
          <w:trHeight w:val="240"/>
        </w:trPr>
        <w:tc>
          <w:tcPr>
            <w:tcW w:w="8740" w:type="dxa"/>
            <w:gridSpan w:val="2"/>
            <w:tcMar>
              <w:top w:w="100" w:type="dxa"/>
              <w:left w:w="0" w:type="dxa"/>
              <w:bottom w:w="100" w:type="dxa"/>
              <w:right w:w="60" w:type="dxa"/>
            </w:tcMar>
          </w:tcPr>
          <w:p w14:paraId="53BF9643" w14:textId="77777777" w:rsidR="00DB6835" w:rsidRDefault="00DB6835" w:rsidP="00A9140F">
            <w:pPr>
              <w:pStyle w:val="AnnexTableCellLeft"/>
            </w:pPr>
            <w:r>
              <w:t>Ekki valda umtalsverðu tjóni</w:t>
            </w:r>
          </w:p>
        </w:tc>
      </w:tr>
      <w:tr w:rsidR="00DB6835" w14:paraId="4E518887" w14:textId="77777777" w:rsidTr="00A9140F">
        <w:trPr>
          <w:trHeight w:val="360"/>
        </w:trPr>
        <w:tc>
          <w:tcPr>
            <w:tcW w:w="2884" w:type="dxa"/>
            <w:tcMar>
              <w:top w:w="100" w:type="dxa"/>
              <w:left w:w="0" w:type="dxa"/>
              <w:bottom w:w="100" w:type="dxa"/>
              <w:right w:w="60" w:type="dxa"/>
            </w:tcMar>
          </w:tcPr>
          <w:p w14:paraId="74A3D92D" w14:textId="77777777" w:rsidR="00DB6835" w:rsidRDefault="00DB6835" w:rsidP="00A9140F">
            <w:pPr>
              <w:pStyle w:val="AnnexNumberedText"/>
            </w:pPr>
            <w:r>
              <w:t>2)</w:t>
            </w:r>
            <w:r>
              <w:tab/>
              <w:t>Aðlögun að loftslagsbreytingum</w:t>
            </w:r>
          </w:p>
        </w:tc>
        <w:tc>
          <w:tcPr>
            <w:tcW w:w="5856" w:type="dxa"/>
            <w:tcMar>
              <w:top w:w="100" w:type="dxa"/>
              <w:left w:w="40" w:type="dxa"/>
              <w:bottom w:w="100" w:type="dxa"/>
              <w:right w:w="0" w:type="dxa"/>
            </w:tcMar>
          </w:tcPr>
          <w:p w14:paraId="4CCF7893" w14:textId="77777777" w:rsidR="00DB6835" w:rsidRDefault="00DB6835" w:rsidP="00A9140F">
            <w:pPr>
              <w:pStyle w:val="AnnexTableCellLeft"/>
            </w:pPr>
            <w:r>
              <w:t>Starfsemin er í samræmi við viðmiðanirnar sem settar eru fram í viðbæti A við þennan viðauka.</w:t>
            </w:r>
          </w:p>
        </w:tc>
      </w:tr>
      <w:tr w:rsidR="00DB6835" w14:paraId="7B66F32C" w14:textId="77777777" w:rsidTr="00A9140F">
        <w:trPr>
          <w:trHeight w:val="360"/>
        </w:trPr>
        <w:tc>
          <w:tcPr>
            <w:tcW w:w="2884" w:type="dxa"/>
            <w:tcMar>
              <w:top w:w="100" w:type="dxa"/>
              <w:left w:w="0" w:type="dxa"/>
              <w:bottom w:w="100" w:type="dxa"/>
              <w:right w:w="60" w:type="dxa"/>
            </w:tcMar>
          </w:tcPr>
          <w:p w14:paraId="28EF76D1" w14:textId="77777777" w:rsidR="00DB6835" w:rsidRDefault="00DB6835" w:rsidP="00A9140F">
            <w:pPr>
              <w:pStyle w:val="AnnexNumberedText"/>
            </w:pPr>
            <w:r>
              <w:t>3)</w:t>
            </w:r>
            <w:r>
              <w:tab/>
              <w:t>Sjálfbær notkun og verndun vatns- og sjávarauðlinda</w:t>
            </w:r>
          </w:p>
        </w:tc>
        <w:tc>
          <w:tcPr>
            <w:tcW w:w="5856" w:type="dxa"/>
            <w:tcMar>
              <w:top w:w="100" w:type="dxa"/>
              <w:left w:w="40" w:type="dxa"/>
              <w:bottom w:w="100" w:type="dxa"/>
              <w:right w:w="0" w:type="dxa"/>
            </w:tcMar>
          </w:tcPr>
          <w:p w14:paraId="05ADE641" w14:textId="77777777" w:rsidR="00DB6835" w:rsidRDefault="00DB6835" w:rsidP="00A9140F">
            <w:pPr>
              <w:pStyle w:val="AnnexTableCellLeft"/>
            </w:pPr>
            <w:r>
              <w:t>Á ekki við</w:t>
            </w:r>
          </w:p>
        </w:tc>
      </w:tr>
      <w:tr w:rsidR="00DB6835" w14:paraId="7E0C3EAD" w14:textId="77777777" w:rsidTr="00A9140F">
        <w:trPr>
          <w:trHeight w:val="360"/>
        </w:trPr>
        <w:tc>
          <w:tcPr>
            <w:tcW w:w="2884" w:type="dxa"/>
            <w:tcMar>
              <w:top w:w="100" w:type="dxa"/>
              <w:left w:w="0" w:type="dxa"/>
              <w:bottom w:w="100" w:type="dxa"/>
              <w:right w:w="60" w:type="dxa"/>
            </w:tcMar>
          </w:tcPr>
          <w:p w14:paraId="378BDB97" w14:textId="77777777" w:rsidR="00DB6835" w:rsidRDefault="00DB6835" w:rsidP="00A9140F">
            <w:pPr>
              <w:pStyle w:val="AnnexNumberedText"/>
            </w:pPr>
            <w:r>
              <w:t>4)</w:t>
            </w:r>
            <w:r>
              <w:tab/>
              <w:t>Umskipti yfir í hringrásarhagkerfi</w:t>
            </w:r>
          </w:p>
        </w:tc>
        <w:tc>
          <w:tcPr>
            <w:tcW w:w="5856" w:type="dxa"/>
            <w:tcMar>
              <w:top w:w="100" w:type="dxa"/>
              <w:left w:w="40" w:type="dxa"/>
              <w:bottom w:w="100" w:type="dxa"/>
              <w:right w:w="0" w:type="dxa"/>
            </w:tcMar>
          </w:tcPr>
          <w:p w14:paraId="0B740C65" w14:textId="77777777" w:rsidR="00DB6835" w:rsidRDefault="00DB6835" w:rsidP="00A9140F">
            <w:pPr>
              <w:pStyle w:val="AnnexTableCellLeft"/>
            </w:pPr>
            <w:r>
              <w:t>Á ekki við</w:t>
            </w:r>
          </w:p>
        </w:tc>
      </w:tr>
      <w:tr w:rsidR="00DB6835" w14:paraId="57D8002C" w14:textId="77777777" w:rsidTr="00A9140F">
        <w:trPr>
          <w:trHeight w:val="360"/>
        </w:trPr>
        <w:tc>
          <w:tcPr>
            <w:tcW w:w="2884" w:type="dxa"/>
            <w:tcMar>
              <w:top w:w="100" w:type="dxa"/>
              <w:left w:w="0" w:type="dxa"/>
              <w:bottom w:w="100" w:type="dxa"/>
              <w:right w:w="60" w:type="dxa"/>
            </w:tcMar>
          </w:tcPr>
          <w:p w14:paraId="36CD77B2" w14:textId="77777777" w:rsidR="00DB6835" w:rsidRDefault="00DB6835" w:rsidP="00A9140F">
            <w:pPr>
              <w:pStyle w:val="AnnexNumberedText"/>
            </w:pPr>
            <w:r>
              <w:lastRenderedPageBreak/>
              <w:t>5)</w:t>
            </w:r>
            <w:r>
              <w:tab/>
              <w:t>Mengunarvarnir og eftirlit með mengun</w:t>
            </w:r>
          </w:p>
        </w:tc>
        <w:tc>
          <w:tcPr>
            <w:tcW w:w="5856" w:type="dxa"/>
            <w:tcMar>
              <w:top w:w="100" w:type="dxa"/>
              <w:left w:w="40" w:type="dxa"/>
              <w:bottom w:w="100" w:type="dxa"/>
              <w:right w:w="0" w:type="dxa"/>
            </w:tcMar>
          </w:tcPr>
          <w:p w14:paraId="0375C375" w14:textId="77777777" w:rsidR="00DB6835" w:rsidRDefault="00DB6835" w:rsidP="00A9140F">
            <w:pPr>
              <w:pStyle w:val="AnnexTableCellLeft"/>
            </w:pPr>
            <w:r>
              <w:t>Á ekki við</w:t>
            </w:r>
          </w:p>
        </w:tc>
      </w:tr>
      <w:tr w:rsidR="00DB6835" w14:paraId="09480F9D" w14:textId="77777777" w:rsidTr="00A9140F">
        <w:trPr>
          <w:trHeight w:val="360"/>
        </w:trPr>
        <w:tc>
          <w:tcPr>
            <w:tcW w:w="2884" w:type="dxa"/>
            <w:tcMar>
              <w:top w:w="100" w:type="dxa"/>
              <w:left w:w="0" w:type="dxa"/>
              <w:bottom w:w="100" w:type="dxa"/>
              <w:right w:w="60" w:type="dxa"/>
            </w:tcMar>
          </w:tcPr>
          <w:p w14:paraId="148B7952" w14:textId="77777777" w:rsidR="00DB6835" w:rsidRDefault="00DB6835" w:rsidP="00A9140F">
            <w:pPr>
              <w:pStyle w:val="AnnexNumberedText"/>
            </w:pPr>
            <w:r>
              <w:t>6)</w:t>
            </w:r>
            <w:r>
              <w:tab/>
              <w:t>Vernd og endurheimt líffræðilegrar fjölbreytni og vistkerfa</w:t>
            </w:r>
          </w:p>
        </w:tc>
        <w:tc>
          <w:tcPr>
            <w:tcW w:w="5856" w:type="dxa"/>
            <w:tcMar>
              <w:top w:w="100" w:type="dxa"/>
              <w:left w:w="40" w:type="dxa"/>
              <w:bottom w:w="100" w:type="dxa"/>
              <w:right w:w="0" w:type="dxa"/>
            </w:tcMar>
          </w:tcPr>
          <w:p w14:paraId="45B9F064" w14:textId="77777777" w:rsidR="00DB6835" w:rsidRDefault="00DB6835" w:rsidP="00A9140F">
            <w:pPr>
              <w:pStyle w:val="AnnexTableCellLeft"/>
            </w:pPr>
            <w:r>
              <w:t>Starfsemin er í samræmi við viðmiðanirnar sem settar eru fram í viðbæti D við þennan viðauka.</w:t>
            </w:r>
          </w:p>
        </w:tc>
      </w:tr>
    </w:tbl>
    <w:p w14:paraId="2C8BA100" w14:textId="77777777" w:rsidR="00DB6835" w:rsidRDefault="00DB6835" w:rsidP="00DB6835">
      <w:pPr>
        <w:pStyle w:val="AnnexNumberedText"/>
        <w:spacing w:before="200" w:after="200"/>
        <w:ind w:left="500" w:hanging="500"/>
      </w:pPr>
      <w:r>
        <w:t>5.10.</w:t>
      </w:r>
      <w:r>
        <w:rPr>
          <w:b/>
        </w:rPr>
        <w:tab/>
      </w:r>
      <w:proofErr w:type="spellStart"/>
      <w:r>
        <w:rPr>
          <w:b/>
        </w:rPr>
        <w:t>Föngun</w:t>
      </w:r>
      <w:proofErr w:type="spellEnd"/>
      <w:r>
        <w:rPr>
          <w:b/>
        </w:rPr>
        <w:t xml:space="preserve"> og notkun hauggass</w:t>
      </w:r>
    </w:p>
    <w:p w14:paraId="03AC41DD" w14:textId="77777777" w:rsidR="00DB6835" w:rsidRDefault="00DB6835" w:rsidP="00DB6835">
      <w:pPr>
        <w:pStyle w:val="AnnexGrSeq3"/>
        <w:ind w:left="500"/>
        <w:jc w:val="both"/>
        <w:rPr>
          <w:szCs w:val="18"/>
        </w:rPr>
      </w:pPr>
      <w:r>
        <w:rPr>
          <w:i/>
        </w:rPr>
        <w:t>Lýsing á starfseminni</w:t>
      </w:r>
    </w:p>
    <w:p w14:paraId="02676BFE" w14:textId="77777777" w:rsidR="00DB6835" w:rsidRDefault="00DB6835" w:rsidP="00DB6835">
      <w:pPr>
        <w:pStyle w:val="AnnexNormal"/>
        <w:ind w:left="500"/>
        <w:rPr>
          <w:szCs w:val="18"/>
        </w:rPr>
      </w:pPr>
      <w:r>
        <w:t>Uppsetning og rekstur grunnvirkja til að fanga (</w:t>
      </w:r>
      <w:bookmarkStart w:id="35" w:name="NOTE_234"/>
      <w:r>
        <w:rPr>
          <w:rStyle w:val="Tilvsunneanmlsgrein"/>
          <w:sz w:val="18"/>
          <w:szCs w:val="18"/>
        </w:rPr>
        <w:footnoteReference w:id="235"/>
      </w:r>
      <w:bookmarkEnd w:id="35"/>
      <w:r>
        <w:t xml:space="preserve">) og nota hauggas á varanlega lokuðum </w:t>
      </w:r>
      <w:proofErr w:type="spellStart"/>
      <w:r>
        <w:t>urðunarstöðum</w:t>
      </w:r>
      <w:proofErr w:type="spellEnd"/>
      <w:r>
        <w:t xml:space="preserve"> eða í </w:t>
      </w:r>
      <w:proofErr w:type="spellStart"/>
      <w:r>
        <w:t>urðunarhólfum</w:t>
      </w:r>
      <w:proofErr w:type="spellEnd"/>
      <w:r>
        <w:t xml:space="preserve"> með notkun nýrrar eða sérstakrar tækniaðstöðu og búnaðar til viðbótar sem settur er upp við eða eftir urðun eða lokun </w:t>
      </w:r>
      <w:proofErr w:type="spellStart"/>
      <w:r>
        <w:t>urðunarhólfa</w:t>
      </w:r>
      <w:proofErr w:type="spellEnd"/>
      <w:r>
        <w:t>.</w:t>
      </w:r>
    </w:p>
    <w:p w14:paraId="54A6A54C" w14:textId="77777777" w:rsidR="00DB6835" w:rsidRDefault="00DB6835" w:rsidP="00DB6835">
      <w:pPr>
        <w:pStyle w:val="AnnexNormal"/>
        <w:ind w:left="500"/>
        <w:rPr>
          <w:szCs w:val="18"/>
        </w:rPr>
      </w:pPr>
      <w:r>
        <w:t>Atvinnustarfsemin í þessum flokki gæti tengst kóða atvinnugreinaflokkunar Evrópusambandsins E38.21 í samræmi við atvinnugreinaflokkunina sem komið var á með reglugerð (EB) nr. 1893/2006.</w:t>
      </w:r>
    </w:p>
    <w:p w14:paraId="18202D08" w14:textId="77777777" w:rsidR="00DB6835" w:rsidRDefault="00DB6835" w:rsidP="00DB6835">
      <w:pPr>
        <w:pStyle w:val="AnnexGrSeq3"/>
        <w:ind w:left="500"/>
        <w:jc w:val="both"/>
        <w:rPr>
          <w:szCs w:val="18"/>
        </w:rPr>
      </w:pPr>
      <w:r>
        <w:rPr>
          <w:i/>
        </w:rPr>
        <w:t>Tæknileg matsviðmið</w:t>
      </w:r>
    </w:p>
    <w:tbl>
      <w:tblPr>
        <w:tblStyle w:val="EFTATable"/>
        <w:tblW w:w="8740" w:type="dxa"/>
        <w:tblInd w:w="500" w:type="dxa"/>
        <w:tblLayout w:type="fixed"/>
        <w:tblLook w:val="04A0" w:firstRow="1" w:lastRow="0" w:firstColumn="1" w:lastColumn="0" w:noHBand="0" w:noVBand="1"/>
      </w:tblPr>
      <w:tblGrid>
        <w:gridCol w:w="2872"/>
        <w:gridCol w:w="5868"/>
      </w:tblGrid>
      <w:tr w:rsidR="00DB6835" w14:paraId="4469888B" w14:textId="77777777" w:rsidTr="00A9140F">
        <w:trPr>
          <w:trHeight w:val="240"/>
        </w:trPr>
        <w:tc>
          <w:tcPr>
            <w:tcW w:w="8740" w:type="dxa"/>
            <w:gridSpan w:val="2"/>
            <w:tcMar>
              <w:top w:w="100" w:type="dxa"/>
              <w:left w:w="0" w:type="dxa"/>
              <w:bottom w:w="100" w:type="dxa"/>
              <w:right w:w="60" w:type="dxa"/>
            </w:tcMar>
          </w:tcPr>
          <w:p w14:paraId="256C3CE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F2213B7" w14:textId="77777777" w:rsidTr="00A9140F">
        <w:trPr>
          <w:trHeight w:val="360"/>
        </w:trPr>
        <w:tc>
          <w:tcPr>
            <w:tcW w:w="8740" w:type="dxa"/>
            <w:gridSpan w:val="2"/>
            <w:tcMar>
              <w:top w:w="100" w:type="dxa"/>
              <w:left w:w="0" w:type="dxa"/>
              <w:bottom w:w="100" w:type="dxa"/>
              <w:right w:w="60" w:type="dxa"/>
            </w:tcMar>
          </w:tcPr>
          <w:p w14:paraId="1FA8046E" w14:textId="77777777" w:rsidR="00DB6835" w:rsidRDefault="00DB6835" w:rsidP="00A9140F">
            <w:pPr>
              <w:pStyle w:val="AnnexNumberedText"/>
              <w:tabs>
                <w:tab w:val="left" w:pos="508"/>
              </w:tabs>
              <w:spacing w:after="280"/>
              <w:ind w:left="0" w:firstLine="0"/>
            </w:pPr>
            <w:r>
              <w:t>1.</w:t>
            </w:r>
            <w:r>
              <w:tab/>
            </w:r>
            <w:proofErr w:type="spellStart"/>
            <w:r>
              <w:t>Urðunarstaðurinn</w:t>
            </w:r>
            <w:proofErr w:type="spellEnd"/>
            <w:r>
              <w:t xml:space="preserve"> hefur ekki verið opnaður eftir 8. júlí 2020.</w:t>
            </w:r>
          </w:p>
          <w:p w14:paraId="0BBEB1D4" w14:textId="77777777" w:rsidR="00DB6835" w:rsidRDefault="00DB6835" w:rsidP="00A9140F">
            <w:pPr>
              <w:pStyle w:val="AnnexNumberedText"/>
              <w:tabs>
                <w:tab w:val="left" w:pos="508"/>
              </w:tabs>
              <w:spacing w:after="280"/>
              <w:ind w:left="0" w:firstLine="0"/>
              <w:rPr>
                <w:szCs w:val="18"/>
              </w:rPr>
            </w:pPr>
            <w:r>
              <w:t>2.</w:t>
            </w:r>
            <w:r>
              <w:tab/>
            </w:r>
            <w:proofErr w:type="spellStart"/>
            <w:r>
              <w:t>Urðunarstaðnum</w:t>
            </w:r>
            <w:proofErr w:type="spellEnd"/>
            <w:r>
              <w:t xml:space="preserve"> eða </w:t>
            </w:r>
            <w:proofErr w:type="spellStart"/>
            <w:r>
              <w:t>urðunarhólfinu</w:t>
            </w:r>
            <w:proofErr w:type="spellEnd"/>
            <w:r>
              <w:t xml:space="preserve"> þar sem </w:t>
            </w:r>
            <w:proofErr w:type="spellStart"/>
            <w:r>
              <w:t>gasföngunarkerfið</w:t>
            </w:r>
            <w:proofErr w:type="spellEnd"/>
            <w:r>
              <w:t xml:space="preserve"> var nýlega sett upp, stækkað, eða endurbætt er lokað til frambúðar og tekur ekki við meira af </w:t>
            </w:r>
            <w:proofErr w:type="spellStart"/>
            <w:r>
              <w:t>lífbrjótanlegum</w:t>
            </w:r>
            <w:proofErr w:type="spellEnd"/>
            <w:r>
              <w:t xml:space="preserve"> úrgangi (</w:t>
            </w:r>
            <w:r>
              <w:rPr>
                <w:rStyle w:val="Tilvsunneanmlsgrein"/>
                <w:sz w:val="18"/>
                <w:szCs w:val="18"/>
              </w:rPr>
              <w:footnoteReference w:id="236"/>
            </w:r>
            <w:r>
              <w:t>).</w:t>
            </w:r>
          </w:p>
          <w:p w14:paraId="2DB8B888" w14:textId="77777777" w:rsidR="00DB6835" w:rsidRDefault="00DB6835" w:rsidP="00A9140F">
            <w:pPr>
              <w:pStyle w:val="AnnexNumberedText"/>
              <w:tabs>
                <w:tab w:val="left" w:pos="508"/>
              </w:tabs>
              <w:spacing w:after="280"/>
              <w:ind w:left="0" w:firstLine="0"/>
              <w:rPr>
                <w:szCs w:val="18"/>
              </w:rPr>
            </w:pPr>
            <w:r>
              <w:t>3.</w:t>
            </w:r>
            <w:r>
              <w:tab/>
              <w:t>Framleitt hauggas er notað sem lífgas til framleiðslu á raforku eða varma (</w:t>
            </w:r>
            <w:r>
              <w:rPr>
                <w:rStyle w:val="Tilvsunneanmlsgrein"/>
                <w:sz w:val="18"/>
                <w:szCs w:val="18"/>
              </w:rPr>
              <w:footnoteReference w:id="237"/>
            </w:r>
            <w:r>
              <w:t xml:space="preserve">) eða uppfært í lífmetan til </w:t>
            </w:r>
            <w:proofErr w:type="spellStart"/>
            <w:r>
              <w:t>inndælingar</w:t>
            </w:r>
            <w:proofErr w:type="spellEnd"/>
            <w:r>
              <w:t xml:space="preserve"> í dreifikerfi jarðgass eða notað sem eldsneyti á farartæki eða sem hráefni í efnaiðnaði.</w:t>
            </w:r>
          </w:p>
          <w:p w14:paraId="228BFAD2" w14:textId="77777777" w:rsidR="00DB6835" w:rsidRDefault="00DB6835" w:rsidP="00A9140F">
            <w:pPr>
              <w:pStyle w:val="AnnexNumberedText"/>
              <w:tabs>
                <w:tab w:val="left" w:pos="508"/>
              </w:tabs>
              <w:spacing w:after="280"/>
              <w:ind w:left="0" w:firstLine="0"/>
            </w:pPr>
            <w:r>
              <w:t>4.</w:t>
            </w:r>
            <w:r>
              <w:tab/>
            </w:r>
            <w:proofErr w:type="spellStart"/>
            <w:r>
              <w:t>Metanlosun</w:t>
            </w:r>
            <w:proofErr w:type="spellEnd"/>
            <w:r>
              <w:t xml:space="preserve"> frá </w:t>
            </w:r>
            <w:proofErr w:type="spellStart"/>
            <w:r>
              <w:t>urðunarstaðnum</w:t>
            </w:r>
            <w:proofErr w:type="spellEnd"/>
            <w:r>
              <w:t xml:space="preserve"> og lekar frá stöðvum til að safna og nota hauggas falla undir aðferðir við eftirlit og vöktun sem settar eru fram í III. viðauka við tilskipun ráðsins 1999/31/EB (</w:t>
            </w:r>
            <w:r>
              <w:rPr>
                <w:rStyle w:val="Tilvsunneanmlsgrein"/>
                <w:sz w:val="18"/>
                <w:szCs w:val="18"/>
              </w:rPr>
              <w:footnoteReference w:id="238"/>
            </w:r>
            <w:r>
              <w:t>).</w:t>
            </w:r>
          </w:p>
        </w:tc>
      </w:tr>
      <w:tr w:rsidR="00DB6835" w14:paraId="0FB1B1CF" w14:textId="77777777" w:rsidTr="00A9140F">
        <w:trPr>
          <w:trHeight w:val="240"/>
        </w:trPr>
        <w:tc>
          <w:tcPr>
            <w:tcW w:w="8740" w:type="dxa"/>
            <w:gridSpan w:val="2"/>
            <w:tcMar>
              <w:top w:w="100" w:type="dxa"/>
              <w:left w:w="0" w:type="dxa"/>
              <w:bottom w:w="100" w:type="dxa"/>
              <w:right w:w="60" w:type="dxa"/>
            </w:tcMar>
          </w:tcPr>
          <w:p w14:paraId="095B53FC" w14:textId="77777777" w:rsidR="00DB6835" w:rsidRDefault="00DB6835" w:rsidP="00A9140F">
            <w:pPr>
              <w:pStyle w:val="AnnexTableCellLeft"/>
            </w:pPr>
            <w:r>
              <w:t>Ekki valda umtalsverðu tjóni</w:t>
            </w:r>
          </w:p>
        </w:tc>
      </w:tr>
      <w:tr w:rsidR="00DB6835" w14:paraId="55BEB73F" w14:textId="77777777" w:rsidTr="00A9140F">
        <w:trPr>
          <w:trHeight w:val="360"/>
        </w:trPr>
        <w:tc>
          <w:tcPr>
            <w:tcW w:w="2872" w:type="dxa"/>
            <w:tcMar>
              <w:top w:w="100" w:type="dxa"/>
              <w:left w:w="0" w:type="dxa"/>
              <w:bottom w:w="100" w:type="dxa"/>
              <w:right w:w="60" w:type="dxa"/>
            </w:tcMar>
          </w:tcPr>
          <w:p w14:paraId="2EFEFBB6" w14:textId="77777777" w:rsidR="00DB6835" w:rsidRDefault="00DB6835" w:rsidP="00A9140F">
            <w:pPr>
              <w:pStyle w:val="AnnexNumberedText"/>
            </w:pPr>
            <w:r>
              <w:t>2)</w:t>
            </w:r>
            <w:r>
              <w:tab/>
              <w:t>Aðlögun að loftslagsbreytingum</w:t>
            </w:r>
          </w:p>
        </w:tc>
        <w:tc>
          <w:tcPr>
            <w:tcW w:w="5868" w:type="dxa"/>
            <w:tcMar>
              <w:top w:w="100" w:type="dxa"/>
              <w:left w:w="40" w:type="dxa"/>
              <w:bottom w:w="100" w:type="dxa"/>
              <w:right w:w="0" w:type="dxa"/>
            </w:tcMar>
          </w:tcPr>
          <w:p w14:paraId="070B40B9" w14:textId="77777777" w:rsidR="00DB6835" w:rsidRDefault="00DB6835" w:rsidP="00A9140F">
            <w:pPr>
              <w:pStyle w:val="AnnexTableCellLeft"/>
            </w:pPr>
            <w:r>
              <w:t>Starfsemin er í samræmi við viðmiðanirnar sem settar eru fram í viðbæti A við þennan viðauka.</w:t>
            </w:r>
          </w:p>
        </w:tc>
      </w:tr>
      <w:tr w:rsidR="00DB6835" w14:paraId="53147F9B" w14:textId="77777777" w:rsidTr="00A9140F">
        <w:trPr>
          <w:trHeight w:val="360"/>
        </w:trPr>
        <w:tc>
          <w:tcPr>
            <w:tcW w:w="2872" w:type="dxa"/>
            <w:tcMar>
              <w:top w:w="100" w:type="dxa"/>
              <w:left w:w="0" w:type="dxa"/>
              <w:bottom w:w="100" w:type="dxa"/>
              <w:right w:w="60" w:type="dxa"/>
            </w:tcMar>
          </w:tcPr>
          <w:p w14:paraId="1088D504" w14:textId="77777777" w:rsidR="00DB6835" w:rsidRDefault="00DB6835" w:rsidP="00A9140F">
            <w:pPr>
              <w:pStyle w:val="AnnexNumberedText"/>
            </w:pPr>
            <w:r>
              <w:t>3)</w:t>
            </w:r>
            <w:r>
              <w:tab/>
              <w:t>Sjálfbær notkun og verndun vatns- og sjávarauðlinda</w:t>
            </w:r>
          </w:p>
        </w:tc>
        <w:tc>
          <w:tcPr>
            <w:tcW w:w="5868" w:type="dxa"/>
            <w:tcMar>
              <w:top w:w="100" w:type="dxa"/>
              <w:left w:w="40" w:type="dxa"/>
              <w:bottom w:w="100" w:type="dxa"/>
              <w:right w:w="0" w:type="dxa"/>
            </w:tcMar>
          </w:tcPr>
          <w:p w14:paraId="6C60A7DB" w14:textId="77777777" w:rsidR="00DB6835" w:rsidRDefault="00DB6835" w:rsidP="00A9140F">
            <w:pPr>
              <w:pStyle w:val="AnnexTableCellLeft"/>
            </w:pPr>
            <w:r>
              <w:t>Á ekki við</w:t>
            </w:r>
          </w:p>
        </w:tc>
      </w:tr>
      <w:tr w:rsidR="00DB6835" w14:paraId="5B5F5501" w14:textId="77777777" w:rsidTr="00A9140F">
        <w:trPr>
          <w:trHeight w:val="360"/>
        </w:trPr>
        <w:tc>
          <w:tcPr>
            <w:tcW w:w="2872" w:type="dxa"/>
            <w:tcMar>
              <w:top w:w="100" w:type="dxa"/>
              <w:left w:w="0" w:type="dxa"/>
              <w:bottom w:w="100" w:type="dxa"/>
              <w:right w:w="60" w:type="dxa"/>
            </w:tcMar>
          </w:tcPr>
          <w:p w14:paraId="547051AC" w14:textId="77777777" w:rsidR="00DB6835" w:rsidRDefault="00DB6835" w:rsidP="00A9140F">
            <w:pPr>
              <w:pStyle w:val="AnnexNumberedText"/>
            </w:pPr>
            <w:r>
              <w:t>4)</w:t>
            </w:r>
            <w:r>
              <w:tab/>
              <w:t>Umskipti yfir í hringrásarhagkerfi</w:t>
            </w:r>
          </w:p>
        </w:tc>
        <w:tc>
          <w:tcPr>
            <w:tcW w:w="5868" w:type="dxa"/>
            <w:tcMar>
              <w:top w:w="100" w:type="dxa"/>
              <w:left w:w="40" w:type="dxa"/>
              <w:bottom w:w="100" w:type="dxa"/>
              <w:right w:w="0" w:type="dxa"/>
            </w:tcMar>
          </w:tcPr>
          <w:p w14:paraId="73FA10B1" w14:textId="77777777" w:rsidR="00DB6835" w:rsidRDefault="00DB6835" w:rsidP="00A9140F">
            <w:pPr>
              <w:pStyle w:val="AnnexTableCellLeft"/>
            </w:pPr>
            <w:r>
              <w:t>Á ekki við</w:t>
            </w:r>
          </w:p>
        </w:tc>
      </w:tr>
      <w:tr w:rsidR="00DB6835" w14:paraId="40043774" w14:textId="77777777" w:rsidTr="00A9140F">
        <w:trPr>
          <w:trHeight w:val="360"/>
        </w:trPr>
        <w:tc>
          <w:tcPr>
            <w:tcW w:w="2872" w:type="dxa"/>
            <w:tcMar>
              <w:top w:w="100" w:type="dxa"/>
              <w:left w:w="0" w:type="dxa"/>
              <w:bottom w:w="100" w:type="dxa"/>
              <w:right w:w="60" w:type="dxa"/>
            </w:tcMar>
          </w:tcPr>
          <w:p w14:paraId="734CE732" w14:textId="77777777" w:rsidR="00DB6835" w:rsidRDefault="00DB6835" w:rsidP="00A9140F">
            <w:pPr>
              <w:pStyle w:val="AnnexNumberedText"/>
            </w:pPr>
            <w:r>
              <w:t>5)</w:t>
            </w:r>
            <w:r>
              <w:tab/>
              <w:t>Mengunarvarnir og eftirlit með mengun</w:t>
            </w:r>
          </w:p>
        </w:tc>
        <w:tc>
          <w:tcPr>
            <w:tcW w:w="5868" w:type="dxa"/>
            <w:tcMar>
              <w:top w:w="100" w:type="dxa"/>
              <w:left w:w="40" w:type="dxa"/>
              <w:bottom w:w="100" w:type="dxa"/>
              <w:right w:w="0" w:type="dxa"/>
            </w:tcMar>
          </w:tcPr>
          <w:p w14:paraId="684E4F37" w14:textId="77777777" w:rsidR="00DB6835" w:rsidRDefault="00DB6835" w:rsidP="00A9140F">
            <w:pPr>
              <w:pStyle w:val="AnnexTableCellLeft"/>
              <w:spacing w:after="240"/>
            </w:pPr>
            <w:r>
              <w:t xml:space="preserve">Lokun til frambúðar og hreinsun sem og umsjón með gömlum </w:t>
            </w:r>
            <w:proofErr w:type="spellStart"/>
            <w:r>
              <w:t>urðunarstöðum</w:t>
            </w:r>
            <w:proofErr w:type="spellEnd"/>
            <w:r>
              <w:t>, þar sem kerfi til að fanga hauggas er sett upp, eru framkvæmdar í samræmi við eftirfarandi reglur:</w:t>
            </w:r>
          </w:p>
          <w:p w14:paraId="1F41DA1B" w14:textId="77777777" w:rsidR="00DB6835" w:rsidRDefault="00DB6835" w:rsidP="00A9140F">
            <w:pPr>
              <w:pStyle w:val="AnnexNumberedText"/>
            </w:pPr>
            <w:r>
              <w:t>a)</w:t>
            </w:r>
            <w:r>
              <w:tab/>
              <w:t>almennar kröfur sem settar eru fram í I. viðauka við tilskipun 1999/31/EB,</w:t>
            </w:r>
          </w:p>
          <w:p w14:paraId="3C591194" w14:textId="77777777" w:rsidR="00DB6835" w:rsidRDefault="00DB6835" w:rsidP="00A9140F">
            <w:pPr>
              <w:pStyle w:val="AnnexNumberedText"/>
            </w:pPr>
            <w:r>
              <w:t>b)</w:t>
            </w:r>
            <w:r>
              <w:tab/>
              <w:t>aðferðir við eftirlit og vöktun sem settar eru fram í III. viðauka við þá tilskipun.</w:t>
            </w:r>
          </w:p>
        </w:tc>
      </w:tr>
      <w:tr w:rsidR="00DB6835" w14:paraId="7C704267" w14:textId="77777777" w:rsidTr="00A9140F">
        <w:trPr>
          <w:trHeight w:val="360"/>
        </w:trPr>
        <w:tc>
          <w:tcPr>
            <w:tcW w:w="2872" w:type="dxa"/>
            <w:tcMar>
              <w:top w:w="100" w:type="dxa"/>
              <w:left w:w="0" w:type="dxa"/>
              <w:bottom w:w="100" w:type="dxa"/>
              <w:right w:w="60" w:type="dxa"/>
            </w:tcMar>
          </w:tcPr>
          <w:p w14:paraId="7CD02B10" w14:textId="77777777" w:rsidR="00DB6835" w:rsidRDefault="00DB6835" w:rsidP="00A9140F">
            <w:pPr>
              <w:pStyle w:val="AnnexNumberedText"/>
            </w:pPr>
            <w:r>
              <w:lastRenderedPageBreak/>
              <w:t>6)</w:t>
            </w:r>
            <w:r>
              <w:tab/>
              <w:t>Vernd og endurheimt líffræðilegrar fjölbreytni og vistkerfa</w:t>
            </w:r>
          </w:p>
        </w:tc>
        <w:tc>
          <w:tcPr>
            <w:tcW w:w="5868" w:type="dxa"/>
            <w:tcMar>
              <w:top w:w="100" w:type="dxa"/>
              <w:left w:w="40" w:type="dxa"/>
              <w:bottom w:w="100" w:type="dxa"/>
              <w:right w:w="0" w:type="dxa"/>
            </w:tcMar>
          </w:tcPr>
          <w:p w14:paraId="5911016B" w14:textId="77777777" w:rsidR="00DB6835" w:rsidRDefault="00DB6835" w:rsidP="00A9140F">
            <w:pPr>
              <w:pStyle w:val="AnnexTableCellLeft"/>
            </w:pPr>
            <w:r>
              <w:t>Starfsemin er í samræmi við viðmiðanirnar sem settar eru fram í viðbæti D við þennan viðauka.</w:t>
            </w:r>
          </w:p>
        </w:tc>
      </w:tr>
    </w:tbl>
    <w:p w14:paraId="79B07621" w14:textId="77777777" w:rsidR="00DB6835" w:rsidRDefault="00DB6835" w:rsidP="00DB6835">
      <w:pPr>
        <w:shd w:val="clear" w:color="auto" w:fill="auto"/>
        <w:spacing w:line="0" w:lineRule="auto"/>
        <w:jc w:val="left"/>
        <w:rPr>
          <w:color w:val="auto"/>
          <w14:ligatures w14:val="standard"/>
        </w:rPr>
      </w:pPr>
      <w:r>
        <w:br w:type="page"/>
      </w:r>
    </w:p>
    <w:p w14:paraId="01B0D4FD" w14:textId="77777777" w:rsidR="00DB6835" w:rsidRDefault="00DB6835" w:rsidP="00DB6835">
      <w:pPr>
        <w:pStyle w:val="AnnexNumberedText"/>
        <w:ind w:left="500" w:hanging="500"/>
      </w:pPr>
      <w:r>
        <w:lastRenderedPageBreak/>
        <w:t>5.11.</w:t>
      </w:r>
      <w:r>
        <w:rPr>
          <w:b/>
        </w:rPr>
        <w:tab/>
        <w:t>Flutningur á koltvísýringi</w:t>
      </w:r>
    </w:p>
    <w:p w14:paraId="77E7B145" w14:textId="77777777" w:rsidR="00DB6835" w:rsidRDefault="00DB6835" w:rsidP="00DB6835">
      <w:pPr>
        <w:pStyle w:val="AnnexGrSeq3"/>
        <w:spacing w:after="310"/>
        <w:ind w:left="500"/>
        <w:jc w:val="both"/>
      </w:pPr>
      <w:r>
        <w:rPr>
          <w:i/>
        </w:rPr>
        <w:t>Lýsing á starfseminni</w:t>
      </w:r>
    </w:p>
    <w:p w14:paraId="0E88893A" w14:textId="77777777" w:rsidR="00DB6835" w:rsidRDefault="00DB6835" w:rsidP="00DB6835">
      <w:pPr>
        <w:pStyle w:val="AnnexNormal"/>
        <w:spacing w:after="310"/>
        <w:ind w:left="500"/>
      </w:pPr>
      <w:r>
        <w:t>Flutningur á fönguðum koltvísýringi með hvaða flutningsmáta sem er.</w:t>
      </w:r>
    </w:p>
    <w:p w14:paraId="27052281" w14:textId="77777777" w:rsidR="00DB6835" w:rsidRDefault="00DB6835" w:rsidP="00DB6835">
      <w:pPr>
        <w:pStyle w:val="AnnexNormal"/>
        <w:spacing w:after="310"/>
        <w:ind w:left="500"/>
      </w:pPr>
      <w:r>
        <w:t xml:space="preserve">Uppbygging og </w:t>
      </w:r>
      <w:proofErr w:type="spellStart"/>
      <w:r>
        <w:t>starfræksla</w:t>
      </w:r>
      <w:proofErr w:type="spellEnd"/>
      <w:r>
        <w:t xml:space="preserve"> koltvísýringsleiðslna og endurbætur á gasdreifikerfi þar sem megintilgangurinn er samþætting á fönguðum koltvísýringi.</w:t>
      </w:r>
    </w:p>
    <w:p w14:paraId="0B097DB1" w14:textId="77777777" w:rsidR="00DB6835" w:rsidRDefault="00DB6835" w:rsidP="00DB6835">
      <w:pPr>
        <w:pStyle w:val="AnnexNormal"/>
        <w:spacing w:after="310"/>
        <w:ind w:left="500"/>
      </w:pPr>
      <w:r>
        <w:t>Atvinnustarfsemin í þessum flokki gæti tengst nokkrum kóðum atvinnugreinaflokkunar Evrópusambandsins, einkum F42.21 og H49.50, í samræmi við atvinnugreinaflokkunina sem komið var á með reglugerð (EB) nr. 1893/2006.</w:t>
      </w:r>
    </w:p>
    <w:p w14:paraId="0627A614" w14:textId="77777777" w:rsidR="00DB6835" w:rsidRDefault="00DB6835" w:rsidP="00DB6835">
      <w:pPr>
        <w:pStyle w:val="AnnexNormal"/>
        <w:spacing w:after="310"/>
        <w:ind w:left="500"/>
      </w:pPr>
      <w:r>
        <w:t xml:space="preserve">Atvinnustarfsemi í þessum flokki er starfsemi sem gerir annarri starfsemi kleift að stuðla að umhverfismarkmiðum, í samræmi við </w:t>
      </w:r>
      <w:proofErr w:type="spellStart"/>
      <w:r>
        <w:t>i-lið</w:t>
      </w:r>
      <w:proofErr w:type="spellEnd"/>
      <w:r>
        <w:t xml:space="preserve"> 1. mgr. 10. gr. reglugerðar (ESB) 2020/852, þegar hún er í samræmi við tæknilegu matsviðmiðin sem sett eru fram í þessum þætti.</w:t>
      </w:r>
    </w:p>
    <w:p w14:paraId="3A1AF846" w14:textId="77777777" w:rsidR="00DB6835" w:rsidRDefault="00DB6835" w:rsidP="00DB6835">
      <w:pPr>
        <w:pStyle w:val="AnnexGrSeq3"/>
        <w:spacing w:after="310"/>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3028"/>
        <w:gridCol w:w="5724"/>
      </w:tblGrid>
      <w:tr w:rsidR="00DB6835" w14:paraId="7B41AA68" w14:textId="77777777" w:rsidTr="00A9140F">
        <w:trPr>
          <w:trHeight w:val="240"/>
        </w:trPr>
        <w:tc>
          <w:tcPr>
            <w:tcW w:w="8752" w:type="dxa"/>
            <w:gridSpan w:val="2"/>
            <w:tcMar>
              <w:top w:w="100" w:type="dxa"/>
              <w:left w:w="0" w:type="dxa"/>
              <w:bottom w:w="100" w:type="dxa"/>
              <w:right w:w="60" w:type="dxa"/>
            </w:tcMar>
          </w:tcPr>
          <w:p w14:paraId="37B3794F"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1C2DAE3" w14:textId="77777777" w:rsidTr="00A9140F">
        <w:trPr>
          <w:trHeight w:val="360"/>
        </w:trPr>
        <w:tc>
          <w:tcPr>
            <w:tcW w:w="8752" w:type="dxa"/>
            <w:gridSpan w:val="2"/>
            <w:tcMar>
              <w:top w:w="100" w:type="dxa"/>
              <w:left w:w="0" w:type="dxa"/>
              <w:bottom w:w="100" w:type="dxa"/>
              <w:right w:w="60" w:type="dxa"/>
            </w:tcMar>
          </w:tcPr>
          <w:p w14:paraId="21334867" w14:textId="77777777" w:rsidR="00DB6835" w:rsidRDefault="00DB6835" w:rsidP="00A9140F">
            <w:pPr>
              <w:pStyle w:val="AnnexNumberedText"/>
              <w:tabs>
                <w:tab w:val="left" w:pos="508"/>
              </w:tabs>
              <w:spacing w:after="310"/>
              <w:ind w:left="0" w:firstLine="0"/>
            </w:pPr>
            <w:r>
              <w:t>1.</w:t>
            </w:r>
            <w:r>
              <w:tab/>
              <w:t xml:space="preserve">Koltvísýringur sem er fluttur frá stöðinni þar sem hann er fangaður til </w:t>
            </w:r>
            <w:proofErr w:type="spellStart"/>
            <w:r>
              <w:t>inndælingarstaðarins</w:t>
            </w:r>
            <w:proofErr w:type="spellEnd"/>
            <w:r>
              <w:t xml:space="preserve"> leiðir ekki til koltvísýringsleka sem er yfir 0,5% af massa koltvísýringsins sem fluttur er.</w:t>
            </w:r>
          </w:p>
          <w:p w14:paraId="476D4B31" w14:textId="77777777" w:rsidR="00DB6835" w:rsidRDefault="00DB6835" w:rsidP="00A9140F">
            <w:pPr>
              <w:pStyle w:val="AnnexNumberedText"/>
              <w:tabs>
                <w:tab w:val="left" w:pos="508"/>
              </w:tabs>
              <w:spacing w:after="310"/>
              <w:ind w:left="0" w:firstLine="0"/>
            </w:pPr>
            <w:r>
              <w:t>2.</w:t>
            </w:r>
            <w:r>
              <w:tab/>
              <w:t>Koltvísýringurinn er afhentur á varanlegu geymslusvæði fyrir koltvísýring sem uppfyllir viðmiðanirnar fyrir geymslu koltvísýrings neðanjarðar sem settar eru fram í þætti 5.12 í þessum viðauka, eða í annað flutningsfyrirkomulag sem leiðir til varanlegs geymslusvæðis fyrir koltvísýring sem uppfyllir þessar viðmiðanir.</w:t>
            </w:r>
          </w:p>
          <w:p w14:paraId="46EA8459" w14:textId="77777777" w:rsidR="00DB6835" w:rsidRDefault="00DB6835" w:rsidP="00A9140F">
            <w:pPr>
              <w:pStyle w:val="AnnexNumberedText"/>
              <w:tabs>
                <w:tab w:val="left" w:pos="508"/>
              </w:tabs>
              <w:spacing w:after="310"/>
              <w:ind w:left="0" w:firstLine="0"/>
            </w:pPr>
            <w:r>
              <w:t>3.</w:t>
            </w:r>
            <w:r>
              <w:tab/>
              <w:t>Viðeigandi lekaskynjunarkerfi eru notuð, vöktunaráætlun er til staðar og óháður þriðji aðili sannprófar skýrsluna.</w:t>
            </w:r>
          </w:p>
          <w:p w14:paraId="2DE4133D" w14:textId="77777777" w:rsidR="00DB6835" w:rsidRDefault="00DB6835" w:rsidP="00A9140F">
            <w:pPr>
              <w:pStyle w:val="AnnexNumberedText"/>
              <w:tabs>
                <w:tab w:val="left" w:pos="508"/>
              </w:tabs>
              <w:spacing w:after="310"/>
              <w:ind w:left="0" w:firstLine="0"/>
            </w:pPr>
            <w:r>
              <w:t>4.</w:t>
            </w:r>
            <w:r>
              <w:tab/>
              <w:t>Starfsemin getur náð yfir uppsetningu á eignum sem auka sveigjanleika og bæta stjórnunina á kerfi sem fyrir er.</w:t>
            </w:r>
          </w:p>
        </w:tc>
      </w:tr>
      <w:tr w:rsidR="00DB6835" w14:paraId="6EC982A2" w14:textId="77777777" w:rsidTr="00A9140F">
        <w:trPr>
          <w:trHeight w:val="240"/>
        </w:trPr>
        <w:tc>
          <w:tcPr>
            <w:tcW w:w="8752" w:type="dxa"/>
            <w:gridSpan w:val="2"/>
            <w:tcMar>
              <w:top w:w="100" w:type="dxa"/>
              <w:left w:w="0" w:type="dxa"/>
              <w:bottom w:w="100" w:type="dxa"/>
              <w:right w:w="60" w:type="dxa"/>
            </w:tcMar>
          </w:tcPr>
          <w:p w14:paraId="4B53F421" w14:textId="77777777" w:rsidR="00DB6835" w:rsidRDefault="00DB6835" w:rsidP="00A9140F">
            <w:pPr>
              <w:pStyle w:val="AnnexTableCellLeft"/>
            </w:pPr>
            <w:r>
              <w:t>Ekki valda umtalsverðu tjóni</w:t>
            </w:r>
          </w:p>
        </w:tc>
      </w:tr>
      <w:tr w:rsidR="00DB6835" w14:paraId="370B8D82" w14:textId="77777777" w:rsidTr="00A9140F">
        <w:trPr>
          <w:trHeight w:val="360"/>
        </w:trPr>
        <w:tc>
          <w:tcPr>
            <w:tcW w:w="3028" w:type="dxa"/>
            <w:tcMar>
              <w:top w:w="100" w:type="dxa"/>
              <w:left w:w="0" w:type="dxa"/>
              <w:bottom w:w="100" w:type="dxa"/>
              <w:right w:w="60" w:type="dxa"/>
            </w:tcMar>
          </w:tcPr>
          <w:p w14:paraId="43A5693A" w14:textId="77777777" w:rsidR="00DB6835" w:rsidRDefault="00DB6835" w:rsidP="00A9140F">
            <w:pPr>
              <w:pStyle w:val="AnnexNumberedText"/>
            </w:pPr>
            <w:r>
              <w:t>2)</w:t>
            </w:r>
            <w:r>
              <w:tab/>
              <w:t>Aðlögun að loftslagsbreytingum</w:t>
            </w:r>
          </w:p>
        </w:tc>
        <w:tc>
          <w:tcPr>
            <w:tcW w:w="5724" w:type="dxa"/>
            <w:tcMar>
              <w:top w:w="100" w:type="dxa"/>
              <w:left w:w="40" w:type="dxa"/>
              <w:bottom w:w="100" w:type="dxa"/>
              <w:right w:w="0" w:type="dxa"/>
            </w:tcMar>
          </w:tcPr>
          <w:p w14:paraId="3BC2B0F5" w14:textId="77777777" w:rsidR="00DB6835" w:rsidRDefault="00DB6835" w:rsidP="00A9140F">
            <w:pPr>
              <w:pStyle w:val="AnnexTableCellLeft"/>
            </w:pPr>
            <w:r>
              <w:t>Starfsemin er í samræmi við viðmiðanirnar sem settar eru fram í viðbæti A við þennan viðauka.</w:t>
            </w:r>
          </w:p>
        </w:tc>
      </w:tr>
      <w:tr w:rsidR="00DB6835" w14:paraId="65787216" w14:textId="77777777" w:rsidTr="00A9140F">
        <w:trPr>
          <w:trHeight w:val="360"/>
        </w:trPr>
        <w:tc>
          <w:tcPr>
            <w:tcW w:w="3028" w:type="dxa"/>
            <w:tcMar>
              <w:top w:w="100" w:type="dxa"/>
              <w:left w:w="0" w:type="dxa"/>
              <w:bottom w:w="100" w:type="dxa"/>
              <w:right w:w="60" w:type="dxa"/>
            </w:tcMar>
          </w:tcPr>
          <w:p w14:paraId="51407A49" w14:textId="77777777" w:rsidR="00DB6835" w:rsidRDefault="00DB6835" w:rsidP="00A9140F">
            <w:pPr>
              <w:pStyle w:val="AnnexNumberedText"/>
            </w:pPr>
            <w:r>
              <w:t>3)</w:t>
            </w:r>
            <w:r>
              <w:tab/>
              <w:t>Sjálfbær notkun og verndun vatns- og sjávarauðlinda</w:t>
            </w:r>
          </w:p>
        </w:tc>
        <w:tc>
          <w:tcPr>
            <w:tcW w:w="5724" w:type="dxa"/>
            <w:tcMar>
              <w:top w:w="100" w:type="dxa"/>
              <w:left w:w="40" w:type="dxa"/>
              <w:bottom w:w="100" w:type="dxa"/>
              <w:right w:w="0" w:type="dxa"/>
            </w:tcMar>
          </w:tcPr>
          <w:p w14:paraId="31A015FE" w14:textId="77777777" w:rsidR="00DB6835" w:rsidRDefault="00DB6835" w:rsidP="00A9140F">
            <w:pPr>
              <w:pStyle w:val="AnnexTableCellLeft"/>
            </w:pPr>
            <w:r>
              <w:t>Starfsemin er í samræmi við viðmiðanirnar sem settar eru fram í viðbæti B við þennan viðauka.</w:t>
            </w:r>
          </w:p>
        </w:tc>
      </w:tr>
      <w:tr w:rsidR="00DB6835" w14:paraId="358CF772" w14:textId="77777777" w:rsidTr="00A9140F">
        <w:trPr>
          <w:trHeight w:val="360"/>
        </w:trPr>
        <w:tc>
          <w:tcPr>
            <w:tcW w:w="3028" w:type="dxa"/>
            <w:tcMar>
              <w:top w:w="100" w:type="dxa"/>
              <w:left w:w="0" w:type="dxa"/>
              <w:bottom w:w="100" w:type="dxa"/>
              <w:right w:w="60" w:type="dxa"/>
            </w:tcMar>
          </w:tcPr>
          <w:p w14:paraId="58BD9467" w14:textId="77777777" w:rsidR="00DB6835" w:rsidRDefault="00DB6835" w:rsidP="00A9140F">
            <w:pPr>
              <w:pStyle w:val="AnnexNumberedText"/>
            </w:pPr>
            <w:r>
              <w:t>4)</w:t>
            </w:r>
            <w:r>
              <w:tab/>
              <w:t>Umskipti yfir í hringrásarhagkerfi</w:t>
            </w:r>
          </w:p>
        </w:tc>
        <w:tc>
          <w:tcPr>
            <w:tcW w:w="5724" w:type="dxa"/>
            <w:tcMar>
              <w:top w:w="100" w:type="dxa"/>
              <w:left w:w="40" w:type="dxa"/>
              <w:bottom w:w="100" w:type="dxa"/>
              <w:right w:w="0" w:type="dxa"/>
            </w:tcMar>
          </w:tcPr>
          <w:p w14:paraId="7BF30829" w14:textId="77777777" w:rsidR="00DB6835" w:rsidRDefault="00DB6835" w:rsidP="00A9140F">
            <w:pPr>
              <w:pStyle w:val="AnnexTableCellLeft"/>
            </w:pPr>
            <w:r>
              <w:t>Á ekki við</w:t>
            </w:r>
          </w:p>
        </w:tc>
      </w:tr>
      <w:tr w:rsidR="00DB6835" w14:paraId="2F2B4E6C" w14:textId="77777777" w:rsidTr="00A9140F">
        <w:trPr>
          <w:trHeight w:val="360"/>
        </w:trPr>
        <w:tc>
          <w:tcPr>
            <w:tcW w:w="3028" w:type="dxa"/>
            <w:tcMar>
              <w:top w:w="100" w:type="dxa"/>
              <w:left w:w="0" w:type="dxa"/>
              <w:bottom w:w="100" w:type="dxa"/>
              <w:right w:w="60" w:type="dxa"/>
            </w:tcMar>
          </w:tcPr>
          <w:p w14:paraId="7BFD8F47" w14:textId="77777777" w:rsidR="00DB6835" w:rsidRDefault="00DB6835" w:rsidP="00A9140F">
            <w:pPr>
              <w:pStyle w:val="AnnexNumberedText"/>
            </w:pPr>
            <w:r>
              <w:t>5)</w:t>
            </w:r>
            <w:r>
              <w:tab/>
              <w:t>Mengunarvarnir og eftirlit með mengun</w:t>
            </w:r>
          </w:p>
        </w:tc>
        <w:tc>
          <w:tcPr>
            <w:tcW w:w="5724" w:type="dxa"/>
            <w:tcMar>
              <w:top w:w="100" w:type="dxa"/>
              <w:left w:w="40" w:type="dxa"/>
              <w:bottom w:w="100" w:type="dxa"/>
              <w:right w:w="0" w:type="dxa"/>
            </w:tcMar>
          </w:tcPr>
          <w:p w14:paraId="496E7FD8" w14:textId="77777777" w:rsidR="00DB6835" w:rsidRDefault="00DB6835" w:rsidP="00A9140F">
            <w:pPr>
              <w:pStyle w:val="AnnexTableCellLeft"/>
            </w:pPr>
            <w:r>
              <w:t>Á ekki við</w:t>
            </w:r>
          </w:p>
        </w:tc>
      </w:tr>
      <w:tr w:rsidR="00DB6835" w14:paraId="6032D944" w14:textId="77777777" w:rsidTr="00A9140F">
        <w:trPr>
          <w:trHeight w:val="360"/>
        </w:trPr>
        <w:tc>
          <w:tcPr>
            <w:tcW w:w="3028" w:type="dxa"/>
            <w:tcMar>
              <w:top w:w="100" w:type="dxa"/>
              <w:left w:w="0" w:type="dxa"/>
              <w:bottom w:w="100" w:type="dxa"/>
              <w:right w:w="60" w:type="dxa"/>
            </w:tcMar>
          </w:tcPr>
          <w:p w14:paraId="2B6C4D9E" w14:textId="77777777" w:rsidR="00DB6835" w:rsidRDefault="00DB6835" w:rsidP="00A9140F">
            <w:pPr>
              <w:pStyle w:val="AnnexNumberedText"/>
            </w:pPr>
            <w:r>
              <w:t>6)</w:t>
            </w:r>
            <w:r>
              <w:tab/>
              <w:t>Vernd og endurheimt líffræðilegrar fjölbreytni og vistkerfa</w:t>
            </w:r>
          </w:p>
        </w:tc>
        <w:tc>
          <w:tcPr>
            <w:tcW w:w="5724" w:type="dxa"/>
            <w:tcMar>
              <w:top w:w="100" w:type="dxa"/>
              <w:left w:w="40" w:type="dxa"/>
              <w:bottom w:w="100" w:type="dxa"/>
              <w:right w:w="0" w:type="dxa"/>
            </w:tcMar>
          </w:tcPr>
          <w:p w14:paraId="74EA6BB4" w14:textId="77777777" w:rsidR="00DB6835" w:rsidRDefault="00DB6835" w:rsidP="00A9140F">
            <w:pPr>
              <w:pStyle w:val="AnnexTableCellLeft"/>
            </w:pPr>
            <w:r>
              <w:t>Starfsemin er í samræmi við viðmiðanirnar sem settar eru fram í viðbæti D við þennan viðauka.</w:t>
            </w:r>
          </w:p>
        </w:tc>
      </w:tr>
    </w:tbl>
    <w:p w14:paraId="19C5EFBB" w14:textId="77777777" w:rsidR="00DB6835" w:rsidRDefault="00DB6835" w:rsidP="00DB6835">
      <w:pPr>
        <w:pStyle w:val="AnnexNumberedText"/>
        <w:spacing w:before="200"/>
        <w:ind w:left="500" w:hanging="500"/>
      </w:pPr>
      <w:r>
        <w:t>5.12.</w:t>
      </w:r>
      <w:r>
        <w:rPr>
          <w:b/>
        </w:rPr>
        <w:tab/>
        <w:t>Varanleg geymsla koltvísýrings neðanjarðar</w:t>
      </w:r>
    </w:p>
    <w:p w14:paraId="598A8D3B" w14:textId="77777777" w:rsidR="00DB6835" w:rsidRDefault="00DB6835" w:rsidP="00DB6835">
      <w:pPr>
        <w:pStyle w:val="AnnexGrSeq3"/>
        <w:ind w:left="500"/>
        <w:jc w:val="both"/>
      </w:pPr>
      <w:r>
        <w:rPr>
          <w:i/>
        </w:rPr>
        <w:t>Lýsing á starfseminni</w:t>
      </w:r>
    </w:p>
    <w:p w14:paraId="33590865" w14:textId="77777777" w:rsidR="00DB6835" w:rsidRDefault="00DB6835" w:rsidP="00DB6835">
      <w:pPr>
        <w:pStyle w:val="AnnexNormal"/>
        <w:ind w:left="500"/>
      </w:pPr>
      <w:r>
        <w:t>Varanleg geymsla fangaðs koltvísýrings í viðeigandi jarðmyndunum neðanjarðar.</w:t>
      </w:r>
    </w:p>
    <w:p w14:paraId="79A3DD1C" w14:textId="77777777" w:rsidR="00DB6835" w:rsidRDefault="00DB6835" w:rsidP="00DB6835">
      <w:pPr>
        <w:pStyle w:val="AnnexNormal"/>
        <w:spacing w:after="0"/>
        <w:ind w:left="500"/>
      </w:pPr>
      <w:r>
        <w:t>Atvinnustarfsemin í þessum flokki gæti tengst kóða atvinnugreinaflokkunar Evrópusambandsins E39.00 í samræmi við atvinnugreinaflokkunina sem komið var á með reglugerð (EB) nr. 1893/2006.</w:t>
      </w:r>
      <w:r>
        <w:br w:type="page"/>
      </w:r>
    </w:p>
    <w:p w14:paraId="1E6673E2" w14:textId="77777777" w:rsidR="00DB6835" w:rsidRDefault="00DB6835" w:rsidP="00DB6835">
      <w:pPr>
        <w:pStyle w:val="AnnexGrSeq3"/>
        <w:ind w:left="500"/>
        <w:jc w:val="both"/>
      </w:pPr>
      <w:r>
        <w:rPr>
          <w:i/>
        </w:rPr>
        <w:lastRenderedPageBreak/>
        <w:t>Tæknileg matsviðmið</w:t>
      </w:r>
    </w:p>
    <w:tbl>
      <w:tblPr>
        <w:tblStyle w:val="EFTATable"/>
        <w:tblW w:w="8752" w:type="dxa"/>
        <w:tblInd w:w="500" w:type="dxa"/>
        <w:tblLayout w:type="fixed"/>
        <w:tblLook w:val="04A0" w:firstRow="1" w:lastRow="0" w:firstColumn="1" w:lastColumn="0" w:noHBand="0" w:noVBand="1"/>
      </w:tblPr>
      <w:tblGrid>
        <w:gridCol w:w="2860"/>
        <w:gridCol w:w="5892"/>
      </w:tblGrid>
      <w:tr w:rsidR="00DB6835" w14:paraId="3682CE0E" w14:textId="77777777" w:rsidTr="00A9140F">
        <w:trPr>
          <w:trHeight w:val="240"/>
        </w:trPr>
        <w:tc>
          <w:tcPr>
            <w:tcW w:w="8752" w:type="dxa"/>
            <w:gridSpan w:val="2"/>
            <w:tcMar>
              <w:top w:w="100" w:type="dxa"/>
              <w:left w:w="0" w:type="dxa"/>
              <w:bottom w:w="100" w:type="dxa"/>
              <w:right w:w="60" w:type="dxa"/>
            </w:tcMar>
          </w:tcPr>
          <w:p w14:paraId="5B78708E"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FBD44F0" w14:textId="77777777" w:rsidTr="00A9140F">
        <w:trPr>
          <w:trHeight w:val="360"/>
        </w:trPr>
        <w:tc>
          <w:tcPr>
            <w:tcW w:w="8752" w:type="dxa"/>
            <w:gridSpan w:val="2"/>
            <w:tcMar>
              <w:top w:w="100" w:type="dxa"/>
              <w:left w:w="0" w:type="dxa"/>
              <w:bottom w:w="100" w:type="dxa"/>
              <w:right w:w="60" w:type="dxa"/>
            </w:tcMar>
          </w:tcPr>
          <w:p w14:paraId="5327BA17" w14:textId="77777777" w:rsidR="00DB6835" w:rsidRDefault="00DB6835" w:rsidP="00A9140F">
            <w:pPr>
              <w:pStyle w:val="AnnexNumberedText"/>
              <w:tabs>
                <w:tab w:val="left" w:pos="508"/>
              </w:tabs>
              <w:spacing w:after="280"/>
              <w:ind w:left="0" w:firstLine="0"/>
              <w:rPr>
                <w:szCs w:val="18"/>
              </w:rPr>
            </w:pPr>
            <w:r>
              <w:t>1.</w:t>
            </w:r>
            <w:r>
              <w:tab/>
              <w:t>Lýsing á eiginleikum og mat á mögulegri geymsluaðstöðu og nærliggjandi svæði, eða könnun í skilningi 8. liðar 3. gr. tilskipunar Evrópuþingsins og ráðsins 2009/31/EB (</w:t>
            </w:r>
            <w:r>
              <w:rPr>
                <w:rStyle w:val="Tilvsunneanmlsgrein"/>
                <w:sz w:val="18"/>
                <w:szCs w:val="18"/>
              </w:rPr>
              <w:footnoteReference w:id="239"/>
            </w:r>
            <w:r>
              <w:t>), er framkvæmd til að staðfesta hvort jarðmyndunin er hentug til notkunar sem geymslusvæði fyrir koltvísýring.</w:t>
            </w:r>
          </w:p>
          <w:p w14:paraId="361AD760" w14:textId="77777777" w:rsidR="00DB6835" w:rsidRDefault="00DB6835" w:rsidP="00A9140F">
            <w:pPr>
              <w:pStyle w:val="AnnexNumberedText"/>
              <w:tabs>
                <w:tab w:val="left" w:pos="508"/>
              </w:tabs>
              <w:spacing w:after="280"/>
              <w:ind w:left="0" w:firstLine="0"/>
              <w:rPr>
                <w:szCs w:val="18"/>
              </w:rPr>
            </w:pPr>
            <w:r>
              <w:t>2.</w:t>
            </w:r>
            <w:r>
              <w:tab/>
              <w:t xml:space="preserve">Að því er varðar </w:t>
            </w:r>
            <w:proofErr w:type="spellStart"/>
            <w:r>
              <w:t>starfrækslu</w:t>
            </w:r>
            <w:proofErr w:type="spellEnd"/>
            <w:r>
              <w:t xml:space="preserve"> </w:t>
            </w:r>
            <w:proofErr w:type="spellStart"/>
            <w:r>
              <w:t>neðanjarðargeymslusvæða</w:t>
            </w:r>
            <w:proofErr w:type="spellEnd"/>
            <w:r>
              <w:t xml:space="preserve"> fyrir koltvísýring, þ.m.t. lokun og skuldbindingar eftir lokun:</w:t>
            </w:r>
          </w:p>
          <w:p w14:paraId="3EC5619B" w14:textId="77777777" w:rsidR="00DB6835" w:rsidRDefault="00DB6835" w:rsidP="00A9140F">
            <w:pPr>
              <w:pStyle w:val="AnnexNumberedText"/>
              <w:tabs>
                <w:tab w:val="left" w:pos="508"/>
              </w:tabs>
              <w:spacing w:after="280"/>
              <w:rPr>
                <w:szCs w:val="18"/>
              </w:rPr>
            </w:pPr>
            <w:r>
              <w:t>a)</w:t>
            </w:r>
            <w:r>
              <w:tab/>
              <w:t xml:space="preserve">viðeigandi lekagreiningarkerfi eru sett upp til að koma í veg fyrir losun við </w:t>
            </w:r>
            <w:proofErr w:type="spellStart"/>
            <w:r>
              <w:t>starfrækslu</w:t>
            </w:r>
            <w:proofErr w:type="spellEnd"/>
            <w:r>
              <w:t>,</w:t>
            </w:r>
          </w:p>
          <w:p w14:paraId="353E4815" w14:textId="77777777" w:rsidR="00DB6835" w:rsidRDefault="00DB6835" w:rsidP="00A9140F">
            <w:pPr>
              <w:pStyle w:val="AnnexNumberedText"/>
              <w:tabs>
                <w:tab w:val="left" w:pos="508"/>
              </w:tabs>
              <w:spacing w:after="280"/>
              <w:rPr>
                <w:szCs w:val="18"/>
              </w:rPr>
            </w:pPr>
            <w:r>
              <w:t>b)</w:t>
            </w:r>
            <w:r>
              <w:tab/>
              <w:t xml:space="preserve">vöktunaráætlun fyrir </w:t>
            </w:r>
            <w:proofErr w:type="spellStart"/>
            <w:r>
              <w:t>inndælingarstöðvar</w:t>
            </w:r>
            <w:proofErr w:type="spellEnd"/>
            <w:r>
              <w:t xml:space="preserve">, geymsluaðstöðu og, eftir því sem við á, nærliggjandi umhverfi er til staðar ásamt reglubundnum skýrslum sem </w:t>
            </w:r>
            <w:proofErr w:type="spellStart"/>
            <w:r>
              <w:t>lögbær</w:t>
            </w:r>
            <w:proofErr w:type="spellEnd"/>
            <w:r>
              <w:t xml:space="preserve"> landsyfirvöld yfirfara.</w:t>
            </w:r>
          </w:p>
          <w:p w14:paraId="31602020" w14:textId="77777777" w:rsidR="00DB6835" w:rsidRDefault="00DB6835" w:rsidP="00A9140F">
            <w:pPr>
              <w:pStyle w:val="AnnexNumberedText"/>
              <w:tabs>
                <w:tab w:val="left" w:pos="508"/>
              </w:tabs>
              <w:ind w:left="0" w:firstLine="0"/>
            </w:pPr>
            <w:r>
              <w:t>3.</w:t>
            </w:r>
            <w:r>
              <w:tab/>
              <w:t xml:space="preserve">Að því er varðar könnun og </w:t>
            </w:r>
            <w:proofErr w:type="spellStart"/>
            <w:r>
              <w:t>starfrækslu</w:t>
            </w:r>
            <w:proofErr w:type="spellEnd"/>
            <w:r>
              <w:t xml:space="preserve"> geymslusvæða innan Sambandsins er starfsemin í samræmi við tilskipun 2009/31/EB. Að því er varðar könnun og </w:t>
            </w:r>
            <w:proofErr w:type="spellStart"/>
            <w:r>
              <w:t>starfrækslu</w:t>
            </w:r>
            <w:proofErr w:type="spellEnd"/>
            <w:r>
              <w:t xml:space="preserve"> geymslusvæða í þriðju löndum er starfsemin í samræmi við ISO 27914:2017 (</w:t>
            </w:r>
            <w:r>
              <w:rPr>
                <w:rStyle w:val="Tilvsunneanmlsgrein"/>
                <w:sz w:val="18"/>
                <w:szCs w:val="18"/>
              </w:rPr>
              <w:footnoteReference w:id="240"/>
            </w:r>
            <w:r>
              <w:t>) fyrir geymslu koltvísýrings í jörðu.</w:t>
            </w:r>
          </w:p>
        </w:tc>
      </w:tr>
      <w:tr w:rsidR="00DB6835" w14:paraId="50950D12" w14:textId="77777777" w:rsidTr="00A9140F">
        <w:trPr>
          <w:trHeight w:val="240"/>
        </w:trPr>
        <w:tc>
          <w:tcPr>
            <w:tcW w:w="8752" w:type="dxa"/>
            <w:gridSpan w:val="2"/>
            <w:tcMar>
              <w:top w:w="100" w:type="dxa"/>
              <w:left w:w="0" w:type="dxa"/>
              <w:bottom w:w="100" w:type="dxa"/>
              <w:right w:w="60" w:type="dxa"/>
            </w:tcMar>
          </w:tcPr>
          <w:p w14:paraId="2B0A98CF" w14:textId="77777777" w:rsidR="00DB6835" w:rsidRDefault="00DB6835" w:rsidP="00A9140F">
            <w:pPr>
              <w:pStyle w:val="AnnexTableCellLeft"/>
            </w:pPr>
            <w:r>
              <w:t>Ekki valda umtalsverðu tjóni</w:t>
            </w:r>
          </w:p>
        </w:tc>
      </w:tr>
      <w:tr w:rsidR="00DB6835" w14:paraId="21AED3D5" w14:textId="77777777" w:rsidTr="00A9140F">
        <w:trPr>
          <w:trHeight w:val="360"/>
        </w:trPr>
        <w:tc>
          <w:tcPr>
            <w:tcW w:w="2860" w:type="dxa"/>
            <w:tcMar>
              <w:top w:w="100" w:type="dxa"/>
              <w:left w:w="0" w:type="dxa"/>
              <w:bottom w:w="100" w:type="dxa"/>
              <w:right w:w="60" w:type="dxa"/>
            </w:tcMar>
          </w:tcPr>
          <w:p w14:paraId="01235D82" w14:textId="77777777" w:rsidR="00DB6835" w:rsidRDefault="00DB6835" w:rsidP="00A9140F">
            <w:pPr>
              <w:pStyle w:val="AnnexNumberedText"/>
            </w:pPr>
            <w:r>
              <w:t>2)</w:t>
            </w:r>
            <w:r>
              <w:tab/>
              <w:t>Aðlögun að loftslagsbreytingum</w:t>
            </w:r>
          </w:p>
        </w:tc>
        <w:tc>
          <w:tcPr>
            <w:tcW w:w="5892" w:type="dxa"/>
            <w:tcMar>
              <w:top w:w="100" w:type="dxa"/>
              <w:left w:w="40" w:type="dxa"/>
              <w:bottom w:w="100" w:type="dxa"/>
              <w:right w:w="0" w:type="dxa"/>
            </w:tcMar>
          </w:tcPr>
          <w:p w14:paraId="44C70244" w14:textId="77777777" w:rsidR="00DB6835" w:rsidRDefault="00DB6835" w:rsidP="00A9140F">
            <w:pPr>
              <w:pStyle w:val="AnnexTableCellLeft"/>
            </w:pPr>
            <w:r>
              <w:t>Starfsemin er í samræmi við viðmiðanirnar sem settar eru fram í viðbæti A við þennan viðauka.</w:t>
            </w:r>
          </w:p>
        </w:tc>
      </w:tr>
      <w:tr w:rsidR="00DB6835" w14:paraId="1399DCF4" w14:textId="77777777" w:rsidTr="00A9140F">
        <w:trPr>
          <w:trHeight w:val="360"/>
        </w:trPr>
        <w:tc>
          <w:tcPr>
            <w:tcW w:w="2860" w:type="dxa"/>
            <w:tcMar>
              <w:top w:w="100" w:type="dxa"/>
              <w:left w:w="0" w:type="dxa"/>
              <w:bottom w:w="100" w:type="dxa"/>
              <w:right w:w="60" w:type="dxa"/>
            </w:tcMar>
          </w:tcPr>
          <w:p w14:paraId="4B014B40" w14:textId="77777777" w:rsidR="00DB6835" w:rsidRDefault="00DB6835" w:rsidP="00A9140F">
            <w:pPr>
              <w:pStyle w:val="AnnexNumberedText"/>
            </w:pPr>
            <w:r>
              <w:t>3)</w:t>
            </w:r>
            <w:r>
              <w:tab/>
              <w:t>Sjálfbær notkun og verndun vatns- og sjávarauðlinda</w:t>
            </w:r>
          </w:p>
        </w:tc>
        <w:tc>
          <w:tcPr>
            <w:tcW w:w="5892" w:type="dxa"/>
            <w:tcMar>
              <w:top w:w="100" w:type="dxa"/>
              <w:left w:w="40" w:type="dxa"/>
              <w:bottom w:w="100" w:type="dxa"/>
              <w:right w:w="0" w:type="dxa"/>
            </w:tcMar>
          </w:tcPr>
          <w:p w14:paraId="0BB0AAEC" w14:textId="77777777" w:rsidR="00DB6835" w:rsidRDefault="00DB6835" w:rsidP="00A9140F">
            <w:pPr>
              <w:pStyle w:val="AnnexTableCellLeft"/>
            </w:pPr>
            <w:r>
              <w:t>Starfsemin er í samræmi við viðmiðanirnar sem settar eru fram í viðbæti B við þennan viðauka.</w:t>
            </w:r>
          </w:p>
        </w:tc>
      </w:tr>
      <w:tr w:rsidR="00DB6835" w14:paraId="2F734604" w14:textId="77777777" w:rsidTr="00A9140F">
        <w:trPr>
          <w:trHeight w:val="360"/>
        </w:trPr>
        <w:tc>
          <w:tcPr>
            <w:tcW w:w="2860" w:type="dxa"/>
            <w:tcMar>
              <w:top w:w="100" w:type="dxa"/>
              <w:left w:w="0" w:type="dxa"/>
              <w:bottom w:w="100" w:type="dxa"/>
              <w:right w:w="60" w:type="dxa"/>
            </w:tcMar>
          </w:tcPr>
          <w:p w14:paraId="10BE3F7B" w14:textId="77777777" w:rsidR="00DB6835" w:rsidRDefault="00DB6835" w:rsidP="00A9140F">
            <w:pPr>
              <w:pStyle w:val="AnnexNumberedText"/>
            </w:pPr>
            <w:r>
              <w:t>4)</w:t>
            </w:r>
            <w:r>
              <w:tab/>
              <w:t>Umskipti yfir í hringrásarhagkerfi</w:t>
            </w:r>
          </w:p>
        </w:tc>
        <w:tc>
          <w:tcPr>
            <w:tcW w:w="5892" w:type="dxa"/>
            <w:tcMar>
              <w:top w:w="100" w:type="dxa"/>
              <w:left w:w="40" w:type="dxa"/>
              <w:bottom w:w="100" w:type="dxa"/>
              <w:right w:w="0" w:type="dxa"/>
            </w:tcMar>
          </w:tcPr>
          <w:p w14:paraId="6D96060E" w14:textId="77777777" w:rsidR="00DB6835" w:rsidRDefault="00DB6835" w:rsidP="00A9140F">
            <w:pPr>
              <w:pStyle w:val="AnnexTableCellLeft"/>
            </w:pPr>
            <w:r>
              <w:t>Á ekki við</w:t>
            </w:r>
          </w:p>
        </w:tc>
      </w:tr>
      <w:tr w:rsidR="00DB6835" w14:paraId="3198F088" w14:textId="77777777" w:rsidTr="00A9140F">
        <w:trPr>
          <w:trHeight w:val="360"/>
        </w:trPr>
        <w:tc>
          <w:tcPr>
            <w:tcW w:w="2860" w:type="dxa"/>
            <w:tcMar>
              <w:top w:w="100" w:type="dxa"/>
              <w:left w:w="0" w:type="dxa"/>
              <w:bottom w:w="100" w:type="dxa"/>
              <w:right w:w="60" w:type="dxa"/>
            </w:tcMar>
          </w:tcPr>
          <w:p w14:paraId="7451D5E6" w14:textId="77777777" w:rsidR="00DB6835" w:rsidRDefault="00DB6835" w:rsidP="00A9140F">
            <w:pPr>
              <w:pStyle w:val="AnnexNumberedText"/>
            </w:pPr>
            <w:r>
              <w:t>5)</w:t>
            </w:r>
            <w:r>
              <w:tab/>
              <w:t>Mengunarvarnir og eftirlit með mengun</w:t>
            </w:r>
          </w:p>
        </w:tc>
        <w:tc>
          <w:tcPr>
            <w:tcW w:w="5892" w:type="dxa"/>
            <w:tcMar>
              <w:top w:w="100" w:type="dxa"/>
              <w:left w:w="40" w:type="dxa"/>
              <w:bottom w:w="100" w:type="dxa"/>
              <w:right w:w="0" w:type="dxa"/>
            </w:tcMar>
          </w:tcPr>
          <w:p w14:paraId="0287DF94" w14:textId="77777777" w:rsidR="00DB6835" w:rsidRDefault="00DB6835" w:rsidP="00A9140F">
            <w:pPr>
              <w:pStyle w:val="AnnexTableCellLeft"/>
            </w:pPr>
            <w:r>
              <w:t>Starfsemin er í samræmi við tilskipun 2009/31/EB.</w:t>
            </w:r>
          </w:p>
        </w:tc>
      </w:tr>
      <w:tr w:rsidR="00DB6835" w14:paraId="67E9FA5C" w14:textId="77777777" w:rsidTr="00A9140F">
        <w:trPr>
          <w:trHeight w:val="360"/>
        </w:trPr>
        <w:tc>
          <w:tcPr>
            <w:tcW w:w="2860" w:type="dxa"/>
            <w:tcMar>
              <w:top w:w="100" w:type="dxa"/>
              <w:left w:w="0" w:type="dxa"/>
              <w:bottom w:w="100" w:type="dxa"/>
              <w:right w:w="60" w:type="dxa"/>
            </w:tcMar>
          </w:tcPr>
          <w:p w14:paraId="53505AFD" w14:textId="77777777" w:rsidR="00DB6835" w:rsidRDefault="00DB6835" w:rsidP="00A9140F">
            <w:pPr>
              <w:pStyle w:val="AnnexNumberedText"/>
            </w:pPr>
            <w:r>
              <w:t>6)</w:t>
            </w:r>
            <w:r>
              <w:tab/>
              <w:t>Vernd og endurheimt líffræðilegrar fjölbreytni og vistkerfa</w:t>
            </w:r>
          </w:p>
        </w:tc>
        <w:tc>
          <w:tcPr>
            <w:tcW w:w="5892" w:type="dxa"/>
            <w:tcMar>
              <w:top w:w="100" w:type="dxa"/>
              <w:left w:w="40" w:type="dxa"/>
              <w:bottom w:w="100" w:type="dxa"/>
              <w:right w:w="0" w:type="dxa"/>
            </w:tcMar>
          </w:tcPr>
          <w:p w14:paraId="4CBF74A0" w14:textId="77777777" w:rsidR="00DB6835" w:rsidRDefault="00DB6835" w:rsidP="00A9140F">
            <w:pPr>
              <w:pStyle w:val="AnnexTableCellLeft"/>
            </w:pPr>
            <w:r>
              <w:t>Starfsemin er í samræmi við viðmiðanirnar sem settar eru fram í viðbæti D við þennan viðauka.</w:t>
            </w:r>
          </w:p>
        </w:tc>
      </w:tr>
    </w:tbl>
    <w:p w14:paraId="16368C44" w14:textId="77777777" w:rsidR="00DB6835" w:rsidRDefault="00DB6835" w:rsidP="00DB6835">
      <w:pPr>
        <w:pStyle w:val="AnnexNumberedText"/>
        <w:spacing w:before="200" w:after="280"/>
        <w:ind w:left="500" w:hanging="500"/>
      </w:pPr>
      <w:r>
        <w:t>6.</w:t>
      </w:r>
      <w:r>
        <w:tab/>
        <w:t>FLUTNINGAR</w:t>
      </w:r>
    </w:p>
    <w:p w14:paraId="45AFD54F" w14:textId="77777777" w:rsidR="00DB6835" w:rsidRDefault="00DB6835" w:rsidP="00DB6835">
      <w:pPr>
        <w:pStyle w:val="AnnexNumberedText"/>
        <w:spacing w:after="280"/>
        <w:ind w:left="500" w:hanging="500"/>
      </w:pPr>
      <w:r>
        <w:t>6.1.</w:t>
      </w:r>
      <w:r>
        <w:rPr>
          <w:b/>
        </w:rPr>
        <w:tab/>
        <w:t>Farþegaflutningar með járnbrautum milli borga</w:t>
      </w:r>
    </w:p>
    <w:p w14:paraId="059711EB" w14:textId="77777777" w:rsidR="00DB6835" w:rsidRDefault="00DB6835" w:rsidP="00DB6835">
      <w:pPr>
        <w:pStyle w:val="AnnexGrSeq3"/>
        <w:spacing w:after="280"/>
        <w:ind w:left="500"/>
        <w:jc w:val="both"/>
      </w:pPr>
      <w:r>
        <w:rPr>
          <w:i/>
        </w:rPr>
        <w:t>Lýsing á starfseminni</w:t>
      </w:r>
    </w:p>
    <w:p w14:paraId="0F970C29" w14:textId="77777777" w:rsidR="00DB6835" w:rsidRDefault="00DB6835" w:rsidP="00DB6835">
      <w:pPr>
        <w:pStyle w:val="AnnexNormal"/>
        <w:spacing w:after="280"/>
        <w:ind w:left="500"/>
      </w:pPr>
      <w:r>
        <w:t xml:space="preserve">Kaup, fjármögnun, leiga, eignarleiga og </w:t>
      </w:r>
      <w:proofErr w:type="spellStart"/>
      <w:r>
        <w:t>starfræksla</w:t>
      </w:r>
      <w:proofErr w:type="spellEnd"/>
      <w:r>
        <w:t xml:space="preserve"> farþegaflutninga með notkun járnbrautarvagna eftir meginnetkerfum sem ná yfir stórt landsvæði, farþegaflutningar með járnbrautum milli borga og </w:t>
      </w:r>
      <w:proofErr w:type="spellStart"/>
      <w:r>
        <w:t>starfræksla</w:t>
      </w:r>
      <w:proofErr w:type="spellEnd"/>
      <w:r>
        <w:t xml:space="preserve"> svefnvagna eða veitingavagna sem </w:t>
      </w:r>
      <w:proofErr w:type="spellStart"/>
      <w:r>
        <w:t>samþættur</w:t>
      </w:r>
      <w:proofErr w:type="spellEnd"/>
      <w:r>
        <w:t xml:space="preserve"> rekstur járnbrautafyrirtækja.</w:t>
      </w:r>
    </w:p>
    <w:p w14:paraId="30BA45AE" w14:textId="77777777" w:rsidR="00DB6835" w:rsidRDefault="00DB6835" w:rsidP="00DB6835">
      <w:pPr>
        <w:pStyle w:val="AnnexNormal"/>
        <w:spacing w:after="280"/>
        <w:ind w:left="500"/>
      </w:pPr>
      <w:r>
        <w:t>Atvinnustarfsemin í þessum flokki gæti tengst nokkrum kóðum atvinnugreinaflokkunar Evrópusambandsins, einkum H49.10 og N77.39, í samræmi við atvinnugreinaflokkunina sem komið var á með reglugerð (EB) nr. 1893/2006.</w:t>
      </w:r>
    </w:p>
    <w:p w14:paraId="750FF44E" w14:textId="77777777" w:rsidR="00DB6835" w:rsidRDefault="00DB6835" w:rsidP="00DB6835">
      <w:pPr>
        <w:pStyle w:val="AnnexNormal"/>
        <w:ind w:left="500"/>
      </w:pPr>
      <w:r>
        <w:lastRenderedPageBreak/>
        <w:t>Ef atvinnustarfsemi í þessum flokki uppfyllir ekki viðmiðunina um verulegt framlag sem er tilgreind í a-lið þessa þáttar er sú starfsemi umbreytingarstarfsemi, eins og um getur í 2. mgr. 10. gr. reglugerðar (ESB) 2020/852, að því tilskildu að hún uppfylli eftirstandandi tæknileg matsviðmið sem sett eru fram í þessum þætti.</w:t>
      </w:r>
      <w:r>
        <w:br w:type="page"/>
      </w:r>
    </w:p>
    <w:p w14:paraId="001C5B36"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896"/>
        <w:gridCol w:w="5844"/>
      </w:tblGrid>
      <w:tr w:rsidR="00DB6835" w14:paraId="71ED9F7E" w14:textId="77777777" w:rsidTr="00A9140F">
        <w:trPr>
          <w:trHeight w:val="240"/>
        </w:trPr>
        <w:tc>
          <w:tcPr>
            <w:tcW w:w="8740" w:type="dxa"/>
            <w:gridSpan w:val="2"/>
            <w:tcMar>
              <w:top w:w="100" w:type="dxa"/>
              <w:left w:w="0" w:type="dxa"/>
              <w:bottom w:w="100" w:type="dxa"/>
              <w:right w:w="60" w:type="dxa"/>
            </w:tcMar>
          </w:tcPr>
          <w:p w14:paraId="5AE3D84B"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8B2C84A" w14:textId="77777777" w:rsidTr="00A9140F">
        <w:trPr>
          <w:trHeight w:val="360"/>
        </w:trPr>
        <w:tc>
          <w:tcPr>
            <w:tcW w:w="8740" w:type="dxa"/>
            <w:gridSpan w:val="2"/>
            <w:tcMar>
              <w:top w:w="100" w:type="dxa"/>
              <w:left w:w="0" w:type="dxa"/>
              <w:bottom w:w="100" w:type="dxa"/>
              <w:right w:w="60" w:type="dxa"/>
            </w:tcMar>
          </w:tcPr>
          <w:p w14:paraId="440CA2BA" w14:textId="77777777" w:rsidR="00DB6835" w:rsidRDefault="00DB6835" w:rsidP="00A9140F">
            <w:pPr>
              <w:pStyle w:val="AnnexTableCellLeft"/>
              <w:spacing w:after="220"/>
            </w:pPr>
            <w:r>
              <w:t>Starfsemin er í samræmi við eina af eftirfarandi viðmiðunum:</w:t>
            </w:r>
          </w:p>
          <w:p w14:paraId="33CBA073" w14:textId="77777777" w:rsidR="00DB6835" w:rsidRDefault="00DB6835" w:rsidP="00A9140F">
            <w:pPr>
              <w:pStyle w:val="AnnexNumberedText"/>
              <w:spacing w:after="220"/>
            </w:pPr>
            <w:r>
              <w:t>a)</w:t>
            </w:r>
            <w:r>
              <w:tab/>
              <w:t>lestir og farþegavagnar eru ekki með neina beina koltvísýringslosun (gegnum útblástursrör),</w:t>
            </w:r>
          </w:p>
          <w:p w14:paraId="25D71E51" w14:textId="77777777" w:rsidR="00DB6835" w:rsidRDefault="00DB6835" w:rsidP="00A9140F">
            <w:pPr>
              <w:pStyle w:val="AnnexNumberedText"/>
              <w:spacing w:after="220"/>
            </w:pPr>
            <w:r>
              <w:t>b)</w:t>
            </w:r>
            <w:r>
              <w:tab/>
              <w:t>lestir og farþegavagnar eru ekki með neina beina koltvísýringslosun (gegnum útblástursrör) þegar þeim er ekið eftir brautarspori með nauðsynlegum grunnvirkjum og nota hefðbundna vél þegar slík grunnvirki eru ekki tiltæk (rafmagns-dísilolía).</w:t>
            </w:r>
          </w:p>
        </w:tc>
      </w:tr>
      <w:tr w:rsidR="00DB6835" w14:paraId="4CC948A0" w14:textId="77777777" w:rsidTr="00A9140F">
        <w:trPr>
          <w:trHeight w:val="240"/>
        </w:trPr>
        <w:tc>
          <w:tcPr>
            <w:tcW w:w="8740" w:type="dxa"/>
            <w:gridSpan w:val="2"/>
            <w:tcMar>
              <w:top w:w="100" w:type="dxa"/>
              <w:left w:w="0" w:type="dxa"/>
              <w:bottom w:w="100" w:type="dxa"/>
              <w:right w:w="60" w:type="dxa"/>
            </w:tcMar>
          </w:tcPr>
          <w:p w14:paraId="0DBAA7F0" w14:textId="77777777" w:rsidR="00DB6835" w:rsidRDefault="00DB6835" w:rsidP="00A9140F">
            <w:pPr>
              <w:pStyle w:val="AnnexTableCellLeft"/>
            </w:pPr>
            <w:r>
              <w:t>Ekki valda umtalsverðu tjóni</w:t>
            </w:r>
          </w:p>
        </w:tc>
      </w:tr>
      <w:tr w:rsidR="00DB6835" w14:paraId="764834A3" w14:textId="77777777" w:rsidTr="00A9140F">
        <w:trPr>
          <w:trHeight w:val="360"/>
        </w:trPr>
        <w:tc>
          <w:tcPr>
            <w:tcW w:w="2896" w:type="dxa"/>
            <w:tcMar>
              <w:top w:w="100" w:type="dxa"/>
              <w:left w:w="0" w:type="dxa"/>
              <w:bottom w:w="100" w:type="dxa"/>
              <w:right w:w="60" w:type="dxa"/>
            </w:tcMar>
          </w:tcPr>
          <w:p w14:paraId="60F402EE" w14:textId="77777777" w:rsidR="00DB6835" w:rsidRDefault="00DB6835" w:rsidP="00A9140F">
            <w:pPr>
              <w:pStyle w:val="AnnexNumberedText"/>
            </w:pPr>
            <w:r>
              <w:t>2)</w:t>
            </w:r>
            <w:r>
              <w:tab/>
              <w:t>Aðlögun að loftslagsbreytingum</w:t>
            </w:r>
          </w:p>
        </w:tc>
        <w:tc>
          <w:tcPr>
            <w:tcW w:w="5844" w:type="dxa"/>
            <w:tcMar>
              <w:top w:w="100" w:type="dxa"/>
              <w:left w:w="40" w:type="dxa"/>
              <w:bottom w:w="100" w:type="dxa"/>
              <w:right w:w="0" w:type="dxa"/>
            </w:tcMar>
          </w:tcPr>
          <w:p w14:paraId="0C215861" w14:textId="77777777" w:rsidR="00DB6835" w:rsidRDefault="00DB6835" w:rsidP="00A9140F">
            <w:pPr>
              <w:pStyle w:val="AnnexTableCellLeft"/>
            </w:pPr>
            <w:r>
              <w:t>Starfsemin er í samræmi við viðmiðanirnar sem settar eru fram í viðbæti A við þennan viðauka.</w:t>
            </w:r>
          </w:p>
        </w:tc>
      </w:tr>
      <w:tr w:rsidR="00DB6835" w14:paraId="1250CAD8" w14:textId="77777777" w:rsidTr="00A9140F">
        <w:trPr>
          <w:trHeight w:val="360"/>
        </w:trPr>
        <w:tc>
          <w:tcPr>
            <w:tcW w:w="2896" w:type="dxa"/>
            <w:tcMar>
              <w:top w:w="100" w:type="dxa"/>
              <w:left w:w="0" w:type="dxa"/>
              <w:bottom w:w="100" w:type="dxa"/>
              <w:right w:w="60" w:type="dxa"/>
            </w:tcMar>
          </w:tcPr>
          <w:p w14:paraId="4B184248" w14:textId="77777777" w:rsidR="00DB6835" w:rsidRDefault="00DB6835" w:rsidP="00A9140F">
            <w:pPr>
              <w:pStyle w:val="AnnexNumberedText"/>
            </w:pPr>
            <w:r>
              <w:t>3)</w:t>
            </w:r>
            <w:r>
              <w:tab/>
              <w:t>Sjálfbær notkun og verndun vatns- og sjávarauðlinda</w:t>
            </w:r>
          </w:p>
        </w:tc>
        <w:tc>
          <w:tcPr>
            <w:tcW w:w="5844" w:type="dxa"/>
            <w:tcMar>
              <w:top w:w="100" w:type="dxa"/>
              <w:left w:w="40" w:type="dxa"/>
              <w:bottom w:w="100" w:type="dxa"/>
              <w:right w:w="0" w:type="dxa"/>
            </w:tcMar>
          </w:tcPr>
          <w:p w14:paraId="7CB3A1BD" w14:textId="77777777" w:rsidR="00DB6835" w:rsidRDefault="00DB6835" w:rsidP="00A9140F">
            <w:pPr>
              <w:pStyle w:val="AnnexTableCellLeft"/>
            </w:pPr>
            <w:r>
              <w:t>Á ekki við</w:t>
            </w:r>
          </w:p>
        </w:tc>
      </w:tr>
      <w:tr w:rsidR="00DB6835" w14:paraId="2653F555" w14:textId="77777777" w:rsidTr="00A9140F">
        <w:trPr>
          <w:trHeight w:val="360"/>
        </w:trPr>
        <w:tc>
          <w:tcPr>
            <w:tcW w:w="2896" w:type="dxa"/>
            <w:tcMar>
              <w:top w:w="100" w:type="dxa"/>
              <w:left w:w="0" w:type="dxa"/>
              <w:bottom w:w="100" w:type="dxa"/>
              <w:right w:w="60" w:type="dxa"/>
            </w:tcMar>
          </w:tcPr>
          <w:p w14:paraId="40828B9F" w14:textId="77777777" w:rsidR="00DB6835" w:rsidRDefault="00DB6835" w:rsidP="00A9140F">
            <w:pPr>
              <w:pStyle w:val="AnnexNumberedText"/>
            </w:pPr>
            <w:r>
              <w:t>4)</w:t>
            </w:r>
            <w:r>
              <w:tab/>
              <w:t>Umskipti yfir í hringrásarhagkerfi</w:t>
            </w:r>
          </w:p>
        </w:tc>
        <w:tc>
          <w:tcPr>
            <w:tcW w:w="5844" w:type="dxa"/>
            <w:tcMar>
              <w:top w:w="100" w:type="dxa"/>
              <w:left w:w="40" w:type="dxa"/>
              <w:bottom w:w="100" w:type="dxa"/>
              <w:right w:w="0" w:type="dxa"/>
            </w:tcMar>
          </w:tcPr>
          <w:p w14:paraId="6B3333B7" w14:textId="77777777" w:rsidR="00DB6835" w:rsidRDefault="00DB6835" w:rsidP="00A9140F">
            <w:pPr>
              <w:pStyle w:val="AnnexTableCellLeft"/>
            </w:pPr>
            <w:r>
              <w:t>Ráðstafanir til úrgangsstjórnunar eru til staðar í samræmi við úrgangsmetakerfið, einkum meðan á viðhaldi stendur.</w:t>
            </w:r>
          </w:p>
        </w:tc>
      </w:tr>
      <w:tr w:rsidR="00DB6835" w14:paraId="7044045E" w14:textId="77777777" w:rsidTr="00A9140F">
        <w:trPr>
          <w:trHeight w:val="360"/>
        </w:trPr>
        <w:tc>
          <w:tcPr>
            <w:tcW w:w="2896" w:type="dxa"/>
            <w:tcMar>
              <w:top w:w="100" w:type="dxa"/>
              <w:left w:w="0" w:type="dxa"/>
              <w:bottom w:w="100" w:type="dxa"/>
              <w:right w:w="60" w:type="dxa"/>
            </w:tcMar>
          </w:tcPr>
          <w:p w14:paraId="7DF78F79" w14:textId="77777777" w:rsidR="00DB6835" w:rsidRDefault="00DB6835" w:rsidP="00A9140F">
            <w:pPr>
              <w:pStyle w:val="AnnexNumberedText"/>
            </w:pPr>
            <w:r>
              <w:t>5)</w:t>
            </w:r>
            <w:r>
              <w:tab/>
              <w:t>Mengunarvarnir og eftirlit með mengun</w:t>
            </w:r>
          </w:p>
        </w:tc>
        <w:tc>
          <w:tcPr>
            <w:tcW w:w="5844" w:type="dxa"/>
            <w:tcMar>
              <w:top w:w="100" w:type="dxa"/>
              <w:left w:w="40" w:type="dxa"/>
              <w:bottom w:w="100" w:type="dxa"/>
              <w:right w:w="0" w:type="dxa"/>
            </w:tcMar>
          </w:tcPr>
          <w:p w14:paraId="1D480DBE" w14:textId="77777777" w:rsidR="00DB6835" w:rsidRDefault="00DB6835" w:rsidP="00A9140F">
            <w:pPr>
              <w:pStyle w:val="AnnexTableCellLeft"/>
              <w:rPr>
                <w:szCs w:val="18"/>
              </w:rPr>
            </w:pPr>
            <w:r>
              <w:t xml:space="preserve">Hreyflar til að knýja </w:t>
            </w:r>
            <w:proofErr w:type="spellStart"/>
            <w:r>
              <w:t>eimreiðar</w:t>
            </w:r>
            <w:proofErr w:type="spellEnd"/>
            <w:r>
              <w:t xml:space="preserve"> fyrir járnbrautir og hreyflar til að knýja sporreiðar eru í samræmi við losunarmörkin sem sett eru fram í II. viðauka við reglugerð Evrópuþingsins og ráðsins (ESB) 2016/1628 (</w:t>
            </w:r>
            <w:r>
              <w:rPr>
                <w:rStyle w:val="Tilvsunneanmlsgrein"/>
                <w:sz w:val="18"/>
                <w:szCs w:val="18"/>
              </w:rPr>
              <w:footnoteReference w:id="241"/>
            </w:r>
            <w:r>
              <w:t>).</w:t>
            </w:r>
          </w:p>
        </w:tc>
      </w:tr>
      <w:tr w:rsidR="00DB6835" w14:paraId="0A238A76" w14:textId="77777777" w:rsidTr="00A9140F">
        <w:trPr>
          <w:trHeight w:val="360"/>
        </w:trPr>
        <w:tc>
          <w:tcPr>
            <w:tcW w:w="2896" w:type="dxa"/>
            <w:tcMar>
              <w:top w:w="100" w:type="dxa"/>
              <w:left w:w="0" w:type="dxa"/>
              <w:bottom w:w="100" w:type="dxa"/>
              <w:right w:w="60" w:type="dxa"/>
            </w:tcMar>
          </w:tcPr>
          <w:p w14:paraId="7C687BE3" w14:textId="77777777" w:rsidR="00DB6835" w:rsidRDefault="00DB6835" w:rsidP="00A9140F">
            <w:pPr>
              <w:pStyle w:val="AnnexNumberedText"/>
            </w:pPr>
            <w:r>
              <w:t>6)</w:t>
            </w:r>
            <w:r>
              <w:tab/>
              <w:t>Vernd og endurheimt líffræðilegrar fjölbreytni og vistkerfa</w:t>
            </w:r>
          </w:p>
        </w:tc>
        <w:tc>
          <w:tcPr>
            <w:tcW w:w="5844" w:type="dxa"/>
            <w:tcMar>
              <w:top w:w="100" w:type="dxa"/>
              <w:left w:w="40" w:type="dxa"/>
              <w:bottom w:w="100" w:type="dxa"/>
              <w:right w:w="0" w:type="dxa"/>
            </w:tcMar>
          </w:tcPr>
          <w:p w14:paraId="4F65A97A" w14:textId="77777777" w:rsidR="00DB6835" w:rsidRDefault="00DB6835" w:rsidP="00A9140F">
            <w:pPr>
              <w:pStyle w:val="AnnexTableCellLeft"/>
            </w:pPr>
            <w:r>
              <w:t>Á ekki við</w:t>
            </w:r>
          </w:p>
        </w:tc>
      </w:tr>
    </w:tbl>
    <w:p w14:paraId="10837BE1" w14:textId="77777777" w:rsidR="00DB6835" w:rsidRDefault="00DB6835" w:rsidP="00DB6835">
      <w:pPr>
        <w:pStyle w:val="AnnexNumberedText"/>
        <w:spacing w:before="200" w:after="220"/>
        <w:ind w:left="500" w:hanging="500"/>
      </w:pPr>
      <w:r>
        <w:t>6.2.</w:t>
      </w:r>
      <w:r>
        <w:rPr>
          <w:b/>
        </w:rPr>
        <w:tab/>
        <w:t>Vöruflutningar með járnbrautum</w:t>
      </w:r>
    </w:p>
    <w:p w14:paraId="1F342442" w14:textId="77777777" w:rsidR="00DB6835" w:rsidRDefault="00DB6835" w:rsidP="00DB6835">
      <w:pPr>
        <w:pStyle w:val="AnnexGrSeq3"/>
        <w:spacing w:after="220"/>
        <w:ind w:left="500"/>
        <w:jc w:val="both"/>
      </w:pPr>
      <w:r>
        <w:rPr>
          <w:i/>
        </w:rPr>
        <w:t>Lýsing á starfseminni</w:t>
      </w:r>
    </w:p>
    <w:p w14:paraId="2E5FB053" w14:textId="77777777" w:rsidR="00DB6835" w:rsidRDefault="00DB6835" w:rsidP="00DB6835">
      <w:pPr>
        <w:pStyle w:val="AnnexNormal"/>
        <w:spacing w:after="220"/>
        <w:ind w:left="500"/>
      </w:pPr>
      <w:r>
        <w:t xml:space="preserve">Kaup, fjármögnun, eignarleiga, leiga og </w:t>
      </w:r>
      <w:proofErr w:type="spellStart"/>
      <w:r>
        <w:t>starfræksla</w:t>
      </w:r>
      <w:proofErr w:type="spellEnd"/>
      <w:r>
        <w:t xml:space="preserve"> vöruflutninga á meginjárnbrautarkerfum sem og á stuttum vöruflutningajárnbrautarlínum.</w:t>
      </w:r>
    </w:p>
    <w:p w14:paraId="27FC2A68" w14:textId="77777777" w:rsidR="00DB6835" w:rsidRDefault="00DB6835" w:rsidP="00DB6835">
      <w:pPr>
        <w:pStyle w:val="AnnexNormal"/>
        <w:spacing w:after="220"/>
        <w:ind w:left="500"/>
      </w:pPr>
      <w:r>
        <w:t>Atvinnustarfsemin í þessum flokki gæti tengst nokkrum kóðum atvinnugreinaflokkunar Evrópusambandsins, einkum H49.20 og N77.39, í samræmi við atvinnugreinaflokkunina sem komið var á með reglugerð (EB) nr. 1893/2006.</w:t>
      </w:r>
    </w:p>
    <w:p w14:paraId="0FF3B1D9" w14:textId="77777777" w:rsidR="00DB6835" w:rsidRDefault="00DB6835" w:rsidP="00DB6835">
      <w:pPr>
        <w:pStyle w:val="AnnexNormal"/>
        <w:spacing w:after="220"/>
        <w:ind w:left="500"/>
      </w:pPr>
      <w:r>
        <w:t>Ef atvinnustarfsemi í þessum flokki uppfyllir ekki viðmiðunina um verulegt framlag sem er tilgreind í a-lið þessa þáttar er sú starfsemi umbreytingarstarfsemi, eins og um getur í 2. mgr. 10. gr. reglugerðar (ESB) 2020/852, að því tilskildu að hún uppfylli eftirstandandi tæknileg matsviðmið sem sett eru fram í þessum þætti.</w:t>
      </w:r>
    </w:p>
    <w:p w14:paraId="12FA920C" w14:textId="77777777" w:rsidR="00DB6835" w:rsidRDefault="00DB6835" w:rsidP="00DB6835">
      <w:pPr>
        <w:pStyle w:val="AnnexGrSeq3"/>
        <w:spacing w:after="22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052"/>
        <w:gridCol w:w="5688"/>
      </w:tblGrid>
      <w:tr w:rsidR="00DB6835" w14:paraId="6CA5DC50"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1C1A363"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521F338" w14:textId="77777777" w:rsidTr="00A9140F">
        <w:trPr>
          <w:trHeight w:val="360"/>
        </w:trPr>
        <w:tc>
          <w:tcPr>
            <w:tcW w:w="8740" w:type="dxa"/>
            <w:gridSpan w:val="2"/>
            <w:tcBorders>
              <w:bottom w:val="nil"/>
            </w:tcBorders>
            <w:tcMar>
              <w:top w:w="100" w:type="dxa"/>
              <w:left w:w="0" w:type="dxa"/>
              <w:bottom w:w="100" w:type="dxa"/>
              <w:right w:w="60" w:type="dxa"/>
            </w:tcMar>
          </w:tcPr>
          <w:p w14:paraId="3201D09D" w14:textId="77777777" w:rsidR="00DB6835" w:rsidRDefault="00DB6835" w:rsidP="00A9140F">
            <w:pPr>
              <w:pStyle w:val="AnnexNumberedText"/>
              <w:tabs>
                <w:tab w:val="left" w:pos="508"/>
              </w:tabs>
              <w:ind w:left="0" w:firstLine="0"/>
            </w:pPr>
            <w:r>
              <w:t>1.</w:t>
            </w:r>
            <w:r>
              <w:tab/>
              <w:t>Starfsemin er í samræmi við aðra eða báðar eftirfarandi viðmiðanir:</w:t>
            </w:r>
          </w:p>
          <w:p w14:paraId="0AACF214" w14:textId="77777777" w:rsidR="00DB6835" w:rsidRDefault="00DB6835" w:rsidP="00A9140F">
            <w:pPr>
              <w:pStyle w:val="AnnexNumberedText"/>
            </w:pPr>
            <w:r>
              <w:t>a)</w:t>
            </w:r>
            <w:r>
              <w:tab/>
              <w:t>lestir og farþegavagnar eru ekki með neina beina koltvísýringslosun gegnum útblástursrör,</w:t>
            </w:r>
          </w:p>
          <w:p w14:paraId="27CF90FB" w14:textId="77777777" w:rsidR="00DB6835" w:rsidRDefault="00DB6835" w:rsidP="00A9140F">
            <w:pPr>
              <w:pStyle w:val="AnnexNumberedText"/>
            </w:pPr>
            <w:r>
              <w:t>b)</w:t>
            </w:r>
            <w:r>
              <w:tab/>
              <w:t>lestir og vagnar eru ekki með neina beina koltvísýringslosun gegnum útblástursrör þegar þeim er ekið eftir brautarspori með nauðsynlegum grunnvirkjum og nota hefðbundinn hreyfil þegar slík grunnvirki eru ekki tiltæk (rafmagns-</w:t>
            </w:r>
            <w:r>
              <w:lastRenderedPageBreak/>
              <w:t>dísilolía).</w:t>
            </w:r>
          </w:p>
          <w:p w14:paraId="60F9AAFF" w14:textId="77777777" w:rsidR="00DB6835" w:rsidRDefault="00DB6835" w:rsidP="00A9140F">
            <w:pPr>
              <w:pStyle w:val="AnnexNumberedText"/>
              <w:tabs>
                <w:tab w:val="left" w:pos="508"/>
              </w:tabs>
              <w:spacing w:after="0"/>
              <w:ind w:left="0" w:firstLine="0"/>
            </w:pPr>
            <w:r>
              <w:t>2.</w:t>
            </w:r>
            <w:r>
              <w:tab/>
              <w:t>Lestir og vagnar eru ekki ætluð til flutninga á jarðefnaeldsneyti.</w:t>
            </w:r>
          </w:p>
        </w:tc>
      </w:tr>
      <w:tr w:rsidR="00DB6835" w14:paraId="5EFFA2E2"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627C8B7A" w14:textId="77777777" w:rsidR="00DB6835" w:rsidRDefault="00DB6835" w:rsidP="00A9140F">
            <w:pPr>
              <w:pStyle w:val="AnnexTableCellLeft"/>
              <w:pageBreakBefore/>
            </w:pPr>
            <w:r>
              <w:lastRenderedPageBreak/>
              <w:t>Ekki valda umtalsverðu tjóni</w:t>
            </w:r>
          </w:p>
        </w:tc>
      </w:tr>
      <w:tr w:rsidR="00DB6835" w14:paraId="73B99E10" w14:textId="77777777" w:rsidTr="00A9140F">
        <w:trPr>
          <w:trHeight w:val="360"/>
        </w:trPr>
        <w:tc>
          <w:tcPr>
            <w:tcW w:w="3052" w:type="dxa"/>
            <w:tcMar>
              <w:top w:w="100" w:type="dxa"/>
              <w:left w:w="0" w:type="dxa"/>
              <w:bottom w:w="100" w:type="dxa"/>
              <w:right w:w="60" w:type="dxa"/>
            </w:tcMar>
          </w:tcPr>
          <w:p w14:paraId="10189098" w14:textId="77777777" w:rsidR="00DB6835" w:rsidRDefault="00DB6835" w:rsidP="00A9140F">
            <w:pPr>
              <w:pStyle w:val="AnnexNumberedText"/>
            </w:pPr>
            <w:r>
              <w:t>2)</w:t>
            </w:r>
            <w:r>
              <w:tab/>
              <w:t>Aðlögun að loftslagsbreytingum</w:t>
            </w:r>
          </w:p>
        </w:tc>
        <w:tc>
          <w:tcPr>
            <w:tcW w:w="5688" w:type="dxa"/>
            <w:tcMar>
              <w:top w:w="100" w:type="dxa"/>
              <w:left w:w="40" w:type="dxa"/>
              <w:bottom w:w="100" w:type="dxa"/>
              <w:right w:w="0" w:type="dxa"/>
            </w:tcMar>
          </w:tcPr>
          <w:p w14:paraId="196FDE8E" w14:textId="77777777" w:rsidR="00DB6835" w:rsidRDefault="00DB6835" w:rsidP="00A9140F">
            <w:pPr>
              <w:pStyle w:val="AnnexTableCellLeft"/>
            </w:pPr>
            <w:r>
              <w:t>Starfsemin er í samræmi við viðmiðanirnar sem settar eru fram í viðbæti A við þennan viðauka.</w:t>
            </w:r>
          </w:p>
        </w:tc>
      </w:tr>
      <w:tr w:rsidR="00DB6835" w14:paraId="1AEB188C" w14:textId="77777777" w:rsidTr="00A9140F">
        <w:trPr>
          <w:trHeight w:val="360"/>
        </w:trPr>
        <w:tc>
          <w:tcPr>
            <w:tcW w:w="3052" w:type="dxa"/>
            <w:tcMar>
              <w:top w:w="100" w:type="dxa"/>
              <w:left w:w="0" w:type="dxa"/>
              <w:bottom w:w="100" w:type="dxa"/>
              <w:right w:w="60" w:type="dxa"/>
            </w:tcMar>
          </w:tcPr>
          <w:p w14:paraId="32F1B9A9" w14:textId="77777777" w:rsidR="00DB6835" w:rsidRDefault="00DB6835" w:rsidP="00A9140F">
            <w:pPr>
              <w:pStyle w:val="AnnexNumberedText"/>
            </w:pPr>
            <w:r>
              <w:t>3)</w:t>
            </w:r>
            <w:r>
              <w:tab/>
              <w:t>Sjálfbær notkun og verndun vatns- og sjávarauðlinda</w:t>
            </w:r>
          </w:p>
        </w:tc>
        <w:tc>
          <w:tcPr>
            <w:tcW w:w="5688" w:type="dxa"/>
            <w:tcMar>
              <w:top w:w="100" w:type="dxa"/>
              <w:left w:w="40" w:type="dxa"/>
              <w:bottom w:w="100" w:type="dxa"/>
              <w:right w:w="0" w:type="dxa"/>
            </w:tcMar>
          </w:tcPr>
          <w:p w14:paraId="7E6C46F5" w14:textId="77777777" w:rsidR="00DB6835" w:rsidRDefault="00DB6835" w:rsidP="00A9140F">
            <w:pPr>
              <w:pStyle w:val="AnnexTableCellLeft"/>
            </w:pPr>
            <w:r>
              <w:t>Á ekki við</w:t>
            </w:r>
          </w:p>
        </w:tc>
      </w:tr>
      <w:tr w:rsidR="00DB6835" w14:paraId="67B13F26" w14:textId="77777777" w:rsidTr="00A9140F">
        <w:trPr>
          <w:trHeight w:val="360"/>
        </w:trPr>
        <w:tc>
          <w:tcPr>
            <w:tcW w:w="3052" w:type="dxa"/>
            <w:tcMar>
              <w:top w:w="100" w:type="dxa"/>
              <w:left w:w="0" w:type="dxa"/>
              <w:bottom w:w="100" w:type="dxa"/>
              <w:right w:w="60" w:type="dxa"/>
            </w:tcMar>
          </w:tcPr>
          <w:p w14:paraId="481969EE" w14:textId="77777777" w:rsidR="00DB6835" w:rsidRDefault="00DB6835" w:rsidP="00A9140F">
            <w:pPr>
              <w:pStyle w:val="AnnexNumberedText"/>
            </w:pPr>
            <w:r>
              <w:t>4)</w:t>
            </w:r>
            <w:r>
              <w:tab/>
              <w:t>Umskipti yfir í hringrásarhagkerfi</w:t>
            </w:r>
          </w:p>
        </w:tc>
        <w:tc>
          <w:tcPr>
            <w:tcW w:w="5688" w:type="dxa"/>
            <w:tcMar>
              <w:top w:w="100" w:type="dxa"/>
              <w:left w:w="40" w:type="dxa"/>
              <w:bottom w:w="100" w:type="dxa"/>
              <w:right w:w="0" w:type="dxa"/>
            </w:tcMar>
          </w:tcPr>
          <w:p w14:paraId="1201BCB6" w14:textId="77777777" w:rsidR="00DB6835" w:rsidRDefault="00DB6835" w:rsidP="00A9140F">
            <w:pPr>
              <w:pStyle w:val="AnnexTableCellLeft"/>
            </w:pPr>
            <w:r>
              <w:t>Ráðstafanir til úrgangsstjórnunar eru til staðar í samræmi við úrgangsmetakerfið, einkum meðan á viðhaldi stendur.</w:t>
            </w:r>
          </w:p>
        </w:tc>
      </w:tr>
      <w:tr w:rsidR="00DB6835" w14:paraId="3BA76622" w14:textId="77777777" w:rsidTr="00A9140F">
        <w:trPr>
          <w:trHeight w:val="360"/>
        </w:trPr>
        <w:tc>
          <w:tcPr>
            <w:tcW w:w="3052" w:type="dxa"/>
            <w:tcMar>
              <w:top w:w="100" w:type="dxa"/>
              <w:left w:w="0" w:type="dxa"/>
              <w:bottom w:w="100" w:type="dxa"/>
              <w:right w:w="60" w:type="dxa"/>
            </w:tcMar>
          </w:tcPr>
          <w:p w14:paraId="15D07504" w14:textId="77777777" w:rsidR="00DB6835" w:rsidRDefault="00DB6835" w:rsidP="00A9140F">
            <w:pPr>
              <w:pStyle w:val="AnnexNumberedText"/>
            </w:pPr>
            <w:r>
              <w:t>5)</w:t>
            </w:r>
            <w:r>
              <w:tab/>
              <w:t>Mengunarvarnir og eftirlit með mengun</w:t>
            </w:r>
          </w:p>
        </w:tc>
        <w:tc>
          <w:tcPr>
            <w:tcW w:w="5688" w:type="dxa"/>
            <w:tcMar>
              <w:top w:w="100" w:type="dxa"/>
              <w:left w:w="40" w:type="dxa"/>
              <w:bottom w:w="100" w:type="dxa"/>
              <w:right w:w="0" w:type="dxa"/>
            </w:tcMar>
          </w:tcPr>
          <w:p w14:paraId="7925D69E" w14:textId="77777777" w:rsidR="00DB6835" w:rsidRDefault="00DB6835" w:rsidP="00A9140F">
            <w:pPr>
              <w:pStyle w:val="AnnexTableCellLeft"/>
            </w:pPr>
            <w:r>
              <w:t xml:space="preserve">Hreyflar til að knýja </w:t>
            </w:r>
            <w:proofErr w:type="spellStart"/>
            <w:r>
              <w:t>eimreiðar</w:t>
            </w:r>
            <w:proofErr w:type="spellEnd"/>
            <w:r>
              <w:t xml:space="preserve"> fyrir járnbrautir og hreyflar til að knýja sporreiðar eru í samræmi við losunarmörkin sem sett eru fram í II. viðauka við reglugerð (ESB) 2016/1628.</w:t>
            </w:r>
          </w:p>
        </w:tc>
      </w:tr>
      <w:tr w:rsidR="00DB6835" w14:paraId="203A9A97" w14:textId="77777777" w:rsidTr="00A9140F">
        <w:trPr>
          <w:trHeight w:val="360"/>
        </w:trPr>
        <w:tc>
          <w:tcPr>
            <w:tcW w:w="3052" w:type="dxa"/>
            <w:tcMar>
              <w:top w:w="100" w:type="dxa"/>
              <w:left w:w="0" w:type="dxa"/>
              <w:bottom w:w="100" w:type="dxa"/>
              <w:right w:w="60" w:type="dxa"/>
            </w:tcMar>
          </w:tcPr>
          <w:p w14:paraId="2005EE36" w14:textId="77777777" w:rsidR="00DB6835" w:rsidRDefault="00DB6835" w:rsidP="00A9140F">
            <w:pPr>
              <w:pStyle w:val="AnnexNumberedText"/>
            </w:pPr>
            <w:r>
              <w:t>6)</w:t>
            </w:r>
            <w:r>
              <w:tab/>
              <w:t>Vernd og endurheimt líffræðilegrar fjölbreytni og vistkerfa</w:t>
            </w:r>
          </w:p>
        </w:tc>
        <w:tc>
          <w:tcPr>
            <w:tcW w:w="5688" w:type="dxa"/>
            <w:tcMar>
              <w:top w:w="100" w:type="dxa"/>
              <w:left w:w="40" w:type="dxa"/>
              <w:bottom w:w="100" w:type="dxa"/>
              <w:right w:w="0" w:type="dxa"/>
            </w:tcMar>
          </w:tcPr>
          <w:p w14:paraId="1E904883" w14:textId="77777777" w:rsidR="00DB6835" w:rsidRDefault="00DB6835" w:rsidP="00A9140F">
            <w:pPr>
              <w:pStyle w:val="AnnexTableCellLeft"/>
            </w:pPr>
            <w:r>
              <w:t>Á ekki við</w:t>
            </w:r>
          </w:p>
        </w:tc>
      </w:tr>
    </w:tbl>
    <w:p w14:paraId="034953E6" w14:textId="77777777" w:rsidR="00DB6835" w:rsidRDefault="00DB6835" w:rsidP="00DB6835">
      <w:pPr>
        <w:pStyle w:val="AnnexNumberedText"/>
        <w:spacing w:before="200" w:after="300"/>
        <w:ind w:left="500" w:hanging="500"/>
      </w:pPr>
      <w:r>
        <w:t>6.3.</w:t>
      </w:r>
      <w:r>
        <w:rPr>
          <w:b/>
        </w:rPr>
        <w:tab/>
        <w:t>Flutningar í þéttbýli og úthverfum, farþegaflutningar á vegum</w:t>
      </w:r>
    </w:p>
    <w:p w14:paraId="2F244525" w14:textId="77777777" w:rsidR="00DB6835" w:rsidRDefault="00DB6835" w:rsidP="00DB6835">
      <w:pPr>
        <w:pStyle w:val="AnnexGrSeq3"/>
        <w:spacing w:after="300"/>
        <w:ind w:left="500"/>
        <w:jc w:val="both"/>
      </w:pPr>
      <w:r>
        <w:rPr>
          <w:i/>
        </w:rPr>
        <w:t>Lýsing á starfseminni</w:t>
      </w:r>
    </w:p>
    <w:p w14:paraId="1D7D64D4" w14:textId="77777777" w:rsidR="00DB6835" w:rsidRDefault="00DB6835" w:rsidP="00DB6835">
      <w:pPr>
        <w:pStyle w:val="AnnexNormal"/>
        <w:spacing w:after="300"/>
        <w:ind w:left="500"/>
      </w:pPr>
      <w:r>
        <w:t xml:space="preserve">Kaup, fjármögnun, eignarleiga, leiga og </w:t>
      </w:r>
      <w:proofErr w:type="spellStart"/>
      <w:r>
        <w:t>starfræksla</w:t>
      </w:r>
      <w:proofErr w:type="spellEnd"/>
      <w:r>
        <w:t xml:space="preserve"> farartækja til farþegaflutninga í þéttbýli og úthverfum og farþegaflutninga á vegum.</w:t>
      </w:r>
    </w:p>
    <w:p w14:paraId="6E91CEF6" w14:textId="77777777" w:rsidR="00DB6835" w:rsidRDefault="00DB6835" w:rsidP="00DB6835">
      <w:pPr>
        <w:pStyle w:val="AnnexNormal"/>
        <w:spacing w:after="300"/>
        <w:ind w:left="500"/>
      </w:pPr>
      <w:r>
        <w:t xml:space="preserve">Að því er varðar vélknúin ökutæki, </w:t>
      </w:r>
      <w:proofErr w:type="spellStart"/>
      <w:r>
        <w:t>starfræksla</w:t>
      </w:r>
      <w:proofErr w:type="spellEnd"/>
      <w:r>
        <w:t xml:space="preserve"> farartækja sem tilheyra flokki M2 eða M3, í samræmi við 1. mgr. 4. gr. reglugerðar (ESB) 2018/858, vegna farþegaflutninga.</w:t>
      </w:r>
    </w:p>
    <w:p w14:paraId="6ABDAB2D" w14:textId="77777777" w:rsidR="00DB6835" w:rsidRDefault="00DB6835" w:rsidP="00DB6835">
      <w:pPr>
        <w:pStyle w:val="AnnexNormal"/>
        <w:spacing w:after="300"/>
        <w:ind w:left="500"/>
      </w:pPr>
      <w:r>
        <w:t xml:space="preserve">Atvinnustarfsemin í þessum flokki getur náð yfir </w:t>
      </w:r>
      <w:proofErr w:type="spellStart"/>
      <w:r>
        <w:t>starfrækslu</w:t>
      </w:r>
      <w:proofErr w:type="spellEnd"/>
      <w:r>
        <w:t xml:space="preserve"> mismunandi flutningsmáta á landi, s.s. með strætisvagni, sporvagni, </w:t>
      </w:r>
      <w:proofErr w:type="spellStart"/>
      <w:r>
        <w:t>rafknúnum</w:t>
      </w:r>
      <w:proofErr w:type="spellEnd"/>
      <w:r>
        <w:t xml:space="preserve"> strætisvagni, lest neðanjarðar og lest í lofti. Þetta nær einnig yfir línur milli borgar og flugstöðvar eða borgar og stöðvar og </w:t>
      </w:r>
      <w:proofErr w:type="spellStart"/>
      <w:r>
        <w:t>starfrækslu</w:t>
      </w:r>
      <w:proofErr w:type="spellEnd"/>
      <w:r>
        <w:t xml:space="preserve"> togbrauta á teinum og togbrauta í lofti þar sem þær eru hluti af samgöngukerfum í þéttbýli og úthverfum.</w:t>
      </w:r>
    </w:p>
    <w:p w14:paraId="095CC846" w14:textId="77777777" w:rsidR="00DB6835" w:rsidRDefault="00DB6835" w:rsidP="00DB6835">
      <w:pPr>
        <w:pStyle w:val="AnnexNormal"/>
        <w:spacing w:after="300"/>
        <w:ind w:left="500"/>
      </w:pPr>
      <w:r>
        <w:t>Atvinnustarfsemin í þessum flokki nær einnig yfir áætlunarferðir með langferðabifreiðum, leiguflutninga, skoðunarferðir og aðrar óreglubundnar hópferðir, flugrútur (þ.m.t. innan flugvalla), rekstur skólarúta og rúta til flutninga.</w:t>
      </w:r>
    </w:p>
    <w:p w14:paraId="477BE09F" w14:textId="77777777" w:rsidR="00DB6835" w:rsidRDefault="00DB6835" w:rsidP="00DB6835">
      <w:pPr>
        <w:pStyle w:val="AnnexNormal"/>
        <w:spacing w:after="300"/>
        <w:ind w:left="500"/>
      </w:pPr>
      <w:r>
        <w:t>Atvinnustarfsemin í þessum flokki gæti tengst nokkrum kóðum atvinnugreinaflokkunar Evrópusambandsins, einkum H49.31, H49.3.9, N77.39 og N77.11, í samræmi við atvinnugreinaflokkunina sem komið var á með reglugerð (EB) nr. 1893/2006.</w:t>
      </w:r>
    </w:p>
    <w:p w14:paraId="766520A1" w14:textId="77777777" w:rsidR="00DB6835" w:rsidRDefault="00DB6835" w:rsidP="00DB6835">
      <w:pPr>
        <w:pStyle w:val="AnnexNormal"/>
        <w:spacing w:after="300"/>
        <w:ind w:left="500"/>
      </w:pPr>
      <w:r>
        <w:t>Ef atvinnustarfsemi í þessum flokki uppfyllir ekki viðmiðunina um verulegt framlag sem er tilgreind í a-lið þessa þáttar er starfsemin umbreytingarstarfsemi, eins og um getur í 2. mgr. 10. gr. reglugerðar (ESB) 2020/852, að því tilskildu að hún uppfylli eftirstandandi tæknileg matsviðmið sem sett eru fram í þessum þætti.</w:t>
      </w:r>
    </w:p>
    <w:p w14:paraId="20A1BDC5" w14:textId="77777777" w:rsidR="00DB6835" w:rsidRDefault="00DB6835" w:rsidP="00DB6835">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788"/>
        <w:gridCol w:w="5952"/>
      </w:tblGrid>
      <w:tr w:rsidR="00DB6835" w14:paraId="4C6C631C"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7F9FD03"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1AE3F773" w14:textId="77777777" w:rsidTr="00A9140F">
        <w:trPr>
          <w:trHeight w:val="360"/>
        </w:trPr>
        <w:tc>
          <w:tcPr>
            <w:tcW w:w="8740" w:type="dxa"/>
            <w:gridSpan w:val="2"/>
            <w:tcBorders>
              <w:bottom w:val="nil"/>
            </w:tcBorders>
            <w:tcMar>
              <w:top w:w="100" w:type="dxa"/>
              <w:left w:w="0" w:type="dxa"/>
              <w:bottom w:w="100" w:type="dxa"/>
              <w:right w:w="60" w:type="dxa"/>
            </w:tcMar>
          </w:tcPr>
          <w:p w14:paraId="75230F4C" w14:textId="77777777" w:rsidR="00DB6835" w:rsidRDefault="00DB6835" w:rsidP="00A9140F">
            <w:pPr>
              <w:pStyle w:val="AnnexTableCellLeft"/>
              <w:spacing w:after="240"/>
            </w:pPr>
            <w:r>
              <w:lastRenderedPageBreak/>
              <w:t>Starfsemin er í samræmi við eina af eftirfarandi viðmiðunum:</w:t>
            </w:r>
          </w:p>
          <w:p w14:paraId="5D0EC68D" w14:textId="77777777" w:rsidR="00DB6835" w:rsidRDefault="00DB6835" w:rsidP="00A9140F">
            <w:pPr>
              <w:pStyle w:val="AnnexNumberedText"/>
            </w:pPr>
            <w:r>
              <w:t>a)</w:t>
            </w:r>
            <w:r>
              <w:tab/>
              <w:t>starfsemin lætur í té farþegaflutninga í þéttbýli eða úthverfum og bein koltvísýringslosun hennar (gegnum útblástursrör) er núll (</w:t>
            </w:r>
            <w:r>
              <w:rPr>
                <w:rStyle w:val="Tilvsunneanmlsgrein"/>
                <w:sz w:val="18"/>
              </w:rPr>
              <w:footnoteReference w:id="242"/>
            </w:r>
            <w:r>
              <w:t>),</w:t>
            </w:r>
          </w:p>
        </w:tc>
      </w:tr>
      <w:tr w:rsidR="00DB6835" w14:paraId="1D96C572" w14:textId="77777777" w:rsidTr="00A9140F">
        <w:trPr>
          <w:trHeight w:val="360"/>
        </w:trPr>
        <w:tc>
          <w:tcPr>
            <w:tcW w:w="8740" w:type="dxa"/>
            <w:gridSpan w:val="2"/>
            <w:tcBorders>
              <w:top w:val="nil"/>
            </w:tcBorders>
            <w:tcMar>
              <w:top w:w="100" w:type="dxa"/>
              <w:left w:w="0" w:type="dxa"/>
              <w:bottom w:w="100" w:type="dxa"/>
              <w:right w:w="60" w:type="dxa"/>
            </w:tcMar>
          </w:tcPr>
          <w:p w14:paraId="3698C3A8" w14:textId="77777777" w:rsidR="00DB6835" w:rsidRDefault="00DB6835" w:rsidP="00A9140F">
            <w:pPr>
              <w:pStyle w:val="AnnexNumberedText"/>
              <w:pageBreakBefore/>
              <w:spacing w:after="400"/>
              <w:rPr>
                <w:szCs w:val="18"/>
              </w:rPr>
            </w:pPr>
            <w:r>
              <w:lastRenderedPageBreak/>
              <w:t>b)</w:t>
            </w:r>
            <w:r>
              <w:tab/>
              <w:t>fram til 31. desember 2025, starfsemin lætur í té farþegaflutningaþjónustu á vegum milli borga með notkun farartækja í flokkum M2 og M3 (</w:t>
            </w:r>
            <w:r>
              <w:rPr>
                <w:rStyle w:val="Tilvsunneanmlsgrein"/>
                <w:sz w:val="18"/>
                <w:szCs w:val="18"/>
              </w:rPr>
              <w:footnoteReference w:id="243"/>
            </w:r>
            <w:r>
              <w:t>) sem eru með gerð yfirbyggingar í flokki „CA“ (einnar hæðar ökutæki), „CB“ (tveggja hæða ökutæki), „CC“ (einnar hæðar liðskipt ökutæki) eða „CD“ (tveggja hæða liðskipt ökutæki) (</w:t>
            </w:r>
            <w:r>
              <w:rPr>
                <w:rStyle w:val="Tilvsunneanmlsgrein"/>
                <w:sz w:val="18"/>
                <w:szCs w:val="18"/>
              </w:rPr>
              <w:footnoteReference w:id="244"/>
            </w:r>
            <w:r>
              <w:t xml:space="preserve">) og eru í samræmi við nýjasta EURO VI staðalinn, þ.e. bæði kröfurnar í reglugerð (EB) nr. 595/2009 og, eftir að breytingar á þeirri reglugerð öðlast gildi, í þeim breytingagerðum, jafnvel áður en þær koma til framkvæmda, og nýjasta þrep EURO VI </w:t>
            </w:r>
            <w:proofErr w:type="spellStart"/>
            <w:r>
              <w:t>staðalsins</w:t>
            </w:r>
            <w:proofErr w:type="spellEnd"/>
            <w:r>
              <w:t xml:space="preserve"> sem sett er fram í töflu 1 í 9. viðbæti við I. viðauka við reglugerð (ESB) nr. 582/2011 þegar ákvæðin sem gilda um það þrep hafa tekið gildi en hafa ekki </w:t>
            </w:r>
            <w:proofErr w:type="spellStart"/>
            <w:r>
              <w:t>ennþá</w:t>
            </w:r>
            <w:proofErr w:type="spellEnd"/>
            <w:r>
              <w:t xml:space="preserve"> komið til framkvæmda fyrir þessa gerð ökutækis (</w:t>
            </w:r>
            <w:r>
              <w:rPr>
                <w:rStyle w:val="Tilvsunneanmlsgrein"/>
                <w:sz w:val="18"/>
                <w:szCs w:val="18"/>
              </w:rPr>
              <w:footnoteReference w:id="245"/>
            </w:r>
            <w:r>
              <w:t>). Ef slíkur staðall er ekki tiltækur er bein koltvísýringslosun farartækjanna núll.</w:t>
            </w:r>
          </w:p>
        </w:tc>
      </w:tr>
      <w:tr w:rsidR="00DB6835" w14:paraId="69CC8B9B" w14:textId="77777777" w:rsidTr="00A9140F">
        <w:trPr>
          <w:trHeight w:val="240"/>
        </w:trPr>
        <w:tc>
          <w:tcPr>
            <w:tcW w:w="8740" w:type="dxa"/>
            <w:gridSpan w:val="2"/>
            <w:tcMar>
              <w:top w:w="100" w:type="dxa"/>
              <w:left w:w="0" w:type="dxa"/>
              <w:bottom w:w="100" w:type="dxa"/>
              <w:right w:w="60" w:type="dxa"/>
            </w:tcMar>
          </w:tcPr>
          <w:p w14:paraId="3C216FD8" w14:textId="77777777" w:rsidR="00DB6835" w:rsidRDefault="00DB6835" w:rsidP="00A9140F">
            <w:pPr>
              <w:pStyle w:val="AnnexTableCellLeft"/>
              <w:rPr>
                <w:szCs w:val="18"/>
              </w:rPr>
            </w:pPr>
            <w:r>
              <w:t>Ekki valda umtalsverðu tjóni</w:t>
            </w:r>
          </w:p>
        </w:tc>
      </w:tr>
      <w:tr w:rsidR="00DB6835" w14:paraId="474FECF4" w14:textId="77777777" w:rsidTr="00A9140F">
        <w:trPr>
          <w:trHeight w:val="360"/>
        </w:trPr>
        <w:tc>
          <w:tcPr>
            <w:tcW w:w="2788" w:type="dxa"/>
            <w:tcMar>
              <w:top w:w="100" w:type="dxa"/>
              <w:left w:w="0" w:type="dxa"/>
              <w:bottom w:w="100" w:type="dxa"/>
              <w:right w:w="60" w:type="dxa"/>
            </w:tcMar>
          </w:tcPr>
          <w:p w14:paraId="6714A6DA" w14:textId="77777777" w:rsidR="00DB6835" w:rsidRDefault="00DB6835" w:rsidP="00A9140F">
            <w:pPr>
              <w:pStyle w:val="AnnexNumberedText"/>
            </w:pPr>
            <w:r>
              <w:t>2)</w:t>
            </w:r>
            <w:r>
              <w:tab/>
              <w:t>Aðlögun að loftslagsbreytingum</w:t>
            </w:r>
          </w:p>
        </w:tc>
        <w:tc>
          <w:tcPr>
            <w:tcW w:w="5952" w:type="dxa"/>
            <w:tcMar>
              <w:top w:w="100" w:type="dxa"/>
              <w:left w:w="40" w:type="dxa"/>
              <w:bottom w:w="100" w:type="dxa"/>
              <w:right w:w="0" w:type="dxa"/>
            </w:tcMar>
          </w:tcPr>
          <w:p w14:paraId="1E51E877" w14:textId="77777777" w:rsidR="00DB6835" w:rsidRDefault="00DB6835" w:rsidP="00A9140F">
            <w:pPr>
              <w:pStyle w:val="AnnexTableCellLeft"/>
              <w:rPr>
                <w:szCs w:val="18"/>
              </w:rPr>
            </w:pPr>
            <w:r>
              <w:t>Starfsemin er í samræmi við viðmiðanirnar sem settar eru fram í viðbæti A við þennan viðauka.</w:t>
            </w:r>
          </w:p>
        </w:tc>
      </w:tr>
      <w:tr w:rsidR="00DB6835" w14:paraId="725AD393" w14:textId="77777777" w:rsidTr="00A9140F">
        <w:trPr>
          <w:trHeight w:val="360"/>
        </w:trPr>
        <w:tc>
          <w:tcPr>
            <w:tcW w:w="2788" w:type="dxa"/>
            <w:tcMar>
              <w:top w:w="100" w:type="dxa"/>
              <w:left w:w="0" w:type="dxa"/>
              <w:bottom w:w="100" w:type="dxa"/>
              <w:right w:w="60" w:type="dxa"/>
            </w:tcMar>
          </w:tcPr>
          <w:p w14:paraId="604230AB" w14:textId="77777777" w:rsidR="00DB6835" w:rsidRDefault="00DB6835" w:rsidP="00A9140F">
            <w:pPr>
              <w:pStyle w:val="AnnexNumberedText"/>
            </w:pPr>
            <w:r>
              <w:t>3)</w:t>
            </w:r>
            <w:r>
              <w:tab/>
              <w:t>Sjálfbær notkun og verndun vatns- og sjávarauðlinda</w:t>
            </w:r>
          </w:p>
        </w:tc>
        <w:tc>
          <w:tcPr>
            <w:tcW w:w="5952" w:type="dxa"/>
            <w:tcMar>
              <w:top w:w="100" w:type="dxa"/>
              <w:left w:w="40" w:type="dxa"/>
              <w:bottom w:w="100" w:type="dxa"/>
              <w:right w:w="0" w:type="dxa"/>
            </w:tcMar>
          </w:tcPr>
          <w:p w14:paraId="6651FCC4" w14:textId="77777777" w:rsidR="00DB6835" w:rsidRDefault="00DB6835" w:rsidP="00A9140F">
            <w:pPr>
              <w:pStyle w:val="AnnexTableCellLeft"/>
              <w:rPr>
                <w:szCs w:val="18"/>
              </w:rPr>
            </w:pPr>
            <w:r>
              <w:t>Á ekki við</w:t>
            </w:r>
          </w:p>
        </w:tc>
      </w:tr>
      <w:tr w:rsidR="00DB6835" w14:paraId="67C97426" w14:textId="77777777" w:rsidTr="00A9140F">
        <w:trPr>
          <w:trHeight w:val="360"/>
        </w:trPr>
        <w:tc>
          <w:tcPr>
            <w:tcW w:w="2788" w:type="dxa"/>
            <w:tcMar>
              <w:top w:w="100" w:type="dxa"/>
              <w:left w:w="0" w:type="dxa"/>
              <w:bottom w:w="100" w:type="dxa"/>
              <w:right w:w="60" w:type="dxa"/>
            </w:tcMar>
          </w:tcPr>
          <w:p w14:paraId="2173AF95" w14:textId="77777777" w:rsidR="00DB6835" w:rsidRDefault="00DB6835" w:rsidP="00A9140F">
            <w:pPr>
              <w:pStyle w:val="AnnexNumberedText"/>
            </w:pPr>
            <w:r>
              <w:t>4)</w:t>
            </w:r>
            <w:r>
              <w:tab/>
              <w:t>Umskipti yfir í hringrásarhagkerfi</w:t>
            </w:r>
          </w:p>
        </w:tc>
        <w:tc>
          <w:tcPr>
            <w:tcW w:w="5952" w:type="dxa"/>
            <w:tcMar>
              <w:top w:w="100" w:type="dxa"/>
              <w:left w:w="40" w:type="dxa"/>
              <w:bottom w:w="100" w:type="dxa"/>
              <w:right w:w="0" w:type="dxa"/>
            </w:tcMar>
          </w:tcPr>
          <w:p w14:paraId="6E23A04C" w14:textId="77777777" w:rsidR="00DB6835" w:rsidRDefault="00DB6835" w:rsidP="00A9140F">
            <w:pPr>
              <w:pStyle w:val="AnnexTableCellLeft"/>
              <w:rPr>
                <w:szCs w:val="18"/>
              </w:rPr>
            </w:pPr>
            <w:r>
              <w:t>Ráðstafanir til úrgangsstjórnunar eru til staðar í samræmi við úrgangsmetakerfið, bæði í notkunaráfanganum (viðhald) og þegar flotinn er úr sér genginn, þ.m.t. með endurnotkun og endurvinnslu rafhlaða og rafeindabúnaðar (einkum mikilvægra hráefna í þeim).</w:t>
            </w:r>
          </w:p>
        </w:tc>
      </w:tr>
      <w:tr w:rsidR="00DB6835" w14:paraId="6F2A67DE" w14:textId="77777777" w:rsidTr="00A9140F">
        <w:trPr>
          <w:trHeight w:val="360"/>
        </w:trPr>
        <w:tc>
          <w:tcPr>
            <w:tcW w:w="2788" w:type="dxa"/>
            <w:tcMar>
              <w:top w:w="100" w:type="dxa"/>
              <w:left w:w="0" w:type="dxa"/>
              <w:bottom w:w="100" w:type="dxa"/>
              <w:right w:w="60" w:type="dxa"/>
            </w:tcMar>
          </w:tcPr>
          <w:p w14:paraId="3679CF6A" w14:textId="77777777" w:rsidR="00DB6835" w:rsidRDefault="00DB6835" w:rsidP="00A9140F">
            <w:pPr>
              <w:pStyle w:val="AnnexNumberedText"/>
            </w:pPr>
            <w:r>
              <w:t>5)</w:t>
            </w:r>
            <w:r>
              <w:tab/>
              <w:t>Mengunarvarnir og eftirlit með mengun</w:t>
            </w:r>
          </w:p>
        </w:tc>
        <w:tc>
          <w:tcPr>
            <w:tcW w:w="5952" w:type="dxa"/>
            <w:tcMar>
              <w:top w:w="100" w:type="dxa"/>
              <w:left w:w="40" w:type="dxa"/>
              <w:bottom w:w="100" w:type="dxa"/>
              <w:right w:w="0" w:type="dxa"/>
            </w:tcMar>
          </w:tcPr>
          <w:p w14:paraId="7A16E7C7" w14:textId="77777777" w:rsidR="00DB6835" w:rsidRDefault="00DB6835" w:rsidP="00A9140F">
            <w:pPr>
              <w:pStyle w:val="AnnexTableCellLeft"/>
              <w:spacing w:after="400"/>
              <w:rPr>
                <w:szCs w:val="18"/>
              </w:rPr>
            </w:pPr>
            <w:r>
              <w:t xml:space="preserve">Að því er varðar ökutæki á vegum í flokki M uppfylla hjólbarðar kröfur um ytri snúningshávaða í hæsta flokknum sem er í notkun og um </w:t>
            </w:r>
            <w:proofErr w:type="spellStart"/>
            <w:r>
              <w:t>veltiviðnámsstuðul</w:t>
            </w:r>
            <w:proofErr w:type="spellEnd"/>
            <w:r>
              <w:t xml:space="preserve"> (sem hefur áhrif á </w:t>
            </w:r>
            <w:proofErr w:type="spellStart"/>
            <w:r>
              <w:t>orkunýtni</w:t>
            </w:r>
            <w:proofErr w:type="spellEnd"/>
            <w:r>
              <w:t xml:space="preserve"> farartækisins) í tveimur hæstu flokkunum sem eru í notkun, eins og sett er fram í reglugerð Evrópuþingsins og ráðsins (ESB) 2020/740 (</w:t>
            </w:r>
            <w:r>
              <w:rPr>
                <w:rStyle w:val="Tilvsunneanmlsgrein"/>
                <w:sz w:val="18"/>
                <w:szCs w:val="18"/>
              </w:rPr>
              <w:footnoteReference w:id="246"/>
            </w:r>
            <w:r>
              <w:t xml:space="preserve">), og eins og unnt er að sannreyna í Evrópsku vöruskránni fyrir orkumerkingar (e. </w:t>
            </w:r>
            <w:r>
              <w:rPr>
                <w:i/>
                <w:iCs/>
              </w:rPr>
              <w:t xml:space="preserve">European Product </w:t>
            </w:r>
            <w:proofErr w:type="spellStart"/>
            <w:r>
              <w:rPr>
                <w:i/>
                <w:iCs/>
              </w:rPr>
              <w:t>Registry</w:t>
            </w:r>
            <w:proofErr w:type="spellEnd"/>
            <w:r>
              <w:rPr>
                <w:i/>
                <w:iCs/>
              </w:rPr>
              <w:t xml:space="preserve"> for Energy </w:t>
            </w:r>
            <w:proofErr w:type="spellStart"/>
            <w:r>
              <w:rPr>
                <w:i/>
                <w:iCs/>
              </w:rPr>
              <w:t>Labelling</w:t>
            </w:r>
            <w:proofErr w:type="spellEnd"/>
            <w:r>
              <w:t>) (EPREL).</w:t>
            </w:r>
          </w:p>
          <w:p w14:paraId="5BC6A810" w14:textId="77777777" w:rsidR="00DB6835" w:rsidRDefault="00DB6835" w:rsidP="00A9140F">
            <w:pPr>
              <w:pStyle w:val="AnnexTableCellLeft"/>
              <w:rPr>
                <w:szCs w:val="18"/>
              </w:rPr>
            </w:pPr>
            <w:r>
              <w:t>Eftir atvikum uppfylla farartæki kröfurnar í nýjasta gildandi þrepi Euro VI gerðarviðurkenningarinnar að því er varðar losun þungra ökutækja sem sett er fram í samræmi við reglugerð (EB) nr. 595/2009.</w:t>
            </w:r>
          </w:p>
        </w:tc>
      </w:tr>
      <w:tr w:rsidR="00DB6835" w14:paraId="76CED10C" w14:textId="77777777" w:rsidTr="00A9140F">
        <w:trPr>
          <w:trHeight w:val="360"/>
        </w:trPr>
        <w:tc>
          <w:tcPr>
            <w:tcW w:w="2788" w:type="dxa"/>
            <w:tcMar>
              <w:top w:w="100" w:type="dxa"/>
              <w:left w:w="0" w:type="dxa"/>
              <w:bottom w:w="100" w:type="dxa"/>
              <w:right w:w="60" w:type="dxa"/>
            </w:tcMar>
          </w:tcPr>
          <w:p w14:paraId="48DFABBB" w14:textId="77777777" w:rsidR="00DB6835" w:rsidRDefault="00DB6835" w:rsidP="00A9140F">
            <w:pPr>
              <w:pStyle w:val="AnnexNumberedText"/>
            </w:pPr>
            <w:r>
              <w:t>6)</w:t>
            </w:r>
            <w:r>
              <w:tab/>
              <w:t>Vernd og endurheimt líffræðilegrar fjölbreytni og vistkerfa</w:t>
            </w:r>
          </w:p>
        </w:tc>
        <w:tc>
          <w:tcPr>
            <w:tcW w:w="5952" w:type="dxa"/>
            <w:tcMar>
              <w:top w:w="100" w:type="dxa"/>
              <w:left w:w="40" w:type="dxa"/>
              <w:bottom w:w="100" w:type="dxa"/>
              <w:right w:w="0" w:type="dxa"/>
            </w:tcMar>
          </w:tcPr>
          <w:p w14:paraId="47CBF6FB" w14:textId="77777777" w:rsidR="00DB6835" w:rsidRDefault="00DB6835" w:rsidP="00A9140F">
            <w:pPr>
              <w:pStyle w:val="AnnexTableCellLeft"/>
            </w:pPr>
            <w:r>
              <w:t>Á ekki við</w:t>
            </w:r>
          </w:p>
        </w:tc>
      </w:tr>
    </w:tbl>
    <w:p w14:paraId="7736BFB4" w14:textId="77777777" w:rsidR="00DB6835" w:rsidRDefault="00DB6835" w:rsidP="00DB6835">
      <w:pPr>
        <w:pStyle w:val="AnnexNumberedText"/>
        <w:spacing w:before="200" w:after="540"/>
        <w:ind w:left="500" w:hanging="500"/>
      </w:pPr>
      <w:r>
        <w:t>6.4.</w:t>
      </w:r>
      <w:r>
        <w:rPr>
          <w:b/>
        </w:rPr>
        <w:tab/>
      </w:r>
      <w:proofErr w:type="spellStart"/>
      <w:r>
        <w:rPr>
          <w:b/>
        </w:rPr>
        <w:t>Starfræksla</w:t>
      </w:r>
      <w:proofErr w:type="spellEnd"/>
      <w:r>
        <w:rPr>
          <w:b/>
        </w:rPr>
        <w:t xml:space="preserve"> á ferlitækjum einstaklinga, nytjahjólaflutningastjórnun</w:t>
      </w:r>
    </w:p>
    <w:p w14:paraId="0A655075" w14:textId="77777777" w:rsidR="00DB6835" w:rsidRDefault="00DB6835" w:rsidP="00DB6835">
      <w:pPr>
        <w:pStyle w:val="AnnexGrSeq3"/>
        <w:spacing w:after="540"/>
        <w:ind w:left="500"/>
        <w:jc w:val="both"/>
      </w:pPr>
      <w:r>
        <w:rPr>
          <w:i/>
        </w:rPr>
        <w:t>Lýsing á starfseminni</w:t>
      </w:r>
    </w:p>
    <w:p w14:paraId="6BCC59EA" w14:textId="77777777" w:rsidR="00DB6835" w:rsidRDefault="00DB6835" w:rsidP="00DB6835">
      <w:pPr>
        <w:pStyle w:val="AnnexNormal"/>
        <w:spacing w:after="540"/>
        <w:ind w:left="500"/>
      </w:pPr>
      <w:r>
        <w:t xml:space="preserve">Sala, kaup, fjármögnun, eignarleiga, leiga og </w:t>
      </w:r>
      <w:proofErr w:type="spellStart"/>
      <w:r>
        <w:t>starfræksla</w:t>
      </w:r>
      <w:proofErr w:type="spellEnd"/>
      <w:r>
        <w:t xml:space="preserve"> ferlitækja eða flutningstækja einstaklinga þar sem </w:t>
      </w:r>
      <w:proofErr w:type="spellStart"/>
      <w:r>
        <w:t>knúningsaflið</w:t>
      </w:r>
      <w:proofErr w:type="spellEnd"/>
      <w:r>
        <w:t xml:space="preserve"> kemur frá hreyfingu notandans, frá vél með enga losun eða frá samblandi af vél með enga losun og líkamlegri hreyfingu. Þetta nær yfir vöruflutningaþjónustu með (nytja)hjólum (e. </w:t>
      </w:r>
      <w:proofErr w:type="spellStart"/>
      <w:r>
        <w:rPr>
          <w:i/>
          <w:iCs/>
        </w:rPr>
        <w:t>cargo</w:t>
      </w:r>
      <w:proofErr w:type="spellEnd"/>
      <w:r>
        <w:rPr>
          <w:i/>
          <w:iCs/>
        </w:rPr>
        <w:t xml:space="preserve"> </w:t>
      </w:r>
      <w:proofErr w:type="spellStart"/>
      <w:r>
        <w:rPr>
          <w:i/>
          <w:iCs/>
        </w:rPr>
        <w:t>bicycle</w:t>
      </w:r>
      <w:proofErr w:type="spellEnd"/>
      <w:r>
        <w:t>).</w:t>
      </w:r>
    </w:p>
    <w:p w14:paraId="19A255CE" w14:textId="77777777" w:rsidR="00DB6835" w:rsidRDefault="00DB6835" w:rsidP="00DB6835">
      <w:pPr>
        <w:pStyle w:val="AnnexNormal"/>
        <w:spacing w:after="0"/>
        <w:ind w:left="500"/>
      </w:pPr>
      <w:r>
        <w:lastRenderedPageBreak/>
        <w:t>Atvinnustarfsemin í þessum flokki gæti tengst nokkrum kóðum atvinnugreinaflokkunar Evrópusambandsins, einkum N77.11 og N77.21, í samræmi við atvinnugreinaflokkunina sem komið var á með reglugerð (EB) nr. 1893/2006.</w:t>
      </w:r>
      <w:r>
        <w:br w:type="page"/>
      </w:r>
    </w:p>
    <w:p w14:paraId="03C2739E"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932"/>
        <w:gridCol w:w="5808"/>
      </w:tblGrid>
      <w:tr w:rsidR="00DB6835" w14:paraId="2A6CCE40" w14:textId="77777777" w:rsidTr="00A9140F">
        <w:trPr>
          <w:trHeight w:val="240"/>
        </w:trPr>
        <w:tc>
          <w:tcPr>
            <w:tcW w:w="8740" w:type="dxa"/>
            <w:gridSpan w:val="2"/>
            <w:tcMar>
              <w:top w:w="100" w:type="dxa"/>
              <w:left w:w="0" w:type="dxa"/>
              <w:bottom w:w="100" w:type="dxa"/>
              <w:right w:w="60" w:type="dxa"/>
            </w:tcMar>
          </w:tcPr>
          <w:p w14:paraId="55DA1537"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70881B1" w14:textId="77777777" w:rsidTr="00A9140F">
        <w:trPr>
          <w:trHeight w:val="360"/>
        </w:trPr>
        <w:tc>
          <w:tcPr>
            <w:tcW w:w="8740" w:type="dxa"/>
            <w:gridSpan w:val="2"/>
            <w:tcMar>
              <w:top w:w="100" w:type="dxa"/>
              <w:left w:w="0" w:type="dxa"/>
              <w:bottom w:w="100" w:type="dxa"/>
              <w:right w:w="60" w:type="dxa"/>
            </w:tcMar>
          </w:tcPr>
          <w:p w14:paraId="2B313CFA" w14:textId="77777777" w:rsidR="00DB6835" w:rsidRDefault="00DB6835" w:rsidP="00A9140F">
            <w:pPr>
              <w:pStyle w:val="AnnexNumberedText"/>
              <w:tabs>
                <w:tab w:val="left" w:pos="508"/>
              </w:tabs>
              <w:spacing w:after="600"/>
              <w:ind w:left="0" w:firstLine="0"/>
            </w:pPr>
            <w:r>
              <w:t>1.</w:t>
            </w:r>
            <w:r>
              <w:tab/>
            </w:r>
            <w:proofErr w:type="spellStart"/>
            <w:r>
              <w:t>Knúningsaflið</w:t>
            </w:r>
            <w:proofErr w:type="spellEnd"/>
            <w:r>
              <w:t xml:space="preserve"> í ferlitækjum einstaklinga kemur frá hreyfingu notandans, frá vél með enga losun eða frá samblandi af vél með enga losun og líkamlegri hreyfingu.</w:t>
            </w:r>
          </w:p>
          <w:p w14:paraId="1AFD007D" w14:textId="77777777" w:rsidR="00DB6835" w:rsidRDefault="00DB6835" w:rsidP="00A9140F">
            <w:pPr>
              <w:pStyle w:val="AnnexNumberedText"/>
              <w:tabs>
                <w:tab w:val="left" w:pos="508"/>
              </w:tabs>
              <w:spacing w:after="600"/>
              <w:ind w:left="0" w:firstLine="0"/>
            </w:pPr>
            <w:r>
              <w:t>2.</w:t>
            </w:r>
            <w:r>
              <w:tab/>
              <w:t>Heimilt er að nota ferlitæki einstaklinga á sömu opinberu innviðunum og reiðhjól eða gangandi vegfarendur nota.</w:t>
            </w:r>
          </w:p>
        </w:tc>
      </w:tr>
      <w:tr w:rsidR="00DB6835" w14:paraId="4EB806BC" w14:textId="77777777" w:rsidTr="00A9140F">
        <w:trPr>
          <w:trHeight w:val="240"/>
        </w:trPr>
        <w:tc>
          <w:tcPr>
            <w:tcW w:w="8740" w:type="dxa"/>
            <w:gridSpan w:val="2"/>
            <w:tcMar>
              <w:top w:w="100" w:type="dxa"/>
              <w:left w:w="0" w:type="dxa"/>
              <w:bottom w:w="100" w:type="dxa"/>
              <w:right w:w="60" w:type="dxa"/>
            </w:tcMar>
          </w:tcPr>
          <w:p w14:paraId="1C644BAE" w14:textId="77777777" w:rsidR="00DB6835" w:rsidRDefault="00DB6835" w:rsidP="00A9140F">
            <w:pPr>
              <w:pStyle w:val="AnnexTableCellLeft"/>
            </w:pPr>
            <w:r>
              <w:t>Ekki valda umtalsverðu tjóni</w:t>
            </w:r>
          </w:p>
        </w:tc>
      </w:tr>
      <w:tr w:rsidR="00DB6835" w14:paraId="42733AE0" w14:textId="77777777" w:rsidTr="00A9140F">
        <w:trPr>
          <w:trHeight w:val="360"/>
        </w:trPr>
        <w:tc>
          <w:tcPr>
            <w:tcW w:w="2932" w:type="dxa"/>
            <w:tcMar>
              <w:top w:w="100" w:type="dxa"/>
              <w:left w:w="0" w:type="dxa"/>
              <w:bottom w:w="100" w:type="dxa"/>
              <w:right w:w="60" w:type="dxa"/>
            </w:tcMar>
          </w:tcPr>
          <w:p w14:paraId="04E740CD" w14:textId="77777777" w:rsidR="00DB6835" w:rsidRDefault="00DB6835" w:rsidP="00A9140F">
            <w:pPr>
              <w:pStyle w:val="AnnexNumberedText"/>
            </w:pPr>
            <w:r>
              <w:t>2)</w:t>
            </w:r>
            <w:r>
              <w:tab/>
              <w:t>Aðlögun að loftslagsbreytingum</w:t>
            </w:r>
          </w:p>
        </w:tc>
        <w:tc>
          <w:tcPr>
            <w:tcW w:w="5808" w:type="dxa"/>
            <w:tcMar>
              <w:top w:w="100" w:type="dxa"/>
              <w:left w:w="40" w:type="dxa"/>
              <w:bottom w:w="100" w:type="dxa"/>
              <w:right w:w="0" w:type="dxa"/>
            </w:tcMar>
          </w:tcPr>
          <w:p w14:paraId="36ADBE88" w14:textId="77777777" w:rsidR="00DB6835" w:rsidRDefault="00DB6835" w:rsidP="00A9140F">
            <w:pPr>
              <w:pStyle w:val="AnnexTableCellLeft"/>
            </w:pPr>
            <w:r>
              <w:t>Starfsemin er í samræmi við viðmiðanirnar sem settar eru fram í viðbæti A við þennan viðauka.</w:t>
            </w:r>
          </w:p>
        </w:tc>
      </w:tr>
      <w:tr w:rsidR="00DB6835" w14:paraId="4FFD1898" w14:textId="77777777" w:rsidTr="00A9140F">
        <w:trPr>
          <w:trHeight w:val="360"/>
        </w:trPr>
        <w:tc>
          <w:tcPr>
            <w:tcW w:w="2932" w:type="dxa"/>
            <w:tcMar>
              <w:top w:w="100" w:type="dxa"/>
              <w:left w:w="0" w:type="dxa"/>
              <w:bottom w:w="100" w:type="dxa"/>
              <w:right w:w="60" w:type="dxa"/>
            </w:tcMar>
          </w:tcPr>
          <w:p w14:paraId="59A68A8D" w14:textId="77777777" w:rsidR="00DB6835" w:rsidRDefault="00DB6835" w:rsidP="00A9140F">
            <w:pPr>
              <w:pStyle w:val="AnnexNumberedText"/>
            </w:pPr>
            <w:r>
              <w:t>3)</w:t>
            </w:r>
            <w:r>
              <w:tab/>
              <w:t>Sjálfbær notkun og verndun vatns- og sjávarauðlinda</w:t>
            </w:r>
          </w:p>
        </w:tc>
        <w:tc>
          <w:tcPr>
            <w:tcW w:w="5808" w:type="dxa"/>
            <w:tcMar>
              <w:top w:w="100" w:type="dxa"/>
              <w:left w:w="40" w:type="dxa"/>
              <w:bottom w:w="100" w:type="dxa"/>
              <w:right w:w="0" w:type="dxa"/>
            </w:tcMar>
          </w:tcPr>
          <w:p w14:paraId="651E21A1" w14:textId="77777777" w:rsidR="00DB6835" w:rsidRDefault="00DB6835" w:rsidP="00A9140F">
            <w:pPr>
              <w:pStyle w:val="AnnexTableCellLeft"/>
            </w:pPr>
            <w:r>
              <w:t>Á ekki við</w:t>
            </w:r>
          </w:p>
        </w:tc>
      </w:tr>
      <w:tr w:rsidR="00DB6835" w14:paraId="09EECA46" w14:textId="77777777" w:rsidTr="00A9140F">
        <w:trPr>
          <w:trHeight w:val="360"/>
        </w:trPr>
        <w:tc>
          <w:tcPr>
            <w:tcW w:w="2932" w:type="dxa"/>
            <w:tcMar>
              <w:top w:w="100" w:type="dxa"/>
              <w:left w:w="0" w:type="dxa"/>
              <w:bottom w:w="100" w:type="dxa"/>
              <w:right w:w="60" w:type="dxa"/>
            </w:tcMar>
          </w:tcPr>
          <w:p w14:paraId="3BA569C4" w14:textId="77777777" w:rsidR="00DB6835" w:rsidRDefault="00DB6835" w:rsidP="00A9140F">
            <w:pPr>
              <w:pStyle w:val="AnnexNumberedText"/>
            </w:pPr>
            <w:r>
              <w:t>4)</w:t>
            </w:r>
            <w:r>
              <w:tab/>
              <w:t>Umskipti yfir í hringrásarhagkerfi</w:t>
            </w:r>
          </w:p>
        </w:tc>
        <w:tc>
          <w:tcPr>
            <w:tcW w:w="5808" w:type="dxa"/>
            <w:tcMar>
              <w:top w:w="100" w:type="dxa"/>
              <w:left w:w="40" w:type="dxa"/>
              <w:bottom w:w="100" w:type="dxa"/>
              <w:right w:w="0" w:type="dxa"/>
            </w:tcMar>
          </w:tcPr>
          <w:p w14:paraId="53D76948" w14:textId="77777777" w:rsidR="00DB6835" w:rsidRDefault="00DB6835" w:rsidP="00A9140F">
            <w:pPr>
              <w:pStyle w:val="AnnexTableCellLeft"/>
            </w:pPr>
            <w:r>
              <w:t>Ráðstafanir til úrgangsstjórnunar eru til staðar í samræmi við úrgangsmetakerfið, bæði í notkunaráfanganum (viðhald) og við lok endingartímans, þ.m.t. með endurnotkun og endurvinnslu rafhlaða og rafeindabúnaðar (einkum mikilvægra hráefna í þeim).</w:t>
            </w:r>
          </w:p>
        </w:tc>
      </w:tr>
      <w:tr w:rsidR="00DB6835" w14:paraId="6B1CB406" w14:textId="77777777" w:rsidTr="00A9140F">
        <w:trPr>
          <w:trHeight w:val="360"/>
        </w:trPr>
        <w:tc>
          <w:tcPr>
            <w:tcW w:w="2932" w:type="dxa"/>
            <w:tcMar>
              <w:top w:w="100" w:type="dxa"/>
              <w:left w:w="0" w:type="dxa"/>
              <w:bottom w:w="100" w:type="dxa"/>
              <w:right w:w="60" w:type="dxa"/>
            </w:tcMar>
          </w:tcPr>
          <w:p w14:paraId="28D28E1D" w14:textId="77777777" w:rsidR="00DB6835" w:rsidRDefault="00DB6835" w:rsidP="00A9140F">
            <w:pPr>
              <w:pStyle w:val="AnnexNumberedText"/>
            </w:pPr>
            <w:r>
              <w:t>5)</w:t>
            </w:r>
            <w:r>
              <w:tab/>
              <w:t>Mengunarvarnir og eftirlit með mengun</w:t>
            </w:r>
          </w:p>
        </w:tc>
        <w:tc>
          <w:tcPr>
            <w:tcW w:w="5808" w:type="dxa"/>
            <w:tcMar>
              <w:top w:w="100" w:type="dxa"/>
              <w:left w:w="40" w:type="dxa"/>
              <w:bottom w:w="100" w:type="dxa"/>
              <w:right w:w="0" w:type="dxa"/>
            </w:tcMar>
          </w:tcPr>
          <w:p w14:paraId="30A2A83B" w14:textId="77777777" w:rsidR="00DB6835" w:rsidRDefault="00DB6835" w:rsidP="00A9140F">
            <w:pPr>
              <w:pStyle w:val="AnnexTableCellLeft"/>
            </w:pPr>
            <w:r>
              <w:t>Á ekki við</w:t>
            </w:r>
          </w:p>
        </w:tc>
      </w:tr>
      <w:tr w:rsidR="00DB6835" w14:paraId="744F9BC5" w14:textId="77777777" w:rsidTr="00A9140F">
        <w:trPr>
          <w:trHeight w:val="360"/>
        </w:trPr>
        <w:tc>
          <w:tcPr>
            <w:tcW w:w="2932" w:type="dxa"/>
            <w:tcMar>
              <w:top w:w="100" w:type="dxa"/>
              <w:left w:w="0" w:type="dxa"/>
              <w:bottom w:w="100" w:type="dxa"/>
              <w:right w:w="60" w:type="dxa"/>
            </w:tcMar>
          </w:tcPr>
          <w:p w14:paraId="47334D27" w14:textId="77777777" w:rsidR="00DB6835" w:rsidRDefault="00DB6835" w:rsidP="00A9140F">
            <w:pPr>
              <w:pStyle w:val="AnnexNumberedText"/>
            </w:pPr>
            <w:r>
              <w:t>6)</w:t>
            </w:r>
            <w:r>
              <w:tab/>
              <w:t>Vernd og endurheimt líffræðilegrar fjölbreytni og vistkerfa</w:t>
            </w:r>
          </w:p>
        </w:tc>
        <w:tc>
          <w:tcPr>
            <w:tcW w:w="5808" w:type="dxa"/>
            <w:tcMar>
              <w:top w:w="100" w:type="dxa"/>
              <w:left w:w="40" w:type="dxa"/>
              <w:bottom w:w="100" w:type="dxa"/>
              <w:right w:w="0" w:type="dxa"/>
            </w:tcMar>
          </w:tcPr>
          <w:p w14:paraId="1623BE7E" w14:textId="77777777" w:rsidR="00DB6835" w:rsidRDefault="00DB6835" w:rsidP="00A9140F">
            <w:pPr>
              <w:pStyle w:val="AnnexTableCellLeft"/>
            </w:pPr>
            <w:r>
              <w:t>Á ekki við</w:t>
            </w:r>
          </w:p>
        </w:tc>
      </w:tr>
    </w:tbl>
    <w:p w14:paraId="2D17D705" w14:textId="77777777" w:rsidR="00DB6835" w:rsidRDefault="00DB6835" w:rsidP="00DB6835">
      <w:pPr>
        <w:pStyle w:val="AnnexNumberedText"/>
        <w:spacing w:before="200" w:after="500"/>
        <w:ind w:left="500" w:hanging="500"/>
      </w:pPr>
      <w:r>
        <w:t>6.5.</w:t>
      </w:r>
      <w:r>
        <w:rPr>
          <w:b/>
        </w:rPr>
        <w:tab/>
        <w:t>Flutningar með mótorhjólum, fólksbifreiðum og léttum atvinnuökutækjum</w:t>
      </w:r>
    </w:p>
    <w:p w14:paraId="06A09770" w14:textId="77777777" w:rsidR="00DB6835" w:rsidRDefault="00DB6835" w:rsidP="00DB6835">
      <w:pPr>
        <w:pStyle w:val="AnnexGrSeq3"/>
        <w:spacing w:after="500"/>
        <w:ind w:left="500"/>
        <w:jc w:val="both"/>
        <w:rPr>
          <w:szCs w:val="18"/>
        </w:rPr>
      </w:pPr>
      <w:r>
        <w:rPr>
          <w:i/>
        </w:rPr>
        <w:t>Lýsing á starfseminni</w:t>
      </w:r>
    </w:p>
    <w:p w14:paraId="59DE5524" w14:textId="77777777" w:rsidR="00DB6835" w:rsidRDefault="00DB6835" w:rsidP="00DB6835">
      <w:pPr>
        <w:pStyle w:val="AnnexNormal"/>
        <w:spacing w:after="500"/>
        <w:ind w:left="500"/>
        <w:rPr>
          <w:szCs w:val="18"/>
        </w:rPr>
      </w:pPr>
      <w:r>
        <w:t xml:space="preserve">Kaup, fjármögnun, leiga, eignarleiga og </w:t>
      </w:r>
      <w:proofErr w:type="spellStart"/>
      <w:r>
        <w:t>starfræksla</w:t>
      </w:r>
      <w:proofErr w:type="spellEnd"/>
      <w:r>
        <w:t xml:space="preserve"> farartækja sem tilheyra flokki M1 (</w:t>
      </w:r>
      <w:bookmarkStart w:id="36" w:name="NOTE_246"/>
      <w:r>
        <w:rPr>
          <w:rStyle w:val="Tilvsunneanmlsgrein"/>
          <w:sz w:val="18"/>
          <w:szCs w:val="18"/>
        </w:rPr>
        <w:footnoteReference w:id="247"/>
      </w:r>
      <w:bookmarkEnd w:id="36"/>
      <w:r>
        <w:t>) og N1 (</w:t>
      </w:r>
      <w:bookmarkStart w:id="37" w:name="NOTE_247"/>
      <w:r>
        <w:rPr>
          <w:rStyle w:val="Tilvsunneanmlsgrein"/>
          <w:sz w:val="18"/>
          <w:szCs w:val="18"/>
        </w:rPr>
        <w:footnoteReference w:id="248"/>
      </w:r>
      <w:bookmarkEnd w:id="37"/>
      <w:r>
        <w:t>), sem falla báðir undir gildissvið reglugerðar Evrópuþingsins og ráðsins (EB) nr. 715/2007 (</w:t>
      </w:r>
      <w:bookmarkStart w:id="38" w:name="NOTE_248"/>
      <w:r>
        <w:rPr>
          <w:rStyle w:val="Tilvsunneanmlsgrein"/>
          <w:sz w:val="18"/>
          <w:szCs w:val="18"/>
        </w:rPr>
        <w:footnoteReference w:id="249"/>
      </w:r>
      <w:bookmarkEnd w:id="38"/>
      <w:r>
        <w:t>), eða L (farartæki á tveimur eða þremur hjólum og fjórhjól) (</w:t>
      </w:r>
      <w:bookmarkStart w:id="39" w:name="NOTE_249"/>
      <w:r>
        <w:rPr>
          <w:rStyle w:val="Tilvsunneanmlsgrein"/>
          <w:sz w:val="18"/>
          <w:szCs w:val="18"/>
        </w:rPr>
        <w:footnoteReference w:id="250"/>
      </w:r>
      <w:bookmarkEnd w:id="39"/>
      <w:r>
        <w:t>).</w:t>
      </w:r>
    </w:p>
    <w:p w14:paraId="41751B6C" w14:textId="77777777" w:rsidR="00DB6835" w:rsidRDefault="00DB6835" w:rsidP="00DB6835">
      <w:pPr>
        <w:pStyle w:val="AnnexNormal"/>
        <w:spacing w:after="500"/>
        <w:ind w:left="500"/>
        <w:rPr>
          <w:szCs w:val="18"/>
        </w:rPr>
      </w:pPr>
      <w:r>
        <w:t>Atvinnustarfsemin í þessum flokki gæti tengst nokkrum kóðum atvinnugreinaflokkunar Evrópusambandsins, einkum H49.32, H49.39 og N77.11, í samræmi við atvinnugreinaflokkunina sem komið var á með reglugerð (EB) nr. 1893/2006.</w:t>
      </w:r>
    </w:p>
    <w:p w14:paraId="44A9D3CD" w14:textId="77777777" w:rsidR="00DB6835" w:rsidRDefault="00DB6835" w:rsidP="00DB6835">
      <w:pPr>
        <w:pStyle w:val="AnnexNormal"/>
        <w:spacing w:after="0"/>
        <w:ind w:left="500"/>
      </w:pPr>
      <w:r>
        <w:t xml:space="preserve">Ef atvinnustarfsemi í þessum flokki uppfyllir ekki viðmiðunina um verulegt framlag sem er tilgreind í ii. lið a-liðar og </w:t>
      </w:r>
      <w:proofErr w:type="spellStart"/>
      <w:r>
        <w:t>b-lið</w:t>
      </w:r>
      <w:proofErr w:type="spellEnd"/>
      <w:r>
        <w:t xml:space="preserve"> þessa þáttar er starfsemin umbreytingarstarfsemi, eins og um getur í 2. mgr. 10. gr. reglugerðar (ESB) 2020/852, að því tilskildu að hún uppfylli eftirstandandi tæknileg matsviðmið sem sett eru fram í þessum þætti.</w:t>
      </w:r>
      <w:r>
        <w:br w:type="page"/>
      </w:r>
    </w:p>
    <w:p w14:paraId="422F49F2"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860"/>
        <w:gridCol w:w="5880"/>
      </w:tblGrid>
      <w:tr w:rsidR="00DB6835" w14:paraId="1DF8706A" w14:textId="77777777" w:rsidTr="00A9140F">
        <w:trPr>
          <w:trHeight w:val="240"/>
        </w:trPr>
        <w:tc>
          <w:tcPr>
            <w:tcW w:w="8740" w:type="dxa"/>
            <w:gridSpan w:val="2"/>
            <w:tcMar>
              <w:top w:w="100" w:type="dxa"/>
              <w:left w:w="0" w:type="dxa"/>
              <w:bottom w:w="100" w:type="dxa"/>
              <w:right w:w="60" w:type="dxa"/>
            </w:tcMar>
          </w:tcPr>
          <w:p w14:paraId="2B34A707"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37896DB" w14:textId="77777777" w:rsidTr="00A9140F">
        <w:trPr>
          <w:trHeight w:val="360"/>
        </w:trPr>
        <w:tc>
          <w:tcPr>
            <w:tcW w:w="8740" w:type="dxa"/>
            <w:gridSpan w:val="2"/>
            <w:tcMar>
              <w:top w:w="100" w:type="dxa"/>
              <w:left w:w="0" w:type="dxa"/>
              <w:bottom w:w="100" w:type="dxa"/>
              <w:right w:w="60" w:type="dxa"/>
            </w:tcMar>
          </w:tcPr>
          <w:p w14:paraId="5EFD672D" w14:textId="77777777" w:rsidR="00DB6835" w:rsidRDefault="00DB6835" w:rsidP="00A9140F">
            <w:pPr>
              <w:pStyle w:val="AnnexTableCellLeft"/>
              <w:spacing w:after="200"/>
            </w:pPr>
            <w:r>
              <w:t>Starfsemin er í samræmi við eftirfarandi viðmiðanir:</w:t>
            </w:r>
          </w:p>
          <w:p w14:paraId="3A6C0CEE" w14:textId="77777777" w:rsidR="00DB6835" w:rsidRDefault="00DB6835" w:rsidP="00A9140F">
            <w:pPr>
              <w:pStyle w:val="AnnexNumberedText"/>
            </w:pPr>
            <w:r>
              <w:t>a)</w:t>
            </w:r>
            <w:r>
              <w:tab/>
              <w:t>að því er varðar farartæki í flokkum M1 og N1 sem falla báðir undir gildissvið reglugerðar (EB) nr. 715/2007:</w:t>
            </w:r>
          </w:p>
          <w:p w14:paraId="5E38C94C" w14:textId="77777777" w:rsidR="00DB6835" w:rsidRDefault="00DB6835" w:rsidP="00A9140F">
            <w:pPr>
              <w:pStyle w:val="AnnexNumberedText"/>
              <w:ind w:left="594"/>
            </w:pPr>
            <w:r>
              <w:t>i.</w:t>
            </w:r>
            <w:r>
              <w:tab/>
              <w:t xml:space="preserve">fram til 31. desember 2025, sértæk losun koltvísýrings, eins og skilgreint er í </w:t>
            </w:r>
            <w:proofErr w:type="spellStart"/>
            <w:r>
              <w:t>h-lið</w:t>
            </w:r>
            <w:proofErr w:type="spellEnd"/>
            <w:r>
              <w:t xml:space="preserve"> 1. mgr. 3. gr. reglugerðar (ESB) 2019/631, er minni en 50 g CO</w:t>
            </w:r>
            <w:r>
              <w:rPr>
                <w:vertAlign w:val="subscript"/>
              </w:rPr>
              <w:t>2</w:t>
            </w:r>
            <w:r>
              <w:t>/km (létt ökutæki með litla og enga losun),</w:t>
            </w:r>
          </w:p>
          <w:p w14:paraId="438F4359" w14:textId="77777777" w:rsidR="00DB6835" w:rsidRDefault="00DB6835" w:rsidP="00A9140F">
            <w:pPr>
              <w:pStyle w:val="AnnexNumberedText"/>
              <w:ind w:left="594"/>
            </w:pPr>
            <w:r>
              <w:t>ii.</w:t>
            </w:r>
            <w:r>
              <w:tab/>
              <w:t xml:space="preserve">frá 1. janúar 2026, sértæk losun koltvísýrings, eins og skilgreint er í </w:t>
            </w:r>
            <w:proofErr w:type="spellStart"/>
            <w:r>
              <w:t>h-lið</w:t>
            </w:r>
            <w:proofErr w:type="spellEnd"/>
            <w:r>
              <w:t xml:space="preserve"> 1. mgr. 3. gr. reglugerðar (ESB) 2019/631, er núll.</w:t>
            </w:r>
          </w:p>
          <w:p w14:paraId="6A1785E5" w14:textId="77777777" w:rsidR="00DB6835" w:rsidRDefault="00DB6835" w:rsidP="00A9140F">
            <w:pPr>
              <w:pStyle w:val="AnnexNumberedText"/>
            </w:pPr>
            <w:r>
              <w:t>b)</w:t>
            </w:r>
            <w:r>
              <w:tab/>
              <w:t>að því er varðar farartæki í flokki L, koltvísýringslosun gegnum útblástursrör er jöfn og 0 g CO</w:t>
            </w:r>
            <w:r>
              <w:rPr>
                <w:vertAlign w:val="subscript"/>
              </w:rPr>
              <w:t>2</w:t>
            </w:r>
            <w:r>
              <w:t>e/km, reiknuð út í samræmi við losunarprófunina sem mælt er fyrir um í reglugerð (ESB) 168/2013.</w:t>
            </w:r>
          </w:p>
        </w:tc>
      </w:tr>
      <w:tr w:rsidR="00DB6835" w14:paraId="0B6FEC04" w14:textId="77777777" w:rsidTr="00A9140F">
        <w:trPr>
          <w:trHeight w:val="240"/>
        </w:trPr>
        <w:tc>
          <w:tcPr>
            <w:tcW w:w="8740" w:type="dxa"/>
            <w:gridSpan w:val="2"/>
            <w:tcMar>
              <w:top w:w="100" w:type="dxa"/>
              <w:left w:w="0" w:type="dxa"/>
              <w:bottom w:w="100" w:type="dxa"/>
              <w:right w:w="60" w:type="dxa"/>
            </w:tcMar>
          </w:tcPr>
          <w:p w14:paraId="64402247" w14:textId="77777777" w:rsidR="00DB6835" w:rsidRDefault="00DB6835" w:rsidP="00A9140F">
            <w:pPr>
              <w:pStyle w:val="AnnexTableCellLeft"/>
            </w:pPr>
            <w:r>
              <w:t>Ekki valda umtalsverðu tjóni</w:t>
            </w:r>
          </w:p>
        </w:tc>
      </w:tr>
      <w:tr w:rsidR="00DB6835" w14:paraId="436E38EB" w14:textId="77777777" w:rsidTr="00A9140F">
        <w:trPr>
          <w:trHeight w:val="360"/>
        </w:trPr>
        <w:tc>
          <w:tcPr>
            <w:tcW w:w="2860" w:type="dxa"/>
            <w:tcMar>
              <w:top w:w="100" w:type="dxa"/>
              <w:left w:w="0" w:type="dxa"/>
              <w:bottom w:w="100" w:type="dxa"/>
              <w:right w:w="60" w:type="dxa"/>
            </w:tcMar>
          </w:tcPr>
          <w:p w14:paraId="5FBE1058" w14:textId="77777777" w:rsidR="00DB6835" w:rsidRDefault="00DB6835" w:rsidP="00A9140F">
            <w:pPr>
              <w:pStyle w:val="AnnexNumberedText"/>
            </w:pPr>
            <w:r>
              <w:t>2)</w:t>
            </w:r>
            <w:r>
              <w:tab/>
              <w:t>Aðlögun að loftslagsbreytingum</w:t>
            </w:r>
          </w:p>
        </w:tc>
        <w:tc>
          <w:tcPr>
            <w:tcW w:w="5880" w:type="dxa"/>
            <w:tcMar>
              <w:top w:w="100" w:type="dxa"/>
              <w:left w:w="40" w:type="dxa"/>
              <w:bottom w:w="100" w:type="dxa"/>
              <w:right w:w="0" w:type="dxa"/>
            </w:tcMar>
          </w:tcPr>
          <w:p w14:paraId="1985F755" w14:textId="77777777" w:rsidR="00DB6835" w:rsidRDefault="00DB6835" w:rsidP="00A9140F">
            <w:pPr>
              <w:pStyle w:val="AnnexTableCellLeft"/>
            </w:pPr>
            <w:r>
              <w:t>Starfsemin er í samræmi við viðmiðanirnar sem settar eru fram í viðbæti A við þennan viðauka.</w:t>
            </w:r>
          </w:p>
        </w:tc>
      </w:tr>
      <w:tr w:rsidR="00DB6835" w14:paraId="0E28E13B" w14:textId="77777777" w:rsidTr="00A9140F">
        <w:trPr>
          <w:trHeight w:val="360"/>
        </w:trPr>
        <w:tc>
          <w:tcPr>
            <w:tcW w:w="2860" w:type="dxa"/>
            <w:tcMar>
              <w:top w:w="100" w:type="dxa"/>
              <w:left w:w="0" w:type="dxa"/>
              <w:bottom w:w="100" w:type="dxa"/>
              <w:right w:w="60" w:type="dxa"/>
            </w:tcMar>
          </w:tcPr>
          <w:p w14:paraId="768A5C52" w14:textId="77777777" w:rsidR="00DB6835" w:rsidRDefault="00DB6835" w:rsidP="00A9140F">
            <w:pPr>
              <w:pStyle w:val="AnnexNumberedText"/>
            </w:pPr>
            <w:r>
              <w:t>3)</w:t>
            </w:r>
            <w:r>
              <w:tab/>
              <w:t>Sjálfbær notkun og verndun vatns- og sjávarauðlinda</w:t>
            </w:r>
          </w:p>
        </w:tc>
        <w:tc>
          <w:tcPr>
            <w:tcW w:w="5880" w:type="dxa"/>
            <w:tcMar>
              <w:top w:w="100" w:type="dxa"/>
              <w:left w:w="40" w:type="dxa"/>
              <w:bottom w:w="100" w:type="dxa"/>
              <w:right w:w="0" w:type="dxa"/>
            </w:tcMar>
          </w:tcPr>
          <w:p w14:paraId="3504A489" w14:textId="77777777" w:rsidR="00DB6835" w:rsidRDefault="00DB6835" w:rsidP="00A9140F">
            <w:pPr>
              <w:pStyle w:val="AnnexTableCellLeft"/>
            </w:pPr>
            <w:r>
              <w:t>Á ekki við</w:t>
            </w:r>
          </w:p>
        </w:tc>
      </w:tr>
      <w:tr w:rsidR="00DB6835" w14:paraId="79619A77" w14:textId="77777777" w:rsidTr="00A9140F">
        <w:trPr>
          <w:trHeight w:val="360"/>
        </w:trPr>
        <w:tc>
          <w:tcPr>
            <w:tcW w:w="2860" w:type="dxa"/>
            <w:tcBorders>
              <w:bottom w:val="single" w:sz="4" w:space="0" w:color="auto"/>
            </w:tcBorders>
            <w:tcMar>
              <w:top w:w="100" w:type="dxa"/>
              <w:left w:w="0" w:type="dxa"/>
              <w:bottom w:w="100" w:type="dxa"/>
              <w:right w:w="60" w:type="dxa"/>
            </w:tcMar>
          </w:tcPr>
          <w:p w14:paraId="51555685" w14:textId="77777777" w:rsidR="00DB6835" w:rsidRDefault="00DB6835" w:rsidP="00A9140F">
            <w:pPr>
              <w:pStyle w:val="AnnexNumberedText"/>
            </w:pPr>
            <w:r>
              <w:t>4)</w:t>
            </w:r>
            <w:r>
              <w:tab/>
              <w:t>Umskipti yfir í hringrásarhagkerfi</w:t>
            </w:r>
          </w:p>
        </w:tc>
        <w:tc>
          <w:tcPr>
            <w:tcW w:w="5880" w:type="dxa"/>
            <w:tcBorders>
              <w:bottom w:val="single" w:sz="4" w:space="0" w:color="auto"/>
            </w:tcBorders>
            <w:tcMar>
              <w:top w:w="100" w:type="dxa"/>
              <w:left w:w="40" w:type="dxa"/>
              <w:bottom w:w="100" w:type="dxa"/>
              <w:right w:w="0" w:type="dxa"/>
            </w:tcMar>
          </w:tcPr>
          <w:p w14:paraId="51E50E19" w14:textId="77777777" w:rsidR="00DB6835" w:rsidRDefault="00DB6835" w:rsidP="00A9140F">
            <w:pPr>
              <w:pStyle w:val="AnnexTableCellLeft"/>
              <w:spacing w:after="240"/>
              <w:rPr>
                <w:szCs w:val="18"/>
              </w:rPr>
            </w:pPr>
            <w:r>
              <w:t>Farartæki í flokkum M1 og N1 eru hvort tveggja af eftirfarandi:</w:t>
            </w:r>
          </w:p>
          <w:p w14:paraId="5B5AB07E" w14:textId="77777777" w:rsidR="00DB6835" w:rsidRDefault="00DB6835" w:rsidP="00A9140F">
            <w:pPr>
              <w:pStyle w:val="AnnexNumberedText"/>
              <w:spacing w:after="240"/>
              <w:rPr>
                <w:szCs w:val="18"/>
              </w:rPr>
            </w:pPr>
            <w:r>
              <w:t>a)</w:t>
            </w:r>
            <w:r>
              <w:tab/>
              <w:t>unnt er að endurnota eða endurvinna a.m.k. 85% miðað við þyngd,</w:t>
            </w:r>
          </w:p>
          <w:p w14:paraId="4131C2B1" w14:textId="77777777" w:rsidR="00DB6835" w:rsidRDefault="00DB6835" w:rsidP="00A9140F">
            <w:pPr>
              <w:pStyle w:val="AnnexNumberedText"/>
              <w:spacing w:after="240"/>
              <w:rPr>
                <w:szCs w:val="18"/>
              </w:rPr>
            </w:pPr>
            <w:r>
              <w:t>b)</w:t>
            </w:r>
            <w:r>
              <w:tab/>
              <w:t>unnt er að endurnota eða endurheimta a.m.k. 95% miðað við þyngd (</w:t>
            </w:r>
            <w:r>
              <w:rPr>
                <w:rStyle w:val="Tilvsunneanmlsgrein"/>
                <w:sz w:val="18"/>
                <w:szCs w:val="18"/>
              </w:rPr>
              <w:footnoteReference w:id="251"/>
            </w:r>
            <w:r>
              <w:t>).</w:t>
            </w:r>
          </w:p>
          <w:p w14:paraId="2D06CFE0" w14:textId="77777777" w:rsidR="00DB6835" w:rsidRDefault="00DB6835" w:rsidP="00A9140F">
            <w:pPr>
              <w:pStyle w:val="AnnexTableCellLeft"/>
              <w:spacing w:after="240"/>
            </w:pPr>
            <w:r>
              <w:t>Ráðstafanir til úrgangsstjórnunar eru til staðar, bæði í notkunaráfanganum (viðhald) og þegar flotinn er úr sér genginn, þ.m.t. með endurnotkun og endurvinnslu rafhlaða og rafeindabúnaðar (einkum mikilvægra hráefna í þeim), í samræmi við úrgangsmetakerfið.</w:t>
            </w:r>
          </w:p>
        </w:tc>
      </w:tr>
      <w:tr w:rsidR="00DB6835" w14:paraId="4954C09A" w14:textId="77777777" w:rsidTr="00A9140F">
        <w:trPr>
          <w:trHeight w:val="360"/>
        </w:trPr>
        <w:tc>
          <w:tcPr>
            <w:tcW w:w="2860" w:type="dxa"/>
            <w:tcBorders>
              <w:bottom w:val="nil"/>
            </w:tcBorders>
            <w:tcMar>
              <w:top w:w="100" w:type="dxa"/>
              <w:left w:w="0" w:type="dxa"/>
              <w:bottom w:w="100" w:type="dxa"/>
              <w:right w:w="60" w:type="dxa"/>
            </w:tcMar>
          </w:tcPr>
          <w:p w14:paraId="306FBC1F" w14:textId="77777777" w:rsidR="00DB6835" w:rsidRDefault="00DB6835" w:rsidP="00A9140F">
            <w:pPr>
              <w:pStyle w:val="AnnexNumberedText"/>
            </w:pPr>
            <w:r>
              <w:t>5)</w:t>
            </w:r>
            <w:r>
              <w:tab/>
              <w:t>Mengunarvarnir og eftirlit með mengun</w:t>
            </w:r>
          </w:p>
        </w:tc>
        <w:tc>
          <w:tcPr>
            <w:tcW w:w="5880" w:type="dxa"/>
            <w:tcBorders>
              <w:bottom w:val="nil"/>
            </w:tcBorders>
            <w:tcMar>
              <w:top w:w="100" w:type="dxa"/>
              <w:left w:w="40" w:type="dxa"/>
              <w:bottom w:w="100" w:type="dxa"/>
              <w:right w:w="0" w:type="dxa"/>
            </w:tcMar>
          </w:tcPr>
          <w:p w14:paraId="4990B286" w14:textId="77777777" w:rsidR="00DB6835" w:rsidRDefault="00DB6835" w:rsidP="00A9140F">
            <w:pPr>
              <w:pStyle w:val="AnnexTableCellLeft"/>
              <w:spacing w:after="240"/>
              <w:rPr>
                <w:szCs w:val="18"/>
              </w:rPr>
            </w:pPr>
            <w:r>
              <w:t>Farartæki uppfylla kröfurnar í nýjasta gildandi þrepi Euro 6 gerðarviðurkenningarinnar að því er varðar losun léttra ökutækja (</w:t>
            </w:r>
            <w:r>
              <w:rPr>
                <w:rStyle w:val="Tilvsunneanmlsgrein"/>
                <w:sz w:val="18"/>
                <w:szCs w:val="18"/>
              </w:rPr>
              <w:footnoteReference w:id="252"/>
            </w:r>
            <w:r>
              <w:t>) sem sett er fram í samræmi við reglugerð (EB) nr. 715/2007.</w:t>
            </w:r>
          </w:p>
          <w:p w14:paraId="4F1DA089" w14:textId="77777777" w:rsidR="00DB6835" w:rsidRDefault="00DB6835" w:rsidP="00A9140F">
            <w:pPr>
              <w:pStyle w:val="AnnexTableCellLeft"/>
              <w:spacing w:after="240"/>
              <w:rPr>
                <w:szCs w:val="18"/>
              </w:rPr>
            </w:pPr>
            <w:r>
              <w:t>Farartæki uppfylla losunarmörk fyrir umhverfisvæn létt ökutæki sem sett eru fram í töflu 2 í viðaukanum við tilskipun 2009/33/EB (</w:t>
            </w:r>
            <w:r>
              <w:rPr>
                <w:rStyle w:val="Tilvsunneanmlsgrein"/>
                <w:sz w:val="18"/>
                <w:szCs w:val="18"/>
              </w:rPr>
              <w:footnoteReference w:id="253"/>
            </w:r>
            <w:r>
              <w:t>).</w:t>
            </w:r>
          </w:p>
          <w:p w14:paraId="3EA48A27" w14:textId="77777777" w:rsidR="00DB6835" w:rsidRDefault="00DB6835" w:rsidP="00A9140F">
            <w:pPr>
              <w:pStyle w:val="AnnexTableCellLeft"/>
              <w:spacing w:after="240"/>
            </w:pPr>
            <w:r>
              <w:t xml:space="preserve">Að því er varðar ökutæki á vegum í flokkum M og N uppfylla hjólbarðar kröfur um ytri snúningshávaða í hæsta flokknum sem er í notkun og um </w:t>
            </w:r>
            <w:proofErr w:type="spellStart"/>
            <w:r>
              <w:t>veltiviðnámsstuðul</w:t>
            </w:r>
            <w:proofErr w:type="spellEnd"/>
            <w:r>
              <w:t xml:space="preserve"> (sem hefur áhrif á </w:t>
            </w:r>
            <w:proofErr w:type="spellStart"/>
            <w:r>
              <w:t>orkunýtni</w:t>
            </w:r>
            <w:proofErr w:type="spellEnd"/>
            <w:r>
              <w:t xml:space="preserve"> farartækisins) í tveimur hæstu flokkunum sem eru í notkun, eins og sett er fram í reglugerð (ESB) 2020/740, og eins og unnt er að sannreyna í Evrópsku vöruskránni fyrir orkumerkingar (EPREL).</w:t>
            </w:r>
          </w:p>
        </w:tc>
      </w:tr>
      <w:tr w:rsidR="00DB6835" w14:paraId="09E7CB20" w14:textId="77777777" w:rsidTr="00A9140F">
        <w:trPr>
          <w:trHeight w:val="240"/>
        </w:trPr>
        <w:tc>
          <w:tcPr>
            <w:tcW w:w="2860" w:type="dxa"/>
            <w:tcBorders>
              <w:top w:val="single" w:sz="4" w:space="0" w:color="auto"/>
            </w:tcBorders>
            <w:tcMar>
              <w:top w:w="100" w:type="dxa"/>
              <w:left w:w="0" w:type="dxa"/>
              <w:bottom w:w="100" w:type="dxa"/>
              <w:right w:w="60" w:type="dxa"/>
            </w:tcMar>
          </w:tcPr>
          <w:p w14:paraId="536DA3E5" w14:textId="77777777" w:rsidR="00DB6835" w:rsidRDefault="00DB6835" w:rsidP="00A9140F">
            <w:pPr>
              <w:pStyle w:val="AnnexTableCellLeft"/>
              <w:pageBreakBefore/>
            </w:pPr>
          </w:p>
        </w:tc>
        <w:tc>
          <w:tcPr>
            <w:tcW w:w="5880" w:type="dxa"/>
            <w:tcBorders>
              <w:top w:val="single" w:sz="4" w:space="0" w:color="auto"/>
            </w:tcBorders>
            <w:tcMar>
              <w:top w:w="100" w:type="dxa"/>
              <w:left w:w="40" w:type="dxa"/>
              <w:bottom w:w="100" w:type="dxa"/>
              <w:right w:w="0" w:type="dxa"/>
            </w:tcMar>
          </w:tcPr>
          <w:p w14:paraId="30355AC4" w14:textId="77777777" w:rsidR="00DB6835" w:rsidRDefault="00DB6835" w:rsidP="00A9140F">
            <w:pPr>
              <w:pStyle w:val="AnnexTableCellLeft"/>
            </w:pPr>
            <w:r>
              <w:t>Farartæki eru í samræmi við reglugerð Evrópuþingsins og ráðsins (ESB) nr. 540/2014 (</w:t>
            </w:r>
            <w:r>
              <w:rPr>
                <w:rStyle w:val="Tilvsunneanmlsgrein"/>
                <w:sz w:val="18"/>
                <w:szCs w:val="18"/>
              </w:rPr>
              <w:footnoteReference w:id="254"/>
            </w:r>
            <w:r>
              <w:t>).</w:t>
            </w:r>
          </w:p>
        </w:tc>
      </w:tr>
      <w:tr w:rsidR="00DB6835" w14:paraId="7868F46F" w14:textId="77777777" w:rsidTr="00A9140F">
        <w:trPr>
          <w:trHeight w:val="360"/>
        </w:trPr>
        <w:tc>
          <w:tcPr>
            <w:tcW w:w="2860" w:type="dxa"/>
            <w:tcMar>
              <w:top w:w="100" w:type="dxa"/>
              <w:left w:w="0" w:type="dxa"/>
              <w:bottom w:w="100" w:type="dxa"/>
              <w:right w:w="60" w:type="dxa"/>
            </w:tcMar>
          </w:tcPr>
          <w:p w14:paraId="1C684DC3" w14:textId="77777777" w:rsidR="00DB6835" w:rsidRDefault="00DB6835" w:rsidP="00A9140F">
            <w:pPr>
              <w:pStyle w:val="AnnexNumberedText"/>
            </w:pPr>
            <w:r>
              <w:t>6)</w:t>
            </w:r>
            <w:r>
              <w:tab/>
              <w:t>Vernd og endurheimt líffræðilegrar fjölbreytni og vistkerfa</w:t>
            </w:r>
          </w:p>
        </w:tc>
        <w:tc>
          <w:tcPr>
            <w:tcW w:w="5880" w:type="dxa"/>
            <w:tcMar>
              <w:top w:w="100" w:type="dxa"/>
              <w:left w:w="40" w:type="dxa"/>
              <w:bottom w:w="100" w:type="dxa"/>
              <w:right w:w="0" w:type="dxa"/>
            </w:tcMar>
          </w:tcPr>
          <w:p w14:paraId="687C0216" w14:textId="77777777" w:rsidR="00DB6835" w:rsidRDefault="00DB6835" w:rsidP="00A9140F">
            <w:pPr>
              <w:pStyle w:val="AnnexTableCellLeft"/>
            </w:pPr>
            <w:r>
              <w:t>Á ekki við</w:t>
            </w:r>
          </w:p>
        </w:tc>
      </w:tr>
    </w:tbl>
    <w:p w14:paraId="6D763C7C" w14:textId="77777777" w:rsidR="00DB6835" w:rsidRDefault="00DB6835" w:rsidP="00DB6835">
      <w:pPr>
        <w:pStyle w:val="AnnexNumberedText"/>
        <w:spacing w:before="200" w:after="280"/>
        <w:ind w:left="500" w:hanging="500"/>
      </w:pPr>
      <w:r>
        <w:t>6.6.</w:t>
      </w:r>
      <w:r>
        <w:rPr>
          <w:b/>
        </w:rPr>
        <w:tab/>
        <w:t>Vöruflutningaþjónusta á vegum</w:t>
      </w:r>
    </w:p>
    <w:p w14:paraId="6BFB4C1E" w14:textId="77777777" w:rsidR="00DB6835" w:rsidRDefault="00DB6835" w:rsidP="00DB6835">
      <w:pPr>
        <w:pStyle w:val="AnnexGrSeq3"/>
        <w:spacing w:after="280"/>
        <w:ind w:left="500"/>
        <w:jc w:val="both"/>
        <w:rPr>
          <w:szCs w:val="18"/>
        </w:rPr>
      </w:pPr>
      <w:r>
        <w:rPr>
          <w:i/>
        </w:rPr>
        <w:t>Lýsing á starfseminni</w:t>
      </w:r>
    </w:p>
    <w:p w14:paraId="22A40A78" w14:textId="77777777" w:rsidR="00DB6835" w:rsidRDefault="00DB6835" w:rsidP="00DB6835">
      <w:pPr>
        <w:pStyle w:val="AnnexNormal"/>
        <w:spacing w:after="280"/>
        <w:ind w:left="500"/>
        <w:rPr>
          <w:szCs w:val="18"/>
        </w:rPr>
      </w:pPr>
      <w:r>
        <w:t xml:space="preserve">Kaup, fjármögnun, eignarleiga, leiga og </w:t>
      </w:r>
      <w:proofErr w:type="spellStart"/>
      <w:r>
        <w:t>starfræksla</w:t>
      </w:r>
      <w:proofErr w:type="spellEnd"/>
      <w:r>
        <w:t xml:space="preserve"> farartækja sem tilheyra flokki N1, N2 (</w:t>
      </w:r>
      <w:bookmarkStart w:id="40" w:name="NOTE_254"/>
      <w:r>
        <w:rPr>
          <w:rStyle w:val="Tilvsunneanmlsgrein"/>
          <w:sz w:val="18"/>
          <w:szCs w:val="18"/>
        </w:rPr>
        <w:footnoteReference w:id="255"/>
      </w:r>
      <w:bookmarkEnd w:id="40"/>
      <w:r>
        <w:t>) eða N3 (</w:t>
      </w:r>
      <w:bookmarkStart w:id="41" w:name="NOTE_255"/>
      <w:r>
        <w:rPr>
          <w:rStyle w:val="Tilvsunneanmlsgrein"/>
          <w:sz w:val="18"/>
          <w:szCs w:val="18"/>
        </w:rPr>
        <w:footnoteReference w:id="256"/>
      </w:r>
      <w:bookmarkEnd w:id="41"/>
      <w:r>
        <w:t>) sem falla undir gildissvið EURO VI (</w:t>
      </w:r>
      <w:bookmarkStart w:id="42" w:name="NOTE_256"/>
      <w:r>
        <w:rPr>
          <w:rStyle w:val="Tilvsunneanmlsgrein"/>
          <w:sz w:val="18"/>
          <w:szCs w:val="18"/>
        </w:rPr>
        <w:footnoteReference w:id="257"/>
      </w:r>
      <w:bookmarkEnd w:id="42"/>
      <w:r>
        <w:t>), þrep E eða arftaka þess, fyrir vöruflutningaþjónustu á vegum.</w:t>
      </w:r>
    </w:p>
    <w:p w14:paraId="0A3262E8" w14:textId="77777777" w:rsidR="00DB6835" w:rsidRDefault="00DB6835" w:rsidP="00DB6835">
      <w:pPr>
        <w:pStyle w:val="AnnexNormal"/>
        <w:spacing w:after="280"/>
        <w:ind w:left="500"/>
        <w:rPr>
          <w:szCs w:val="18"/>
        </w:rPr>
      </w:pPr>
      <w:r>
        <w:t>Atvinnustarfsemin í þessum flokki gæti tengst nokkrum kóðum atvinnugreinaflokkunar Evrópusambandsins, einkum H49.4.1, H53.10, H53.20 og N77.12, í samræmi við atvinnugreinaflokkunina sem komið var á með reglugerð (EB) nr. 1893/2006.</w:t>
      </w:r>
    </w:p>
    <w:p w14:paraId="4A09126E" w14:textId="77777777" w:rsidR="00DB6835" w:rsidRDefault="00DB6835" w:rsidP="00DB6835">
      <w:pPr>
        <w:pStyle w:val="AnnexNormal"/>
        <w:spacing w:after="280"/>
        <w:ind w:left="500"/>
        <w:rPr>
          <w:szCs w:val="18"/>
        </w:rPr>
      </w:pPr>
      <w:r>
        <w:t xml:space="preserve">Ef atvinnustarfsemi í þessum flokki uppfyllir ekki viðmiðunina um verulegt framlag sem er tilgreind í a-lið 1. liðar, </w:t>
      </w:r>
      <w:proofErr w:type="spellStart"/>
      <w:r>
        <w:t>b-lið</w:t>
      </w:r>
      <w:proofErr w:type="spellEnd"/>
      <w:r>
        <w:t xml:space="preserve"> 1. liðar eða i. lið </w:t>
      </w:r>
      <w:proofErr w:type="spellStart"/>
      <w:r>
        <w:t>c-liðar</w:t>
      </w:r>
      <w:proofErr w:type="spellEnd"/>
      <w:r>
        <w:t xml:space="preserve"> í 1. lið þessa þáttar er starfsemin umbreytingarstarfsemi, eins og um getur í 2. mgr. 10. gr. reglugerðar (ESB) 2020/852, að því tilskildu að hún uppfylli eftirstandandi tæknileg matsviðmið sem sett eru fram í þessum þætti.</w:t>
      </w:r>
    </w:p>
    <w:p w14:paraId="5914EFFC" w14:textId="77777777" w:rsidR="00DB6835" w:rsidRDefault="00DB6835" w:rsidP="00DB6835">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84"/>
        <w:gridCol w:w="5856"/>
      </w:tblGrid>
      <w:tr w:rsidR="00DB6835" w14:paraId="36CEF637" w14:textId="77777777" w:rsidTr="00A9140F">
        <w:trPr>
          <w:trHeight w:val="240"/>
        </w:trPr>
        <w:tc>
          <w:tcPr>
            <w:tcW w:w="8740" w:type="dxa"/>
            <w:gridSpan w:val="2"/>
            <w:tcMar>
              <w:top w:w="100" w:type="dxa"/>
              <w:left w:w="0" w:type="dxa"/>
              <w:bottom w:w="100" w:type="dxa"/>
              <w:right w:w="60" w:type="dxa"/>
            </w:tcMar>
          </w:tcPr>
          <w:p w14:paraId="13477137"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3EF74FC" w14:textId="77777777" w:rsidTr="00A9140F">
        <w:trPr>
          <w:trHeight w:val="360"/>
        </w:trPr>
        <w:tc>
          <w:tcPr>
            <w:tcW w:w="8740" w:type="dxa"/>
            <w:gridSpan w:val="2"/>
            <w:tcMar>
              <w:top w:w="100" w:type="dxa"/>
              <w:left w:w="0" w:type="dxa"/>
              <w:bottom w:w="100" w:type="dxa"/>
              <w:right w:w="60" w:type="dxa"/>
            </w:tcMar>
          </w:tcPr>
          <w:p w14:paraId="3CC86E67" w14:textId="77777777" w:rsidR="00DB6835" w:rsidRDefault="00DB6835" w:rsidP="00A9140F">
            <w:pPr>
              <w:pStyle w:val="AnnexNumberedText"/>
              <w:spacing w:after="240"/>
            </w:pPr>
            <w:r>
              <w:t>1.</w:t>
            </w:r>
            <w:r>
              <w:tab/>
              <w:t>Starfsemin er í samræmi við eina af eftirfarandi viðmiðunum:</w:t>
            </w:r>
          </w:p>
          <w:p w14:paraId="704037C3" w14:textId="77777777" w:rsidR="00DB6835" w:rsidRDefault="00DB6835" w:rsidP="00A9140F">
            <w:pPr>
              <w:pStyle w:val="AnnexNumberedText"/>
              <w:spacing w:after="240"/>
            </w:pPr>
            <w:r>
              <w:t>a)</w:t>
            </w:r>
            <w:r>
              <w:tab/>
              <w:t>farartæki í flokki N1 eru ekki með neina beina koltvísýringslosun (gegnum útblástursrör),</w:t>
            </w:r>
          </w:p>
          <w:p w14:paraId="6AA82594" w14:textId="77777777" w:rsidR="00DB6835" w:rsidRDefault="00DB6835" w:rsidP="00A9140F">
            <w:pPr>
              <w:pStyle w:val="AnnexNumberedText"/>
              <w:spacing w:after="240"/>
            </w:pPr>
            <w:r>
              <w:t>b)</w:t>
            </w:r>
            <w:r>
              <w:tab/>
              <w:t>farartæki í flokki N2 og N3, með tæknilega leyfilegan hámarksmassa með hleðslu að hámarki 7,5 tonn, eru „þung ökutæki með engri losun“, eins og skilgreint er í 11. lið 3. gr. reglugerðar (ESB) 2019/1242,</w:t>
            </w:r>
          </w:p>
          <w:p w14:paraId="4FB694C7" w14:textId="77777777" w:rsidR="00DB6835" w:rsidRDefault="00DB6835" w:rsidP="00A9140F">
            <w:pPr>
              <w:pStyle w:val="AnnexNumberedText"/>
              <w:spacing w:after="240"/>
            </w:pPr>
            <w:r>
              <w:t>c)</w:t>
            </w:r>
            <w:r>
              <w:tab/>
              <w:t>farartæki í flokki N2 og N3, með tæknilega leyfilegan hámarksmassa með hleðslu umfram 7,5 tonn, eru eitt af eftirfarandi:</w:t>
            </w:r>
          </w:p>
          <w:p w14:paraId="2A76735B" w14:textId="77777777" w:rsidR="00DB6835" w:rsidRDefault="00DB6835" w:rsidP="00A9140F">
            <w:pPr>
              <w:pStyle w:val="AnnexNumberedText"/>
              <w:spacing w:after="240"/>
              <w:ind w:left="600"/>
            </w:pPr>
            <w:r>
              <w:t>i.</w:t>
            </w:r>
            <w:r>
              <w:tab/>
              <w:t>„þung ökutæki með engri losun“ eins og skilgreint er í 11. lið 3. gr. reglugerðar (ESB) 2019/1242,</w:t>
            </w:r>
          </w:p>
          <w:p w14:paraId="1D343477" w14:textId="77777777" w:rsidR="00DB6835" w:rsidRDefault="00DB6835" w:rsidP="00A9140F">
            <w:pPr>
              <w:pStyle w:val="AnnexNumberedText"/>
              <w:spacing w:after="240"/>
              <w:ind w:left="600"/>
            </w:pPr>
            <w:r>
              <w:t>ii.</w:t>
            </w:r>
            <w:r>
              <w:tab/>
              <w:t>ef ekki er tæknilega og fjárhagslega mögulegt að uppfylla viðmiðunina í i. lið, „þung ökutæki með lítilli losun“ eins og skilgreint er í 12. lið 3. gr. þeirrar reglugerðar.</w:t>
            </w:r>
          </w:p>
          <w:p w14:paraId="76CD7ADD" w14:textId="77777777" w:rsidR="00DB6835" w:rsidRDefault="00DB6835" w:rsidP="00A9140F">
            <w:pPr>
              <w:pStyle w:val="AnnexNumberedText"/>
              <w:spacing w:after="240"/>
              <w:ind w:left="279" w:hanging="279"/>
            </w:pPr>
            <w:r>
              <w:t>2.</w:t>
            </w:r>
            <w:r>
              <w:tab/>
              <w:t>Farartækin eru ekki ætluð til flutninga á jarðefnaeldsneyti.</w:t>
            </w:r>
          </w:p>
        </w:tc>
      </w:tr>
      <w:tr w:rsidR="00DB6835" w14:paraId="29A6D955" w14:textId="77777777" w:rsidTr="00A9140F">
        <w:trPr>
          <w:trHeight w:val="240"/>
        </w:trPr>
        <w:tc>
          <w:tcPr>
            <w:tcW w:w="8740" w:type="dxa"/>
            <w:gridSpan w:val="2"/>
            <w:tcMar>
              <w:top w:w="100" w:type="dxa"/>
              <w:left w:w="0" w:type="dxa"/>
              <w:bottom w:w="100" w:type="dxa"/>
              <w:right w:w="60" w:type="dxa"/>
            </w:tcMar>
          </w:tcPr>
          <w:p w14:paraId="5467B565" w14:textId="77777777" w:rsidR="00DB6835" w:rsidRDefault="00DB6835" w:rsidP="00A9140F">
            <w:pPr>
              <w:pStyle w:val="AnnexTableCellLeft"/>
            </w:pPr>
            <w:r>
              <w:t>Ekki valda umtalsverðu tjóni</w:t>
            </w:r>
          </w:p>
        </w:tc>
      </w:tr>
      <w:tr w:rsidR="00DB6835" w14:paraId="49316A7C" w14:textId="77777777" w:rsidTr="00A9140F">
        <w:trPr>
          <w:trHeight w:val="360"/>
        </w:trPr>
        <w:tc>
          <w:tcPr>
            <w:tcW w:w="2884" w:type="dxa"/>
            <w:tcMar>
              <w:top w:w="100" w:type="dxa"/>
              <w:left w:w="0" w:type="dxa"/>
              <w:bottom w:w="100" w:type="dxa"/>
              <w:right w:w="60" w:type="dxa"/>
            </w:tcMar>
          </w:tcPr>
          <w:p w14:paraId="00EC4C1A" w14:textId="77777777" w:rsidR="00DB6835" w:rsidRDefault="00DB6835" w:rsidP="00A9140F">
            <w:pPr>
              <w:pStyle w:val="AnnexNumberedText"/>
            </w:pPr>
            <w:r>
              <w:t>2)</w:t>
            </w:r>
            <w:r>
              <w:tab/>
              <w:t>Aðlögun að loftslagsbreytingum</w:t>
            </w:r>
          </w:p>
        </w:tc>
        <w:tc>
          <w:tcPr>
            <w:tcW w:w="5856" w:type="dxa"/>
            <w:tcMar>
              <w:top w:w="100" w:type="dxa"/>
              <w:left w:w="40" w:type="dxa"/>
              <w:bottom w:w="100" w:type="dxa"/>
              <w:right w:w="0" w:type="dxa"/>
            </w:tcMar>
          </w:tcPr>
          <w:p w14:paraId="04303A18" w14:textId="77777777" w:rsidR="00DB6835" w:rsidRDefault="00DB6835" w:rsidP="00A9140F">
            <w:pPr>
              <w:pStyle w:val="AnnexTableCellLeft"/>
            </w:pPr>
            <w:r>
              <w:t>Starfsemin er í samræmi við viðmiðanirnar sem settar eru fram í viðbæti A við þennan viðauka.</w:t>
            </w:r>
          </w:p>
        </w:tc>
      </w:tr>
      <w:tr w:rsidR="00DB6835" w14:paraId="06298164" w14:textId="77777777" w:rsidTr="00A9140F">
        <w:trPr>
          <w:trHeight w:val="360"/>
        </w:trPr>
        <w:tc>
          <w:tcPr>
            <w:tcW w:w="2884" w:type="dxa"/>
            <w:tcMar>
              <w:top w:w="100" w:type="dxa"/>
              <w:left w:w="0" w:type="dxa"/>
              <w:bottom w:w="100" w:type="dxa"/>
              <w:right w:w="60" w:type="dxa"/>
            </w:tcMar>
          </w:tcPr>
          <w:p w14:paraId="07CEEC21" w14:textId="77777777" w:rsidR="00DB6835" w:rsidRDefault="00DB6835" w:rsidP="00A9140F">
            <w:pPr>
              <w:pStyle w:val="AnnexNumberedText"/>
            </w:pPr>
            <w:r>
              <w:t>3)</w:t>
            </w:r>
            <w:r>
              <w:tab/>
              <w:t xml:space="preserve">Sjálfbær notkun og verndun vatns- </w:t>
            </w:r>
            <w:r>
              <w:lastRenderedPageBreak/>
              <w:t>og sjávarauðlinda</w:t>
            </w:r>
          </w:p>
        </w:tc>
        <w:tc>
          <w:tcPr>
            <w:tcW w:w="5856" w:type="dxa"/>
            <w:tcMar>
              <w:top w:w="100" w:type="dxa"/>
              <w:left w:w="40" w:type="dxa"/>
              <w:bottom w:w="100" w:type="dxa"/>
              <w:right w:w="0" w:type="dxa"/>
            </w:tcMar>
          </w:tcPr>
          <w:p w14:paraId="28455062" w14:textId="77777777" w:rsidR="00DB6835" w:rsidRDefault="00DB6835" w:rsidP="00A9140F">
            <w:pPr>
              <w:pStyle w:val="AnnexTableCellLeft"/>
            </w:pPr>
            <w:r>
              <w:lastRenderedPageBreak/>
              <w:t>Á ekki við</w:t>
            </w:r>
          </w:p>
        </w:tc>
      </w:tr>
      <w:tr w:rsidR="00DB6835" w14:paraId="69542BF8" w14:textId="77777777" w:rsidTr="00A9140F">
        <w:trPr>
          <w:trHeight w:val="360"/>
        </w:trPr>
        <w:tc>
          <w:tcPr>
            <w:tcW w:w="2884" w:type="dxa"/>
            <w:tcMar>
              <w:top w:w="100" w:type="dxa"/>
              <w:left w:w="0" w:type="dxa"/>
              <w:bottom w:w="100" w:type="dxa"/>
              <w:right w:w="60" w:type="dxa"/>
            </w:tcMar>
          </w:tcPr>
          <w:p w14:paraId="01559F3E" w14:textId="77777777" w:rsidR="00DB6835" w:rsidRDefault="00DB6835" w:rsidP="00A9140F">
            <w:pPr>
              <w:pStyle w:val="AnnexNumberedText"/>
              <w:pageBreakBefore/>
            </w:pPr>
            <w:r>
              <w:lastRenderedPageBreak/>
              <w:t>4)</w:t>
            </w:r>
            <w:r>
              <w:tab/>
              <w:t>Umskipti yfir í hringrásarhagkerfi</w:t>
            </w:r>
          </w:p>
        </w:tc>
        <w:tc>
          <w:tcPr>
            <w:tcW w:w="5856" w:type="dxa"/>
            <w:tcMar>
              <w:top w:w="100" w:type="dxa"/>
              <w:left w:w="40" w:type="dxa"/>
              <w:bottom w:w="100" w:type="dxa"/>
              <w:right w:w="0" w:type="dxa"/>
            </w:tcMar>
          </w:tcPr>
          <w:p w14:paraId="4CCAACB1" w14:textId="77777777" w:rsidR="00DB6835" w:rsidRDefault="00DB6835" w:rsidP="00A9140F">
            <w:pPr>
              <w:pStyle w:val="AnnexTableCellLeft"/>
              <w:spacing w:after="200"/>
              <w:rPr>
                <w:szCs w:val="18"/>
              </w:rPr>
            </w:pPr>
            <w:r>
              <w:t>Farartæki í flokkum N1, N2 og N3 eru hvort tveggja af eftirfarandi:</w:t>
            </w:r>
          </w:p>
          <w:p w14:paraId="164FF1B9" w14:textId="77777777" w:rsidR="00DB6835" w:rsidRDefault="00DB6835" w:rsidP="00A9140F">
            <w:pPr>
              <w:pStyle w:val="AnnexNumberedText"/>
              <w:spacing w:after="200"/>
              <w:rPr>
                <w:szCs w:val="18"/>
              </w:rPr>
            </w:pPr>
            <w:r>
              <w:t>a)</w:t>
            </w:r>
            <w:r>
              <w:tab/>
              <w:t>unnt er að endurnota eða endurvinna a.m.k. 85% miðað við þyngd,</w:t>
            </w:r>
          </w:p>
          <w:p w14:paraId="13F908F9" w14:textId="77777777" w:rsidR="00DB6835" w:rsidRDefault="00DB6835" w:rsidP="00A9140F">
            <w:pPr>
              <w:pStyle w:val="AnnexNumberedText"/>
              <w:spacing w:after="200"/>
              <w:rPr>
                <w:szCs w:val="18"/>
              </w:rPr>
            </w:pPr>
            <w:r>
              <w:t>b)</w:t>
            </w:r>
            <w:r>
              <w:tab/>
              <w:t>unnt er að endurnota eða endurheimta a.m.k. 95% miðað við þyngd (</w:t>
            </w:r>
            <w:r>
              <w:rPr>
                <w:rStyle w:val="Tilvsunneanmlsgrein"/>
                <w:sz w:val="18"/>
                <w:szCs w:val="18"/>
              </w:rPr>
              <w:footnoteReference w:id="258"/>
            </w:r>
            <w:r>
              <w:t>).</w:t>
            </w:r>
          </w:p>
          <w:p w14:paraId="53D9E5DD" w14:textId="77777777" w:rsidR="00DB6835" w:rsidRDefault="00DB6835" w:rsidP="00A9140F">
            <w:pPr>
              <w:pStyle w:val="AnnexTableCellLeft"/>
              <w:spacing w:after="200"/>
              <w:rPr>
                <w:szCs w:val="18"/>
              </w:rPr>
            </w:pPr>
            <w:r>
              <w:t>Ráðstafanir til úrgangsstjórnunar eru til staðar, bæði í notkunaráfanganum (viðhald) og þegar flotinn er úr sér genginn, þ.m.t. með endurnotkun og endurvinnslu rafhlaða og rafeindabúnaðar (einkum mikilvægra hráefna í þeim), í samræmi við úrgangsmetakerfið.</w:t>
            </w:r>
          </w:p>
        </w:tc>
      </w:tr>
      <w:tr w:rsidR="00DB6835" w14:paraId="2A75B9D9" w14:textId="77777777" w:rsidTr="00A9140F">
        <w:trPr>
          <w:trHeight w:val="360"/>
        </w:trPr>
        <w:tc>
          <w:tcPr>
            <w:tcW w:w="2884" w:type="dxa"/>
            <w:tcMar>
              <w:top w:w="100" w:type="dxa"/>
              <w:left w:w="0" w:type="dxa"/>
              <w:bottom w:w="100" w:type="dxa"/>
              <w:right w:w="60" w:type="dxa"/>
            </w:tcMar>
          </w:tcPr>
          <w:p w14:paraId="5D27BD62" w14:textId="77777777" w:rsidR="00DB6835" w:rsidRDefault="00DB6835" w:rsidP="00A9140F">
            <w:pPr>
              <w:pStyle w:val="AnnexNumberedText"/>
            </w:pPr>
            <w:r>
              <w:t>5)</w:t>
            </w:r>
            <w:r>
              <w:tab/>
              <w:t>Mengunarvarnir og eftirlit með mengun</w:t>
            </w:r>
          </w:p>
        </w:tc>
        <w:tc>
          <w:tcPr>
            <w:tcW w:w="5856" w:type="dxa"/>
            <w:tcMar>
              <w:top w:w="100" w:type="dxa"/>
              <w:left w:w="40" w:type="dxa"/>
              <w:bottom w:w="100" w:type="dxa"/>
              <w:right w:w="0" w:type="dxa"/>
            </w:tcMar>
          </w:tcPr>
          <w:p w14:paraId="58992ED8" w14:textId="77777777" w:rsidR="00DB6835" w:rsidRDefault="00DB6835" w:rsidP="00A9140F">
            <w:pPr>
              <w:pStyle w:val="AnnexTableCellLeft"/>
              <w:spacing w:after="200"/>
              <w:rPr>
                <w:szCs w:val="18"/>
              </w:rPr>
            </w:pPr>
            <w:r>
              <w:t xml:space="preserve">Að því er varðar ökutæki á vegum í flokkum M og N uppfylla hjólbarðar kröfur um ytri snúningshávaða í hæsta flokknum sem er í notkun og um </w:t>
            </w:r>
            <w:proofErr w:type="spellStart"/>
            <w:r>
              <w:t>veltiviðnámsstuðul</w:t>
            </w:r>
            <w:proofErr w:type="spellEnd"/>
            <w:r>
              <w:t xml:space="preserve"> (sem hefur áhrif á </w:t>
            </w:r>
            <w:proofErr w:type="spellStart"/>
            <w:r>
              <w:t>orkunýtni</w:t>
            </w:r>
            <w:proofErr w:type="spellEnd"/>
            <w:r>
              <w:t xml:space="preserve"> farartækisins) í tveimur hæstu flokkunum sem eru í notkun, eins og sett er fram í reglugerð (ESB) 2020/740, og eins og unnt er að sannreyna í Evrópsku vöruskránni fyrir orkumerkingar (EPREL). Farartæki uppfylla kröfurnar í nýjasta gildandi þrepi Euro VI gerðarviðurkenningarinnar að því er varðar losun þungra ökutækja (</w:t>
            </w:r>
            <w:r>
              <w:rPr>
                <w:rStyle w:val="Tilvsunneanmlsgrein"/>
                <w:sz w:val="18"/>
                <w:szCs w:val="18"/>
              </w:rPr>
              <w:footnoteReference w:id="259"/>
            </w:r>
            <w:r>
              <w:t>) sem sett er fram í samræmi við reglugerð (EB) nr. 595/2009.</w:t>
            </w:r>
          </w:p>
          <w:p w14:paraId="07A6F0EF" w14:textId="77777777" w:rsidR="00DB6835" w:rsidRDefault="00DB6835" w:rsidP="00A9140F">
            <w:pPr>
              <w:pStyle w:val="AnnexTableCellLeft"/>
              <w:spacing w:after="200"/>
              <w:rPr>
                <w:szCs w:val="18"/>
              </w:rPr>
            </w:pPr>
            <w:r>
              <w:t>Farartæki eru í samræmi við reglugerð (ESB) nr. 540/2014.</w:t>
            </w:r>
          </w:p>
        </w:tc>
      </w:tr>
      <w:tr w:rsidR="00DB6835" w14:paraId="4ADC181C" w14:textId="77777777" w:rsidTr="00A9140F">
        <w:trPr>
          <w:trHeight w:val="360"/>
        </w:trPr>
        <w:tc>
          <w:tcPr>
            <w:tcW w:w="2884" w:type="dxa"/>
            <w:tcMar>
              <w:top w:w="100" w:type="dxa"/>
              <w:left w:w="0" w:type="dxa"/>
              <w:bottom w:w="100" w:type="dxa"/>
              <w:right w:w="60" w:type="dxa"/>
            </w:tcMar>
          </w:tcPr>
          <w:p w14:paraId="01677614" w14:textId="77777777" w:rsidR="00DB6835" w:rsidRDefault="00DB6835" w:rsidP="00A9140F">
            <w:pPr>
              <w:pStyle w:val="AnnexNumberedText"/>
            </w:pPr>
            <w:r>
              <w:t>6)</w:t>
            </w:r>
            <w:r>
              <w:tab/>
              <w:t>Vernd og endurheimt líffræðilegrar fjölbreytni og vistkerfa</w:t>
            </w:r>
          </w:p>
        </w:tc>
        <w:tc>
          <w:tcPr>
            <w:tcW w:w="5856" w:type="dxa"/>
            <w:tcMar>
              <w:top w:w="100" w:type="dxa"/>
              <w:left w:w="40" w:type="dxa"/>
              <w:bottom w:w="100" w:type="dxa"/>
              <w:right w:w="0" w:type="dxa"/>
            </w:tcMar>
          </w:tcPr>
          <w:p w14:paraId="7929923D" w14:textId="77777777" w:rsidR="00DB6835" w:rsidRDefault="00DB6835" w:rsidP="00A9140F">
            <w:pPr>
              <w:pStyle w:val="AnnexTableCellLeft"/>
            </w:pPr>
            <w:r>
              <w:t>Á ekki við</w:t>
            </w:r>
          </w:p>
        </w:tc>
      </w:tr>
    </w:tbl>
    <w:p w14:paraId="7895C967" w14:textId="77777777" w:rsidR="00DB6835" w:rsidRDefault="00DB6835" w:rsidP="00DB6835">
      <w:pPr>
        <w:pStyle w:val="AnnexNumberedText"/>
        <w:spacing w:before="200" w:after="160"/>
        <w:ind w:left="500" w:hanging="500"/>
      </w:pPr>
      <w:r>
        <w:t>6.7.</w:t>
      </w:r>
      <w:r>
        <w:rPr>
          <w:b/>
        </w:rPr>
        <w:tab/>
        <w:t>Farþegaflutningar á skipgengum vatnaleiðum</w:t>
      </w:r>
    </w:p>
    <w:p w14:paraId="255C6F74" w14:textId="77777777" w:rsidR="00DB6835" w:rsidRDefault="00DB6835" w:rsidP="00DB6835">
      <w:pPr>
        <w:pStyle w:val="AnnexGrSeq3"/>
        <w:spacing w:after="160"/>
        <w:ind w:left="500"/>
        <w:jc w:val="both"/>
      </w:pPr>
      <w:r>
        <w:rPr>
          <w:i/>
        </w:rPr>
        <w:t>Lýsing á starfseminni</w:t>
      </w:r>
    </w:p>
    <w:p w14:paraId="662C7281" w14:textId="77777777" w:rsidR="00DB6835" w:rsidRDefault="00DB6835" w:rsidP="00DB6835">
      <w:pPr>
        <w:pStyle w:val="AnnexNormal"/>
        <w:spacing w:after="160"/>
        <w:ind w:left="500"/>
      </w:pPr>
      <w:r>
        <w:t xml:space="preserve">Kaup, fjármögnun, eignarleiga, leiga og </w:t>
      </w:r>
      <w:proofErr w:type="spellStart"/>
      <w:r>
        <w:t>starfræksla</w:t>
      </w:r>
      <w:proofErr w:type="spellEnd"/>
      <w:r>
        <w:t xml:space="preserve"> farþegaskipa eftir skipgengum vatnaleiðum með skipum sem henta ekki til sjóflutninga.</w:t>
      </w:r>
    </w:p>
    <w:p w14:paraId="5231B600" w14:textId="77777777" w:rsidR="00DB6835" w:rsidRDefault="00DB6835" w:rsidP="00DB6835">
      <w:pPr>
        <w:pStyle w:val="AnnexNormal"/>
        <w:spacing w:after="160"/>
        <w:ind w:left="500"/>
      </w:pPr>
      <w:r>
        <w:t>Atvinnustarfsemin í þessum flokki gæti tengst kóða atvinnugreinaflokkunar Evrópusambandsins H50.30 í samræmi við atvinnugreinaflokkunina sem komið var á með reglugerð (EB) nr. 1893/2006.</w:t>
      </w:r>
    </w:p>
    <w:p w14:paraId="581FF07F" w14:textId="77777777" w:rsidR="00DB6835" w:rsidRDefault="00DB6835" w:rsidP="00DB6835">
      <w:pPr>
        <w:pStyle w:val="AnnexNormal"/>
        <w:spacing w:after="160"/>
        <w:ind w:left="500"/>
      </w:pPr>
      <w:r>
        <w:t>Ef atvinnustarfsemi í þessum flokki uppfyllir ekki viðmiðunina um verulegt framlag sem er tilgreind í a-lið þessa þáttar er starfsemin umbreytingarstarfsemi, eins og um getur í 2. mgr. 10. gr. reglugerðar (ESB) 2020/852, að því tilskildu að hún uppfylli eftirstandandi tæknileg matsviðmið sem sett eru fram í þessum þætti.</w:t>
      </w:r>
    </w:p>
    <w:p w14:paraId="5C5A1173" w14:textId="77777777" w:rsidR="00DB6835" w:rsidRDefault="00DB6835" w:rsidP="00DB6835">
      <w:pPr>
        <w:pStyle w:val="AnnexGrSeq3"/>
        <w:spacing w:after="160"/>
        <w:ind w:left="500"/>
        <w:jc w:val="both"/>
      </w:pPr>
      <w:r>
        <w:rPr>
          <w:i/>
        </w:rPr>
        <w:t>Tæknileg matsviðmið</w:t>
      </w:r>
    </w:p>
    <w:tbl>
      <w:tblPr>
        <w:tblStyle w:val="EFTATable"/>
        <w:tblW w:w="8740" w:type="dxa"/>
        <w:tblInd w:w="500" w:type="dxa"/>
        <w:tblLook w:val="04A0" w:firstRow="1" w:lastRow="0" w:firstColumn="1" w:lastColumn="0" w:noHBand="0" w:noVBand="1"/>
      </w:tblPr>
      <w:tblGrid>
        <w:gridCol w:w="2788"/>
        <w:gridCol w:w="5952"/>
      </w:tblGrid>
      <w:tr w:rsidR="00DB6835" w14:paraId="1F6B56EE" w14:textId="77777777" w:rsidTr="00A9140F">
        <w:trPr>
          <w:trHeight w:val="240"/>
        </w:trPr>
        <w:tc>
          <w:tcPr>
            <w:tcW w:w="8740" w:type="dxa"/>
            <w:gridSpan w:val="2"/>
            <w:tcMar>
              <w:top w:w="100" w:type="dxa"/>
              <w:left w:w="0" w:type="dxa"/>
              <w:bottom w:w="100" w:type="dxa"/>
              <w:right w:w="60" w:type="dxa"/>
            </w:tcMar>
          </w:tcPr>
          <w:p w14:paraId="065C5667"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108AA895" w14:textId="77777777" w:rsidTr="00A9140F">
        <w:trPr>
          <w:trHeight w:val="480"/>
        </w:trPr>
        <w:tc>
          <w:tcPr>
            <w:tcW w:w="8740" w:type="dxa"/>
            <w:gridSpan w:val="2"/>
            <w:tcMar>
              <w:top w:w="100" w:type="dxa"/>
              <w:left w:w="0" w:type="dxa"/>
              <w:bottom w:w="100" w:type="dxa"/>
              <w:right w:w="60" w:type="dxa"/>
            </w:tcMar>
          </w:tcPr>
          <w:p w14:paraId="73F2B410" w14:textId="77777777" w:rsidR="00DB6835" w:rsidRDefault="00DB6835" w:rsidP="00A9140F">
            <w:pPr>
              <w:pStyle w:val="AnnexTableCellLeft"/>
              <w:spacing w:after="200"/>
            </w:pPr>
            <w:r>
              <w:t>Starfsemin er í samræmi við eina af eftirfarandi viðmiðunum:</w:t>
            </w:r>
          </w:p>
          <w:p w14:paraId="40F2AE37" w14:textId="77777777" w:rsidR="00DB6835" w:rsidRDefault="00DB6835" w:rsidP="00A9140F">
            <w:pPr>
              <w:pStyle w:val="AnnexNumberedText"/>
              <w:spacing w:after="200"/>
            </w:pPr>
            <w:r>
              <w:t>a)</w:t>
            </w:r>
            <w:r>
              <w:tab/>
              <w:t>skipin eru ekki með neina beina koltvísýringslosun (gegnum útblástursrör),</w:t>
            </w:r>
          </w:p>
          <w:p w14:paraId="39125D1B" w14:textId="77777777" w:rsidR="00DB6835" w:rsidRDefault="00DB6835" w:rsidP="00A9140F">
            <w:pPr>
              <w:pStyle w:val="AnnexNumberedText"/>
              <w:spacing w:after="200"/>
            </w:pPr>
            <w:r>
              <w:t>b)</w:t>
            </w:r>
            <w:r>
              <w:tab/>
              <w:t xml:space="preserve">fram til 31. desember 2025, blendingsskip og </w:t>
            </w:r>
            <w:proofErr w:type="spellStart"/>
            <w:r>
              <w:t>tvíbrennieldsneytisskip</w:t>
            </w:r>
            <w:proofErr w:type="spellEnd"/>
            <w:r>
              <w:t xml:space="preserve"> fá a.m.k. 50%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p>
        </w:tc>
      </w:tr>
      <w:tr w:rsidR="00DB6835" w14:paraId="5D3ABA11" w14:textId="77777777" w:rsidTr="00A9140F">
        <w:trPr>
          <w:trHeight w:val="240"/>
        </w:trPr>
        <w:tc>
          <w:tcPr>
            <w:tcW w:w="8740" w:type="dxa"/>
            <w:gridSpan w:val="2"/>
            <w:tcMar>
              <w:top w:w="100" w:type="dxa"/>
              <w:left w:w="0" w:type="dxa"/>
              <w:bottom w:w="100" w:type="dxa"/>
              <w:right w:w="60" w:type="dxa"/>
            </w:tcMar>
          </w:tcPr>
          <w:p w14:paraId="32721274" w14:textId="77777777" w:rsidR="00DB6835" w:rsidRDefault="00DB6835" w:rsidP="00A9140F">
            <w:pPr>
              <w:pStyle w:val="AnnexTableCellLeft"/>
            </w:pPr>
            <w:r>
              <w:t>Ekki valda umtalsverðu tjóni</w:t>
            </w:r>
          </w:p>
        </w:tc>
      </w:tr>
      <w:tr w:rsidR="00DB6835" w14:paraId="787A6142" w14:textId="77777777" w:rsidTr="00A9140F">
        <w:trPr>
          <w:trHeight w:val="360"/>
        </w:trPr>
        <w:tc>
          <w:tcPr>
            <w:tcW w:w="2788" w:type="dxa"/>
            <w:tcMar>
              <w:top w:w="100" w:type="dxa"/>
              <w:left w:w="0" w:type="dxa"/>
              <w:bottom w:w="100" w:type="dxa"/>
              <w:right w:w="60" w:type="dxa"/>
            </w:tcMar>
          </w:tcPr>
          <w:p w14:paraId="3100F46B" w14:textId="77777777" w:rsidR="00DB6835" w:rsidRDefault="00DB6835" w:rsidP="00A9140F">
            <w:pPr>
              <w:pStyle w:val="AnnexNumberedText"/>
            </w:pPr>
            <w:r>
              <w:lastRenderedPageBreak/>
              <w:t>2)</w:t>
            </w:r>
            <w:r>
              <w:tab/>
              <w:t>Aðlögun að loftslagsbreytingum</w:t>
            </w:r>
          </w:p>
        </w:tc>
        <w:tc>
          <w:tcPr>
            <w:tcW w:w="5952" w:type="dxa"/>
            <w:tcMar>
              <w:top w:w="100" w:type="dxa"/>
              <w:left w:w="40" w:type="dxa"/>
              <w:bottom w:w="100" w:type="dxa"/>
              <w:right w:w="0" w:type="dxa"/>
            </w:tcMar>
          </w:tcPr>
          <w:p w14:paraId="0CAD8956" w14:textId="77777777" w:rsidR="00DB6835" w:rsidRDefault="00DB6835" w:rsidP="00A9140F">
            <w:pPr>
              <w:pStyle w:val="AnnexTableCellLeft"/>
            </w:pPr>
            <w:r>
              <w:t>Starfsemin er í samræmi við viðmiðanirnar sem settar eru fram í viðbæti A við þennan viðauka.</w:t>
            </w:r>
          </w:p>
        </w:tc>
      </w:tr>
      <w:tr w:rsidR="00DB6835" w14:paraId="74EFF532" w14:textId="77777777" w:rsidTr="00A9140F">
        <w:trPr>
          <w:trHeight w:val="360"/>
        </w:trPr>
        <w:tc>
          <w:tcPr>
            <w:tcW w:w="2788" w:type="dxa"/>
            <w:tcMar>
              <w:top w:w="100" w:type="dxa"/>
              <w:left w:w="0" w:type="dxa"/>
              <w:bottom w:w="100" w:type="dxa"/>
              <w:right w:w="60" w:type="dxa"/>
            </w:tcMar>
          </w:tcPr>
          <w:p w14:paraId="09F229F3" w14:textId="77777777" w:rsidR="00DB6835" w:rsidRDefault="00DB6835" w:rsidP="00A9140F">
            <w:pPr>
              <w:pStyle w:val="AnnexNumberedText"/>
              <w:pageBreakBefore/>
            </w:pPr>
            <w:r>
              <w:lastRenderedPageBreak/>
              <w:t>3)</w:t>
            </w:r>
            <w:r>
              <w:tab/>
              <w:t>Sjálfbær notkun og verndun vatns- og sjávarauðlinda</w:t>
            </w:r>
          </w:p>
        </w:tc>
        <w:tc>
          <w:tcPr>
            <w:tcW w:w="5952" w:type="dxa"/>
            <w:tcMar>
              <w:top w:w="100" w:type="dxa"/>
              <w:left w:w="40" w:type="dxa"/>
              <w:bottom w:w="100" w:type="dxa"/>
              <w:right w:w="0" w:type="dxa"/>
            </w:tcMar>
          </w:tcPr>
          <w:p w14:paraId="2A400441" w14:textId="77777777" w:rsidR="00DB6835" w:rsidRDefault="00DB6835" w:rsidP="00A9140F">
            <w:pPr>
              <w:pStyle w:val="AnnexTableCellLeft"/>
            </w:pPr>
            <w:r>
              <w:t>Starfsemin er í samræmi við viðmiðanirnar sem settar eru fram í viðbæti B við þennan viðauka.</w:t>
            </w:r>
          </w:p>
        </w:tc>
      </w:tr>
      <w:tr w:rsidR="00DB6835" w14:paraId="7315E1B2" w14:textId="77777777" w:rsidTr="00A9140F">
        <w:trPr>
          <w:trHeight w:val="360"/>
        </w:trPr>
        <w:tc>
          <w:tcPr>
            <w:tcW w:w="2788" w:type="dxa"/>
            <w:tcMar>
              <w:top w:w="100" w:type="dxa"/>
              <w:left w:w="0" w:type="dxa"/>
              <w:bottom w:w="100" w:type="dxa"/>
              <w:right w:w="60" w:type="dxa"/>
            </w:tcMar>
          </w:tcPr>
          <w:p w14:paraId="349E7939" w14:textId="77777777" w:rsidR="00DB6835" w:rsidRDefault="00DB6835" w:rsidP="00A9140F">
            <w:pPr>
              <w:pStyle w:val="AnnexNumberedText"/>
            </w:pPr>
            <w:r>
              <w:t>4)</w:t>
            </w:r>
            <w:r>
              <w:tab/>
              <w:t>Umskipti yfir í hringrásarhagkerfi</w:t>
            </w:r>
          </w:p>
        </w:tc>
        <w:tc>
          <w:tcPr>
            <w:tcW w:w="5952" w:type="dxa"/>
            <w:tcMar>
              <w:top w:w="100" w:type="dxa"/>
              <w:left w:w="40" w:type="dxa"/>
              <w:bottom w:w="100" w:type="dxa"/>
              <w:right w:w="0" w:type="dxa"/>
            </w:tcMar>
          </w:tcPr>
          <w:p w14:paraId="3E9D5580" w14:textId="77777777" w:rsidR="00DB6835" w:rsidRDefault="00DB6835" w:rsidP="00A9140F">
            <w:pPr>
              <w:pStyle w:val="AnnexTableCellLeft"/>
              <w:spacing w:after="240"/>
            </w:pPr>
            <w:r>
              <w:t>Ráðstafanir til úrgangsstjórnunar eru til staðar, bæði í notkunaráfanganum og þegar skipið er úr sér gengið, í samræmi við úrgangsmetakerfið, þ.m.t. eftirlit og meðhöndlun hættulegra efna um borð í skipum og til að tryggja örugga endurvinnslu þeirra.</w:t>
            </w:r>
          </w:p>
          <w:p w14:paraId="34E5E884" w14:textId="77777777" w:rsidR="00DB6835" w:rsidRDefault="00DB6835" w:rsidP="00A9140F">
            <w:pPr>
              <w:pStyle w:val="AnnexTableCellLeft"/>
            </w:pPr>
            <w:r>
              <w:t>Að því er varðar skip sem ganga fyrir rafhlöðum fela þessar ráðstafanir í sér endurnotkun og endurvinnslu á rafhlöðum og rafeindabúnaði, þ.m.t. mikilvæg hráefni í þeim.</w:t>
            </w:r>
          </w:p>
        </w:tc>
      </w:tr>
      <w:tr w:rsidR="00DB6835" w14:paraId="06664E69" w14:textId="77777777" w:rsidTr="00A9140F">
        <w:trPr>
          <w:trHeight w:val="360"/>
        </w:trPr>
        <w:tc>
          <w:tcPr>
            <w:tcW w:w="2788" w:type="dxa"/>
            <w:tcMar>
              <w:top w:w="100" w:type="dxa"/>
              <w:left w:w="0" w:type="dxa"/>
              <w:bottom w:w="100" w:type="dxa"/>
              <w:right w:w="60" w:type="dxa"/>
            </w:tcMar>
          </w:tcPr>
          <w:p w14:paraId="29807063" w14:textId="77777777" w:rsidR="00DB6835" w:rsidRDefault="00DB6835" w:rsidP="00A9140F">
            <w:pPr>
              <w:pStyle w:val="AnnexNumberedText"/>
            </w:pPr>
            <w:r>
              <w:t>5)</w:t>
            </w:r>
            <w:r>
              <w:tab/>
              <w:t>Mengunarvarnir og eftirlit með mengun</w:t>
            </w:r>
          </w:p>
        </w:tc>
        <w:tc>
          <w:tcPr>
            <w:tcW w:w="5952" w:type="dxa"/>
            <w:tcMar>
              <w:top w:w="100" w:type="dxa"/>
              <w:left w:w="40" w:type="dxa"/>
              <w:bottom w:w="100" w:type="dxa"/>
              <w:right w:w="0" w:type="dxa"/>
            </w:tcMar>
          </w:tcPr>
          <w:p w14:paraId="3F645038" w14:textId="77777777" w:rsidR="00DB6835" w:rsidRDefault="00DB6835" w:rsidP="00A9140F">
            <w:pPr>
              <w:pStyle w:val="AnnexTableCellLeft"/>
            </w:pPr>
            <w:r>
              <w:t xml:space="preserve">Hreyflar í skipum uppfylla losunarmörkin sem sett eru fram í II. viðauka við reglugerð (ESB) 2016/1628 (þ.m.t. skip sem uppfylla þessar takmarkanir án gerðarviðurkenndra lausna, s.s. með </w:t>
            </w:r>
            <w:proofErr w:type="spellStart"/>
            <w:r>
              <w:t>eftirmeðferð</w:t>
            </w:r>
            <w:proofErr w:type="spellEnd"/>
            <w:r>
              <w:t>).</w:t>
            </w:r>
          </w:p>
        </w:tc>
      </w:tr>
      <w:tr w:rsidR="00DB6835" w14:paraId="11E36B21" w14:textId="77777777" w:rsidTr="00A9140F">
        <w:trPr>
          <w:trHeight w:val="360"/>
        </w:trPr>
        <w:tc>
          <w:tcPr>
            <w:tcW w:w="2788" w:type="dxa"/>
            <w:tcMar>
              <w:top w:w="100" w:type="dxa"/>
              <w:left w:w="0" w:type="dxa"/>
              <w:bottom w:w="100" w:type="dxa"/>
              <w:right w:w="60" w:type="dxa"/>
            </w:tcMar>
          </w:tcPr>
          <w:p w14:paraId="1DDAD25C" w14:textId="77777777" w:rsidR="00DB6835" w:rsidRDefault="00DB6835" w:rsidP="00A9140F">
            <w:pPr>
              <w:pStyle w:val="AnnexNumberedText"/>
            </w:pPr>
            <w:r>
              <w:t>6)</w:t>
            </w:r>
            <w:r>
              <w:tab/>
              <w:t>Vernd og endurheimt líffræðilegrar fjölbreytni og vistkerfa</w:t>
            </w:r>
          </w:p>
        </w:tc>
        <w:tc>
          <w:tcPr>
            <w:tcW w:w="5952" w:type="dxa"/>
            <w:tcMar>
              <w:top w:w="100" w:type="dxa"/>
              <w:left w:w="40" w:type="dxa"/>
              <w:bottom w:w="100" w:type="dxa"/>
              <w:right w:w="0" w:type="dxa"/>
            </w:tcMar>
          </w:tcPr>
          <w:p w14:paraId="6EC4E072" w14:textId="77777777" w:rsidR="00DB6835" w:rsidRDefault="00DB6835" w:rsidP="00A9140F">
            <w:pPr>
              <w:pStyle w:val="AnnexTableCellLeft"/>
            </w:pPr>
            <w:r>
              <w:t>Á ekki við</w:t>
            </w:r>
          </w:p>
        </w:tc>
      </w:tr>
    </w:tbl>
    <w:p w14:paraId="5C919240" w14:textId="77777777" w:rsidR="00DB6835" w:rsidRDefault="00DB6835" w:rsidP="00DB6835">
      <w:pPr>
        <w:pStyle w:val="AnnexNumberedText"/>
        <w:spacing w:before="200" w:after="280"/>
        <w:ind w:left="500" w:hanging="500"/>
      </w:pPr>
      <w:r>
        <w:t>6.8.</w:t>
      </w:r>
      <w:r>
        <w:rPr>
          <w:b/>
        </w:rPr>
        <w:tab/>
        <w:t>Vöruflutningar á skipgengum vatnaleiðum</w:t>
      </w:r>
    </w:p>
    <w:p w14:paraId="57A4831B" w14:textId="77777777" w:rsidR="00DB6835" w:rsidRDefault="00DB6835" w:rsidP="00DB6835">
      <w:pPr>
        <w:pStyle w:val="AnnexGrSeq3"/>
        <w:spacing w:after="280"/>
        <w:ind w:left="500"/>
        <w:jc w:val="both"/>
      </w:pPr>
      <w:r>
        <w:rPr>
          <w:i/>
        </w:rPr>
        <w:t>Lýsing á starfseminni</w:t>
      </w:r>
    </w:p>
    <w:p w14:paraId="5D468530" w14:textId="77777777" w:rsidR="00DB6835" w:rsidRDefault="00DB6835" w:rsidP="00DB6835">
      <w:pPr>
        <w:pStyle w:val="AnnexNormal"/>
        <w:spacing w:after="280"/>
        <w:ind w:left="500"/>
      </w:pPr>
      <w:r>
        <w:t xml:space="preserve">Kaup, fjármögnun, eignarleiga, leiga og </w:t>
      </w:r>
      <w:proofErr w:type="spellStart"/>
      <w:r>
        <w:t>starfræksla</w:t>
      </w:r>
      <w:proofErr w:type="spellEnd"/>
      <w:r>
        <w:t xml:space="preserve"> vöruflutningaskipa eftir skipgengum vatnaleiðum með skipum sem henta ekki til sjóflutninga.</w:t>
      </w:r>
    </w:p>
    <w:p w14:paraId="75706F3B" w14:textId="77777777" w:rsidR="00DB6835" w:rsidRDefault="00DB6835" w:rsidP="00DB6835">
      <w:pPr>
        <w:pStyle w:val="AnnexNormal"/>
        <w:spacing w:after="280"/>
        <w:ind w:left="500"/>
      </w:pPr>
      <w:r>
        <w:t>Atvinnustarfsemin í þessum flokki gæti tengst kóða atvinnugreinaflokkunar Evrópusambandsins H50.4 í samræmi við atvinnugreinaflokkunina sem komið var á með reglugerð (EB) nr. 1893/2006.</w:t>
      </w:r>
    </w:p>
    <w:p w14:paraId="756820BE" w14:textId="77777777" w:rsidR="00DB6835" w:rsidRDefault="00DB6835" w:rsidP="00DB6835">
      <w:pPr>
        <w:pStyle w:val="AnnexNormal"/>
        <w:spacing w:after="280"/>
        <w:ind w:left="500"/>
      </w:pPr>
      <w:r>
        <w:t>Ef atvinnustarfsemi í þessum flokki uppfyllir ekki viðmiðunina um verulegt framlag sem er tilgreind í a-lið þessa þáttar er starfsemin umbreytingarstarfsemi, eins og um getur í 2. mgr. 10. gr. reglugerðar (ESB) 2020/852, að því tilskildu að hún uppfylli eftirstandandi tæknileg matsviðmið sem sett eru fram í þessum þætti.</w:t>
      </w:r>
    </w:p>
    <w:p w14:paraId="36BD1209" w14:textId="77777777" w:rsidR="00DB6835" w:rsidRDefault="00DB6835" w:rsidP="00DB6835">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DB6835" w14:paraId="05CE57C9" w14:textId="77777777" w:rsidTr="00A9140F">
        <w:trPr>
          <w:trHeight w:val="240"/>
        </w:trPr>
        <w:tc>
          <w:tcPr>
            <w:tcW w:w="8740" w:type="dxa"/>
            <w:gridSpan w:val="2"/>
            <w:tcMar>
              <w:top w:w="100" w:type="dxa"/>
              <w:left w:w="0" w:type="dxa"/>
              <w:bottom w:w="100" w:type="dxa"/>
              <w:right w:w="60" w:type="dxa"/>
            </w:tcMar>
          </w:tcPr>
          <w:p w14:paraId="0E69A43C"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6E700CB3" w14:textId="77777777" w:rsidTr="00A9140F">
        <w:trPr>
          <w:trHeight w:val="360"/>
        </w:trPr>
        <w:tc>
          <w:tcPr>
            <w:tcW w:w="8740" w:type="dxa"/>
            <w:gridSpan w:val="2"/>
            <w:tcMar>
              <w:top w:w="100" w:type="dxa"/>
              <w:left w:w="0" w:type="dxa"/>
              <w:bottom w:w="100" w:type="dxa"/>
              <w:right w:w="60" w:type="dxa"/>
            </w:tcMar>
          </w:tcPr>
          <w:p w14:paraId="580A6028" w14:textId="77777777" w:rsidR="00DB6835" w:rsidRDefault="00DB6835" w:rsidP="00A9140F">
            <w:pPr>
              <w:pStyle w:val="AnnexNumberedText"/>
              <w:tabs>
                <w:tab w:val="left" w:pos="508"/>
              </w:tabs>
              <w:spacing w:after="240"/>
              <w:ind w:left="0" w:firstLine="0"/>
            </w:pPr>
            <w:r>
              <w:t>1.</w:t>
            </w:r>
            <w:r>
              <w:tab/>
              <w:t>Starfsemin er í samræmi við aðra eða báðar eftirfarandi viðmiðanir:</w:t>
            </w:r>
          </w:p>
          <w:p w14:paraId="2117C9D5" w14:textId="77777777" w:rsidR="00DB6835" w:rsidRDefault="00DB6835" w:rsidP="00A9140F">
            <w:pPr>
              <w:pStyle w:val="AnnexNumberedText"/>
              <w:spacing w:after="240"/>
            </w:pPr>
            <w:r>
              <w:t>a)</w:t>
            </w:r>
            <w:r>
              <w:tab/>
              <w:t>skipin eru ekki með neina beina koltvísýringslosun (gegnum útblástursrör),</w:t>
            </w:r>
          </w:p>
          <w:p w14:paraId="28A6A80D" w14:textId="77777777" w:rsidR="00DB6835" w:rsidRDefault="00DB6835" w:rsidP="00A9140F">
            <w:pPr>
              <w:pStyle w:val="AnnexNumberedText"/>
              <w:spacing w:after="240"/>
            </w:pPr>
            <w:r>
              <w:t>b)</w:t>
            </w:r>
            <w:r>
              <w:tab/>
              <w:t>fram til 31. desember 2025, ef ekki er tæknilega og fjárhagslega mögulegt að uppfylla viðmiðunina í a-lið, eru skipin með beina koltvísýringslosun (gegnum útblástursrör) á tonnkílómetra (g CO</w:t>
            </w:r>
            <w:r>
              <w:rPr>
                <w:vertAlign w:val="subscript"/>
              </w:rPr>
              <w:t>2</w:t>
            </w:r>
            <w:r>
              <w:t>/</w:t>
            </w:r>
            <w:proofErr w:type="spellStart"/>
            <w:r>
              <w:t>tkm</w:t>
            </w:r>
            <w:proofErr w:type="spellEnd"/>
            <w:r>
              <w:t xml:space="preserve">), reiknað út (eða áætlað ef um ný skip er að ræða) með því að nota rekstrarlegan </w:t>
            </w:r>
            <w:proofErr w:type="spellStart"/>
            <w:r>
              <w:t>orkunýtnivísi</w:t>
            </w:r>
            <w:proofErr w:type="spellEnd"/>
            <w:r>
              <w:t xml:space="preserve"> (</w:t>
            </w:r>
            <w:r>
              <w:rPr>
                <w:rStyle w:val="Tilvsunneanmlsgrein"/>
                <w:sz w:val="18"/>
                <w:szCs w:val="18"/>
              </w:rPr>
              <w:footnoteReference w:id="260"/>
            </w:r>
            <w:r>
              <w:t>), sem er 50% minni en meðaltal viðmiðunargildis fyrir losun á koltvísýringi sem er skilgreint fyrir þung farartæki (undirhópur ökutækja 5-LH) í samræmi við 11. gr. reglugerðar (ESB) 2019/1242.</w:t>
            </w:r>
          </w:p>
          <w:p w14:paraId="1C89D2FE" w14:textId="77777777" w:rsidR="00DB6835" w:rsidRDefault="00DB6835" w:rsidP="00A9140F">
            <w:pPr>
              <w:pStyle w:val="AnnexNumberedText"/>
              <w:tabs>
                <w:tab w:val="left" w:pos="508"/>
              </w:tabs>
              <w:ind w:left="0" w:firstLine="0"/>
            </w:pPr>
            <w:r>
              <w:t>2.</w:t>
            </w:r>
            <w:r>
              <w:tab/>
              <w:t>Skip eru ekki ætluð til flutninga á jarðefnaeldsneyti.</w:t>
            </w:r>
          </w:p>
        </w:tc>
      </w:tr>
      <w:tr w:rsidR="00DB6835" w14:paraId="405C4E28" w14:textId="77777777" w:rsidTr="00A9140F">
        <w:trPr>
          <w:trHeight w:val="240"/>
        </w:trPr>
        <w:tc>
          <w:tcPr>
            <w:tcW w:w="8740" w:type="dxa"/>
            <w:gridSpan w:val="2"/>
            <w:tcMar>
              <w:top w:w="100" w:type="dxa"/>
              <w:left w:w="0" w:type="dxa"/>
              <w:bottom w:w="100" w:type="dxa"/>
              <w:right w:w="60" w:type="dxa"/>
            </w:tcMar>
          </w:tcPr>
          <w:p w14:paraId="5BA4123B" w14:textId="77777777" w:rsidR="00DB6835" w:rsidRDefault="00DB6835" w:rsidP="00A9140F">
            <w:pPr>
              <w:pStyle w:val="AnnexTableCellLeft"/>
            </w:pPr>
            <w:r>
              <w:t>Ekki valda umtalsverðu tjóni</w:t>
            </w:r>
          </w:p>
        </w:tc>
      </w:tr>
      <w:tr w:rsidR="00DB6835" w14:paraId="081A0711" w14:textId="77777777" w:rsidTr="00A9140F">
        <w:trPr>
          <w:trHeight w:val="360"/>
        </w:trPr>
        <w:tc>
          <w:tcPr>
            <w:tcW w:w="2848" w:type="dxa"/>
            <w:tcMar>
              <w:top w:w="100" w:type="dxa"/>
              <w:left w:w="0" w:type="dxa"/>
              <w:bottom w:w="100" w:type="dxa"/>
              <w:right w:w="60" w:type="dxa"/>
            </w:tcMar>
          </w:tcPr>
          <w:p w14:paraId="302F1D83" w14:textId="77777777" w:rsidR="00DB6835" w:rsidRDefault="00DB6835" w:rsidP="00A9140F">
            <w:pPr>
              <w:pStyle w:val="AnnexNumberedText"/>
              <w:ind w:left="293" w:hanging="293"/>
            </w:pPr>
            <w:r>
              <w:lastRenderedPageBreak/>
              <w:t>2)</w:t>
            </w:r>
            <w:r>
              <w:tab/>
              <w:t>Aðlögun að loftslagsbreytingum</w:t>
            </w:r>
          </w:p>
        </w:tc>
        <w:tc>
          <w:tcPr>
            <w:tcW w:w="5892" w:type="dxa"/>
            <w:tcMar>
              <w:top w:w="100" w:type="dxa"/>
              <w:left w:w="40" w:type="dxa"/>
              <w:bottom w:w="100" w:type="dxa"/>
              <w:right w:w="0" w:type="dxa"/>
            </w:tcMar>
          </w:tcPr>
          <w:p w14:paraId="1A8C0149" w14:textId="77777777" w:rsidR="00DB6835" w:rsidRDefault="00DB6835" w:rsidP="00A9140F">
            <w:pPr>
              <w:pStyle w:val="AnnexTableCellLeft"/>
            </w:pPr>
            <w:r>
              <w:t>Starfsemin er í samræmi við viðmiðanirnar sem settar eru fram í viðbæti A við þennan viðauka.</w:t>
            </w:r>
          </w:p>
        </w:tc>
      </w:tr>
      <w:tr w:rsidR="00DB6835" w14:paraId="20C8D902" w14:textId="77777777" w:rsidTr="00A9140F">
        <w:trPr>
          <w:trHeight w:val="360"/>
        </w:trPr>
        <w:tc>
          <w:tcPr>
            <w:tcW w:w="2848" w:type="dxa"/>
            <w:tcMar>
              <w:top w:w="100" w:type="dxa"/>
              <w:left w:w="0" w:type="dxa"/>
              <w:bottom w:w="100" w:type="dxa"/>
              <w:right w:w="60" w:type="dxa"/>
            </w:tcMar>
          </w:tcPr>
          <w:p w14:paraId="698DDDD5" w14:textId="77777777" w:rsidR="00DB6835" w:rsidRDefault="00DB6835" w:rsidP="00A9140F">
            <w:pPr>
              <w:pStyle w:val="AnnexNumberedText"/>
              <w:pageBreakBefore/>
              <w:ind w:left="293" w:hanging="293"/>
            </w:pPr>
            <w:r>
              <w:lastRenderedPageBreak/>
              <w:t>3)</w:t>
            </w:r>
            <w:r>
              <w:tab/>
              <w:t>Sjálfbær notkun og verndun vatns- og sjávarauðlinda</w:t>
            </w:r>
          </w:p>
        </w:tc>
        <w:tc>
          <w:tcPr>
            <w:tcW w:w="5892" w:type="dxa"/>
            <w:tcMar>
              <w:top w:w="100" w:type="dxa"/>
              <w:left w:w="40" w:type="dxa"/>
              <w:bottom w:w="100" w:type="dxa"/>
              <w:right w:w="0" w:type="dxa"/>
            </w:tcMar>
          </w:tcPr>
          <w:p w14:paraId="0284193D" w14:textId="77777777" w:rsidR="00DB6835" w:rsidRDefault="00DB6835" w:rsidP="00A9140F">
            <w:pPr>
              <w:pStyle w:val="AnnexTableCellLeft"/>
            </w:pPr>
            <w:r>
              <w:t>Starfsemin er í samræmi við viðmiðanirnar sem settar eru fram í viðbæti B við þennan viðauka.</w:t>
            </w:r>
          </w:p>
        </w:tc>
      </w:tr>
      <w:tr w:rsidR="00DB6835" w14:paraId="5F47A687" w14:textId="77777777" w:rsidTr="00A9140F">
        <w:trPr>
          <w:trHeight w:val="360"/>
        </w:trPr>
        <w:tc>
          <w:tcPr>
            <w:tcW w:w="2848" w:type="dxa"/>
            <w:tcMar>
              <w:top w:w="100" w:type="dxa"/>
              <w:left w:w="0" w:type="dxa"/>
              <w:bottom w:w="100" w:type="dxa"/>
              <w:right w:w="60" w:type="dxa"/>
            </w:tcMar>
          </w:tcPr>
          <w:p w14:paraId="5439DCC6" w14:textId="77777777" w:rsidR="00DB6835" w:rsidRDefault="00DB6835" w:rsidP="00A9140F">
            <w:pPr>
              <w:pStyle w:val="AnnexNumberedText"/>
              <w:ind w:left="293" w:hanging="293"/>
            </w:pPr>
            <w:r>
              <w:t>4)</w:t>
            </w:r>
            <w:r>
              <w:tab/>
              <w:t>Umskipti yfir í hringrásarhagkerfi</w:t>
            </w:r>
          </w:p>
        </w:tc>
        <w:tc>
          <w:tcPr>
            <w:tcW w:w="5892" w:type="dxa"/>
            <w:tcMar>
              <w:top w:w="100" w:type="dxa"/>
              <w:left w:w="40" w:type="dxa"/>
              <w:bottom w:w="100" w:type="dxa"/>
              <w:right w:w="0" w:type="dxa"/>
            </w:tcMar>
          </w:tcPr>
          <w:p w14:paraId="4AD76781" w14:textId="77777777" w:rsidR="00DB6835" w:rsidRDefault="00DB6835" w:rsidP="00A9140F">
            <w:pPr>
              <w:pStyle w:val="AnnexTableCellLeft"/>
              <w:spacing w:after="400"/>
            </w:pPr>
            <w:r>
              <w:t>Ráðstafanir til úrgangsstjórnunar eru til staðar, bæði í notkunaráfanganum og þegar skipið er úr sér gengið, í samræmi við úrgangsmetakerfið, þ.m.t. eftirlit og meðhöndlun hættulegra efna um borð í skipum og til að tryggja örugga endurvinnslu þeirra.</w:t>
            </w:r>
          </w:p>
          <w:p w14:paraId="44AA95F5" w14:textId="77777777" w:rsidR="00DB6835" w:rsidRDefault="00DB6835" w:rsidP="00A9140F">
            <w:pPr>
              <w:pStyle w:val="AnnexTableCellLeft"/>
            </w:pPr>
            <w:r>
              <w:t>Að því er varðar skip sem ganga fyrir rafhlöðum fela þessar ráðstafanir í sér endurnotkun og endurvinnslu á rafhlöðum og rafeindabúnaði, þ.m.t. mikilvæg hráefni í þeim.</w:t>
            </w:r>
          </w:p>
        </w:tc>
      </w:tr>
      <w:tr w:rsidR="00DB6835" w14:paraId="78892633" w14:textId="77777777" w:rsidTr="00A9140F">
        <w:trPr>
          <w:trHeight w:val="360"/>
        </w:trPr>
        <w:tc>
          <w:tcPr>
            <w:tcW w:w="2848" w:type="dxa"/>
            <w:tcMar>
              <w:top w:w="100" w:type="dxa"/>
              <w:left w:w="0" w:type="dxa"/>
              <w:bottom w:w="100" w:type="dxa"/>
              <w:right w:w="60" w:type="dxa"/>
            </w:tcMar>
          </w:tcPr>
          <w:p w14:paraId="5ACC70AB" w14:textId="77777777" w:rsidR="00DB6835" w:rsidRDefault="00DB6835" w:rsidP="00A9140F">
            <w:pPr>
              <w:pStyle w:val="AnnexNumberedText"/>
              <w:ind w:left="293" w:hanging="293"/>
            </w:pPr>
            <w:r>
              <w:t>5)</w:t>
            </w:r>
            <w:r>
              <w:tab/>
              <w:t>Mengunarvarnir og eftirlit með mengun</w:t>
            </w:r>
          </w:p>
        </w:tc>
        <w:tc>
          <w:tcPr>
            <w:tcW w:w="5892" w:type="dxa"/>
            <w:tcMar>
              <w:top w:w="100" w:type="dxa"/>
              <w:left w:w="40" w:type="dxa"/>
              <w:bottom w:w="100" w:type="dxa"/>
              <w:right w:w="0" w:type="dxa"/>
            </w:tcMar>
          </w:tcPr>
          <w:p w14:paraId="700B31FA" w14:textId="77777777" w:rsidR="00DB6835" w:rsidRDefault="00DB6835" w:rsidP="00A9140F">
            <w:pPr>
              <w:pStyle w:val="AnnexTableCellLeft"/>
            </w:pPr>
            <w:r>
              <w:t xml:space="preserve">Skip uppfylla losunarmörkin sem sett eru fram í II. viðauka við reglugerð (ESB) 2016/1628 (þ.m.t. skip sem uppfylla þessar takmarkanir án gerðarviðurkenndra lausna, s.s. með </w:t>
            </w:r>
            <w:proofErr w:type="spellStart"/>
            <w:r>
              <w:t>eftirmeðferð</w:t>
            </w:r>
            <w:proofErr w:type="spellEnd"/>
            <w:r>
              <w:t>).</w:t>
            </w:r>
          </w:p>
        </w:tc>
      </w:tr>
      <w:tr w:rsidR="00DB6835" w14:paraId="1496D8C8" w14:textId="77777777" w:rsidTr="00A9140F">
        <w:trPr>
          <w:trHeight w:val="360"/>
        </w:trPr>
        <w:tc>
          <w:tcPr>
            <w:tcW w:w="2848" w:type="dxa"/>
            <w:tcMar>
              <w:top w:w="100" w:type="dxa"/>
              <w:left w:w="0" w:type="dxa"/>
              <w:bottom w:w="100" w:type="dxa"/>
              <w:right w:w="60" w:type="dxa"/>
            </w:tcMar>
          </w:tcPr>
          <w:p w14:paraId="408B5F66" w14:textId="77777777" w:rsidR="00DB6835" w:rsidRDefault="00DB6835" w:rsidP="00A9140F">
            <w:pPr>
              <w:pStyle w:val="AnnexNumberedText"/>
              <w:ind w:left="293" w:hanging="293"/>
            </w:pPr>
            <w:r>
              <w:t>6)</w:t>
            </w:r>
            <w:r>
              <w:tab/>
              <w:t>Vernd og endurheimt líffræðilegrar fjölbreytni og vistkerfa</w:t>
            </w:r>
          </w:p>
        </w:tc>
        <w:tc>
          <w:tcPr>
            <w:tcW w:w="5892" w:type="dxa"/>
            <w:tcMar>
              <w:top w:w="100" w:type="dxa"/>
              <w:left w:w="40" w:type="dxa"/>
              <w:bottom w:w="100" w:type="dxa"/>
              <w:right w:w="0" w:type="dxa"/>
            </w:tcMar>
          </w:tcPr>
          <w:p w14:paraId="3DD7A30C" w14:textId="77777777" w:rsidR="00DB6835" w:rsidRDefault="00DB6835" w:rsidP="00A9140F">
            <w:pPr>
              <w:pStyle w:val="AnnexTableCellLeft"/>
            </w:pPr>
            <w:r>
              <w:t>Á ekki við</w:t>
            </w:r>
          </w:p>
        </w:tc>
      </w:tr>
    </w:tbl>
    <w:p w14:paraId="7A0726D4" w14:textId="77777777" w:rsidR="00DB6835" w:rsidRDefault="00DB6835" w:rsidP="00DB6835">
      <w:pPr>
        <w:pStyle w:val="AnnexNumberedText"/>
        <w:spacing w:before="200" w:after="500"/>
        <w:ind w:left="504" w:hanging="504"/>
      </w:pPr>
      <w:r>
        <w:t>6.9.</w:t>
      </w:r>
      <w:r>
        <w:rPr>
          <w:b/>
        </w:rPr>
        <w:tab/>
        <w:t>Endurbætur á farþega- og vöruflutningum eftir skipgengum vatnaleiðum</w:t>
      </w:r>
    </w:p>
    <w:p w14:paraId="7F69795D" w14:textId="77777777" w:rsidR="00DB6835" w:rsidRDefault="00DB6835" w:rsidP="00DB6835">
      <w:pPr>
        <w:pStyle w:val="AnnexGrSeq3"/>
        <w:spacing w:after="500"/>
        <w:ind w:left="500"/>
        <w:jc w:val="both"/>
      </w:pPr>
      <w:r>
        <w:rPr>
          <w:i/>
        </w:rPr>
        <w:t>Lýsing á starfseminni</w:t>
      </w:r>
    </w:p>
    <w:p w14:paraId="0C61E9C9" w14:textId="77777777" w:rsidR="00DB6835" w:rsidRDefault="00DB6835" w:rsidP="00DB6835">
      <w:pPr>
        <w:pStyle w:val="AnnexNormal"/>
        <w:spacing w:after="500"/>
        <w:ind w:left="500"/>
      </w:pPr>
      <w:r>
        <w:t>Endurbætur og uppfærsla á skipum fyrir vöru- eða farþegaflutninga eftir skipgengum vatnaleiðum með skipum sem henta ekki til sjóflutninga.</w:t>
      </w:r>
    </w:p>
    <w:p w14:paraId="23528762" w14:textId="77777777" w:rsidR="00DB6835" w:rsidRDefault="00DB6835" w:rsidP="00DB6835">
      <w:pPr>
        <w:pStyle w:val="AnnexNormal"/>
        <w:spacing w:after="500"/>
        <w:ind w:left="500"/>
      </w:pPr>
      <w:r>
        <w:t>Atvinnustarfsemin í þessum flokki gæti tengst nokkrum kóðum atvinnugreinaflokkunar Evrópusambandsins, einkum H50.4, H50.30 og C33.15, í samræmi við atvinnugreinaflokkunina sem komið var á með reglugerð (EB) nr. 1893/2006.</w:t>
      </w:r>
    </w:p>
    <w:p w14:paraId="30207965" w14:textId="77777777" w:rsidR="00DB6835" w:rsidRDefault="00DB6835" w:rsidP="00DB6835">
      <w:pPr>
        <w:pStyle w:val="AnnexNormal"/>
        <w:spacing w:after="500"/>
        <w:ind w:left="500"/>
      </w:pPr>
      <w:r>
        <w:t>Atvinnustarfsemi í þessum flokki er umbreytingarstarfsemi, eins og um getur í 2. mgr. 10. gr. reglugerðar (ESB) 2020/852, þegar hún er í samræmi við tæknilegu matsviðmiðin sem sett eru fram í þessum þætti.</w:t>
      </w:r>
    </w:p>
    <w:p w14:paraId="68DDD368" w14:textId="77777777" w:rsidR="00DB6835" w:rsidRDefault="00DB6835" w:rsidP="00DB6835">
      <w:pPr>
        <w:pStyle w:val="AnnexGrSeq3"/>
        <w:spacing w:after="5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12"/>
        <w:gridCol w:w="5928"/>
      </w:tblGrid>
      <w:tr w:rsidR="00DB6835" w14:paraId="394E509C" w14:textId="77777777" w:rsidTr="00A9140F">
        <w:trPr>
          <w:trHeight w:val="240"/>
        </w:trPr>
        <w:tc>
          <w:tcPr>
            <w:tcW w:w="8740" w:type="dxa"/>
            <w:gridSpan w:val="2"/>
            <w:tcMar>
              <w:top w:w="100" w:type="dxa"/>
              <w:left w:w="0" w:type="dxa"/>
              <w:bottom w:w="100" w:type="dxa"/>
              <w:right w:w="60" w:type="dxa"/>
            </w:tcMar>
          </w:tcPr>
          <w:p w14:paraId="21043412"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720F5F85" w14:textId="77777777" w:rsidTr="00A9140F">
        <w:trPr>
          <w:trHeight w:val="360"/>
        </w:trPr>
        <w:tc>
          <w:tcPr>
            <w:tcW w:w="8740" w:type="dxa"/>
            <w:gridSpan w:val="2"/>
            <w:tcMar>
              <w:top w:w="100" w:type="dxa"/>
              <w:left w:w="0" w:type="dxa"/>
              <w:bottom w:w="100" w:type="dxa"/>
              <w:right w:w="60" w:type="dxa"/>
            </w:tcMar>
          </w:tcPr>
          <w:p w14:paraId="0C7741BF" w14:textId="77777777" w:rsidR="00DB6835" w:rsidRDefault="00DB6835" w:rsidP="00A9140F">
            <w:pPr>
              <w:pStyle w:val="AnnexNumberedText"/>
              <w:tabs>
                <w:tab w:val="left" w:pos="508"/>
              </w:tabs>
              <w:spacing w:after="400"/>
              <w:ind w:left="0" w:firstLine="0"/>
            </w:pPr>
            <w:r>
              <w:t>1.</w:t>
            </w:r>
            <w:r>
              <w:tab/>
              <w:t>Fram til 31. desember 2025 dregur endurbótastarfsemin úr eldsneytisnotkun skipsins um a.m.k. 10%, gefið upp sem lítrar af eldsneyti á hvern tonnkílómetra, eins og sýnt er fram á með samanburðarútreikningi fyrir dæmigerð farsvæði (þ.m.t. dæmigerðar álagslýsingar) þar sem á að starfrækja skipið eða með niðurstöðum úr prófunum með líkani eða hermunum.</w:t>
            </w:r>
          </w:p>
          <w:p w14:paraId="56220464" w14:textId="77777777" w:rsidR="00DB6835" w:rsidRDefault="00DB6835" w:rsidP="00A9140F">
            <w:pPr>
              <w:pStyle w:val="AnnexNumberedText"/>
              <w:tabs>
                <w:tab w:val="left" w:pos="508"/>
              </w:tabs>
              <w:spacing w:after="400"/>
              <w:ind w:left="0" w:firstLine="0"/>
            </w:pPr>
            <w:r>
              <w:t>2.</w:t>
            </w:r>
            <w:r>
              <w:tab/>
              <w:t>Skip sem eru endurbætt eða uppfærð eru ekki ætluð til flutninga á jarðefnaeldsneyti.</w:t>
            </w:r>
          </w:p>
        </w:tc>
      </w:tr>
      <w:tr w:rsidR="00DB6835" w14:paraId="1F106A8D" w14:textId="77777777" w:rsidTr="00A9140F">
        <w:trPr>
          <w:trHeight w:val="240"/>
        </w:trPr>
        <w:tc>
          <w:tcPr>
            <w:tcW w:w="8740" w:type="dxa"/>
            <w:gridSpan w:val="2"/>
            <w:tcMar>
              <w:top w:w="100" w:type="dxa"/>
              <w:left w:w="0" w:type="dxa"/>
              <w:bottom w:w="100" w:type="dxa"/>
              <w:right w:w="60" w:type="dxa"/>
            </w:tcMar>
          </w:tcPr>
          <w:p w14:paraId="52D0606F" w14:textId="77777777" w:rsidR="00DB6835" w:rsidRDefault="00DB6835" w:rsidP="00A9140F">
            <w:pPr>
              <w:pStyle w:val="AnnexTableCellLeft"/>
            </w:pPr>
            <w:r>
              <w:t>Ekki valda umtalsverðu tjóni</w:t>
            </w:r>
          </w:p>
        </w:tc>
      </w:tr>
      <w:tr w:rsidR="00DB6835" w14:paraId="2159FF5B" w14:textId="77777777" w:rsidTr="00A9140F">
        <w:trPr>
          <w:trHeight w:val="360"/>
        </w:trPr>
        <w:tc>
          <w:tcPr>
            <w:tcW w:w="2812" w:type="dxa"/>
            <w:tcMar>
              <w:top w:w="100" w:type="dxa"/>
              <w:left w:w="0" w:type="dxa"/>
              <w:bottom w:w="100" w:type="dxa"/>
              <w:right w:w="60" w:type="dxa"/>
            </w:tcMar>
          </w:tcPr>
          <w:p w14:paraId="53D47019" w14:textId="77777777" w:rsidR="00DB6835" w:rsidRDefault="00DB6835" w:rsidP="00A9140F">
            <w:pPr>
              <w:pStyle w:val="AnnexNumberedText"/>
              <w:ind w:left="293" w:hanging="293"/>
            </w:pPr>
            <w:r>
              <w:t>2)</w:t>
            </w:r>
            <w:r>
              <w:tab/>
              <w:t>Aðlögun að loftslagsbreytingum</w:t>
            </w:r>
          </w:p>
        </w:tc>
        <w:tc>
          <w:tcPr>
            <w:tcW w:w="5928" w:type="dxa"/>
            <w:tcMar>
              <w:top w:w="100" w:type="dxa"/>
              <w:left w:w="40" w:type="dxa"/>
              <w:bottom w:w="100" w:type="dxa"/>
              <w:right w:w="0" w:type="dxa"/>
            </w:tcMar>
          </w:tcPr>
          <w:p w14:paraId="17DD56DC" w14:textId="77777777" w:rsidR="00DB6835" w:rsidRDefault="00DB6835" w:rsidP="00A9140F">
            <w:pPr>
              <w:pStyle w:val="AnnexTableCellLeft"/>
            </w:pPr>
            <w:r>
              <w:t>Starfsemin er í samræmi við viðmiðanirnar sem settar eru fram í viðbæti A við þennan viðauka.</w:t>
            </w:r>
          </w:p>
        </w:tc>
      </w:tr>
      <w:tr w:rsidR="00DB6835" w14:paraId="28B04601" w14:textId="77777777" w:rsidTr="00A9140F">
        <w:trPr>
          <w:trHeight w:val="360"/>
        </w:trPr>
        <w:tc>
          <w:tcPr>
            <w:tcW w:w="2812" w:type="dxa"/>
            <w:tcMar>
              <w:top w:w="100" w:type="dxa"/>
              <w:left w:w="0" w:type="dxa"/>
              <w:bottom w:w="100" w:type="dxa"/>
              <w:right w:w="60" w:type="dxa"/>
            </w:tcMar>
          </w:tcPr>
          <w:p w14:paraId="14A5F9D6" w14:textId="77777777" w:rsidR="00DB6835" w:rsidRDefault="00DB6835" w:rsidP="00A9140F">
            <w:pPr>
              <w:pStyle w:val="AnnexNumberedText"/>
              <w:pageBreakBefore/>
            </w:pPr>
            <w:r>
              <w:lastRenderedPageBreak/>
              <w:t>3)</w:t>
            </w:r>
            <w:r>
              <w:tab/>
              <w:t>Sjálfbær notkun og verndun vatns- og sjávarauðlinda</w:t>
            </w:r>
          </w:p>
        </w:tc>
        <w:tc>
          <w:tcPr>
            <w:tcW w:w="5928" w:type="dxa"/>
            <w:tcMar>
              <w:top w:w="100" w:type="dxa"/>
              <w:left w:w="40" w:type="dxa"/>
              <w:bottom w:w="100" w:type="dxa"/>
              <w:right w:w="0" w:type="dxa"/>
            </w:tcMar>
          </w:tcPr>
          <w:p w14:paraId="3E6E4DED" w14:textId="77777777" w:rsidR="00DB6835" w:rsidRDefault="00DB6835" w:rsidP="00A9140F">
            <w:pPr>
              <w:pStyle w:val="AnnexTableCellLeft"/>
            </w:pPr>
            <w:r>
              <w:t>Starfsemin er í samræmi við viðmiðanirnar sem settar eru fram í viðbæti B við þennan viðauka.</w:t>
            </w:r>
          </w:p>
        </w:tc>
      </w:tr>
      <w:tr w:rsidR="00DB6835" w14:paraId="63FBA076" w14:textId="77777777" w:rsidTr="00A9140F">
        <w:trPr>
          <w:trHeight w:val="360"/>
        </w:trPr>
        <w:tc>
          <w:tcPr>
            <w:tcW w:w="2812" w:type="dxa"/>
            <w:tcMar>
              <w:top w:w="100" w:type="dxa"/>
              <w:left w:w="0" w:type="dxa"/>
              <w:bottom w:w="100" w:type="dxa"/>
              <w:right w:w="60" w:type="dxa"/>
            </w:tcMar>
          </w:tcPr>
          <w:p w14:paraId="0D7A6417" w14:textId="77777777" w:rsidR="00DB6835" w:rsidRDefault="00DB6835" w:rsidP="00A9140F">
            <w:pPr>
              <w:pStyle w:val="AnnexNumberedText"/>
            </w:pPr>
            <w:r>
              <w:t>4)</w:t>
            </w:r>
            <w:r>
              <w:tab/>
              <w:t>Umskipti yfir í hringrásarhagkerfi</w:t>
            </w:r>
          </w:p>
        </w:tc>
        <w:tc>
          <w:tcPr>
            <w:tcW w:w="5928" w:type="dxa"/>
            <w:tcMar>
              <w:top w:w="100" w:type="dxa"/>
              <w:left w:w="40" w:type="dxa"/>
              <w:bottom w:w="100" w:type="dxa"/>
              <w:right w:w="0" w:type="dxa"/>
            </w:tcMar>
          </w:tcPr>
          <w:p w14:paraId="2B5E8406" w14:textId="77777777" w:rsidR="00DB6835" w:rsidRDefault="00DB6835" w:rsidP="00A9140F">
            <w:pPr>
              <w:pStyle w:val="AnnexTableCellLeft"/>
            </w:pPr>
            <w:r>
              <w:t>Ráðstafanir til úrgangsstjórnunar eru til staðar, bæði í notkunaráfanganum og þegar skipið er úr sér gengið, í samræmi við úrgangsmetakerfið, þ.m.t. eftirlit og meðhöndlun hættulegra efna um borð í skipum og til að tryggja örugga endurvinnslu þeirra.</w:t>
            </w:r>
          </w:p>
        </w:tc>
      </w:tr>
      <w:tr w:rsidR="00DB6835" w14:paraId="2E0CE2C7" w14:textId="77777777" w:rsidTr="00A9140F">
        <w:trPr>
          <w:trHeight w:val="360"/>
        </w:trPr>
        <w:tc>
          <w:tcPr>
            <w:tcW w:w="2812" w:type="dxa"/>
            <w:tcMar>
              <w:top w:w="100" w:type="dxa"/>
              <w:left w:w="0" w:type="dxa"/>
              <w:bottom w:w="100" w:type="dxa"/>
              <w:right w:w="60" w:type="dxa"/>
            </w:tcMar>
          </w:tcPr>
          <w:p w14:paraId="4747B73E" w14:textId="77777777" w:rsidR="00DB6835" w:rsidRDefault="00DB6835" w:rsidP="00A9140F">
            <w:pPr>
              <w:pStyle w:val="AnnexNumberedText"/>
            </w:pPr>
            <w:r>
              <w:t>5)</w:t>
            </w:r>
            <w:r>
              <w:tab/>
              <w:t>Mengunarvarnir og eftirlit með mengun</w:t>
            </w:r>
          </w:p>
        </w:tc>
        <w:tc>
          <w:tcPr>
            <w:tcW w:w="5928" w:type="dxa"/>
            <w:tcMar>
              <w:top w:w="100" w:type="dxa"/>
              <w:left w:w="40" w:type="dxa"/>
              <w:bottom w:w="100" w:type="dxa"/>
              <w:right w:w="0" w:type="dxa"/>
            </w:tcMar>
          </w:tcPr>
          <w:p w14:paraId="254DA057" w14:textId="77777777" w:rsidR="00DB6835" w:rsidRDefault="00DB6835" w:rsidP="00A9140F">
            <w:pPr>
              <w:pStyle w:val="AnnexTableCellLeft"/>
            </w:pPr>
            <w:r>
              <w:t xml:space="preserve">Skip uppfylla losunarmörkin sem sett eru fram í II. viðauka við reglugerð (ESB) 2016/1628 (þ.m.t. skip sem uppfylla þessar takmarkanir án gerðarviðurkenndra lausna, s.s. með </w:t>
            </w:r>
            <w:proofErr w:type="spellStart"/>
            <w:r>
              <w:t>eftirmeðferð</w:t>
            </w:r>
            <w:proofErr w:type="spellEnd"/>
            <w:r>
              <w:t>).</w:t>
            </w:r>
          </w:p>
        </w:tc>
      </w:tr>
      <w:tr w:rsidR="00DB6835" w14:paraId="781CC46B" w14:textId="77777777" w:rsidTr="00A9140F">
        <w:trPr>
          <w:trHeight w:val="360"/>
        </w:trPr>
        <w:tc>
          <w:tcPr>
            <w:tcW w:w="2812" w:type="dxa"/>
            <w:tcMar>
              <w:top w:w="100" w:type="dxa"/>
              <w:left w:w="0" w:type="dxa"/>
              <w:bottom w:w="100" w:type="dxa"/>
              <w:right w:w="60" w:type="dxa"/>
            </w:tcMar>
          </w:tcPr>
          <w:p w14:paraId="3F64B679" w14:textId="77777777" w:rsidR="00DB6835" w:rsidRDefault="00DB6835" w:rsidP="00A9140F">
            <w:pPr>
              <w:pStyle w:val="AnnexNumberedText"/>
            </w:pPr>
            <w:r>
              <w:t>6)</w:t>
            </w:r>
            <w:r>
              <w:tab/>
              <w:t>Vernd og endurheimt líffræðilegrar fjölbreytni og vistkerfa</w:t>
            </w:r>
          </w:p>
        </w:tc>
        <w:tc>
          <w:tcPr>
            <w:tcW w:w="5928" w:type="dxa"/>
            <w:tcMar>
              <w:top w:w="100" w:type="dxa"/>
              <w:left w:w="40" w:type="dxa"/>
              <w:bottom w:w="100" w:type="dxa"/>
              <w:right w:w="0" w:type="dxa"/>
            </w:tcMar>
          </w:tcPr>
          <w:p w14:paraId="15B9130E" w14:textId="77777777" w:rsidR="00DB6835" w:rsidRDefault="00DB6835" w:rsidP="00A9140F">
            <w:pPr>
              <w:pStyle w:val="AnnexTableCellLeft"/>
            </w:pPr>
            <w:r>
              <w:t>Á ekki við</w:t>
            </w:r>
          </w:p>
        </w:tc>
      </w:tr>
    </w:tbl>
    <w:p w14:paraId="02A82FE4" w14:textId="77777777" w:rsidR="00DB6835" w:rsidRDefault="00DB6835" w:rsidP="00DB6835">
      <w:pPr>
        <w:pStyle w:val="AnnexNumberedText"/>
        <w:spacing w:before="200" w:after="400"/>
        <w:ind w:left="500" w:hanging="500"/>
      </w:pPr>
      <w:r>
        <w:t>6.10.</w:t>
      </w:r>
      <w:r>
        <w:rPr>
          <w:b/>
        </w:rPr>
        <w:tab/>
        <w:t>Millilanda- og strandsiglingar með vörur, skip fyrir hafnarstarfsemi og aukastarfsemi</w:t>
      </w:r>
    </w:p>
    <w:p w14:paraId="0941EA6A" w14:textId="77777777" w:rsidR="00DB6835" w:rsidRDefault="00DB6835" w:rsidP="00DB6835">
      <w:pPr>
        <w:pStyle w:val="AnnexGrSeq3"/>
        <w:spacing w:after="400"/>
        <w:ind w:left="500"/>
        <w:jc w:val="both"/>
      </w:pPr>
      <w:r>
        <w:rPr>
          <w:i/>
        </w:rPr>
        <w:t>Lýsing á starfseminni</w:t>
      </w:r>
    </w:p>
    <w:p w14:paraId="40CA9AE9" w14:textId="77777777" w:rsidR="00DB6835" w:rsidRDefault="00DB6835" w:rsidP="00DB6835">
      <w:pPr>
        <w:pStyle w:val="AnnexNormal"/>
        <w:spacing w:after="400"/>
        <w:ind w:left="500"/>
      </w:pPr>
      <w:r>
        <w:t xml:space="preserve">Kaup, fjármögnun, leiga (með eða án áhafnar) og </w:t>
      </w:r>
      <w:proofErr w:type="spellStart"/>
      <w:r>
        <w:t>starfræksla</w:t>
      </w:r>
      <w:proofErr w:type="spellEnd"/>
      <w:r>
        <w:t xml:space="preserve"> skipa sem eru hönnuð og útbúin til vöruflutninga eða fyrir samsetta flutninga á vörum og farþegum í millilanda- eða strandsiglingum, jafnt áætlunarferðir sem aðrar ferðir. Kaup, fjármögnun, leiga og </w:t>
      </w:r>
      <w:proofErr w:type="spellStart"/>
      <w:r>
        <w:t>starfræksla</w:t>
      </w:r>
      <w:proofErr w:type="spellEnd"/>
      <w:r>
        <w:t xml:space="preserve"> skipa sem þörf er á fyrir hafnar- og hjálparstarfsemi, s.s. dráttarbátar, </w:t>
      </w:r>
      <w:proofErr w:type="spellStart"/>
      <w:r>
        <w:t>festarþjónustubátar</w:t>
      </w:r>
      <w:proofErr w:type="spellEnd"/>
      <w:r>
        <w:t xml:space="preserve"> (e. </w:t>
      </w:r>
      <w:proofErr w:type="spellStart"/>
      <w:r>
        <w:rPr>
          <w:i/>
          <w:iCs/>
        </w:rPr>
        <w:t>mooring</w:t>
      </w:r>
      <w:proofErr w:type="spellEnd"/>
      <w:r>
        <w:rPr>
          <w:i/>
          <w:iCs/>
        </w:rPr>
        <w:t xml:space="preserve"> </w:t>
      </w:r>
      <w:proofErr w:type="spellStart"/>
      <w:r>
        <w:rPr>
          <w:i/>
          <w:iCs/>
        </w:rPr>
        <w:t>vessel</w:t>
      </w:r>
      <w:proofErr w:type="spellEnd"/>
      <w:r>
        <w:t>), hafnsögubátar, björgunarbátar og ísbrjótar.</w:t>
      </w:r>
    </w:p>
    <w:p w14:paraId="37A5A22B" w14:textId="77777777" w:rsidR="00DB6835" w:rsidRDefault="00DB6835" w:rsidP="00DB6835">
      <w:pPr>
        <w:pStyle w:val="AnnexNormal"/>
        <w:spacing w:after="400"/>
        <w:ind w:left="500"/>
      </w:pPr>
      <w:r>
        <w:t>Atvinnustarfsemin í þessum flokki gæti tengst nokkrum kóðum atvinnugreinaflokkunar Evrópusambandsins, einkum H50.2, H52.22 og N77.34, í samræmi við atvinnugreinaflokkunina sem komið var á með reglugerð (EB) nr. 1893/2006.</w:t>
      </w:r>
    </w:p>
    <w:p w14:paraId="684B2BC1" w14:textId="77777777" w:rsidR="00DB6835" w:rsidRDefault="00DB6835" w:rsidP="00DB6835">
      <w:pPr>
        <w:pStyle w:val="AnnexNormal"/>
        <w:spacing w:after="400"/>
        <w:ind w:left="500"/>
      </w:pPr>
      <w:r>
        <w:t>Ef atvinnustarfsemi í þessum flokki uppfyllir ekki viðmiðunina um verulegt framlag sem er tilgreind í a-lið 1. liðar þessa þáttar er starfsemin umbreytingarstarfsemi, eins og um getur í 2. mgr. 10. gr. reglugerðar (ESB) 2020/852, að því tilskildu að hún uppfylli eftirstandandi tæknileg matsviðmið sem sett eru fram í þessum þætti.</w:t>
      </w:r>
    </w:p>
    <w:p w14:paraId="26DA66AD" w14:textId="77777777" w:rsidR="00DB6835" w:rsidRDefault="00DB6835" w:rsidP="00DB6835">
      <w:pPr>
        <w:pStyle w:val="AnnexGrSeq3"/>
        <w:spacing w:after="4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12"/>
        <w:gridCol w:w="5928"/>
      </w:tblGrid>
      <w:tr w:rsidR="00DB6835" w14:paraId="123577F1"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23A1D357"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3B6A4AA7" w14:textId="77777777" w:rsidTr="00A9140F">
        <w:trPr>
          <w:trHeight w:val="360"/>
        </w:trPr>
        <w:tc>
          <w:tcPr>
            <w:tcW w:w="8740" w:type="dxa"/>
            <w:gridSpan w:val="2"/>
            <w:tcBorders>
              <w:bottom w:val="nil"/>
            </w:tcBorders>
            <w:tcMar>
              <w:top w:w="100" w:type="dxa"/>
              <w:left w:w="0" w:type="dxa"/>
              <w:bottom w:w="100" w:type="dxa"/>
              <w:right w:w="60" w:type="dxa"/>
            </w:tcMar>
          </w:tcPr>
          <w:p w14:paraId="28470908" w14:textId="77777777" w:rsidR="00DB6835" w:rsidRDefault="00DB6835" w:rsidP="00A9140F">
            <w:pPr>
              <w:pStyle w:val="AnnexNumberedText"/>
              <w:spacing w:after="360"/>
            </w:pPr>
            <w:r>
              <w:t>1.</w:t>
            </w:r>
            <w:r>
              <w:tab/>
              <w:t>Starfsemin er í samræmi við eina eða fleiri eftirfarandi viðmiðanir:</w:t>
            </w:r>
          </w:p>
          <w:p w14:paraId="48323F63" w14:textId="77777777" w:rsidR="00DB6835" w:rsidRDefault="00DB6835" w:rsidP="00A9140F">
            <w:pPr>
              <w:pStyle w:val="AnnexNumberedText"/>
              <w:spacing w:after="360"/>
            </w:pPr>
            <w:r>
              <w:t>a)</w:t>
            </w:r>
            <w:r>
              <w:tab/>
              <w:t>skipin eru ekki með neina beina koltvísýringslosun (gegnum útblástursrör),</w:t>
            </w:r>
          </w:p>
          <w:p w14:paraId="4AB69DBE" w14:textId="77777777" w:rsidR="00DB6835" w:rsidRDefault="00DB6835" w:rsidP="00A9140F">
            <w:pPr>
              <w:pStyle w:val="AnnexNumberedText"/>
              <w:spacing w:after="360"/>
            </w:pPr>
            <w:r>
              <w:t>b)</w:t>
            </w:r>
            <w:r>
              <w:tab/>
              <w:t xml:space="preserve">fram til 31. desember 2025, blendingsskip og </w:t>
            </w:r>
            <w:proofErr w:type="spellStart"/>
            <w:r>
              <w:t>tvíbrennieldsneytisskip</w:t>
            </w:r>
            <w:proofErr w:type="spellEnd"/>
            <w:r>
              <w:t xml:space="preserve"> fá a.m.k. 50%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p>
          <w:p w14:paraId="5ACE67A0" w14:textId="77777777" w:rsidR="00DB6835" w:rsidRDefault="00DB6835" w:rsidP="00A9140F">
            <w:pPr>
              <w:pStyle w:val="AnnexNumberedText"/>
              <w:spacing w:after="0"/>
            </w:pPr>
            <w:r>
              <w:t>c)</w:t>
            </w:r>
            <w:r>
              <w:tab/>
              <w:t xml:space="preserve">fram til 31. desember 2025, ef ekki er tæknilega og fjárhagslega mögulegt að uppfylla viðmiðunina í a-lið og einungis þegar hægt er að sýna fram á að skipin séu eingöngu notuð til að starfrækja strandþjónustu og þjónustu á stuttum sjóleiðum sem er ætluð til að stuðla að umskiptum í flutningum á vörum, sem nú eru fluttar á landi, yfir í flutninga á sjó, eru skipin með beina koltvísýringslosun (gegnum útblástursrör), sem er reiknuð út með því nota </w:t>
            </w:r>
            <w:proofErr w:type="spellStart"/>
            <w:r>
              <w:t>orkunýtnivísitölu</w:t>
            </w:r>
            <w:proofErr w:type="spellEnd"/>
            <w:r>
              <w:t xml:space="preserve"> hönnunar (</w:t>
            </w:r>
            <w:r>
              <w:rPr>
                <w:rStyle w:val="Tilvsunneanmlsgrein"/>
                <w:sz w:val="18"/>
                <w:szCs w:val="18"/>
              </w:rPr>
              <w:footnoteReference w:id="261"/>
            </w:r>
            <w:r>
              <w:t xml:space="preserve">) frá Alþjóðasiglingamálastofnuninni, sem er 50% lægri en meðaltal viðmiðunargildis fyrir losun á koltvísýringi sem er skilgreint fyrir þung farartæki (undirhópur ökutækja 5-LH) í samræmi við </w:t>
            </w:r>
            <w:r>
              <w:lastRenderedPageBreak/>
              <w:t>11. gr. reglugerðar (ESB) 2019/1242,</w:t>
            </w:r>
          </w:p>
        </w:tc>
      </w:tr>
      <w:tr w:rsidR="00DB6835" w14:paraId="7C874E21" w14:textId="77777777" w:rsidTr="00A9140F">
        <w:trPr>
          <w:trHeight w:val="360"/>
        </w:trPr>
        <w:tc>
          <w:tcPr>
            <w:tcW w:w="8740" w:type="dxa"/>
            <w:gridSpan w:val="2"/>
            <w:tcBorders>
              <w:top w:val="nil"/>
            </w:tcBorders>
            <w:tcMar>
              <w:top w:w="100" w:type="dxa"/>
              <w:left w:w="0" w:type="dxa"/>
              <w:bottom w:w="100" w:type="dxa"/>
              <w:right w:w="60" w:type="dxa"/>
            </w:tcMar>
          </w:tcPr>
          <w:p w14:paraId="77BEC739" w14:textId="77777777" w:rsidR="00DB6835" w:rsidRDefault="00DB6835" w:rsidP="00A9140F">
            <w:pPr>
              <w:pStyle w:val="AnnexNumberedText"/>
              <w:pageBreakBefore/>
              <w:spacing w:after="600"/>
              <w:rPr>
                <w:szCs w:val="18"/>
              </w:rPr>
            </w:pPr>
            <w:r>
              <w:lastRenderedPageBreak/>
              <w:t>d)</w:t>
            </w:r>
            <w:r>
              <w:tab/>
              <w:t xml:space="preserve">fram til 31. desember 2025, ef ekki er tæknilega og fjárhagslega mögulegt að uppfylla viðmiðunina í a-lið, skipin hafa náð gildi fyrir </w:t>
            </w:r>
            <w:proofErr w:type="spellStart"/>
            <w:r>
              <w:t>orkunýtnivísitölu</w:t>
            </w:r>
            <w:proofErr w:type="spellEnd"/>
            <w:r>
              <w:t xml:space="preserve"> hönnunar sem er 10% undir kröfunum um </w:t>
            </w:r>
            <w:proofErr w:type="spellStart"/>
            <w:r>
              <w:t>orkunýtnivísitölu</w:t>
            </w:r>
            <w:proofErr w:type="spellEnd"/>
            <w:r>
              <w:t xml:space="preserve"> hönnunar sem eru í gildi 1. apríl 2022 (</w:t>
            </w:r>
            <w:r>
              <w:rPr>
                <w:rStyle w:val="Tilvsunneanmlsgrein"/>
                <w:sz w:val="18"/>
                <w:szCs w:val="18"/>
              </w:rPr>
              <w:footnoteReference w:id="262"/>
            </w:r>
            <w:r>
              <w:t>) ef skipin geta gengið fyrir eldsneyti sem er ekki með neina beina koltvísýringslosun (gegnum útblástursrör) eða eldsneyti frá endurnýjanlegum orkugjöfum (</w:t>
            </w:r>
            <w:r>
              <w:rPr>
                <w:rStyle w:val="Tilvsunneanmlsgrein"/>
                <w:sz w:val="18"/>
                <w:szCs w:val="18"/>
              </w:rPr>
              <w:footnoteReference w:id="263"/>
            </w:r>
            <w:r>
              <w:t>).</w:t>
            </w:r>
          </w:p>
          <w:p w14:paraId="6CEDDEC0" w14:textId="77777777" w:rsidR="00DB6835" w:rsidRDefault="00DB6835" w:rsidP="00A9140F">
            <w:pPr>
              <w:pStyle w:val="AnnexNumberedText"/>
              <w:spacing w:after="600"/>
              <w:ind w:left="279" w:hanging="279"/>
            </w:pPr>
            <w:r>
              <w:t>2.</w:t>
            </w:r>
            <w:r>
              <w:tab/>
              <w:t>Skip eru ekki ætluð til flutninga á jarðefnaeldsneyti.</w:t>
            </w:r>
          </w:p>
        </w:tc>
      </w:tr>
      <w:tr w:rsidR="00DB6835" w14:paraId="7471B2E9" w14:textId="77777777" w:rsidTr="00A9140F">
        <w:trPr>
          <w:trHeight w:val="240"/>
        </w:trPr>
        <w:tc>
          <w:tcPr>
            <w:tcW w:w="8740" w:type="dxa"/>
            <w:gridSpan w:val="2"/>
            <w:tcMar>
              <w:top w:w="100" w:type="dxa"/>
              <w:left w:w="0" w:type="dxa"/>
              <w:bottom w:w="100" w:type="dxa"/>
              <w:right w:w="60" w:type="dxa"/>
            </w:tcMar>
          </w:tcPr>
          <w:p w14:paraId="6DCD34DB" w14:textId="77777777" w:rsidR="00DB6835" w:rsidRDefault="00DB6835" w:rsidP="00A9140F">
            <w:pPr>
              <w:pStyle w:val="AnnexTableCellLeft"/>
            </w:pPr>
            <w:r>
              <w:t>Ekki valda umtalsverðu tjóni</w:t>
            </w:r>
          </w:p>
        </w:tc>
      </w:tr>
      <w:tr w:rsidR="00DB6835" w14:paraId="57148277" w14:textId="77777777" w:rsidTr="00A9140F">
        <w:trPr>
          <w:trHeight w:val="360"/>
        </w:trPr>
        <w:tc>
          <w:tcPr>
            <w:tcW w:w="2812" w:type="dxa"/>
            <w:tcMar>
              <w:top w:w="100" w:type="dxa"/>
              <w:left w:w="0" w:type="dxa"/>
              <w:bottom w:w="100" w:type="dxa"/>
              <w:right w:w="60" w:type="dxa"/>
            </w:tcMar>
          </w:tcPr>
          <w:p w14:paraId="48E99080" w14:textId="77777777" w:rsidR="00DB6835" w:rsidRDefault="00DB6835" w:rsidP="00A9140F">
            <w:pPr>
              <w:pStyle w:val="AnnexNumberedText"/>
              <w:spacing w:after="240"/>
            </w:pPr>
            <w:r>
              <w:t>2)</w:t>
            </w:r>
            <w:r>
              <w:tab/>
              <w:t>Aðlögun að loftslagsbreytingum</w:t>
            </w:r>
          </w:p>
        </w:tc>
        <w:tc>
          <w:tcPr>
            <w:tcW w:w="5928" w:type="dxa"/>
            <w:tcMar>
              <w:top w:w="100" w:type="dxa"/>
              <w:left w:w="40" w:type="dxa"/>
              <w:bottom w:w="100" w:type="dxa"/>
              <w:right w:w="0" w:type="dxa"/>
            </w:tcMar>
          </w:tcPr>
          <w:p w14:paraId="43596214" w14:textId="77777777" w:rsidR="00DB6835" w:rsidRDefault="00DB6835" w:rsidP="00A9140F">
            <w:pPr>
              <w:pStyle w:val="AnnexTableCellLeft"/>
              <w:spacing w:after="240"/>
            </w:pPr>
            <w:r>
              <w:t>Starfsemin er í samræmi við viðmiðanirnar sem settar eru fram í viðbæti A við þennan viðauka.</w:t>
            </w:r>
          </w:p>
        </w:tc>
      </w:tr>
      <w:tr w:rsidR="00DB6835" w14:paraId="4ADDCCB2" w14:textId="77777777" w:rsidTr="00A9140F">
        <w:trPr>
          <w:trHeight w:val="360"/>
        </w:trPr>
        <w:tc>
          <w:tcPr>
            <w:tcW w:w="2812" w:type="dxa"/>
            <w:tcMar>
              <w:top w:w="100" w:type="dxa"/>
              <w:left w:w="0" w:type="dxa"/>
              <w:bottom w:w="100" w:type="dxa"/>
              <w:right w:w="60" w:type="dxa"/>
            </w:tcMar>
          </w:tcPr>
          <w:p w14:paraId="48DDE9F8" w14:textId="77777777" w:rsidR="00DB6835" w:rsidRDefault="00DB6835" w:rsidP="00A9140F">
            <w:pPr>
              <w:pStyle w:val="AnnexNumberedText"/>
              <w:spacing w:after="240"/>
            </w:pPr>
            <w:r>
              <w:t>3)</w:t>
            </w:r>
            <w:r>
              <w:tab/>
              <w:t>Sjálfbær notkun og verndun vatns- og sjávarauðlinda</w:t>
            </w:r>
          </w:p>
        </w:tc>
        <w:tc>
          <w:tcPr>
            <w:tcW w:w="5928" w:type="dxa"/>
            <w:tcMar>
              <w:top w:w="100" w:type="dxa"/>
              <w:left w:w="40" w:type="dxa"/>
              <w:bottom w:w="100" w:type="dxa"/>
              <w:right w:w="0" w:type="dxa"/>
            </w:tcMar>
          </w:tcPr>
          <w:p w14:paraId="0465A7AA" w14:textId="77777777" w:rsidR="00DB6835" w:rsidRDefault="00DB6835" w:rsidP="00A9140F">
            <w:pPr>
              <w:pStyle w:val="AnnexTableCellLeft"/>
              <w:spacing w:after="240"/>
            </w:pPr>
            <w:r>
              <w:t>Starfsemin er í samræmi við viðmiðanirnar sem settar eru fram í viðbæti B við þennan viðauka.</w:t>
            </w:r>
          </w:p>
        </w:tc>
      </w:tr>
      <w:tr w:rsidR="00DB6835" w14:paraId="066F682C" w14:textId="77777777" w:rsidTr="00A9140F">
        <w:trPr>
          <w:trHeight w:val="360"/>
        </w:trPr>
        <w:tc>
          <w:tcPr>
            <w:tcW w:w="2812" w:type="dxa"/>
            <w:tcMar>
              <w:top w:w="100" w:type="dxa"/>
              <w:left w:w="0" w:type="dxa"/>
              <w:bottom w:w="100" w:type="dxa"/>
              <w:right w:w="60" w:type="dxa"/>
            </w:tcMar>
          </w:tcPr>
          <w:p w14:paraId="3A029B63" w14:textId="77777777" w:rsidR="00DB6835" w:rsidRDefault="00DB6835" w:rsidP="00A9140F">
            <w:pPr>
              <w:pStyle w:val="AnnexNumberedText"/>
              <w:spacing w:after="240"/>
            </w:pPr>
            <w:r>
              <w:t>4)</w:t>
            </w:r>
            <w:r>
              <w:tab/>
              <w:t>Umskipti yfir í hringrásarhagkerfi</w:t>
            </w:r>
          </w:p>
        </w:tc>
        <w:tc>
          <w:tcPr>
            <w:tcW w:w="5928" w:type="dxa"/>
            <w:tcMar>
              <w:top w:w="100" w:type="dxa"/>
              <w:left w:w="40" w:type="dxa"/>
              <w:bottom w:w="100" w:type="dxa"/>
              <w:right w:w="0" w:type="dxa"/>
            </w:tcMar>
          </w:tcPr>
          <w:p w14:paraId="110FECD3" w14:textId="77777777" w:rsidR="00DB6835" w:rsidRDefault="00DB6835" w:rsidP="00A9140F">
            <w:pPr>
              <w:pStyle w:val="AnnexTableCellLeft"/>
              <w:spacing w:after="600"/>
            </w:pPr>
            <w:r>
              <w:t>Ráðstafanir til úrgangsstjórnunar eru til staðar, bæði í notkunaráfanganum og þegar skipið er úr sér gengið, í samræmi við úrgangsmetakerfið.</w:t>
            </w:r>
          </w:p>
          <w:p w14:paraId="2AFD158C" w14:textId="77777777" w:rsidR="00DB6835" w:rsidRDefault="00DB6835" w:rsidP="00A9140F">
            <w:pPr>
              <w:pStyle w:val="AnnexTableCellLeft"/>
              <w:spacing w:after="600"/>
            </w:pPr>
            <w:r>
              <w:t>Að því er varðar skip sem ganga fyrir rafhlöðum fela þessar ráðstafanir í sér endurnotkun og endurvinnslu á rafhlöðum og rafeindabúnaði, þ.m.t. mikilvæg hráefni í þeim.</w:t>
            </w:r>
          </w:p>
          <w:p w14:paraId="4A306CDB" w14:textId="77777777" w:rsidR="00DB6835" w:rsidRDefault="00DB6835" w:rsidP="00A9140F">
            <w:pPr>
              <w:pStyle w:val="AnnexTableCellLeft"/>
              <w:spacing w:after="600"/>
            </w:pPr>
            <w:r>
              <w:t xml:space="preserve">Að því er varðar gömul skip yfir 500 </w:t>
            </w:r>
            <w:proofErr w:type="spellStart"/>
            <w:r>
              <w:t>brúttótonn</w:t>
            </w:r>
            <w:proofErr w:type="spellEnd"/>
            <w:r>
              <w:t xml:space="preserve"> og nýsmíðuð skip sem leysa þau af hólmi er starfsemin í samræmi við kröfurnar í reglugerð Evrópuþingsins og ráðsins (ESB) nr. 1257/2013 (</w:t>
            </w:r>
            <w:r>
              <w:rPr>
                <w:rStyle w:val="Tilvsunneanmlsgrein"/>
                <w:sz w:val="18"/>
              </w:rPr>
              <w:footnoteReference w:id="264"/>
            </w:r>
            <w:r>
              <w:t>) að því er varðar birgðaskrána yfir hættuleg efni. Skip sem eru höggvin í brotajárn eru endurunnin í stöðvum sem eru á Evrópuskránni yfir skipaendurvinnslustöðvar eins og mælt er fyrir um í ákvörðun framkvæmdastjórnarinnar 2016/2323 (</w:t>
            </w:r>
            <w:r>
              <w:rPr>
                <w:rStyle w:val="Tilvsunneanmlsgrein"/>
                <w:sz w:val="18"/>
              </w:rPr>
              <w:footnoteReference w:id="265"/>
            </w:r>
            <w:r>
              <w:t>).</w:t>
            </w:r>
          </w:p>
          <w:p w14:paraId="3ECCF4F6" w14:textId="77777777" w:rsidR="00DB6835" w:rsidRDefault="00DB6835" w:rsidP="00A9140F">
            <w:pPr>
              <w:pStyle w:val="AnnexTableCellLeft"/>
              <w:spacing w:after="600"/>
            </w:pPr>
            <w:r>
              <w:t>Starfsemin er í samræmi við tilskipun Evrópuþingsins og ráðsins (ESB) 2019/883 (</w:t>
            </w:r>
            <w:r>
              <w:rPr>
                <w:rStyle w:val="Tilvsunneanmlsgrein"/>
                <w:sz w:val="18"/>
              </w:rPr>
              <w:footnoteReference w:id="266"/>
            </w:r>
            <w:r>
              <w:t>) að því er varðar verndun sjávarumhverfisins gegn neikvæðum áhrifum af losun úrgangs frá skipum.</w:t>
            </w:r>
          </w:p>
          <w:p w14:paraId="57DE4E51" w14:textId="77777777" w:rsidR="00DB6835" w:rsidRDefault="00DB6835" w:rsidP="00A9140F">
            <w:pPr>
              <w:pStyle w:val="AnnexTableCellLeft"/>
            </w:pPr>
            <w:r>
              <w:t xml:space="preserve">Skipið er starfrækt í samræmi við V. viðauka við alþjóðasamninginn um varnir </w:t>
            </w:r>
            <w:r>
              <w:lastRenderedPageBreak/>
              <w:t>gegn mengun frá skipum frá 2. nóvember 1973 (MARPOL-samningur Alþjóðasiglingamálastofnunarinnar), einkum með það fyrir augum að framleiða minna magn af úrgangi og að draga úr löglegri losun með því að stjórna úrgangi þess á sjálfbæran og umhverfisvænan hátt.</w:t>
            </w:r>
          </w:p>
        </w:tc>
      </w:tr>
      <w:tr w:rsidR="00DB6835" w14:paraId="564AD4FB" w14:textId="77777777" w:rsidTr="00A9140F">
        <w:trPr>
          <w:trHeight w:val="360"/>
        </w:trPr>
        <w:tc>
          <w:tcPr>
            <w:tcW w:w="2812" w:type="dxa"/>
            <w:tcMar>
              <w:top w:w="100" w:type="dxa"/>
              <w:left w:w="0" w:type="dxa"/>
              <w:bottom w:w="100" w:type="dxa"/>
              <w:right w:w="60" w:type="dxa"/>
            </w:tcMar>
          </w:tcPr>
          <w:p w14:paraId="7AFC254A" w14:textId="77777777" w:rsidR="00DB6835" w:rsidRDefault="00DB6835" w:rsidP="00A9140F">
            <w:pPr>
              <w:pStyle w:val="AnnexNumberedText"/>
              <w:pageBreakBefore/>
              <w:spacing w:after="240"/>
            </w:pPr>
            <w:r>
              <w:lastRenderedPageBreak/>
              <w:t>5)</w:t>
            </w:r>
            <w:r>
              <w:tab/>
              <w:t>Mengunarvarnir og eftirlit með mengun</w:t>
            </w:r>
          </w:p>
        </w:tc>
        <w:tc>
          <w:tcPr>
            <w:tcW w:w="5928" w:type="dxa"/>
            <w:tcMar>
              <w:top w:w="100" w:type="dxa"/>
              <w:left w:w="40" w:type="dxa"/>
              <w:bottom w:w="100" w:type="dxa"/>
              <w:right w:w="0" w:type="dxa"/>
            </w:tcMar>
          </w:tcPr>
          <w:p w14:paraId="362F88C3" w14:textId="77777777" w:rsidR="00DB6835" w:rsidRDefault="00DB6835" w:rsidP="00A9140F">
            <w:pPr>
              <w:pStyle w:val="AnnexTableCellLeft"/>
              <w:spacing w:after="380"/>
            </w:pPr>
            <w:r>
              <w:t xml:space="preserve">Að því er varðar samdrátt í losun </w:t>
            </w:r>
            <w:proofErr w:type="spellStart"/>
            <w:r>
              <w:t>brennisteinsoxíðs</w:t>
            </w:r>
            <w:proofErr w:type="spellEnd"/>
            <w:r>
              <w:t xml:space="preserve"> og efnisagna eru skip í samræmi við tilskipun Evrópuþingsins og ráðsins (ESB) 2016/802 (</w:t>
            </w:r>
            <w:r>
              <w:rPr>
                <w:rStyle w:val="Tilvsunneanmlsgrein"/>
                <w:sz w:val="18"/>
              </w:rPr>
              <w:footnoteReference w:id="267"/>
            </w:r>
            <w:r>
              <w:t>) og reglu 14 (</w:t>
            </w:r>
            <w:r>
              <w:rPr>
                <w:rStyle w:val="Tilvsunneanmlsgrein"/>
                <w:sz w:val="18"/>
              </w:rPr>
              <w:footnoteReference w:id="268"/>
            </w:r>
            <w:r>
              <w:t>) í VI. viðauka við MARPOL-samning Alþjóðasiglingamálastofnunarinnar. Brennisteinsinnihaldið í eldsneytinu fer ekki yfir 0,5% af massa (heildarmörk fyrir brennistein) og 0,1% af massa á mengunarvarnarsvæðum sem Alþjóðasiglingamálastofnunin hefur skilgreint í Norðursjó og Eystrasalti (</w:t>
            </w:r>
            <w:r>
              <w:rPr>
                <w:rStyle w:val="Tilvsunneanmlsgrein"/>
                <w:sz w:val="18"/>
              </w:rPr>
              <w:footnoteReference w:id="269"/>
            </w:r>
            <w:r>
              <w:t>).</w:t>
            </w:r>
          </w:p>
          <w:p w14:paraId="589E6480" w14:textId="77777777" w:rsidR="00DB6835" w:rsidRDefault="00DB6835" w:rsidP="00A9140F">
            <w:pPr>
              <w:pStyle w:val="AnnexTableCellLeft"/>
              <w:spacing w:after="380"/>
            </w:pPr>
            <w:r>
              <w:t xml:space="preserve">Að því er varðar losun </w:t>
            </w:r>
            <w:proofErr w:type="spellStart"/>
            <w:r>
              <w:t>köfnunarefnisoxíðs</w:t>
            </w:r>
            <w:proofErr w:type="spellEnd"/>
            <w:r>
              <w:t xml:space="preserve"> (</w:t>
            </w:r>
            <w:proofErr w:type="spellStart"/>
            <w:r>
              <w:t>NO</w:t>
            </w:r>
            <w:r>
              <w:rPr>
                <w:vertAlign w:val="subscript"/>
              </w:rPr>
              <w:t>x</w:t>
            </w:r>
            <w:proofErr w:type="spellEnd"/>
            <w:r>
              <w:t>) eru skip í samræmi við reglu 13 (</w:t>
            </w:r>
            <w:r>
              <w:rPr>
                <w:rStyle w:val="Tilvsunneanmlsgrein"/>
                <w:sz w:val="18"/>
              </w:rPr>
              <w:footnoteReference w:id="270"/>
            </w:r>
            <w:r>
              <w:t xml:space="preserve">) í VI. viðauka við MARPOL-samning Alþjóðasiglingamálastofnunarinnar. Krafan um </w:t>
            </w:r>
            <w:proofErr w:type="spellStart"/>
            <w:r>
              <w:t>NO</w:t>
            </w:r>
            <w:r>
              <w:rPr>
                <w:vertAlign w:val="subscript"/>
              </w:rPr>
              <w:t>x</w:t>
            </w:r>
            <w:proofErr w:type="spellEnd"/>
            <w:r>
              <w:t xml:space="preserve"> í þrepi II gildir um skip sem smíðuð voru eftir 2011. Einungis við </w:t>
            </w:r>
            <w:proofErr w:type="spellStart"/>
            <w:r>
              <w:t>starfrækslu</w:t>
            </w:r>
            <w:proofErr w:type="spellEnd"/>
            <w:r>
              <w:t xml:space="preserve"> á </w:t>
            </w:r>
            <w:proofErr w:type="spellStart"/>
            <w:r>
              <w:t>NO</w:t>
            </w:r>
            <w:r>
              <w:rPr>
                <w:vertAlign w:val="subscript"/>
              </w:rPr>
              <w:t>x</w:t>
            </w:r>
            <w:proofErr w:type="spellEnd"/>
            <w:r>
              <w:t xml:space="preserve">-mengunarvarnarsvæðum, sem komið var á samkvæmt reglum Alþjóðasiglingamálastofnunarinnar, uppfylla skip sem voru smíðuð eftir 1. janúar 2016 strangari kröfur um hreyfla (þrep III) til að draga úr losun </w:t>
            </w:r>
            <w:proofErr w:type="spellStart"/>
            <w:r>
              <w:t>NO</w:t>
            </w:r>
            <w:r>
              <w:rPr>
                <w:vertAlign w:val="subscript"/>
              </w:rPr>
              <w:t>x</w:t>
            </w:r>
            <w:proofErr w:type="spellEnd"/>
            <w:r>
              <w:t xml:space="preserve"> (</w:t>
            </w:r>
            <w:r>
              <w:rPr>
                <w:rStyle w:val="Tilvsunneanmlsgrein"/>
                <w:sz w:val="18"/>
              </w:rPr>
              <w:footnoteReference w:id="271"/>
            </w:r>
            <w:r>
              <w:t>).</w:t>
            </w:r>
          </w:p>
          <w:p w14:paraId="4F825D2A" w14:textId="77777777" w:rsidR="00DB6835" w:rsidRDefault="00DB6835" w:rsidP="00A9140F">
            <w:pPr>
              <w:pStyle w:val="AnnexTableCellLeft"/>
              <w:spacing w:after="380"/>
            </w:pPr>
            <w:r>
              <w:t xml:space="preserve">Losun á </w:t>
            </w:r>
            <w:proofErr w:type="spellStart"/>
            <w:r>
              <w:t>svartvatni</w:t>
            </w:r>
            <w:proofErr w:type="spellEnd"/>
            <w:r>
              <w:t xml:space="preserve"> og grávatni er í samræmi við IV. viðauka við MARPOL-samning Alþjóðasiglingamálastofnunarinnar.</w:t>
            </w:r>
          </w:p>
          <w:p w14:paraId="573CE5DB" w14:textId="77777777" w:rsidR="00DB6835" w:rsidRDefault="00DB6835" w:rsidP="00A9140F">
            <w:pPr>
              <w:pStyle w:val="AnnexTableCellLeft"/>
              <w:spacing w:after="240"/>
            </w:pPr>
            <w:r>
              <w:t xml:space="preserve">Ráðstafanir eru til staðar til að lágmarka eiturhrif frá gróðurhindrandi málningu og </w:t>
            </w:r>
            <w:proofErr w:type="spellStart"/>
            <w:r>
              <w:t>sæfiefnum</w:t>
            </w:r>
            <w:proofErr w:type="spellEnd"/>
            <w:r>
              <w:t>, eins og mælt er fyrir um í reglugerð (ESB) nr. 528/2012 þar sem alþjóðasamningurinn um eftirlit með skaðlegum, gróðurhindrandi efnum og/eða búnaði á skipum, sem var samþykktur 5. október 2001, er tekinn upp í lög Sambandsins (</w:t>
            </w:r>
            <w:r>
              <w:rPr>
                <w:rStyle w:val="Tilvsunneanmlsgrein"/>
                <w:sz w:val="18"/>
              </w:rPr>
              <w:footnoteReference w:id="272"/>
            </w:r>
            <w:r>
              <w:t>).</w:t>
            </w:r>
          </w:p>
        </w:tc>
      </w:tr>
      <w:tr w:rsidR="00DB6835" w14:paraId="1C2D1EFE" w14:textId="77777777" w:rsidTr="00A9140F">
        <w:trPr>
          <w:trHeight w:val="360"/>
        </w:trPr>
        <w:tc>
          <w:tcPr>
            <w:tcW w:w="2812" w:type="dxa"/>
            <w:tcMar>
              <w:top w:w="100" w:type="dxa"/>
              <w:left w:w="0" w:type="dxa"/>
              <w:bottom w:w="100" w:type="dxa"/>
              <w:right w:w="60" w:type="dxa"/>
            </w:tcMar>
          </w:tcPr>
          <w:p w14:paraId="0FD97388" w14:textId="77777777" w:rsidR="00DB6835" w:rsidRDefault="00DB6835" w:rsidP="00A9140F">
            <w:pPr>
              <w:pStyle w:val="AnnexNumberedText"/>
              <w:spacing w:after="240"/>
            </w:pPr>
            <w:r>
              <w:t>6)</w:t>
            </w:r>
            <w:r>
              <w:tab/>
              <w:t>Vernd og endurheimt líffræðilegrar fjölbreytni og vistkerfa</w:t>
            </w:r>
          </w:p>
        </w:tc>
        <w:tc>
          <w:tcPr>
            <w:tcW w:w="5928" w:type="dxa"/>
            <w:tcMar>
              <w:top w:w="100" w:type="dxa"/>
              <w:left w:w="40" w:type="dxa"/>
              <w:bottom w:w="100" w:type="dxa"/>
              <w:right w:w="0" w:type="dxa"/>
            </w:tcMar>
          </w:tcPr>
          <w:p w14:paraId="2431F3C9" w14:textId="77777777" w:rsidR="00DB6835" w:rsidRDefault="00DB6835" w:rsidP="00A9140F">
            <w:pPr>
              <w:pStyle w:val="AnnexTableCellLeft"/>
              <w:spacing w:after="380"/>
            </w:pPr>
            <w:r>
              <w:t>Komið er í veg fyrir losun kjölfestuvatns sem inniheldur framandi tegundir í samræmi við alþjóðasamninginn um stjórnun og meðhöndlun á kjölfestuvatni skipa og botnfalli í því.</w:t>
            </w:r>
          </w:p>
          <w:p w14:paraId="2B623585" w14:textId="77777777" w:rsidR="00DB6835" w:rsidRDefault="00DB6835" w:rsidP="00A9140F">
            <w:pPr>
              <w:pStyle w:val="AnnexTableCellLeft"/>
              <w:spacing w:after="380"/>
            </w:pPr>
            <w:r>
              <w:t xml:space="preserve">Ráðstafanir eru til staðar til að koma í veg fyrir </w:t>
            </w:r>
            <w:proofErr w:type="spellStart"/>
            <w:r>
              <w:t>aðflutning</w:t>
            </w:r>
            <w:proofErr w:type="spellEnd"/>
            <w:r>
              <w:t xml:space="preserve"> framandi tegunda með ásætum á skipsskrokk og krókum og kimum (e. </w:t>
            </w:r>
            <w:proofErr w:type="spellStart"/>
            <w:r>
              <w:rPr>
                <w:i/>
                <w:iCs/>
              </w:rPr>
              <w:t>niche</w:t>
            </w:r>
            <w:proofErr w:type="spellEnd"/>
            <w:r>
              <w:rPr>
                <w:i/>
                <w:iCs/>
              </w:rPr>
              <w:t xml:space="preserve"> </w:t>
            </w:r>
            <w:proofErr w:type="spellStart"/>
            <w:r>
              <w:rPr>
                <w:i/>
                <w:iCs/>
              </w:rPr>
              <w:t>area</w:t>
            </w:r>
            <w:proofErr w:type="spellEnd"/>
            <w:r>
              <w:t>) skipa, að teknu tilliti til leiðbeininga Alþjóðasiglingamálastofnunarinnar um ásætur (</w:t>
            </w:r>
            <w:r>
              <w:rPr>
                <w:rStyle w:val="Tilvsunneanmlsgrein"/>
                <w:sz w:val="18"/>
              </w:rPr>
              <w:footnoteReference w:id="273"/>
            </w:r>
            <w:r>
              <w:t>).</w:t>
            </w:r>
          </w:p>
          <w:p w14:paraId="71ABFE70" w14:textId="77777777" w:rsidR="00DB6835" w:rsidRDefault="00DB6835" w:rsidP="00A9140F">
            <w:pPr>
              <w:pStyle w:val="AnnexTableCellLeft"/>
              <w:spacing w:after="380"/>
            </w:pPr>
            <w:r>
              <w:t>Hávaði og titringur er takmarkaður með því að nota skrúfur sem draga úr hávaða, hönnun skipsskrokksins eða vélbúnað um borð í samræmi við leiðbeiningarnar sem gefnar eru í leiðbeiningum Alþjóðasiglingamálastofnunarinnar um að draga úr hávaða neðansjávar (</w:t>
            </w:r>
            <w:r>
              <w:rPr>
                <w:rStyle w:val="Tilvsunneanmlsgrein"/>
                <w:sz w:val="18"/>
              </w:rPr>
              <w:footnoteReference w:id="274"/>
            </w:r>
            <w:r>
              <w:t>).</w:t>
            </w:r>
          </w:p>
          <w:p w14:paraId="6E4D07B2" w14:textId="77777777" w:rsidR="00DB6835" w:rsidRDefault="00DB6835" w:rsidP="00A9140F">
            <w:pPr>
              <w:pStyle w:val="AnnexTableCellLeft"/>
            </w:pPr>
            <w:r>
              <w:t xml:space="preserve">Í Sambandinu hindrar starfsemin ekki að góð umhverfisleg staða náist, eins og sett er fram í tilskipun 2008/56/EB, sem kallar á að viðeigandi ráðstafanir séu </w:t>
            </w:r>
            <w:r>
              <w:lastRenderedPageBreak/>
              <w:t>gerðar til að koma í veg fyrir eða draga úr áhrifum í tengslum við lýsingu 1 í þeirri tilskipun (líffræðileg fjölbreytni), 2 (framandi tegundir), 6 (heilleiki hafsbotns), 8 (</w:t>
            </w:r>
            <w:proofErr w:type="spellStart"/>
            <w:r>
              <w:t>aðskotaefni</w:t>
            </w:r>
            <w:proofErr w:type="spellEnd"/>
            <w:r>
              <w:t>), 10 (rusl í sjó) og 11 (hávaði/orka) og eins og sett er fram í ákvörðun framkvæmdastjórnarinnar (ESB) 2017/848 í tengslum við viðkomandi viðmiðanir og aðferðafræðilega staðla fyrir þær lýsingar, eftir því sem við á.</w:t>
            </w:r>
          </w:p>
        </w:tc>
      </w:tr>
    </w:tbl>
    <w:p w14:paraId="0A0ABC56" w14:textId="77777777" w:rsidR="00DB6835" w:rsidRDefault="00DB6835" w:rsidP="00DB6835">
      <w:pPr>
        <w:shd w:val="clear" w:color="auto" w:fill="auto"/>
        <w:spacing w:line="0" w:lineRule="auto"/>
        <w:jc w:val="left"/>
        <w:rPr>
          <w:color w:val="auto"/>
          <w14:ligatures w14:val="standard"/>
        </w:rPr>
      </w:pPr>
      <w:r>
        <w:lastRenderedPageBreak/>
        <w:br w:type="page"/>
      </w:r>
    </w:p>
    <w:p w14:paraId="58E7DC59" w14:textId="77777777" w:rsidR="00DB6835" w:rsidRDefault="00DB6835" w:rsidP="00DB6835">
      <w:pPr>
        <w:pStyle w:val="AnnexNumberedText"/>
        <w:ind w:left="500" w:hanging="500"/>
      </w:pPr>
      <w:r>
        <w:lastRenderedPageBreak/>
        <w:t>6.11.</w:t>
      </w:r>
      <w:r>
        <w:rPr>
          <w:b/>
        </w:rPr>
        <w:tab/>
        <w:t>Millilanda- og strandsiglingar með farþega</w:t>
      </w:r>
    </w:p>
    <w:p w14:paraId="51FD2982" w14:textId="77777777" w:rsidR="00DB6835" w:rsidRDefault="00DB6835" w:rsidP="00DB6835">
      <w:pPr>
        <w:pStyle w:val="AnnexGrSeq3"/>
        <w:spacing w:after="240"/>
        <w:ind w:left="500"/>
        <w:jc w:val="both"/>
      </w:pPr>
      <w:r>
        <w:rPr>
          <w:i/>
        </w:rPr>
        <w:t>Lýsing á starfseminni</w:t>
      </w:r>
    </w:p>
    <w:p w14:paraId="782E3EA2" w14:textId="77777777" w:rsidR="00DB6835" w:rsidRDefault="00DB6835" w:rsidP="00DB6835">
      <w:pPr>
        <w:pStyle w:val="AnnexNormal"/>
        <w:spacing w:after="240"/>
        <w:ind w:left="500"/>
      </w:pPr>
      <w:r>
        <w:t xml:space="preserve">Kaup, fjármögnun, leiga (með eða án áhafnar) og </w:t>
      </w:r>
      <w:proofErr w:type="spellStart"/>
      <w:r>
        <w:t>starfræksla</w:t>
      </w:r>
      <w:proofErr w:type="spellEnd"/>
      <w:r>
        <w:t xml:space="preserve"> skipa sem eru hönnuð og útbúin til farþegaflutninga í millilanda- eða strandsiglingum, jafnt áætlunarferðir sem aðrar ferðir. Atvinnustarfsemin í þessum flokki nær yfir </w:t>
      </w:r>
      <w:proofErr w:type="spellStart"/>
      <w:r>
        <w:t>starfrækslu</w:t>
      </w:r>
      <w:proofErr w:type="spellEnd"/>
      <w:r>
        <w:t xml:space="preserve"> á ferjum, leigubátum (e. </w:t>
      </w:r>
      <w:proofErr w:type="spellStart"/>
      <w:r>
        <w:rPr>
          <w:i/>
          <w:iCs/>
        </w:rPr>
        <w:t>water</w:t>
      </w:r>
      <w:proofErr w:type="spellEnd"/>
      <w:r>
        <w:rPr>
          <w:i/>
          <w:iCs/>
        </w:rPr>
        <w:t xml:space="preserve"> taxi</w:t>
      </w:r>
      <w:r>
        <w:t>) og skoðunarferða-, skemmtisiglinga- og kynnisferðabátum.</w:t>
      </w:r>
    </w:p>
    <w:p w14:paraId="2125C7F6" w14:textId="77777777" w:rsidR="00DB6835" w:rsidRDefault="00DB6835" w:rsidP="00DB6835">
      <w:pPr>
        <w:pStyle w:val="AnnexNormal"/>
        <w:spacing w:after="240"/>
        <w:ind w:left="500"/>
      </w:pPr>
      <w:r>
        <w:t>Starfsemin gæti tengst nokkrum kóðum atvinnugreinaflokkunar Evrópusambandsins, einkum H50.10, N77.21 og N77.34, í samræmi við atvinnugreinaflokkunina sem komið var á með reglugerð (EB) nr. 1893/2006.</w:t>
      </w:r>
    </w:p>
    <w:p w14:paraId="4174ECA1" w14:textId="77777777" w:rsidR="00DB6835" w:rsidRDefault="00DB6835" w:rsidP="00DB6835">
      <w:pPr>
        <w:pStyle w:val="AnnexNormal"/>
        <w:spacing w:after="240"/>
        <w:ind w:left="500"/>
      </w:pPr>
      <w:r>
        <w:t>Ef atvinnustarfsemi í þessum flokki uppfyllir ekki viðmiðunina um verulegt framlag sem er tilgreind í a-lið þessa þáttar er starfsemin umbreytingarstarfsemi, eins og um getur í 2. mgr. 10. gr. reglugerðar (ESB) 2020/852, að því tilskildu að hún uppfylli eftirstandandi tæknileg matsviðmið sem sett eru fram í þessum þætti.</w:t>
      </w:r>
    </w:p>
    <w:p w14:paraId="3DA6A22C" w14:textId="77777777" w:rsidR="00DB6835" w:rsidRDefault="00DB6835" w:rsidP="00DB6835">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728"/>
        <w:gridCol w:w="6012"/>
      </w:tblGrid>
      <w:tr w:rsidR="00DB6835" w14:paraId="1F04743E" w14:textId="77777777" w:rsidTr="00A9140F">
        <w:trPr>
          <w:trHeight w:val="240"/>
        </w:trPr>
        <w:tc>
          <w:tcPr>
            <w:tcW w:w="8740" w:type="dxa"/>
            <w:gridSpan w:val="2"/>
            <w:tcMar>
              <w:top w:w="100" w:type="dxa"/>
              <w:left w:w="0" w:type="dxa"/>
              <w:bottom w:w="100" w:type="dxa"/>
              <w:right w:w="60" w:type="dxa"/>
            </w:tcMar>
          </w:tcPr>
          <w:p w14:paraId="3CA848F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196859FC" w14:textId="77777777" w:rsidTr="00A9140F">
        <w:trPr>
          <w:trHeight w:val="360"/>
        </w:trPr>
        <w:tc>
          <w:tcPr>
            <w:tcW w:w="8740" w:type="dxa"/>
            <w:gridSpan w:val="2"/>
            <w:tcMar>
              <w:top w:w="100" w:type="dxa"/>
              <w:left w:w="0" w:type="dxa"/>
              <w:bottom w:w="100" w:type="dxa"/>
              <w:right w:w="60" w:type="dxa"/>
            </w:tcMar>
          </w:tcPr>
          <w:p w14:paraId="08EC24B3" w14:textId="77777777" w:rsidR="00DB6835" w:rsidRDefault="00DB6835" w:rsidP="00A9140F">
            <w:pPr>
              <w:pStyle w:val="AnnexTableCellLeft"/>
              <w:spacing w:after="240"/>
            </w:pPr>
            <w:r>
              <w:t>Starfsemin er í samræmi við eina eða fleiri eftirfarandi viðmiðanir:</w:t>
            </w:r>
          </w:p>
          <w:p w14:paraId="6648A704" w14:textId="77777777" w:rsidR="00DB6835" w:rsidRDefault="00DB6835" w:rsidP="00A9140F">
            <w:pPr>
              <w:pStyle w:val="AnnexNumberedText"/>
              <w:spacing w:after="240"/>
            </w:pPr>
            <w:r>
              <w:t>a)</w:t>
            </w:r>
            <w:r>
              <w:tab/>
              <w:t>skipin eru ekki með neina beina koltvísýringslosun (gegnum útblástursrör),</w:t>
            </w:r>
          </w:p>
          <w:p w14:paraId="0C3C22F1" w14:textId="77777777" w:rsidR="00DB6835" w:rsidRDefault="00DB6835" w:rsidP="00A9140F">
            <w:pPr>
              <w:pStyle w:val="AnnexNumberedText"/>
              <w:spacing w:after="240"/>
            </w:pPr>
            <w:r>
              <w:t>b)</w:t>
            </w:r>
            <w:r>
              <w:tab/>
              <w:t xml:space="preserve">fram til 31. desember 2025, ef ekki er tæknilega og fjárhagslega mögulegt að uppfylla viðmiðunina í a-lið, blendingsskip og </w:t>
            </w:r>
            <w:proofErr w:type="spellStart"/>
            <w:r>
              <w:t>tvíbrennieldsneytisskip</w:t>
            </w:r>
            <w:proofErr w:type="spellEnd"/>
            <w:r>
              <w:t xml:space="preserve"> fá a.m.k. 25%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p>
          <w:p w14:paraId="7A152CE6" w14:textId="77777777" w:rsidR="00DB6835" w:rsidRDefault="00DB6835" w:rsidP="00A9140F">
            <w:pPr>
              <w:pStyle w:val="AnnexNumberedText"/>
              <w:spacing w:after="240"/>
            </w:pPr>
            <w:r>
              <w:t>c)</w:t>
            </w:r>
            <w:r>
              <w:tab/>
              <w:t xml:space="preserve">fram til 31. desember 2025, ef ekki er tæknilega og fjárhagslega mögulegt að uppfylla viðmiðunina í a-lið, skipin hafa náð gildi fyrir </w:t>
            </w:r>
            <w:proofErr w:type="spellStart"/>
            <w:r>
              <w:t>orkunýtnivísitölu</w:t>
            </w:r>
            <w:proofErr w:type="spellEnd"/>
            <w:r>
              <w:t xml:space="preserve"> hönnunar (</w:t>
            </w:r>
            <w:r>
              <w:rPr>
                <w:rStyle w:val="Tilvsunneanmlsgrein"/>
                <w:sz w:val="18"/>
              </w:rPr>
              <w:footnoteReference w:id="275"/>
            </w:r>
            <w:r>
              <w:t xml:space="preserve">) sem er 10% undir kröfunum um </w:t>
            </w:r>
            <w:proofErr w:type="spellStart"/>
            <w:r>
              <w:t>orkunýtnivísitölu</w:t>
            </w:r>
            <w:proofErr w:type="spellEnd"/>
            <w:r>
              <w:t xml:space="preserve"> hönnunar sem eru í gildi 1. apríl 2022 (</w:t>
            </w:r>
            <w:r>
              <w:rPr>
                <w:rStyle w:val="Tilvsunneanmlsgrein"/>
                <w:sz w:val="18"/>
              </w:rPr>
              <w:footnoteReference w:id="276"/>
            </w:r>
            <w:r>
              <w:t>) ef skipin geta gengið fyrir eldsneyti sem er ekki með neina beina koltvísýringslosun (gegnum útblástursrör) eða eldsneyti frá endurnýjanlegum orkugjöfum (</w:t>
            </w:r>
            <w:r>
              <w:rPr>
                <w:rStyle w:val="Tilvsunneanmlsgrein"/>
                <w:sz w:val="18"/>
              </w:rPr>
              <w:footnoteReference w:id="277"/>
            </w:r>
            <w:r>
              <w:t>).</w:t>
            </w:r>
          </w:p>
        </w:tc>
      </w:tr>
      <w:tr w:rsidR="00DB6835" w14:paraId="5F703FAD" w14:textId="77777777" w:rsidTr="00A9140F">
        <w:trPr>
          <w:trHeight w:val="240"/>
        </w:trPr>
        <w:tc>
          <w:tcPr>
            <w:tcW w:w="8740" w:type="dxa"/>
            <w:gridSpan w:val="2"/>
            <w:tcMar>
              <w:top w:w="100" w:type="dxa"/>
              <w:left w:w="0" w:type="dxa"/>
              <w:bottom w:w="100" w:type="dxa"/>
              <w:right w:w="60" w:type="dxa"/>
            </w:tcMar>
          </w:tcPr>
          <w:p w14:paraId="5350D7B6" w14:textId="77777777" w:rsidR="00DB6835" w:rsidRDefault="00DB6835" w:rsidP="00A9140F">
            <w:pPr>
              <w:pStyle w:val="AnnexTableCellLeft"/>
            </w:pPr>
            <w:r>
              <w:t>Ekki valda umtalsverðu tjóni</w:t>
            </w:r>
          </w:p>
        </w:tc>
      </w:tr>
      <w:tr w:rsidR="00DB6835" w14:paraId="45248729" w14:textId="77777777" w:rsidTr="00A9140F">
        <w:trPr>
          <w:trHeight w:val="360"/>
        </w:trPr>
        <w:tc>
          <w:tcPr>
            <w:tcW w:w="2728" w:type="dxa"/>
            <w:tcMar>
              <w:top w:w="100" w:type="dxa"/>
              <w:left w:w="0" w:type="dxa"/>
              <w:bottom w:w="100" w:type="dxa"/>
              <w:right w:w="60" w:type="dxa"/>
            </w:tcMar>
          </w:tcPr>
          <w:p w14:paraId="7047B287" w14:textId="77777777" w:rsidR="00DB6835" w:rsidRDefault="00DB6835" w:rsidP="00A9140F">
            <w:pPr>
              <w:pStyle w:val="AnnexNumberedText"/>
            </w:pPr>
            <w:r>
              <w:t>2)</w:t>
            </w:r>
            <w:r>
              <w:tab/>
              <w:t>Aðlögun að loftslagsbreytingum</w:t>
            </w:r>
          </w:p>
        </w:tc>
        <w:tc>
          <w:tcPr>
            <w:tcW w:w="6012" w:type="dxa"/>
            <w:tcMar>
              <w:top w:w="100" w:type="dxa"/>
              <w:left w:w="40" w:type="dxa"/>
              <w:bottom w:w="100" w:type="dxa"/>
              <w:right w:w="0" w:type="dxa"/>
            </w:tcMar>
          </w:tcPr>
          <w:p w14:paraId="0998C75A" w14:textId="77777777" w:rsidR="00DB6835" w:rsidRDefault="00DB6835" w:rsidP="00A9140F">
            <w:pPr>
              <w:pStyle w:val="AnnexTableCellLeft"/>
            </w:pPr>
            <w:r>
              <w:t>Starfsemin er í samræmi við viðmiðanirnar sem settar eru fram í viðbæti A við þennan viðauka.</w:t>
            </w:r>
          </w:p>
        </w:tc>
      </w:tr>
      <w:tr w:rsidR="00DB6835" w14:paraId="551423E7" w14:textId="77777777" w:rsidTr="00A9140F">
        <w:trPr>
          <w:trHeight w:val="360"/>
        </w:trPr>
        <w:tc>
          <w:tcPr>
            <w:tcW w:w="2728" w:type="dxa"/>
            <w:tcBorders>
              <w:bottom w:val="single" w:sz="4" w:space="0" w:color="auto"/>
            </w:tcBorders>
            <w:tcMar>
              <w:top w:w="100" w:type="dxa"/>
              <w:left w:w="0" w:type="dxa"/>
              <w:bottom w:w="100" w:type="dxa"/>
              <w:right w:w="60" w:type="dxa"/>
            </w:tcMar>
          </w:tcPr>
          <w:p w14:paraId="256203F7" w14:textId="77777777" w:rsidR="00DB6835" w:rsidRDefault="00DB6835" w:rsidP="00A9140F">
            <w:pPr>
              <w:pStyle w:val="AnnexNumberedText"/>
            </w:pPr>
            <w:r>
              <w:t>3)</w:t>
            </w:r>
            <w:r>
              <w:tab/>
              <w:t>Sjálfbær notkun og verndun vatns- og sjávarauðlinda</w:t>
            </w:r>
          </w:p>
        </w:tc>
        <w:tc>
          <w:tcPr>
            <w:tcW w:w="6012" w:type="dxa"/>
            <w:tcBorders>
              <w:bottom w:val="single" w:sz="4" w:space="0" w:color="auto"/>
            </w:tcBorders>
            <w:tcMar>
              <w:top w:w="100" w:type="dxa"/>
              <w:left w:w="40" w:type="dxa"/>
              <w:bottom w:w="100" w:type="dxa"/>
              <w:right w:w="0" w:type="dxa"/>
            </w:tcMar>
          </w:tcPr>
          <w:p w14:paraId="3C3EECED" w14:textId="77777777" w:rsidR="00DB6835" w:rsidRDefault="00DB6835" w:rsidP="00A9140F">
            <w:pPr>
              <w:pStyle w:val="AnnexTableCellLeft"/>
            </w:pPr>
            <w:r>
              <w:t>Starfsemin er í samræmi við viðmiðanirnar sem settar eru fram í viðbæti B við þennan viðauka.</w:t>
            </w:r>
          </w:p>
        </w:tc>
      </w:tr>
      <w:tr w:rsidR="00DB6835" w14:paraId="13FCC6F7" w14:textId="77777777" w:rsidTr="00A9140F">
        <w:trPr>
          <w:trHeight w:val="360"/>
        </w:trPr>
        <w:tc>
          <w:tcPr>
            <w:tcW w:w="2728" w:type="dxa"/>
            <w:tcBorders>
              <w:bottom w:val="nil"/>
            </w:tcBorders>
            <w:tcMar>
              <w:top w:w="100" w:type="dxa"/>
              <w:left w:w="0" w:type="dxa"/>
              <w:bottom w:w="100" w:type="dxa"/>
              <w:right w:w="60" w:type="dxa"/>
            </w:tcMar>
          </w:tcPr>
          <w:p w14:paraId="00B22CAA" w14:textId="77777777" w:rsidR="00DB6835" w:rsidRDefault="00DB6835" w:rsidP="00A9140F">
            <w:pPr>
              <w:pStyle w:val="AnnexNumberedText"/>
            </w:pPr>
            <w:r>
              <w:t>4)</w:t>
            </w:r>
            <w:r>
              <w:tab/>
              <w:t>Umskipti yfir í hringrásarhagkerfi</w:t>
            </w:r>
          </w:p>
        </w:tc>
        <w:tc>
          <w:tcPr>
            <w:tcW w:w="6012" w:type="dxa"/>
            <w:tcBorders>
              <w:bottom w:val="nil"/>
            </w:tcBorders>
            <w:tcMar>
              <w:top w:w="100" w:type="dxa"/>
              <w:left w:w="40" w:type="dxa"/>
              <w:bottom w:w="100" w:type="dxa"/>
              <w:right w:w="0" w:type="dxa"/>
            </w:tcMar>
          </w:tcPr>
          <w:p w14:paraId="4E681DC5" w14:textId="77777777" w:rsidR="00DB6835" w:rsidRDefault="00DB6835" w:rsidP="00A9140F">
            <w:pPr>
              <w:pStyle w:val="AnnexTableCellLeft"/>
              <w:spacing w:after="320"/>
            </w:pPr>
            <w:r>
              <w:t>Ráðstafanir til úrgangsstjórnunar eru til staðar, bæði í notkunaráfanganum og þegar skipið er úr sér gengið, í samræmi við úrgangsmetakerfið.</w:t>
            </w:r>
          </w:p>
          <w:p w14:paraId="0B4AE843" w14:textId="77777777" w:rsidR="00DB6835" w:rsidRDefault="00DB6835" w:rsidP="00A9140F">
            <w:pPr>
              <w:pStyle w:val="AnnexTableCellLeft"/>
              <w:spacing w:after="320"/>
            </w:pPr>
            <w:r>
              <w:t>Að því er varðar skip sem ganga fyrir rafhlöðum fela þessar ráðstafanir í sér endurnotkun og endurvinnslu á rafhlöðum og rafeindabúnaði, þ.m.t. mikilvæg hráefni í þeim.</w:t>
            </w:r>
          </w:p>
          <w:p w14:paraId="53BCFB2D" w14:textId="77777777" w:rsidR="00DB6835" w:rsidRDefault="00DB6835" w:rsidP="00A9140F">
            <w:pPr>
              <w:pStyle w:val="AnnexTableCellLeft"/>
            </w:pPr>
            <w:r>
              <w:t xml:space="preserve">Að því er varðar gömul skip yfir 500 </w:t>
            </w:r>
            <w:proofErr w:type="spellStart"/>
            <w:r>
              <w:t>brúttótonn</w:t>
            </w:r>
            <w:proofErr w:type="spellEnd"/>
            <w:r>
              <w:t xml:space="preserve"> og nýsmíðuð skip sem leysa þau af hólmi er starfsemin í samræmi við kröfurnar í reglugerð (ESB) nr. 1257/2013 að því er varðar birgðaskrána yfir hættuleg efni. Skip sem eru höggvin í brotajárn </w:t>
            </w:r>
            <w:r>
              <w:lastRenderedPageBreak/>
              <w:t>eru endurunnin í stöðvum sem eru á Evrópuskránni yfir skipaendurvinnslustöðvar eins og mælt er fyrir um í framkvæmdarákvörðun 2016/2323.</w:t>
            </w:r>
          </w:p>
        </w:tc>
      </w:tr>
      <w:tr w:rsidR="00DB6835" w14:paraId="0FF4B6C8" w14:textId="77777777" w:rsidTr="00A9140F">
        <w:trPr>
          <w:trHeight w:val="240"/>
        </w:trPr>
        <w:tc>
          <w:tcPr>
            <w:tcW w:w="2728" w:type="dxa"/>
            <w:tcBorders>
              <w:top w:val="single" w:sz="4" w:space="0" w:color="auto"/>
            </w:tcBorders>
            <w:tcMar>
              <w:top w:w="100" w:type="dxa"/>
              <w:left w:w="0" w:type="dxa"/>
              <w:bottom w:w="100" w:type="dxa"/>
              <w:right w:w="60" w:type="dxa"/>
            </w:tcMar>
          </w:tcPr>
          <w:p w14:paraId="6369AE7F" w14:textId="77777777" w:rsidR="00DB6835" w:rsidRDefault="00DB6835" w:rsidP="00A9140F">
            <w:pPr>
              <w:pStyle w:val="AnnexTableCellLeft"/>
              <w:pageBreakBefore/>
            </w:pPr>
          </w:p>
        </w:tc>
        <w:tc>
          <w:tcPr>
            <w:tcW w:w="6012" w:type="dxa"/>
            <w:tcBorders>
              <w:top w:val="single" w:sz="4" w:space="0" w:color="auto"/>
            </w:tcBorders>
            <w:tcMar>
              <w:top w:w="100" w:type="dxa"/>
              <w:left w:w="40" w:type="dxa"/>
              <w:bottom w:w="100" w:type="dxa"/>
              <w:right w:w="0" w:type="dxa"/>
            </w:tcMar>
          </w:tcPr>
          <w:p w14:paraId="685823E3" w14:textId="77777777" w:rsidR="00DB6835" w:rsidRDefault="00DB6835" w:rsidP="00A9140F">
            <w:pPr>
              <w:pStyle w:val="AnnexTableCellLeft"/>
              <w:spacing w:after="220"/>
            </w:pPr>
            <w:r>
              <w:t>Starfsemin er í samræmi við tilskipun (ESB) 2019/883 að því er varðar verndun sjávarumhverfisins gegn neikvæðum áhrifum af losun úrgangs frá skipum.</w:t>
            </w:r>
          </w:p>
          <w:p w14:paraId="1865AEEF" w14:textId="77777777" w:rsidR="00DB6835" w:rsidRDefault="00DB6835" w:rsidP="00A9140F">
            <w:pPr>
              <w:pStyle w:val="AnnexTableCellLeft"/>
              <w:spacing w:after="220"/>
            </w:pPr>
            <w:r>
              <w:t>Skipið er starfrækt í samræmi við V. viðauka við MARPOL-samning Alþjóðasiglingamálastofnunarinnar, einkum með það fyrir augum að framleiða minna magn af úrgangi og að draga úr löglegri losun með því að stjórna úrgangi þess á sjálfbæran og umhverfisvænan hátt.</w:t>
            </w:r>
          </w:p>
        </w:tc>
      </w:tr>
      <w:tr w:rsidR="00DB6835" w14:paraId="1F498282" w14:textId="77777777" w:rsidTr="00A9140F">
        <w:trPr>
          <w:trHeight w:val="360"/>
        </w:trPr>
        <w:tc>
          <w:tcPr>
            <w:tcW w:w="2728" w:type="dxa"/>
            <w:tcMar>
              <w:top w:w="100" w:type="dxa"/>
              <w:left w:w="0" w:type="dxa"/>
              <w:bottom w:w="100" w:type="dxa"/>
              <w:right w:w="60" w:type="dxa"/>
            </w:tcMar>
          </w:tcPr>
          <w:p w14:paraId="3A14D3B9" w14:textId="77777777" w:rsidR="00DB6835" w:rsidRDefault="00DB6835" w:rsidP="00A9140F">
            <w:pPr>
              <w:pStyle w:val="AnnexNumberedText"/>
            </w:pPr>
            <w:r>
              <w:t>5)</w:t>
            </w:r>
            <w:r>
              <w:tab/>
              <w:t>Mengunarvarnir og eftirlit með mengun</w:t>
            </w:r>
          </w:p>
        </w:tc>
        <w:tc>
          <w:tcPr>
            <w:tcW w:w="6012" w:type="dxa"/>
            <w:tcMar>
              <w:top w:w="100" w:type="dxa"/>
              <w:left w:w="40" w:type="dxa"/>
              <w:bottom w:w="100" w:type="dxa"/>
              <w:right w:w="0" w:type="dxa"/>
            </w:tcMar>
          </w:tcPr>
          <w:p w14:paraId="4C0B3B78" w14:textId="77777777" w:rsidR="00DB6835" w:rsidRDefault="00DB6835" w:rsidP="00A9140F">
            <w:pPr>
              <w:pStyle w:val="AnnexTableCellLeft"/>
              <w:spacing w:after="220"/>
            </w:pPr>
            <w:r>
              <w:t xml:space="preserve">Að því er varðar samdrátt í losun </w:t>
            </w:r>
            <w:proofErr w:type="spellStart"/>
            <w:r>
              <w:t>brennisteinsoxíðs</w:t>
            </w:r>
            <w:proofErr w:type="spellEnd"/>
            <w:r>
              <w:t xml:space="preserve"> og efnisagna eru skip í samræmi við tilskipun (ESB) 2016/802 og reglu 14 í VI. viðauka við MARPOL-samning Alþjóðasiglingamálastofnunarinnar. Brennisteinsinnihaldið í eldsneytinu fer ekki yfir 0,5% af massa (heildarmörk fyrir brennistein) og 0,1% af massa á mengunarvarnarsvæðum sem Alþjóðasiglingamálastofnunin hefur skilgreint í Norðursjó og Eystrasalti (</w:t>
            </w:r>
            <w:r>
              <w:rPr>
                <w:rStyle w:val="Tilvsunneanmlsgrein"/>
                <w:sz w:val="18"/>
              </w:rPr>
              <w:footnoteReference w:id="278"/>
            </w:r>
            <w:r>
              <w:t>).</w:t>
            </w:r>
          </w:p>
          <w:p w14:paraId="65F54D92" w14:textId="77777777" w:rsidR="00DB6835" w:rsidRDefault="00DB6835" w:rsidP="00A9140F">
            <w:pPr>
              <w:pStyle w:val="AnnexTableCellLeft"/>
              <w:spacing w:after="220"/>
            </w:pPr>
            <w:r>
              <w:t xml:space="preserve">Að því er varðar losun </w:t>
            </w:r>
            <w:proofErr w:type="spellStart"/>
            <w:r>
              <w:t>köfnunarefnisoxíðs</w:t>
            </w:r>
            <w:proofErr w:type="spellEnd"/>
            <w:r>
              <w:t xml:space="preserve"> (</w:t>
            </w:r>
            <w:proofErr w:type="spellStart"/>
            <w:r>
              <w:t>NO</w:t>
            </w:r>
            <w:r>
              <w:rPr>
                <w:vertAlign w:val="subscript"/>
              </w:rPr>
              <w:t>x</w:t>
            </w:r>
            <w:proofErr w:type="spellEnd"/>
            <w:r>
              <w:t xml:space="preserve">) eru skip í samræmi við reglu 13 í VI. viðauka við MARPOL-samning Alþjóðasiglingamálastofnunarinnar. Krafan um </w:t>
            </w:r>
            <w:proofErr w:type="spellStart"/>
            <w:r>
              <w:t>NO</w:t>
            </w:r>
            <w:r>
              <w:rPr>
                <w:vertAlign w:val="subscript"/>
              </w:rPr>
              <w:t>x</w:t>
            </w:r>
            <w:proofErr w:type="spellEnd"/>
            <w:r>
              <w:t xml:space="preserve"> í þrepi II gildir um skip sem smíðuð voru eftir 2011. Einungis við </w:t>
            </w:r>
            <w:proofErr w:type="spellStart"/>
            <w:r>
              <w:t>starfrækslu</w:t>
            </w:r>
            <w:proofErr w:type="spellEnd"/>
            <w:r>
              <w:t xml:space="preserve"> á </w:t>
            </w:r>
            <w:proofErr w:type="spellStart"/>
            <w:r>
              <w:t>NOx</w:t>
            </w:r>
            <w:proofErr w:type="spellEnd"/>
            <w:r>
              <w:t xml:space="preserve">-mengunarvarnarsvæðum, sem komið var á samkvæmt reglum Alþjóðasiglingamálastofnunarinnar, uppfylla skip sem voru smíðuð eftir 1. janúar 2016 strangari kröfur um hreyfla (þrep III) til að draga úr losun </w:t>
            </w:r>
            <w:proofErr w:type="spellStart"/>
            <w:r>
              <w:t>NOx</w:t>
            </w:r>
            <w:proofErr w:type="spellEnd"/>
            <w:r>
              <w:t xml:space="preserve"> (</w:t>
            </w:r>
            <w:r>
              <w:rPr>
                <w:rStyle w:val="Tilvsunneanmlsgrein"/>
                <w:sz w:val="18"/>
              </w:rPr>
              <w:footnoteReference w:id="279"/>
            </w:r>
            <w:r>
              <w:t>).</w:t>
            </w:r>
          </w:p>
          <w:p w14:paraId="0EADD839" w14:textId="77777777" w:rsidR="00DB6835" w:rsidRDefault="00DB6835" w:rsidP="00A9140F">
            <w:pPr>
              <w:pStyle w:val="AnnexTableCellLeft"/>
              <w:spacing w:after="220"/>
            </w:pPr>
            <w:r>
              <w:t xml:space="preserve">Losun á </w:t>
            </w:r>
            <w:proofErr w:type="spellStart"/>
            <w:r>
              <w:t>svartvatni</w:t>
            </w:r>
            <w:proofErr w:type="spellEnd"/>
            <w:r>
              <w:t xml:space="preserve"> og grávatni er í samræmi við IV. viðauka við MARPOL-samning Alþjóðasiglingamálastofnunarinnar.</w:t>
            </w:r>
          </w:p>
          <w:p w14:paraId="3E4CB1B0" w14:textId="77777777" w:rsidR="00DB6835" w:rsidRDefault="00DB6835" w:rsidP="00A9140F">
            <w:pPr>
              <w:pStyle w:val="AnnexTableCellLeft"/>
              <w:spacing w:after="220"/>
            </w:pPr>
            <w:r>
              <w:t xml:space="preserve">Ráðstafanir eru til staðar til að lágmarka eiturhrif frá gróðurhindrandi málningu og </w:t>
            </w:r>
            <w:proofErr w:type="spellStart"/>
            <w:r>
              <w:t>sæfiefnum</w:t>
            </w:r>
            <w:proofErr w:type="spellEnd"/>
            <w:r>
              <w:t>, eins og mælt er fyrir um í reglugerð (ESB) nr. 528/2012 þar sem alþjóðasamningurinn um eftirlit með skaðlegum, gróðurhindrandi efnum og/eða búnaði á skipum, sem var samþykktur 5. október 2001, er tekinn upp í lög Sambandsins.</w:t>
            </w:r>
          </w:p>
        </w:tc>
      </w:tr>
      <w:tr w:rsidR="00DB6835" w14:paraId="294718E0" w14:textId="77777777" w:rsidTr="00A9140F">
        <w:trPr>
          <w:trHeight w:val="360"/>
        </w:trPr>
        <w:tc>
          <w:tcPr>
            <w:tcW w:w="2728" w:type="dxa"/>
            <w:tcMar>
              <w:top w:w="100" w:type="dxa"/>
              <w:left w:w="0" w:type="dxa"/>
              <w:bottom w:w="100" w:type="dxa"/>
              <w:right w:w="60" w:type="dxa"/>
            </w:tcMar>
          </w:tcPr>
          <w:p w14:paraId="62207956" w14:textId="77777777" w:rsidR="00DB6835" w:rsidRDefault="00DB6835" w:rsidP="00A9140F">
            <w:pPr>
              <w:pStyle w:val="AnnexNumberedText"/>
            </w:pPr>
            <w:r>
              <w:t>6)</w:t>
            </w:r>
            <w:r>
              <w:tab/>
              <w:t>Vernd og endurheimt líffræðilegrar fjölbreytni og vistkerfa</w:t>
            </w:r>
          </w:p>
        </w:tc>
        <w:tc>
          <w:tcPr>
            <w:tcW w:w="6012" w:type="dxa"/>
            <w:tcMar>
              <w:top w:w="100" w:type="dxa"/>
              <w:left w:w="40" w:type="dxa"/>
              <w:bottom w:w="100" w:type="dxa"/>
              <w:right w:w="0" w:type="dxa"/>
            </w:tcMar>
          </w:tcPr>
          <w:p w14:paraId="12DBB65B" w14:textId="77777777" w:rsidR="00DB6835" w:rsidRDefault="00DB6835" w:rsidP="00A9140F">
            <w:pPr>
              <w:pStyle w:val="AnnexTableCellLeft"/>
              <w:spacing w:after="220"/>
            </w:pPr>
            <w:r>
              <w:t>Komið er í veg fyrir losun kjölfestuvatns sem inniheldur framandi tegundir í samræmi við alþjóðasamninginn um stjórnun og meðhöndlun á kjölfestuvatni skipa og botnfalli í því.</w:t>
            </w:r>
          </w:p>
          <w:p w14:paraId="11EF79EF" w14:textId="77777777" w:rsidR="00DB6835" w:rsidRDefault="00DB6835" w:rsidP="00A9140F">
            <w:pPr>
              <w:pStyle w:val="AnnexTableCellLeft"/>
              <w:spacing w:after="220"/>
            </w:pPr>
            <w:r>
              <w:t xml:space="preserve">Ráðstafanir eru til staðar til að koma í veg fyrir </w:t>
            </w:r>
            <w:proofErr w:type="spellStart"/>
            <w:r>
              <w:t>aðflutning</w:t>
            </w:r>
            <w:proofErr w:type="spellEnd"/>
            <w:r>
              <w:t xml:space="preserve"> framandi tegunda með ásætum á skipsskrokk og krókum og kimum (e. </w:t>
            </w:r>
            <w:proofErr w:type="spellStart"/>
            <w:r>
              <w:rPr>
                <w:i/>
                <w:iCs/>
              </w:rPr>
              <w:t>niche</w:t>
            </w:r>
            <w:proofErr w:type="spellEnd"/>
            <w:r>
              <w:rPr>
                <w:i/>
                <w:iCs/>
              </w:rPr>
              <w:t xml:space="preserve"> </w:t>
            </w:r>
            <w:proofErr w:type="spellStart"/>
            <w:r>
              <w:rPr>
                <w:i/>
                <w:iCs/>
              </w:rPr>
              <w:t>area</w:t>
            </w:r>
            <w:proofErr w:type="spellEnd"/>
            <w:r>
              <w:t>) skipa, að teknu tilliti til leiðbeininga Alþjóðasiglingamálastofnunarinnar um ásætur (</w:t>
            </w:r>
            <w:r>
              <w:rPr>
                <w:rStyle w:val="Tilvsunneanmlsgrein"/>
                <w:sz w:val="18"/>
              </w:rPr>
              <w:footnoteReference w:id="280"/>
            </w:r>
            <w:r>
              <w:t>).</w:t>
            </w:r>
          </w:p>
          <w:p w14:paraId="2B257422" w14:textId="77777777" w:rsidR="00DB6835" w:rsidRDefault="00DB6835" w:rsidP="00A9140F">
            <w:pPr>
              <w:pStyle w:val="AnnexTableCellLeft"/>
              <w:spacing w:after="220"/>
            </w:pPr>
            <w:r>
              <w:t>Hávaði og titringur er takmarkaður með því að nota skrúfur sem draga úr hávaða, hönnun skipsskrokksins eða vélbúnað um borð í samræmi við leiðbeiningarnar sem gefnar eru í leiðbeiningum Alþjóðasiglingamálastofnunarinnar um að draga úr hávaða neðansjávar (</w:t>
            </w:r>
            <w:r>
              <w:rPr>
                <w:rStyle w:val="Tilvsunneanmlsgrein"/>
                <w:sz w:val="18"/>
              </w:rPr>
              <w:footnoteReference w:id="281"/>
            </w:r>
            <w:r>
              <w:t>).</w:t>
            </w:r>
          </w:p>
          <w:p w14:paraId="56E4F991" w14:textId="77777777" w:rsidR="00DB6835" w:rsidRDefault="00DB6835" w:rsidP="00A9140F">
            <w:pPr>
              <w:pStyle w:val="AnnexTableCellLeft"/>
              <w:spacing w:after="220"/>
            </w:pPr>
            <w:r>
              <w:t xml:space="preserve">Í Sambandinu hindrar starfsemin ekki að góð umhverfisleg staða náist, eins og sett er fram í tilskipun 2008/56/EB, sem kallar á að viðeigandi ráðstafanir séu gerðar til að koma í veg fyrir eða draga úr áhrifum í tengslum við lýsingu 1 í þeirri tilskipun (líffræðileg fjölbreytni), 2 (framandi tegundir), 6 (heilleiki hafsbotns), 8 </w:t>
            </w:r>
            <w:r>
              <w:lastRenderedPageBreak/>
              <w:t>(</w:t>
            </w:r>
            <w:proofErr w:type="spellStart"/>
            <w:r>
              <w:t>aðskotaefni</w:t>
            </w:r>
            <w:proofErr w:type="spellEnd"/>
            <w:r>
              <w:t>), 10 (rusl í sjó) og 11 (hávaði/orka) og eins og sett er fram í ákvörðun framkvæmdastjórnarinnar (ESB) 2017/848 í tengslum við viðkomandi viðmiðanir og aðferðafræðilega staðla fyrir þær lýsingar, eftir því sem við á.</w:t>
            </w:r>
          </w:p>
        </w:tc>
      </w:tr>
    </w:tbl>
    <w:p w14:paraId="2792241D" w14:textId="77777777" w:rsidR="00DB6835" w:rsidRDefault="00DB6835" w:rsidP="00DB6835">
      <w:pPr>
        <w:pStyle w:val="AnnexNumberedText"/>
        <w:spacing w:before="200"/>
        <w:ind w:left="500" w:hanging="500"/>
      </w:pPr>
      <w:r>
        <w:lastRenderedPageBreak/>
        <w:t>6.12.</w:t>
      </w:r>
      <w:r>
        <w:rPr>
          <w:b/>
        </w:rPr>
        <w:tab/>
        <w:t>Endurbætur á millilanda- og strandsiglingum með vörur og farþega</w:t>
      </w:r>
    </w:p>
    <w:p w14:paraId="2C80451A" w14:textId="77777777" w:rsidR="00DB6835" w:rsidRDefault="00DB6835" w:rsidP="00DB6835">
      <w:pPr>
        <w:pStyle w:val="AnnexGrSeq3"/>
        <w:spacing w:after="360"/>
        <w:ind w:left="500"/>
        <w:jc w:val="both"/>
      </w:pPr>
      <w:r>
        <w:rPr>
          <w:i/>
        </w:rPr>
        <w:t>Lýsing á starfseminni</w:t>
      </w:r>
    </w:p>
    <w:p w14:paraId="4FE7C4BF" w14:textId="77777777" w:rsidR="00DB6835" w:rsidRDefault="00DB6835" w:rsidP="00DB6835">
      <w:pPr>
        <w:pStyle w:val="AnnexNormal"/>
        <w:spacing w:after="360"/>
        <w:ind w:left="500"/>
      </w:pPr>
      <w:r>
        <w:t xml:space="preserve">Endurbætur og uppfærsla á skipum sem eru ætluð og útbúin til vöru- eða farþegaflutninga í millilanda- eða strandsiglingum og skipa sem þörf er á fyrir hafnar- og hjálparstarfsemi, s.s. dráttarbátar, </w:t>
      </w:r>
      <w:proofErr w:type="spellStart"/>
      <w:r>
        <w:t>festarþjónustubátar</w:t>
      </w:r>
      <w:proofErr w:type="spellEnd"/>
      <w:r>
        <w:t>, hafnsögubátar, björgunarbátar og ísbrjótar.</w:t>
      </w:r>
    </w:p>
    <w:p w14:paraId="0973A61C" w14:textId="77777777" w:rsidR="00DB6835" w:rsidRDefault="00DB6835" w:rsidP="00DB6835">
      <w:pPr>
        <w:pStyle w:val="AnnexNormal"/>
        <w:spacing w:after="360"/>
        <w:ind w:left="500"/>
      </w:pPr>
      <w:r>
        <w:t>Atvinnustarfsemin í þessum flokki gæti tengst kóðum atvinnugreinaflokkunar Evrópusambandsins H50.10, H50.2, H52.22, C33.15, N77.21 og N.77.34 í samræmi við atvinnugreinaflokkunina sem komið var á með reglugerð (EB) nr. 1893/2006.</w:t>
      </w:r>
    </w:p>
    <w:p w14:paraId="34B84807" w14:textId="77777777" w:rsidR="00DB6835" w:rsidRDefault="00DB6835" w:rsidP="00DB6835">
      <w:pPr>
        <w:pStyle w:val="AnnexNormal"/>
        <w:spacing w:after="360"/>
        <w:ind w:left="500"/>
      </w:pPr>
      <w:r>
        <w:t>Atvinnustarfsemi í þessum flokki er umbreytingarstarfsemi, eins og um getur í 2. mgr. 10. gr. reglugerðar (ESB) 2020/852, þegar hún er í samræmi við tæknilegu matsviðmiðin sem sett eru fram í þessum þætti.</w:t>
      </w:r>
    </w:p>
    <w:p w14:paraId="1CB015CD" w14:textId="77777777" w:rsidR="00DB6835" w:rsidRDefault="00DB6835" w:rsidP="00DB6835">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36"/>
        <w:gridCol w:w="5904"/>
      </w:tblGrid>
      <w:tr w:rsidR="00DB6835" w14:paraId="210724FF" w14:textId="77777777" w:rsidTr="00A9140F">
        <w:trPr>
          <w:trHeight w:val="240"/>
        </w:trPr>
        <w:tc>
          <w:tcPr>
            <w:tcW w:w="8740" w:type="dxa"/>
            <w:gridSpan w:val="2"/>
            <w:tcMar>
              <w:top w:w="100" w:type="dxa"/>
              <w:left w:w="0" w:type="dxa"/>
              <w:bottom w:w="100" w:type="dxa"/>
              <w:right w:w="60" w:type="dxa"/>
            </w:tcMar>
          </w:tcPr>
          <w:p w14:paraId="2A412A7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5F111D78" w14:textId="77777777" w:rsidTr="00A9140F">
        <w:trPr>
          <w:trHeight w:val="360"/>
        </w:trPr>
        <w:tc>
          <w:tcPr>
            <w:tcW w:w="8740" w:type="dxa"/>
            <w:gridSpan w:val="2"/>
            <w:tcMar>
              <w:top w:w="100" w:type="dxa"/>
              <w:left w:w="0" w:type="dxa"/>
              <w:bottom w:w="100" w:type="dxa"/>
              <w:right w:w="60" w:type="dxa"/>
            </w:tcMar>
          </w:tcPr>
          <w:p w14:paraId="2A231797" w14:textId="77777777" w:rsidR="00DB6835" w:rsidRDefault="00DB6835" w:rsidP="00A9140F">
            <w:pPr>
              <w:pStyle w:val="AnnexNumberedText"/>
              <w:tabs>
                <w:tab w:val="left" w:pos="508"/>
              </w:tabs>
              <w:spacing w:after="360"/>
              <w:ind w:left="0" w:firstLine="0"/>
            </w:pPr>
            <w:r>
              <w:t>1.</w:t>
            </w:r>
            <w:r>
              <w:tab/>
              <w:t xml:space="preserve">Fram til 31. desember 2025 dregur endurbótastarfsemin úr eldsneytisnotkun skipsins um a.m.k. 10%, gefið upp sem grömm af eldsneyti á hvert tonn burðargetu á hverja sjómílu, eins og sýnt er fram á með </w:t>
            </w:r>
            <w:proofErr w:type="spellStart"/>
            <w:r>
              <w:t>tölvuvæddri</w:t>
            </w:r>
            <w:proofErr w:type="spellEnd"/>
            <w:r>
              <w:t xml:space="preserve"> straumfræði, tankprófunum eða svipuðum verkfræðilegum útreikningum.</w:t>
            </w:r>
          </w:p>
          <w:p w14:paraId="1F4CC43D" w14:textId="77777777" w:rsidR="00DB6835" w:rsidRDefault="00DB6835" w:rsidP="00A9140F">
            <w:pPr>
              <w:pStyle w:val="AnnexNumberedText"/>
              <w:tabs>
                <w:tab w:val="left" w:pos="508"/>
              </w:tabs>
              <w:spacing w:after="360"/>
              <w:ind w:left="0" w:firstLine="0"/>
            </w:pPr>
            <w:r>
              <w:t>2.</w:t>
            </w:r>
            <w:r>
              <w:tab/>
              <w:t>Skip eru ekki ætluð til flutninga á jarðefnaeldsneyti.</w:t>
            </w:r>
          </w:p>
        </w:tc>
      </w:tr>
      <w:tr w:rsidR="00DB6835" w14:paraId="72E178D4" w14:textId="77777777" w:rsidTr="00A9140F">
        <w:trPr>
          <w:trHeight w:val="240"/>
        </w:trPr>
        <w:tc>
          <w:tcPr>
            <w:tcW w:w="8740" w:type="dxa"/>
            <w:gridSpan w:val="2"/>
            <w:tcMar>
              <w:top w:w="100" w:type="dxa"/>
              <w:left w:w="0" w:type="dxa"/>
              <w:bottom w:w="100" w:type="dxa"/>
              <w:right w:w="60" w:type="dxa"/>
            </w:tcMar>
          </w:tcPr>
          <w:p w14:paraId="2EA45F1C" w14:textId="77777777" w:rsidR="00DB6835" w:rsidRDefault="00DB6835" w:rsidP="00A9140F">
            <w:pPr>
              <w:pStyle w:val="AnnexTableCellLeft"/>
            </w:pPr>
            <w:r>
              <w:t>Ekki valda umtalsverðu tjóni</w:t>
            </w:r>
          </w:p>
        </w:tc>
      </w:tr>
      <w:tr w:rsidR="00DB6835" w14:paraId="7F916261" w14:textId="77777777" w:rsidTr="00A9140F">
        <w:trPr>
          <w:trHeight w:val="360"/>
        </w:trPr>
        <w:tc>
          <w:tcPr>
            <w:tcW w:w="2836" w:type="dxa"/>
            <w:tcMar>
              <w:top w:w="100" w:type="dxa"/>
              <w:left w:w="0" w:type="dxa"/>
              <w:bottom w:w="100" w:type="dxa"/>
              <w:right w:w="60" w:type="dxa"/>
            </w:tcMar>
          </w:tcPr>
          <w:p w14:paraId="4EE55E0B" w14:textId="77777777" w:rsidR="00DB6835" w:rsidRDefault="00DB6835" w:rsidP="00A9140F">
            <w:pPr>
              <w:pStyle w:val="AnnexNumberedText"/>
            </w:pPr>
            <w:r>
              <w:t>2)</w:t>
            </w:r>
            <w:r>
              <w:tab/>
              <w:t>Aðlögun að loftslagsbreytingum</w:t>
            </w:r>
          </w:p>
        </w:tc>
        <w:tc>
          <w:tcPr>
            <w:tcW w:w="5904" w:type="dxa"/>
            <w:tcMar>
              <w:top w:w="100" w:type="dxa"/>
              <w:left w:w="40" w:type="dxa"/>
              <w:bottom w:w="100" w:type="dxa"/>
              <w:right w:w="0" w:type="dxa"/>
            </w:tcMar>
          </w:tcPr>
          <w:p w14:paraId="50559DBE" w14:textId="77777777" w:rsidR="00DB6835" w:rsidRDefault="00DB6835" w:rsidP="00A9140F">
            <w:pPr>
              <w:pStyle w:val="AnnexTableCellLeft"/>
            </w:pPr>
            <w:r>
              <w:t>Starfsemin er í samræmi við viðmiðanirnar sem settar eru fram í viðbæti A við þennan viðauka.</w:t>
            </w:r>
          </w:p>
        </w:tc>
      </w:tr>
      <w:tr w:rsidR="00DB6835" w14:paraId="15E1D06E" w14:textId="77777777" w:rsidTr="00A9140F">
        <w:trPr>
          <w:trHeight w:val="360"/>
        </w:trPr>
        <w:tc>
          <w:tcPr>
            <w:tcW w:w="2836" w:type="dxa"/>
            <w:tcMar>
              <w:top w:w="100" w:type="dxa"/>
              <w:left w:w="0" w:type="dxa"/>
              <w:bottom w:w="100" w:type="dxa"/>
              <w:right w:w="60" w:type="dxa"/>
            </w:tcMar>
          </w:tcPr>
          <w:p w14:paraId="077813B6" w14:textId="77777777" w:rsidR="00DB6835" w:rsidRDefault="00DB6835" w:rsidP="00A9140F">
            <w:pPr>
              <w:pStyle w:val="AnnexNumberedText"/>
            </w:pPr>
            <w:r>
              <w:t>3)</w:t>
            </w:r>
            <w:r>
              <w:tab/>
              <w:t>Sjálfbær notkun og verndun vatns- og sjávarauðlinda</w:t>
            </w:r>
          </w:p>
        </w:tc>
        <w:tc>
          <w:tcPr>
            <w:tcW w:w="5904" w:type="dxa"/>
            <w:tcMar>
              <w:top w:w="100" w:type="dxa"/>
              <w:left w:w="40" w:type="dxa"/>
              <w:bottom w:w="100" w:type="dxa"/>
              <w:right w:w="0" w:type="dxa"/>
            </w:tcMar>
          </w:tcPr>
          <w:p w14:paraId="2498D2F5" w14:textId="77777777" w:rsidR="00DB6835" w:rsidRDefault="00DB6835" w:rsidP="00A9140F">
            <w:pPr>
              <w:pStyle w:val="AnnexTableCellLeft"/>
            </w:pPr>
            <w:r>
              <w:t>Starfsemin er í samræmi við viðmiðanirnar sem settar eru fram í viðbæti B við þennan viðauka.</w:t>
            </w:r>
          </w:p>
        </w:tc>
      </w:tr>
      <w:tr w:rsidR="00DB6835" w14:paraId="1A7CE4D1" w14:textId="77777777" w:rsidTr="00A9140F">
        <w:trPr>
          <w:trHeight w:val="360"/>
        </w:trPr>
        <w:tc>
          <w:tcPr>
            <w:tcW w:w="2836" w:type="dxa"/>
            <w:tcMar>
              <w:top w:w="100" w:type="dxa"/>
              <w:left w:w="0" w:type="dxa"/>
              <w:bottom w:w="100" w:type="dxa"/>
              <w:right w:w="60" w:type="dxa"/>
            </w:tcMar>
          </w:tcPr>
          <w:p w14:paraId="1305D41F" w14:textId="77777777" w:rsidR="00DB6835" w:rsidRDefault="00DB6835" w:rsidP="00A9140F">
            <w:pPr>
              <w:pStyle w:val="AnnexNumberedText"/>
            </w:pPr>
            <w:r>
              <w:t>4)</w:t>
            </w:r>
            <w:r>
              <w:tab/>
              <w:t>Umskipti yfir í hringrásarhagkerfi</w:t>
            </w:r>
          </w:p>
        </w:tc>
        <w:tc>
          <w:tcPr>
            <w:tcW w:w="5904" w:type="dxa"/>
            <w:tcMar>
              <w:top w:w="100" w:type="dxa"/>
              <w:left w:w="40" w:type="dxa"/>
              <w:bottom w:w="100" w:type="dxa"/>
              <w:right w:w="0" w:type="dxa"/>
            </w:tcMar>
          </w:tcPr>
          <w:p w14:paraId="61A759AA" w14:textId="77777777" w:rsidR="00DB6835" w:rsidRDefault="00DB6835" w:rsidP="00A9140F">
            <w:pPr>
              <w:pStyle w:val="AnnexTableCellLeft"/>
              <w:spacing w:after="360"/>
            </w:pPr>
            <w:r>
              <w:t>Ráðstafanir til úrgangsstjórnunar eru til staðar, bæði í notkunaráfanganum og þegar skipið er úr sér gengið, í samræmi við úrgangsmetakerfið.</w:t>
            </w:r>
          </w:p>
          <w:p w14:paraId="6C27B5A2" w14:textId="77777777" w:rsidR="00DB6835" w:rsidRDefault="00DB6835" w:rsidP="00A9140F">
            <w:pPr>
              <w:pStyle w:val="AnnexTableCellLeft"/>
              <w:spacing w:after="360"/>
            </w:pPr>
            <w:r>
              <w:t>Að því er varðar skip sem ganga fyrir rafhlöðum fela þessar ráðstafanir í sér endurnotkun og endurvinnslu á rafhlöðum og rafeindabúnaði, þ.m.t. mikilvæg hráefni í þeim.</w:t>
            </w:r>
          </w:p>
          <w:p w14:paraId="4A6FF0C0" w14:textId="77777777" w:rsidR="00DB6835" w:rsidRDefault="00DB6835" w:rsidP="00A9140F">
            <w:pPr>
              <w:pStyle w:val="AnnexTableCellLeft"/>
              <w:spacing w:after="360"/>
            </w:pPr>
            <w:r>
              <w:t xml:space="preserve">Að því er varðar gömul skip yfir 500 </w:t>
            </w:r>
            <w:proofErr w:type="spellStart"/>
            <w:r>
              <w:t>brúttótonn</w:t>
            </w:r>
            <w:proofErr w:type="spellEnd"/>
            <w:r>
              <w:t xml:space="preserve"> og nýsmíðuð skip sem leysa þau af hólmi er starfsemin í samræmi við kröfurnar í reglugerð (ESB) nr. 1257/2013 að því er varðar birgðaskrána yfir hættuleg efni. Skip sem eru höggvin í brotajárn eru endurunnin í stöðvum sem eru á Evrópuskránni yfir skipaendurvinnslustöðvar eins og mælt er fyrir um í ákvörðun framkvæmdastjórnarinnar 2016/2323.</w:t>
            </w:r>
          </w:p>
          <w:p w14:paraId="4373DAFA" w14:textId="77777777" w:rsidR="00DB6835" w:rsidRDefault="00DB6835" w:rsidP="00A9140F">
            <w:pPr>
              <w:pStyle w:val="AnnexTableCellLeft"/>
              <w:spacing w:after="360"/>
            </w:pPr>
            <w:r>
              <w:lastRenderedPageBreak/>
              <w:t>Starfsemin er í samræmi við tilskipun (ESB) 2019/883 að því er varðar verndun sjávarumhverfisins gegn neikvæðum áhrifum af losun úrgangs frá skipum.</w:t>
            </w:r>
          </w:p>
          <w:p w14:paraId="4EA491DF" w14:textId="77777777" w:rsidR="00DB6835" w:rsidRDefault="00DB6835" w:rsidP="00A9140F">
            <w:pPr>
              <w:pStyle w:val="AnnexTableCellLeft"/>
            </w:pPr>
            <w:r>
              <w:t>Skipið er starfrækt í samræmi við V. viðauka við MARPOL-samning Alþjóðasiglingamálastofnunarinnar, einkum með það fyrir augum að framleiða minna magn af úrgangi og að draga úr löglegri losun með því að stjórna úrgangi þess á sjálfbæran og umhverfisvænan hátt.</w:t>
            </w:r>
          </w:p>
        </w:tc>
      </w:tr>
      <w:tr w:rsidR="00DB6835" w14:paraId="7CAF2BA8" w14:textId="77777777" w:rsidTr="00A9140F">
        <w:trPr>
          <w:trHeight w:val="360"/>
        </w:trPr>
        <w:tc>
          <w:tcPr>
            <w:tcW w:w="2836" w:type="dxa"/>
            <w:tcMar>
              <w:top w:w="100" w:type="dxa"/>
              <w:left w:w="0" w:type="dxa"/>
              <w:bottom w:w="100" w:type="dxa"/>
              <w:right w:w="60" w:type="dxa"/>
            </w:tcMar>
          </w:tcPr>
          <w:p w14:paraId="4462E05F" w14:textId="77777777" w:rsidR="00DB6835" w:rsidRDefault="00DB6835" w:rsidP="00A9140F">
            <w:pPr>
              <w:pStyle w:val="AnnexNumberedText"/>
              <w:pageBreakBefore/>
            </w:pPr>
            <w:r>
              <w:lastRenderedPageBreak/>
              <w:t>5)</w:t>
            </w:r>
            <w:r>
              <w:tab/>
              <w:t>Mengunarvarnir og eftirlit með mengun</w:t>
            </w:r>
          </w:p>
        </w:tc>
        <w:tc>
          <w:tcPr>
            <w:tcW w:w="5904" w:type="dxa"/>
            <w:tcMar>
              <w:top w:w="100" w:type="dxa"/>
              <w:left w:w="40" w:type="dxa"/>
              <w:bottom w:w="100" w:type="dxa"/>
              <w:right w:w="0" w:type="dxa"/>
            </w:tcMar>
          </w:tcPr>
          <w:p w14:paraId="20466A11" w14:textId="77777777" w:rsidR="00DB6835" w:rsidRDefault="00DB6835" w:rsidP="00A9140F">
            <w:pPr>
              <w:pStyle w:val="AnnexTableCellLeft"/>
              <w:spacing w:after="300"/>
            </w:pPr>
            <w:r>
              <w:t xml:space="preserve">Að því er varðar samdrátt í losun </w:t>
            </w:r>
            <w:proofErr w:type="spellStart"/>
            <w:r>
              <w:t>brennisteinsoxíðs</w:t>
            </w:r>
            <w:proofErr w:type="spellEnd"/>
            <w:r>
              <w:t xml:space="preserve"> og efnisagna eru skip í samræmi við tilskipun (ESB) 2016/802 og reglu 14 í VI. viðauka við MARPOL-samning Alþjóðasiglingamálastofnunarinnar. Brennisteinsinnihaldið í eldsneytinu fer ekki yfir 0,5% af massa (heildarmörk fyrir brennistein) og 0,1% af massa á mengunarvarnarsvæðum sem Alþjóðasiglingamálastofnunin hefur skilgreint í Norðursjó og Eystrasalti (</w:t>
            </w:r>
            <w:r>
              <w:rPr>
                <w:rStyle w:val="Tilvsunneanmlsgrein"/>
                <w:sz w:val="18"/>
              </w:rPr>
              <w:footnoteReference w:id="282"/>
            </w:r>
            <w:r>
              <w:t>).</w:t>
            </w:r>
          </w:p>
          <w:p w14:paraId="485FC194" w14:textId="77777777" w:rsidR="00DB6835" w:rsidRDefault="00DB6835" w:rsidP="00A9140F">
            <w:pPr>
              <w:pStyle w:val="AnnexTableCellLeft"/>
              <w:spacing w:after="300"/>
            </w:pPr>
            <w:r>
              <w:t xml:space="preserve">Að því er varðar losun </w:t>
            </w:r>
            <w:proofErr w:type="spellStart"/>
            <w:r>
              <w:t>köfnunarefnisoxíðs</w:t>
            </w:r>
            <w:proofErr w:type="spellEnd"/>
            <w:r>
              <w:t xml:space="preserve"> (</w:t>
            </w:r>
            <w:proofErr w:type="spellStart"/>
            <w:r>
              <w:t>NOx</w:t>
            </w:r>
            <w:proofErr w:type="spellEnd"/>
            <w:r>
              <w:t xml:space="preserve">) eru skip í samræmi við reglu 13 í VI. viðauka við MARPOL-samning Alþjóðasiglingamálastofnunarinnar. Krafan um </w:t>
            </w:r>
            <w:proofErr w:type="spellStart"/>
            <w:r>
              <w:t>NO</w:t>
            </w:r>
            <w:r>
              <w:rPr>
                <w:vertAlign w:val="subscript"/>
              </w:rPr>
              <w:t>x</w:t>
            </w:r>
            <w:proofErr w:type="spellEnd"/>
            <w:r>
              <w:t xml:space="preserve"> í þrepi II gildir um skip sem smíðuð voru eftir 2011. Einungis við </w:t>
            </w:r>
            <w:proofErr w:type="spellStart"/>
            <w:r>
              <w:t>starfrækslu</w:t>
            </w:r>
            <w:proofErr w:type="spellEnd"/>
            <w:r>
              <w:t xml:space="preserve"> á </w:t>
            </w:r>
            <w:proofErr w:type="spellStart"/>
            <w:r>
              <w:t>NOx</w:t>
            </w:r>
            <w:proofErr w:type="spellEnd"/>
            <w:r>
              <w:t xml:space="preserve">-mengunarvarnarsvæðum, sem komið var á samkvæmt reglum Alþjóðasiglingamálastofnunarinnar, uppfylla skip sem voru smíðuð eftir 1. janúar 2016 strangari kröfur um hreyfla (þrep III) til að draga úr losun </w:t>
            </w:r>
            <w:proofErr w:type="spellStart"/>
            <w:r>
              <w:t>NOx</w:t>
            </w:r>
            <w:proofErr w:type="spellEnd"/>
            <w:r>
              <w:t xml:space="preserve"> (</w:t>
            </w:r>
            <w:r>
              <w:rPr>
                <w:rStyle w:val="Tilvsunneanmlsgrein"/>
                <w:sz w:val="18"/>
              </w:rPr>
              <w:footnoteReference w:id="283"/>
            </w:r>
            <w:r>
              <w:t>).</w:t>
            </w:r>
          </w:p>
          <w:p w14:paraId="1C921579" w14:textId="77777777" w:rsidR="00DB6835" w:rsidRDefault="00DB6835" w:rsidP="00A9140F">
            <w:pPr>
              <w:pStyle w:val="AnnexTableCellLeft"/>
              <w:spacing w:after="300"/>
            </w:pPr>
            <w:r>
              <w:t xml:space="preserve">Losun á </w:t>
            </w:r>
            <w:proofErr w:type="spellStart"/>
            <w:r>
              <w:t>svartvatni</w:t>
            </w:r>
            <w:proofErr w:type="spellEnd"/>
            <w:r>
              <w:t xml:space="preserve"> og grávatni er í samræmi við IV. viðauka við MARPOL-samning Alþjóðasiglingamálastofnunarinnar.</w:t>
            </w:r>
          </w:p>
          <w:p w14:paraId="2B4E7A1B" w14:textId="77777777" w:rsidR="00DB6835" w:rsidRDefault="00DB6835" w:rsidP="00A9140F">
            <w:pPr>
              <w:pStyle w:val="AnnexTableCellLeft"/>
              <w:spacing w:after="300"/>
            </w:pPr>
            <w:r>
              <w:t xml:space="preserve">Ráðstafanir eru til staðar til að lágmarka eiturhrif frá gróðurhindrandi málningu og </w:t>
            </w:r>
            <w:proofErr w:type="spellStart"/>
            <w:r>
              <w:t>sæfiefnum</w:t>
            </w:r>
            <w:proofErr w:type="spellEnd"/>
            <w:r>
              <w:t>, eins og mælt er fyrir um í reglugerð (ESB) nr. 528/2012 þar sem alþjóðasamningurinn um eftirlit með skaðlegum, gróðurhindrandi efnum og/eða búnaði á skipum, sem var samþykktur 5. október 2001, er tekinn upp í lög Sambandsins.</w:t>
            </w:r>
          </w:p>
        </w:tc>
      </w:tr>
      <w:tr w:rsidR="00DB6835" w14:paraId="643AC169" w14:textId="77777777" w:rsidTr="00A9140F">
        <w:trPr>
          <w:trHeight w:val="360"/>
        </w:trPr>
        <w:tc>
          <w:tcPr>
            <w:tcW w:w="2836" w:type="dxa"/>
            <w:tcMar>
              <w:top w:w="100" w:type="dxa"/>
              <w:left w:w="0" w:type="dxa"/>
              <w:bottom w:w="100" w:type="dxa"/>
              <w:right w:w="60" w:type="dxa"/>
            </w:tcMar>
          </w:tcPr>
          <w:p w14:paraId="672AC1AB" w14:textId="77777777" w:rsidR="00DB6835" w:rsidRDefault="00DB6835" w:rsidP="00A9140F">
            <w:pPr>
              <w:pStyle w:val="AnnexNumberedText"/>
            </w:pPr>
            <w:r>
              <w:t>6)</w:t>
            </w:r>
            <w:r>
              <w:tab/>
              <w:t>Vernd og endurheimt líffræðilegrar fjölbreytni og vistkerfa</w:t>
            </w:r>
          </w:p>
        </w:tc>
        <w:tc>
          <w:tcPr>
            <w:tcW w:w="5904" w:type="dxa"/>
            <w:tcMar>
              <w:top w:w="100" w:type="dxa"/>
              <w:left w:w="40" w:type="dxa"/>
              <w:bottom w:w="100" w:type="dxa"/>
              <w:right w:w="0" w:type="dxa"/>
            </w:tcMar>
          </w:tcPr>
          <w:p w14:paraId="6E549DDA" w14:textId="77777777" w:rsidR="00DB6835" w:rsidRDefault="00DB6835" w:rsidP="00A9140F">
            <w:pPr>
              <w:pStyle w:val="AnnexTableCellLeft"/>
              <w:spacing w:after="300"/>
            </w:pPr>
            <w:r>
              <w:t>Komið er í veg fyrir losun kjölfestuvatns sem inniheldur framandi tegundir í samræmi við alþjóðasamninginn um stjórnun og meðhöndlun á kjölfestuvatni skipa og botnfalli í því.</w:t>
            </w:r>
          </w:p>
          <w:p w14:paraId="3F38A124" w14:textId="77777777" w:rsidR="00DB6835" w:rsidRDefault="00DB6835" w:rsidP="00A9140F">
            <w:pPr>
              <w:pStyle w:val="AnnexTableCellLeft"/>
              <w:spacing w:after="300"/>
            </w:pPr>
            <w:r>
              <w:t xml:space="preserve">Ráðstafanir eru til staðar til að koma í veg fyrir </w:t>
            </w:r>
            <w:proofErr w:type="spellStart"/>
            <w:r>
              <w:t>aðflutning</w:t>
            </w:r>
            <w:proofErr w:type="spellEnd"/>
            <w:r>
              <w:t xml:space="preserve"> framandi tegunda með ásætum á skipsskrokk og krókum og kimum (e. </w:t>
            </w:r>
            <w:proofErr w:type="spellStart"/>
            <w:r>
              <w:rPr>
                <w:i/>
                <w:iCs/>
              </w:rPr>
              <w:t>niche</w:t>
            </w:r>
            <w:proofErr w:type="spellEnd"/>
            <w:r>
              <w:rPr>
                <w:i/>
                <w:iCs/>
              </w:rPr>
              <w:t xml:space="preserve"> </w:t>
            </w:r>
            <w:proofErr w:type="spellStart"/>
            <w:r>
              <w:rPr>
                <w:i/>
                <w:iCs/>
              </w:rPr>
              <w:t>area</w:t>
            </w:r>
            <w:proofErr w:type="spellEnd"/>
            <w:r>
              <w:t>) skipa, að teknu tilliti til leiðbeininga Alþjóðasiglingamálastofnunarinnar um ásætur (</w:t>
            </w:r>
            <w:r>
              <w:rPr>
                <w:rStyle w:val="Tilvsunneanmlsgrein"/>
                <w:sz w:val="18"/>
              </w:rPr>
              <w:footnoteReference w:id="284"/>
            </w:r>
            <w:r>
              <w:t>).</w:t>
            </w:r>
          </w:p>
          <w:p w14:paraId="7A8AC01C" w14:textId="77777777" w:rsidR="00DB6835" w:rsidRDefault="00DB6835" w:rsidP="00A9140F">
            <w:pPr>
              <w:pStyle w:val="AnnexTableCellLeft"/>
              <w:spacing w:after="300"/>
            </w:pPr>
            <w:r>
              <w:t>Hávaði og titringur er takmarkaður með því að nota skrúfur sem draga úr hávaða, hönnun skipsskrokksins eða vélbúnað um borð í samræmi við leiðbeiningarnar sem gefnar eru í leiðbeiningum Alþjóðasiglingamálastofnunarinnar um að draga úr hávaða neðansjávar (</w:t>
            </w:r>
            <w:r>
              <w:rPr>
                <w:rStyle w:val="Tilvsunneanmlsgrein"/>
                <w:sz w:val="18"/>
              </w:rPr>
              <w:footnoteReference w:id="285"/>
            </w:r>
            <w:r>
              <w:t>).</w:t>
            </w:r>
          </w:p>
          <w:p w14:paraId="37F8F0CD" w14:textId="77777777" w:rsidR="00DB6835" w:rsidRDefault="00DB6835" w:rsidP="00A9140F">
            <w:pPr>
              <w:pStyle w:val="AnnexTableCellLeft"/>
              <w:spacing w:after="300"/>
            </w:pPr>
            <w:r>
              <w:t>Í Sambandinu hindrar starfsemin ekki að góð umhverfisleg staða náist, eins og sett er fram í tilskipun 2008/56/EB, sem kallar á að viðeigandi ráðstafanir séu gerðar til að koma í veg fyrir eða draga úr áhrifum í tengslum við lýsingu 1 í þeirri tilskipun (líffræðileg fjölbreytni), 2 (framandi tegundir), 6 (heilleiki hafsbotns), 8 (</w:t>
            </w:r>
            <w:proofErr w:type="spellStart"/>
            <w:r>
              <w:t>aðskotaefni</w:t>
            </w:r>
            <w:proofErr w:type="spellEnd"/>
            <w:r>
              <w:t>), 10 (rusl í sjó) og 11 (hávaði/orka) og eins og sett er fram í ákvörðun framkvæmdastjórnarinnar (ESB) 2017/848 í tengslum við viðkomandi viðmiðanir og aðferðafræðilega staðla fyrir þær lýsingar, eftir því sem við á.</w:t>
            </w:r>
          </w:p>
        </w:tc>
      </w:tr>
    </w:tbl>
    <w:p w14:paraId="3D1ACA49" w14:textId="77777777" w:rsidR="00DB6835" w:rsidRDefault="00DB6835" w:rsidP="00DB6835">
      <w:pPr>
        <w:pStyle w:val="AnnexNumberedText"/>
        <w:spacing w:before="200" w:after="260"/>
        <w:ind w:left="500" w:hanging="500"/>
      </w:pPr>
      <w:r>
        <w:lastRenderedPageBreak/>
        <w:t>6.13.</w:t>
      </w:r>
      <w:r>
        <w:rPr>
          <w:b/>
        </w:rPr>
        <w:tab/>
        <w:t>Grunnvirki fyrir ferlimál einstaklinga, nytjahjólaflutningastjórnun</w:t>
      </w:r>
    </w:p>
    <w:p w14:paraId="47CF3700" w14:textId="77777777" w:rsidR="00DB6835" w:rsidRDefault="00DB6835" w:rsidP="00DB6835">
      <w:pPr>
        <w:pStyle w:val="AnnexGrSeq3"/>
        <w:spacing w:after="260"/>
        <w:ind w:left="500"/>
        <w:jc w:val="both"/>
      </w:pPr>
      <w:r>
        <w:rPr>
          <w:i/>
        </w:rPr>
        <w:t>Lýsing á starfseminni</w:t>
      </w:r>
    </w:p>
    <w:p w14:paraId="737DC4BA" w14:textId="77777777" w:rsidR="00DB6835" w:rsidRDefault="00DB6835" w:rsidP="00DB6835">
      <w:pPr>
        <w:pStyle w:val="AnnexNormal"/>
        <w:spacing w:after="0"/>
        <w:ind w:left="500"/>
      </w:pPr>
      <w:r>
        <w:t xml:space="preserve">Uppbygging, nútímavæðing, viðhald og </w:t>
      </w:r>
      <w:proofErr w:type="spellStart"/>
      <w:r>
        <w:t>starfræksla</w:t>
      </w:r>
      <w:proofErr w:type="spellEnd"/>
      <w:r>
        <w:t xml:space="preserve"> grunnvirkja fyrir ferlimál einstaklinga, þ.m.t. lagning vega, hraðbrautabrúa og undirganga og annarra grunnvirkja sem eru ætluð gangandi og hjólandi vegfarendum, með eða án </w:t>
      </w:r>
      <w:proofErr w:type="spellStart"/>
      <w:r>
        <w:t>rafaðstoðar</w:t>
      </w:r>
      <w:proofErr w:type="spellEnd"/>
      <w:r>
        <w:t>.</w:t>
      </w:r>
      <w:r>
        <w:br w:type="page"/>
      </w:r>
    </w:p>
    <w:p w14:paraId="3AF10995" w14:textId="77777777" w:rsidR="00DB6835" w:rsidRDefault="00DB6835" w:rsidP="00DB6835">
      <w:pPr>
        <w:pStyle w:val="AnnexNormal"/>
        <w:spacing w:after="600"/>
        <w:ind w:left="500"/>
      </w:pPr>
      <w:r>
        <w:lastRenderedPageBreak/>
        <w:t>Atvinnustarfsemin í þessum flokki gæti tengst nokkrum kóðum atvinnugreinaflokkunar Evrópusambandsins, einkum F42.11, F42.12, F43.21, F71.1 og F71.20, í samræmi við atvinnugreinaflokkunina sem komið var á með reglugerð (EB) nr. 1893/2006.</w:t>
      </w:r>
    </w:p>
    <w:p w14:paraId="4C097644" w14:textId="77777777" w:rsidR="00DB6835" w:rsidRDefault="00DB6835" w:rsidP="00DB6835">
      <w:pPr>
        <w:pStyle w:val="AnnexNormal"/>
        <w:spacing w:after="60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220AE014" w14:textId="77777777" w:rsidR="00DB6835" w:rsidRDefault="00DB6835" w:rsidP="00DB6835">
      <w:pPr>
        <w:pStyle w:val="AnnexGrSeq3"/>
        <w:spacing w:after="6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00"/>
        <w:gridCol w:w="5940"/>
      </w:tblGrid>
      <w:tr w:rsidR="00DB6835" w14:paraId="27B4035E" w14:textId="77777777" w:rsidTr="00A9140F">
        <w:trPr>
          <w:trHeight w:val="240"/>
        </w:trPr>
        <w:tc>
          <w:tcPr>
            <w:tcW w:w="8740" w:type="dxa"/>
            <w:gridSpan w:val="2"/>
            <w:tcMar>
              <w:top w:w="200" w:type="dxa"/>
              <w:left w:w="0" w:type="dxa"/>
              <w:bottom w:w="200" w:type="dxa"/>
              <w:right w:w="60" w:type="dxa"/>
            </w:tcMar>
          </w:tcPr>
          <w:p w14:paraId="16431CC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0AD047B" w14:textId="77777777" w:rsidTr="00A9140F">
        <w:trPr>
          <w:trHeight w:val="240"/>
        </w:trPr>
        <w:tc>
          <w:tcPr>
            <w:tcW w:w="8740" w:type="dxa"/>
            <w:gridSpan w:val="2"/>
            <w:tcMar>
              <w:top w:w="200" w:type="dxa"/>
              <w:left w:w="0" w:type="dxa"/>
              <w:bottom w:w="200" w:type="dxa"/>
              <w:right w:w="60" w:type="dxa"/>
            </w:tcMar>
          </w:tcPr>
          <w:p w14:paraId="3FF1F767" w14:textId="77777777" w:rsidR="00DB6835" w:rsidRDefault="00DB6835" w:rsidP="00A9140F">
            <w:pPr>
              <w:pStyle w:val="AnnexTableCellLeft"/>
            </w:pPr>
            <w:r>
              <w:t xml:space="preserve">Grunnvirki sem eru byggð og starfrækt eru ætluð fyrir stjórnun ferlitækja einstaklinga eða nytjahjólaflutninga: gangstéttir, reiðhjólaakreinar og göngusvæði, </w:t>
            </w:r>
            <w:proofErr w:type="spellStart"/>
            <w:r>
              <w:t>rafhleðslu</w:t>
            </w:r>
            <w:proofErr w:type="spellEnd"/>
            <w:r>
              <w:t>- og vetnisáfyllingarstöðvar fyrir ferlitæki einstaklinga.</w:t>
            </w:r>
          </w:p>
        </w:tc>
      </w:tr>
      <w:tr w:rsidR="00DB6835" w14:paraId="1BE2DC5E" w14:textId="77777777" w:rsidTr="00A9140F">
        <w:trPr>
          <w:trHeight w:val="240"/>
        </w:trPr>
        <w:tc>
          <w:tcPr>
            <w:tcW w:w="8740" w:type="dxa"/>
            <w:gridSpan w:val="2"/>
            <w:tcMar>
              <w:top w:w="200" w:type="dxa"/>
              <w:left w:w="0" w:type="dxa"/>
              <w:bottom w:w="200" w:type="dxa"/>
              <w:right w:w="60" w:type="dxa"/>
            </w:tcMar>
          </w:tcPr>
          <w:p w14:paraId="4891C943" w14:textId="77777777" w:rsidR="00DB6835" w:rsidRDefault="00DB6835" w:rsidP="00A9140F">
            <w:pPr>
              <w:pStyle w:val="AnnexTableCellLeft"/>
            </w:pPr>
            <w:r>
              <w:t>Ekki valda umtalsverðu tjóni</w:t>
            </w:r>
          </w:p>
        </w:tc>
      </w:tr>
      <w:tr w:rsidR="00DB6835" w14:paraId="4CB826D3" w14:textId="77777777" w:rsidTr="00A9140F">
        <w:trPr>
          <w:trHeight w:val="360"/>
        </w:trPr>
        <w:tc>
          <w:tcPr>
            <w:tcW w:w="2800" w:type="dxa"/>
            <w:tcMar>
              <w:top w:w="200" w:type="dxa"/>
              <w:left w:w="0" w:type="dxa"/>
              <w:bottom w:w="200" w:type="dxa"/>
              <w:right w:w="60" w:type="dxa"/>
            </w:tcMar>
          </w:tcPr>
          <w:p w14:paraId="692CD17F" w14:textId="77777777" w:rsidR="00DB6835" w:rsidRDefault="00DB6835" w:rsidP="00A9140F">
            <w:pPr>
              <w:pStyle w:val="AnnexNumberedText"/>
            </w:pPr>
            <w:r>
              <w:t>2)</w:t>
            </w:r>
            <w:r>
              <w:tab/>
              <w:t>Aðlögun að loftslagsbreytingum</w:t>
            </w:r>
          </w:p>
        </w:tc>
        <w:tc>
          <w:tcPr>
            <w:tcW w:w="5940" w:type="dxa"/>
            <w:tcMar>
              <w:top w:w="200" w:type="dxa"/>
              <w:left w:w="40" w:type="dxa"/>
              <w:bottom w:w="200" w:type="dxa"/>
              <w:right w:w="0" w:type="dxa"/>
            </w:tcMar>
          </w:tcPr>
          <w:p w14:paraId="776DDCAF" w14:textId="77777777" w:rsidR="00DB6835" w:rsidRDefault="00DB6835" w:rsidP="00A9140F">
            <w:pPr>
              <w:pStyle w:val="AnnexTableCellLeft"/>
            </w:pPr>
            <w:r>
              <w:t>Starfsemin er í samræmi við viðmiðanirnar sem settar eru fram í viðbæti A við þennan viðauka.</w:t>
            </w:r>
          </w:p>
        </w:tc>
      </w:tr>
      <w:tr w:rsidR="00DB6835" w14:paraId="46C13D37" w14:textId="77777777" w:rsidTr="00A9140F">
        <w:trPr>
          <w:trHeight w:val="360"/>
        </w:trPr>
        <w:tc>
          <w:tcPr>
            <w:tcW w:w="2800" w:type="dxa"/>
            <w:tcMar>
              <w:top w:w="200" w:type="dxa"/>
              <w:left w:w="0" w:type="dxa"/>
              <w:bottom w:w="200" w:type="dxa"/>
              <w:right w:w="60" w:type="dxa"/>
            </w:tcMar>
          </w:tcPr>
          <w:p w14:paraId="4FB6533B" w14:textId="77777777" w:rsidR="00DB6835" w:rsidRDefault="00DB6835" w:rsidP="00A9140F">
            <w:pPr>
              <w:pStyle w:val="AnnexNumberedText"/>
            </w:pPr>
            <w:r>
              <w:t>3)</w:t>
            </w:r>
            <w:r>
              <w:tab/>
              <w:t>Sjálfbær notkun og verndun vatns- og sjávarauðlinda</w:t>
            </w:r>
          </w:p>
        </w:tc>
        <w:tc>
          <w:tcPr>
            <w:tcW w:w="5940" w:type="dxa"/>
            <w:tcMar>
              <w:top w:w="200" w:type="dxa"/>
              <w:left w:w="40" w:type="dxa"/>
              <w:bottom w:w="200" w:type="dxa"/>
              <w:right w:w="0" w:type="dxa"/>
            </w:tcMar>
          </w:tcPr>
          <w:p w14:paraId="20A3CB76" w14:textId="77777777" w:rsidR="00DB6835" w:rsidRDefault="00DB6835" w:rsidP="00A9140F">
            <w:pPr>
              <w:pStyle w:val="AnnexTableCellLeft"/>
            </w:pPr>
            <w:r>
              <w:t>Starfsemin er í samræmi við viðmiðanirnar sem settar eru fram í viðbæti B við þennan viðauka.</w:t>
            </w:r>
          </w:p>
        </w:tc>
      </w:tr>
      <w:tr w:rsidR="00DB6835" w14:paraId="006C2DD4" w14:textId="77777777" w:rsidTr="00A9140F">
        <w:trPr>
          <w:trHeight w:val="360"/>
        </w:trPr>
        <w:tc>
          <w:tcPr>
            <w:tcW w:w="2800" w:type="dxa"/>
            <w:tcMar>
              <w:top w:w="200" w:type="dxa"/>
              <w:left w:w="0" w:type="dxa"/>
              <w:bottom w:w="200" w:type="dxa"/>
              <w:right w:w="60" w:type="dxa"/>
            </w:tcMar>
          </w:tcPr>
          <w:p w14:paraId="7E564E87" w14:textId="77777777" w:rsidR="00DB6835" w:rsidRDefault="00DB6835" w:rsidP="00A9140F">
            <w:pPr>
              <w:pStyle w:val="AnnexNumberedText"/>
            </w:pPr>
            <w:r>
              <w:t>4)</w:t>
            </w:r>
            <w:r>
              <w:tab/>
              <w:t>Umskipti yfir í hringrásarhagkerfi</w:t>
            </w:r>
          </w:p>
        </w:tc>
        <w:tc>
          <w:tcPr>
            <w:tcW w:w="5940" w:type="dxa"/>
            <w:tcMar>
              <w:top w:w="200" w:type="dxa"/>
              <w:left w:w="40" w:type="dxa"/>
              <w:bottom w:w="200" w:type="dxa"/>
              <w:right w:w="0" w:type="dxa"/>
            </w:tcMar>
          </w:tcPr>
          <w:p w14:paraId="500F924B" w14:textId="77777777" w:rsidR="00DB6835" w:rsidRDefault="00DB6835" w:rsidP="00A9140F">
            <w:pPr>
              <w:pStyle w:val="AnnexTableCellLeft"/>
            </w:pPr>
            <w:r>
              <w:t>Að minnsta kosti 70% (massahlutfall) af hættulausum úrgangi frá byggingar- og niðurrifsstarfsemi (að undanskildum náttúrulegum efnivið sem um getur í flokki 17 05 04 í Evrópsku úrgangsskránni sem komið var á fót með ákvörðun framkvæmdastjórnarinnar 2000/532/EB (</w:t>
            </w:r>
            <w:r>
              <w:rPr>
                <w:rStyle w:val="Tilvsunneanmlsgrein"/>
                <w:sz w:val="18"/>
              </w:rPr>
              <w:footnoteReference w:id="286"/>
            </w:r>
            <w:r>
              <w:t xml:space="preserve">))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rPr>
              <w:footnoteReference w:id="287"/>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B6835" w14:paraId="4FF25EF7" w14:textId="77777777" w:rsidTr="00A9140F">
        <w:trPr>
          <w:trHeight w:val="360"/>
        </w:trPr>
        <w:tc>
          <w:tcPr>
            <w:tcW w:w="2800" w:type="dxa"/>
            <w:tcMar>
              <w:top w:w="200" w:type="dxa"/>
              <w:left w:w="0" w:type="dxa"/>
              <w:bottom w:w="200" w:type="dxa"/>
              <w:right w:w="60" w:type="dxa"/>
            </w:tcMar>
          </w:tcPr>
          <w:p w14:paraId="5126C4AE" w14:textId="77777777" w:rsidR="00DB6835" w:rsidRDefault="00DB6835" w:rsidP="00A9140F">
            <w:pPr>
              <w:pStyle w:val="AnnexNumberedText"/>
            </w:pPr>
            <w:r>
              <w:t>5)</w:t>
            </w:r>
            <w:r>
              <w:tab/>
              <w:t>Mengunarvarnir og eftirlit með mengun</w:t>
            </w:r>
          </w:p>
        </w:tc>
        <w:tc>
          <w:tcPr>
            <w:tcW w:w="5940" w:type="dxa"/>
            <w:tcMar>
              <w:top w:w="200" w:type="dxa"/>
              <w:left w:w="40" w:type="dxa"/>
              <w:bottom w:w="200" w:type="dxa"/>
              <w:right w:w="0" w:type="dxa"/>
            </w:tcMar>
          </w:tcPr>
          <w:p w14:paraId="5754168F" w14:textId="77777777" w:rsidR="00DB6835" w:rsidRDefault="00DB6835" w:rsidP="00A9140F">
            <w:pPr>
              <w:pStyle w:val="AnnexTableCellLeft"/>
            </w:pPr>
            <w:r>
              <w:t>Ráðstafanir eru gerðar til að draga úr hávaða, ryki og losun mengandi efna meðan byggingar- eða viðhaldsvinna stendur yfir.</w:t>
            </w:r>
          </w:p>
        </w:tc>
      </w:tr>
      <w:tr w:rsidR="00DB6835" w14:paraId="7E15ACAC" w14:textId="77777777" w:rsidTr="00A9140F">
        <w:trPr>
          <w:trHeight w:val="360"/>
        </w:trPr>
        <w:tc>
          <w:tcPr>
            <w:tcW w:w="2800" w:type="dxa"/>
            <w:tcMar>
              <w:top w:w="200" w:type="dxa"/>
              <w:left w:w="0" w:type="dxa"/>
              <w:bottom w:w="200" w:type="dxa"/>
              <w:right w:w="60" w:type="dxa"/>
            </w:tcMar>
          </w:tcPr>
          <w:p w14:paraId="2031FC9A" w14:textId="77777777" w:rsidR="00DB6835" w:rsidRDefault="00DB6835" w:rsidP="00A9140F">
            <w:pPr>
              <w:pStyle w:val="AnnexNumberedText"/>
            </w:pPr>
            <w:r>
              <w:lastRenderedPageBreak/>
              <w:t>6)</w:t>
            </w:r>
            <w:r>
              <w:tab/>
              <w:t>Vernd og endurheimt líffræðilegrar fjölbreytni og vistkerfa</w:t>
            </w:r>
          </w:p>
        </w:tc>
        <w:tc>
          <w:tcPr>
            <w:tcW w:w="5940" w:type="dxa"/>
            <w:tcMar>
              <w:top w:w="200" w:type="dxa"/>
              <w:left w:w="40" w:type="dxa"/>
              <w:bottom w:w="200" w:type="dxa"/>
              <w:right w:w="0" w:type="dxa"/>
            </w:tcMar>
          </w:tcPr>
          <w:p w14:paraId="38B475BD" w14:textId="77777777" w:rsidR="00DB6835" w:rsidRDefault="00DB6835" w:rsidP="00A9140F">
            <w:pPr>
              <w:pStyle w:val="AnnexTableCellLeft"/>
            </w:pPr>
            <w:r>
              <w:t>Starfsemin er í samræmi við viðmiðanirnar sem settar eru fram í viðbæti D við þennan viðauka.</w:t>
            </w:r>
          </w:p>
        </w:tc>
      </w:tr>
    </w:tbl>
    <w:p w14:paraId="208E3A99" w14:textId="77777777" w:rsidR="00DB6835" w:rsidRDefault="00DB6835" w:rsidP="00DB6835">
      <w:pPr>
        <w:shd w:val="clear" w:color="auto" w:fill="auto"/>
        <w:spacing w:line="0" w:lineRule="auto"/>
        <w:jc w:val="left"/>
        <w:rPr>
          <w:color w:val="auto"/>
          <w14:ligatures w14:val="standard"/>
        </w:rPr>
      </w:pPr>
      <w:r>
        <w:br w:type="page"/>
      </w:r>
    </w:p>
    <w:p w14:paraId="0B6AB9A8" w14:textId="77777777" w:rsidR="00DB6835" w:rsidRDefault="00DB6835" w:rsidP="00DB6835">
      <w:pPr>
        <w:pStyle w:val="AnnexNumberedText"/>
        <w:spacing w:before="200" w:after="240"/>
        <w:ind w:left="500" w:hanging="500"/>
      </w:pPr>
      <w:r>
        <w:lastRenderedPageBreak/>
        <w:t>6.14.</w:t>
      </w:r>
      <w:r>
        <w:rPr>
          <w:b/>
        </w:rPr>
        <w:tab/>
        <w:t>Grunnvirki fyrir flutninga með járnbrautum</w:t>
      </w:r>
    </w:p>
    <w:p w14:paraId="18610CBE" w14:textId="77777777" w:rsidR="00DB6835" w:rsidRDefault="00DB6835" w:rsidP="00DB6835">
      <w:pPr>
        <w:pStyle w:val="AnnexGrSeq3"/>
        <w:ind w:left="500"/>
        <w:jc w:val="both"/>
      </w:pPr>
      <w:r>
        <w:rPr>
          <w:i/>
        </w:rPr>
        <w:t>Lýsing á starfseminni</w:t>
      </w:r>
    </w:p>
    <w:p w14:paraId="5E329D07" w14:textId="77777777" w:rsidR="00DB6835" w:rsidRDefault="00DB6835" w:rsidP="00DB6835">
      <w:pPr>
        <w:pStyle w:val="AnnexNormal"/>
        <w:ind w:left="500"/>
      </w:pPr>
      <w:r>
        <w:t xml:space="preserve">Uppbygging, nútímavæðing, </w:t>
      </w:r>
      <w:proofErr w:type="spellStart"/>
      <w:r>
        <w:t>starfræksla</w:t>
      </w:r>
      <w:proofErr w:type="spellEnd"/>
      <w:r>
        <w:t xml:space="preserve"> og viðhald járnbrauta og undirganga, sem og brúa og jarðganga, stöðva, endastöðva, járnbrautaþjónustustöðva (</w:t>
      </w:r>
      <w:bookmarkStart w:id="43" w:name="NOTE_287"/>
      <w:r>
        <w:rPr>
          <w:rStyle w:val="Tilvsunneanmlsgrein"/>
          <w:sz w:val="18"/>
        </w:rPr>
        <w:footnoteReference w:id="288"/>
      </w:r>
      <w:bookmarkEnd w:id="43"/>
      <w:r>
        <w:t>), öryggis- og umferðarstjórnunarkerfa, þ.m.t. veiting arkitektaþjónustu, verkfræðiþjónustu, teikniþjónustu, eftirlits með byggingarframkvæmdum og landmælingaþjónustu og kortagerðarþjónustu o.þ.h. sem og framkvæmd eðlisfræðilegra og efnafræðilegra prófana og annarra greiningarprófana á öllum tegundum efniviða og vara.</w:t>
      </w:r>
    </w:p>
    <w:p w14:paraId="56BF04BC" w14:textId="77777777" w:rsidR="00DB6835" w:rsidRDefault="00DB6835" w:rsidP="00DB6835">
      <w:pPr>
        <w:pStyle w:val="AnnexNormal"/>
        <w:ind w:left="500"/>
      </w:pPr>
      <w:r>
        <w:t>Atvinnustarfsemin í þessum flokki gæti tengst nokkrum kóðum atvinnugreinaflokkunar Evrópusambandsins, einkum F42.12, F42.13, M71.12, M71.20, F43.21 og H52.21, í samræmi við atvinnugreinaflokkunina sem komið var á með reglugerð (EB) nr. 1893/2006.</w:t>
      </w:r>
    </w:p>
    <w:p w14:paraId="79258F6A" w14:textId="77777777" w:rsidR="00DB6835" w:rsidRDefault="00DB6835" w:rsidP="00DB6835">
      <w:pPr>
        <w:pStyle w:val="AnnexNormal"/>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30FBBDA9"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DB6835" w14:paraId="72DBAF9C" w14:textId="77777777" w:rsidTr="00A9140F">
        <w:trPr>
          <w:trHeight w:val="240"/>
        </w:trPr>
        <w:tc>
          <w:tcPr>
            <w:tcW w:w="8740" w:type="dxa"/>
            <w:gridSpan w:val="2"/>
            <w:tcMar>
              <w:top w:w="100" w:type="dxa"/>
              <w:left w:w="0" w:type="dxa"/>
              <w:bottom w:w="100" w:type="dxa"/>
              <w:right w:w="60" w:type="dxa"/>
            </w:tcMar>
          </w:tcPr>
          <w:p w14:paraId="44A7C274"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6A5C0E7" w14:textId="77777777" w:rsidTr="00A9140F">
        <w:trPr>
          <w:trHeight w:val="360"/>
        </w:trPr>
        <w:tc>
          <w:tcPr>
            <w:tcW w:w="8740" w:type="dxa"/>
            <w:gridSpan w:val="2"/>
            <w:tcMar>
              <w:top w:w="100" w:type="dxa"/>
              <w:left w:w="0" w:type="dxa"/>
              <w:bottom w:w="100" w:type="dxa"/>
              <w:right w:w="60" w:type="dxa"/>
            </w:tcMar>
          </w:tcPr>
          <w:p w14:paraId="70ECDAD8" w14:textId="77777777" w:rsidR="00DB6835" w:rsidRDefault="00DB6835" w:rsidP="00A9140F">
            <w:pPr>
              <w:pStyle w:val="AnnexNumberedText"/>
              <w:tabs>
                <w:tab w:val="left" w:pos="508"/>
              </w:tabs>
              <w:spacing w:after="200"/>
              <w:ind w:left="0" w:firstLine="0"/>
            </w:pPr>
            <w:r>
              <w:t>1.</w:t>
            </w:r>
            <w:r>
              <w:tab/>
              <w:t>Starfsemin er í samræmi við eina af eftirfarandi viðmiðunum:</w:t>
            </w:r>
          </w:p>
          <w:p w14:paraId="49949551" w14:textId="77777777" w:rsidR="00DB6835" w:rsidRDefault="00DB6835" w:rsidP="00A9140F">
            <w:pPr>
              <w:pStyle w:val="AnnexNumberedText"/>
              <w:spacing w:after="200"/>
              <w:rPr>
                <w:szCs w:val="18"/>
              </w:rPr>
            </w:pPr>
            <w:r>
              <w:t>a)</w:t>
            </w:r>
            <w:r>
              <w:tab/>
              <w:t>grunnvirkið (eins og skilgreint er í 2. lið II. viðauka við tilskipun Evrópuþingsins og ráðsins (ESB) 2016/797(</w:t>
            </w:r>
            <w:r>
              <w:rPr>
                <w:rStyle w:val="Tilvsunneanmlsgrein"/>
                <w:sz w:val="18"/>
                <w:szCs w:val="18"/>
              </w:rPr>
              <w:footnoteReference w:id="289"/>
            </w:r>
            <w:r>
              <w:t>)) er eitt af eftirfarandi:</w:t>
            </w:r>
          </w:p>
          <w:p w14:paraId="64312036" w14:textId="77777777" w:rsidR="00DB6835" w:rsidRDefault="00DB6835" w:rsidP="00A9140F">
            <w:pPr>
              <w:pStyle w:val="AnnexNumberedText"/>
              <w:tabs>
                <w:tab w:val="right" w:pos="782"/>
              </w:tabs>
              <w:spacing w:after="200"/>
              <w:ind w:left="600"/>
              <w:rPr>
                <w:szCs w:val="18"/>
              </w:rPr>
            </w:pPr>
            <w:r>
              <w:t>i.</w:t>
            </w:r>
            <w:r>
              <w:tab/>
            </w:r>
            <w:proofErr w:type="spellStart"/>
            <w:r>
              <w:t>rafvætt</w:t>
            </w:r>
            <w:proofErr w:type="spellEnd"/>
            <w:r>
              <w:t xml:space="preserve"> grunnvirki meðfram brautarsporinu (e. </w:t>
            </w:r>
            <w:proofErr w:type="spellStart"/>
            <w:r>
              <w:rPr>
                <w:i/>
                <w:iCs/>
              </w:rPr>
              <w:t>trackside</w:t>
            </w:r>
            <w:proofErr w:type="spellEnd"/>
            <w:r>
              <w:t>) og tengd undirkerfi: innviðir, orka, stjórn- og merkjakerfi um borð og stjórn- og merkjaundirkerfi meðfram brautarsporinu eins og skilgreint er í 2. lið II. viðauka við tilskipun (ESB) 2016/797,</w:t>
            </w:r>
          </w:p>
          <w:p w14:paraId="4BADA503" w14:textId="77777777" w:rsidR="00DB6835" w:rsidRDefault="00DB6835" w:rsidP="00A9140F">
            <w:pPr>
              <w:pStyle w:val="AnnexNumberedText"/>
              <w:tabs>
                <w:tab w:val="right" w:pos="782"/>
              </w:tabs>
              <w:spacing w:after="200"/>
              <w:ind w:left="600"/>
              <w:rPr>
                <w:szCs w:val="18"/>
              </w:rPr>
            </w:pPr>
            <w:r>
              <w:t>ii.</w:t>
            </w:r>
            <w:r>
              <w:tab/>
              <w:t xml:space="preserve">ný og fyrirliggjandi grunnvirki meðfram brautarsporinu og tengd undirkerfi þar sem fyrir liggur áætlun um </w:t>
            </w:r>
            <w:proofErr w:type="spellStart"/>
            <w:r>
              <w:t>rafvæðingu</w:t>
            </w:r>
            <w:proofErr w:type="spellEnd"/>
            <w:r>
              <w:t xml:space="preserve"> að því er varðar brautarspor og, að því marki sem nauðsynlegt er fyrir </w:t>
            </w:r>
            <w:proofErr w:type="spellStart"/>
            <w:r>
              <w:t>starfrækslu</w:t>
            </w:r>
            <w:proofErr w:type="spellEnd"/>
            <w:r>
              <w:t xml:space="preserve"> </w:t>
            </w:r>
            <w:proofErr w:type="spellStart"/>
            <w:r>
              <w:t>raflesta</w:t>
            </w:r>
            <w:proofErr w:type="spellEnd"/>
            <w:r>
              <w:t>, að því er varðar hliðarspor, eða þar sem grunnvirkin koma til með að henta til notkunar fyrir lestar sem eru ekki með neina koltvísýringslosun gegnum útblástursrör innan 10 ára frá upphafi starfseminnar: innviðir, orka, stjórn- og merkjakerfi um borð og stjórn- og merkjaundirkerfi meðfram brautarsporinu eins og skilgreint er í 2. lið II. viðauka við tilskipun (ESB) 2016/797,</w:t>
            </w:r>
          </w:p>
          <w:p w14:paraId="5FA0456C" w14:textId="77777777" w:rsidR="00DB6835" w:rsidRDefault="00DB6835" w:rsidP="00A9140F">
            <w:pPr>
              <w:pStyle w:val="AnnexNumberedText"/>
              <w:tabs>
                <w:tab w:val="right" w:pos="782"/>
              </w:tabs>
              <w:spacing w:after="200"/>
              <w:ind w:left="600"/>
            </w:pPr>
            <w:r>
              <w:t>iii.</w:t>
            </w:r>
            <w:r>
              <w:tab/>
              <w:t xml:space="preserve">fram til 2030, fyrirliggjandi grunnvirki meðfram brautarsporinu og tengd undirkerfi sem eru hvorki hluti af </w:t>
            </w:r>
            <w:proofErr w:type="spellStart"/>
            <w:r>
              <w:t>samevrópska</w:t>
            </w:r>
            <w:proofErr w:type="spellEnd"/>
            <w:r>
              <w:t xml:space="preserve"> flutninganetinu (</w:t>
            </w:r>
            <w:r>
              <w:rPr>
                <w:rStyle w:val="Tilvsunneanmlsgrein"/>
                <w:sz w:val="18"/>
                <w:szCs w:val="18"/>
              </w:rPr>
              <w:footnoteReference w:id="290"/>
            </w:r>
            <w:r>
              <w:t>) og leiðbeinandi útvíkkun þess til þriðju landa né neinu landsbundnu, yfirþjóðlegu eða alþjóðlega skilgreindu flutningsneti stórra járnbrautarspora: innviðir, orka, stjórn- og merkjakerfi um borð og stjórn- og merkjaundirkerfi meðfram brautarsporinu eins og skilgreint er í 2. lið II. viðauka við tilskipun (ESB) 2016/797,</w:t>
            </w:r>
          </w:p>
          <w:p w14:paraId="22941834" w14:textId="77777777" w:rsidR="00DB6835" w:rsidRDefault="00DB6835" w:rsidP="00A9140F">
            <w:pPr>
              <w:pStyle w:val="AnnexNumberedText"/>
              <w:spacing w:after="200"/>
            </w:pPr>
            <w:r>
              <w:t>b)</w:t>
            </w:r>
            <w:r>
              <w:tab/>
              <w:t xml:space="preserve">grunnvirki og aðstaða eru ætluð til að </w:t>
            </w:r>
            <w:proofErr w:type="spellStart"/>
            <w:r>
              <w:t>umferma</w:t>
            </w:r>
            <w:proofErr w:type="spellEnd"/>
            <w:r>
              <w:t xml:space="preserve"> vörur milli flutningsmáta: grunnvirki endastöðvar og yfirbyggingar fyrir lestun, </w:t>
            </w:r>
            <w:proofErr w:type="spellStart"/>
            <w:r>
              <w:t>affermingu</w:t>
            </w:r>
            <w:proofErr w:type="spellEnd"/>
            <w:r>
              <w:t xml:space="preserve"> og umfermingu á vörum,</w:t>
            </w:r>
          </w:p>
          <w:p w14:paraId="26713FCF" w14:textId="77777777" w:rsidR="00DB6835" w:rsidRDefault="00DB6835" w:rsidP="00A9140F">
            <w:pPr>
              <w:pStyle w:val="AnnexNumberedText"/>
              <w:spacing w:after="200"/>
            </w:pPr>
            <w:r>
              <w:t>c)</w:t>
            </w:r>
            <w:r>
              <w:tab/>
              <w:t>grunnvirki og aðstaða eru ætluð til að flytja farþega frá einum brautarteinum til annarra eða frá öðrum flutningsmáta til brautarteina.</w:t>
            </w:r>
          </w:p>
          <w:p w14:paraId="61A9B586" w14:textId="77777777" w:rsidR="00DB6835" w:rsidRDefault="00DB6835" w:rsidP="00A9140F">
            <w:pPr>
              <w:pStyle w:val="AnnexNumberedText"/>
              <w:tabs>
                <w:tab w:val="left" w:pos="508"/>
              </w:tabs>
              <w:ind w:left="0" w:firstLine="0"/>
            </w:pPr>
            <w:r>
              <w:t>2.</w:t>
            </w:r>
            <w:r>
              <w:tab/>
              <w:t>Grunnvirkið er ekki ætlað til flutnings eða geymslu á jarðefnaeldsneyti.</w:t>
            </w:r>
          </w:p>
        </w:tc>
      </w:tr>
      <w:tr w:rsidR="00DB6835" w14:paraId="1D8B83F0" w14:textId="77777777" w:rsidTr="00A9140F">
        <w:trPr>
          <w:trHeight w:val="240"/>
        </w:trPr>
        <w:tc>
          <w:tcPr>
            <w:tcW w:w="8740" w:type="dxa"/>
            <w:gridSpan w:val="2"/>
            <w:tcMar>
              <w:top w:w="100" w:type="dxa"/>
              <w:left w:w="0" w:type="dxa"/>
              <w:bottom w:w="100" w:type="dxa"/>
              <w:right w:w="60" w:type="dxa"/>
            </w:tcMar>
          </w:tcPr>
          <w:p w14:paraId="5FE634FC" w14:textId="77777777" w:rsidR="00DB6835" w:rsidRDefault="00DB6835" w:rsidP="00A9140F">
            <w:pPr>
              <w:pStyle w:val="AnnexTableCellLeft"/>
            </w:pPr>
            <w:r>
              <w:lastRenderedPageBreak/>
              <w:t>Ekki valda umtalsverðu tjóni</w:t>
            </w:r>
          </w:p>
        </w:tc>
      </w:tr>
      <w:tr w:rsidR="00DB6835" w14:paraId="1FB7C16E" w14:textId="77777777" w:rsidTr="00A9140F">
        <w:trPr>
          <w:trHeight w:val="360"/>
        </w:trPr>
        <w:tc>
          <w:tcPr>
            <w:tcW w:w="2848" w:type="dxa"/>
            <w:tcMar>
              <w:top w:w="100" w:type="dxa"/>
              <w:left w:w="0" w:type="dxa"/>
              <w:bottom w:w="100" w:type="dxa"/>
              <w:right w:w="60" w:type="dxa"/>
            </w:tcMar>
          </w:tcPr>
          <w:p w14:paraId="0C51403E" w14:textId="77777777" w:rsidR="00DB6835" w:rsidRDefault="00DB6835" w:rsidP="00A9140F">
            <w:pPr>
              <w:pStyle w:val="AnnexNumberedText"/>
            </w:pPr>
            <w:r>
              <w:t>2)</w:t>
            </w:r>
            <w:r>
              <w:tab/>
              <w:t>Aðlögun að loftslagsbreytingum</w:t>
            </w:r>
          </w:p>
        </w:tc>
        <w:tc>
          <w:tcPr>
            <w:tcW w:w="5892" w:type="dxa"/>
            <w:tcMar>
              <w:top w:w="100" w:type="dxa"/>
              <w:left w:w="40" w:type="dxa"/>
              <w:bottom w:w="100" w:type="dxa"/>
              <w:right w:w="0" w:type="dxa"/>
            </w:tcMar>
          </w:tcPr>
          <w:p w14:paraId="241A4AE4" w14:textId="77777777" w:rsidR="00DB6835" w:rsidRDefault="00DB6835" w:rsidP="00A9140F">
            <w:pPr>
              <w:pStyle w:val="AnnexTableCellLeft"/>
            </w:pPr>
            <w:r>
              <w:t>Starfsemin er í samræmi við viðmiðanirnar sem settar eru fram í viðbæti A við þennan viðauka.</w:t>
            </w:r>
          </w:p>
        </w:tc>
      </w:tr>
      <w:tr w:rsidR="00DB6835" w14:paraId="5CC3A02A" w14:textId="77777777" w:rsidTr="00A9140F">
        <w:trPr>
          <w:trHeight w:val="360"/>
        </w:trPr>
        <w:tc>
          <w:tcPr>
            <w:tcW w:w="2848" w:type="dxa"/>
            <w:tcMar>
              <w:top w:w="100" w:type="dxa"/>
              <w:left w:w="0" w:type="dxa"/>
              <w:bottom w:w="100" w:type="dxa"/>
              <w:right w:w="60" w:type="dxa"/>
            </w:tcMar>
          </w:tcPr>
          <w:p w14:paraId="67846011" w14:textId="77777777" w:rsidR="00DB6835" w:rsidRDefault="00DB6835" w:rsidP="00A9140F">
            <w:pPr>
              <w:pStyle w:val="AnnexNumberedText"/>
              <w:pageBreakBefore/>
            </w:pPr>
            <w:r>
              <w:lastRenderedPageBreak/>
              <w:t>3)</w:t>
            </w:r>
            <w:r>
              <w:tab/>
              <w:t>Sjálfbær notkun og verndun vatns- og sjávarauðlinda</w:t>
            </w:r>
          </w:p>
        </w:tc>
        <w:tc>
          <w:tcPr>
            <w:tcW w:w="5892" w:type="dxa"/>
            <w:tcMar>
              <w:top w:w="100" w:type="dxa"/>
              <w:left w:w="40" w:type="dxa"/>
              <w:bottom w:w="100" w:type="dxa"/>
              <w:right w:w="0" w:type="dxa"/>
            </w:tcMar>
          </w:tcPr>
          <w:p w14:paraId="5C665479" w14:textId="77777777" w:rsidR="00DB6835" w:rsidRDefault="00DB6835" w:rsidP="00A9140F">
            <w:pPr>
              <w:pStyle w:val="AnnexTableCellLeft"/>
            </w:pPr>
            <w:r>
              <w:t>Starfsemin er í samræmi við viðmiðanirnar sem settar eru fram í viðbæti B við þennan viðauka.</w:t>
            </w:r>
          </w:p>
        </w:tc>
      </w:tr>
      <w:tr w:rsidR="00DB6835" w14:paraId="57C1722E" w14:textId="77777777" w:rsidTr="00A9140F">
        <w:trPr>
          <w:trHeight w:val="360"/>
        </w:trPr>
        <w:tc>
          <w:tcPr>
            <w:tcW w:w="2848" w:type="dxa"/>
            <w:tcMar>
              <w:top w:w="100" w:type="dxa"/>
              <w:left w:w="0" w:type="dxa"/>
              <w:bottom w:w="100" w:type="dxa"/>
              <w:right w:w="60" w:type="dxa"/>
            </w:tcMar>
          </w:tcPr>
          <w:p w14:paraId="57E44EE9" w14:textId="77777777" w:rsidR="00DB6835" w:rsidRDefault="00DB6835" w:rsidP="00A9140F">
            <w:pPr>
              <w:pStyle w:val="AnnexNumberedText"/>
            </w:pPr>
            <w:r>
              <w:t>4)</w:t>
            </w:r>
            <w:r>
              <w:tab/>
              <w:t>Umskipti yfir í hringrásarhagkerfi</w:t>
            </w:r>
          </w:p>
        </w:tc>
        <w:tc>
          <w:tcPr>
            <w:tcW w:w="5892" w:type="dxa"/>
            <w:tcMar>
              <w:top w:w="100" w:type="dxa"/>
              <w:left w:w="40" w:type="dxa"/>
              <w:bottom w:w="100" w:type="dxa"/>
              <w:right w:w="0" w:type="dxa"/>
            </w:tcMar>
          </w:tcPr>
          <w:p w14:paraId="6CB430CF" w14:textId="77777777" w:rsidR="00DB6835" w:rsidRDefault="00DB6835"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rPr>
              <w:footnoteReference w:id="291"/>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B6835" w14:paraId="06DD6BED" w14:textId="77777777" w:rsidTr="00A9140F">
        <w:trPr>
          <w:trHeight w:val="360"/>
        </w:trPr>
        <w:tc>
          <w:tcPr>
            <w:tcW w:w="2848" w:type="dxa"/>
            <w:tcMar>
              <w:top w:w="100" w:type="dxa"/>
              <w:left w:w="0" w:type="dxa"/>
              <w:bottom w:w="100" w:type="dxa"/>
              <w:right w:w="60" w:type="dxa"/>
            </w:tcMar>
          </w:tcPr>
          <w:p w14:paraId="334627A7" w14:textId="77777777" w:rsidR="00DB6835" w:rsidRDefault="00DB6835" w:rsidP="00A9140F">
            <w:pPr>
              <w:pStyle w:val="AnnexNumberedText"/>
            </w:pPr>
            <w:r>
              <w:t>5)</w:t>
            </w:r>
            <w:r>
              <w:tab/>
              <w:t>Mengunarvarnir og eftirlit með mengun</w:t>
            </w:r>
          </w:p>
        </w:tc>
        <w:tc>
          <w:tcPr>
            <w:tcW w:w="5892" w:type="dxa"/>
            <w:tcMar>
              <w:top w:w="100" w:type="dxa"/>
              <w:left w:w="40" w:type="dxa"/>
              <w:bottom w:w="100" w:type="dxa"/>
              <w:right w:w="0" w:type="dxa"/>
            </w:tcMar>
          </w:tcPr>
          <w:p w14:paraId="256BFC73" w14:textId="77777777" w:rsidR="00DB6835" w:rsidRDefault="00DB6835" w:rsidP="00A9140F">
            <w:pPr>
              <w:pStyle w:val="AnnexTableCellLeft"/>
            </w:pPr>
            <w:r>
              <w:t xml:space="preserve">Eftir því sem við á, eftir því hversu viðkvæmt svæðið er sem verður fyrir áhrifum, einkum með hliðsjón af fjölda fólks sem verður fyrir áhrifum, eru hávaði og titringur frá notkun grunnvirkis milduð með því að taka í notkun opna skurði, </w:t>
            </w:r>
            <w:proofErr w:type="spellStart"/>
            <w:r>
              <w:t>veggtálma</w:t>
            </w:r>
            <w:proofErr w:type="spellEnd"/>
            <w:r>
              <w:t xml:space="preserve"> eða aðrar ráðstafanir og farið er að tilskipun Evrópuþingsins og ráðsins 2002/49/EB (</w:t>
            </w:r>
            <w:r>
              <w:rPr>
                <w:rStyle w:val="Tilvsunneanmlsgrein"/>
                <w:sz w:val="18"/>
              </w:rPr>
              <w:footnoteReference w:id="292"/>
            </w:r>
            <w:r>
              <w:t>).</w:t>
            </w:r>
          </w:p>
          <w:p w14:paraId="3AC085E5" w14:textId="77777777" w:rsidR="00DB6835" w:rsidRDefault="00DB6835" w:rsidP="00A9140F">
            <w:pPr>
              <w:pStyle w:val="AnnexTableCellLeft"/>
            </w:pPr>
            <w:r>
              <w:t>Ráðstafanir eru gerðar til að draga úr hávaða, ryki og losun mengandi efna meðan byggingar- eða viðhaldsvinna stendur yfir.</w:t>
            </w:r>
          </w:p>
        </w:tc>
      </w:tr>
      <w:tr w:rsidR="00DB6835" w14:paraId="56E78C4F" w14:textId="77777777" w:rsidTr="00A9140F">
        <w:trPr>
          <w:trHeight w:val="360"/>
        </w:trPr>
        <w:tc>
          <w:tcPr>
            <w:tcW w:w="2848" w:type="dxa"/>
            <w:tcMar>
              <w:top w:w="100" w:type="dxa"/>
              <w:left w:w="0" w:type="dxa"/>
              <w:bottom w:w="100" w:type="dxa"/>
              <w:right w:w="60" w:type="dxa"/>
            </w:tcMar>
          </w:tcPr>
          <w:p w14:paraId="77820C61" w14:textId="77777777" w:rsidR="00DB6835" w:rsidRDefault="00DB6835" w:rsidP="00A9140F">
            <w:pPr>
              <w:pStyle w:val="AnnexNumberedText"/>
              <w:ind w:left="293" w:hanging="293"/>
            </w:pPr>
            <w:r>
              <w:t>6)</w:t>
            </w:r>
            <w:r>
              <w:tab/>
              <w:t>Vernd og endurheimt líffræðilegrar fjölbreytni og vistkerfa</w:t>
            </w:r>
          </w:p>
        </w:tc>
        <w:tc>
          <w:tcPr>
            <w:tcW w:w="5892" w:type="dxa"/>
            <w:tcMar>
              <w:top w:w="100" w:type="dxa"/>
              <w:left w:w="40" w:type="dxa"/>
              <w:bottom w:w="100" w:type="dxa"/>
              <w:right w:w="0" w:type="dxa"/>
            </w:tcMar>
          </w:tcPr>
          <w:p w14:paraId="5321E8A9" w14:textId="77777777" w:rsidR="00DB6835" w:rsidRDefault="00DB6835" w:rsidP="00A9140F">
            <w:pPr>
              <w:pStyle w:val="AnnexTableCellLeft"/>
            </w:pPr>
            <w:r>
              <w:t>Starfsemin er í samræmi við viðmiðanirnar sem settar eru fram í viðbæti D við þennan viðauka.</w:t>
            </w:r>
          </w:p>
        </w:tc>
      </w:tr>
    </w:tbl>
    <w:p w14:paraId="0BFEA8A4" w14:textId="77777777" w:rsidR="00DB6835" w:rsidRDefault="00DB6835" w:rsidP="00DB6835">
      <w:pPr>
        <w:pStyle w:val="AnnexNumberedText"/>
        <w:spacing w:before="200" w:after="200"/>
        <w:ind w:left="500" w:hanging="500"/>
      </w:pPr>
      <w:r>
        <w:t>6.15.</w:t>
      </w:r>
      <w:r>
        <w:rPr>
          <w:b/>
        </w:rPr>
        <w:tab/>
        <w:t>Grunnvirki sem gera flutninga á vegum og almenningssamgöngur með litla losun kolefna möguleg</w:t>
      </w:r>
    </w:p>
    <w:p w14:paraId="43984B4F" w14:textId="77777777" w:rsidR="00DB6835" w:rsidRDefault="00DB6835" w:rsidP="00DB6835">
      <w:pPr>
        <w:pStyle w:val="AnnexGrSeq3"/>
        <w:spacing w:after="300"/>
        <w:ind w:left="500"/>
        <w:jc w:val="both"/>
      </w:pPr>
      <w:r>
        <w:rPr>
          <w:i/>
        </w:rPr>
        <w:t>Lýsing á starfseminni</w:t>
      </w:r>
    </w:p>
    <w:p w14:paraId="448DE439" w14:textId="77777777" w:rsidR="00DB6835" w:rsidRDefault="00DB6835" w:rsidP="00DB6835">
      <w:pPr>
        <w:pStyle w:val="AnnexNormal"/>
        <w:spacing w:after="300"/>
        <w:ind w:left="500"/>
      </w:pPr>
      <w:r>
        <w:t xml:space="preserve">Uppbygging, nútímavæðing, viðhald og </w:t>
      </w:r>
      <w:proofErr w:type="spellStart"/>
      <w:r>
        <w:t>starfræksla</w:t>
      </w:r>
      <w:proofErr w:type="spellEnd"/>
      <w:r>
        <w:t xml:space="preserve"> grunnvirkja sem eru nauðsynleg til </w:t>
      </w:r>
      <w:proofErr w:type="spellStart"/>
      <w:r>
        <w:t>starfrækslu</w:t>
      </w:r>
      <w:proofErr w:type="spellEnd"/>
      <w:r>
        <w:t xml:space="preserve"> losunarlausra flutninga á vegum án koltvísýringslosunar gegnum útblástursrör sem og grunnvirkja sem eru ætluð fyrir umskipun og grunnvirkja sem þörf er á til að starfrækja flutninga í þéttbýli.</w:t>
      </w:r>
    </w:p>
    <w:p w14:paraId="12794656" w14:textId="77777777" w:rsidR="00DB6835" w:rsidRDefault="00DB6835" w:rsidP="00DB6835">
      <w:pPr>
        <w:pStyle w:val="AnnexNormal"/>
        <w:spacing w:after="300"/>
        <w:ind w:left="500"/>
      </w:pPr>
      <w:r>
        <w:t>Atvinnustarfsemin í þessum flokki gæti tengst nokkrum kóðum atvinnugreinaflokkunar Evrópusambandsins, einkum F42.11, F42.13, F71.1 og F71.20, í samræmi við atvinnugreinaflokkunina sem komið var á með reglugerð (EB) nr. 1893/2006.</w:t>
      </w:r>
    </w:p>
    <w:p w14:paraId="518C0CBC" w14:textId="77777777" w:rsidR="00DB6835" w:rsidRDefault="00DB6835" w:rsidP="00DB6835">
      <w:pPr>
        <w:pStyle w:val="AnnexNormal"/>
        <w:spacing w:after="30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04D16AAF" w14:textId="77777777" w:rsidR="00DB6835" w:rsidRDefault="00DB6835" w:rsidP="00DB6835">
      <w:pPr>
        <w:pStyle w:val="AnnexGrSeq3"/>
        <w:spacing w:after="3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DB6835" w14:paraId="362698E4"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0F65BA4"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59DFB8A2" w14:textId="77777777" w:rsidTr="00A9140F">
        <w:trPr>
          <w:trHeight w:val="360"/>
        </w:trPr>
        <w:tc>
          <w:tcPr>
            <w:tcW w:w="8740" w:type="dxa"/>
            <w:gridSpan w:val="2"/>
            <w:tcBorders>
              <w:bottom w:val="nil"/>
            </w:tcBorders>
            <w:tcMar>
              <w:top w:w="100" w:type="dxa"/>
              <w:left w:w="0" w:type="dxa"/>
              <w:bottom w:w="100" w:type="dxa"/>
              <w:right w:w="60" w:type="dxa"/>
            </w:tcMar>
          </w:tcPr>
          <w:p w14:paraId="01C4357A" w14:textId="77777777" w:rsidR="00DB6835" w:rsidRDefault="00DB6835" w:rsidP="00A9140F">
            <w:pPr>
              <w:pStyle w:val="AnnexNumberedText"/>
              <w:tabs>
                <w:tab w:val="left" w:pos="508"/>
              </w:tabs>
              <w:ind w:left="0" w:firstLine="0"/>
            </w:pPr>
            <w:r>
              <w:lastRenderedPageBreak/>
              <w:t>1.</w:t>
            </w:r>
            <w:r>
              <w:tab/>
              <w:t>Starfsemin er í samræmi við eina eða fleiri eftirfarandi viðmiðanir:</w:t>
            </w:r>
          </w:p>
          <w:p w14:paraId="5F444A35" w14:textId="77777777" w:rsidR="00DB6835" w:rsidRDefault="00DB6835" w:rsidP="00A9140F">
            <w:pPr>
              <w:pStyle w:val="AnnexNumberedText"/>
              <w:spacing w:after="0"/>
            </w:pPr>
            <w:r>
              <w:t>a)</w:t>
            </w:r>
            <w:r>
              <w:tab/>
              <w:t xml:space="preserve">grunnvirkið er ætlað fyrir </w:t>
            </w:r>
            <w:proofErr w:type="spellStart"/>
            <w:r>
              <w:t>starfrækslu</w:t>
            </w:r>
            <w:proofErr w:type="spellEnd"/>
            <w:r>
              <w:t xml:space="preserve"> farartækja sem eru ekki með neina koltvísýringslosun gegnum útblástursrör: </w:t>
            </w:r>
            <w:proofErr w:type="spellStart"/>
            <w:r>
              <w:t>rafhleðslustöðvar</w:t>
            </w:r>
            <w:proofErr w:type="spellEnd"/>
            <w:r>
              <w:t xml:space="preserve">, uppfærslur á tengingum við raforkudreifikerfi, áfyllingarstöðvar fyrir vetni eða rafmagnsvegakerfi (e. </w:t>
            </w:r>
            <w:proofErr w:type="spellStart"/>
            <w:r>
              <w:rPr>
                <w:i/>
                <w:iCs/>
              </w:rPr>
              <w:t>electric</w:t>
            </w:r>
            <w:proofErr w:type="spellEnd"/>
            <w:r>
              <w:rPr>
                <w:i/>
                <w:iCs/>
              </w:rPr>
              <w:t xml:space="preserve"> </w:t>
            </w:r>
            <w:proofErr w:type="spellStart"/>
            <w:r>
              <w:rPr>
                <w:i/>
                <w:iCs/>
              </w:rPr>
              <w:t>road</w:t>
            </w:r>
            <w:proofErr w:type="spellEnd"/>
            <w:r>
              <w:rPr>
                <w:i/>
                <w:iCs/>
              </w:rPr>
              <w:t xml:space="preserve"> </w:t>
            </w:r>
            <w:proofErr w:type="spellStart"/>
            <w:r>
              <w:rPr>
                <w:i/>
                <w:iCs/>
              </w:rPr>
              <w:t>system</w:t>
            </w:r>
            <w:proofErr w:type="spellEnd"/>
            <w:r>
              <w:t xml:space="preserve"> (ERS)),</w:t>
            </w:r>
          </w:p>
        </w:tc>
      </w:tr>
      <w:tr w:rsidR="00DB6835" w14:paraId="5EE0C42E" w14:textId="77777777" w:rsidTr="00A9140F">
        <w:trPr>
          <w:trHeight w:val="360"/>
        </w:trPr>
        <w:tc>
          <w:tcPr>
            <w:tcW w:w="8740" w:type="dxa"/>
            <w:gridSpan w:val="2"/>
            <w:tcBorders>
              <w:top w:val="nil"/>
            </w:tcBorders>
            <w:tcMar>
              <w:top w:w="100" w:type="dxa"/>
              <w:left w:w="0" w:type="dxa"/>
              <w:bottom w:w="100" w:type="dxa"/>
              <w:right w:w="60" w:type="dxa"/>
            </w:tcMar>
          </w:tcPr>
          <w:p w14:paraId="76BB0679" w14:textId="77777777" w:rsidR="00DB6835" w:rsidRDefault="00DB6835" w:rsidP="00A9140F">
            <w:pPr>
              <w:pStyle w:val="AnnexNumberedText"/>
              <w:pageBreakBefore/>
              <w:spacing w:after="400"/>
            </w:pPr>
            <w:r>
              <w:lastRenderedPageBreak/>
              <w:t>b)</w:t>
            </w:r>
            <w:r>
              <w:tab/>
              <w:t xml:space="preserve">grunnvirki og aðstaða eru ætluð til að </w:t>
            </w:r>
            <w:proofErr w:type="spellStart"/>
            <w:r>
              <w:t>umferma</w:t>
            </w:r>
            <w:proofErr w:type="spellEnd"/>
            <w:r>
              <w:t xml:space="preserve"> vörur milli flutningsmáta: grunnvirki endastöðvar og yfirbyggingar fyrir lestun, </w:t>
            </w:r>
            <w:proofErr w:type="spellStart"/>
            <w:r>
              <w:t>affermingu</w:t>
            </w:r>
            <w:proofErr w:type="spellEnd"/>
            <w:r>
              <w:t xml:space="preserve"> og umfermingu á vörum,</w:t>
            </w:r>
          </w:p>
          <w:p w14:paraId="7FF4582C" w14:textId="77777777" w:rsidR="00DB6835" w:rsidRDefault="00DB6835" w:rsidP="00A9140F">
            <w:pPr>
              <w:pStyle w:val="AnnexNumberedText"/>
              <w:spacing w:after="400"/>
            </w:pPr>
            <w:r>
              <w:t>c)</w:t>
            </w:r>
            <w:r>
              <w:tab/>
              <w:t xml:space="preserve">grunnvirki og aðstaða eru ætluð fyrir almenna farþegaflutninga í þéttbýli og úthverfum, þ.m.t. tengd merkjakerfi fyrir </w:t>
            </w:r>
            <w:proofErr w:type="spellStart"/>
            <w:r>
              <w:t>neðanjarðarlesta</w:t>
            </w:r>
            <w:proofErr w:type="spellEnd"/>
            <w:r>
              <w:t>-, sporvagna- og járnbrautakerfi.</w:t>
            </w:r>
          </w:p>
          <w:p w14:paraId="5BE798E1" w14:textId="77777777" w:rsidR="00DB6835" w:rsidRDefault="00DB6835" w:rsidP="00A9140F">
            <w:pPr>
              <w:pStyle w:val="AnnexNumberedText"/>
              <w:tabs>
                <w:tab w:val="left" w:pos="508"/>
              </w:tabs>
              <w:spacing w:after="400"/>
              <w:ind w:left="0" w:firstLine="0"/>
            </w:pPr>
            <w:r>
              <w:t>2.</w:t>
            </w:r>
            <w:r>
              <w:tab/>
              <w:t>Grunnvirkið er ekki ætlað til flutnings eða geymslu á jarðefnaeldsneyti.</w:t>
            </w:r>
          </w:p>
        </w:tc>
      </w:tr>
      <w:tr w:rsidR="00DB6835" w14:paraId="0EC34DF4" w14:textId="77777777" w:rsidTr="00A9140F">
        <w:trPr>
          <w:trHeight w:val="240"/>
        </w:trPr>
        <w:tc>
          <w:tcPr>
            <w:tcW w:w="8740" w:type="dxa"/>
            <w:gridSpan w:val="2"/>
            <w:tcMar>
              <w:top w:w="100" w:type="dxa"/>
              <w:left w:w="0" w:type="dxa"/>
              <w:bottom w:w="100" w:type="dxa"/>
              <w:right w:w="60" w:type="dxa"/>
            </w:tcMar>
          </w:tcPr>
          <w:p w14:paraId="6FD30DBF" w14:textId="77777777" w:rsidR="00DB6835" w:rsidRDefault="00DB6835" w:rsidP="00A9140F">
            <w:pPr>
              <w:pStyle w:val="AnnexTableCellLeft"/>
            </w:pPr>
            <w:r>
              <w:t>Ekki valda umtalsverðu tjóni</w:t>
            </w:r>
          </w:p>
        </w:tc>
      </w:tr>
      <w:tr w:rsidR="00DB6835" w14:paraId="6F9ADBA5" w14:textId="77777777" w:rsidTr="00A9140F">
        <w:trPr>
          <w:trHeight w:val="360"/>
        </w:trPr>
        <w:tc>
          <w:tcPr>
            <w:tcW w:w="2848" w:type="dxa"/>
            <w:tcMar>
              <w:top w:w="200" w:type="dxa"/>
              <w:left w:w="0" w:type="dxa"/>
              <w:bottom w:w="200" w:type="dxa"/>
              <w:right w:w="60" w:type="dxa"/>
            </w:tcMar>
          </w:tcPr>
          <w:p w14:paraId="75923CF7" w14:textId="77777777" w:rsidR="00DB6835" w:rsidRDefault="00DB6835" w:rsidP="00A9140F">
            <w:pPr>
              <w:pStyle w:val="AnnexNumberedText"/>
            </w:pPr>
            <w:r>
              <w:t>2)</w:t>
            </w:r>
            <w:r>
              <w:tab/>
              <w:t>Aðlögun að loftslagsbreytingum</w:t>
            </w:r>
          </w:p>
        </w:tc>
        <w:tc>
          <w:tcPr>
            <w:tcW w:w="5892" w:type="dxa"/>
            <w:tcMar>
              <w:top w:w="200" w:type="dxa"/>
              <w:left w:w="40" w:type="dxa"/>
              <w:bottom w:w="200" w:type="dxa"/>
              <w:right w:w="0" w:type="dxa"/>
            </w:tcMar>
          </w:tcPr>
          <w:p w14:paraId="0639B9D5" w14:textId="77777777" w:rsidR="00DB6835" w:rsidRDefault="00DB6835" w:rsidP="00A9140F">
            <w:pPr>
              <w:pStyle w:val="AnnexTableCellLeft"/>
            </w:pPr>
            <w:r>
              <w:t>Starfsemin er í samræmi við viðmiðanirnar sem settar eru fram í viðbæti A við þennan viðauka.</w:t>
            </w:r>
          </w:p>
        </w:tc>
      </w:tr>
      <w:tr w:rsidR="00DB6835" w14:paraId="323DCBB5" w14:textId="77777777" w:rsidTr="00A9140F">
        <w:trPr>
          <w:trHeight w:val="360"/>
        </w:trPr>
        <w:tc>
          <w:tcPr>
            <w:tcW w:w="2848" w:type="dxa"/>
            <w:tcMar>
              <w:top w:w="200" w:type="dxa"/>
              <w:left w:w="0" w:type="dxa"/>
              <w:bottom w:w="200" w:type="dxa"/>
              <w:right w:w="60" w:type="dxa"/>
            </w:tcMar>
          </w:tcPr>
          <w:p w14:paraId="22E93CC8" w14:textId="77777777" w:rsidR="00DB6835" w:rsidRDefault="00DB6835" w:rsidP="00A9140F">
            <w:pPr>
              <w:pStyle w:val="AnnexNumberedText"/>
            </w:pPr>
            <w:r>
              <w:t>3)</w:t>
            </w:r>
            <w:r>
              <w:tab/>
              <w:t>Sjálfbær notkun og verndun vatns- og sjávarauðlinda</w:t>
            </w:r>
          </w:p>
        </w:tc>
        <w:tc>
          <w:tcPr>
            <w:tcW w:w="5892" w:type="dxa"/>
            <w:tcMar>
              <w:top w:w="200" w:type="dxa"/>
              <w:left w:w="40" w:type="dxa"/>
              <w:bottom w:w="200" w:type="dxa"/>
              <w:right w:w="0" w:type="dxa"/>
            </w:tcMar>
          </w:tcPr>
          <w:p w14:paraId="68CD979A" w14:textId="77777777" w:rsidR="00DB6835" w:rsidRDefault="00DB6835" w:rsidP="00A9140F">
            <w:pPr>
              <w:pStyle w:val="AnnexTableCellLeft"/>
            </w:pPr>
            <w:r>
              <w:t>Starfsemin er í samræmi við viðmiðanirnar sem settar eru fram í viðbæti B við þennan viðauka.</w:t>
            </w:r>
          </w:p>
        </w:tc>
      </w:tr>
      <w:tr w:rsidR="00DB6835" w14:paraId="008A6770" w14:textId="77777777" w:rsidTr="00A9140F">
        <w:trPr>
          <w:trHeight w:val="360"/>
        </w:trPr>
        <w:tc>
          <w:tcPr>
            <w:tcW w:w="2848" w:type="dxa"/>
            <w:tcMar>
              <w:top w:w="200" w:type="dxa"/>
              <w:left w:w="0" w:type="dxa"/>
              <w:bottom w:w="200" w:type="dxa"/>
              <w:right w:w="60" w:type="dxa"/>
            </w:tcMar>
          </w:tcPr>
          <w:p w14:paraId="07BCB3A7" w14:textId="77777777" w:rsidR="00DB6835" w:rsidRDefault="00DB6835" w:rsidP="00A9140F">
            <w:pPr>
              <w:pStyle w:val="AnnexNumberedText"/>
            </w:pPr>
            <w:r>
              <w:t>4)</w:t>
            </w:r>
            <w:r>
              <w:tab/>
              <w:t>Umskipti yfir í hringrásarhagkerfi</w:t>
            </w:r>
          </w:p>
        </w:tc>
        <w:tc>
          <w:tcPr>
            <w:tcW w:w="5892" w:type="dxa"/>
            <w:tcMar>
              <w:top w:w="200" w:type="dxa"/>
              <w:left w:w="40" w:type="dxa"/>
              <w:bottom w:w="200" w:type="dxa"/>
              <w:right w:w="0" w:type="dxa"/>
            </w:tcMar>
          </w:tcPr>
          <w:p w14:paraId="6D44B96C" w14:textId="77777777" w:rsidR="00DB6835" w:rsidRDefault="00DB6835"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rPr>
              <w:footnoteReference w:id="293"/>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B6835" w14:paraId="13DF2150" w14:textId="77777777" w:rsidTr="00A9140F">
        <w:trPr>
          <w:trHeight w:val="360"/>
        </w:trPr>
        <w:tc>
          <w:tcPr>
            <w:tcW w:w="2848" w:type="dxa"/>
            <w:tcMar>
              <w:top w:w="200" w:type="dxa"/>
              <w:left w:w="0" w:type="dxa"/>
              <w:bottom w:w="200" w:type="dxa"/>
              <w:right w:w="60" w:type="dxa"/>
            </w:tcMar>
          </w:tcPr>
          <w:p w14:paraId="58AEE943" w14:textId="77777777" w:rsidR="00DB6835" w:rsidRDefault="00DB6835" w:rsidP="00A9140F">
            <w:pPr>
              <w:pStyle w:val="AnnexNumberedText"/>
            </w:pPr>
            <w:r>
              <w:t>5)</w:t>
            </w:r>
            <w:r>
              <w:tab/>
              <w:t>Mengunarvarnir og eftirlit með mengun</w:t>
            </w:r>
          </w:p>
        </w:tc>
        <w:tc>
          <w:tcPr>
            <w:tcW w:w="5892" w:type="dxa"/>
            <w:tcMar>
              <w:top w:w="200" w:type="dxa"/>
              <w:left w:w="40" w:type="dxa"/>
              <w:bottom w:w="200" w:type="dxa"/>
              <w:right w:w="0" w:type="dxa"/>
            </w:tcMar>
          </w:tcPr>
          <w:p w14:paraId="4937844F" w14:textId="77777777" w:rsidR="00DB6835" w:rsidRDefault="00DB6835" w:rsidP="00A9140F">
            <w:pPr>
              <w:pStyle w:val="AnnexTableCellLeft"/>
            </w:pPr>
            <w:r>
              <w:t xml:space="preserve">Þar sem við á eru hávaði og titringur frá notkun grunnvirkis milduð með því að taka í notkun opna skurði, </w:t>
            </w:r>
            <w:proofErr w:type="spellStart"/>
            <w:r>
              <w:t>veggtálma</w:t>
            </w:r>
            <w:proofErr w:type="spellEnd"/>
            <w:r>
              <w:t xml:space="preserve"> eða aðrar ráðstafanir og farið er að tilskipun 2002/49/EB.</w:t>
            </w:r>
          </w:p>
          <w:p w14:paraId="71DBAF40" w14:textId="77777777" w:rsidR="00DB6835" w:rsidRDefault="00DB6835" w:rsidP="00A9140F">
            <w:pPr>
              <w:pStyle w:val="AnnexTableCellLeft"/>
            </w:pPr>
            <w:r>
              <w:t>Ráðstafanir eru gerðar til að draga úr hávaða, ryki og losun mengandi efna meðan byggingar- eða viðhaldsvinna stendur yfir.</w:t>
            </w:r>
          </w:p>
        </w:tc>
      </w:tr>
      <w:tr w:rsidR="00DB6835" w14:paraId="7AE0672D" w14:textId="77777777" w:rsidTr="00A9140F">
        <w:trPr>
          <w:trHeight w:val="360"/>
        </w:trPr>
        <w:tc>
          <w:tcPr>
            <w:tcW w:w="2848" w:type="dxa"/>
            <w:tcMar>
              <w:top w:w="200" w:type="dxa"/>
              <w:left w:w="0" w:type="dxa"/>
              <w:bottom w:w="200" w:type="dxa"/>
              <w:right w:w="60" w:type="dxa"/>
            </w:tcMar>
          </w:tcPr>
          <w:p w14:paraId="720DC5AA" w14:textId="77777777" w:rsidR="00DB6835" w:rsidRDefault="00DB6835" w:rsidP="00A9140F">
            <w:pPr>
              <w:pStyle w:val="AnnexNumberedText"/>
            </w:pPr>
            <w:r>
              <w:t>6)</w:t>
            </w:r>
            <w:r>
              <w:tab/>
              <w:t>Vernd og endurheimt líffræðilegrar fjölbreytni og vistkerfa</w:t>
            </w:r>
          </w:p>
        </w:tc>
        <w:tc>
          <w:tcPr>
            <w:tcW w:w="5892" w:type="dxa"/>
            <w:tcMar>
              <w:top w:w="200" w:type="dxa"/>
              <w:left w:w="40" w:type="dxa"/>
              <w:bottom w:w="200" w:type="dxa"/>
              <w:right w:w="0" w:type="dxa"/>
            </w:tcMar>
          </w:tcPr>
          <w:p w14:paraId="1564EF2A" w14:textId="77777777" w:rsidR="00DB6835" w:rsidRDefault="00DB6835" w:rsidP="00A9140F">
            <w:pPr>
              <w:pStyle w:val="AnnexTableCellLeft"/>
            </w:pPr>
            <w:r>
              <w:t>Starfsemin er í samræmi við viðmiðanirnar sem settar eru fram í viðbæti D við þennan viðauka.</w:t>
            </w:r>
          </w:p>
          <w:p w14:paraId="5C37E104" w14:textId="77777777" w:rsidR="00DB6835" w:rsidRDefault="00DB6835" w:rsidP="00A9140F">
            <w:pPr>
              <w:pStyle w:val="AnnexTableCellLeft"/>
            </w:pPr>
            <w:r>
              <w:t>Þar sem við á tryggir viðhald á gróðri meðfram samgöngugrunnvirkjum að ágengar tegundir breiðist ekki út.</w:t>
            </w:r>
          </w:p>
          <w:p w14:paraId="66C05096" w14:textId="77777777" w:rsidR="00DB6835" w:rsidRDefault="00DB6835" w:rsidP="00A9140F">
            <w:pPr>
              <w:pStyle w:val="AnnexTableCellLeft"/>
            </w:pPr>
            <w:proofErr w:type="spellStart"/>
            <w:r>
              <w:t>Mildunarráðstöfunum</w:t>
            </w:r>
            <w:proofErr w:type="spellEnd"/>
            <w:r>
              <w:t xml:space="preserve"> hefur verið komið í framkvæmd til að komast hjá árekstrum við villtar lífverur.</w:t>
            </w:r>
          </w:p>
        </w:tc>
      </w:tr>
    </w:tbl>
    <w:p w14:paraId="0DE31DA4" w14:textId="77777777" w:rsidR="00DB6835" w:rsidRDefault="00DB6835" w:rsidP="00DB6835">
      <w:pPr>
        <w:pStyle w:val="AnnexNumberedText"/>
        <w:spacing w:before="200" w:after="400"/>
        <w:ind w:left="500" w:hanging="500"/>
      </w:pPr>
      <w:r>
        <w:t>6.16.</w:t>
      </w:r>
      <w:r>
        <w:rPr>
          <w:b/>
        </w:rPr>
        <w:tab/>
        <w:t>Grunnvirki sem gera lágkolefnisflutninga á sjó og vatnaleiðum mögulega</w:t>
      </w:r>
    </w:p>
    <w:p w14:paraId="5CF4CC75" w14:textId="77777777" w:rsidR="00DB6835" w:rsidRDefault="00DB6835" w:rsidP="00DB6835">
      <w:pPr>
        <w:pStyle w:val="AnnexGrSeq3"/>
        <w:spacing w:after="400"/>
        <w:ind w:left="500"/>
        <w:jc w:val="both"/>
      </w:pPr>
      <w:r>
        <w:rPr>
          <w:i/>
        </w:rPr>
        <w:lastRenderedPageBreak/>
        <w:t>Lýsing á starfseminni</w:t>
      </w:r>
    </w:p>
    <w:p w14:paraId="365480F7" w14:textId="77777777" w:rsidR="00DB6835" w:rsidRDefault="00DB6835" w:rsidP="00DB6835">
      <w:pPr>
        <w:pStyle w:val="AnnexNormal"/>
        <w:spacing w:after="0"/>
        <w:ind w:left="500"/>
      </w:pPr>
      <w:r>
        <w:t xml:space="preserve">Uppbygging, nútímavæðing, </w:t>
      </w:r>
      <w:proofErr w:type="spellStart"/>
      <w:r>
        <w:t>starfræksla</w:t>
      </w:r>
      <w:proofErr w:type="spellEnd"/>
      <w:r>
        <w:t xml:space="preserve"> og viðhald grunnvirkja sem eru nauðsynleg til </w:t>
      </w:r>
      <w:proofErr w:type="spellStart"/>
      <w:r>
        <w:t>starfrækslu</w:t>
      </w:r>
      <w:proofErr w:type="spellEnd"/>
      <w:r>
        <w:t xml:space="preserve"> skipa eða eigin starfsemi hafnarinnar án koltvísýringslosunar gegnum útblástursrör sem og grunnvirkja sem eru ætluð fyrir umskipun.</w:t>
      </w:r>
      <w:r>
        <w:br w:type="page"/>
      </w:r>
    </w:p>
    <w:p w14:paraId="62E4631D" w14:textId="77777777" w:rsidR="00DB6835" w:rsidRDefault="00DB6835" w:rsidP="00DB6835">
      <w:pPr>
        <w:pStyle w:val="AnnexNormal"/>
        <w:spacing w:after="400"/>
        <w:ind w:left="500"/>
      </w:pPr>
      <w:r>
        <w:lastRenderedPageBreak/>
        <w:t>Atvinnustarfsemin í þessum flokki gæti tengst nokkrum kóðum atvinnugreinaflokkunar Evrópusambandsins, einkum F42.91, F71.1 eða F71.20, í samræmi við atvinnugreinaflokkunina sem komið var á með reglugerð (EB) nr. 1893/2006.</w:t>
      </w:r>
    </w:p>
    <w:p w14:paraId="6EBB3223" w14:textId="77777777" w:rsidR="00DB6835" w:rsidRDefault="00DB6835" w:rsidP="00DB6835">
      <w:pPr>
        <w:pStyle w:val="AnnexNormal"/>
        <w:spacing w:after="40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1E7F6A6B" w14:textId="77777777" w:rsidR="00DB6835" w:rsidRDefault="00DB6835" w:rsidP="00DB6835">
      <w:pPr>
        <w:pStyle w:val="AnnexGrSeq3"/>
        <w:spacing w:after="4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12"/>
        <w:gridCol w:w="5928"/>
      </w:tblGrid>
      <w:tr w:rsidR="00DB6835" w14:paraId="542B9212" w14:textId="77777777" w:rsidTr="00A9140F">
        <w:trPr>
          <w:trHeight w:val="240"/>
        </w:trPr>
        <w:tc>
          <w:tcPr>
            <w:tcW w:w="8740" w:type="dxa"/>
            <w:gridSpan w:val="2"/>
            <w:tcMar>
              <w:top w:w="100" w:type="dxa"/>
              <w:left w:w="0" w:type="dxa"/>
              <w:bottom w:w="100" w:type="dxa"/>
              <w:right w:w="60" w:type="dxa"/>
            </w:tcMar>
          </w:tcPr>
          <w:p w14:paraId="19224E8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6CE46EF" w14:textId="77777777" w:rsidTr="00A9140F">
        <w:trPr>
          <w:trHeight w:val="360"/>
        </w:trPr>
        <w:tc>
          <w:tcPr>
            <w:tcW w:w="8740" w:type="dxa"/>
            <w:gridSpan w:val="2"/>
            <w:tcMar>
              <w:top w:w="100" w:type="dxa"/>
              <w:left w:w="0" w:type="dxa"/>
              <w:bottom w:w="100" w:type="dxa"/>
              <w:right w:w="60" w:type="dxa"/>
            </w:tcMar>
          </w:tcPr>
          <w:p w14:paraId="268F8E23" w14:textId="77777777" w:rsidR="00DB6835" w:rsidRDefault="00DB6835" w:rsidP="00A9140F">
            <w:pPr>
              <w:pStyle w:val="AnnexNumberedText"/>
              <w:tabs>
                <w:tab w:val="left" w:pos="508"/>
              </w:tabs>
              <w:spacing w:after="340"/>
              <w:ind w:left="0" w:firstLine="0"/>
            </w:pPr>
            <w:r>
              <w:t>1.</w:t>
            </w:r>
            <w:r>
              <w:tab/>
              <w:t>Starfsemin er í samræmi við eina eða fleiri eftirfarandi viðmiðanir:</w:t>
            </w:r>
          </w:p>
          <w:p w14:paraId="6C4CA722" w14:textId="77777777" w:rsidR="00DB6835" w:rsidRDefault="00DB6835" w:rsidP="00A9140F">
            <w:pPr>
              <w:pStyle w:val="AnnexNumberedText"/>
              <w:spacing w:after="340"/>
            </w:pPr>
            <w:r>
              <w:t>a)</w:t>
            </w:r>
            <w:r>
              <w:tab/>
              <w:t xml:space="preserve">grunnvirkið er ætlað fyrir </w:t>
            </w:r>
            <w:proofErr w:type="spellStart"/>
            <w:r>
              <w:t>starfrækslu</w:t>
            </w:r>
            <w:proofErr w:type="spellEnd"/>
            <w:r>
              <w:t xml:space="preserve"> á skipum sem eru ekki með neina beina koltvísýringslosun (gegnum útblástursrör): </w:t>
            </w:r>
            <w:proofErr w:type="spellStart"/>
            <w:r>
              <w:t>rafhleðsla</w:t>
            </w:r>
            <w:proofErr w:type="spellEnd"/>
            <w:r>
              <w:t>, áfylling eldsneytis að stofni til úr vetni,</w:t>
            </w:r>
          </w:p>
          <w:p w14:paraId="53B4BC0F" w14:textId="77777777" w:rsidR="00DB6835" w:rsidRDefault="00DB6835" w:rsidP="00A9140F">
            <w:pPr>
              <w:pStyle w:val="AnnexNumberedText"/>
              <w:spacing w:after="340"/>
            </w:pPr>
            <w:r>
              <w:t>b)</w:t>
            </w:r>
            <w:r>
              <w:tab/>
              <w:t>grunnvirkið er ætlað til að veita raforku frá landi til skipa sem liggja við bryggju,</w:t>
            </w:r>
          </w:p>
          <w:p w14:paraId="579F7D44" w14:textId="77777777" w:rsidR="00DB6835" w:rsidRDefault="00DB6835" w:rsidP="00A9140F">
            <w:pPr>
              <w:pStyle w:val="AnnexNumberedText"/>
              <w:spacing w:after="340"/>
            </w:pPr>
            <w:r>
              <w:t>c)</w:t>
            </w:r>
            <w:r>
              <w:tab/>
              <w:t>grunnvirkið er ætlað fyrir eigin starfsemi hafnarinnar sem er ekki með neina beina koltvísýringslosun (gegnum útblástursrör),</w:t>
            </w:r>
          </w:p>
          <w:p w14:paraId="1C95702C" w14:textId="77777777" w:rsidR="00DB6835" w:rsidRDefault="00DB6835" w:rsidP="00A9140F">
            <w:pPr>
              <w:pStyle w:val="AnnexNumberedText"/>
              <w:spacing w:after="340"/>
            </w:pPr>
            <w:r>
              <w:t>d)</w:t>
            </w:r>
            <w:r>
              <w:tab/>
              <w:t xml:space="preserve">grunnvirki og aðstaða eru ætluð til að </w:t>
            </w:r>
            <w:proofErr w:type="spellStart"/>
            <w:r>
              <w:t>umferma</w:t>
            </w:r>
            <w:proofErr w:type="spellEnd"/>
            <w:r>
              <w:t xml:space="preserve"> vörur milli flutningsmáta: grunnvirki endastöðvar og yfirbyggingar fyrir lestun, </w:t>
            </w:r>
            <w:proofErr w:type="spellStart"/>
            <w:r>
              <w:t>affermingu</w:t>
            </w:r>
            <w:proofErr w:type="spellEnd"/>
            <w:r>
              <w:t xml:space="preserve"> og umfermingu á vörum.</w:t>
            </w:r>
          </w:p>
          <w:p w14:paraId="2BFD12FD" w14:textId="77777777" w:rsidR="00DB6835" w:rsidRDefault="00DB6835" w:rsidP="00A9140F">
            <w:pPr>
              <w:pStyle w:val="AnnexNumberedText"/>
              <w:tabs>
                <w:tab w:val="left" w:pos="508"/>
              </w:tabs>
              <w:spacing w:after="340"/>
              <w:ind w:left="0" w:firstLine="0"/>
            </w:pPr>
            <w:r>
              <w:t>2.</w:t>
            </w:r>
            <w:r>
              <w:tab/>
              <w:t>Grunnvirkið er ekki ætlað til flutnings eða geymslu á jarðefnaeldsneyti.</w:t>
            </w:r>
          </w:p>
        </w:tc>
      </w:tr>
      <w:tr w:rsidR="00DB6835" w14:paraId="2C6EB493" w14:textId="77777777" w:rsidTr="00A9140F">
        <w:trPr>
          <w:trHeight w:val="240"/>
        </w:trPr>
        <w:tc>
          <w:tcPr>
            <w:tcW w:w="8740" w:type="dxa"/>
            <w:gridSpan w:val="2"/>
            <w:tcMar>
              <w:top w:w="100" w:type="dxa"/>
              <w:left w:w="0" w:type="dxa"/>
              <w:bottom w:w="100" w:type="dxa"/>
              <w:right w:w="60" w:type="dxa"/>
            </w:tcMar>
          </w:tcPr>
          <w:p w14:paraId="5283FC31" w14:textId="77777777" w:rsidR="00DB6835" w:rsidRDefault="00DB6835" w:rsidP="00A9140F">
            <w:pPr>
              <w:pStyle w:val="AnnexTableCellLeft"/>
            </w:pPr>
            <w:r>
              <w:t>Ekki valda umtalsverðu tjóni</w:t>
            </w:r>
          </w:p>
        </w:tc>
      </w:tr>
      <w:tr w:rsidR="00DB6835" w14:paraId="27992745" w14:textId="77777777" w:rsidTr="00A9140F">
        <w:trPr>
          <w:trHeight w:val="360"/>
        </w:trPr>
        <w:tc>
          <w:tcPr>
            <w:tcW w:w="2812" w:type="dxa"/>
            <w:tcMar>
              <w:top w:w="100" w:type="dxa"/>
              <w:left w:w="0" w:type="dxa"/>
              <w:bottom w:w="100" w:type="dxa"/>
              <w:right w:w="60" w:type="dxa"/>
            </w:tcMar>
          </w:tcPr>
          <w:p w14:paraId="2E123DE6" w14:textId="77777777" w:rsidR="00DB6835" w:rsidRDefault="00DB6835" w:rsidP="00A9140F">
            <w:pPr>
              <w:pStyle w:val="AnnexNumberedText"/>
            </w:pPr>
            <w:r>
              <w:t>2)</w:t>
            </w:r>
            <w:r>
              <w:tab/>
              <w:t>Aðlögun að loftslagsbreytingum</w:t>
            </w:r>
          </w:p>
        </w:tc>
        <w:tc>
          <w:tcPr>
            <w:tcW w:w="5928" w:type="dxa"/>
            <w:tcMar>
              <w:top w:w="100" w:type="dxa"/>
              <w:left w:w="40" w:type="dxa"/>
              <w:bottom w:w="100" w:type="dxa"/>
              <w:right w:w="0" w:type="dxa"/>
            </w:tcMar>
          </w:tcPr>
          <w:p w14:paraId="0CDD79DF" w14:textId="77777777" w:rsidR="00DB6835" w:rsidRDefault="00DB6835" w:rsidP="00A9140F">
            <w:pPr>
              <w:pStyle w:val="AnnexTableCellLeft"/>
            </w:pPr>
            <w:r>
              <w:t>Starfsemin er í samræmi við viðmiðanirnar sem settar eru fram í viðbæti A við þennan viðauka.</w:t>
            </w:r>
          </w:p>
        </w:tc>
      </w:tr>
      <w:tr w:rsidR="00DB6835" w14:paraId="061DFA93" w14:textId="77777777" w:rsidTr="00A9140F">
        <w:trPr>
          <w:trHeight w:val="360"/>
        </w:trPr>
        <w:tc>
          <w:tcPr>
            <w:tcW w:w="2812" w:type="dxa"/>
            <w:tcMar>
              <w:top w:w="100" w:type="dxa"/>
              <w:left w:w="0" w:type="dxa"/>
              <w:bottom w:w="100" w:type="dxa"/>
              <w:right w:w="60" w:type="dxa"/>
            </w:tcMar>
          </w:tcPr>
          <w:p w14:paraId="398451F1" w14:textId="77777777" w:rsidR="00DB6835" w:rsidRDefault="00DB6835" w:rsidP="00A9140F">
            <w:pPr>
              <w:pStyle w:val="AnnexNumberedText"/>
            </w:pPr>
            <w:r>
              <w:t>3)</w:t>
            </w:r>
            <w:r>
              <w:tab/>
              <w:t>Sjálfbær notkun og verndun vatns- og sjávarauðlinda</w:t>
            </w:r>
          </w:p>
        </w:tc>
        <w:tc>
          <w:tcPr>
            <w:tcW w:w="5928" w:type="dxa"/>
            <w:tcMar>
              <w:top w:w="100" w:type="dxa"/>
              <w:left w:w="40" w:type="dxa"/>
              <w:bottom w:w="100" w:type="dxa"/>
              <w:right w:w="0" w:type="dxa"/>
            </w:tcMar>
          </w:tcPr>
          <w:p w14:paraId="24485628" w14:textId="77777777" w:rsidR="00DB6835" w:rsidRDefault="00DB6835" w:rsidP="00A9140F">
            <w:pPr>
              <w:pStyle w:val="AnnexTableCellLeft"/>
            </w:pPr>
            <w:r>
              <w:t>Starfsemin er í samræmi við viðmiðanirnar sem settar eru fram í viðbæti B við þennan viðauka.</w:t>
            </w:r>
          </w:p>
        </w:tc>
      </w:tr>
      <w:tr w:rsidR="00DB6835" w14:paraId="12F2A83B" w14:textId="77777777" w:rsidTr="00A9140F">
        <w:trPr>
          <w:trHeight w:val="360"/>
        </w:trPr>
        <w:tc>
          <w:tcPr>
            <w:tcW w:w="2812" w:type="dxa"/>
            <w:tcMar>
              <w:top w:w="100" w:type="dxa"/>
              <w:left w:w="0" w:type="dxa"/>
              <w:bottom w:w="100" w:type="dxa"/>
              <w:right w:w="60" w:type="dxa"/>
            </w:tcMar>
          </w:tcPr>
          <w:p w14:paraId="47229C2A" w14:textId="77777777" w:rsidR="00DB6835" w:rsidRDefault="00DB6835" w:rsidP="00A9140F">
            <w:pPr>
              <w:pStyle w:val="AnnexNumberedText"/>
            </w:pPr>
            <w:r>
              <w:t>4)</w:t>
            </w:r>
            <w:r>
              <w:tab/>
              <w:t>Umskipti yfir í hringrásarhagkerfi</w:t>
            </w:r>
          </w:p>
        </w:tc>
        <w:tc>
          <w:tcPr>
            <w:tcW w:w="5928" w:type="dxa"/>
            <w:tcMar>
              <w:top w:w="100" w:type="dxa"/>
              <w:left w:w="40" w:type="dxa"/>
              <w:bottom w:w="100" w:type="dxa"/>
              <w:right w:w="0" w:type="dxa"/>
            </w:tcMar>
          </w:tcPr>
          <w:p w14:paraId="15CDCB08" w14:textId="77777777" w:rsidR="00DB6835" w:rsidRDefault="00DB6835"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rPr>
              <w:footnoteReference w:id="294"/>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B6835" w14:paraId="2B38EE39" w14:textId="77777777" w:rsidTr="00A9140F">
        <w:trPr>
          <w:trHeight w:val="360"/>
        </w:trPr>
        <w:tc>
          <w:tcPr>
            <w:tcW w:w="2812" w:type="dxa"/>
            <w:tcMar>
              <w:top w:w="100" w:type="dxa"/>
              <w:left w:w="0" w:type="dxa"/>
              <w:bottom w:w="100" w:type="dxa"/>
              <w:right w:w="60" w:type="dxa"/>
            </w:tcMar>
          </w:tcPr>
          <w:p w14:paraId="022CAD5D" w14:textId="77777777" w:rsidR="00DB6835" w:rsidRDefault="00DB6835" w:rsidP="00A9140F">
            <w:pPr>
              <w:pStyle w:val="AnnexNumberedText"/>
            </w:pPr>
            <w:r>
              <w:lastRenderedPageBreak/>
              <w:t>5)</w:t>
            </w:r>
            <w:r>
              <w:tab/>
              <w:t>Mengunarvarnir og eftirlit með mengun</w:t>
            </w:r>
          </w:p>
        </w:tc>
        <w:tc>
          <w:tcPr>
            <w:tcW w:w="5928" w:type="dxa"/>
            <w:tcMar>
              <w:top w:w="100" w:type="dxa"/>
              <w:left w:w="40" w:type="dxa"/>
              <w:bottom w:w="100" w:type="dxa"/>
              <w:right w:w="0" w:type="dxa"/>
            </w:tcMar>
          </w:tcPr>
          <w:p w14:paraId="070378AB" w14:textId="77777777" w:rsidR="00DB6835" w:rsidRDefault="00DB6835" w:rsidP="00A9140F">
            <w:pPr>
              <w:pStyle w:val="AnnexTableCellLeft"/>
            </w:pPr>
            <w:r>
              <w:t>Ráðstafanir eru gerðar til að draga úr hávaða, titringi, ryki og losun mengandi efna meðan byggingar- eða viðhaldsvinna stendur yfir.</w:t>
            </w:r>
          </w:p>
        </w:tc>
      </w:tr>
      <w:tr w:rsidR="00DB6835" w14:paraId="258BDFD5" w14:textId="77777777" w:rsidTr="00A9140F">
        <w:trPr>
          <w:trHeight w:val="360"/>
        </w:trPr>
        <w:tc>
          <w:tcPr>
            <w:tcW w:w="2812" w:type="dxa"/>
            <w:tcMar>
              <w:top w:w="100" w:type="dxa"/>
              <w:left w:w="0" w:type="dxa"/>
              <w:bottom w:w="100" w:type="dxa"/>
              <w:right w:w="60" w:type="dxa"/>
            </w:tcMar>
          </w:tcPr>
          <w:p w14:paraId="4217D0B9" w14:textId="77777777" w:rsidR="00DB6835" w:rsidRDefault="00DB6835" w:rsidP="00A9140F">
            <w:pPr>
              <w:pStyle w:val="AnnexNumberedText"/>
              <w:pageBreakBefore/>
            </w:pPr>
            <w:r>
              <w:lastRenderedPageBreak/>
              <w:t>6)</w:t>
            </w:r>
            <w:r>
              <w:tab/>
              <w:t>Vernd og endurheimt líffræðilegrar fjölbreytni og vistkerfa</w:t>
            </w:r>
          </w:p>
        </w:tc>
        <w:tc>
          <w:tcPr>
            <w:tcW w:w="5928" w:type="dxa"/>
            <w:tcMar>
              <w:top w:w="100" w:type="dxa"/>
              <w:left w:w="40" w:type="dxa"/>
              <w:bottom w:w="100" w:type="dxa"/>
              <w:right w:w="0" w:type="dxa"/>
            </w:tcMar>
          </w:tcPr>
          <w:p w14:paraId="26AF1380" w14:textId="77777777" w:rsidR="00DB6835" w:rsidRDefault="00DB6835" w:rsidP="00A9140F">
            <w:pPr>
              <w:pStyle w:val="AnnexTableCellLeft"/>
            </w:pPr>
            <w:r>
              <w:t>Starfsemin er í samræmi við viðmiðanirnar sem settar eru fram í viðbæti D við þennan viðauka.</w:t>
            </w:r>
          </w:p>
        </w:tc>
      </w:tr>
    </w:tbl>
    <w:p w14:paraId="0216A90D" w14:textId="77777777" w:rsidR="00DB6835" w:rsidRDefault="00DB6835" w:rsidP="00DB6835">
      <w:pPr>
        <w:pStyle w:val="AnnexNumberedText"/>
        <w:spacing w:before="200"/>
        <w:ind w:left="500" w:hanging="500"/>
      </w:pPr>
      <w:r>
        <w:t>6.17.</w:t>
      </w:r>
      <w:r>
        <w:rPr>
          <w:b/>
        </w:rPr>
        <w:tab/>
        <w:t>Grunnvirki flugvalla með litla losun kolefna</w:t>
      </w:r>
    </w:p>
    <w:p w14:paraId="3A6013D1" w14:textId="77777777" w:rsidR="00DB6835" w:rsidRDefault="00DB6835" w:rsidP="00DB6835">
      <w:pPr>
        <w:pStyle w:val="AnnexGrSeq3"/>
        <w:ind w:left="500"/>
        <w:jc w:val="both"/>
      </w:pPr>
      <w:r>
        <w:rPr>
          <w:i/>
        </w:rPr>
        <w:t>Lýsing á starfseminni</w:t>
      </w:r>
    </w:p>
    <w:p w14:paraId="12E50655" w14:textId="77777777" w:rsidR="00DB6835" w:rsidRDefault="00DB6835" w:rsidP="00DB6835">
      <w:pPr>
        <w:pStyle w:val="AnnexNormal"/>
        <w:ind w:left="500"/>
      </w:pPr>
      <w:r>
        <w:t xml:space="preserve">Uppbygging, nútímavæðing, viðhald og rekstur grunnvirkja sem eru nauðsynleg til </w:t>
      </w:r>
      <w:proofErr w:type="spellStart"/>
      <w:r>
        <w:t>starfrækslu</w:t>
      </w:r>
      <w:proofErr w:type="spellEnd"/>
      <w:r>
        <w:t xml:space="preserve"> loftfara eða eigin starfsemi flugvallarins án koltvísýringslosunar gegnum útblástursrör sem og til að hafa til reiðu fasta </w:t>
      </w:r>
      <w:proofErr w:type="spellStart"/>
      <w:r>
        <w:t>rafaflgjafa</w:t>
      </w:r>
      <w:proofErr w:type="spellEnd"/>
      <w:r>
        <w:t xml:space="preserve"> á jörðu niðri og formeðhöndlað loft til kyrrstæðra loftfara.</w:t>
      </w:r>
    </w:p>
    <w:p w14:paraId="7730A758" w14:textId="77777777" w:rsidR="00DB6835" w:rsidRDefault="00DB6835" w:rsidP="00DB6835">
      <w:pPr>
        <w:pStyle w:val="AnnexNormal"/>
        <w:ind w:left="500"/>
      </w:pPr>
      <w:r>
        <w:t>Atvinnustarfsemin í þessum flokki gæti tengst nokkrum kóðum atvinnugreinaflokkunar Evrópusambandsins, einkum F41.20 og F42.99, í samræmi við atvinnugreinaflokkunina sem komið var á með reglugerð (EB) nr. 1893/2006.</w:t>
      </w:r>
    </w:p>
    <w:p w14:paraId="2090CB37" w14:textId="77777777" w:rsidR="00DB6835" w:rsidRDefault="00DB6835" w:rsidP="00DB6835">
      <w:pPr>
        <w:pStyle w:val="AnnexNormal"/>
        <w:ind w:left="500"/>
      </w:pPr>
      <w:r>
        <w:t xml:space="preserve">Atvinnustarfsemi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6DD0B45A" w14:textId="77777777" w:rsidR="00DB6835" w:rsidRDefault="00DB6835" w:rsidP="00DB6835">
      <w:pPr>
        <w:pStyle w:val="AnnexGrSeq3"/>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2824"/>
        <w:gridCol w:w="5928"/>
      </w:tblGrid>
      <w:tr w:rsidR="00DB6835" w14:paraId="778DFC33" w14:textId="77777777" w:rsidTr="00A9140F">
        <w:trPr>
          <w:trHeight w:val="240"/>
        </w:trPr>
        <w:tc>
          <w:tcPr>
            <w:tcW w:w="8752" w:type="dxa"/>
            <w:gridSpan w:val="2"/>
            <w:tcMar>
              <w:top w:w="100" w:type="dxa"/>
              <w:left w:w="0" w:type="dxa"/>
              <w:bottom w:w="100" w:type="dxa"/>
              <w:right w:w="60" w:type="dxa"/>
            </w:tcMar>
          </w:tcPr>
          <w:p w14:paraId="7AA3C373"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EE8BE14" w14:textId="77777777" w:rsidTr="00A9140F">
        <w:trPr>
          <w:trHeight w:val="360"/>
        </w:trPr>
        <w:tc>
          <w:tcPr>
            <w:tcW w:w="8752" w:type="dxa"/>
            <w:gridSpan w:val="2"/>
            <w:tcMar>
              <w:top w:w="100" w:type="dxa"/>
              <w:left w:w="0" w:type="dxa"/>
              <w:bottom w:w="100" w:type="dxa"/>
              <w:right w:w="60" w:type="dxa"/>
            </w:tcMar>
          </w:tcPr>
          <w:p w14:paraId="1D11203F" w14:textId="77777777" w:rsidR="00DB6835" w:rsidRDefault="00DB6835" w:rsidP="00A9140F">
            <w:pPr>
              <w:pStyle w:val="AnnexNumberedText"/>
              <w:tabs>
                <w:tab w:val="left" w:pos="508"/>
              </w:tabs>
              <w:ind w:left="0" w:firstLine="0"/>
            </w:pPr>
            <w:r>
              <w:t>1.</w:t>
            </w:r>
            <w:r>
              <w:tab/>
              <w:t>Starfsemin er í samræmi við eina eða fleiri eftirfarandi viðmiðanir:</w:t>
            </w:r>
          </w:p>
          <w:p w14:paraId="350EE422" w14:textId="77777777" w:rsidR="00DB6835" w:rsidRDefault="00DB6835" w:rsidP="00A9140F">
            <w:pPr>
              <w:pStyle w:val="AnnexNumberedText"/>
              <w:tabs>
                <w:tab w:val="left" w:pos="508"/>
              </w:tabs>
            </w:pPr>
            <w:r>
              <w:t>a)</w:t>
            </w:r>
            <w:r>
              <w:tab/>
              <w:t xml:space="preserve">grunnvirkið er ætlað fyrir </w:t>
            </w:r>
            <w:proofErr w:type="spellStart"/>
            <w:r>
              <w:t>starfrækslu</w:t>
            </w:r>
            <w:proofErr w:type="spellEnd"/>
            <w:r>
              <w:t xml:space="preserve"> á loftförum sem eru ekki með neina koltvísýringslosun gegnum útblástursrör: </w:t>
            </w:r>
            <w:proofErr w:type="spellStart"/>
            <w:r>
              <w:t>rafhleðsla</w:t>
            </w:r>
            <w:proofErr w:type="spellEnd"/>
            <w:r>
              <w:t xml:space="preserve"> og vetnisáfylling,</w:t>
            </w:r>
          </w:p>
          <w:p w14:paraId="1752BEA0" w14:textId="77777777" w:rsidR="00DB6835" w:rsidRDefault="00DB6835" w:rsidP="00A9140F">
            <w:pPr>
              <w:pStyle w:val="AnnexNumberedText"/>
            </w:pPr>
            <w:r>
              <w:t>b)</w:t>
            </w:r>
            <w:r>
              <w:tab/>
              <w:t xml:space="preserve">grunnvirkið er ætlað til að láta í té fasta </w:t>
            </w:r>
            <w:proofErr w:type="spellStart"/>
            <w:r>
              <w:t>rafaflgjafa</w:t>
            </w:r>
            <w:proofErr w:type="spellEnd"/>
            <w:r>
              <w:t xml:space="preserve"> á jörðu niðri og formeðhöndlað loft til kyrrstæðra loftfara,</w:t>
            </w:r>
          </w:p>
          <w:p w14:paraId="5C67C488" w14:textId="77777777" w:rsidR="00DB6835" w:rsidRDefault="00DB6835" w:rsidP="00A9140F">
            <w:pPr>
              <w:pStyle w:val="AnnexNumberedText"/>
            </w:pPr>
            <w:r>
              <w:t>c)</w:t>
            </w:r>
            <w:r>
              <w:tab/>
              <w:t xml:space="preserve">grunnvirkið er ætlað fyrir eigin starfsemi flugvallarins sem er ekki með neina beina koltvísýringslosun: </w:t>
            </w:r>
            <w:proofErr w:type="spellStart"/>
            <w:r>
              <w:t>rafhleðslustaðir</w:t>
            </w:r>
            <w:proofErr w:type="spellEnd"/>
            <w:r>
              <w:t>, uppfærslur á tengingum við raforkudreifikerfi, vetnisáfyllingarstöðvar.</w:t>
            </w:r>
          </w:p>
          <w:p w14:paraId="13EB8F64" w14:textId="77777777" w:rsidR="00DB6835" w:rsidRDefault="00DB6835" w:rsidP="00A9140F">
            <w:pPr>
              <w:pStyle w:val="AnnexNumberedText"/>
              <w:tabs>
                <w:tab w:val="left" w:pos="508"/>
              </w:tabs>
              <w:ind w:left="0" w:firstLine="0"/>
            </w:pPr>
            <w:r>
              <w:t>2.</w:t>
            </w:r>
            <w:r>
              <w:tab/>
              <w:t>Grunnvirkið er ekki ætlað til flutnings eða geymslu á jarðefnaeldsneyti.</w:t>
            </w:r>
          </w:p>
        </w:tc>
      </w:tr>
      <w:tr w:rsidR="00DB6835" w14:paraId="547F06D1" w14:textId="77777777" w:rsidTr="00A9140F">
        <w:trPr>
          <w:trHeight w:val="240"/>
        </w:trPr>
        <w:tc>
          <w:tcPr>
            <w:tcW w:w="8752" w:type="dxa"/>
            <w:gridSpan w:val="2"/>
            <w:tcMar>
              <w:top w:w="100" w:type="dxa"/>
              <w:left w:w="0" w:type="dxa"/>
              <w:bottom w:w="100" w:type="dxa"/>
              <w:right w:w="60" w:type="dxa"/>
            </w:tcMar>
          </w:tcPr>
          <w:p w14:paraId="51D0DB6F" w14:textId="77777777" w:rsidR="00DB6835" w:rsidRDefault="00DB6835" w:rsidP="00A9140F">
            <w:pPr>
              <w:pStyle w:val="AnnexTableCellLeft"/>
            </w:pPr>
            <w:r>
              <w:t>Ekki valda umtalsverðu tjóni</w:t>
            </w:r>
          </w:p>
        </w:tc>
      </w:tr>
      <w:tr w:rsidR="00DB6835" w14:paraId="29B517A9" w14:textId="77777777" w:rsidTr="00A9140F">
        <w:trPr>
          <w:trHeight w:val="360"/>
        </w:trPr>
        <w:tc>
          <w:tcPr>
            <w:tcW w:w="2824" w:type="dxa"/>
            <w:tcMar>
              <w:top w:w="100" w:type="dxa"/>
              <w:left w:w="0" w:type="dxa"/>
              <w:bottom w:w="100" w:type="dxa"/>
              <w:right w:w="60" w:type="dxa"/>
            </w:tcMar>
          </w:tcPr>
          <w:p w14:paraId="2835636F" w14:textId="77777777" w:rsidR="00DB6835" w:rsidRDefault="00DB6835" w:rsidP="00A9140F">
            <w:pPr>
              <w:pStyle w:val="AnnexNumberedText"/>
            </w:pPr>
            <w:r>
              <w:t>2)</w:t>
            </w:r>
            <w:r>
              <w:tab/>
              <w:t>Aðlögun að loftslagsbreytingum</w:t>
            </w:r>
          </w:p>
        </w:tc>
        <w:tc>
          <w:tcPr>
            <w:tcW w:w="5928" w:type="dxa"/>
            <w:tcMar>
              <w:top w:w="100" w:type="dxa"/>
              <w:left w:w="40" w:type="dxa"/>
              <w:bottom w:w="100" w:type="dxa"/>
              <w:right w:w="0" w:type="dxa"/>
            </w:tcMar>
          </w:tcPr>
          <w:p w14:paraId="23345532" w14:textId="77777777" w:rsidR="00DB6835" w:rsidRDefault="00DB6835" w:rsidP="00A9140F">
            <w:pPr>
              <w:pStyle w:val="AnnexTableCellLeft"/>
            </w:pPr>
            <w:r>
              <w:t>Starfsemin er í samræmi við viðmiðanirnar sem settar eru fram í viðbæti A við þennan viðauka.</w:t>
            </w:r>
          </w:p>
        </w:tc>
      </w:tr>
      <w:tr w:rsidR="00DB6835" w14:paraId="076BB664" w14:textId="77777777" w:rsidTr="00A9140F">
        <w:trPr>
          <w:trHeight w:val="360"/>
        </w:trPr>
        <w:tc>
          <w:tcPr>
            <w:tcW w:w="2824" w:type="dxa"/>
            <w:tcMar>
              <w:top w:w="100" w:type="dxa"/>
              <w:left w:w="0" w:type="dxa"/>
              <w:bottom w:w="100" w:type="dxa"/>
              <w:right w:w="60" w:type="dxa"/>
            </w:tcMar>
          </w:tcPr>
          <w:p w14:paraId="23598696" w14:textId="77777777" w:rsidR="00DB6835" w:rsidRDefault="00DB6835" w:rsidP="00A9140F">
            <w:pPr>
              <w:pStyle w:val="AnnexNumberedText"/>
            </w:pPr>
            <w:r>
              <w:t>3)</w:t>
            </w:r>
            <w:r>
              <w:tab/>
              <w:t>Sjálfbær notkun og verndun vatns- og sjávarauðlinda</w:t>
            </w:r>
          </w:p>
        </w:tc>
        <w:tc>
          <w:tcPr>
            <w:tcW w:w="5928" w:type="dxa"/>
            <w:tcMar>
              <w:top w:w="100" w:type="dxa"/>
              <w:left w:w="40" w:type="dxa"/>
              <w:bottom w:w="100" w:type="dxa"/>
              <w:right w:w="0" w:type="dxa"/>
            </w:tcMar>
          </w:tcPr>
          <w:p w14:paraId="3C8CFA50" w14:textId="77777777" w:rsidR="00DB6835" w:rsidRDefault="00DB6835" w:rsidP="00A9140F">
            <w:pPr>
              <w:pStyle w:val="AnnexTableCellLeft"/>
            </w:pPr>
            <w:r>
              <w:t>Starfsemin er í samræmi við viðmiðanirnar sem settar eru fram í viðbæti B við þennan viðauka.</w:t>
            </w:r>
          </w:p>
        </w:tc>
      </w:tr>
      <w:tr w:rsidR="00DB6835" w14:paraId="7349649B" w14:textId="77777777" w:rsidTr="00A9140F">
        <w:trPr>
          <w:trHeight w:val="360"/>
        </w:trPr>
        <w:tc>
          <w:tcPr>
            <w:tcW w:w="2824" w:type="dxa"/>
            <w:tcMar>
              <w:top w:w="100" w:type="dxa"/>
              <w:left w:w="0" w:type="dxa"/>
              <w:bottom w:w="100" w:type="dxa"/>
              <w:right w:w="60" w:type="dxa"/>
            </w:tcMar>
          </w:tcPr>
          <w:p w14:paraId="4A40E050" w14:textId="77777777" w:rsidR="00DB6835" w:rsidRDefault="00DB6835" w:rsidP="00A9140F">
            <w:pPr>
              <w:pStyle w:val="AnnexNumberedText"/>
            </w:pPr>
            <w:r>
              <w:t>4)</w:t>
            </w:r>
            <w:r>
              <w:tab/>
              <w:t>Umskipti yfir í hringrásarhagkerfi</w:t>
            </w:r>
          </w:p>
        </w:tc>
        <w:tc>
          <w:tcPr>
            <w:tcW w:w="5928" w:type="dxa"/>
            <w:tcMar>
              <w:top w:w="100" w:type="dxa"/>
              <w:left w:w="40" w:type="dxa"/>
              <w:bottom w:w="100" w:type="dxa"/>
              <w:right w:w="0" w:type="dxa"/>
            </w:tcMar>
          </w:tcPr>
          <w:p w14:paraId="35EA2991" w14:textId="77777777" w:rsidR="00DB6835" w:rsidRDefault="00DB6835"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295"/>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B6835" w14:paraId="3D2F327A" w14:textId="77777777" w:rsidTr="00A9140F">
        <w:trPr>
          <w:trHeight w:val="360"/>
        </w:trPr>
        <w:tc>
          <w:tcPr>
            <w:tcW w:w="2824" w:type="dxa"/>
            <w:tcMar>
              <w:top w:w="100" w:type="dxa"/>
              <w:left w:w="0" w:type="dxa"/>
              <w:bottom w:w="100" w:type="dxa"/>
              <w:right w:w="60" w:type="dxa"/>
            </w:tcMar>
          </w:tcPr>
          <w:p w14:paraId="61A592B5" w14:textId="77777777" w:rsidR="00DB6835" w:rsidRDefault="00DB6835" w:rsidP="00A9140F">
            <w:pPr>
              <w:pStyle w:val="AnnexNumberedText"/>
              <w:pageBreakBefore/>
            </w:pPr>
            <w:r>
              <w:lastRenderedPageBreak/>
              <w:t>5)</w:t>
            </w:r>
            <w:r>
              <w:tab/>
              <w:t>Mengunarvarnir og eftirlit með mengun</w:t>
            </w:r>
          </w:p>
        </w:tc>
        <w:tc>
          <w:tcPr>
            <w:tcW w:w="5928" w:type="dxa"/>
            <w:tcMar>
              <w:top w:w="100" w:type="dxa"/>
              <w:left w:w="40" w:type="dxa"/>
              <w:bottom w:w="100" w:type="dxa"/>
              <w:right w:w="0" w:type="dxa"/>
            </w:tcMar>
          </w:tcPr>
          <w:p w14:paraId="27FA0219" w14:textId="77777777" w:rsidR="00DB6835" w:rsidRDefault="00DB6835" w:rsidP="00A9140F">
            <w:pPr>
              <w:pStyle w:val="AnnexTableCellLeft"/>
            </w:pPr>
            <w:r>
              <w:t>Ráðstafanir eru gerðar til að draga úr hávaða, titringi, ryki og losun mengandi efna meðan byggingar- eða viðhaldsvinna stendur yfir.</w:t>
            </w:r>
          </w:p>
        </w:tc>
      </w:tr>
      <w:tr w:rsidR="00DB6835" w14:paraId="55529269" w14:textId="77777777" w:rsidTr="00A9140F">
        <w:trPr>
          <w:trHeight w:val="360"/>
        </w:trPr>
        <w:tc>
          <w:tcPr>
            <w:tcW w:w="2824" w:type="dxa"/>
            <w:tcMar>
              <w:top w:w="100" w:type="dxa"/>
              <w:left w:w="0" w:type="dxa"/>
              <w:bottom w:w="100" w:type="dxa"/>
              <w:right w:w="60" w:type="dxa"/>
            </w:tcMar>
          </w:tcPr>
          <w:p w14:paraId="56B05167" w14:textId="77777777" w:rsidR="00DB6835" w:rsidRDefault="00DB6835" w:rsidP="00A9140F">
            <w:pPr>
              <w:pStyle w:val="AnnexNumberedText"/>
            </w:pPr>
            <w:r>
              <w:t>6)</w:t>
            </w:r>
            <w:r>
              <w:tab/>
              <w:t>Vernd og endurheimt líffræðilegrar fjölbreytni og vistkerfa</w:t>
            </w:r>
          </w:p>
        </w:tc>
        <w:tc>
          <w:tcPr>
            <w:tcW w:w="5928" w:type="dxa"/>
            <w:tcMar>
              <w:top w:w="100" w:type="dxa"/>
              <w:left w:w="40" w:type="dxa"/>
              <w:bottom w:w="100" w:type="dxa"/>
              <w:right w:w="0" w:type="dxa"/>
            </w:tcMar>
          </w:tcPr>
          <w:p w14:paraId="452FC983" w14:textId="77777777" w:rsidR="00DB6835" w:rsidRDefault="00DB6835" w:rsidP="00A9140F">
            <w:pPr>
              <w:pStyle w:val="AnnexTableCellLeft"/>
            </w:pPr>
            <w:r>
              <w:t>Starfsemin er í samræmi við viðmiðanirnar sem settar eru fram í viðbæti D við þennan viðauka.</w:t>
            </w:r>
          </w:p>
        </w:tc>
      </w:tr>
    </w:tbl>
    <w:p w14:paraId="5BC7AE98" w14:textId="77777777" w:rsidR="00DB6835" w:rsidRDefault="00DB6835" w:rsidP="00DB6835">
      <w:pPr>
        <w:pStyle w:val="AnnexNumberedText"/>
        <w:spacing w:before="200" w:after="240"/>
        <w:ind w:left="500" w:hanging="500"/>
      </w:pPr>
      <w:r>
        <w:t>7.</w:t>
      </w:r>
      <w:r>
        <w:tab/>
        <w:t>BYGGINGAR OG MANNVIRKJAGERÐ OG FASTEIGNAVIÐSKIPTI</w:t>
      </w:r>
    </w:p>
    <w:p w14:paraId="1681DF01" w14:textId="77777777" w:rsidR="00DB6835" w:rsidRDefault="00DB6835" w:rsidP="00DB6835">
      <w:pPr>
        <w:pStyle w:val="AnnexNumberedText"/>
        <w:spacing w:before="200" w:after="240"/>
        <w:ind w:left="500" w:hanging="500"/>
      </w:pPr>
      <w:r>
        <w:t>7.1.</w:t>
      </w:r>
      <w:r>
        <w:rPr>
          <w:b/>
        </w:rPr>
        <w:tab/>
        <w:t>Smíði nýrra bygginga</w:t>
      </w:r>
    </w:p>
    <w:p w14:paraId="0F54DE6A" w14:textId="77777777" w:rsidR="00DB6835" w:rsidRDefault="00DB6835" w:rsidP="00DB6835">
      <w:pPr>
        <w:pStyle w:val="AnnexGrSeq3"/>
        <w:spacing w:after="240"/>
        <w:ind w:left="500"/>
        <w:jc w:val="both"/>
      </w:pPr>
      <w:r>
        <w:rPr>
          <w:i/>
        </w:rPr>
        <w:t>Lýsing á starfseminni</w:t>
      </w:r>
    </w:p>
    <w:p w14:paraId="45E55310" w14:textId="77777777" w:rsidR="00DB6835" w:rsidRDefault="00DB6835" w:rsidP="00DB6835">
      <w:pPr>
        <w:pStyle w:val="AnnexNormal"/>
        <w:spacing w:after="240"/>
        <w:ind w:left="500"/>
      </w:pPr>
      <w:r>
        <w:t>Þróun á byggingarverkefnum í tengslum við íbúðarhúsnæði og aðrar byggingar en íbúðarhúsnæði með því að leiða saman fjárhagslegar, tæknilegar og efnislegar leiðir til að láta byggingarverkefnið verða að veruleika og selja það síðar, sem og bygging fullbúins íbúðarhúsnæðis og annarra bygginga en íbúðarhúsnæðis fyrir eigin reikning til sölu eða gegn þóknun eða á grundvelli samnings.</w:t>
      </w:r>
    </w:p>
    <w:p w14:paraId="09B05C64" w14:textId="77777777" w:rsidR="00DB6835" w:rsidRDefault="00DB6835" w:rsidP="00DB6835">
      <w:pPr>
        <w:pStyle w:val="AnnexNormal"/>
        <w:spacing w:after="240"/>
        <w:ind w:left="500"/>
      </w:pPr>
      <w:r>
        <w:t>Atvinnustarfsemin í þessum flokki gæti tengst nokkrum kóðum atvinnugreinaflokkunar Evrópusambandsins, einkum F41.1 og F41.2, þ.m.t. einnig starfsemi samkvæmt F43, í samræmi við atvinnugreinaflokkunina sem komið var á með reglugerð (EB) nr. 1893/2006.</w:t>
      </w:r>
    </w:p>
    <w:p w14:paraId="4DD5180F" w14:textId="77777777" w:rsidR="00DB6835" w:rsidRDefault="00DB6835" w:rsidP="00DB6835">
      <w:pPr>
        <w:pStyle w:val="AnnexGrSeq3"/>
        <w:spacing w:after="240"/>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2812"/>
        <w:gridCol w:w="5940"/>
      </w:tblGrid>
      <w:tr w:rsidR="00DB6835" w14:paraId="029FC916" w14:textId="77777777" w:rsidTr="00A9140F">
        <w:trPr>
          <w:trHeight w:val="240"/>
        </w:trPr>
        <w:tc>
          <w:tcPr>
            <w:tcW w:w="8752" w:type="dxa"/>
            <w:gridSpan w:val="2"/>
            <w:tcBorders>
              <w:bottom w:val="single" w:sz="4" w:space="0" w:color="auto"/>
            </w:tcBorders>
            <w:tcMar>
              <w:top w:w="100" w:type="dxa"/>
              <w:left w:w="0" w:type="dxa"/>
              <w:bottom w:w="100" w:type="dxa"/>
              <w:right w:w="60" w:type="dxa"/>
            </w:tcMar>
          </w:tcPr>
          <w:p w14:paraId="0308C5F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33927688" w14:textId="77777777" w:rsidTr="00A9140F">
        <w:trPr>
          <w:trHeight w:val="360"/>
        </w:trPr>
        <w:tc>
          <w:tcPr>
            <w:tcW w:w="8752" w:type="dxa"/>
            <w:gridSpan w:val="2"/>
            <w:tcBorders>
              <w:bottom w:val="nil"/>
            </w:tcBorders>
            <w:tcMar>
              <w:top w:w="100" w:type="dxa"/>
              <w:left w:w="0" w:type="dxa"/>
              <w:bottom w:w="100" w:type="dxa"/>
              <w:right w:w="60" w:type="dxa"/>
            </w:tcMar>
          </w:tcPr>
          <w:p w14:paraId="46F20C7D" w14:textId="77777777" w:rsidR="00DB6835" w:rsidRDefault="00DB6835" w:rsidP="00A9140F">
            <w:pPr>
              <w:pStyle w:val="AnnexTableCellLeft"/>
              <w:spacing w:after="240"/>
            </w:pPr>
            <w:r>
              <w:t>Bygging nýrra bygginga sem eftirfarandi gildir um:</w:t>
            </w:r>
          </w:p>
          <w:p w14:paraId="4ED5EA6D" w14:textId="77777777" w:rsidR="00DB6835" w:rsidRDefault="00DB6835" w:rsidP="00A9140F">
            <w:pPr>
              <w:pStyle w:val="AnnexNumberedText"/>
              <w:tabs>
                <w:tab w:val="left" w:pos="508"/>
              </w:tabs>
              <w:spacing w:after="240"/>
              <w:ind w:left="360" w:hanging="360"/>
            </w:pPr>
            <w:r>
              <w:t>1.</w:t>
            </w:r>
            <w:r>
              <w:tab/>
              <w:t xml:space="preserve">Frumorkuþörf (e. </w:t>
            </w:r>
            <w:proofErr w:type="spellStart"/>
            <w:r>
              <w:rPr>
                <w:i/>
                <w:iCs/>
              </w:rPr>
              <w:t>Primary</w:t>
            </w:r>
            <w:proofErr w:type="spellEnd"/>
            <w:r>
              <w:rPr>
                <w:i/>
                <w:iCs/>
              </w:rPr>
              <w:t xml:space="preserve"> Energy </w:t>
            </w:r>
            <w:proofErr w:type="spellStart"/>
            <w:r>
              <w:rPr>
                <w:i/>
                <w:iCs/>
              </w:rPr>
              <w:t>Demand</w:t>
            </w:r>
            <w:proofErr w:type="spellEnd"/>
            <w:r>
              <w:t>) (</w:t>
            </w:r>
            <w:r>
              <w:rPr>
                <w:rStyle w:val="Tilvsunneanmlsgrein"/>
                <w:sz w:val="18"/>
              </w:rPr>
              <w:footnoteReference w:id="296"/>
            </w:r>
            <w:r>
              <w:t>), sem skilgreinir orkunýtingu byggingarinnar sem var reist, er a.m.k. 10% minni en viðmiðunarmörkin sem voru fastsett fyrir kröfurnar um nánast núllorkubyggingu í landsráðstöfunum til framkvæmdar tilskipun Evrópuþingsins og ráðsins 2010/31/ESB (</w:t>
            </w:r>
            <w:r>
              <w:rPr>
                <w:rStyle w:val="Tilvsunneanmlsgrein"/>
                <w:sz w:val="18"/>
              </w:rPr>
              <w:footnoteReference w:id="297"/>
            </w:r>
            <w:r>
              <w:t>). Orkunýtingin er vottuð með því að nota orkunýtingarvottorð.</w:t>
            </w:r>
          </w:p>
          <w:p w14:paraId="7F8F33AE" w14:textId="77777777" w:rsidR="00DB6835" w:rsidRDefault="00DB6835" w:rsidP="00A9140F">
            <w:pPr>
              <w:pStyle w:val="AnnexNumberedText"/>
              <w:tabs>
                <w:tab w:val="left" w:pos="508"/>
              </w:tabs>
              <w:spacing w:after="240"/>
              <w:ind w:left="360" w:hanging="360"/>
            </w:pPr>
            <w:r>
              <w:t>2.</w:t>
            </w:r>
            <w:r>
              <w:tab/>
              <w:t>Að því er varðar byggingar sem eru stærri en 5 000 m</w:t>
            </w:r>
            <w:r>
              <w:rPr>
                <w:vertAlign w:val="superscript"/>
              </w:rPr>
              <w:t>2</w:t>
            </w:r>
            <w:r>
              <w:t xml:space="preserve"> (</w:t>
            </w:r>
            <w:r>
              <w:rPr>
                <w:rStyle w:val="Tilvsunneanmlsgrein"/>
                <w:sz w:val="18"/>
              </w:rPr>
              <w:footnoteReference w:id="298"/>
            </w:r>
            <w:r>
              <w:t xml:space="preserve">) eru gerðar prófanir á </w:t>
            </w:r>
            <w:proofErr w:type="spellStart"/>
            <w:r>
              <w:t>loftþéttni</w:t>
            </w:r>
            <w:proofErr w:type="spellEnd"/>
            <w:r>
              <w:t xml:space="preserve"> og </w:t>
            </w:r>
            <w:proofErr w:type="spellStart"/>
            <w:r>
              <w:t>varmaheldni</w:t>
            </w:r>
            <w:proofErr w:type="spellEnd"/>
            <w:r>
              <w:t xml:space="preserve"> í byggingunni þegar hún er fullgerð (</w:t>
            </w:r>
            <w:r>
              <w:rPr>
                <w:rStyle w:val="Tilvsunneanmlsgrein"/>
                <w:sz w:val="18"/>
              </w:rPr>
              <w:footnoteReference w:id="299"/>
            </w:r>
            <w:r>
              <w:t xml:space="preserve">) og fjárfestar og viðskiptavinir eru upplýstir um sérhvert frávik frá frammistöðu sem var fastsett á hönnunarstiginu eða um galla í veðurhlífinni. Að öðrum kosti: ef traustir og rekjanlegir gæðaeftirlitsferlar eru til staðar á byggingartímanum telst það ásættanlegt sem staðgöngukostur fyrir prófun á </w:t>
            </w:r>
            <w:proofErr w:type="spellStart"/>
            <w:r>
              <w:t>varmaheldni</w:t>
            </w:r>
            <w:proofErr w:type="spellEnd"/>
            <w:r>
              <w:t>.</w:t>
            </w:r>
          </w:p>
          <w:p w14:paraId="33BEA37B" w14:textId="77777777" w:rsidR="00DB6835" w:rsidRDefault="00DB6835" w:rsidP="00A9140F">
            <w:pPr>
              <w:pStyle w:val="AnnexNumberedText"/>
              <w:tabs>
                <w:tab w:val="left" w:pos="508"/>
              </w:tabs>
              <w:spacing w:after="0"/>
              <w:ind w:left="360" w:hanging="360"/>
            </w:pPr>
            <w:r>
              <w:t>3.</w:t>
            </w:r>
            <w:r>
              <w:tab/>
              <w:t>Að því er varðar byggingar sem eru stærri en 5 000 m</w:t>
            </w:r>
            <w:r>
              <w:rPr>
                <w:vertAlign w:val="superscript"/>
              </w:rPr>
              <w:t>2</w:t>
            </w:r>
            <w:r>
              <w:t>:(</w:t>
            </w:r>
            <w:r>
              <w:rPr>
                <w:rStyle w:val="Tilvsunneanmlsgrein"/>
                <w:sz w:val="18"/>
              </w:rPr>
              <w:footnoteReference w:id="300"/>
            </w:r>
            <w:r>
              <w:t>) hefur hnatthlýnunarmátturinn (</w:t>
            </w:r>
            <w:r>
              <w:rPr>
                <w:rStyle w:val="Tilvsunneanmlsgrein"/>
                <w:sz w:val="18"/>
              </w:rPr>
              <w:footnoteReference w:id="301"/>
            </w:r>
            <w:r>
              <w:t>) á vistferli byggingarinnar sem var reist verið reiknaður út fyrir hvert stig á vistferlinum og fjárfestar og viðskiptavinir eru upplýstir þar að lútandi hvenær sem krafist er.</w:t>
            </w:r>
          </w:p>
        </w:tc>
      </w:tr>
      <w:tr w:rsidR="00DB6835" w14:paraId="0DF8F835" w14:textId="77777777" w:rsidTr="00A9140F">
        <w:trPr>
          <w:trHeight w:val="240"/>
        </w:trPr>
        <w:tc>
          <w:tcPr>
            <w:tcW w:w="8752" w:type="dxa"/>
            <w:gridSpan w:val="2"/>
            <w:tcBorders>
              <w:top w:val="single" w:sz="4" w:space="0" w:color="auto"/>
            </w:tcBorders>
            <w:tcMar>
              <w:top w:w="100" w:type="dxa"/>
              <w:left w:w="0" w:type="dxa"/>
              <w:bottom w:w="100" w:type="dxa"/>
              <w:right w:w="60" w:type="dxa"/>
            </w:tcMar>
          </w:tcPr>
          <w:p w14:paraId="14DA18E0" w14:textId="77777777" w:rsidR="00DB6835" w:rsidRDefault="00DB6835" w:rsidP="00A9140F">
            <w:pPr>
              <w:pStyle w:val="AnnexTableCellLeft"/>
              <w:pageBreakBefore/>
            </w:pPr>
            <w:r>
              <w:lastRenderedPageBreak/>
              <w:t>Ekki valda umtalsverðu tjóni</w:t>
            </w:r>
          </w:p>
        </w:tc>
      </w:tr>
      <w:tr w:rsidR="00DB6835" w14:paraId="74C70F49" w14:textId="77777777" w:rsidTr="00A9140F">
        <w:trPr>
          <w:trHeight w:val="360"/>
        </w:trPr>
        <w:tc>
          <w:tcPr>
            <w:tcW w:w="2812" w:type="dxa"/>
            <w:tcMar>
              <w:top w:w="100" w:type="dxa"/>
              <w:left w:w="0" w:type="dxa"/>
              <w:bottom w:w="100" w:type="dxa"/>
              <w:right w:w="60" w:type="dxa"/>
            </w:tcMar>
          </w:tcPr>
          <w:p w14:paraId="2356D0E3" w14:textId="77777777" w:rsidR="00DB6835" w:rsidRDefault="00DB6835" w:rsidP="00A9140F">
            <w:pPr>
              <w:pStyle w:val="AnnexNumberedText"/>
            </w:pPr>
            <w:r>
              <w:t>2)</w:t>
            </w:r>
            <w:r>
              <w:tab/>
              <w:t>Aðlögun að loftslagsbreytingum</w:t>
            </w:r>
          </w:p>
        </w:tc>
        <w:tc>
          <w:tcPr>
            <w:tcW w:w="5940" w:type="dxa"/>
            <w:tcMar>
              <w:top w:w="100" w:type="dxa"/>
              <w:left w:w="40" w:type="dxa"/>
              <w:bottom w:w="100" w:type="dxa"/>
              <w:right w:w="0" w:type="dxa"/>
            </w:tcMar>
          </w:tcPr>
          <w:p w14:paraId="549860D1" w14:textId="77777777" w:rsidR="00DB6835" w:rsidRDefault="00DB6835" w:rsidP="00A9140F">
            <w:pPr>
              <w:pStyle w:val="AnnexTableCellLeft"/>
            </w:pPr>
            <w:r>
              <w:t>Starfsemin er í samræmi við viðmiðanirnar sem settar eru fram í viðbæti A við þennan viðauka.</w:t>
            </w:r>
          </w:p>
        </w:tc>
      </w:tr>
      <w:tr w:rsidR="00DB6835" w14:paraId="74FA4F1F" w14:textId="77777777" w:rsidTr="00A9140F">
        <w:trPr>
          <w:trHeight w:val="360"/>
        </w:trPr>
        <w:tc>
          <w:tcPr>
            <w:tcW w:w="2812" w:type="dxa"/>
            <w:tcMar>
              <w:top w:w="100" w:type="dxa"/>
              <w:left w:w="0" w:type="dxa"/>
              <w:bottom w:w="100" w:type="dxa"/>
              <w:right w:w="60" w:type="dxa"/>
            </w:tcMar>
          </w:tcPr>
          <w:p w14:paraId="13A249CD" w14:textId="77777777" w:rsidR="00DB6835" w:rsidRDefault="00DB6835" w:rsidP="00A9140F">
            <w:pPr>
              <w:pStyle w:val="AnnexNumberedText"/>
            </w:pPr>
            <w:r>
              <w:t>3)</w:t>
            </w:r>
            <w:r>
              <w:tab/>
              <w:t>Sjálfbær notkun og verndun vatns- og sjávarauðlinda</w:t>
            </w:r>
          </w:p>
        </w:tc>
        <w:tc>
          <w:tcPr>
            <w:tcW w:w="5940" w:type="dxa"/>
            <w:tcMar>
              <w:top w:w="100" w:type="dxa"/>
              <w:left w:w="40" w:type="dxa"/>
              <w:bottom w:w="100" w:type="dxa"/>
              <w:right w:w="0" w:type="dxa"/>
            </w:tcMar>
          </w:tcPr>
          <w:p w14:paraId="53F5EEB3" w14:textId="77777777" w:rsidR="00DB6835" w:rsidRDefault="00DB6835" w:rsidP="00A9140F">
            <w:pPr>
              <w:pStyle w:val="AnnexTableCellLeft"/>
              <w:spacing w:after="500"/>
            </w:pPr>
            <w:r>
              <w:t>Ef eftirfarandi vatnsbúnaður er uppsettur, að undanskilinni uppsetningu í íbúðarhúsnæðiseiningum, er tilgreind vatnsnotkun hans staðfest með gagnablaði fyrir vöruna, byggingarvottun eða fyrirliggjandi merkimiða vörunnar í Sambandinu í samræmi við tækniforskriftirnar sem mælt er fyrir um í viðbæti E við þennan viðauka:</w:t>
            </w:r>
          </w:p>
          <w:p w14:paraId="1CD32FD5" w14:textId="77777777" w:rsidR="00DB6835" w:rsidRDefault="00DB6835" w:rsidP="00A9140F">
            <w:pPr>
              <w:pStyle w:val="AnnexNumberedText"/>
              <w:spacing w:after="500"/>
            </w:pPr>
            <w:r>
              <w:t>a)</w:t>
            </w:r>
            <w:r>
              <w:tab/>
              <w:t>hámarksvatnsflæði í krönum á handlaugum og eldhúsvöskum nemur 6 lítrum/mín,</w:t>
            </w:r>
          </w:p>
          <w:p w14:paraId="6CDEB9F2" w14:textId="77777777" w:rsidR="00DB6835" w:rsidRDefault="00DB6835" w:rsidP="00A9140F">
            <w:pPr>
              <w:pStyle w:val="AnnexNumberedText"/>
              <w:spacing w:after="500"/>
            </w:pPr>
            <w:r>
              <w:t>b)</w:t>
            </w:r>
            <w:r>
              <w:tab/>
              <w:t>hámarksvatnsflæði í sturtum nemur 8 lítrum/mín,</w:t>
            </w:r>
          </w:p>
          <w:p w14:paraId="37906244" w14:textId="77777777" w:rsidR="00DB6835" w:rsidRDefault="00DB6835" w:rsidP="00A9140F">
            <w:pPr>
              <w:pStyle w:val="AnnexNumberedText"/>
              <w:spacing w:after="500"/>
            </w:pPr>
            <w:r>
              <w:t>c)</w:t>
            </w:r>
            <w:r>
              <w:tab/>
              <w:t xml:space="preserve">fullt </w:t>
            </w:r>
            <w:proofErr w:type="spellStart"/>
            <w:r>
              <w:t>skolmagn</w:t>
            </w:r>
            <w:proofErr w:type="spellEnd"/>
            <w:r>
              <w:t xml:space="preserve"> í salernum, þ.m.t. skálar og salerniskassar, nemur að hámarki 6 lítrum og mesta meðalskolmagn nemur 3,5 lítrum,</w:t>
            </w:r>
          </w:p>
          <w:p w14:paraId="39168D2A" w14:textId="77777777" w:rsidR="00DB6835" w:rsidRDefault="00DB6835" w:rsidP="00A9140F">
            <w:pPr>
              <w:pStyle w:val="AnnexNumberedText"/>
              <w:spacing w:after="500"/>
            </w:pPr>
            <w:r>
              <w:t>d)</w:t>
            </w:r>
            <w:r>
              <w:tab/>
              <w:t xml:space="preserve">þvagskálar nota að hámarki 2 lítra/skál/klst. Fullt </w:t>
            </w:r>
            <w:proofErr w:type="spellStart"/>
            <w:r>
              <w:t>skolmagn</w:t>
            </w:r>
            <w:proofErr w:type="spellEnd"/>
            <w:r>
              <w:t xml:space="preserve"> í vatnsþvagskálum (e. </w:t>
            </w:r>
            <w:proofErr w:type="spellStart"/>
            <w:r>
              <w:rPr>
                <w:i/>
                <w:iCs/>
              </w:rPr>
              <w:t>flushing</w:t>
            </w:r>
            <w:proofErr w:type="spellEnd"/>
            <w:r>
              <w:rPr>
                <w:i/>
                <w:iCs/>
              </w:rPr>
              <w:t xml:space="preserve"> </w:t>
            </w:r>
            <w:proofErr w:type="spellStart"/>
            <w:r>
              <w:rPr>
                <w:i/>
                <w:iCs/>
              </w:rPr>
              <w:t>urinal</w:t>
            </w:r>
            <w:proofErr w:type="spellEnd"/>
            <w:r>
              <w:t>) nemur að hámarki 1 lítra.</w:t>
            </w:r>
          </w:p>
          <w:p w14:paraId="31326285" w14:textId="77777777" w:rsidR="00DB6835" w:rsidRDefault="00DB6835" w:rsidP="00A9140F">
            <w:pPr>
              <w:pStyle w:val="AnnexTableCellLeft"/>
            </w:pPr>
            <w:r>
              <w:t>Til að koma í veg fyrir áhrif frá byggingarsvæði er starfsemin í samræmi við viðmiðanirnar sem settar eru fram í viðbæti B við þennan viðauka.</w:t>
            </w:r>
          </w:p>
        </w:tc>
      </w:tr>
      <w:tr w:rsidR="00DB6835" w14:paraId="63A6D9A1" w14:textId="77777777" w:rsidTr="00A9140F">
        <w:trPr>
          <w:trHeight w:val="360"/>
        </w:trPr>
        <w:tc>
          <w:tcPr>
            <w:tcW w:w="2812" w:type="dxa"/>
            <w:tcBorders>
              <w:bottom w:val="single" w:sz="4" w:space="0" w:color="auto"/>
            </w:tcBorders>
            <w:tcMar>
              <w:top w:w="100" w:type="dxa"/>
              <w:left w:w="0" w:type="dxa"/>
              <w:bottom w:w="100" w:type="dxa"/>
              <w:right w:w="60" w:type="dxa"/>
            </w:tcMar>
          </w:tcPr>
          <w:p w14:paraId="41BA4B0D" w14:textId="77777777" w:rsidR="00DB6835" w:rsidRDefault="00DB6835" w:rsidP="00A9140F">
            <w:pPr>
              <w:pStyle w:val="AnnexNumberedText"/>
            </w:pPr>
            <w:r>
              <w:t>4)</w:t>
            </w:r>
            <w:r>
              <w:tab/>
              <w:t>Umskipti yfir í hringrásarhagkerfi</w:t>
            </w:r>
          </w:p>
        </w:tc>
        <w:tc>
          <w:tcPr>
            <w:tcW w:w="5940" w:type="dxa"/>
            <w:tcBorders>
              <w:bottom w:val="single" w:sz="4" w:space="0" w:color="auto"/>
            </w:tcBorders>
            <w:tcMar>
              <w:top w:w="100" w:type="dxa"/>
              <w:left w:w="40" w:type="dxa"/>
              <w:bottom w:w="100" w:type="dxa"/>
              <w:right w:w="0" w:type="dxa"/>
            </w:tcMar>
          </w:tcPr>
          <w:p w14:paraId="22DE160E" w14:textId="77777777" w:rsidR="00DB6835" w:rsidRDefault="00DB6835" w:rsidP="00A9140F">
            <w:pPr>
              <w:pStyle w:val="AnnexTableCellLeft"/>
              <w:spacing w:after="500"/>
              <w:rPr>
                <w:szCs w:val="18"/>
              </w:rPr>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302"/>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p w14:paraId="3D00D2E1" w14:textId="77777777" w:rsidR="00DB6835" w:rsidRDefault="00DB6835" w:rsidP="00A9140F">
            <w:pPr>
              <w:pStyle w:val="AnnexTableCellLeft"/>
              <w:spacing w:after="240"/>
            </w:pPr>
            <w:r>
              <w:t>Hönnun bygginga og byggingatækni styðja við hringrásina og einkum er sýnt fram á, með tilvísun til ISO 20887 (</w:t>
            </w:r>
            <w:r>
              <w:rPr>
                <w:rStyle w:val="Tilvsunneanmlsgrein"/>
                <w:sz w:val="18"/>
                <w:szCs w:val="18"/>
              </w:rPr>
              <w:footnoteReference w:id="303"/>
            </w:r>
            <w:r>
              <w:t xml:space="preserve">) eða annarra staðla til að meta </w:t>
            </w:r>
            <w:proofErr w:type="spellStart"/>
            <w:r>
              <w:t>sundurhlutun</w:t>
            </w:r>
            <w:proofErr w:type="spellEnd"/>
            <w:r>
              <w:t xml:space="preserve"> eða aðlögunarhæfni bygginga, hvernig þær eru hannaðar til að vera </w:t>
            </w:r>
            <w:proofErr w:type="spellStart"/>
            <w:r>
              <w:t>auðlindanýtnari</w:t>
            </w:r>
            <w:proofErr w:type="spellEnd"/>
            <w:r>
              <w:t xml:space="preserve">, aðlögunarhæfari, sveigjanlegri og auðveldari til </w:t>
            </w:r>
            <w:proofErr w:type="spellStart"/>
            <w:r>
              <w:t>sundurhlutunar</w:t>
            </w:r>
            <w:proofErr w:type="spellEnd"/>
            <w:r>
              <w:t xml:space="preserve"> til að gera endurnotkun og endurvinnslu mögulega.</w:t>
            </w:r>
          </w:p>
        </w:tc>
      </w:tr>
      <w:tr w:rsidR="00DB6835" w14:paraId="39370038" w14:textId="77777777" w:rsidTr="00A9140F">
        <w:trPr>
          <w:trHeight w:val="360"/>
        </w:trPr>
        <w:tc>
          <w:tcPr>
            <w:tcW w:w="2812" w:type="dxa"/>
            <w:tcBorders>
              <w:bottom w:val="nil"/>
            </w:tcBorders>
            <w:tcMar>
              <w:top w:w="100" w:type="dxa"/>
              <w:left w:w="0" w:type="dxa"/>
              <w:bottom w:w="100" w:type="dxa"/>
              <w:right w:w="60" w:type="dxa"/>
            </w:tcMar>
          </w:tcPr>
          <w:p w14:paraId="12F7D1CE" w14:textId="77777777" w:rsidR="00DB6835" w:rsidRDefault="00DB6835" w:rsidP="00A9140F">
            <w:pPr>
              <w:pStyle w:val="AnnexNumberedText"/>
            </w:pPr>
            <w:r>
              <w:lastRenderedPageBreak/>
              <w:t>5)</w:t>
            </w:r>
            <w:r>
              <w:tab/>
              <w:t>Mengunarvarnir og eftirlit með mengun</w:t>
            </w:r>
          </w:p>
        </w:tc>
        <w:tc>
          <w:tcPr>
            <w:tcW w:w="5940" w:type="dxa"/>
            <w:tcBorders>
              <w:bottom w:val="nil"/>
            </w:tcBorders>
            <w:tcMar>
              <w:top w:w="100" w:type="dxa"/>
              <w:left w:w="40" w:type="dxa"/>
              <w:bottom w:w="100" w:type="dxa"/>
              <w:right w:w="0" w:type="dxa"/>
            </w:tcMar>
          </w:tcPr>
          <w:p w14:paraId="483876EB" w14:textId="77777777" w:rsidR="00DB6835" w:rsidRDefault="00DB6835" w:rsidP="00A9140F">
            <w:pPr>
              <w:pStyle w:val="AnnexTableCellLeft"/>
            </w:pPr>
            <w:r>
              <w:t>Byggingaríhlutir og byggingarefni sem eru notuð í bygginguna uppfylla viðmiðanirnar sem settar eru fram í viðbæti C við þennan viðauka.</w:t>
            </w:r>
          </w:p>
        </w:tc>
      </w:tr>
      <w:tr w:rsidR="00DB6835" w14:paraId="2C4465E9" w14:textId="77777777" w:rsidTr="00A9140F">
        <w:trPr>
          <w:trHeight w:val="240"/>
        </w:trPr>
        <w:tc>
          <w:tcPr>
            <w:tcW w:w="2812" w:type="dxa"/>
            <w:tcBorders>
              <w:top w:val="single" w:sz="4" w:space="0" w:color="auto"/>
            </w:tcBorders>
            <w:tcMar>
              <w:top w:w="100" w:type="dxa"/>
              <w:left w:w="0" w:type="dxa"/>
              <w:bottom w:w="100" w:type="dxa"/>
              <w:right w:w="60" w:type="dxa"/>
            </w:tcMar>
          </w:tcPr>
          <w:p w14:paraId="0E103EEF" w14:textId="77777777" w:rsidR="00DB6835" w:rsidRDefault="00DB6835" w:rsidP="00A9140F">
            <w:pPr>
              <w:pStyle w:val="AnnexTableCellLeft"/>
              <w:pageBreakBefore/>
              <w:ind w:left="300" w:hanging="300"/>
            </w:pPr>
          </w:p>
        </w:tc>
        <w:tc>
          <w:tcPr>
            <w:tcW w:w="5940" w:type="dxa"/>
            <w:tcBorders>
              <w:top w:val="single" w:sz="4" w:space="0" w:color="auto"/>
            </w:tcBorders>
            <w:tcMar>
              <w:top w:w="100" w:type="dxa"/>
              <w:left w:w="40" w:type="dxa"/>
              <w:bottom w:w="100" w:type="dxa"/>
              <w:right w:w="0" w:type="dxa"/>
            </w:tcMar>
          </w:tcPr>
          <w:p w14:paraId="204B2174" w14:textId="77777777" w:rsidR="00DB6835" w:rsidRDefault="00DB6835" w:rsidP="00A9140F">
            <w:pPr>
              <w:pStyle w:val="AnnexTableCellLeft"/>
              <w:spacing w:after="240"/>
            </w:pPr>
            <w:r>
              <w:t>Byggingaríhlutir og byggingarefni, sem eru notuð í bygginguna, sem geta komist í snertingu við íbúa (</w:t>
            </w:r>
            <w:r>
              <w:rPr>
                <w:rStyle w:val="Tilvsunneanmlsgrein"/>
                <w:sz w:val="18"/>
              </w:rPr>
              <w:footnoteReference w:id="304"/>
            </w:r>
            <w:r>
              <w:t xml:space="preserve">) losa minna en 0,06 mg af </w:t>
            </w:r>
            <w:proofErr w:type="spellStart"/>
            <w:r>
              <w:t>formaldehýði</w:t>
            </w:r>
            <w:proofErr w:type="spellEnd"/>
            <w:r>
              <w:t xml:space="preserve"> á hvern m</w:t>
            </w:r>
            <w:r>
              <w:rPr>
                <w:vertAlign w:val="superscript"/>
              </w:rPr>
              <w:t>3</w:t>
            </w:r>
            <w:r>
              <w:t xml:space="preserve"> af efni eða íhlut við prófun, í samræmi við skilyrðin sem eru tilgreind í XVII. viðauka við reglugerð (EB) nr. 1907/2006, og minna en 0,001 mg af öðrum krabbameinsvaldandi rokgjörnum, lífrænum efnasamböndum í undirflokkum 1A og 1B á hvern m</w:t>
            </w:r>
            <w:r>
              <w:rPr>
                <w:vertAlign w:val="superscript"/>
              </w:rPr>
              <w:t>3</w:t>
            </w:r>
            <w:r>
              <w:t xml:space="preserve"> af efni eða íhlut við prófun í samræmi við CEN/EN 16516 (</w:t>
            </w:r>
            <w:r>
              <w:rPr>
                <w:rStyle w:val="Tilvsunneanmlsgrein"/>
                <w:sz w:val="18"/>
              </w:rPr>
              <w:footnoteReference w:id="305"/>
            </w:r>
            <w:r>
              <w:t>) eða ISO 16000-3:2011 (</w:t>
            </w:r>
            <w:r>
              <w:rPr>
                <w:rStyle w:val="Tilvsunneanmlsgrein"/>
                <w:sz w:val="18"/>
              </w:rPr>
              <w:footnoteReference w:id="306"/>
            </w:r>
            <w:r>
              <w:t>) eða önnur jafngild stöðluð prófunarskilyrði og ákvörðunaraðferðir (</w:t>
            </w:r>
            <w:r>
              <w:rPr>
                <w:rStyle w:val="Tilvsunneanmlsgrein"/>
                <w:sz w:val="18"/>
              </w:rPr>
              <w:footnoteReference w:id="307"/>
            </w:r>
            <w:r>
              <w:t>).</w:t>
            </w:r>
          </w:p>
          <w:p w14:paraId="7D4F35AE" w14:textId="77777777" w:rsidR="00DB6835" w:rsidRDefault="00DB6835" w:rsidP="00A9140F">
            <w:pPr>
              <w:pStyle w:val="AnnexTableCellLeft"/>
              <w:spacing w:after="240"/>
            </w:pPr>
            <w:r>
              <w:t xml:space="preserve">Ef nýja byggingin er á svæði sem er hugsanlega mengað (endurbyggingarsvæði) hefur svæðið verið rannsakað m.t.t. mögulegra </w:t>
            </w:r>
            <w:proofErr w:type="spellStart"/>
            <w:r>
              <w:t>aðskotaefna</w:t>
            </w:r>
            <w:proofErr w:type="spellEnd"/>
            <w:r>
              <w:t xml:space="preserve">, t.d. með notkun </w:t>
            </w:r>
            <w:proofErr w:type="spellStart"/>
            <w:r>
              <w:t>staðalsins</w:t>
            </w:r>
            <w:proofErr w:type="spellEnd"/>
            <w:r>
              <w:t xml:space="preserve"> ISO 18400 (</w:t>
            </w:r>
            <w:r>
              <w:rPr>
                <w:rStyle w:val="Tilvsunneanmlsgrein"/>
                <w:sz w:val="18"/>
              </w:rPr>
              <w:footnoteReference w:id="308"/>
            </w:r>
            <w:r>
              <w:t>).</w:t>
            </w:r>
          </w:p>
          <w:p w14:paraId="62CB4C8B" w14:textId="77777777" w:rsidR="00DB6835" w:rsidRDefault="00DB6835" w:rsidP="00A9140F">
            <w:pPr>
              <w:pStyle w:val="AnnexTableCellLeft"/>
              <w:spacing w:after="240"/>
            </w:pPr>
            <w:r>
              <w:t>Ráðstafanir eru gerðar til að draga úr hávaða, ryki og losun mengandi efna meðan byggingar- eða viðhaldsvinna stendur yfir.</w:t>
            </w:r>
          </w:p>
        </w:tc>
      </w:tr>
      <w:tr w:rsidR="00DB6835" w14:paraId="6603643C" w14:textId="77777777" w:rsidTr="00A9140F">
        <w:trPr>
          <w:trHeight w:val="360"/>
        </w:trPr>
        <w:tc>
          <w:tcPr>
            <w:tcW w:w="2812" w:type="dxa"/>
            <w:tcMar>
              <w:top w:w="100" w:type="dxa"/>
              <w:left w:w="0" w:type="dxa"/>
              <w:bottom w:w="100" w:type="dxa"/>
              <w:right w:w="60" w:type="dxa"/>
            </w:tcMar>
          </w:tcPr>
          <w:p w14:paraId="57066752" w14:textId="77777777" w:rsidR="00DB6835" w:rsidRDefault="00DB6835" w:rsidP="00A9140F">
            <w:pPr>
              <w:pStyle w:val="AnnexNumberedText"/>
            </w:pPr>
            <w:r>
              <w:t>6)</w:t>
            </w:r>
            <w:r>
              <w:tab/>
              <w:t>Vernd og endurheimt líffræðilegrar fjölbreytni og vistkerfa</w:t>
            </w:r>
          </w:p>
        </w:tc>
        <w:tc>
          <w:tcPr>
            <w:tcW w:w="5940" w:type="dxa"/>
            <w:tcMar>
              <w:top w:w="100" w:type="dxa"/>
              <w:left w:w="40" w:type="dxa"/>
              <w:bottom w:w="100" w:type="dxa"/>
              <w:right w:w="0" w:type="dxa"/>
            </w:tcMar>
          </w:tcPr>
          <w:p w14:paraId="2BB6A02A" w14:textId="77777777" w:rsidR="00DB6835" w:rsidRDefault="00DB6835" w:rsidP="00A9140F">
            <w:pPr>
              <w:pStyle w:val="AnnexTableCellLeft"/>
              <w:spacing w:after="240"/>
            </w:pPr>
            <w:r>
              <w:t>Starfsemin er í samræmi við viðmiðanirnar sem settar eru fram í viðbæti D við þennan viðauka.</w:t>
            </w:r>
          </w:p>
          <w:p w14:paraId="182B29E7" w14:textId="77777777" w:rsidR="00DB6835" w:rsidRDefault="00DB6835" w:rsidP="00A9140F">
            <w:pPr>
              <w:pStyle w:val="AnnexTableCellLeft"/>
              <w:spacing w:after="240"/>
            </w:pPr>
            <w:r>
              <w:t>Nýja byggingin er ekki byggð á einu af eftirfarandi:</w:t>
            </w:r>
          </w:p>
          <w:p w14:paraId="4AF330B3" w14:textId="77777777" w:rsidR="00DB6835" w:rsidRDefault="00DB6835" w:rsidP="00A9140F">
            <w:pPr>
              <w:pStyle w:val="AnnexNumberedText"/>
              <w:spacing w:after="240"/>
              <w:ind w:left="293" w:hanging="293"/>
            </w:pPr>
            <w:r>
              <w:t>a)</w:t>
            </w:r>
            <w:r>
              <w:tab/>
            </w:r>
            <w:proofErr w:type="spellStart"/>
            <w:r>
              <w:t>akurlandi</w:t>
            </w:r>
            <w:proofErr w:type="spellEnd"/>
            <w:r>
              <w:t xml:space="preserve"> og ræktuðu landi með frjósemi jarðvegs í meðallagi yfir í mikla og líffræðilega fjölbreytni neðanjarðar eins og um getur í LUCAS-vöktunarkerfi ESB (</w:t>
            </w:r>
            <w:r>
              <w:rPr>
                <w:rStyle w:val="Tilvsunneanmlsgrein"/>
                <w:sz w:val="18"/>
              </w:rPr>
              <w:footnoteReference w:id="309"/>
            </w:r>
            <w:r>
              <w:t>),</w:t>
            </w:r>
          </w:p>
          <w:p w14:paraId="6EA01C31" w14:textId="77777777" w:rsidR="00DB6835" w:rsidRDefault="00DB6835" w:rsidP="00A9140F">
            <w:pPr>
              <w:pStyle w:val="AnnexNumberedText"/>
              <w:spacing w:after="240"/>
              <w:ind w:left="293" w:hanging="293"/>
            </w:pPr>
            <w:r>
              <w:t>b)</w:t>
            </w:r>
            <w:r>
              <w:tab/>
              <w:t>ósnortnu landi sem viðurkennt er að hafi mikið gildi vegna líffræðilegrar fjölbreytni og landi sem þjónar hlutverki búsvæðis fyrir tegundir í hættu (plönturíki og dýraríki) sem eru skráð á evrópska rauðlistann (</w:t>
            </w:r>
            <w:r>
              <w:rPr>
                <w:rStyle w:val="Tilvsunneanmlsgrein"/>
                <w:sz w:val="18"/>
              </w:rPr>
              <w:footnoteReference w:id="310"/>
            </w:r>
            <w:r>
              <w:t>) eða rauðlista Alþjóðanáttúruverndarsambandsins (</w:t>
            </w:r>
            <w:r>
              <w:rPr>
                <w:rStyle w:val="Tilvsunneanmlsgrein"/>
                <w:sz w:val="18"/>
              </w:rPr>
              <w:footnoteReference w:id="311"/>
            </w:r>
            <w:r>
              <w:t>),</w:t>
            </w:r>
          </w:p>
          <w:p w14:paraId="0F66637D" w14:textId="77777777" w:rsidR="00DB6835" w:rsidRDefault="00DB6835" w:rsidP="00A9140F">
            <w:pPr>
              <w:pStyle w:val="AnnexNumberedText"/>
              <w:ind w:left="293" w:hanging="293"/>
            </w:pPr>
            <w:r>
              <w:t>c)</w:t>
            </w:r>
            <w:r>
              <w:tab/>
              <w:t>landi sem svarar til skilgreiningar á skógi eins og sett er fram í landslögum sem er notuð í landsbókhaldi yfir gróðurhúsalofttegundir eða, ef hún ekki tiltæk, í samræmi við skilgreiningu Matvæla- og landbúnaðarstofnunar SÞ á skógi (</w:t>
            </w:r>
            <w:r>
              <w:rPr>
                <w:rStyle w:val="Tilvsunneanmlsgrein"/>
                <w:sz w:val="18"/>
              </w:rPr>
              <w:footnoteReference w:id="312"/>
            </w:r>
            <w:r>
              <w:t>).</w:t>
            </w:r>
          </w:p>
        </w:tc>
      </w:tr>
    </w:tbl>
    <w:p w14:paraId="2B2949FC" w14:textId="77777777" w:rsidR="00DB6835" w:rsidRDefault="00DB6835" w:rsidP="00DB6835">
      <w:pPr>
        <w:pStyle w:val="AnnexNumberedText"/>
        <w:spacing w:before="200" w:after="280"/>
        <w:ind w:left="500" w:hanging="500"/>
      </w:pPr>
      <w:r>
        <w:t>7.2.</w:t>
      </w:r>
      <w:r>
        <w:rPr>
          <w:b/>
        </w:rPr>
        <w:tab/>
        <w:t>Endurnýjun bygginga sem fyrir eru</w:t>
      </w:r>
    </w:p>
    <w:p w14:paraId="6A080982" w14:textId="77777777" w:rsidR="00DB6835" w:rsidRDefault="00DB6835" w:rsidP="00DB6835">
      <w:pPr>
        <w:pStyle w:val="AnnexGrSeq3"/>
        <w:spacing w:after="280"/>
        <w:ind w:left="500"/>
        <w:jc w:val="both"/>
      </w:pPr>
      <w:r>
        <w:rPr>
          <w:i/>
        </w:rPr>
        <w:t>Lýsing á starfseminni</w:t>
      </w:r>
    </w:p>
    <w:p w14:paraId="5161AC92" w14:textId="77777777" w:rsidR="00DB6835" w:rsidRDefault="00DB6835" w:rsidP="00DB6835">
      <w:pPr>
        <w:pStyle w:val="AnnexNormal"/>
        <w:spacing w:after="280"/>
        <w:ind w:left="500"/>
      </w:pPr>
      <w:r>
        <w:t>Bygginga- og mannvirkjagerð eða undirbúningur þeirra.</w:t>
      </w:r>
    </w:p>
    <w:p w14:paraId="2B264FE8" w14:textId="77777777" w:rsidR="00DB6835" w:rsidRDefault="00DB6835" w:rsidP="00DB6835">
      <w:pPr>
        <w:pStyle w:val="AnnexNormal"/>
        <w:spacing w:after="280"/>
        <w:ind w:left="500"/>
      </w:pPr>
      <w:r>
        <w:lastRenderedPageBreak/>
        <w:t>Atvinnustarfsemin í þessum flokki gæti tengst nokkrum kóðum atvinnugreinaflokkunar Evrópusambandsins, einkum F41 og F43, í samræmi við atvinnugreinaflokkunina sem komið var á með reglugerð (EB) nr. 1893/2006.</w:t>
      </w:r>
    </w:p>
    <w:p w14:paraId="77D43C36" w14:textId="77777777" w:rsidR="00DB6835" w:rsidRDefault="00DB6835" w:rsidP="00DB6835">
      <w:pPr>
        <w:pStyle w:val="AnnexNormal"/>
        <w:spacing w:after="0"/>
        <w:ind w:left="500"/>
      </w:pPr>
      <w:r>
        <w:t>Atvinnustarfsemi í þessum flokki er umbreytingarstarfsemi, eins og um getur í 2. mgr. 10. gr. reglugerðar (ESB) 2020/852, þegar hún er í samræmi við tæknilegu matsviðmiðin sem sett eru fram í þessum þætti.</w:t>
      </w:r>
      <w:r>
        <w:br w:type="page"/>
      </w:r>
    </w:p>
    <w:p w14:paraId="2416E804" w14:textId="77777777" w:rsidR="00DB6835" w:rsidRDefault="00DB6835" w:rsidP="00DB6835">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944"/>
        <w:gridCol w:w="5796"/>
      </w:tblGrid>
      <w:tr w:rsidR="00DB6835" w14:paraId="45178081" w14:textId="77777777" w:rsidTr="00A9140F">
        <w:trPr>
          <w:trHeight w:val="240"/>
        </w:trPr>
        <w:tc>
          <w:tcPr>
            <w:tcW w:w="8740" w:type="dxa"/>
            <w:gridSpan w:val="2"/>
            <w:tcMar>
              <w:top w:w="100" w:type="dxa"/>
              <w:left w:w="0" w:type="dxa"/>
              <w:bottom w:w="100" w:type="dxa"/>
              <w:right w:w="60" w:type="dxa"/>
            </w:tcMar>
          </w:tcPr>
          <w:p w14:paraId="1DCFB9CC"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1D96908D" w14:textId="77777777" w:rsidTr="00A9140F">
        <w:trPr>
          <w:trHeight w:val="240"/>
        </w:trPr>
        <w:tc>
          <w:tcPr>
            <w:tcW w:w="8740" w:type="dxa"/>
            <w:gridSpan w:val="2"/>
            <w:tcMar>
              <w:top w:w="100" w:type="dxa"/>
              <w:left w:w="0" w:type="dxa"/>
              <w:bottom w:w="100" w:type="dxa"/>
              <w:right w:w="60" w:type="dxa"/>
            </w:tcMar>
          </w:tcPr>
          <w:p w14:paraId="31A9B3F3" w14:textId="77777777" w:rsidR="00DB6835" w:rsidRDefault="00DB6835" w:rsidP="00A9140F">
            <w:pPr>
              <w:pStyle w:val="AnnexTableCellLeft"/>
              <w:spacing w:after="240"/>
              <w:rPr>
                <w:szCs w:val="18"/>
              </w:rPr>
            </w:pPr>
            <w:r>
              <w:t>Endurnýjun byggingar uppfyllir gildandi kröfur um meiri háttar endurnýjun (</w:t>
            </w:r>
            <w:r>
              <w:rPr>
                <w:rStyle w:val="Tilvsunneanmlsgrein"/>
                <w:sz w:val="18"/>
                <w:szCs w:val="18"/>
              </w:rPr>
              <w:footnoteReference w:id="313"/>
            </w:r>
            <w:r>
              <w:t>).</w:t>
            </w:r>
          </w:p>
          <w:p w14:paraId="56693802" w14:textId="77777777" w:rsidR="00DB6835" w:rsidRDefault="00DB6835" w:rsidP="00A9140F">
            <w:pPr>
              <w:pStyle w:val="AnnexTableCellLeft"/>
              <w:spacing w:after="240"/>
              <w:rPr>
                <w:szCs w:val="18"/>
              </w:rPr>
            </w:pPr>
            <w:r>
              <w:t>Að öðrum kosti leiðir hún til samdráttar í frumorkuþörf sem nemur a.m.k. 30% (</w:t>
            </w:r>
            <w:r>
              <w:rPr>
                <w:rStyle w:val="Tilvsunneanmlsgrein"/>
                <w:sz w:val="18"/>
                <w:szCs w:val="18"/>
              </w:rPr>
              <w:footnoteReference w:id="314"/>
            </w:r>
            <w:r>
              <w:t>).</w:t>
            </w:r>
          </w:p>
        </w:tc>
      </w:tr>
      <w:tr w:rsidR="00DB6835" w14:paraId="51A13F7B" w14:textId="77777777" w:rsidTr="00A9140F">
        <w:trPr>
          <w:trHeight w:val="240"/>
        </w:trPr>
        <w:tc>
          <w:tcPr>
            <w:tcW w:w="8740" w:type="dxa"/>
            <w:gridSpan w:val="2"/>
            <w:tcMar>
              <w:top w:w="200" w:type="dxa"/>
              <w:left w:w="0" w:type="dxa"/>
              <w:bottom w:w="200" w:type="dxa"/>
              <w:right w:w="60" w:type="dxa"/>
            </w:tcMar>
          </w:tcPr>
          <w:p w14:paraId="3434334F" w14:textId="77777777" w:rsidR="00DB6835" w:rsidRDefault="00DB6835" w:rsidP="00A9140F">
            <w:pPr>
              <w:pStyle w:val="AnnexTableCellLeft"/>
            </w:pPr>
            <w:r>
              <w:t>Ekki valda umtalsverðu tjóni</w:t>
            </w:r>
          </w:p>
        </w:tc>
      </w:tr>
      <w:tr w:rsidR="00DB6835" w14:paraId="7E0E56C9" w14:textId="77777777" w:rsidTr="00A9140F">
        <w:trPr>
          <w:trHeight w:val="360"/>
        </w:trPr>
        <w:tc>
          <w:tcPr>
            <w:tcW w:w="2944" w:type="dxa"/>
            <w:tcMar>
              <w:top w:w="200" w:type="dxa"/>
              <w:left w:w="0" w:type="dxa"/>
              <w:bottom w:w="200" w:type="dxa"/>
              <w:right w:w="60" w:type="dxa"/>
            </w:tcMar>
          </w:tcPr>
          <w:p w14:paraId="320D2D19" w14:textId="77777777" w:rsidR="00DB6835" w:rsidRDefault="00DB6835" w:rsidP="00A9140F">
            <w:pPr>
              <w:pStyle w:val="AnnexNumberedText"/>
            </w:pPr>
            <w:r>
              <w:t>2)</w:t>
            </w:r>
            <w:r>
              <w:tab/>
              <w:t>Aðlögun að loftslagsbreytingum</w:t>
            </w:r>
          </w:p>
        </w:tc>
        <w:tc>
          <w:tcPr>
            <w:tcW w:w="5796" w:type="dxa"/>
            <w:tcMar>
              <w:top w:w="200" w:type="dxa"/>
              <w:left w:w="40" w:type="dxa"/>
              <w:bottom w:w="200" w:type="dxa"/>
              <w:right w:w="0" w:type="dxa"/>
            </w:tcMar>
          </w:tcPr>
          <w:p w14:paraId="3E87E2A3" w14:textId="77777777" w:rsidR="00DB6835" w:rsidRDefault="00DB6835" w:rsidP="00A9140F">
            <w:pPr>
              <w:pStyle w:val="AnnexTableCellLeft"/>
            </w:pPr>
            <w:r>
              <w:t>Starfsemin er í samræmi við viðmiðanirnar sem settar eru fram í viðbæti A við þennan viðauka.</w:t>
            </w:r>
          </w:p>
        </w:tc>
      </w:tr>
      <w:tr w:rsidR="00DB6835" w14:paraId="715A97E2" w14:textId="77777777" w:rsidTr="00A9140F">
        <w:trPr>
          <w:trHeight w:val="360"/>
        </w:trPr>
        <w:tc>
          <w:tcPr>
            <w:tcW w:w="2944" w:type="dxa"/>
            <w:tcBorders>
              <w:bottom w:val="single" w:sz="4" w:space="0" w:color="auto"/>
            </w:tcBorders>
            <w:tcMar>
              <w:top w:w="200" w:type="dxa"/>
              <w:left w:w="0" w:type="dxa"/>
              <w:bottom w:w="200" w:type="dxa"/>
              <w:right w:w="60" w:type="dxa"/>
            </w:tcMar>
          </w:tcPr>
          <w:p w14:paraId="0724597B" w14:textId="77777777" w:rsidR="00DB6835" w:rsidRDefault="00DB6835" w:rsidP="00A9140F">
            <w:pPr>
              <w:pStyle w:val="AnnexNumberedText"/>
            </w:pPr>
            <w:r>
              <w:t>3)</w:t>
            </w:r>
            <w:r>
              <w:tab/>
              <w:t>Sjálfbær notkun og verndun vatns- og sjávarauðlinda</w:t>
            </w:r>
          </w:p>
        </w:tc>
        <w:tc>
          <w:tcPr>
            <w:tcW w:w="5796" w:type="dxa"/>
            <w:tcBorders>
              <w:bottom w:val="single" w:sz="4" w:space="0" w:color="auto"/>
            </w:tcBorders>
            <w:tcMar>
              <w:top w:w="200" w:type="dxa"/>
              <w:left w:w="40" w:type="dxa"/>
              <w:bottom w:w="200" w:type="dxa"/>
              <w:right w:w="0" w:type="dxa"/>
            </w:tcMar>
          </w:tcPr>
          <w:p w14:paraId="18896BEC" w14:textId="77777777" w:rsidR="00DB6835" w:rsidRDefault="00DB6835" w:rsidP="00A9140F">
            <w:pPr>
              <w:pStyle w:val="AnnexTableCellLeft"/>
              <w:spacing w:after="240"/>
            </w:pPr>
            <w:r>
              <w:t>Ef eftirfarandi vatnsbúnaður er uppsettur sem hluti af endurbótum, að undanskildum endurbótum á íbúðarhúsnæðiseiningum, er tilgreind vatnsnotkun hans staðfest með gagnablaði fyrir vöruna, byggingarvottun eða fyrirliggjandi merkimiða vörunnar í Sambandinu í samræmi við tækniforskriftirnar sem mælt er fyrir um í viðbæti E við þennan viðauka.</w:t>
            </w:r>
          </w:p>
          <w:p w14:paraId="6AFE04F7" w14:textId="77777777" w:rsidR="00DB6835" w:rsidRDefault="00DB6835" w:rsidP="00A9140F">
            <w:pPr>
              <w:pStyle w:val="AnnexNumberedText"/>
              <w:spacing w:after="240"/>
              <w:ind w:left="293" w:hanging="293"/>
            </w:pPr>
            <w:r>
              <w:t>a)</w:t>
            </w:r>
            <w:r>
              <w:tab/>
              <w:t>hámarksvatnsflæði í krönum á handlaugum og eldhúsvöskum nemur 6 lítrum/mín,</w:t>
            </w:r>
          </w:p>
          <w:p w14:paraId="2E115578" w14:textId="77777777" w:rsidR="00DB6835" w:rsidRDefault="00DB6835" w:rsidP="00A9140F">
            <w:pPr>
              <w:pStyle w:val="AnnexNumberedText"/>
              <w:spacing w:after="240"/>
              <w:ind w:left="293" w:hanging="293"/>
            </w:pPr>
            <w:r>
              <w:t>b)</w:t>
            </w:r>
            <w:r>
              <w:tab/>
              <w:t>hámarksvatnsflæði í sturtum nemur 8 lítrum/mín,</w:t>
            </w:r>
          </w:p>
          <w:p w14:paraId="6A08990F" w14:textId="77777777" w:rsidR="00DB6835" w:rsidRDefault="00DB6835" w:rsidP="00A9140F">
            <w:pPr>
              <w:pStyle w:val="AnnexNumberedText"/>
              <w:spacing w:after="240"/>
              <w:ind w:left="293" w:hanging="293"/>
            </w:pPr>
            <w:r>
              <w:t>c)</w:t>
            </w:r>
            <w:r>
              <w:tab/>
              <w:t xml:space="preserve">fullt </w:t>
            </w:r>
            <w:proofErr w:type="spellStart"/>
            <w:r>
              <w:t>skolmagn</w:t>
            </w:r>
            <w:proofErr w:type="spellEnd"/>
            <w:r>
              <w:t xml:space="preserve"> í salernum, þ.m.t. skálar og salerniskassar, nemur að hámarki 6 lítrum og mesta meðalskolmagn nemur 3,5 lítrum,</w:t>
            </w:r>
          </w:p>
          <w:p w14:paraId="66E4C4B1" w14:textId="77777777" w:rsidR="00DB6835" w:rsidRDefault="00DB6835" w:rsidP="00A9140F">
            <w:pPr>
              <w:pStyle w:val="AnnexNumberedText"/>
              <w:ind w:left="293" w:hanging="293"/>
            </w:pPr>
            <w:r>
              <w:t>d)</w:t>
            </w:r>
            <w:r>
              <w:tab/>
              <w:t xml:space="preserve">þvagskálar nota að hámarki 2 lítra/skál/klst. Fullt </w:t>
            </w:r>
            <w:proofErr w:type="spellStart"/>
            <w:r>
              <w:t>skolmagn</w:t>
            </w:r>
            <w:proofErr w:type="spellEnd"/>
            <w:r>
              <w:t xml:space="preserve"> í vatnsþvagskálum (e. </w:t>
            </w:r>
            <w:proofErr w:type="spellStart"/>
            <w:r>
              <w:rPr>
                <w:i/>
                <w:iCs/>
              </w:rPr>
              <w:t>flushing</w:t>
            </w:r>
            <w:proofErr w:type="spellEnd"/>
            <w:r>
              <w:rPr>
                <w:i/>
                <w:iCs/>
              </w:rPr>
              <w:t xml:space="preserve"> </w:t>
            </w:r>
            <w:proofErr w:type="spellStart"/>
            <w:r>
              <w:rPr>
                <w:i/>
                <w:iCs/>
              </w:rPr>
              <w:t>urinal</w:t>
            </w:r>
            <w:proofErr w:type="spellEnd"/>
            <w:r>
              <w:t>) nemur að hámarki 1 lítra.</w:t>
            </w:r>
          </w:p>
        </w:tc>
      </w:tr>
      <w:tr w:rsidR="00DB6835" w14:paraId="3F41EA71" w14:textId="77777777" w:rsidTr="00A9140F">
        <w:trPr>
          <w:trHeight w:val="360"/>
        </w:trPr>
        <w:tc>
          <w:tcPr>
            <w:tcW w:w="2944" w:type="dxa"/>
            <w:tcBorders>
              <w:bottom w:val="nil"/>
            </w:tcBorders>
            <w:tcMar>
              <w:top w:w="200" w:type="dxa"/>
              <w:left w:w="0" w:type="dxa"/>
              <w:bottom w:w="200" w:type="dxa"/>
              <w:right w:w="60" w:type="dxa"/>
            </w:tcMar>
          </w:tcPr>
          <w:p w14:paraId="3B81B449" w14:textId="77777777" w:rsidR="00DB6835" w:rsidRDefault="00DB6835" w:rsidP="00A9140F">
            <w:pPr>
              <w:pStyle w:val="AnnexNumberedText"/>
            </w:pPr>
            <w:r>
              <w:t>4)</w:t>
            </w:r>
            <w:r>
              <w:tab/>
              <w:t>Umskipti yfir í hringrásarhagkerfi</w:t>
            </w:r>
          </w:p>
        </w:tc>
        <w:tc>
          <w:tcPr>
            <w:tcW w:w="5796" w:type="dxa"/>
            <w:tcBorders>
              <w:bottom w:val="nil"/>
            </w:tcBorders>
            <w:tcMar>
              <w:top w:w="200" w:type="dxa"/>
              <w:left w:w="40" w:type="dxa"/>
              <w:bottom w:w="200" w:type="dxa"/>
              <w:right w:w="0" w:type="dxa"/>
            </w:tcMar>
          </w:tcPr>
          <w:p w14:paraId="79EE1FAB" w14:textId="77777777" w:rsidR="00DB6835" w:rsidRDefault="00DB6835"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rPr>
              <w:footnoteReference w:id="315"/>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B6835" w14:paraId="63571B43" w14:textId="77777777" w:rsidTr="00A9140F">
        <w:trPr>
          <w:trHeight w:val="240"/>
        </w:trPr>
        <w:tc>
          <w:tcPr>
            <w:tcW w:w="2944" w:type="dxa"/>
            <w:tcBorders>
              <w:top w:val="single" w:sz="4" w:space="0" w:color="auto"/>
            </w:tcBorders>
            <w:tcMar>
              <w:top w:w="100" w:type="dxa"/>
              <w:left w:w="0" w:type="dxa"/>
              <w:bottom w:w="100" w:type="dxa"/>
              <w:right w:w="60" w:type="dxa"/>
            </w:tcMar>
          </w:tcPr>
          <w:p w14:paraId="5ECBCCB0" w14:textId="77777777" w:rsidR="00DB6835" w:rsidRDefault="00DB6835" w:rsidP="00A9140F">
            <w:pPr>
              <w:pStyle w:val="AnnexTableCellLeft"/>
              <w:pageBreakBefore/>
              <w:ind w:left="300" w:hanging="300"/>
            </w:pPr>
          </w:p>
        </w:tc>
        <w:tc>
          <w:tcPr>
            <w:tcW w:w="5796" w:type="dxa"/>
            <w:tcBorders>
              <w:top w:val="single" w:sz="4" w:space="0" w:color="auto"/>
            </w:tcBorders>
            <w:tcMar>
              <w:top w:w="100" w:type="dxa"/>
              <w:left w:w="40" w:type="dxa"/>
              <w:bottom w:w="100" w:type="dxa"/>
              <w:right w:w="0" w:type="dxa"/>
            </w:tcMar>
          </w:tcPr>
          <w:p w14:paraId="4B785B65" w14:textId="77777777" w:rsidR="00DB6835" w:rsidRDefault="00DB6835" w:rsidP="00A9140F">
            <w:pPr>
              <w:pStyle w:val="AnnexTableCellLeft"/>
              <w:spacing w:after="200"/>
              <w:rPr>
                <w:szCs w:val="18"/>
              </w:rPr>
            </w:pPr>
            <w:r>
              <w:t>Hönnun bygginga og byggingatækni styðja við hringrásina og einkum er sýnt fram á, með tilvísun til ISO 20887 (</w:t>
            </w:r>
            <w:r>
              <w:rPr>
                <w:rStyle w:val="Tilvsunneanmlsgrein"/>
                <w:sz w:val="18"/>
                <w:szCs w:val="18"/>
              </w:rPr>
              <w:footnoteReference w:id="316"/>
            </w:r>
            <w:r>
              <w:t xml:space="preserve">) eða annarra staðla til að meta </w:t>
            </w:r>
            <w:proofErr w:type="spellStart"/>
            <w:r>
              <w:t>sundurhlutun</w:t>
            </w:r>
            <w:proofErr w:type="spellEnd"/>
            <w:r>
              <w:t xml:space="preserve"> eða aðlögunarhæfni bygginga, hvernig þær eru hannaðar til að vera </w:t>
            </w:r>
            <w:proofErr w:type="spellStart"/>
            <w:r>
              <w:t>auðlindanýtnari</w:t>
            </w:r>
            <w:proofErr w:type="spellEnd"/>
            <w:r>
              <w:t xml:space="preserve">, aðlögunarhæfari, sveigjanlegri og auðveldari til </w:t>
            </w:r>
            <w:proofErr w:type="spellStart"/>
            <w:r>
              <w:t>sundurhlutunar</w:t>
            </w:r>
            <w:proofErr w:type="spellEnd"/>
            <w:r>
              <w:t xml:space="preserve"> til að gera endurnotkun og endurvinnslu mögulega.</w:t>
            </w:r>
          </w:p>
        </w:tc>
      </w:tr>
      <w:tr w:rsidR="00DB6835" w14:paraId="03BC6444" w14:textId="77777777" w:rsidTr="00A9140F">
        <w:trPr>
          <w:trHeight w:val="360"/>
        </w:trPr>
        <w:tc>
          <w:tcPr>
            <w:tcW w:w="2944" w:type="dxa"/>
            <w:tcMar>
              <w:top w:w="100" w:type="dxa"/>
              <w:left w:w="0" w:type="dxa"/>
              <w:bottom w:w="100" w:type="dxa"/>
              <w:right w:w="60" w:type="dxa"/>
            </w:tcMar>
          </w:tcPr>
          <w:p w14:paraId="1FBDD6EC" w14:textId="77777777" w:rsidR="00DB6835" w:rsidRDefault="00DB6835" w:rsidP="00A9140F">
            <w:pPr>
              <w:pStyle w:val="AnnexNumberedText"/>
            </w:pPr>
            <w:r>
              <w:t>5)</w:t>
            </w:r>
            <w:r>
              <w:tab/>
              <w:t>Mengunarvarnir og eftirlit með mengun</w:t>
            </w:r>
          </w:p>
        </w:tc>
        <w:tc>
          <w:tcPr>
            <w:tcW w:w="5796" w:type="dxa"/>
            <w:tcMar>
              <w:top w:w="100" w:type="dxa"/>
              <w:left w:w="40" w:type="dxa"/>
              <w:bottom w:w="100" w:type="dxa"/>
              <w:right w:w="0" w:type="dxa"/>
            </w:tcMar>
          </w:tcPr>
          <w:p w14:paraId="50EADFB2" w14:textId="77777777" w:rsidR="00DB6835" w:rsidRDefault="00DB6835" w:rsidP="00A9140F">
            <w:pPr>
              <w:pStyle w:val="AnnexTableCellLeft"/>
              <w:spacing w:after="200"/>
              <w:rPr>
                <w:szCs w:val="18"/>
              </w:rPr>
            </w:pPr>
            <w:r>
              <w:t>Byggingaríhlutir og byggingarefni sem eru notuð í bygginguna uppfylla viðmiðanirnar sem settar eru fram í viðbæti C við þennan viðauka.</w:t>
            </w:r>
          </w:p>
          <w:p w14:paraId="5D947FD6" w14:textId="77777777" w:rsidR="00DB6835" w:rsidRDefault="00DB6835" w:rsidP="00A9140F">
            <w:pPr>
              <w:pStyle w:val="AnnexTableCellLeft"/>
              <w:spacing w:after="200"/>
              <w:rPr>
                <w:szCs w:val="18"/>
              </w:rPr>
            </w:pPr>
            <w:r>
              <w:t>Byggingaríhlutir og byggingarefni, sem eru notuð í bygginguna, sem geta komist í snertingu við íbúa (</w:t>
            </w:r>
            <w:r>
              <w:rPr>
                <w:rStyle w:val="Tilvsunneanmlsgrein"/>
                <w:sz w:val="18"/>
                <w:szCs w:val="18"/>
              </w:rPr>
              <w:footnoteReference w:id="317"/>
            </w:r>
            <w:r>
              <w:t xml:space="preserve">) losa minna en 0,06 mg af </w:t>
            </w:r>
            <w:proofErr w:type="spellStart"/>
            <w:r>
              <w:t>formaldehýði</w:t>
            </w:r>
            <w:proofErr w:type="spellEnd"/>
            <w:r>
              <w:t xml:space="preserve"> á hvern m3 af efni eða íhlut við prófun, í samræmi við skilyrðin sem eru tilgreind í XVII. viðauka við reglugerð (EB) nr. 1907/2006, og minna en 0,001 mg af öðrum krabbameinsvaldandi rokgjörnum, lífrænum efnasamböndum í undirflokkum 1A og 1B á hvern m3 af efni eða íhlut við prófun í samræmi við CEN/EN 16516 () eða ISO 16000-3:2011 (</w:t>
            </w:r>
            <w:r>
              <w:rPr>
                <w:rStyle w:val="Tilvsunneanmlsgrein"/>
                <w:sz w:val="18"/>
                <w:szCs w:val="18"/>
              </w:rPr>
              <w:footnoteReference w:id="318"/>
            </w:r>
            <w:r>
              <w:t>) eða önnur jafngild stöðluð prófunarskilyrði og ákvörðunaraðferðir (</w:t>
            </w:r>
            <w:r>
              <w:rPr>
                <w:rStyle w:val="Tilvsunneanmlsgrein"/>
                <w:sz w:val="18"/>
                <w:szCs w:val="18"/>
              </w:rPr>
              <w:footnoteReference w:id="319"/>
            </w:r>
            <w:r>
              <w:t>).</w:t>
            </w:r>
          </w:p>
          <w:p w14:paraId="24F91C38" w14:textId="77777777" w:rsidR="00DB6835" w:rsidRDefault="00DB6835" w:rsidP="00A9140F">
            <w:pPr>
              <w:pStyle w:val="AnnexTableCellLeft"/>
              <w:spacing w:after="240"/>
              <w:rPr>
                <w:szCs w:val="18"/>
              </w:rPr>
            </w:pPr>
            <w:r>
              <w:t>Ráðstafanir eru gerðar til að draga úr hávaða, ryki og losun mengandi efna meðan byggingar- eða viðhaldsvinna stendur yfir.</w:t>
            </w:r>
          </w:p>
        </w:tc>
      </w:tr>
      <w:tr w:rsidR="00DB6835" w14:paraId="500046A6" w14:textId="77777777" w:rsidTr="00A9140F">
        <w:trPr>
          <w:trHeight w:val="360"/>
        </w:trPr>
        <w:tc>
          <w:tcPr>
            <w:tcW w:w="2944" w:type="dxa"/>
            <w:tcMar>
              <w:top w:w="100" w:type="dxa"/>
              <w:left w:w="0" w:type="dxa"/>
              <w:bottom w:w="100" w:type="dxa"/>
              <w:right w:w="60" w:type="dxa"/>
            </w:tcMar>
          </w:tcPr>
          <w:p w14:paraId="6D5F48F6" w14:textId="77777777" w:rsidR="00DB6835" w:rsidRDefault="00DB6835" w:rsidP="00A9140F">
            <w:pPr>
              <w:pStyle w:val="AnnexNumberedText"/>
            </w:pPr>
            <w:r>
              <w:t>6)</w:t>
            </w:r>
            <w:r>
              <w:tab/>
              <w:t>Vernd og endurheimt líffræðilegrar fjölbreytni og vistkerfa</w:t>
            </w:r>
          </w:p>
        </w:tc>
        <w:tc>
          <w:tcPr>
            <w:tcW w:w="5796" w:type="dxa"/>
            <w:tcMar>
              <w:top w:w="100" w:type="dxa"/>
              <w:left w:w="40" w:type="dxa"/>
              <w:bottom w:w="100" w:type="dxa"/>
              <w:right w:w="0" w:type="dxa"/>
            </w:tcMar>
          </w:tcPr>
          <w:p w14:paraId="7B7EF169" w14:textId="77777777" w:rsidR="00DB6835" w:rsidRDefault="00DB6835" w:rsidP="00A9140F">
            <w:pPr>
              <w:pStyle w:val="AnnexTableCellLeft"/>
            </w:pPr>
            <w:r>
              <w:t>Á ekki við.</w:t>
            </w:r>
          </w:p>
        </w:tc>
      </w:tr>
    </w:tbl>
    <w:p w14:paraId="35A331BC" w14:textId="77777777" w:rsidR="00DB6835" w:rsidRDefault="00DB6835" w:rsidP="00DB6835">
      <w:pPr>
        <w:pStyle w:val="AnnexNumberedText"/>
        <w:spacing w:before="200" w:after="160"/>
        <w:ind w:left="500" w:hanging="500"/>
      </w:pPr>
      <w:r>
        <w:t>7.3.</w:t>
      </w:r>
      <w:r>
        <w:rPr>
          <w:b/>
        </w:rPr>
        <w:tab/>
        <w:t xml:space="preserve">Uppsetning, viðhald og viðgerðir á </w:t>
      </w:r>
      <w:proofErr w:type="spellStart"/>
      <w:r>
        <w:rPr>
          <w:b/>
        </w:rPr>
        <w:t>orkunýtnum</w:t>
      </w:r>
      <w:proofErr w:type="spellEnd"/>
      <w:r>
        <w:rPr>
          <w:b/>
        </w:rPr>
        <w:t xml:space="preserve"> búnaði</w:t>
      </w:r>
    </w:p>
    <w:p w14:paraId="50B7D48F" w14:textId="77777777" w:rsidR="00DB6835" w:rsidRDefault="00DB6835" w:rsidP="00DB6835">
      <w:pPr>
        <w:pStyle w:val="AnnexGrSeq3"/>
        <w:spacing w:after="160"/>
        <w:ind w:left="500"/>
        <w:jc w:val="both"/>
      </w:pPr>
      <w:r>
        <w:rPr>
          <w:i/>
        </w:rPr>
        <w:t>Lýsing á starfseminni</w:t>
      </w:r>
    </w:p>
    <w:p w14:paraId="376254EE" w14:textId="77777777" w:rsidR="00DB6835" w:rsidRDefault="00DB6835" w:rsidP="00DB6835">
      <w:pPr>
        <w:pStyle w:val="AnnexNormal"/>
        <w:spacing w:after="160"/>
        <w:ind w:left="500"/>
      </w:pPr>
      <w:r>
        <w:t xml:space="preserve">Einstakar ráðstafanir til endurnýjunar sem samanstanda af uppsetningu, viðhaldi eða viðgerðum á </w:t>
      </w:r>
      <w:proofErr w:type="spellStart"/>
      <w:r>
        <w:t>orkunýtnum</w:t>
      </w:r>
      <w:proofErr w:type="spellEnd"/>
      <w:r>
        <w:t xml:space="preserve"> búnaði.</w:t>
      </w:r>
    </w:p>
    <w:p w14:paraId="52610647" w14:textId="77777777" w:rsidR="00DB6835" w:rsidRDefault="00DB6835" w:rsidP="00DB6835">
      <w:pPr>
        <w:pStyle w:val="AnnexNormal"/>
        <w:spacing w:after="160"/>
        <w:ind w:left="500"/>
      </w:pPr>
      <w:r>
        <w:t>Atvinnustarfsemin í þessum flokki gæti tengst nokkrum kóðum atvinnugreinaflokkunar Evrópusambandsins, einkum F42, F43, M71, C16, C17, C22, C23, C25, C27, C28, S95.21, S95.22 og C33.12, í samræmi við atvinnugreinaflokkunina sem komið var á með reglugerð (EB) nr. 1893/2006.</w:t>
      </w:r>
    </w:p>
    <w:p w14:paraId="6F3AA722" w14:textId="77777777" w:rsidR="00DB6835" w:rsidRDefault="00DB6835" w:rsidP="00DB6835">
      <w:pPr>
        <w:pStyle w:val="AnnexNormal"/>
        <w:spacing w:after="16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382ABF49" w14:textId="77777777" w:rsidR="00DB6835" w:rsidRDefault="00DB6835" w:rsidP="00DB6835">
      <w:pPr>
        <w:pStyle w:val="AnnexGrSeq3"/>
        <w:spacing w:after="1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36"/>
        <w:gridCol w:w="5904"/>
      </w:tblGrid>
      <w:tr w:rsidR="00DB6835" w14:paraId="21121957"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5AF917C7"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B90108A" w14:textId="77777777" w:rsidTr="00A9140F">
        <w:trPr>
          <w:trHeight w:val="360"/>
        </w:trPr>
        <w:tc>
          <w:tcPr>
            <w:tcW w:w="8740" w:type="dxa"/>
            <w:gridSpan w:val="2"/>
            <w:tcBorders>
              <w:bottom w:val="nil"/>
            </w:tcBorders>
            <w:tcMar>
              <w:top w:w="100" w:type="dxa"/>
              <w:left w:w="0" w:type="dxa"/>
              <w:bottom w:w="100" w:type="dxa"/>
              <w:right w:w="60" w:type="dxa"/>
            </w:tcMar>
          </w:tcPr>
          <w:p w14:paraId="4E62F599" w14:textId="77777777" w:rsidR="00DB6835" w:rsidRDefault="00DB6835" w:rsidP="00A9140F">
            <w:pPr>
              <w:pStyle w:val="AnnexTableCellLeft"/>
              <w:spacing w:after="240"/>
            </w:pPr>
            <w:r>
              <w:t xml:space="preserve">Starfsemin samanstendur af einni af eftirfarandi einstökum ráðstöfunum, að því tilskildu að þær uppfylli lágmarkskröfur sem eru fastsettar fyrir einstaka íhluti og kerfi í gildandi landsráðstöfunum til framkvæmdar tilskipun 2010/31/ESB og, eftir atvikum, falli undir tvo hæstu </w:t>
            </w:r>
            <w:proofErr w:type="spellStart"/>
            <w:r>
              <w:t>orkunýtniflokkana</w:t>
            </w:r>
            <w:proofErr w:type="spellEnd"/>
            <w:r>
              <w:t xml:space="preserve"> sem eru í notkun í samræmi við reglugerð (ESB) 2017/1369 og framseldar gerðir sem samþykktar voru samkvæmt þeirri reglugerð:</w:t>
            </w:r>
          </w:p>
          <w:p w14:paraId="4574C400" w14:textId="77777777" w:rsidR="00DB6835" w:rsidRDefault="00DB6835" w:rsidP="00A9140F">
            <w:pPr>
              <w:pStyle w:val="AnnexNumberedText"/>
              <w:spacing w:after="0"/>
            </w:pPr>
            <w:r>
              <w:t>a)</w:t>
            </w:r>
            <w:r>
              <w:tab/>
              <w:t xml:space="preserve">einangrun bætt við veðurhlífaríhluti sem fyrir eru, s.s. útveggi (þ.m.t. veggir sem eru þaktir gróðri), þök (þ.m.t. þök sem eru þakin gróðri), háaloft, kjallara og jarðhæðir (þ.m.t. ráðstafanir til að tryggja </w:t>
            </w:r>
            <w:proofErr w:type="spellStart"/>
            <w:r>
              <w:t>loftþéttni</w:t>
            </w:r>
            <w:proofErr w:type="spellEnd"/>
            <w:r>
              <w:t>, ráðstafanir til að draga úr áhrifum kuldabrúa og verkpalla) og vörur til að setja einangrunina á veðurhlífina (þ.m.t. festingar og lím</w:t>
            </w:r>
            <w:r>
              <w:lastRenderedPageBreak/>
              <w:t>efni),</w:t>
            </w:r>
          </w:p>
        </w:tc>
      </w:tr>
      <w:tr w:rsidR="00DB6835" w14:paraId="4BC117CD" w14:textId="77777777" w:rsidTr="00A9140F">
        <w:trPr>
          <w:trHeight w:val="360"/>
        </w:trPr>
        <w:tc>
          <w:tcPr>
            <w:tcW w:w="8740" w:type="dxa"/>
            <w:gridSpan w:val="2"/>
            <w:tcBorders>
              <w:top w:val="nil"/>
            </w:tcBorders>
            <w:tcMar>
              <w:top w:w="100" w:type="dxa"/>
              <w:left w:w="0" w:type="dxa"/>
              <w:bottom w:w="100" w:type="dxa"/>
              <w:right w:w="60" w:type="dxa"/>
            </w:tcMar>
          </w:tcPr>
          <w:p w14:paraId="50D73E1F" w14:textId="77777777" w:rsidR="00DB6835" w:rsidRDefault="00DB6835" w:rsidP="00A9140F">
            <w:pPr>
              <w:pStyle w:val="AnnexNumberedText"/>
              <w:pageBreakBefore/>
              <w:spacing w:after="240"/>
            </w:pPr>
            <w:r>
              <w:lastRenderedPageBreak/>
              <w:t>b)</w:t>
            </w:r>
            <w:r>
              <w:tab/>
              <w:t xml:space="preserve">gluggum sem fyrir eru er skipt út fyrir nýja </w:t>
            </w:r>
            <w:proofErr w:type="spellStart"/>
            <w:r>
              <w:t>orkunýtna</w:t>
            </w:r>
            <w:proofErr w:type="spellEnd"/>
            <w:r>
              <w:t xml:space="preserve"> glugga,</w:t>
            </w:r>
          </w:p>
          <w:p w14:paraId="6C7709BE" w14:textId="77777777" w:rsidR="00DB6835" w:rsidRDefault="00DB6835" w:rsidP="00A9140F">
            <w:pPr>
              <w:pStyle w:val="AnnexNumberedText"/>
              <w:spacing w:after="240"/>
            </w:pPr>
            <w:r>
              <w:t>c)</w:t>
            </w:r>
            <w:r>
              <w:tab/>
              <w:t xml:space="preserve">útihurðum sem fyrir eru er skipt út fyrir nýjar </w:t>
            </w:r>
            <w:proofErr w:type="spellStart"/>
            <w:r>
              <w:t>orkunýtnar</w:t>
            </w:r>
            <w:proofErr w:type="spellEnd"/>
            <w:r>
              <w:t xml:space="preserve"> hurðir,</w:t>
            </w:r>
          </w:p>
          <w:p w14:paraId="2DBDC01A" w14:textId="77777777" w:rsidR="00DB6835" w:rsidRDefault="00DB6835" w:rsidP="00A9140F">
            <w:pPr>
              <w:pStyle w:val="AnnexNumberedText"/>
              <w:spacing w:after="240"/>
            </w:pPr>
            <w:r>
              <w:t>d)</w:t>
            </w:r>
            <w:r>
              <w:tab/>
              <w:t xml:space="preserve">uppsetning og útskipti á </w:t>
            </w:r>
            <w:proofErr w:type="spellStart"/>
            <w:r>
              <w:t>orkunýtnum</w:t>
            </w:r>
            <w:proofErr w:type="spellEnd"/>
            <w:r>
              <w:t xml:space="preserve"> ljósgjöfum,</w:t>
            </w:r>
          </w:p>
          <w:p w14:paraId="637F6582" w14:textId="77777777" w:rsidR="00DB6835" w:rsidRDefault="00DB6835" w:rsidP="00A9140F">
            <w:pPr>
              <w:pStyle w:val="AnnexNumberedText"/>
              <w:spacing w:after="240"/>
            </w:pPr>
            <w:r>
              <w:t>e)</w:t>
            </w:r>
            <w:r>
              <w:tab/>
              <w:t xml:space="preserve">uppsetning, útskipti, viðhald og viðgerðir á hita-, loftræsti- og loftjöfnunarkerfum og vatnshitakerfum, þ.m.t. búnaður sem tengist </w:t>
            </w:r>
            <w:proofErr w:type="spellStart"/>
            <w:r>
              <w:t>fjarhitunarþjónustu</w:t>
            </w:r>
            <w:proofErr w:type="spellEnd"/>
            <w:r>
              <w:t>, með hánýtinni tækni,</w:t>
            </w:r>
          </w:p>
          <w:p w14:paraId="296611AE" w14:textId="77777777" w:rsidR="00DB6835" w:rsidRDefault="00DB6835" w:rsidP="00A9140F">
            <w:pPr>
              <w:pStyle w:val="AnnexNumberedText"/>
            </w:pPr>
            <w:r>
              <w:t>f)</w:t>
            </w:r>
            <w:r>
              <w:tab/>
              <w:t xml:space="preserve">uppsetning vatns- og </w:t>
            </w:r>
            <w:proofErr w:type="spellStart"/>
            <w:r>
              <w:t>orkusparandi</w:t>
            </w:r>
            <w:proofErr w:type="spellEnd"/>
            <w:r>
              <w:t xml:space="preserve"> vatnsbúnaðar í eldhúsum og baðherbergjum sem uppfyllir tækniforskriftirnar sem settar eru fram í viðbæti E við þennan viðauka og, ef um er að ræða sturtulausnir, hámarksvatnsflæði blöndunarbúnaðar, frárennslis og krana á sturtum nemur 6 l/mín eða minna, sem er staðfest með fyrirliggjandi merkimiða á markaði Sambandsins.</w:t>
            </w:r>
          </w:p>
        </w:tc>
      </w:tr>
      <w:tr w:rsidR="00DB6835" w14:paraId="2520315D" w14:textId="77777777" w:rsidTr="00A9140F">
        <w:trPr>
          <w:trHeight w:val="240"/>
        </w:trPr>
        <w:tc>
          <w:tcPr>
            <w:tcW w:w="8740" w:type="dxa"/>
            <w:gridSpan w:val="2"/>
            <w:tcMar>
              <w:top w:w="100" w:type="dxa"/>
              <w:left w:w="0" w:type="dxa"/>
              <w:bottom w:w="100" w:type="dxa"/>
              <w:right w:w="60" w:type="dxa"/>
            </w:tcMar>
          </w:tcPr>
          <w:p w14:paraId="49BAFA46" w14:textId="77777777" w:rsidR="00DB6835" w:rsidRDefault="00DB6835" w:rsidP="00A9140F">
            <w:pPr>
              <w:pStyle w:val="AnnexTableCellLeft"/>
            </w:pPr>
            <w:r>
              <w:t>Ekki valda umtalsverðu tjóni</w:t>
            </w:r>
          </w:p>
        </w:tc>
      </w:tr>
      <w:tr w:rsidR="00DB6835" w14:paraId="541CC7D8" w14:textId="77777777" w:rsidTr="00A9140F">
        <w:trPr>
          <w:trHeight w:val="360"/>
        </w:trPr>
        <w:tc>
          <w:tcPr>
            <w:tcW w:w="2836" w:type="dxa"/>
            <w:tcMar>
              <w:top w:w="100" w:type="dxa"/>
              <w:left w:w="0" w:type="dxa"/>
              <w:bottom w:w="100" w:type="dxa"/>
              <w:right w:w="60" w:type="dxa"/>
            </w:tcMar>
          </w:tcPr>
          <w:p w14:paraId="5F127FC5" w14:textId="77777777" w:rsidR="00DB6835" w:rsidRDefault="00DB6835" w:rsidP="00A9140F">
            <w:pPr>
              <w:pStyle w:val="AnnexNumberedText"/>
              <w:ind w:left="293" w:hanging="293"/>
            </w:pPr>
            <w:r>
              <w:t>2)</w:t>
            </w:r>
            <w:r>
              <w:tab/>
              <w:t>Aðlögun að loftslagsbreytingum</w:t>
            </w:r>
          </w:p>
        </w:tc>
        <w:tc>
          <w:tcPr>
            <w:tcW w:w="5904" w:type="dxa"/>
            <w:tcMar>
              <w:top w:w="100" w:type="dxa"/>
              <w:left w:w="40" w:type="dxa"/>
              <w:bottom w:w="100" w:type="dxa"/>
              <w:right w:w="0" w:type="dxa"/>
            </w:tcMar>
          </w:tcPr>
          <w:p w14:paraId="63BC913D" w14:textId="77777777" w:rsidR="00DB6835" w:rsidRDefault="00DB6835" w:rsidP="00A9140F">
            <w:pPr>
              <w:pStyle w:val="AnnexTableCellLeft"/>
            </w:pPr>
            <w:r>
              <w:t>Starfsemin er í samræmi við viðmiðanirnar sem settar eru fram í viðbæti A við þennan viðauka.</w:t>
            </w:r>
          </w:p>
        </w:tc>
      </w:tr>
      <w:tr w:rsidR="00DB6835" w14:paraId="471930D1" w14:textId="77777777" w:rsidTr="00A9140F">
        <w:trPr>
          <w:trHeight w:val="360"/>
        </w:trPr>
        <w:tc>
          <w:tcPr>
            <w:tcW w:w="2836" w:type="dxa"/>
            <w:tcMar>
              <w:top w:w="100" w:type="dxa"/>
              <w:left w:w="0" w:type="dxa"/>
              <w:bottom w:w="100" w:type="dxa"/>
              <w:right w:w="60" w:type="dxa"/>
            </w:tcMar>
          </w:tcPr>
          <w:p w14:paraId="6F2B9EE1" w14:textId="77777777" w:rsidR="00DB6835" w:rsidRDefault="00DB6835" w:rsidP="00A9140F">
            <w:pPr>
              <w:pStyle w:val="AnnexNumberedText"/>
              <w:ind w:left="293" w:hanging="293"/>
            </w:pPr>
            <w:r>
              <w:t>3)</w:t>
            </w:r>
            <w:r>
              <w:tab/>
              <w:t>Sjálfbær notkun og verndun vatns- og sjávarauðlinda</w:t>
            </w:r>
          </w:p>
        </w:tc>
        <w:tc>
          <w:tcPr>
            <w:tcW w:w="5904" w:type="dxa"/>
            <w:tcMar>
              <w:top w:w="100" w:type="dxa"/>
              <w:left w:w="40" w:type="dxa"/>
              <w:bottom w:w="100" w:type="dxa"/>
              <w:right w:w="0" w:type="dxa"/>
            </w:tcMar>
          </w:tcPr>
          <w:p w14:paraId="777B0FC7" w14:textId="77777777" w:rsidR="00DB6835" w:rsidRDefault="00DB6835" w:rsidP="00A9140F">
            <w:pPr>
              <w:pStyle w:val="AnnexTableCellLeft"/>
            </w:pPr>
            <w:r>
              <w:t>Á ekki við</w:t>
            </w:r>
          </w:p>
        </w:tc>
      </w:tr>
      <w:tr w:rsidR="00DB6835" w14:paraId="13A3C103" w14:textId="77777777" w:rsidTr="00A9140F">
        <w:trPr>
          <w:trHeight w:val="360"/>
        </w:trPr>
        <w:tc>
          <w:tcPr>
            <w:tcW w:w="2836" w:type="dxa"/>
            <w:tcMar>
              <w:top w:w="100" w:type="dxa"/>
              <w:left w:w="0" w:type="dxa"/>
              <w:bottom w:w="100" w:type="dxa"/>
              <w:right w:w="60" w:type="dxa"/>
            </w:tcMar>
          </w:tcPr>
          <w:p w14:paraId="2C728E94" w14:textId="77777777" w:rsidR="00DB6835" w:rsidRDefault="00DB6835" w:rsidP="00A9140F">
            <w:pPr>
              <w:pStyle w:val="AnnexNumberedText"/>
              <w:ind w:left="293" w:hanging="293"/>
            </w:pPr>
            <w:r>
              <w:t>4)</w:t>
            </w:r>
            <w:r>
              <w:tab/>
              <w:t>Umskipti yfir í hringrásarhagkerfi</w:t>
            </w:r>
          </w:p>
        </w:tc>
        <w:tc>
          <w:tcPr>
            <w:tcW w:w="5904" w:type="dxa"/>
            <w:tcMar>
              <w:top w:w="100" w:type="dxa"/>
              <w:left w:w="40" w:type="dxa"/>
              <w:bottom w:w="100" w:type="dxa"/>
              <w:right w:w="0" w:type="dxa"/>
            </w:tcMar>
          </w:tcPr>
          <w:p w14:paraId="41D496A3" w14:textId="77777777" w:rsidR="00DB6835" w:rsidRDefault="00DB6835" w:rsidP="00A9140F">
            <w:pPr>
              <w:pStyle w:val="AnnexTableCellLeft"/>
            </w:pPr>
            <w:r>
              <w:t>Á ekki við</w:t>
            </w:r>
          </w:p>
        </w:tc>
      </w:tr>
      <w:tr w:rsidR="00DB6835" w14:paraId="20236334" w14:textId="77777777" w:rsidTr="00A9140F">
        <w:trPr>
          <w:trHeight w:val="360"/>
        </w:trPr>
        <w:tc>
          <w:tcPr>
            <w:tcW w:w="2836" w:type="dxa"/>
            <w:tcMar>
              <w:top w:w="100" w:type="dxa"/>
              <w:left w:w="0" w:type="dxa"/>
              <w:bottom w:w="100" w:type="dxa"/>
              <w:right w:w="60" w:type="dxa"/>
            </w:tcMar>
          </w:tcPr>
          <w:p w14:paraId="0C3042BF" w14:textId="77777777" w:rsidR="00DB6835" w:rsidRDefault="00DB6835" w:rsidP="00A9140F">
            <w:pPr>
              <w:pStyle w:val="AnnexNumberedText"/>
              <w:ind w:left="293" w:hanging="293"/>
            </w:pPr>
            <w:r>
              <w:t>5)</w:t>
            </w:r>
            <w:r>
              <w:tab/>
              <w:t>Mengunarvarnir og eftirlit með mengun</w:t>
            </w:r>
          </w:p>
        </w:tc>
        <w:tc>
          <w:tcPr>
            <w:tcW w:w="5904" w:type="dxa"/>
            <w:tcMar>
              <w:top w:w="100" w:type="dxa"/>
              <w:left w:w="40" w:type="dxa"/>
              <w:bottom w:w="100" w:type="dxa"/>
              <w:right w:w="0" w:type="dxa"/>
            </w:tcMar>
          </w:tcPr>
          <w:p w14:paraId="327D44C5" w14:textId="77777777" w:rsidR="00DB6835" w:rsidRDefault="00DB6835" w:rsidP="00A9140F">
            <w:pPr>
              <w:pStyle w:val="AnnexTableCellLeft"/>
              <w:spacing w:after="240"/>
            </w:pPr>
            <w:r>
              <w:t>Byggingaríhlutir og byggingarefni uppfylla viðmiðanirnar sem settar eru fram í viðbæti C við þennan viðauka.</w:t>
            </w:r>
          </w:p>
          <w:p w14:paraId="0AC419EE" w14:textId="77777777" w:rsidR="00DB6835" w:rsidRDefault="00DB6835" w:rsidP="00A9140F">
            <w:pPr>
              <w:pStyle w:val="AnnexTableCellLeft"/>
            </w:pPr>
            <w:r>
              <w:t xml:space="preserve">Ef um er að ræða að varmaeinangrun er bætt á veðurhlíf sem fyrir er framkvæmir til þess bær sérfræðingur, sem er þjálfaður í rannsóknum á asbesti, byggingarrannsókn í samræmi við landslög. </w:t>
            </w:r>
            <w:proofErr w:type="spellStart"/>
            <w:r>
              <w:t>Sundurtaka</w:t>
            </w:r>
            <w:proofErr w:type="spellEnd"/>
            <w:r>
              <w:t xml:space="preserve"> einangrunarefnis sem inniheldur eða er líkleg til að innihalda asbest, brot eða vélræn borun eða </w:t>
            </w:r>
            <w:proofErr w:type="spellStart"/>
            <w:r>
              <w:t>skrúfun</w:t>
            </w:r>
            <w:proofErr w:type="spellEnd"/>
            <w:r>
              <w:t xml:space="preserve"> eða </w:t>
            </w:r>
            <w:proofErr w:type="spellStart"/>
            <w:r>
              <w:t>fjarlæging</w:t>
            </w:r>
            <w:proofErr w:type="spellEnd"/>
            <w:r>
              <w:t xml:space="preserve"> </w:t>
            </w:r>
            <w:proofErr w:type="spellStart"/>
            <w:r>
              <w:t>einangrunaplatna</w:t>
            </w:r>
            <w:proofErr w:type="spellEnd"/>
            <w:r>
              <w:t>, flísa og annars efniviðar sem inniheldur asbest er framkvæmd af starfsfólki sem hefur hlotið viðeigandi þjálfun, með heilbrigðiseftirliti fyrir, á meðan og eftir vinnuna, í samræmi við landslög.</w:t>
            </w:r>
          </w:p>
        </w:tc>
      </w:tr>
      <w:tr w:rsidR="00DB6835" w14:paraId="6FE02FB4" w14:textId="77777777" w:rsidTr="00A9140F">
        <w:trPr>
          <w:trHeight w:val="360"/>
        </w:trPr>
        <w:tc>
          <w:tcPr>
            <w:tcW w:w="2836" w:type="dxa"/>
            <w:tcMar>
              <w:top w:w="100" w:type="dxa"/>
              <w:left w:w="0" w:type="dxa"/>
              <w:bottom w:w="100" w:type="dxa"/>
              <w:right w:w="60" w:type="dxa"/>
            </w:tcMar>
          </w:tcPr>
          <w:p w14:paraId="08A18E05" w14:textId="77777777" w:rsidR="00DB6835" w:rsidRDefault="00DB6835" w:rsidP="00A9140F">
            <w:pPr>
              <w:pStyle w:val="AnnexNumberedText"/>
              <w:ind w:left="293" w:hanging="293"/>
            </w:pPr>
            <w:r>
              <w:t>6)</w:t>
            </w:r>
            <w:r>
              <w:tab/>
              <w:t>Vernd og endurheimt líffræðilegrar fjölbreytni og vistkerfa</w:t>
            </w:r>
          </w:p>
        </w:tc>
        <w:tc>
          <w:tcPr>
            <w:tcW w:w="5904" w:type="dxa"/>
            <w:tcMar>
              <w:top w:w="100" w:type="dxa"/>
              <w:left w:w="40" w:type="dxa"/>
              <w:bottom w:w="100" w:type="dxa"/>
              <w:right w:w="0" w:type="dxa"/>
            </w:tcMar>
          </w:tcPr>
          <w:p w14:paraId="38D21E46" w14:textId="77777777" w:rsidR="00DB6835" w:rsidRDefault="00DB6835" w:rsidP="00A9140F">
            <w:pPr>
              <w:pStyle w:val="AnnexTableCellLeft"/>
            </w:pPr>
            <w:r>
              <w:t>Á ekki við</w:t>
            </w:r>
          </w:p>
        </w:tc>
      </w:tr>
    </w:tbl>
    <w:p w14:paraId="06930926" w14:textId="77777777" w:rsidR="00DB6835" w:rsidRDefault="00DB6835" w:rsidP="00DB6835">
      <w:pPr>
        <w:pStyle w:val="AnnexNumberedText"/>
        <w:spacing w:before="200" w:after="240"/>
        <w:ind w:left="500" w:hanging="500"/>
      </w:pPr>
      <w:r>
        <w:t>7.4.</w:t>
      </w:r>
      <w:r>
        <w:rPr>
          <w:b/>
        </w:rPr>
        <w:tab/>
        <w:t xml:space="preserve">Uppsetning, viðhald og viðgerðir á hleðslustöðvum fyrir </w:t>
      </w:r>
      <w:proofErr w:type="spellStart"/>
      <w:r>
        <w:rPr>
          <w:b/>
        </w:rPr>
        <w:t>rafknúin</w:t>
      </w:r>
      <w:proofErr w:type="spellEnd"/>
      <w:r>
        <w:rPr>
          <w:b/>
        </w:rPr>
        <w:t xml:space="preserve"> ökutæki í byggingum (og bílastæðum sem eru tengd byggingum)</w:t>
      </w:r>
    </w:p>
    <w:p w14:paraId="51D2BAEA" w14:textId="77777777" w:rsidR="00DB6835" w:rsidRDefault="00DB6835" w:rsidP="00DB6835">
      <w:pPr>
        <w:pStyle w:val="AnnexGrSeq3"/>
        <w:spacing w:after="240"/>
        <w:ind w:left="500"/>
        <w:jc w:val="both"/>
      </w:pPr>
      <w:r>
        <w:rPr>
          <w:i/>
        </w:rPr>
        <w:t>Lýsing á starfseminni</w:t>
      </w:r>
    </w:p>
    <w:p w14:paraId="1C59811F" w14:textId="77777777" w:rsidR="00DB6835" w:rsidRDefault="00DB6835" w:rsidP="00DB6835">
      <w:pPr>
        <w:pStyle w:val="AnnexNormal"/>
        <w:spacing w:after="240"/>
        <w:ind w:left="500"/>
      </w:pPr>
      <w:r>
        <w:t xml:space="preserve">Uppsetning, viðhald og viðgerðir á hleðslustöðvum fyrir </w:t>
      </w:r>
      <w:proofErr w:type="spellStart"/>
      <w:r>
        <w:t>rafknúin</w:t>
      </w:r>
      <w:proofErr w:type="spellEnd"/>
      <w:r>
        <w:t xml:space="preserve"> ökutæki í byggingum (og bílastæðum sem eru tengd byggingum).</w:t>
      </w:r>
    </w:p>
    <w:p w14:paraId="30BB3B22" w14:textId="77777777" w:rsidR="00DB6835" w:rsidRDefault="00DB6835" w:rsidP="00DB6835">
      <w:pPr>
        <w:pStyle w:val="AnnexNormal"/>
        <w:spacing w:after="240"/>
        <w:ind w:left="500"/>
      </w:pPr>
      <w:r>
        <w:t>Atvinnustarfsemin í þessum flokki gæti tengst nokkrum kóðum atvinnugreinaflokkunar Evrópusambandsins, einkum F42, F43, M71, C16, C17, C22, C23, C25, C27 eða C28, í samræmi við atvinnugreinaflokkunina sem komið var á með reglugerð (EB) nr. 1893/2006.</w:t>
      </w:r>
    </w:p>
    <w:p w14:paraId="19D85C06" w14:textId="77777777" w:rsidR="00DB6835" w:rsidRDefault="00DB6835" w:rsidP="00DB6835">
      <w:pPr>
        <w:pStyle w:val="AnnexNormal"/>
        <w:spacing w:after="24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1C4F0F66" w14:textId="77777777" w:rsidR="00DB6835" w:rsidRDefault="00DB6835" w:rsidP="00DB6835">
      <w:pPr>
        <w:pStyle w:val="AnnexGrSeq3"/>
        <w:spacing w:after="240"/>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776"/>
        <w:gridCol w:w="5964"/>
      </w:tblGrid>
      <w:tr w:rsidR="00DB6835" w14:paraId="6726CB90"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200E7EE5"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ECBE2D3" w14:textId="77777777" w:rsidTr="00A9140F">
        <w:trPr>
          <w:trHeight w:val="240"/>
        </w:trPr>
        <w:tc>
          <w:tcPr>
            <w:tcW w:w="8740" w:type="dxa"/>
            <w:gridSpan w:val="2"/>
            <w:tcBorders>
              <w:bottom w:val="nil"/>
            </w:tcBorders>
            <w:tcMar>
              <w:top w:w="100" w:type="dxa"/>
              <w:left w:w="0" w:type="dxa"/>
              <w:bottom w:w="100" w:type="dxa"/>
              <w:right w:w="60" w:type="dxa"/>
            </w:tcMar>
          </w:tcPr>
          <w:p w14:paraId="565C523D" w14:textId="77777777" w:rsidR="00DB6835" w:rsidRDefault="00DB6835" w:rsidP="00A9140F">
            <w:pPr>
              <w:pStyle w:val="AnnexTableCellLeft"/>
            </w:pPr>
            <w:r>
              <w:t xml:space="preserve">Uppsetning, viðhald eða viðgerðir á hleðslustöðvum fyrir </w:t>
            </w:r>
            <w:proofErr w:type="spellStart"/>
            <w:r>
              <w:t>rafknúin</w:t>
            </w:r>
            <w:proofErr w:type="spellEnd"/>
            <w:r>
              <w:t xml:space="preserve"> ökutæki.</w:t>
            </w:r>
          </w:p>
        </w:tc>
      </w:tr>
      <w:tr w:rsidR="00DB6835" w14:paraId="74F4A9BA"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5EC98B5F" w14:textId="77777777" w:rsidR="00DB6835" w:rsidRDefault="00DB6835" w:rsidP="00A9140F">
            <w:pPr>
              <w:pStyle w:val="AnnexTableCellLeft"/>
              <w:pageBreakBefore/>
            </w:pPr>
            <w:r>
              <w:lastRenderedPageBreak/>
              <w:t>Ekki valda umtalsverðu tjóni</w:t>
            </w:r>
          </w:p>
        </w:tc>
      </w:tr>
      <w:tr w:rsidR="00DB6835" w14:paraId="05EB6D41" w14:textId="77777777" w:rsidTr="00A9140F">
        <w:trPr>
          <w:trHeight w:val="360"/>
        </w:trPr>
        <w:tc>
          <w:tcPr>
            <w:tcW w:w="2776" w:type="dxa"/>
            <w:tcMar>
              <w:top w:w="100" w:type="dxa"/>
              <w:left w:w="0" w:type="dxa"/>
              <w:bottom w:w="100" w:type="dxa"/>
              <w:right w:w="60" w:type="dxa"/>
            </w:tcMar>
          </w:tcPr>
          <w:p w14:paraId="69204C30" w14:textId="77777777" w:rsidR="00DB6835" w:rsidRDefault="00DB6835" w:rsidP="00A9140F">
            <w:pPr>
              <w:pStyle w:val="AnnexNumberedText"/>
            </w:pPr>
            <w:r>
              <w:t>2)</w:t>
            </w:r>
            <w:r>
              <w:tab/>
              <w:t>Aðlögun að loftslagsbreytingum</w:t>
            </w:r>
          </w:p>
        </w:tc>
        <w:tc>
          <w:tcPr>
            <w:tcW w:w="5964" w:type="dxa"/>
            <w:tcMar>
              <w:top w:w="100" w:type="dxa"/>
              <w:left w:w="40" w:type="dxa"/>
              <w:bottom w:w="100" w:type="dxa"/>
              <w:right w:w="0" w:type="dxa"/>
            </w:tcMar>
          </w:tcPr>
          <w:p w14:paraId="1717C4F3" w14:textId="77777777" w:rsidR="00DB6835" w:rsidRDefault="00DB6835" w:rsidP="00A9140F">
            <w:pPr>
              <w:pStyle w:val="AnnexTableCellLeft"/>
            </w:pPr>
            <w:r>
              <w:t>Starfsemin er í samræmi við viðmiðanirnar sem settar eru fram í viðbæti A við þennan viðauka.</w:t>
            </w:r>
          </w:p>
        </w:tc>
      </w:tr>
      <w:tr w:rsidR="00DB6835" w14:paraId="741E96C8" w14:textId="77777777" w:rsidTr="00A9140F">
        <w:trPr>
          <w:trHeight w:val="360"/>
        </w:trPr>
        <w:tc>
          <w:tcPr>
            <w:tcW w:w="2776" w:type="dxa"/>
            <w:tcMar>
              <w:top w:w="100" w:type="dxa"/>
              <w:left w:w="0" w:type="dxa"/>
              <w:bottom w:w="100" w:type="dxa"/>
              <w:right w:w="60" w:type="dxa"/>
            </w:tcMar>
          </w:tcPr>
          <w:p w14:paraId="33CB1B53" w14:textId="77777777" w:rsidR="00DB6835" w:rsidRDefault="00DB6835" w:rsidP="00A9140F">
            <w:pPr>
              <w:pStyle w:val="AnnexNumberedText"/>
            </w:pPr>
            <w:r>
              <w:t>3)</w:t>
            </w:r>
            <w:r>
              <w:tab/>
              <w:t>Sjálfbær notkun og verndun vatns- og sjávarauðlinda</w:t>
            </w:r>
          </w:p>
        </w:tc>
        <w:tc>
          <w:tcPr>
            <w:tcW w:w="5964" w:type="dxa"/>
            <w:tcMar>
              <w:top w:w="100" w:type="dxa"/>
              <w:left w:w="40" w:type="dxa"/>
              <w:bottom w:w="100" w:type="dxa"/>
              <w:right w:w="0" w:type="dxa"/>
            </w:tcMar>
          </w:tcPr>
          <w:p w14:paraId="11E40849" w14:textId="77777777" w:rsidR="00DB6835" w:rsidRDefault="00DB6835" w:rsidP="00A9140F">
            <w:pPr>
              <w:pStyle w:val="AnnexTableCellLeft"/>
            </w:pPr>
            <w:r>
              <w:t>Á ekki við</w:t>
            </w:r>
          </w:p>
        </w:tc>
      </w:tr>
      <w:tr w:rsidR="00DB6835" w14:paraId="2A450C86" w14:textId="77777777" w:rsidTr="00A9140F">
        <w:trPr>
          <w:trHeight w:val="360"/>
        </w:trPr>
        <w:tc>
          <w:tcPr>
            <w:tcW w:w="2776" w:type="dxa"/>
            <w:tcMar>
              <w:top w:w="100" w:type="dxa"/>
              <w:left w:w="0" w:type="dxa"/>
              <w:bottom w:w="100" w:type="dxa"/>
              <w:right w:w="60" w:type="dxa"/>
            </w:tcMar>
          </w:tcPr>
          <w:p w14:paraId="548B74AF" w14:textId="77777777" w:rsidR="00DB6835" w:rsidRDefault="00DB6835" w:rsidP="00A9140F">
            <w:pPr>
              <w:pStyle w:val="AnnexNumberedText"/>
            </w:pPr>
            <w:r>
              <w:t>4)</w:t>
            </w:r>
            <w:r>
              <w:tab/>
              <w:t>Umskipti yfir í hringrásarhagkerfi</w:t>
            </w:r>
          </w:p>
        </w:tc>
        <w:tc>
          <w:tcPr>
            <w:tcW w:w="5964" w:type="dxa"/>
            <w:tcMar>
              <w:top w:w="100" w:type="dxa"/>
              <w:left w:w="40" w:type="dxa"/>
              <w:bottom w:w="100" w:type="dxa"/>
              <w:right w:w="0" w:type="dxa"/>
            </w:tcMar>
          </w:tcPr>
          <w:p w14:paraId="05084B7F" w14:textId="77777777" w:rsidR="00DB6835" w:rsidRDefault="00DB6835" w:rsidP="00A9140F">
            <w:pPr>
              <w:pStyle w:val="AnnexTableCellLeft"/>
            </w:pPr>
            <w:r>
              <w:t>Á ekki við</w:t>
            </w:r>
          </w:p>
        </w:tc>
      </w:tr>
      <w:tr w:rsidR="00DB6835" w14:paraId="0CF6A922" w14:textId="77777777" w:rsidTr="00A9140F">
        <w:trPr>
          <w:trHeight w:val="360"/>
        </w:trPr>
        <w:tc>
          <w:tcPr>
            <w:tcW w:w="2776" w:type="dxa"/>
            <w:tcMar>
              <w:top w:w="100" w:type="dxa"/>
              <w:left w:w="0" w:type="dxa"/>
              <w:bottom w:w="100" w:type="dxa"/>
              <w:right w:w="60" w:type="dxa"/>
            </w:tcMar>
          </w:tcPr>
          <w:p w14:paraId="35FE2BCD" w14:textId="77777777" w:rsidR="00DB6835" w:rsidRDefault="00DB6835" w:rsidP="00A9140F">
            <w:pPr>
              <w:pStyle w:val="AnnexNumberedText"/>
            </w:pPr>
            <w:r>
              <w:t>5)</w:t>
            </w:r>
            <w:r>
              <w:tab/>
              <w:t>Mengunarvarnir og eftirlit með mengun</w:t>
            </w:r>
          </w:p>
        </w:tc>
        <w:tc>
          <w:tcPr>
            <w:tcW w:w="5964" w:type="dxa"/>
            <w:tcMar>
              <w:top w:w="100" w:type="dxa"/>
              <w:left w:w="40" w:type="dxa"/>
              <w:bottom w:w="100" w:type="dxa"/>
              <w:right w:w="0" w:type="dxa"/>
            </w:tcMar>
          </w:tcPr>
          <w:p w14:paraId="72E31702" w14:textId="77777777" w:rsidR="00DB6835" w:rsidRDefault="00DB6835" w:rsidP="00A9140F">
            <w:pPr>
              <w:pStyle w:val="AnnexTableCellLeft"/>
            </w:pPr>
            <w:r>
              <w:t>Á ekki við</w:t>
            </w:r>
          </w:p>
        </w:tc>
      </w:tr>
      <w:tr w:rsidR="00DB6835" w14:paraId="7E65E088" w14:textId="77777777" w:rsidTr="00A9140F">
        <w:trPr>
          <w:trHeight w:val="360"/>
        </w:trPr>
        <w:tc>
          <w:tcPr>
            <w:tcW w:w="2776" w:type="dxa"/>
            <w:tcMar>
              <w:top w:w="100" w:type="dxa"/>
              <w:left w:w="0" w:type="dxa"/>
              <w:bottom w:w="100" w:type="dxa"/>
              <w:right w:w="60" w:type="dxa"/>
            </w:tcMar>
          </w:tcPr>
          <w:p w14:paraId="6DC32523" w14:textId="77777777" w:rsidR="00DB6835" w:rsidRDefault="00DB6835" w:rsidP="00A9140F">
            <w:pPr>
              <w:pStyle w:val="AnnexNumberedText"/>
            </w:pPr>
            <w:r>
              <w:t>6)</w:t>
            </w:r>
            <w:r>
              <w:tab/>
              <w:t>Vernd og endurheimt líffræðilegrar fjölbreytni og vistkerfa</w:t>
            </w:r>
          </w:p>
        </w:tc>
        <w:tc>
          <w:tcPr>
            <w:tcW w:w="5964" w:type="dxa"/>
            <w:tcMar>
              <w:top w:w="100" w:type="dxa"/>
              <w:left w:w="40" w:type="dxa"/>
              <w:bottom w:w="100" w:type="dxa"/>
              <w:right w:w="0" w:type="dxa"/>
            </w:tcMar>
          </w:tcPr>
          <w:p w14:paraId="72749ADC" w14:textId="77777777" w:rsidR="00DB6835" w:rsidRDefault="00DB6835" w:rsidP="00A9140F">
            <w:pPr>
              <w:pStyle w:val="AnnexTableCellLeft"/>
            </w:pPr>
            <w:r>
              <w:t>Á ekki við</w:t>
            </w:r>
          </w:p>
        </w:tc>
      </w:tr>
    </w:tbl>
    <w:p w14:paraId="2563AFED" w14:textId="77777777" w:rsidR="00DB6835" w:rsidRDefault="00DB6835" w:rsidP="00DB6835">
      <w:pPr>
        <w:pStyle w:val="AnnexNumberedText"/>
        <w:spacing w:before="200" w:after="240"/>
        <w:ind w:left="500" w:hanging="500"/>
      </w:pPr>
      <w:r>
        <w:t>7.5.</w:t>
      </w:r>
      <w:r>
        <w:rPr>
          <w:b/>
        </w:rPr>
        <w:tab/>
        <w:t>Uppsetning, viðhald og viðgerðir á búnaði og tækjum til mælinga, stýringar og eftirlits með orkunýtingu bygginga</w:t>
      </w:r>
    </w:p>
    <w:p w14:paraId="7C60EDF0" w14:textId="77777777" w:rsidR="00DB6835" w:rsidRDefault="00DB6835" w:rsidP="00DB6835">
      <w:pPr>
        <w:pStyle w:val="AnnexGrSeq3"/>
        <w:spacing w:after="240"/>
        <w:ind w:left="500"/>
        <w:jc w:val="both"/>
      </w:pPr>
      <w:r>
        <w:rPr>
          <w:i/>
        </w:rPr>
        <w:t>Lýsing á starfseminni</w:t>
      </w:r>
    </w:p>
    <w:p w14:paraId="2D94FE09" w14:textId="77777777" w:rsidR="00DB6835" w:rsidRDefault="00DB6835" w:rsidP="00DB6835">
      <w:pPr>
        <w:pStyle w:val="AnnexNormal"/>
        <w:spacing w:after="240"/>
        <w:ind w:left="500"/>
      </w:pPr>
      <w:r>
        <w:t>Uppsetning, viðhald og viðgerðir á búnaði og tækjum til mælinga, stýringar og eftirlits með orkunýtingu bygginga</w:t>
      </w:r>
    </w:p>
    <w:p w14:paraId="47E25DD6" w14:textId="77777777" w:rsidR="00DB6835" w:rsidRDefault="00DB6835" w:rsidP="00DB6835">
      <w:pPr>
        <w:pStyle w:val="AnnexNormal"/>
        <w:spacing w:after="240"/>
        <w:ind w:left="500"/>
      </w:pPr>
      <w:r>
        <w:t>Atvinnustarfsemin í þessum flokki gæti tengst nokkrum kóðum atvinnugreinaflokkunar Evrópusambandsins, einkum F42, F43, M71 og C16, C17, C22, C23, C25, C27 og C28, í samræmi við atvinnugreinaflokkunina sem komið var á með reglugerð (EB) nr. 1893/2006.</w:t>
      </w:r>
    </w:p>
    <w:p w14:paraId="5236A7EB" w14:textId="77777777" w:rsidR="00DB6835" w:rsidRDefault="00DB6835" w:rsidP="00DB6835">
      <w:pPr>
        <w:pStyle w:val="AnnexNormal"/>
        <w:spacing w:after="24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15D4BFA9" w14:textId="77777777" w:rsidR="00DB6835" w:rsidRDefault="00DB6835" w:rsidP="00DB6835">
      <w:pPr>
        <w:pStyle w:val="TableTitle"/>
        <w:spacing w:after="240"/>
        <w:ind w:left="500"/>
      </w:pPr>
      <w:r>
        <w:rPr>
          <w:i/>
        </w:rPr>
        <w:t>Tæknileg matsviðmið</w:t>
      </w:r>
    </w:p>
    <w:tbl>
      <w:tblPr>
        <w:tblStyle w:val="EFTATable"/>
        <w:tblW w:w="8740" w:type="dxa"/>
        <w:tblInd w:w="500" w:type="dxa"/>
        <w:tblLayout w:type="fixed"/>
        <w:tblLook w:val="04A0" w:firstRow="1" w:lastRow="0" w:firstColumn="1" w:lastColumn="0" w:noHBand="0" w:noVBand="1"/>
      </w:tblPr>
      <w:tblGrid>
        <w:gridCol w:w="2872"/>
        <w:gridCol w:w="5868"/>
      </w:tblGrid>
      <w:tr w:rsidR="00DB6835" w14:paraId="53C1383E" w14:textId="77777777" w:rsidTr="00A9140F">
        <w:trPr>
          <w:trHeight w:val="240"/>
        </w:trPr>
        <w:tc>
          <w:tcPr>
            <w:tcW w:w="8740" w:type="dxa"/>
            <w:gridSpan w:val="2"/>
            <w:tcMar>
              <w:top w:w="100" w:type="dxa"/>
              <w:left w:w="0" w:type="dxa"/>
              <w:bottom w:w="100" w:type="dxa"/>
              <w:right w:w="60" w:type="dxa"/>
            </w:tcMar>
          </w:tcPr>
          <w:p w14:paraId="1DC96F58"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011CDCF6" w14:textId="77777777" w:rsidTr="00A9140F">
        <w:trPr>
          <w:trHeight w:val="360"/>
        </w:trPr>
        <w:tc>
          <w:tcPr>
            <w:tcW w:w="8740" w:type="dxa"/>
            <w:gridSpan w:val="2"/>
            <w:tcMar>
              <w:top w:w="100" w:type="dxa"/>
              <w:left w:w="0" w:type="dxa"/>
              <w:bottom w:w="100" w:type="dxa"/>
              <w:right w:w="60" w:type="dxa"/>
            </w:tcMar>
          </w:tcPr>
          <w:p w14:paraId="369781FC" w14:textId="77777777" w:rsidR="00DB6835" w:rsidRDefault="00DB6835" w:rsidP="00A9140F">
            <w:pPr>
              <w:pStyle w:val="AnnexTableCellLeft"/>
              <w:spacing w:after="220"/>
            </w:pPr>
            <w:r>
              <w:t>Starfsemin samanstendur af einni af eftirfarandi einstökum ráðstöfunum:</w:t>
            </w:r>
          </w:p>
          <w:p w14:paraId="6D6263C1" w14:textId="77777777" w:rsidR="00DB6835" w:rsidRDefault="00DB6835" w:rsidP="00A9140F">
            <w:pPr>
              <w:pStyle w:val="AnnexNumberedText"/>
              <w:spacing w:after="220"/>
            </w:pPr>
            <w:r>
              <w:t>a)</w:t>
            </w:r>
            <w:r>
              <w:tab/>
              <w:t xml:space="preserve">uppsetning, viðhald og viðgerðir á svæðisbundnum </w:t>
            </w:r>
            <w:proofErr w:type="spellStart"/>
            <w:r>
              <w:t>hitastillum</w:t>
            </w:r>
            <w:proofErr w:type="spellEnd"/>
            <w:r>
              <w:t xml:space="preserve">, </w:t>
            </w:r>
            <w:proofErr w:type="spellStart"/>
            <w:r>
              <w:t>snjallhitastillikerfum</w:t>
            </w:r>
            <w:proofErr w:type="spellEnd"/>
            <w:r>
              <w:t xml:space="preserve"> og skynjunarbúnaði, þ.m.t. hreyfi- og dagsbirtustýring,</w:t>
            </w:r>
          </w:p>
          <w:p w14:paraId="7299E0B1" w14:textId="77777777" w:rsidR="00DB6835" w:rsidRDefault="00DB6835" w:rsidP="00A9140F">
            <w:pPr>
              <w:pStyle w:val="AnnexNumberedText"/>
              <w:spacing w:after="220"/>
            </w:pPr>
            <w:r>
              <w:t>b)</w:t>
            </w:r>
            <w:r>
              <w:tab/>
              <w:t>uppsetning, viðhald og viðgerðir á sjálfvirkum kerfum og stýrikerfum byggingar, orkustjórnunarkerfum byggingar, lýsingastjórnunarkerfum og orkustjórnunarkerfum,</w:t>
            </w:r>
          </w:p>
          <w:p w14:paraId="144DD0A1" w14:textId="77777777" w:rsidR="00DB6835" w:rsidRDefault="00DB6835" w:rsidP="00A9140F">
            <w:pPr>
              <w:pStyle w:val="AnnexNumberedText"/>
              <w:spacing w:after="220"/>
            </w:pPr>
            <w:r>
              <w:t>c)</w:t>
            </w:r>
            <w:r>
              <w:tab/>
              <w:t xml:space="preserve">uppsetning, viðhald og viðgerðir á </w:t>
            </w:r>
            <w:proofErr w:type="spellStart"/>
            <w:r>
              <w:t>snjallmælum</w:t>
            </w:r>
            <w:proofErr w:type="spellEnd"/>
            <w:r>
              <w:t xml:space="preserve"> fyrir gas, varma, kælingu og raforku,</w:t>
            </w:r>
          </w:p>
          <w:p w14:paraId="08495A60" w14:textId="77777777" w:rsidR="00DB6835" w:rsidRDefault="00DB6835" w:rsidP="00A9140F">
            <w:pPr>
              <w:pStyle w:val="AnnexNumberedText"/>
              <w:spacing w:after="220"/>
            </w:pPr>
            <w:r>
              <w:t>d)</w:t>
            </w:r>
            <w:r>
              <w:tab/>
              <w:t>uppsetning, viðhald og viðgerðir á útveggja- og þaklagnaeiningum með sóltjaldi eða sólarstýringu, þ.m.t. þær sem stuðla að gróðurvexti.</w:t>
            </w:r>
          </w:p>
        </w:tc>
      </w:tr>
      <w:tr w:rsidR="00DB6835" w14:paraId="28220D79" w14:textId="77777777" w:rsidTr="00A9140F">
        <w:trPr>
          <w:trHeight w:val="240"/>
        </w:trPr>
        <w:tc>
          <w:tcPr>
            <w:tcW w:w="8740" w:type="dxa"/>
            <w:gridSpan w:val="2"/>
            <w:tcMar>
              <w:top w:w="100" w:type="dxa"/>
              <w:left w:w="0" w:type="dxa"/>
              <w:bottom w:w="100" w:type="dxa"/>
              <w:right w:w="60" w:type="dxa"/>
            </w:tcMar>
          </w:tcPr>
          <w:p w14:paraId="4B5572CD" w14:textId="77777777" w:rsidR="00DB6835" w:rsidRDefault="00DB6835" w:rsidP="00A9140F">
            <w:pPr>
              <w:pStyle w:val="AnnexTableCellLeft"/>
            </w:pPr>
            <w:r>
              <w:t>Ekki valda umtalsverðu tjóni</w:t>
            </w:r>
          </w:p>
        </w:tc>
      </w:tr>
      <w:tr w:rsidR="00DB6835" w14:paraId="3D3EB0DE" w14:textId="77777777" w:rsidTr="00A9140F">
        <w:trPr>
          <w:trHeight w:val="360"/>
        </w:trPr>
        <w:tc>
          <w:tcPr>
            <w:tcW w:w="2872" w:type="dxa"/>
            <w:tcMar>
              <w:top w:w="100" w:type="dxa"/>
              <w:left w:w="0" w:type="dxa"/>
              <w:bottom w:w="100" w:type="dxa"/>
              <w:right w:w="60" w:type="dxa"/>
            </w:tcMar>
          </w:tcPr>
          <w:p w14:paraId="3D6BA895" w14:textId="77777777" w:rsidR="00DB6835" w:rsidRDefault="00DB6835" w:rsidP="00A9140F">
            <w:pPr>
              <w:pStyle w:val="AnnexNumberedText"/>
            </w:pPr>
            <w:r>
              <w:t>2)</w:t>
            </w:r>
            <w:r>
              <w:tab/>
              <w:t>Aðlögun að loftslagsbreytingum</w:t>
            </w:r>
          </w:p>
        </w:tc>
        <w:tc>
          <w:tcPr>
            <w:tcW w:w="5868" w:type="dxa"/>
            <w:tcMar>
              <w:top w:w="100" w:type="dxa"/>
              <w:left w:w="40" w:type="dxa"/>
              <w:bottom w:w="100" w:type="dxa"/>
              <w:right w:w="0" w:type="dxa"/>
            </w:tcMar>
          </w:tcPr>
          <w:p w14:paraId="662F3CDC" w14:textId="77777777" w:rsidR="00DB6835" w:rsidRDefault="00DB6835" w:rsidP="00A9140F">
            <w:pPr>
              <w:pStyle w:val="AnnexTableCellLeft"/>
            </w:pPr>
            <w:r>
              <w:t>Starfsemin er í samræmi við viðmiðanirnar sem settar eru fram í viðbæti A við þennan viðauka.</w:t>
            </w:r>
          </w:p>
        </w:tc>
      </w:tr>
      <w:tr w:rsidR="00DB6835" w14:paraId="68638C1D" w14:textId="77777777" w:rsidTr="00A9140F">
        <w:trPr>
          <w:trHeight w:val="360"/>
        </w:trPr>
        <w:tc>
          <w:tcPr>
            <w:tcW w:w="2872" w:type="dxa"/>
            <w:tcMar>
              <w:top w:w="100" w:type="dxa"/>
              <w:left w:w="0" w:type="dxa"/>
              <w:bottom w:w="100" w:type="dxa"/>
              <w:right w:w="60" w:type="dxa"/>
            </w:tcMar>
          </w:tcPr>
          <w:p w14:paraId="29141289" w14:textId="77777777" w:rsidR="00DB6835" w:rsidRDefault="00DB6835" w:rsidP="00A9140F">
            <w:pPr>
              <w:pStyle w:val="AnnexNumberedText"/>
            </w:pPr>
            <w:r>
              <w:t>3)</w:t>
            </w:r>
            <w:r>
              <w:tab/>
              <w:t>Sjálfbær notkun og verndun vatns- og sjávarauðlinda</w:t>
            </w:r>
          </w:p>
        </w:tc>
        <w:tc>
          <w:tcPr>
            <w:tcW w:w="5868" w:type="dxa"/>
            <w:tcMar>
              <w:top w:w="100" w:type="dxa"/>
              <w:left w:w="40" w:type="dxa"/>
              <w:bottom w:w="100" w:type="dxa"/>
              <w:right w:w="0" w:type="dxa"/>
            </w:tcMar>
          </w:tcPr>
          <w:p w14:paraId="0217DC1A" w14:textId="77777777" w:rsidR="00DB6835" w:rsidRDefault="00DB6835" w:rsidP="00A9140F">
            <w:pPr>
              <w:pStyle w:val="AnnexTableCellLeft"/>
            </w:pPr>
            <w:r>
              <w:t>Á ekki við</w:t>
            </w:r>
          </w:p>
        </w:tc>
      </w:tr>
      <w:tr w:rsidR="00DB6835" w14:paraId="7E8BBFF8" w14:textId="77777777" w:rsidTr="00A9140F">
        <w:trPr>
          <w:trHeight w:val="360"/>
        </w:trPr>
        <w:tc>
          <w:tcPr>
            <w:tcW w:w="2872" w:type="dxa"/>
            <w:tcMar>
              <w:top w:w="100" w:type="dxa"/>
              <w:left w:w="0" w:type="dxa"/>
              <w:bottom w:w="100" w:type="dxa"/>
              <w:right w:w="60" w:type="dxa"/>
            </w:tcMar>
          </w:tcPr>
          <w:p w14:paraId="4E0316FE" w14:textId="77777777" w:rsidR="00DB6835" w:rsidRDefault="00DB6835" w:rsidP="00A9140F">
            <w:pPr>
              <w:pStyle w:val="AnnexNumberedText"/>
            </w:pPr>
            <w:r>
              <w:lastRenderedPageBreak/>
              <w:t>4)</w:t>
            </w:r>
            <w:r>
              <w:tab/>
              <w:t>Umskipti yfir í hringrásarhagkerfi</w:t>
            </w:r>
          </w:p>
        </w:tc>
        <w:tc>
          <w:tcPr>
            <w:tcW w:w="5868" w:type="dxa"/>
            <w:tcMar>
              <w:top w:w="100" w:type="dxa"/>
              <w:left w:w="40" w:type="dxa"/>
              <w:bottom w:w="100" w:type="dxa"/>
              <w:right w:w="0" w:type="dxa"/>
            </w:tcMar>
          </w:tcPr>
          <w:p w14:paraId="6795F2AD" w14:textId="77777777" w:rsidR="00DB6835" w:rsidRDefault="00DB6835" w:rsidP="00A9140F">
            <w:pPr>
              <w:pStyle w:val="AnnexTableCellLeft"/>
            </w:pPr>
            <w:r>
              <w:t>Á ekki við</w:t>
            </w:r>
          </w:p>
        </w:tc>
      </w:tr>
      <w:tr w:rsidR="00DB6835" w14:paraId="72D6D824" w14:textId="77777777" w:rsidTr="00A9140F">
        <w:trPr>
          <w:trHeight w:val="360"/>
        </w:trPr>
        <w:tc>
          <w:tcPr>
            <w:tcW w:w="2872" w:type="dxa"/>
            <w:tcMar>
              <w:top w:w="100" w:type="dxa"/>
              <w:left w:w="0" w:type="dxa"/>
              <w:bottom w:w="100" w:type="dxa"/>
              <w:right w:w="60" w:type="dxa"/>
            </w:tcMar>
          </w:tcPr>
          <w:p w14:paraId="5250873A" w14:textId="77777777" w:rsidR="00DB6835" w:rsidRDefault="00DB6835" w:rsidP="00A9140F">
            <w:pPr>
              <w:pStyle w:val="AnnexNumberedText"/>
              <w:pageBreakBefore/>
            </w:pPr>
            <w:r>
              <w:lastRenderedPageBreak/>
              <w:t>5)</w:t>
            </w:r>
            <w:r>
              <w:tab/>
              <w:t>Mengunarvarnir og eftirlit með mengun</w:t>
            </w:r>
          </w:p>
        </w:tc>
        <w:tc>
          <w:tcPr>
            <w:tcW w:w="5868" w:type="dxa"/>
            <w:tcMar>
              <w:top w:w="100" w:type="dxa"/>
              <w:left w:w="40" w:type="dxa"/>
              <w:bottom w:w="100" w:type="dxa"/>
              <w:right w:w="0" w:type="dxa"/>
            </w:tcMar>
          </w:tcPr>
          <w:p w14:paraId="766098E7" w14:textId="77777777" w:rsidR="00DB6835" w:rsidRDefault="00DB6835" w:rsidP="00A9140F">
            <w:pPr>
              <w:pStyle w:val="AnnexTableCellLeft"/>
            </w:pPr>
            <w:r>
              <w:t>Á ekki við</w:t>
            </w:r>
          </w:p>
        </w:tc>
      </w:tr>
      <w:tr w:rsidR="00DB6835" w14:paraId="10D0CB56" w14:textId="77777777" w:rsidTr="00A9140F">
        <w:trPr>
          <w:trHeight w:val="360"/>
        </w:trPr>
        <w:tc>
          <w:tcPr>
            <w:tcW w:w="2872" w:type="dxa"/>
            <w:tcMar>
              <w:top w:w="100" w:type="dxa"/>
              <w:left w:w="0" w:type="dxa"/>
              <w:bottom w:w="100" w:type="dxa"/>
              <w:right w:w="60" w:type="dxa"/>
            </w:tcMar>
          </w:tcPr>
          <w:p w14:paraId="372ED198" w14:textId="77777777" w:rsidR="00DB6835" w:rsidRDefault="00DB6835" w:rsidP="00A9140F">
            <w:pPr>
              <w:pStyle w:val="AnnexNumberedText"/>
            </w:pPr>
            <w:r>
              <w:t>6)</w:t>
            </w:r>
            <w:r>
              <w:tab/>
              <w:t>Vernd og endurheimt líffræðilegrar fjölbreytni og vistkerfa</w:t>
            </w:r>
          </w:p>
        </w:tc>
        <w:tc>
          <w:tcPr>
            <w:tcW w:w="5868" w:type="dxa"/>
            <w:tcMar>
              <w:top w:w="100" w:type="dxa"/>
              <w:left w:w="40" w:type="dxa"/>
              <w:bottom w:w="100" w:type="dxa"/>
              <w:right w:w="0" w:type="dxa"/>
            </w:tcMar>
          </w:tcPr>
          <w:p w14:paraId="1A2B7915" w14:textId="77777777" w:rsidR="00DB6835" w:rsidRDefault="00DB6835" w:rsidP="00A9140F">
            <w:pPr>
              <w:pStyle w:val="AnnexTableCellLeft"/>
            </w:pPr>
            <w:r>
              <w:t>Á ekki við</w:t>
            </w:r>
          </w:p>
        </w:tc>
      </w:tr>
    </w:tbl>
    <w:p w14:paraId="35155844" w14:textId="77777777" w:rsidR="00DB6835" w:rsidRDefault="00DB6835" w:rsidP="00DB6835">
      <w:pPr>
        <w:pStyle w:val="AnnexNumberedText"/>
        <w:spacing w:before="200" w:after="200"/>
        <w:ind w:left="500" w:hanging="500"/>
      </w:pPr>
      <w:r>
        <w:t>7.6.</w:t>
      </w:r>
      <w:r>
        <w:rPr>
          <w:b/>
        </w:rPr>
        <w:tab/>
        <w:t>Uppsetning, viðhald og viðgerðir á tækni á sviði endurnýjanlegrar orku</w:t>
      </w:r>
    </w:p>
    <w:p w14:paraId="0EE8011F" w14:textId="77777777" w:rsidR="00DB6835" w:rsidRDefault="00DB6835" w:rsidP="00DB6835">
      <w:pPr>
        <w:pStyle w:val="AnnexGrSeq3"/>
        <w:spacing w:after="260"/>
        <w:ind w:left="500"/>
        <w:jc w:val="both"/>
      </w:pPr>
      <w:r>
        <w:rPr>
          <w:i/>
        </w:rPr>
        <w:t>Lýsing á starfseminni</w:t>
      </w:r>
    </w:p>
    <w:p w14:paraId="757FC29F" w14:textId="77777777" w:rsidR="00DB6835" w:rsidRDefault="00DB6835" w:rsidP="00DB6835">
      <w:pPr>
        <w:pStyle w:val="AnnexNormal"/>
        <w:spacing w:after="260"/>
        <w:ind w:left="500"/>
      </w:pPr>
      <w:r>
        <w:t>Uppsetning, viðhald og viðgerðir á tækni á sviði endurnýjanlegrar orku á vettvangi.</w:t>
      </w:r>
    </w:p>
    <w:p w14:paraId="415A4F17" w14:textId="77777777" w:rsidR="00DB6835" w:rsidRDefault="00DB6835" w:rsidP="00DB6835">
      <w:pPr>
        <w:pStyle w:val="AnnexNormal"/>
        <w:spacing w:after="260"/>
        <w:ind w:left="500"/>
      </w:pPr>
      <w:r>
        <w:t>Atvinnustarfsemin í þessum flokki gæti tengst nokkrum kóðum atvinnugreinaflokkunar Evrópusambandsins, einkum F42, F43, M71, C16, C17, C22, C23, C25, C27 eða C28, í samræmi við atvinnugreinaflokkunina sem komið var á með reglugerð (EB) nr. 1893/2006.</w:t>
      </w:r>
    </w:p>
    <w:p w14:paraId="4098EC9D" w14:textId="77777777" w:rsidR="00DB6835" w:rsidRDefault="00DB6835" w:rsidP="00DB6835">
      <w:pPr>
        <w:pStyle w:val="AnnexNormal"/>
        <w:spacing w:after="26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45BA12E9" w14:textId="77777777" w:rsidR="00DB6835" w:rsidRDefault="00DB6835" w:rsidP="00DB6835">
      <w:pPr>
        <w:pStyle w:val="AnnexGrSeq3"/>
        <w:spacing w:after="2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60"/>
        <w:gridCol w:w="5880"/>
      </w:tblGrid>
      <w:tr w:rsidR="00DB6835" w14:paraId="1CD1954B" w14:textId="77777777" w:rsidTr="00A9140F">
        <w:trPr>
          <w:trHeight w:val="240"/>
        </w:trPr>
        <w:tc>
          <w:tcPr>
            <w:tcW w:w="8740" w:type="dxa"/>
            <w:gridSpan w:val="2"/>
            <w:tcMar>
              <w:top w:w="100" w:type="dxa"/>
              <w:left w:w="0" w:type="dxa"/>
              <w:bottom w:w="100" w:type="dxa"/>
              <w:right w:w="60" w:type="dxa"/>
            </w:tcMar>
          </w:tcPr>
          <w:p w14:paraId="0E744040"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00FBC4FF" w14:textId="77777777" w:rsidTr="00A9140F">
        <w:trPr>
          <w:trHeight w:val="360"/>
        </w:trPr>
        <w:tc>
          <w:tcPr>
            <w:tcW w:w="8740" w:type="dxa"/>
            <w:gridSpan w:val="2"/>
            <w:tcMar>
              <w:top w:w="100" w:type="dxa"/>
              <w:left w:w="0" w:type="dxa"/>
              <w:bottom w:w="100" w:type="dxa"/>
              <w:right w:w="60" w:type="dxa"/>
            </w:tcMar>
          </w:tcPr>
          <w:p w14:paraId="2F592102" w14:textId="77777777" w:rsidR="00DB6835" w:rsidRDefault="00DB6835" w:rsidP="00A9140F">
            <w:pPr>
              <w:pStyle w:val="AnnexTableCellLeft"/>
              <w:spacing w:after="300"/>
            </w:pPr>
            <w:r>
              <w:t>Starfsemin samanstendur af einni af eftirfarandi einstökum ráðstöfunum ef hún er uppsett á vettvangi sem tæknilegt kerfi bygginga:</w:t>
            </w:r>
          </w:p>
          <w:p w14:paraId="09541D80" w14:textId="77777777" w:rsidR="00DB6835" w:rsidRDefault="00DB6835" w:rsidP="00A9140F">
            <w:pPr>
              <w:pStyle w:val="AnnexNumberedText"/>
              <w:spacing w:after="300"/>
            </w:pPr>
            <w:r>
              <w:t>a)</w:t>
            </w:r>
            <w:r>
              <w:tab/>
              <w:t>uppsetning, viðhald og viðgerðir á sólarraforkukerfum og tilheyrandi tæknibúnaði,</w:t>
            </w:r>
          </w:p>
          <w:p w14:paraId="7AFC6DD2" w14:textId="77777777" w:rsidR="00DB6835" w:rsidRDefault="00DB6835" w:rsidP="00A9140F">
            <w:pPr>
              <w:pStyle w:val="AnnexNumberedText"/>
              <w:spacing w:after="300"/>
            </w:pPr>
            <w:r>
              <w:t>b)</w:t>
            </w:r>
            <w:r>
              <w:tab/>
              <w:t>uppsetning, viðhald og viðgerðir á sólarþiljum til að hita vatn og tilheyrandi tæknibúnaði,</w:t>
            </w:r>
          </w:p>
          <w:p w14:paraId="410E0594" w14:textId="77777777" w:rsidR="00DB6835" w:rsidRDefault="00DB6835" w:rsidP="00A9140F">
            <w:pPr>
              <w:pStyle w:val="AnnexNumberedText"/>
              <w:spacing w:after="300"/>
            </w:pPr>
            <w:r>
              <w:t>c)</w:t>
            </w:r>
            <w:r>
              <w:tab/>
              <w:t>uppsetning, viðhald, viðgerðir og uppfærsla á varmadælum sem stuðla að því að ná markmiðunum fyrir endurnýjanlega orku á sviði varma og kælingar, í samræmi við tilskipun (ESB) 2018/2001, og tilheyrandi tæknibúnaði,</w:t>
            </w:r>
          </w:p>
          <w:p w14:paraId="51F8D502" w14:textId="77777777" w:rsidR="00DB6835" w:rsidRDefault="00DB6835" w:rsidP="00A9140F">
            <w:pPr>
              <w:pStyle w:val="AnnexNumberedText"/>
              <w:spacing w:after="300"/>
            </w:pPr>
            <w:r>
              <w:t>d)</w:t>
            </w:r>
            <w:r>
              <w:tab/>
              <w:t>uppsetning, viðhald og viðgerðir á vindhverflum og tilheyrandi tæknibúnaði,</w:t>
            </w:r>
          </w:p>
          <w:p w14:paraId="52108A30" w14:textId="77777777" w:rsidR="00DB6835" w:rsidRDefault="00DB6835" w:rsidP="00A9140F">
            <w:pPr>
              <w:pStyle w:val="AnnexNumberedText"/>
              <w:spacing w:after="300"/>
            </w:pPr>
            <w:r>
              <w:t>e)</w:t>
            </w:r>
            <w:r>
              <w:tab/>
              <w:t>uppsetning, viðhald og viðgerðir á sólargleypum og tilheyrandi tæknibúnaði,</w:t>
            </w:r>
          </w:p>
          <w:p w14:paraId="5F9232D2" w14:textId="77777777" w:rsidR="00DB6835" w:rsidRDefault="00DB6835" w:rsidP="00A9140F">
            <w:pPr>
              <w:pStyle w:val="AnnexNumberedText"/>
              <w:spacing w:after="300"/>
            </w:pPr>
            <w:r>
              <w:t>f)</w:t>
            </w:r>
            <w:r>
              <w:tab/>
              <w:t>uppsetning, viðhald og viðgerðir á varma- eða raforkugeymslueiningum og tilheyrandi tæknibúnaði,</w:t>
            </w:r>
          </w:p>
          <w:p w14:paraId="06B484E6" w14:textId="77777777" w:rsidR="00DB6835" w:rsidRDefault="00DB6835" w:rsidP="00A9140F">
            <w:pPr>
              <w:pStyle w:val="AnnexNumberedText"/>
              <w:spacing w:after="300"/>
            </w:pPr>
            <w:r>
              <w:t>g)</w:t>
            </w:r>
            <w:r>
              <w:tab/>
              <w:t xml:space="preserve">uppsetning, viðhald og viðgerðir á smáorkuverum fyrir </w:t>
            </w:r>
            <w:proofErr w:type="spellStart"/>
            <w:r>
              <w:t>samþætta</w:t>
            </w:r>
            <w:proofErr w:type="spellEnd"/>
            <w:r>
              <w:t xml:space="preserve"> varma- og raforkuvinnslu með góða </w:t>
            </w:r>
            <w:proofErr w:type="spellStart"/>
            <w:r>
              <w:t>orkunýtni</w:t>
            </w:r>
            <w:proofErr w:type="spellEnd"/>
            <w:r>
              <w:t>,</w:t>
            </w:r>
          </w:p>
          <w:p w14:paraId="565B2087" w14:textId="77777777" w:rsidR="00DB6835" w:rsidRDefault="00DB6835" w:rsidP="00A9140F">
            <w:pPr>
              <w:pStyle w:val="AnnexNumberedText"/>
              <w:spacing w:after="300"/>
            </w:pPr>
            <w:r>
              <w:t>h)</w:t>
            </w:r>
            <w:r>
              <w:tab/>
              <w:t>uppsetning, viðhald og viðgerðir á varmaskipta-/varmaendurvinnslukerfum.</w:t>
            </w:r>
          </w:p>
        </w:tc>
      </w:tr>
      <w:tr w:rsidR="00DB6835" w14:paraId="6BC15ACF" w14:textId="77777777" w:rsidTr="00A9140F">
        <w:trPr>
          <w:trHeight w:val="240"/>
        </w:trPr>
        <w:tc>
          <w:tcPr>
            <w:tcW w:w="8740" w:type="dxa"/>
            <w:gridSpan w:val="2"/>
            <w:tcMar>
              <w:top w:w="100" w:type="dxa"/>
              <w:left w:w="0" w:type="dxa"/>
              <w:bottom w:w="100" w:type="dxa"/>
              <w:right w:w="60" w:type="dxa"/>
            </w:tcMar>
          </w:tcPr>
          <w:p w14:paraId="55C117F8" w14:textId="77777777" w:rsidR="00DB6835" w:rsidRDefault="00DB6835" w:rsidP="00A9140F">
            <w:pPr>
              <w:pStyle w:val="AnnexTableCellLeft"/>
            </w:pPr>
            <w:r>
              <w:t>Ekki valda umtalsverðu tjóni</w:t>
            </w:r>
          </w:p>
        </w:tc>
      </w:tr>
      <w:tr w:rsidR="00DB6835" w14:paraId="28CBDC77" w14:textId="77777777" w:rsidTr="00A9140F">
        <w:trPr>
          <w:trHeight w:val="360"/>
        </w:trPr>
        <w:tc>
          <w:tcPr>
            <w:tcW w:w="2860" w:type="dxa"/>
            <w:tcMar>
              <w:top w:w="100" w:type="dxa"/>
              <w:left w:w="0" w:type="dxa"/>
              <w:bottom w:w="100" w:type="dxa"/>
              <w:right w:w="60" w:type="dxa"/>
            </w:tcMar>
          </w:tcPr>
          <w:p w14:paraId="73C5BB12" w14:textId="77777777" w:rsidR="00DB6835" w:rsidRDefault="00DB6835" w:rsidP="00A9140F">
            <w:pPr>
              <w:pStyle w:val="AnnexNumberedText"/>
            </w:pPr>
            <w:r>
              <w:t>2)</w:t>
            </w:r>
            <w:r>
              <w:tab/>
              <w:t>Aðlögun að loftslagsbreytingum</w:t>
            </w:r>
          </w:p>
        </w:tc>
        <w:tc>
          <w:tcPr>
            <w:tcW w:w="5880" w:type="dxa"/>
            <w:tcMar>
              <w:top w:w="100" w:type="dxa"/>
              <w:left w:w="40" w:type="dxa"/>
              <w:bottom w:w="100" w:type="dxa"/>
              <w:right w:w="0" w:type="dxa"/>
            </w:tcMar>
          </w:tcPr>
          <w:p w14:paraId="03A695C2" w14:textId="77777777" w:rsidR="00DB6835" w:rsidRDefault="00DB6835" w:rsidP="00A9140F">
            <w:pPr>
              <w:pStyle w:val="AnnexTableCellLeft"/>
            </w:pPr>
            <w:r>
              <w:t>Starfsemin er í samræmi við viðmiðanirnar sem settar eru fram í viðbæti A við þennan viðauka.</w:t>
            </w:r>
          </w:p>
        </w:tc>
      </w:tr>
      <w:tr w:rsidR="00DB6835" w14:paraId="6BF781FA" w14:textId="77777777" w:rsidTr="00A9140F">
        <w:trPr>
          <w:trHeight w:val="360"/>
        </w:trPr>
        <w:tc>
          <w:tcPr>
            <w:tcW w:w="2860" w:type="dxa"/>
            <w:tcMar>
              <w:top w:w="100" w:type="dxa"/>
              <w:left w:w="0" w:type="dxa"/>
              <w:bottom w:w="100" w:type="dxa"/>
              <w:right w:w="60" w:type="dxa"/>
            </w:tcMar>
          </w:tcPr>
          <w:p w14:paraId="2FD5826B" w14:textId="77777777" w:rsidR="00DB6835" w:rsidRDefault="00DB6835" w:rsidP="00A9140F">
            <w:pPr>
              <w:pStyle w:val="AnnexNumberedText"/>
            </w:pPr>
            <w:r>
              <w:t>3)</w:t>
            </w:r>
            <w:r>
              <w:tab/>
              <w:t>Sjálfbær notkun og verndun vatns- og sjávarauðlinda</w:t>
            </w:r>
          </w:p>
        </w:tc>
        <w:tc>
          <w:tcPr>
            <w:tcW w:w="5880" w:type="dxa"/>
            <w:tcMar>
              <w:top w:w="100" w:type="dxa"/>
              <w:left w:w="40" w:type="dxa"/>
              <w:bottom w:w="100" w:type="dxa"/>
              <w:right w:w="0" w:type="dxa"/>
            </w:tcMar>
          </w:tcPr>
          <w:p w14:paraId="2CF91DC3" w14:textId="77777777" w:rsidR="00DB6835" w:rsidRDefault="00DB6835" w:rsidP="00A9140F">
            <w:pPr>
              <w:pStyle w:val="AnnexTableCellLeft"/>
            </w:pPr>
            <w:r>
              <w:t>Á ekki við</w:t>
            </w:r>
          </w:p>
        </w:tc>
      </w:tr>
      <w:tr w:rsidR="00DB6835" w14:paraId="70D0A051" w14:textId="77777777" w:rsidTr="00A9140F">
        <w:trPr>
          <w:trHeight w:val="360"/>
        </w:trPr>
        <w:tc>
          <w:tcPr>
            <w:tcW w:w="2860" w:type="dxa"/>
            <w:tcMar>
              <w:top w:w="100" w:type="dxa"/>
              <w:left w:w="0" w:type="dxa"/>
              <w:bottom w:w="100" w:type="dxa"/>
              <w:right w:w="60" w:type="dxa"/>
            </w:tcMar>
          </w:tcPr>
          <w:p w14:paraId="1142403F" w14:textId="77777777" w:rsidR="00DB6835" w:rsidRDefault="00DB6835" w:rsidP="00A9140F">
            <w:pPr>
              <w:pStyle w:val="AnnexNumberedText"/>
            </w:pPr>
            <w:r>
              <w:t>4)</w:t>
            </w:r>
            <w:r>
              <w:tab/>
              <w:t>Umskipti yfir í hringrásarhagkerfi</w:t>
            </w:r>
          </w:p>
        </w:tc>
        <w:tc>
          <w:tcPr>
            <w:tcW w:w="5880" w:type="dxa"/>
            <w:tcMar>
              <w:top w:w="100" w:type="dxa"/>
              <w:left w:w="40" w:type="dxa"/>
              <w:bottom w:w="100" w:type="dxa"/>
              <w:right w:w="0" w:type="dxa"/>
            </w:tcMar>
          </w:tcPr>
          <w:p w14:paraId="35A75E12" w14:textId="77777777" w:rsidR="00DB6835" w:rsidRDefault="00DB6835" w:rsidP="00A9140F">
            <w:pPr>
              <w:pStyle w:val="AnnexTableCellLeft"/>
            </w:pPr>
            <w:r>
              <w:t>Á ekki við</w:t>
            </w:r>
          </w:p>
        </w:tc>
      </w:tr>
      <w:tr w:rsidR="00DB6835" w14:paraId="0CBADE81" w14:textId="77777777" w:rsidTr="00A9140F">
        <w:trPr>
          <w:trHeight w:val="360"/>
        </w:trPr>
        <w:tc>
          <w:tcPr>
            <w:tcW w:w="2860" w:type="dxa"/>
            <w:tcMar>
              <w:top w:w="100" w:type="dxa"/>
              <w:left w:w="0" w:type="dxa"/>
              <w:bottom w:w="100" w:type="dxa"/>
              <w:right w:w="60" w:type="dxa"/>
            </w:tcMar>
          </w:tcPr>
          <w:p w14:paraId="0EA34415" w14:textId="77777777" w:rsidR="00DB6835" w:rsidRDefault="00DB6835" w:rsidP="00A9140F">
            <w:pPr>
              <w:pStyle w:val="AnnexNumberedText"/>
            </w:pPr>
            <w:r>
              <w:lastRenderedPageBreak/>
              <w:t>5)</w:t>
            </w:r>
            <w:r>
              <w:tab/>
              <w:t>Mengunarvarnir og eftirlit með mengun</w:t>
            </w:r>
          </w:p>
        </w:tc>
        <w:tc>
          <w:tcPr>
            <w:tcW w:w="5880" w:type="dxa"/>
            <w:tcMar>
              <w:top w:w="100" w:type="dxa"/>
              <w:left w:w="40" w:type="dxa"/>
              <w:bottom w:w="100" w:type="dxa"/>
              <w:right w:w="0" w:type="dxa"/>
            </w:tcMar>
          </w:tcPr>
          <w:p w14:paraId="28778876" w14:textId="77777777" w:rsidR="00DB6835" w:rsidRDefault="00DB6835" w:rsidP="00A9140F">
            <w:pPr>
              <w:pStyle w:val="AnnexTableCellLeft"/>
            </w:pPr>
            <w:r>
              <w:t>Á ekki við</w:t>
            </w:r>
          </w:p>
        </w:tc>
      </w:tr>
      <w:tr w:rsidR="00DB6835" w14:paraId="61A03603" w14:textId="77777777" w:rsidTr="00A9140F">
        <w:trPr>
          <w:trHeight w:val="360"/>
        </w:trPr>
        <w:tc>
          <w:tcPr>
            <w:tcW w:w="2860" w:type="dxa"/>
            <w:tcMar>
              <w:top w:w="100" w:type="dxa"/>
              <w:left w:w="0" w:type="dxa"/>
              <w:bottom w:w="100" w:type="dxa"/>
              <w:right w:w="60" w:type="dxa"/>
            </w:tcMar>
          </w:tcPr>
          <w:p w14:paraId="77F6A0D9" w14:textId="77777777" w:rsidR="00DB6835" w:rsidRDefault="00DB6835" w:rsidP="00A9140F">
            <w:pPr>
              <w:pStyle w:val="AnnexNumberedText"/>
              <w:pageBreakBefore/>
            </w:pPr>
            <w:r>
              <w:lastRenderedPageBreak/>
              <w:t>6)</w:t>
            </w:r>
            <w:r>
              <w:tab/>
              <w:t>Vernd og endurheimt líffræðilegrar fjölbreytni og vistkerfa</w:t>
            </w:r>
          </w:p>
        </w:tc>
        <w:tc>
          <w:tcPr>
            <w:tcW w:w="5880" w:type="dxa"/>
            <w:tcMar>
              <w:top w:w="100" w:type="dxa"/>
              <w:left w:w="40" w:type="dxa"/>
              <w:bottom w:w="100" w:type="dxa"/>
              <w:right w:w="0" w:type="dxa"/>
            </w:tcMar>
          </w:tcPr>
          <w:p w14:paraId="4B85A88E" w14:textId="77777777" w:rsidR="00DB6835" w:rsidRDefault="00DB6835" w:rsidP="00A9140F">
            <w:pPr>
              <w:pStyle w:val="AnnexTableCellLeft"/>
            </w:pPr>
            <w:r>
              <w:t>Á ekki við</w:t>
            </w:r>
          </w:p>
        </w:tc>
      </w:tr>
    </w:tbl>
    <w:p w14:paraId="5A44F68B" w14:textId="77777777" w:rsidR="00DB6835" w:rsidRDefault="00DB6835" w:rsidP="00DB6835">
      <w:pPr>
        <w:pStyle w:val="AnnexNumberedText"/>
        <w:spacing w:before="200" w:after="200"/>
        <w:ind w:left="500" w:hanging="500"/>
      </w:pPr>
      <w:r>
        <w:t>7.7.</w:t>
      </w:r>
      <w:r>
        <w:rPr>
          <w:b/>
        </w:rPr>
        <w:tab/>
        <w:t>Kaup og eignarhald á byggingum</w:t>
      </w:r>
    </w:p>
    <w:p w14:paraId="22B30A17" w14:textId="77777777" w:rsidR="00DB6835" w:rsidRDefault="00DB6835" w:rsidP="00DB6835">
      <w:pPr>
        <w:pStyle w:val="AnnexGrSeq3"/>
        <w:spacing w:after="240"/>
        <w:ind w:left="500"/>
        <w:jc w:val="both"/>
      </w:pPr>
      <w:r>
        <w:rPr>
          <w:i/>
        </w:rPr>
        <w:t>Lýsing á starfseminni</w:t>
      </w:r>
    </w:p>
    <w:p w14:paraId="4996D4CB" w14:textId="77777777" w:rsidR="00DB6835" w:rsidRDefault="00DB6835" w:rsidP="00DB6835">
      <w:pPr>
        <w:pStyle w:val="AnnexNormal"/>
        <w:spacing w:after="240"/>
        <w:ind w:left="500"/>
      </w:pPr>
      <w:r>
        <w:t>Fasteignakaup og eignarhald á þeirri fasteign.</w:t>
      </w:r>
    </w:p>
    <w:p w14:paraId="3A6E51AE" w14:textId="77777777" w:rsidR="00DB6835" w:rsidRDefault="00DB6835" w:rsidP="00DB6835">
      <w:pPr>
        <w:pStyle w:val="AnnexNormal"/>
        <w:spacing w:after="240"/>
        <w:ind w:left="500"/>
      </w:pPr>
      <w:r>
        <w:t>Atvinnustarfsemin í þessum flokki gæti tengst kóða atvinnugreinaflokkunar Evrópusambandsins L68 í samræmi við atvinnugreinaflokkunina sem komið var á með reglugerð (EB) nr. 1893/2006.</w:t>
      </w:r>
    </w:p>
    <w:p w14:paraId="35404333" w14:textId="77777777" w:rsidR="00DB6835" w:rsidRDefault="00DB6835" w:rsidP="00DB6835">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100"/>
        <w:gridCol w:w="5640"/>
      </w:tblGrid>
      <w:tr w:rsidR="00DB6835" w14:paraId="36A5B16E" w14:textId="77777777" w:rsidTr="00A9140F">
        <w:trPr>
          <w:trHeight w:val="240"/>
        </w:trPr>
        <w:tc>
          <w:tcPr>
            <w:tcW w:w="8740" w:type="dxa"/>
            <w:gridSpan w:val="2"/>
            <w:tcMar>
              <w:top w:w="100" w:type="dxa"/>
              <w:left w:w="0" w:type="dxa"/>
              <w:bottom w:w="100" w:type="dxa"/>
              <w:right w:w="60" w:type="dxa"/>
            </w:tcMar>
          </w:tcPr>
          <w:p w14:paraId="7D5EBDD6"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294E7468" w14:textId="77777777" w:rsidTr="00A9140F">
        <w:trPr>
          <w:trHeight w:val="360"/>
        </w:trPr>
        <w:tc>
          <w:tcPr>
            <w:tcW w:w="8740" w:type="dxa"/>
            <w:gridSpan w:val="2"/>
            <w:tcMar>
              <w:top w:w="100" w:type="dxa"/>
              <w:left w:w="0" w:type="dxa"/>
              <w:bottom w:w="100" w:type="dxa"/>
              <w:right w:w="60" w:type="dxa"/>
            </w:tcMar>
          </w:tcPr>
          <w:p w14:paraId="0D949804" w14:textId="77777777" w:rsidR="00DB6835" w:rsidRDefault="00DB6835" w:rsidP="00A9140F">
            <w:pPr>
              <w:pStyle w:val="AnnexNumberedText"/>
              <w:tabs>
                <w:tab w:val="left" w:pos="508"/>
              </w:tabs>
              <w:ind w:left="0" w:firstLine="0"/>
            </w:pPr>
            <w:r>
              <w:t>1.</w:t>
            </w:r>
            <w:r>
              <w:tab/>
              <w:t>Að því er varðar byggingar sem eru byggðar fyrir 31. desember 2020 er byggingin a.m.k. með orkunýtingarvottorð í flokki A. Að öðrum kosti fellur byggingin innan efstu 15% af landsbundnum eða svæðisbundnum byggingarkosti, gefið upp sem frumorkuþörf og sýnt fram á það með fullnægjandi sönnunum, þar sem a.m.k. frammistaða viðkomandi eignar er borin saman við frammistöðu landsbundins eða svæðisbundins byggingarkosts sem var byggður fyrir 31. desember 2020 og a.m.k. gerður greinarmunur á íbúðarhúsnæði og öðrum byggingum en íbúðarhúsnæði.</w:t>
            </w:r>
          </w:p>
          <w:p w14:paraId="189876C5" w14:textId="77777777" w:rsidR="00DB6835" w:rsidRDefault="00DB6835" w:rsidP="00A9140F">
            <w:pPr>
              <w:pStyle w:val="AnnexNumberedText"/>
              <w:tabs>
                <w:tab w:val="left" w:pos="508"/>
              </w:tabs>
              <w:ind w:left="0" w:firstLine="0"/>
            </w:pPr>
            <w:r>
              <w:t>2.</w:t>
            </w:r>
            <w:r>
              <w:tab/>
              <w:t>Að því er varðar byggingar sem eru byggðar eftir 31. desember 2020 uppfyllir byggingin viðmiðanirnar sem eru tilgreindar í þætti 7.1 í þessum viðauka sem skipta máli þegar kaupin eru gerð.</w:t>
            </w:r>
          </w:p>
          <w:p w14:paraId="2C112894" w14:textId="77777777" w:rsidR="00DB6835" w:rsidRDefault="00DB6835" w:rsidP="00A9140F">
            <w:pPr>
              <w:pStyle w:val="AnnexNumberedText"/>
              <w:tabs>
                <w:tab w:val="left" w:pos="508"/>
              </w:tabs>
              <w:ind w:left="0" w:firstLine="0"/>
            </w:pPr>
            <w:r>
              <w:t>3.</w:t>
            </w:r>
            <w:r>
              <w:tab/>
              <w:t xml:space="preserve">Ef byggingin er stór bygging önnur en íbúðarhúsnæði (með virkt málafl fyrir </w:t>
            </w:r>
            <w:proofErr w:type="spellStart"/>
            <w:r>
              <w:t>hitunarkerfi</w:t>
            </w:r>
            <w:proofErr w:type="spellEnd"/>
            <w:r>
              <w:t xml:space="preserve">, sambyggð rýmishita- og </w:t>
            </w:r>
            <w:proofErr w:type="spellStart"/>
            <w:r>
              <w:t>loftræstikerfi</w:t>
            </w:r>
            <w:proofErr w:type="spellEnd"/>
            <w:r>
              <w:t xml:space="preserve">, loftjöfnunarkerfi eða sambyggð loftjöfnunar- og </w:t>
            </w:r>
            <w:proofErr w:type="spellStart"/>
            <w:r>
              <w:t>loftræstikerfi</w:t>
            </w:r>
            <w:proofErr w:type="spellEnd"/>
            <w:r>
              <w:t xml:space="preserve"> yfir 290 kW) er hún rekin með skilvirkum hætti með vöktun og mati á orkunýtingu (</w:t>
            </w:r>
            <w:r>
              <w:rPr>
                <w:rStyle w:val="Tilvsunneanmlsgrein"/>
                <w:sz w:val="18"/>
                <w:szCs w:val="18"/>
              </w:rPr>
              <w:footnoteReference w:id="320"/>
            </w:r>
            <w:r>
              <w:t>).</w:t>
            </w:r>
          </w:p>
        </w:tc>
      </w:tr>
      <w:tr w:rsidR="00DB6835" w14:paraId="12559644" w14:textId="77777777" w:rsidTr="00A9140F">
        <w:trPr>
          <w:trHeight w:val="240"/>
        </w:trPr>
        <w:tc>
          <w:tcPr>
            <w:tcW w:w="8740" w:type="dxa"/>
            <w:gridSpan w:val="2"/>
            <w:tcMar>
              <w:top w:w="100" w:type="dxa"/>
              <w:left w:w="0" w:type="dxa"/>
              <w:bottom w:w="100" w:type="dxa"/>
              <w:right w:w="60" w:type="dxa"/>
            </w:tcMar>
          </w:tcPr>
          <w:p w14:paraId="41D48DED" w14:textId="77777777" w:rsidR="00DB6835" w:rsidRDefault="00DB6835" w:rsidP="00A9140F">
            <w:pPr>
              <w:pStyle w:val="AnnexTableCellLeft"/>
            </w:pPr>
            <w:r>
              <w:t>Ekki valda umtalsverðu tjóni</w:t>
            </w:r>
          </w:p>
        </w:tc>
      </w:tr>
      <w:tr w:rsidR="00DB6835" w14:paraId="19E5DC77" w14:textId="77777777" w:rsidTr="00A9140F">
        <w:trPr>
          <w:trHeight w:val="360"/>
        </w:trPr>
        <w:tc>
          <w:tcPr>
            <w:tcW w:w="3100" w:type="dxa"/>
            <w:tcMar>
              <w:top w:w="100" w:type="dxa"/>
              <w:left w:w="0" w:type="dxa"/>
              <w:bottom w:w="100" w:type="dxa"/>
              <w:right w:w="60" w:type="dxa"/>
            </w:tcMar>
          </w:tcPr>
          <w:p w14:paraId="78726805" w14:textId="77777777" w:rsidR="00DB6835" w:rsidRDefault="00DB6835" w:rsidP="00A9140F">
            <w:pPr>
              <w:pStyle w:val="AnnexNumberedText"/>
            </w:pPr>
            <w:r>
              <w:t>2)</w:t>
            </w:r>
            <w:r>
              <w:tab/>
              <w:t>Aðlögun að loftslagsbreytingum</w:t>
            </w:r>
          </w:p>
        </w:tc>
        <w:tc>
          <w:tcPr>
            <w:tcW w:w="5640" w:type="dxa"/>
            <w:tcMar>
              <w:top w:w="100" w:type="dxa"/>
              <w:left w:w="40" w:type="dxa"/>
              <w:bottom w:w="100" w:type="dxa"/>
              <w:right w:w="0" w:type="dxa"/>
            </w:tcMar>
          </w:tcPr>
          <w:p w14:paraId="580D864B" w14:textId="77777777" w:rsidR="00DB6835" w:rsidRDefault="00DB6835" w:rsidP="00A9140F">
            <w:pPr>
              <w:pStyle w:val="AnnexTableCellLeft"/>
            </w:pPr>
            <w:r>
              <w:t>Starfsemin er í samræmi við viðmiðanirnar sem settar eru fram í viðbæti A við þennan viðauka.</w:t>
            </w:r>
          </w:p>
        </w:tc>
      </w:tr>
      <w:tr w:rsidR="00DB6835" w14:paraId="57C7044B" w14:textId="77777777" w:rsidTr="00A9140F">
        <w:trPr>
          <w:trHeight w:val="360"/>
        </w:trPr>
        <w:tc>
          <w:tcPr>
            <w:tcW w:w="3100" w:type="dxa"/>
            <w:tcMar>
              <w:top w:w="100" w:type="dxa"/>
              <w:left w:w="0" w:type="dxa"/>
              <w:bottom w:w="100" w:type="dxa"/>
              <w:right w:w="60" w:type="dxa"/>
            </w:tcMar>
          </w:tcPr>
          <w:p w14:paraId="22478651" w14:textId="77777777" w:rsidR="00DB6835" w:rsidRDefault="00DB6835" w:rsidP="00A9140F">
            <w:pPr>
              <w:pStyle w:val="AnnexNumberedText"/>
            </w:pPr>
            <w:r>
              <w:t>3)</w:t>
            </w:r>
            <w:r>
              <w:tab/>
              <w:t>Sjálfbær notkun og verndun vatns- og sjávarauðlinda</w:t>
            </w:r>
          </w:p>
        </w:tc>
        <w:tc>
          <w:tcPr>
            <w:tcW w:w="5640" w:type="dxa"/>
            <w:tcMar>
              <w:top w:w="100" w:type="dxa"/>
              <w:left w:w="40" w:type="dxa"/>
              <w:bottom w:w="100" w:type="dxa"/>
              <w:right w:w="0" w:type="dxa"/>
            </w:tcMar>
          </w:tcPr>
          <w:p w14:paraId="2CF89709" w14:textId="77777777" w:rsidR="00DB6835" w:rsidRDefault="00DB6835" w:rsidP="00A9140F">
            <w:pPr>
              <w:pStyle w:val="AnnexTableCellLeft"/>
            </w:pPr>
            <w:r>
              <w:t>Á ekki við</w:t>
            </w:r>
          </w:p>
        </w:tc>
      </w:tr>
      <w:tr w:rsidR="00DB6835" w14:paraId="511D5795" w14:textId="77777777" w:rsidTr="00A9140F">
        <w:trPr>
          <w:trHeight w:val="360"/>
        </w:trPr>
        <w:tc>
          <w:tcPr>
            <w:tcW w:w="3100" w:type="dxa"/>
            <w:tcMar>
              <w:top w:w="100" w:type="dxa"/>
              <w:left w:w="0" w:type="dxa"/>
              <w:bottom w:w="100" w:type="dxa"/>
              <w:right w:w="60" w:type="dxa"/>
            </w:tcMar>
          </w:tcPr>
          <w:p w14:paraId="08FC8ACA" w14:textId="77777777" w:rsidR="00DB6835" w:rsidRDefault="00DB6835" w:rsidP="00A9140F">
            <w:pPr>
              <w:pStyle w:val="AnnexNumberedText"/>
            </w:pPr>
            <w:r>
              <w:t>4)</w:t>
            </w:r>
            <w:r>
              <w:tab/>
              <w:t>Umskipti yfir í hringrásarhagkerfi</w:t>
            </w:r>
          </w:p>
        </w:tc>
        <w:tc>
          <w:tcPr>
            <w:tcW w:w="5640" w:type="dxa"/>
            <w:tcMar>
              <w:top w:w="100" w:type="dxa"/>
              <w:left w:w="40" w:type="dxa"/>
              <w:bottom w:w="100" w:type="dxa"/>
              <w:right w:w="0" w:type="dxa"/>
            </w:tcMar>
          </w:tcPr>
          <w:p w14:paraId="5B651D2E" w14:textId="77777777" w:rsidR="00DB6835" w:rsidRDefault="00DB6835" w:rsidP="00A9140F">
            <w:pPr>
              <w:pStyle w:val="AnnexTableCellLeft"/>
            </w:pPr>
            <w:r>
              <w:t>Á ekki við</w:t>
            </w:r>
          </w:p>
        </w:tc>
      </w:tr>
      <w:tr w:rsidR="00DB6835" w14:paraId="22A7D4D3" w14:textId="77777777" w:rsidTr="00A9140F">
        <w:trPr>
          <w:trHeight w:val="360"/>
        </w:trPr>
        <w:tc>
          <w:tcPr>
            <w:tcW w:w="3100" w:type="dxa"/>
            <w:tcMar>
              <w:top w:w="100" w:type="dxa"/>
              <w:left w:w="0" w:type="dxa"/>
              <w:bottom w:w="100" w:type="dxa"/>
              <w:right w:w="60" w:type="dxa"/>
            </w:tcMar>
          </w:tcPr>
          <w:p w14:paraId="6DB5E237" w14:textId="77777777" w:rsidR="00DB6835" w:rsidRDefault="00DB6835" w:rsidP="00A9140F">
            <w:pPr>
              <w:pStyle w:val="AnnexNumberedText"/>
            </w:pPr>
            <w:r>
              <w:t>5)</w:t>
            </w:r>
            <w:r>
              <w:tab/>
              <w:t>Mengunarvarnir og eftirlit með mengun</w:t>
            </w:r>
          </w:p>
        </w:tc>
        <w:tc>
          <w:tcPr>
            <w:tcW w:w="5640" w:type="dxa"/>
            <w:tcMar>
              <w:top w:w="100" w:type="dxa"/>
              <w:left w:w="40" w:type="dxa"/>
              <w:bottom w:w="100" w:type="dxa"/>
              <w:right w:w="0" w:type="dxa"/>
            </w:tcMar>
          </w:tcPr>
          <w:p w14:paraId="75B4582E" w14:textId="77777777" w:rsidR="00DB6835" w:rsidRDefault="00DB6835" w:rsidP="00A9140F">
            <w:pPr>
              <w:pStyle w:val="AnnexTableCellLeft"/>
            </w:pPr>
            <w:r>
              <w:t>Á ekki við</w:t>
            </w:r>
          </w:p>
        </w:tc>
      </w:tr>
      <w:tr w:rsidR="00DB6835" w14:paraId="3EFDF02A" w14:textId="77777777" w:rsidTr="00A9140F">
        <w:trPr>
          <w:trHeight w:val="360"/>
        </w:trPr>
        <w:tc>
          <w:tcPr>
            <w:tcW w:w="3100" w:type="dxa"/>
            <w:tcMar>
              <w:top w:w="100" w:type="dxa"/>
              <w:left w:w="0" w:type="dxa"/>
              <w:bottom w:w="100" w:type="dxa"/>
              <w:right w:w="60" w:type="dxa"/>
            </w:tcMar>
          </w:tcPr>
          <w:p w14:paraId="1B9C5CB9" w14:textId="77777777" w:rsidR="00DB6835" w:rsidRDefault="00DB6835" w:rsidP="00A9140F">
            <w:pPr>
              <w:pStyle w:val="AnnexNumberedText"/>
            </w:pPr>
            <w:r>
              <w:t>6)</w:t>
            </w:r>
            <w:r>
              <w:tab/>
              <w:t>Vernd og endurheimt líffræðilegrar fjölbreytni og vistkerfa</w:t>
            </w:r>
          </w:p>
        </w:tc>
        <w:tc>
          <w:tcPr>
            <w:tcW w:w="5640" w:type="dxa"/>
            <w:tcMar>
              <w:top w:w="100" w:type="dxa"/>
              <w:left w:w="40" w:type="dxa"/>
              <w:bottom w:w="100" w:type="dxa"/>
              <w:right w:w="0" w:type="dxa"/>
            </w:tcMar>
          </w:tcPr>
          <w:p w14:paraId="589DF647" w14:textId="77777777" w:rsidR="00DB6835" w:rsidRDefault="00DB6835" w:rsidP="00A9140F">
            <w:pPr>
              <w:pStyle w:val="AnnexTableCellLeft"/>
            </w:pPr>
            <w:r>
              <w:t>Á ekki við</w:t>
            </w:r>
          </w:p>
        </w:tc>
      </w:tr>
    </w:tbl>
    <w:p w14:paraId="2EF34417" w14:textId="77777777" w:rsidR="00DB6835" w:rsidRDefault="00DB6835" w:rsidP="00DB6835">
      <w:pPr>
        <w:pStyle w:val="AnnexNumberedText"/>
        <w:spacing w:before="200" w:after="240"/>
        <w:ind w:left="500" w:hanging="500"/>
      </w:pPr>
      <w:r>
        <w:t>8.</w:t>
      </w:r>
      <w:r>
        <w:tab/>
        <w:t>UPPLÝSINGAR OG SAMSKIPTI</w:t>
      </w:r>
    </w:p>
    <w:p w14:paraId="4587EF1C" w14:textId="77777777" w:rsidR="00DB6835" w:rsidRDefault="00DB6835" w:rsidP="00DB6835">
      <w:pPr>
        <w:pStyle w:val="AnnexNumberedText"/>
        <w:spacing w:after="240"/>
        <w:ind w:left="500" w:hanging="500"/>
      </w:pPr>
      <w:r>
        <w:t>8.1.</w:t>
      </w:r>
      <w:r>
        <w:rPr>
          <w:b/>
        </w:rPr>
        <w:tab/>
        <w:t xml:space="preserve">Gagnavinnsla, </w:t>
      </w:r>
      <w:proofErr w:type="spellStart"/>
      <w:r>
        <w:rPr>
          <w:b/>
        </w:rPr>
        <w:t>hýsing</w:t>
      </w:r>
      <w:proofErr w:type="spellEnd"/>
      <w:r>
        <w:rPr>
          <w:b/>
        </w:rPr>
        <w:t xml:space="preserve"> og tengd starfsemi</w:t>
      </w:r>
    </w:p>
    <w:p w14:paraId="0AECED53" w14:textId="77777777" w:rsidR="00DB6835" w:rsidRDefault="00DB6835" w:rsidP="00DB6835">
      <w:pPr>
        <w:pStyle w:val="AnnexGrSeq3"/>
        <w:spacing w:after="240"/>
        <w:ind w:left="500"/>
        <w:jc w:val="both"/>
      </w:pPr>
      <w:r>
        <w:rPr>
          <w:i/>
        </w:rPr>
        <w:t>Lýsing á starfseminni</w:t>
      </w:r>
    </w:p>
    <w:p w14:paraId="3E594F10" w14:textId="77777777" w:rsidR="00DB6835" w:rsidRDefault="00DB6835" w:rsidP="00DB6835">
      <w:pPr>
        <w:pStyle w:val="AnnexNormal"/>
        <w:spacing w:after="0"/>
        <w:ind w:left="500"/>
      </w:pPr>
      <w:r>
        <w:t>Geymsla, meðferð, stjórnun, flutningur, stýring, sýning, tenging, samskipti, sending eða úrvinnsla gagna gegnum gagnaver (</w:t>
      </w:r>
      <w:bookmarkStart w:id="44" w:name="NOTE_320"/>
      <w:r>
        <w:rPr>
          <w:rStyle w:val="Tilvsunneanmlsgrein"/>
          <w:sz w:val="18"/>
          <w:szCs w:val="18"/>
        </w:rPr>
        <w:footnoteReference w:id="321"/>
      </w:r>
      <w:bookmarkEnd w:id="44"/>
      <w:r>
        <w:t xml:space="preserve">), þ.m.t. tölvuvinnsla í nærumhverfi (e. </w:t>
      </w:r>
      <w:proofErr w:type="spellStart"/>
      <w:r>
        <w:rPr>
          <w:i/>
          <w:iCs/>
        </w:rPr>
        <w:t>edge</w:t>
      </w:r>
      <w:proofErr w:type="spellEnd"/>
      <w:r>
        <w:rPr>
          <w:i/>
          <w:iCs/>
        </w:rPr>
        <w:t xml:space="preserve"> </w:t>
      </w:r>
      <w:proofErr w:type="spellStart"/>
      <w:r>
        <w:rPr>
          <w:i/>
          <w:iCs/>
        </w:rPr>
        <w:t>computing</w:t>
      </w:r>
      <w:proofErr w:type="spellEnd"/>
      <w:r>
        <w:t>).</w:t>
      </w:r>
      <w:r>
        <w:br w:type="page"/>
      </w:r>
    </w:p>
    <w:p w14:paraId="033ADE5A" w14:textId="77777777" w:rsidR="00DB6835" w:rsidRDefault="00DB6835" w:rsidP="00DB6835">
      <w:pPr>
        <w:pStyle w:val="AnnexNormal"/>
        <w:spacing w:after="380"/>
        <w:ind w:left="500"/>
      </w:pPr>
      <w:r>
        <w:lastRenderedPageBreak/>
        <w:t>Atvinnustarfsemin í þessum flokki gæti tengst kóða atvinnugreinaflokkunar Evrópusambandsins J63.11 í samræmi við atvinnugreinaflokkunina sem komið var á með reglugerð (EB) nr. 1893/2006.</w:t>
      </w:r>
    </w:p>
    <w:p w14:paraId="0470C564" w14:textId="77777777" w:rsidR="00DB6835" w:rsidRDefault="00DB6835" w:rsidP="00DB6835">
      <w:pPr>
        <w:pStyle w:val="AnnexNormal"/>
        <w:spacing w:after="380"/>
        <w:ind w:left="500"/>
      </w:pPr>
      <w:r>
        <w:t>Atvinnustarfsemi í þessum flokki er umbreytingarstarfsemi, eins og um getur í 2. mgr. 10. gr. reglugerðar (ESB) 2020/852, þegar hún er í samræmi við tæknilegu matsviðmiðin sem sett eru fram í þessum þætti.</w:t>
      </w:r>
    </w:p>
    <w:p w14:paraId="755144A0" w14:textId="77777777" w:rsidR="00DB6835" w:rsidRDefault="00DB6835" w:rsidP="00DB6835">
      <w:pPr>
        <w:pStyle w:val="AnnexGrSeq3"/>
        <w:spacing w:after="3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020"/>
        <w:gridCol w:w="5720"/>
      </w:tblGrid>
      <w:tr w:rsidR="00DB6835" w14:paraId="4AA3B979" w14:textId="77777777" w:rsidTr="00A9140F">
        <w:trPr>
          <w:trHeight w:val="240"/>
        </w:trPr>
        <w:tc>
          <w:tcPr>
            <w:tcW w:w="8740" w:type="dxa"/>
            <w:gridSpan w:val="2"/>
            <w:tcMar>
              <w:top w:w="100" w:type="dxa"/>
              <w:left w:w="0" w:type="dxa"/>
              <w:bottom w:w="100" w:type="dxa"/>
              <w:right w:w="60" w:type="dxa"/>
            </w:tcMar>
          </w:tcPr>
          <w:p w14:paraId="49C2A0E8"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45DF8781" w14:textId="77777777" w:rsidTr="00A9140F">
        <w:trPr>
          <w:trHeight w:val="360"/>
        </w:trPr>
        <w:tc>
          <w:tcPr>
            <w:tcW w:w="8740" w:type="dxa"/>
            <w:gridSpan w:val="2"/>
            <w:tcMar>
              <w:top w:w="100" w:type="dxa"/>
              <w:left w:w="0" w:type="dxa"/>
              <w:bottom w:w="100" w:type="dxa"/>
              <w:right w:w="60" w:type="dxa"/>
            </w:tcMar>
          </w:tcPr>
          <w:p w14:paraId="060F44F5" w14:textId="77777777" w:rsidR="00DB6835" w:rsidRDefault="00DB6835" w:rsidP="00A9140F">
            <w:pPr>
              <w:pStyle w:val="AnnexNumberedText"/>
              <w:tabs>
                <w:tab w:val="left" w:pos="508"/>
              </w:tabs>
              <w:spacing w:after="380"/>
              <w:ind w:left="0" w:firstLine="0"/>
            </w:pPr>
            <w:r>
              <w:t>1.</w:t>
            </w:r>
            <w:r>
              <w:tab/>
              <w:t>Í starfseminni hafa verið innleiddar allar viðeigandi starfsvenjur sem eru skráðar sem „</w:t>
            </w:r>
            <w:proofErr w:type="spellStart"/>
            <w:r>
              <w:t>væntar</w:t>
            </w:r>
            <w:proofErr w:type="spellEnd"/>
            <w:r>
              <w:t xml:space="preserve"> starfsvenjur“ í nýjustu útgáfu evrópskra siðareglna um </w:t>
            </w:r>
            <w:proofErr w:type="spellStart"/>
            <w:r>
              <w:t>orkunýtni</w:t>
            </w:r>
            <w:proofErr w:type="spellEnd"/>
            <w:r>
              <w:t xml:space="preserve"> gagnavera (European Code of </w:t>
            </w:r>
            <w:proofErr w:type="spellStart"/>
            <w:r>
              <w:t>Conduct</w:t>
            </w:r>
            <w:proofErr w:type="spellEnd"/>
            <w:r>
              <w:t xml:space="preserve"> on Data </w:t>
            </w:r>
            <w:proofErr w:type="spellStart"/>
            <w:r>
              <w:t>Centre</w:t>
            </w:r>
            <w:proofErr w:type="spellEnd"/>
            <w:r>
              <w:t xml:space="preserve"> Energy </w:t>
            </w:r>
            <w:proofErr w:type="spellStart"/>
            <w:r>
              <w:t>Efficiency</w:t>
            </w:r>
            <w:proofErr w:type="spellEnd"/>
            <w:r>
              <w:t>) (</w:t>
            </w:r>
            <w:r>
              <w:rPr>
                <w:rStyle w:val="Tilvsunneanmlsgrein"/>
                <w:sz w:val="18"/>
              </w:rPr>
              <w:footnoteReference w:id="322"/>
            </w:r>
            <w:r>
              <w:t xml:space="preserve">), eða í CEN-CENELEC-skjali CLC TR50600-99-1 „Data </w:t>
            </w:r>
            <w:proofErr w:type="spellStart"/>
            <w:r>
              <w:t>centre</w:t>
            </w:r>
            <w:proofErr w:type="spellEnd"/>
            <w:r>
              <w:t xml:space="preserve"> </w:t>
            </w:r>
            <w:proofErr w:type="spellStart"/>
            <w:r>
              <w:t>facilities</w:t>
            </w:r>
            <w:proofErr w:type="spellEnd"/>
            <w:r>
              <w:t xml:space="preserve"> </w:t>
            </w:r>
            <w:proofErr w:type="spellStart"/>
            <w:r>
              <w:t>and</w:t>
            </w:r>
            <w:proofErr w:type="spellEnd"/>
            <w:r>
              <w:t xml:space="preserve"> </w:t>
            </w:r>
            <w:proofErr w:type="spellStart"/>
            <w:r>
              <w:t>infrastructures</w:t>
            </w:r>
            <w:proofErr w:type="spellEnd"/>
            <w:r>
              <w:t xml:space="preserve"> - Part 99-1: </w:t>
            </w:r>
            <w:proofErr w:type="spellStart"/>
            <w:r>
              <w:t>Recommended</w:t>
            </w:r>
            <w:proofErr w:type="spellEnd"/>
            <w:r>
              <w:t xml:space="preserve"> </w:t>
            </w:r>
            <w:proofErr w:type="spellStart"/>
            <w:r>
              <w:t>practices</w:t>
            </w:r>
            <w:proofErr w:type="spellEnd"/>
            <w:r>
              <w:t xml:space="preserve"> for </w:t>
            </w:r>
            <w:proofErr w:type="spellStart"/>
            <w:r>
              <w:t>energy</w:t>
            </w:r>
            <w:proofErr w:type="spellEnd"/>
            <w:r>
              <w:t xml:space="preserve"> </w:t>
            </w:r>
            <w:proofErr w:type="spellStart"/>
            <w:r>
              <w:t>management</w:t>
            </w:r>
            <w:proofErr w:type="spellEnd"/>
            <w:r>
              <w:t>“ (</w:t>
            </w:r>
            <w:r>
              <w:rPr>
                <w:rStyle w:val="Tilvsunneanmlsgrein"/>
                <w:sz w:val="18"/>
              </w:rPr>
              <w:footnoteReference w:id="323"/>
            </w:r>
            <w:r>
              <w:t>).</w:t>
            </w:r>
          </w:p>
          <w:p w14:paraId="12D510FF" w14:textId="77777777" w:rsidR="00DB6835" w:rsidRDefault="00DB6835" w:rsidP="00A9140F">
            <w:pPr>
              <w:pStyle w:val="AnnexTableCellLeft"/>
              <w:spacing w:after="380"/>
            </w:pPr>
            <w:r>
              <w:t>Óháður þriðji aðili sannprófar framkvæmd þessara starfsvenja og þær eru endurskoðaðar a.m.k. þriðja hvert ár.</w:t>
            </w:r>
          </w:p>
          <w:p w14:paraId="12F9BDA3" w14:textId="77777777" w:rsidR="00DB6835" w:rsidRDefault="00DB6835" w:rsidP="00A9140F">
            <w:pPr>
              <w:pStyle w:val="AnnexNumberedText"/>
              <w:tabs>
                <w:tab w:val="left" w:pos="508"/>
              </w:tabs>
              <w:spacing w:after="380"/>
              <w:ind w:left="0" w:firstLine="0"/>
            </w:pPr>
            <w:r>
              <w:t>2.</w:t>
            </w:r>
            <w:r>
              <w:tab/>
              <w:t xml:space="preserve">Ef </w:t>
            </w:r>
            <w:proofErr w:type="spellStart"/>
            <w:r>
              <w:t>væntar</w:t>
            </w:r>
            <w:proofErr w:type="spellEnd"/>
            <w:r>
              <w:t xml:space="preserve"> starfsvenjur teljast ekki skipta máli vegna áþreifanlegra eða skipulagstengdra hindrana, hindrana við áætlanagerð eða annarra hindrana er látin í té útskýring á því hvers vegna </w:t>
            </w:r>
            <w:proofErr w:type="spellStart"/>
            <w:r>
              <w:t>væntar</w:t>
            </w:r>
            <w:proofErr w:type="spellEnd"/>
            <w:r>
              <w:t xml:space="preserve"> starfsvenjur eiga hvorki við né eru raunhæfar. Tilgreina má aðrar bestu starfsvenjur úr evrópsku siðareglunum um </w:t>
            </w:r>
            <w:proofErr w:type="spellStart"/>
            <w:r>
              <w:t>orkunýtni</w:t>
            </w:r>
            <w:proofErr w:type="spellEnd"/>
            <w:r>
              <w:t xml:space="preserve"> gagnavera eða öðrum jafngildum heimildum til að koma í staðinn ef þær leiða til svipaðs orkusparnaðar.</w:t>
            </w:r>
          </w:p>
          <w:p w14:paraId="11ECD622" w14:textId="77777777" w:rsidR="00DB6835" w:rsidRDefault="00DB6835" w:rsidP="00A9140F">
            <w:pPr>
              <w:pStyle w:val="AnnexNumberedText"/>
              <w:tabs>
                <w:tab w:val="left" w:pos="508"/>
              </w:tabs>
              <w:spacing w:after="380"/>
              <w:ind w:left="0" w:firstLine="0"/>
            </w:pPr>
            <w:r>
              <w:t>3.</w:t>
            </w:r>
            <w:r>
              <w:tab/>
              <w:t>Hnatthlýnunarmáttur kælimiðla sem eru notaðir í kælikerfi gagnaversins fer ekki yfir 675.</w:t>
            </w:r>
          </w:p>
        </w:tc>
      </w:tr>
      <w:tr w:rsidR="00DB6835" w14:paraId="59BE75B7" w14:textId="77777777" w:rsidTr="00A9140F">
        <w:trPr>
          <w:trHeight w:val="240"/>
        </w:trPr>
        <w:tc>
          <w:tcPr>
            <w:tcW w:w="8740" w:type="dxa"/>
            <w:gridSpan w:val="2"/>
            <w:tcMar>
              <w:top w:w="100" w:type="dxa"/>
              <w:left w:w="0" w:type="dxa"/>
              <w:bottom w:w="100" w:type="dxa"/>
              <w:right w:w="60" w:type="dxa"/>
            </w:tcMar>
          </w:tcPr>
          <w:p w14:paraId="2B5E3FB3" w14:textId="77777777" w:rsidR="00DB6835" w:rsidRDefault="00DB6835" w:rsidP="00A9140F">
            <w:pPr>
              <w:pStyle w:val="AnnexTableCellLeft"/>
            </w:pPr>
            <w:r>
              <w:t>Ekki valda umtalsverðu tjóni</w:t>
            </w:r>
          </w:p>
        </w:tc>
      </w:tr>
      <w:tr w:rsidR="00DB6835" w14:paraId="743C242B" w14:textId="77777777" w:rsidTr="00A9140F">
        <w:trPr>
          <w:trHeight w:val="360"/>
        </w:trPr>
        <w:tc>
          <w:tcPr>
            <w:tcW w:w="3020" w:type="dxa"/>
            <w:tcMar>
              <w:top w:w="100" w:type="dxa"/>
              <w:left w:w="0" w:type="dxa"/>
              <w:bottom w:w="100" w:type="dxa"/>
              <w:right w:w="60" w:type="dxa"/>
            </w:tcMar>
          </w:tcPr>
          <w:p w14:paraId="7AB6D674" w14:textId="77777777" w:rsidR="00DB6835" w:rsidRDefault="00DB6835" w:rsidP="00A9140F">
            <w:pPr>
              <w:pStyle w:val="AnnexNumberedText"/>
            </w:pPr>
            <w:r>
              <w:t>2)</w:t>
            </w:r>
            <w:r>
              <w:tab/>
              <w:t>Aðlögun að loftslagsbreytingum</w:t>
            </w:r>
          </w:p>
        </w:tc>
        <w:tc>
          <w:tcPr>
            <w:tcW w:w="5720" w:type="dxa"/>
            <w:tcMar>
              <w:top w:w="100" w:type="dxa"/>
              <w:left w:w="40" w:type="dxa"/>
              <w:bottom w:w="100" w:type="dxa"/>
              <w:right w:w="0" w:type="dxa"/>
            </w:tcMar>
          </w:tcPr>
          <w:p w14:paraId="534E0C56" w14:textId="77777777" w:rsidR="00DB6835" w:rsidRDefault="00DB6835" w:rsidP="00A9140F">
            <w:pPr>
              <w:pStyle w:val="AnnexTableCellLeft"/>
            </w:pPr>
            <w:r>
              <w:t>Starfsemin er í samræmi við viðmiðanirnar sem settar eru fram í viðbæti A við þennan viðauka.</w:t>
            </w:r>
          </w:p>
        </w:tc>
      </w:tr>
      <w:tr w:rsidR="00DB6835" w14:paraId="1F653EC3" w14:textId="77777777" w:rsidTr="00A9140F">
        <w:trPr>
          <w:trHeight w:val="360"/>
        </w:trPr>
        <w:tc>
          <w:tcPr>
            <w:tcW w:w="3020" w:type="dxa"/>
            <w:tcBorders>
              <w:bottom w:val="single" w:sz="4" w:space="0" w:color="auto"/>
            </w:tcBorders>
            <w:tcMar>
              <w:top w:w="100" w:type="dxa"/>
              <w:left w:w="0" w:type="dxa"/>
              <w:bottom w:w="100" w:type="dxa"/>
              <w:right w:w="60" w:type="dxa"/>
            </w:tcMar>
          </w:tcPr>
          <w:p w14:paraId="42447929" w14:textId="77777777" w:rsidR="00DB6835" w:rsidRDefault="00DB6835" w:rsidP="00A9140F">
            <w:pPr>
              <w:pStyle w:val="AnnexNumberedText"/>
            </w:pPr>
            <w:r>
              <w:t>3)</w:t>
            </w:r>
            <w:r>
              <w:tab/>
              <w:t>Sjálfbær notkun og verndun vatns- og sjávarauðlinda</w:t>
            </w:r>
          </w:p>
        </w:tc>
        <w:tc>
          <w:tcPr>
            <w:tcW w:w="5720" w:type="dxa"/>
            <w:tcBorders>
              <w:bottom w:val="single" w:sz="4" w:space="0" w:color="auto"/>
            </w:tcBorders>
            <w:tcMar>
              <w:top w:w="100" w:type="dxa"/>
              <w:left w:w="40" w:type="dxa"/>
              <w:bottom w:w="100" w:type="dxa"/>
              <w:right w:w="0" w:type="dxa"/>
            </w:tcMar>
          </w:tcPr>
          <w:p w14:paraId="57E8F754" w14:textId="77777777" w:rsidR="00DB6835" w:rsidRDefault="00DB6835" w:rsidP="00A9140F">
            <w:pPr>
              <w:pStyle w:val="AnnexTableCellLeft"/>
            </w:pPr>
            <w:r>
              <w:t>Starfsemin er í samræmi við viðmiðanirnar sem settar eru fram í viðbæti B við þennan viðauka.</w:t>
            </w:r>
          </w:p>
        </w:tc>
      </w:tr>
      <w:tr w:rsidR="00DB6835" w14:paraId="0C2B9D06" w14:textId="77777777" w:rsidTr="00A9140F">
        <w:trPr>
          <w:trHeight w:val="360"/>
        </w:trPr>
        <w:tc>
          <w:tcPr>
            <w:tcW w:w="3020" w:type="dxa"/>
            <w:tcBorders>
              <w:bottom w:val="nil"/>
            </w:tcBorders>
            <w:tcMar>
              <w:top w:w="100" w:type="dxa"/>
              <w:left w:w="0" w:type="dxa"/>
              <w:bottom w:w="100" w:type="dxa"/>
              <w:right w:w="60" w:type="dxa"/>
            </w:tcMar>
          </w:tcPr>
          <w:p w14:paraId="0A25923D" w14:textId="77777777" w:rsidR="00DB6835" w:rsidRDefault="00DB6835" w:rsidP="00A9140F">
            <w:pPr>
              <w:pStyle w:val="AnnexNumberedText"/>
            </w:pPr>
            <w:r>
              <w:t>4)</w:t>
            </w:r>
            <w:r>
              <w:tab/>
              <w:t>Umskipti yfir í hringrásarhagkerfi</w:t>
            </w:r>
          </w:p>
        </w:tc>
        <w:tc>
          <w:tcPr>
            <w:tcW w:w="5720" w:type="dxa"/>
            <w:tcBorders>
              <w:bottom w:val="nil"/>
            </w:tcBorders>
            <w:tcMar>
              <w:top w:w="100" w:type="dxa"/>
              <w:left w:w="40" w:type="dxa"/>
              <w:bottom w:w="100" w:type="dxa"/>
              <w:right w:w="0" w:type="dxa"/>
            </w:tcMar>
          </w:tcPr>
          <w:p w14:paraId="5E67E801" w14:textId="77777777" w:rsidR="00DB6835" w:rsidRDefault="00DB6835" w:rsidP="00A9140F">
            <w:pPr>
              <w:pStyle w:val="AnnexTableCellLeft"/>
              <w:spacing w:after="380"/>
            </w:pPr>
            <w:r>
              <w:t>Búnaðurinn sem er notaður uppfyllir kröfurnar sem mælt er fyrir um í tilskipun 2009/125/EB fyrir netþjóna og gagnageymsluvörur.</w:t>
            </w:r>
          </w:p>
          <w:p w14:paraId="533C50E5" w14:textId="77777777" w:rsidR="00DB6835" w:rsidRDefault="00DB6835" w:rsidP="00A9140F">
            <w:pPr>
              <w:pStyle w:val="AnnexTableCellLeft"/>
              <w:spacing w:after="380"/>
            </w:pPr>
            <w:r>
              <w:t>Búnaðurinn sem er notaður inniheldur ekki efni sem sæta takmörkunum og eru skráð í II. viðauka við tilskipun Evrópuþingsins og ráðsins 2011/65/ESB (</w:t>
            </w:r>
            <w:r>
              <w:rPr>
                <w:rStyle w:val="Tilvsunneanmlsgrein"/>
                <w:sz w:val="18"/>
              </w:rPr>
              <w:footnoteReference w:id="324"/>
            </w:r>
            <w:r>
              <w:t>) nema því aðeins að styrkur miðað við þyngd ósamsettra efna fari ekki yfir hámarksgildin sem eru skráð í þann viðauka.</w:t>
            </w:r>
          </w:p>
          <w:p w14:paraId="4BF8358F" w14:textId="77777777" w:rsidR="00DB6835" w:rsidRDefault="00DB6835" w:rsidP="00A9140F">
            <w:pPr>
              <w:pStyle w:val="AnnexTableCellLeft"/>
            </w:pPr>
            <w:r>
              <w:t xml:space="preserve">Úrgangsstjórnunaráætlun er til staðar og tryggir hámarksendurvinnslu </w:t>
            </w:r>
            <w:proofErr w:type="spellStart"/>
            <w:r>
              <w:t>raf</w:t>
            </w:r>
            <w:proofErr w:type="spellEnd"/>
            <w:r>
              <w:t>- og rafeindabúnaðar við lok vistferilsins, þ.m.t. með samningsbundnu samkomu</w:t>
            </w:r>
            <w:r>
              <w:lastRenderedPageBreak/>
              <w:t>lagi við samstarfsaðila um endurvinnslu, endurspeglast í fjárhagslegum spám eða opinberum skjölum um verkefnið.</w:t>
            </w:r>
          </w:p>
        </w:tc>
      </w:tr>
      <w:tr w:rsidR="00DB6835" w14:paraId="46DF4E4B" w14:textId="77777777" w:rsidTr="00A9140F">
        <w:trPr>
          <w:trHeight w:val="240"/>
        </w:trPr>
        <w:tc>
          <w:tcPr>
            <w:tcW w:w="3020" w:type="dxa"/>
            <w:tcBorders>
              <w:top w:val="single" w:sz="4" w:space="0" w:color="auto"/>
            </w:tcBorders>
            <w:tcMar>
              <w:top w:w="100" w:type="dxa"/>
              <w:left w:w="0" w:type="dxa"/>
              <w:bottom w:w="100" w:type="dxa"/>
              <w:right w:w="60" w:type="dxa"/>
            </w:tcMar>
          </w:tcPr>
          <w:p w14:paraId="00339C24" w14:textId="77777777" w:rsidR="00DB6835" w:rsidRDefault="00DB6835" w:rsidP="00A9140F">
            <w:pPr>
              <w:pStyle w:val="AnnexTableCellLeft"/>
              <w:pageBreakBefore/>
            </w:pPr>
          </w:p>
        </w:tc>
        <w:tc>
          <w:tcPr>
            <w:tcW w:w="5720" w:type="dxa"/>
            <w:tcBorders>
              <w:top w:val="single" w:sz="4" w:space="0" w:color="auto"/>
            </w:tcBorders>
            <w:tcMar>
              <w:top w:w="100" w:type="dxa"/>
              <w:left w:w="40" w:type="dxa"/>
              <w:bottom w:w="100" w:type="dxa"/>
              <w:right w:w="0" w:type="dxa"/>
            </w:tcMar>
          </w:tcPr>
          <w:p w14:paraId="56F9C3F4" w14:textId="77777777" w:rsidR="00DB6835" w:rsidRDefault="00DB6835" w:rsidP="00A9140F">
            <w:pPr>
              <w:pStyle w:val="AnnexTableCellLeft"/>
              <w:rPr>
                <w:szCs w:val="18"/>
              </w:rPr>
            </w:pPr>
            <w:r>
              <w:t xml:space="preserve">Við lok vistferils fer búnaðurinn í gegnum undirbúning fyrir endurnotkun, </w:t>
            </w:r>
            <w:proofErr w:type="spellStart"/>
            <w:r>
              <w:t>endurnýtingu</w:t>
            </w:r>
            <w:proofErr w:type="spellEnd"/>
            <w:r>
              <w:t xml:space="preserve"> eða endurvinnslu, eða rétta meðhöndlun, þ.m.t. að allir vökvar eru fjarlægðir og sérmeðhöndlun í samræmi við VII. viðauka við tilskipun Evrópuþingsins og ráðsins 2012/19/ESB (</w:t>
            </w:r>
            <w:r>
              <w:rPr>
                <w:rStyle w:val="Tilvsunneanmlsgrein"/>
                <w:sz w:val="18"/>
                <w:szCs w:val="18"/>
              </w:rPr>
              <w:footnoteReference w:id="325"/>
            </w:r>
            <w:r>
              <w:t>).</w:t>
            </w:r>
          </w:p>
        </w:tc>
      </w:tr>
      <w:tr w:rsidR="00DB6835" w14:paraId="48DB98AF" w14:textId="77777777" w:rsidTr="00A9140F">
        <w:trPr>
          <w:trHeight w:val="360"/>
        </w:trPr>
        <w:tc>
          <w:tcPr>
            <w:tcW w:w="3020" w:type="dxa"/>
            <w:tcMar>
              <w:top w:w="100" w:type="dxa"/>
              <w:left w:w="0" w:type="dxa"/>
              <w:bottom w:w="100" w:type="dxa"/>
              <w:right w:w="60" w:type="dxa"/>
            </w:tcMar>
          </w:tcPr>
          <w:p w14:paraId="7FCB75A0" w14:textId="77777777" w:rsidR="00DB6835" w:rsidRDefault="00DB6835" w:rsidP="00A9140F">
            <w:pPr>
              <w:pStyle w:val="AnnexNumberedText"/>
            </w:pPr>
            <w:r>
              <w:t>5)</w:t>
            </w:r>
            <w:r>
              <w:tab/>
              <w:t>Mengunarvarnir og eftirlit með mengun</w:t>
            </w:r>
          </w:p>
        </w:tc>
        <w:tc>
          <w:tcPr>
            <w:tcW w:w="5720" w:type="dxa"/>
            <w:tcMar>
              <w:top w:w="100" w:type="dxa"/>
              <w:left w:w="40" w:type="dxa"/>
              <w:bottom w:w="100" w:type="dxa"/>
              <w:right w:w="0" w:type="dxa"/>
            </w:tcMar>
          </w:tcPr>
          <w:p w14:paraId="3B6C67EC" w14:textId="77777777" w:rsidR="00DB6835" w:rsidRDefault="00DB6835" w:rsidP="00A9140F">
            <w:pPr>
              <w:pStyle w:val="AnnexTableCellLeft"/>
            </w:pPr>
            <w:r>
              <w:t>Á ekki við</w:t>
            </w:r>
          </w:p>
        </w:tc>
      </w:tr>
      <w:tr w:rsidR="00DB6835" w14:paraId="0949E5B6" w14:textId="77777777" w:rsidTr="00A9140F">
        <w:trPr>
          <w:trHeight w:val="360"/>
        </w:trPr>
        <w:tc>
          <w:tcPr>
            <w:tcW w:w="3020" w:type="dxa"/>
            <w:tcMar>
              <w:top w:w="100" w:type="dxa"/>
              <w:left w:w="0" w:type="dxa"/>
              <w:bottom w:w="100" w:type="dxa"/>
              <w:right w:w="60" w:type="dxa"/>
            </w:tcMar>
          </w:tcPr>
          <w:p w14:paraId="2B7D4426" w14:textId="77777777" w:rsidR="00DB6835" w:rsidRDefault="00DB6835" w:rsidP="00A9140F">
            <w:pPr>
              <w:pStyle w:val="AnnexNumberedText"/>
            </w:pPr>
            <w:r>
              <w:t>6)</w:t>
            </w:r>
            <w:r>
              <w:tab/>
              <w:t>Vernd og endurheimt líffræðilegrar fjölbreytni og vistkerfa</w:t>
            </w:r>
          </w:p>
        </w:tc>
        <w:tc>
          <w:tcPr>
            <w:tcW w:w="5720" w:type="dxa"/>
            <w:tcMar>
              <w:top w:w="100" w:type="dxa"/>
              <w:left w:w="40" w:type="dxa"/>
              <w:bottom w:w="100" w:type="dxa"/>
              <w:right w:w="0" w:type="dxa"/>
            </w:tcMar>
          </w:tcPr>
          <w:p w14:paraId="7FAC1FB8" w14:textId="77777777" w:rsidR="00DB6835" w:rsidRDefault="00DB6835" w:rsidP="00A9140F">
            <w:pPr>
              <w:pStyle w:val="AnnexTableCellLeft"/>
            </w:pPr>
            <w:r>
              <w:t>Á ekki við</w:t>
            </w:r>
          </w:p>
        </w:tc>
      </w:tr>
    </w:tbl>
    <w:p w14:paraId="72FE2100" w14:textId="77777777" w:rsidR="00DB6835" w:rsidRDefault="00DB6835" w:rsidP="00DB6835">
      <w:pPr>
        <w:pStyle w:val="AnnexNumberedText"/>
        <w:spacing w:before="200" w:after="280"/>
        <w:ind w:left="500" w:hanging="500"/>
      </w:pPr>
      <w:r>
        <w:t>8.2.</w:t>
      </w:r>
      <w:r>
        <w:rPr>
          <w:b/>
        </w:rPr>
        <w:tab/>
        <w:t>Gagnadrifnar lausnir til að draga úr losun gróðurhúsalofttegunda</w:t>
      </w:r>
    </w:p>
    <w:p w14:paraId="1A44EB72" w14:textId="77777777" w:rsidR="00DB6835" w:rsidRDefault="00DB6835" w:rsidP="00DB6835">
      <w:pPr>
        <w:pStyle w:val="AnnexGrSeq3"/>
        <w:spacing w:after="280"/>
        <w:ind w:left="500"/>
        <w:jc w:val="both"/>
      </w:pPr>
      <w:r>
        <w:rPr>
          <w:i/>
        </w:rPr>
        <w:t>Lýsing á starfseminni</w:t>
      </w:r>
    </w:p>
    <w:p w14:paraId="6109445C" w14:textId="77777777" w:rsidR="00DB6835" w:rsidRDefault="00DB6835" w:rsidP="00DB6835">
      <w:pPr>
        <w:pStyle w:val="AnnexNormal"/>
        <w:spacing w:after="280"/>
        <w:ind w:left="500"/>
      </w:pPr>
      <w:r>
        <w:t xml:space="preserve">Þróun eða notkun á upplýsinga- og fjarskiptatæknilausnum sem miða að söfnun, sendingu, geymslu, líkanasmíði og notkun gagna þegar þessi starfsemi miðar aðallega að því að láta í té gögn og greiningar sem gera samdrátt í losun gróðurhúsalofttegunda mögulegan. Slíkar upplýsinga- og fjarskiptatæknilausnir geta m.a. náð yfir notkun á dreifstýrðri tækni (þ.e. dreifð </w:t>
      </w:r>
      <w:proofErr w:type="spellStart"/>
      <w:r>
        <w:t>færsluskráartækni</w:t>
      </w:r>
      <w:proofErr w:type="spellEnd"/>
      <w:r>
        <w:t>), neti hlutanna, 5G og gervigreind. Atvinnustarfsemin í þessum flokki gæti tengst nokkrum kóðum atvinnugreinaflokkunar Evrópusambandsins, einkum J61, J62 og J63.11, í samræmi við atvinnugreinaflokkunina sem komið var á með reglugerð (EB) nr. 1893/2006.</w:t>
      </w:r>
    </w:p>
    <w:p w14:paraId="3B90765B" w14:textId="77777777" w:rsidR="00DB6835" w:rsidRDefault="00DB6835" w:rsidP="00DB6835">
      <w:pPr>
        <w:pStyle w:val="AnnexNormal"/>
        <w:spacing w:after="28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30196158" w14:textId="77777777" w:rsidR="00DB6835" w:rsidRDefault="00DB6835" w:rsidP="00DB6835">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28"/>
        <w:gridCol w:w="5912"/>
      </w:tblGrid>
      <w:tr w:rsidR="00DB6835" w14:paraId="2D1A4C0F" w14:textId="77777777" w:rsidTr="00A9140F">
        <w:trPr>
          <w:trHeight w:val="240"/>
        </w:trPr>
        <w:tc>
          <w:tcPr>
            <w:tcW w:w="8740" w:type="dxa"/>
            <w:gridSpan w:val="2"/>
            <w:tcMar>
              <w:top w:w="100" w:type="dxa"/>
              <w:left w:w="0" w:type="dxa"/>
              <w:bottom w:w="100" w:type="dxa"/>
              <w:right w:w="60" w:type="dxa"/>
            </w:tcMar>
          </w:tcPr>
          <w:p w14:paraId="58B8301A"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1F55B3AA" w14:textId="77777777" w:rsidTr="00A9140F">
        <w:trPr>
          <w:trHeight w:val="240"/>
        </w:trPr>
        <w:tc>
          <w:tcPr>
            <w:tcW w:w="8740" w:type="dxa"/>
            <w:gridSpan w:val="2"/>
            <w:tcMar>
              <w:top w:w="100" w:type="dxa"/>
              <w:left w:w="0" w:type="dxa"/>
              <w:bottom w:w="100" w:type="dxa"/>
              <w:right w:w="60" w:type="dxa"/>
            </w:tcMar>
          </w:tcPr>
          <w:p w14:paraId="64E4A387" w14:textId="77777777" w:rsidR="00DB6835" w:rsidRDefault="00DB6835" w:rsidP="00A9140F">
            <w:pPr>
              <w:pStyle w:val="AnnexNumberedText"/>
              <w:tabs>
                <w:tab w:val="left" w:pos="508"/>
              </w:tabs>
              <w:spacing w:after="280"/>
              <w:ind w:left="0" w:firstLine="0"/>
            </w:pPr>
            <w:r>
              <w:t>1.</w:t>
            </w:r>
            <w:r>
              <w:tab/>
              <w:t>Upplýsinga- og fjarskiptatæknilausnir eru aðallega notaðar til að láta í té gögn og greiningar sem gera samdrátt í losun gróðurhúsalofttegunda mögulegan.</w:t>
            </w:r>
          </w:p>
          <w:p w14:paraId="32626835" w14:textId="77777777" w:rsidR="00DB6835" w:rsidRDefault="00DB6835" w:rsidP="00A9140F">
            <w:pPr>
              <w:pStyle w:val="AnnexNumberedText"/>
              <w:tabs>
                <w:tab w:val="left" w:pos="508"/>
              </w:tabs>
              <w:spacing w:after="280"/>
              <w:ind w:left="0" w:firstLine="0"/>
            </w:pPr>
            <w:r>
              <w:t>2.</w:t>
            </w:r>
            <w:r>
              <w:tab/>
              <w:t>Ef önnur lausn/tækni er þegar tiltæk á markaðnum hefur upplýsinga- og fjarskiptatæknilausnin í för með sér verulega minnkun á losun gróðurhúsalofttegunda á vistferlinum samanborið við aðra lausn/tækni sem skilar bestum árangri.</w:t>
            </w:r>
          </w:p>
          <w:p w14:paraId="04447DE4" w14:textId="77777777" w:rsidR="00DB6835" w:rsidRDefault="00DB6835" w:rsidP="00A9140F">
            <w:pPr>
              <w:pStyle w:val="AnnexTableCellLeft"/>
              <w:spacing w:after="280"/>
            </w:pPr>
            <w:r>
              <w:t>Losun gróðurhúsalofttegunda á vistferlinum og nettólosun er reiknuð út með því að nota tilmæli 2013/179/ESB eða, að öðrum kosti, með því að nota ETSI ES 203 199 (</w:t>
            </w:r>
            <w:r>
              <w:rPr>
                <w:rStyle w:val="Tilvsunneanmlsgrein"/>
                <w:sz w:val="18"/>
              </w:rPr>
              <w:footnoteReference w:id="326"/>
            </w:r>
            <w:r>
              <w:t>), ISO 14067:2018 (</w:t>
            </w:r>
            <w:r>
              <w:rPr>
                <w:rStyle w:val="Tilvsunneanmlsgrein"/>
                <w:sz w:val="18"/>
              </w:rPr>
              <w:footnoteReference w:id="327"/>
            </w:r>
            <w:r>
              <w:t>) eða ISO 14064-2:2019 (</w:t>
            </w:r>
            <w:r>
              <w:rPr>
                <w:rStyle w:val="Tilvsunneanmlsgrein"/>
                <w:sz w:val="18"/>
              </w:rPr>
              <w:footnoteReference w:id="328"/>
            </w:r>
            <w:r>
              <w:t>).</w:t>
            </w:r>
          </w:p>
          <w:p w14:paraId="529E55FD" w14:textId="77777777" w:rsidR="00DB6835" w:rsidRDefault="00DB6835" w:rsidP="00A9140F">
            <w:pPr>
              <w:pStyle w:val="AnnexTableCellLeft"/>
              <w:spacing w:after="240"/>
            </w:pPr>
            <w:r>
              <w:t>Óháður þriðji aðili, sem metur á gagnsæjan hátt hvernig stöðluðum viðmiðunum, þ.m.t. fyrir gagnrýna skoðun, var fylgt þegar gildið var reiknað út, sannprófar magngreindan samdrátt í losun gróðurhúsalofttegunda á vistferlinum.</w:t>
            </w:r>
          </w:p>
        </w:tc>
      </w:tr>
      <w:tr w:rsidR="00DB6835" w14:paraId="0EB0F7DE" w14:textId="77777777" w:rsidTr="00A9140F">
        <w:trPr>
          <w:trHeight w:val="240"/>
        </w:trPr>
        <w:tc>
          <w:tcPr>
            <w:tcW w:w="8740" w:type="dxa"/>
            <w:gridSpan w:val="2"/>
            <w:tcMar>
              <w:top w:w="100" w:type="dxa"/>
              <w:left w:w="0" w:type="dxa"/>
              <w:bottom w:w="100" w:type="dxa"/>
              <w:right w:w="60" w:type="dxa"/>
            </w:tcMar>
          </w:tcPr>
          <w:p w14:paraId="35DA31B0" w14:textId="77777777" w:rsidR="00DB6835" w:rsidRDefault="00DB6835" w:rsidP="00A9140F">
            <w:pPr>
              <w:pStyle w:val="AnnexTableCellLeft"/>
            </w:pPr>
            <w:r>
              <w:t>Ekki valda umtalsverðu tjóni</w:t>
            </w:r>
          </w:p>
        </w:tc>
      </w:tr>
      <w:tr w:rsidR="00DB6835" w14:paraId="46A07D23" w14:textId="77777777" w:rsidTr="00A9140F">
        <w:trPr>
          <w:trHeight w:val="360"/>
        </w:trPr>
        <w:tc>
          <w:tcPr>
            <w:tcW w:w="2828" w:type="dxa"/>
            <w:tcMar>
              <w:top w:w="100" w:type="dxa"/>
              <w:left w:w="0" w:type="dxa"/>
              <w:bottom w:w="100" w:type="dxa"/>
              <w:right w:w="60" w:type="dxa"/>
            </w:tcMar>
          </w:tcPr>
          <w:p w14:paraId="3621CBB4" w14:textId="77777777" w:rsidR="00DB6835" w:rsidRDefault="00DB6835" w:rsidP="00A9140F">
            <w:pPr>
              <w:pStyle w:val="AnnexNumberedText"/>
            </w:pPr>
            <w:r>
              <w:lastRenderedPageBreak/>
              <w:t>2)</w:t>
            </w:r>
            <w:r>
              <w:tab/>
              <w:t>Aðlögun að loftslagsbreytingum</w:t>
            </w:r>
          </w:p>
        </w:tc>
        <w:tc>
          <w:tcPr>
            <w:tcW w:w="5912" w:type="dxa"/>
            <w:tcMar>
              <w:top w:w="100" w:type="dxa"/>
              <w:left w:w="40" w:type="dxa"/>
              <w:bottom w:w="100" w:type="dxa"/>
              <w:right w:w="0" w:type="dxa"/>
            </w:tcMar>
          </w:tcPr>
          <w:p w14:paraId="499079E1" w14:textId="77777777" w:rsidR="00DB6835" w:rsidRDefault="00DB6835" w:rsidP="00A9140F">
            <w:pPr>
              <w:pStyle w:val="AnnexTableCellLeft"/>
            </w:pPr>
            <w:r>
              <w:t>Starfsemin er í samræmi við viðmiðanirnar sem settar eru fram í viðbæti A við þennan viðauka.</w:t>
            </w:r>
          </w:p>
        </w:tc>
      </w:tr>
      <w:tr w:rsidR="00DB6835" w14:paraId="5CE002F1" w14:textId="77777777" w:rsidTr="00A9140F">
        <w:trPr>
          <w:trHeight w:val="360"/>
        </w:trPr>
        <w:tc>
          <w:tcPr>
            <w:tcW w:w="2828" w:type="dxa"/>
            <w:tcMar>
              <w:top w:w="100" w:type="dxa"/>
              <w:left w:w="0" w:type="dxa"/>
              <w:bottom w:w="100" w:type="dxa"/>
              <w:right w:w="60" w:type="dxa"/>
            </w:tcMar>
          </w:tcPr>
          <w:p w14:paraId="15ED7DBC" w14:textId="77777777" w:rsidR="00DB6835" w:rsidRDefault="00DB6835" w:rsidP="00A9140F">
            <w:pPr>
              <w:pStyle w:val="AnnexNumberedText"/>
              <w:pageBreakBefore/>
            </w:pPr>
            <w:r>
              <w:lastRenderedPageBreak/>
              <w:t>3)</w:t>
            </w:r>
            <w:r>
              <w:tab/>
              <w:t>Sjálfbær notkun og verndun vatns- og sjávarauðlinda</w:t>
            </w:r>
          </w:p>
        </w:tc>
        <w:tc>
          <w:tcPr>
            <w:tcW w:w="5912" w:type="dxa"/>
            <w:tcMar>
              <w:top w:w="100" w:type="dxa"/>
              <w:left w:w="40" w:type="dxa"/>
              <w:bottom w:w="100" w:type="dxa"/>
              <w:right w:w="0" w:type="dxa"/>
            </w:tcMar>
          </w:tcPr>
          <w:p w14:paraId="52FD5CDA" w14:textId="77777777" w:rsidR="00DB6835" w:rsidRDefault="00DB6835" w:rsidP="00A9140F">
            <w:pPr>
              <w:pStyle w:val="AnnexTableCellLeft"/>
            </w:pPr>
            <w:r>
              <w:t>Á ekki við</w:t>
            </w:r>
          </w:p>
        </w:tc>
      </w:tr>
      <w:tr w:rsidR="00DB6835" w14:paraId="7F954709" w14:textId="77777777" w:rsidTr="00A9140F">
        <w:trPr>
          <w:trHeight w:val="360"/>
        </w:trPr>
        <w:tc>
          <w:tcPr>
            <w:tcW w:w="2828" w:type="dxa"/>
            <w:tcMar>
              <w:top w:w="100" w:type="dxa"/>
              <w:left w:w="0" w:type="dxa"/>
              <w:bottom w:w="100" w:type="dxa"/>
              <w:right w:w="60" w:type="dxa"/>
            </w:tcMar>
          </w:tcPr>
          <w:p w14:paraId="18DDB909" w14:textId="77777777" w:rsidR="00DB6835" w:rsidRDefault="00DB6835" w:rsidP="00A9140F">
            <w:pPr>
              <w:pStyle w:val="AnnexNumberedText"/>
            </w:pPr>
            <w:r>
              <w:t>4)</w:t>
            </w:r>
            <w:r>
              <w:tab/>
              <w:t>Umskipti yfir í hringrásarhagkerfi</w:t>
            </w:r>
          </w:p>
        </w:tc>
        <w:tc>
          <w:tcPr>
            <w:tcW w:w="5912" w:type="dxa"/>
            <w:tcMar>
              <w:top w:w="100" w:type="dxa"/>
              <w:left w:w="40" w:type="dxa"/>
              <w:bottom w:w="100" w:type="dxa"/>
              <w:right w:w="0" w:type="dxa"/>
            </w:tcMar>
          </w:tcPr>
          <w:p w14:paraId="0D104DD0" w14:textId="77777777" w:rsidR="00DB6835" w:rsidRDefault="00DB6835" w:rsidP="00A9140F">
            <w:pPr>
              <w:pStyle w:val="AnnexTableCellLeft"/>
              <w:spacing w:after="300"/>
            </w:pPr>
            <w:r>
              <w:t>Búnaðurinn sem er notaður uppfyllir kröfurnar sem eru fastsettar í samræmi við tilskipun 2009/125/EB fyrir netþjóna og gagnageymsluvörur.</w:t>
            </w:r>
          </w:p>
          <w:p w14:paraId="4585D93D" w14:textId="77777777" w:rsidR="00DB6835" w:rsidRDefault="00DB6835" w:rsidP="00A9140F">
            <w:pPr>
              <w:pStyle w:val="AnnexTableCellLeft"/>
              <w:spacing w:after="300"/>
            </w:pPr>
            <w:r>
              <w:t>Búnaðurinn sem er notaður inniheldur ekki efni sem sæta takmörkunum og skráð eru í II. viðauka við tilskipun 2011/65/ESB, nema því aðeins að styrkur miðað við þyngd ósamsettra efna fari ekki yfir hámarksgildin sem eru skráð í þann viðauka.</w:t>
            </w:r>
          </w:p>
          <w:p w14:paraId="3AEBC73C" w14:textId="77777777" w:rsidR="00DB6835" w:rsidRDefault="00DB6835" w:rsidP="00A9140F">
            <w:pPr>
              <w:pStyle w:val="AnnexTableCellLeft"/>
              <w:spacing w:after="300"/>
            </w:pPr>
            <w:r>
              <w:t xml:space="preserve">Úrgangsstjórnunaráætlun er til staðar og tryggir hámarksendurvinnslu </w:t>
            </w:r>
            <w:proofErr w:type="spellStart"/>
            <w:r>
              <w:t>raf</w:t>
            </w:r>
            <w:proofErr w:type="spellEnd"/>
            <w:r>
              <w:t>- og rafeindabúnaðar við lok vistferilsins, þ.m.t. með samningsbundnu samkomulagi við samstarfsaðila um endurvinnslu, endurspeglast í fjárhagslegum spám eða opinberum skjölum um verkefnið.</w:t>
            </w:r>
          </w:p>
          <w:p w14:paraId="02472CFB" w14:textId="77777777" w:rsidR="00DB6835" w:rsidRDefault="00DB6835" w:rsidP="00A9140F">
            <w:pPr>
              <w:pStyle w:val="AnnexTableCellLeft"/>
              <w:spacing w:after="240"/>
            </w:pPr>
            <w:r>
              <w:t xml:space="preserve">Við lok vistferils fer búnaðurinn í gegnum undirbúning fyrir endurnotkun, </w:t>
            </w:r>
            <w:proofErr w:type="spellStart"/>
            <w:r>
              <w:t>endurnýtingu</w:t>
            </w:r>
            <w:proofErr w:type="spellEnd"/>
            <w:r>
              <w:t xml:space="preserve"> eða endurvinnslu, eða rétta meðhöndlun, þ.m.t. að allir vökvar eru fjarlægðir og sérmeðhöndlun í samræmi við VII. viðauka við tilskipun 2012/19/ESB.</w:t>
            </w:r>
          </w:p>
        </w:tc>
      </w:tr>
      <w:tr w:rsidR="00DB6835" w14:paraId="1F5DBBFE" w14:textId="77777777" w:rsidTr="00A9140F">
        <w:trPr>
          <w:trHeight w:val="360"/>
        </w:trPr>
        <w:tc>
          <w:tcPr>
            <w:tcW w:w="2828" w:type="dxa"/>
            <w:tcMar>
              <w:top w:w="100" w:type="dxa"/>
              <w:left w:w="0" w:type="dxa"/>
              <w:bottom w:w="100" w:type="dxa"/>
              <w:right w:w="60" w:type="dxa"/>
            </w:tcMar>
          </w:tcPr>
          <w:p w14:paraId="1CD32AC5" w14:textId="77777777" w:rsidR="00DB6835" w:rsidRDefault="00DB6835" w:rsidP="00A9140F">
            <w:pPr>
              <w:pStyle w:val="AnnexNumberedText"/>
            </w:pPr>
            <w:r>
              <w:t>5)</w:t>
            </w:r>
            <w:r>
              <w:tab/>
              <w:t>Mengunarvarnir og eftirlit með mengun</w:t>
            </w:r>
          </w:p>
        </w:tc>
        <w:tc>
          <w:tcPr>
            <w:tcW w:w="5912" w:type="dxa"/>
            <w:tcMar>
              <w:top w:w="100" w:type="dxa"/>
              <w:left w:w="40" w:type="dxa"/>
              <w:bottom w:w="100" w:type="dxa"/>
              <w:right w:w="0" w:type="dxa"/>
            </w:tcMar>
          </w:tcPr>
          <w:p w14:paraId="6C1C93C4" w14:textId="77777777" w:rsidR="00DB6835" w:rsidRDefault="00DB6835" w:rsidP="00A9140F">
            <w:pPr>
              <w:pStyle w:val="AnnexTableCellLeft"/>
            </w:pPr>
            <w:r>
              <w:t>Á ekki við</w:t>
            </w:r>
          </w:p>
        </w:tc>
      </w:tr>
      <w:tr w:rsidR="00DB6835" w14:paraId="534BCF72" w14:textId="77777777" w:rsidTr="00A9140F">
        <w:trPr>
          <w:trHeight w:val="360"/>
        </w:trPr>
        <w:tc>
          <w:tcPr>
            <w:tcW w:w="2828" w:type="dxa"/>
            <w:tcMar>
              <w:top w:w="100" w:type="dxa"/>
              <w:left w:w="0" w:type="dxa"/>
              <w:bottom w:w="100" w:type="dxa"/>
              <w:right w:w="60" w:type="dxa"/>
            </w:tcMar>
          </w:tcPr>
          <w:p w14:paraId="6A01C76D" w14:textId="77777777" w:rsidR="00DB6835" w:rsidRDefault="00DB6835" w:rsidP="00A9140F">
            <w:pPr>
              <w:pStyle w:val="AnnexNumberedText"/>
            </w:pPr>
            <w:r>
              <w:t>6)</w:t>
            </w:r>
            <w:r>
              <w:tab/>
              <w:t>Vernd og endurheimt líffræðilegrar fjölbreytni og vistkerfa</w:t>
            </w:r>
          </w:p>
        </w:tc>
        <w:tc>
          <w:tcPr>
            <w:tcW w:w="5912" w:type="dxa"/>
            <w:tcMar>
              <w:top w:w="100" w:type="dxa"/>
              <w:left w:w="40" w:type="dxa"/>
              <w:bottom w:w="100" w:type="dxa"/>
              <w:right w:w="0" w:type="dxa"/>
            </w:tcMar>
          </w:tcPr>
          <w:p w14:paraId="614C9DBA" w14:textId="77777777" w:rsidR="00DB6835" w:rsidRDefault="00DB6835" w:rsidP="00A9140F">
            <w:pPr>
              <w:pStyle w:val="AnnexTableCellLeft"/>
            </w:pPr>
            <w:r>
              <w:t>Á ekki við</w:t>
            </w:r>
          </w:p>
        </w:tc>
      </w:tr>
    </w:tbl>
    <w:p w14:paraId="1E623151" w14:textId="77777777" w:rsidR="00DB6835" w:rsidRDefault="00DB6835" w:rsidP="00DB6835">
      <w:pPr>
        <w:pStyle w:val="AnnexNumberedText"/>
        <w:spacing w:before="200" w:after="280"/>
        <w:ind w:left="500" w:hanging="500"/>
      </w:pPr>
      <w:r>
        <w:t>9.</w:t>
      </w:r>
      <w:r>
        <w:tab/>
        <w:t>SÉRFRÆÐILEG, VÍSINDALEG OG TÆKNILEG STARFSEMI</w:t>
      </w:r>
    </w:p>
    <w:p w14:paraId="380AAF4B" w14:textId="77777777" w:rsidR="00DB6835" w:rsidRDefault="00DB6835" w:rsidP="00DB6835">
      <w:pPr>
        <w:pStyle w:val="AnnexNumberedText"/>
        <w:spacing w:before="200" w:after="280"/>
        <w:ind w:left="500" w:hanging="500"/>
      </w:pPr>
      <w:r>
        <w:t>9.1.</w:t>
      </w:r>
      <w:r>
        <w:rPr>
          <w:b/>
        </w:rPr>
        <w:tab/>
        <w:t>Rannsóknir nátengdar markaði, þróun og nýsköpun</w:t>
      </w:r>
    </w:p>
    <w:p w14:paraId="0CF392F0" w14:textId="77777777" w:rsidR="00DB6835" w:rsidRDefault="00DB6835" w:rsidP="00DB6835">
      <w:pPr>
        <w:pStyle w:val="AnnexGrSeq3"/>
        <w:spacing w:after="300"/>
        <w:ind w:left="500"/>
        <w:jc w:val="both"/>
      </w:pPr>
      <w:r>
        <w:rPr>
          <w:i/>
        </w:rPr>
        <w:t>Lýsing á starfseminni</w:t>
      </w:r>
    </w:p>
    <w:p w14:paraId="7758A79F" w14:textId="77777777" w:rsidR="00DB6835" w:rsidRDefault="00DB6835" w:rsidP="00DB6835">
      <w:pPr>
        <w:pStyle w:val="AnnexNormal"/>
        <w:spacing w:after="300"/>
        <w:ind w:left="500"/>
        <w:rPr>
          <w:szCs w:val="18"/>
        </w:rPr>
      </w:pPr>
      <w:r>
        <w:t xml:space="preserve">Rannsóknir, hagnýtar rannsóknir og tilraunaþróun á sviði lausna, úrvinnslu, tækni, viðskiptalíkana og annarra vara sem eru ætlaðar til samdráttar á, til að komast hjá eða til upptöku á losun gróðurhúsalofttegunda (rannsóknir, þróun og nýsköpun) þegar a.m.k. hefur verið sýnt fram á getu til samdráttar á, til að komast hjá eða til upptöku á losun gróðurhúsalofttegunda í markatvinnustarfseminni í viðkomandi umhverfi sem samsvarar a.m.k. tæknilegu viðbúnaðarstigi (e. </w:t>
      </w:r>
      <w:r>
        <w:rPr>
          <w:i/>
          <w:iCs/>
        </w:rPr>
        <w:t xml:space="preserve">Technology </w:t>
      </w:r>
      <w:proofErr w:type="spellStart"/>
      <w:r>
        <w:rPr>
          <w:i/>
          <w:iCs/>
        </w:rPr>
        <w:t>Readiness</w:t>
      </w:r>
      <w:proofErr w:type="spellEnd"/>
      <w:r>
        <w:rPr>
          <w:i/>
          <w:iCs/>
        </w:rPr>
        <w:t xml:space="preserve"> Level</w:t>
      </w:r>
      <w:r>
        <w:t>) 6 (</w:t>
      </w:r>
      <w:bookmarkStart w:id="45" w:name="NOTE_328"/>
      <w:r>
        <w:rPr>
          <w:rStyle w:val="Tilvsunneanmlsgrein"/>
          <w:sz w:val="18"/>
          <w:szCs w:val="18"/>
        </w:rPr>
        <w:footnoteReference w:id="329"/>
      </w:r>
      <w:bookmarkEnd w:id="45"/>
      <w:r>
        <w:t>).</w:t>
      </w:r>
    </w:p>
    <w:p w14:paraId="1F2385EF" w14:textId="77777777" w:rsidR="00DB6835" w:rsidRDefault="00DB6835" w:rsidP="00DB6835">
      <w:pPr>
        <w:pStyle w:val="AnnexNormal"/>
        <w:spacing w:after="300"/>
        <w:ind w:left="500"/>
      </w:pPr>
      <w:r>
        <w:t>Atvinnustarfsemin í þessum flokki gæti tengst nokkrum kóðum atvinnugreinaflokkunar Evrópusambandsins, einkum M71.1.2 og M72.1, eða, að því er varðar rannsóknir sem eru óaðskiljanlegur hluti af þeirri atvinnustarfsemi sem tæknileg matsviðmið eru tilgreind fyrir í þessum viðauka, kóðum atvinnugreinaflokkunar Evrópusambandsins sem eru settir fram í öðrum þáttum þessa viðauka í samræmi við atvinnugreinaflokkunina sem komið var á með reglugerð (EB) nr. 1893/2006.</w:t>
      </w:r>
    </w:p>
    <w:p w14:paraId="30D5EF60" w14:textId="77777777" w:rsidR="00DB6835" w:rsidRDefault="00DB6835" w:rsidP="00DB6835">
      <w:pPr>
        <w:pStyle w:val="AnnexNormal"/>
        <w:spacing w:after="300"/>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1A4D0FA4" w14:textId="77777777" w:rsidR="00DB6835" w:rsidRDefault="00DB6835" w:rsidP="00DB6835">
      <w:pPr>
        <w:pStyle w:val="AnnexGrSeq3"/>
        <w:spacing w:after="300"/>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347"/>
        <w:gridCol w:w="6393"/>
      </w:tblGrid>
      <w:tr w:rsidR="00DB6835" w14:paraId="3F3294AB"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195DD149"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0E4FECBC" w14:textId="77777777" w:rsidTr="00A9140F">
        <w:trPr>
          <w:trHeight w:val="360"/>
        </w:trPr>
        <w:tc>
          <w:tcPr>
            <w:tcW w:w="8740" w:type="dxa"/>
            <w:gridSpan w:val="2"/>
            <w:tcBorders>
              <w:bottom w:val="nil"/>
            </w:tcBorders>
            <w:tcMar>
              <w:top w:w="100" w:type="dxa"/>
              <w:left w:w="0" w:type="dxa"/>
              <w:bottom w:w="100" w:type="dxa"/>
              <w:right w:w="60" w:type="dxa"/>
            </w:tcMar>
          </w:tcPr>
          <w:p w14:paraId="127E31FA" w14:textId="77777777" w:rsidR="00DB6835" w:rsidRDefault="00DB6835" w:rsidP="00A9140F">
            <w:pPr>
              <w:pStyle w:val="AnnexNumberedText"/>
              <w:tabs>
                <w:tab w:val="left" w:pos="508"/>
              </w:tabs>
              <w:ind w:left="0" w:firstLine="0"/>
            </w:pPr>
            <w:r>
              <w:t>1.</w:t>
            </w:r>
            <w:r>
              <w:tab/>
              <w:t>Í starfseminni er rannsökuð, þróuð eða látin í té nýsköpun fyrir tækni, vörur eða aðrar lausnir sem eru ætlaðar fyrir eina atvinnustarfsemi eða fleiri sem tæknileg matsviðmið eru fastsett fyrir í þessum viðauka.</w:t>
            </w:r>
          </w:p>
        </w:tc>
      </w:tr>
      <w:tr w:rsidR="00DB6835" w14:paraId="3504D725" w14:textId="77777777" w:rsidTr="00A9140F">
        <w:trPr>
          <w:trHeight w:val="360"/>
        </w:trPr>
        <w:tc>
          <w:tcPr>
            <w:tcW w:w="8740" w:type="dxa"/>
            <w:gridSpan w:val="2"/>
            <w:tcBorders>
              <w:top w:val="nil"/>
              <w:bottom w:val="nil"/>
            </w:tcBorders>
            <w:tcMar>
              <w:top w:w="100" w:type="dxa"/>
              <w:left w:w="0" w:type="dxa"/>
              <w:bottom w:w="100" w:type="dxa"/>
              <w:right w:w="60" w:type="dxa"/>
            </w:tcMar>
          </w:tcPr>
          <w:p w14:paraId="2B39A285" w14:textId="77777777" w:rsidR="00DB6835" w:rsidRDefault="00DB6835" w:rsidP="00A9140F">
            <w:pPr>
              <w:pStyle w:val="AnnexNumberedText"/>
              <w:pageBreakBefore/>
              <w:tabs>
                <w:tab w:val="left" w:pos="508"/>
              </w:tabs>
              <w:spacing w:after="500"/>
              <w:ind w:left="0" w:firstLine="0"/>
            </w:pPr>
            <w:r>
              <w:lastRenderedPageBreak/>
              <w:t>2.</w:t>
            </w:r>
            <w:r>
              <w:tab/>
              <w:t xml:space="preserve">Niðurstöður úr rannsóknum, þróun og nýsköpun gera einni af þessari tegund atvinnustarfsemi eða fleiri kleift að uppfylla viðkomandi viðmiðanir um verulegt framlag til </w:t>
            </w:r>
            <w:proofErr w:type="spellStart"/>
            <w:r>
              <w:t>mildunar</w:t>
            </w:r>
            <w:proofErr w:type="spellEnd"/>
            <w:r>
              <w:t xml:space="preserve"> loftslagsbreytinga ásamt því að virða viðeigandi viðmiðanir um að valda ekki umtalsverðu tjóni fyrir önnur almenn umhverfismarkmið.</w:t>
            </w:r>
          </w:p>
          <w:p w14:paraId="5D1C80F6" w14:textId="77777777" w:rsidR="00DB6835" w:rsidRDefault="00DB6835" w:rsidP="00A9140F">
            <w:pPr>
              <w:pStyle w:val="AnnexNumberedText"/>
              <w:tabs>
                <w:tab w:val="left" w:pos="508"/>
              </w:tabs>
              <w:spacing w:after="500"/>
              <w:ind w:left="0" w:firstLine="0"/>
            </w:pPr>
            <w:r>
              <w:t>3.</w:t>
            </w:r>
            <w:r>
              <w:tab/>
              <w:t>Atvinnustarfsemin miðar að því að koma á markað lausn sem er ekki enn til á markaðnum og vænst er að skili betri árangri með tilliti til losunar gróðurhúsalofttegunda á vistferlinum en besta aðgengilega tækni sem fæst á almennum markaði, byggt á opinberum upplýsingum eða markaðsupplýsingum. Innleiðing tækni, vara eða annarra lausna sem eru til rannsóknar leiðir til samdráttar í heildarnettólosun gróðurhúsalofttegunda á vistferli þeirra.</w:t>
            </w:r>
          </w:p>
          <w:p w14:paraId="298C437F" w14:textId="77777777" w:rsidR="00DB6835" w:rsidRDefault="00DB6835" w:rsidP="00A9140F">
            <w:pPr>
              <w:pStyle w:val="AnnexNumberedText"/>
              <w:tabs>
                <w:tab w:val="left" w:pos="508"/>
              </w:tabs>
              <w:spacing w:after="500"/>
              <w:ind w:left="0" w:firstLine="0"/>
            </w:pPr>
            <w:r>
              <w:t>4.</w:t>
            </w:r>
            <w:r>
              <w:tab/>
              <w:t>Ef rannsökuð, þróuð eða nýsköpuð tækni, vara eða önnur lausn gerir nú þegar einni tegund atvinnustarfsemi eða fleiri, sem fjallað er um í þessum viðauka, kleift að uppfylla tæknileg matsviðmið sem eru tilgreind í viðkomandi þætti þessa viðauka, eða ef þessi tækni, vara eða önnur lausn gerir nú þegar einni atvinnustarfsemi eða fleiri, sem teljast vera atvinnustarfsemi sem gerir annarri starfsemi kleift að stuðla að umhverfismarkmiðum eða umbreytingaratvinnustarfsemi, kleift að uppfylla kröfurnar sem eru tilgreindar í 5. og 6. lið, eftir því sem við á, er í rannsókna-, þróunar- og nýsköpunarstarfseminni lögð áhersla á þróun tækni, vara eða annarra lausna með jafnlitla eða minni losun með nýjum umtalsverðum ávinningi, s.s. lægri kostnaði.</w:t>
            </w:r>
          </w:p>
          <w:p w14:paraId="050628B8" w14:textId="77777777" w:rsidR="00DB6835" w:rsidRDefault="00DB6835" w:rsidP="00A9140F">
            <w:pPr>
              <w:pStyle w:val="AnnexNumberedText"/>
              <w:tabs>
                <w:tab w:val="left" w:pos="508"/>
              </w:tabs>
              <w:spacing w:after="500"/>
              <w:ind w:left="0" w:firstLine="0"/>
            </w:pPr>
            <w:r>
              <w:t>5.</w:t>
            </w:r>
            <w:r>
              <w:tab/>
              <w:t xml:space="preserve">Ef rannsóknastarfsemi er ætluð fyrir eina tegund atvinnustarfsemi eða fleiri sem telst vera starfsemi sem gerir annarri starfsemi kleift að stuðla að umhverfismarkmiðum í samræmi við </w:t>
            </w:r>
            <w:proofErr w:type="spellStart"/>
            <w:r>
              <w:t>i-lið</w:t>
            </w:r>
            <w:proofErr w:type="spellEnd"/>
            <w:r>
              <w:t xml:space="preserve"> 1. mgr. 10. gr. reglugerðar ESB 2020/852, sem tæknileg matsviðmið eru fastsett fyrir í þessum viðauka, leiða niðurstöðurnar úr rannsókninni til nýsköpunartækni, úrvinnslu eða vara sem gera þessari starfsemi sem gerir annarri starfsemi kleift að stuðla að umhverfismarkmiðum, og starfseminni sem hún gerir að lokum kleift að stuðla að umhverfismarkmiðum, kleift að draga verulega úr losun sinni á gróðurhúsalofttegundum eða bæta verulega tækni sína og efnahagslega hagkvæmni í því skyni að auðvelda vöxt þeirra.</w:t>
            </w:r>
          </w:p>
          <w:p w14:paraId="5854DC8E" w14:textId="77777777" w:rsidR="00DB6835" w:rsidRDefault="00DB6835" w:rsidP="00A9140F">
            <w:pPr>
              <w:pStyle w:val="AnnexNumberedText"/>
              <w:tabs>
                <w:tab w:val="left" w:pos="508"/>
              </w:tabs>
              <w:spacing w:after="500"/>
              <w:ind w:left="0" w:firstLine="0"/>
            </w:pPr>
            <w:r>
              <w:t>6.</w:t>
            </w:r>
            <w:r>
              <w:tab/>
              <w:t xml:space="preserve">Ef rannsóknastarfsemi er ætluð fyrir eina tegund atvinnustarfsemi eða fleiri sem teljast vera umbreytingarstarfsemi í samræmi við 2. mgr. 10. gr. reglugerðar ESB 2020/852, sem tæknileg matsviðmið eru fastsett fyrir í þessum viðauka, gerir rannsökuð tækni, vörur eða aðrar lausnir það kleift að inna markstarfsemina af hendi með umtalsvert minni framreiknaðri losun, samanborið við tæknilegu matsviðmiðin fyrir verulegt framlag til </w:t>
            </w:r>
            <w:proofErr w:type="spellStart"/>
            <w:r>
              <w:t>mildunar</w:t>
            </w:r>
            <w:proofErr w:type="spellEnd"/>
            <w:r>
              <w:t xml:space="preserve"> loftslagsbreytinga sem sett eru fram í þessum viðauka.</w:t>
            </w:r>
          </w:p>
          <w:p w14:paraId="4A9E18E3" w14:textId="77777777" w:rsidR="00DB6835" w:rsidRDefault="00DB6835" w:rsidP="00A9140F">
            <w:pPr>
              <w:pStyle w:val="AnnexTableCellLeft"/>
              <w:spacing w:after="500"/>
            </w:pPr>
            <w:r>
              <w:t>Ef rannsóknastarfsemi er ætluð fyrir eina tegund atvinnustarfsemi eða fleiri, sem eru tilgreindar í þáttum 3.7, 3.8, 3.9, 3.11, 3.12, 3.13, 3.14 og 3.16 í þessum viðauka, gera tækni, vörur eða aðrar lausnir það annaðhvort kleift að stunda markstarfsemina með umtalsvert minni losun gróðurhúsalofttegunda, sem miðar að 30% samdrætti samanborið við viðkomandi viðmiðunarmark eða viðmiðunarmörk í viðskiptakerfi ESB með losunarheimildir (</w:t>
            </w:r>
            <w:r>
              <w:rPr>
                <w:rStyle w:val="Tilvsunneanmlsgrein"/>
                <w:sz w:val="18"/>
              </w:rPr>
              <w:footnoteReference w:id="330"/>
            </w:r>
            <w:r>
              <w:t xml:space="preserve">), eða er ætluð fyrir almennt viðurkennda, viðeigandi lágkolefnistækni eða -ferla í þessum geirum, þ.e. </w:t>
            </w:r>
            <w:proofErr w:type="spellStart"/>
            <w:r>
              <w:t>rafvæðingu</w:t>
            </w:r>
            <w:proofErr w:type="spellEnd"/>
            <w:r>
              <w:t xml:space="preserve">, einkum varma og kælingu, vetni sem eldsneyti eða hráefni, </w:t>
            </w:r>
            <w:proofErr w:type="spellStart"/>
            <w:r>
              <w:t>föngun</w:t>
            </w:r>
            <w:proofErr w:type="spellEnd"/>
            <w:r>
              <w:t xml:space="preserve"> koltvísýrings og geymslu hans í jörðu, </w:t>
            </w:r>
            <w:proofErr w:type="spellStart"/>
            <w:r>
              <w:t>föngun</w:t>
            </w:r>
            <w:proofErr w:type="spellEnd"/>
            <w:r>
              <w:t xml:space="preserve"> kolefnis og nýtingu og lífmassa sem eldsneyti eða hráefni, þegar lífmassi uppfyllir viðeigandi kröfur sem settar eru fram í þáttum 4.8, 4.20 og 4.24 í þessum viðauka.</w:t>
            </w:r>
          </w:p>
          <w:p w14:paraId="2E2DAC7C" w14:textId="77777777" w:rsidR="00DB6835" w:rsidRDefault="00DB6835" w:rsidP="00A9140F">
            <w:pPr>
              <w:pStyle w:val="AnnexNumberedText"/>
              <w:tabs>
                <w:tab w:val="left" w:pos="508"/>
              </w:tabs>
              <w:spacing w:after="500"/>
              <w:ind w:left="0" w:firstLine="0"/>
            </w:pPr>
            <w:r>
              <w:t>7.</w:t>
            </w:r>
            <w:r>
              <w:tab/>
              <w:t>Ef rannsökuð, þróuð eða nýsköpuð tækni, vara eða önnur lausn er á tæknilegu viðbúnaðarstigi 6 eða 7 metur aðilinn, sem annast rannsóknina, losun gróðurhúsalofttegunda á vistferlinum á einföldu formi. Aðilinn sýnir fram á eitt af eftirfarandi, eftir atvikum:</w:t>
            </w:r>
          </w:p>
          <w:p w14:paraId="293ED9BB" w14:textId="77777777" w:rsidR="00DB6835" w:rsidRDefault="00DB6835" w:rsidP="00A9140F">
            <w:pPr>
              <w:pStyle w:val="AnnexNumberedText"/>
              <w:spacing w:after="500"/>
            </w:pPr>
            <w:r>
              <w:t>a)</w:t>
            </w:r>
            <w:r>
              <w:tab/>
              <w:t>einkaleyfi, sem ekki er eldra en 10 ára, sem tengist tækninni, vörunni eða annarri lausn þar sem fram koma upplýs</w:t>
            </w:r>
            <w:r>
              <w:lastRenderedPageBreak/>
              <w:t>ingar um getu til samdráttar í losun gróðurhúsalofttegunda,</w:t>
            </w:r>
          </w:p>
          <w:p w14:paraId="6B3395C0" w14:textId="77777777" w:rsidR="00DB6835" w:rsidRDefault="00DB6835" w:rsidP="00A9140F">
            <w:pPr>
              <w:pStyle w:val="AnnexNumberedText"/>
              <w:spacing w:after="0"/>
            </w:pPr>
            <w:r>
              <w:t>b)</w:t>
            </w:r>
            <w:r>
              <w:tab/>
              <w:t xml:space="preserve">leyfi frá </w:t>
            </w:r>
            <w:proofErr w:type="spellStart"/>
            <w:r>
              <w:t>lögbæru</w:t>
            </w:r>
            <w:proofErr w:type="spellEnd"/>
            <w:r>
              <w:t xml:space="preserve"> yfirvaldi til að starfrækja sýnistöðvar sem tengjast nýsköpunartækninni, vörunni eða annarri lausn á meðan á sýniverkefninu stendur þar sem fram koma upplýsingar um getu til samdráttar í losun gróðurhúsalofttegunda.</w:t>
            </w:r>
          </w:p>
        </w:tc>
      </w:tr>
      <w:tr w:rsidR="00DB6835" w14:paraId="4532BF86" w14:textId="77777777" w:rsidTr="00A9140F">
        <w:trPr>
          <w:trHeight w:val="240"/>
        </w:trPr>
        <w:tc>
          <w:tcPr>
            <w:tcW w:w="8740" w:type="dxa"/>
            <w:gridSpan w:val="2"/>
            <w:tcBorders>
              <w:top w:val="nil"/>
            </w:tcBorders>
            <w:tcMar>
              <w:top w:w="100" w:type="dxa"/>
              <w:left w:w="0" w:type="dxa"/>
              <w:bottom w:w="100" w:type="dxa"/>
              <w:right w:w="60" w:type="dxa"/>
            </w:tcMar>
          </w:tcPr>
          <w:p w14:paraId="15BE6B9A" w14:textId="77777777" w:rsidR="00DB6835" w:rsidRDefault="00DB6835" w:rsidP="00A9140F">
            <w:pPr>
              <w:pStyle w:val="AnnexTableCellLeft"/>
              <w:pageBreakBefore/>
              <w:spacing w:after="240"/>
              <w:rPr>
                <w:szCs w:val="18"/>
              </w:rPr>
            </w:pPr>
            <w:r>
              <w:lastRenderedPageBreak/>
              <w:t>Ef rannsökuð, þróuð eða nýsköpuð tækni, vara eða önnur lausn er á tæknilegu viðbúnaðarstigi 8 eða hærra er losun gróðurhúsalofttegunda á vistferlinum reiknuð út með því að nota tilmæli 2013/179/ESB eða, að öðrum kosti, með því að nota ISO 14067:2018 (</w:t>
            </w:r>
            <w:r>
              <w:rPr>
                <w:rStyle w:val="Tilvsunneanmlsgrein"/>
                <w:sz w:val="18"/>
                <w:szCs w:val="18"/>
              </w:rPr>
              <w:footnoteReference w:id="331"/>
            </w:r>
            <w:r>
              <w:t>) eða ISO 14064-1:2018 (</w:t>
            </w:r>
            <w:r>
              <w:rPr>
                <w:rStyle w:val="Tilvsunneanmlsgrein"/>
                <w:sz w:val="18"/>
                <w:szCs w:val="18"/>
              </w:rPr>
              <w:footnoteReference w:id="332"/>
            </w:r>
            <w:r>
              <w:t>) og óháður þriðji aðili sannprófar hana.</w:t>
            </w:r>
          </w:p>
        </w:tc>
      </w:tr>
      <w:tr w:rsidR="00DB6835" w14:paraId="242F850B" w14:textId="77777777" w:rsidTr="00A9140F">
        <w:trPr>
          <w:trHeight w:val="240"/>
        </w:trPr>
        <w:tc>
          <w:tcPr>
            <w:tcW w:w="8740" w:type="dxa"/>
            <w:gridSpan w:val="2"/>
            <w:tcMar>
              <w:top w:w="100" w:type="dxa"/>
              <w:left w:w="0" w:type="dxa"/>
              <w:bottom w:w="100" w:type="dxa"/>
              <w:right w:w="60" w:type="dxa"/>
            </w:tcMar>
          </w:tcPr>
          <w:p w14:paraId="46EA4395" w14:textId="77777777" w:rsidR="00DB6835" w:rsidRDefault="00DB6835" w:rsidP="00A9140F">
            <w:pPr>
              <w:pStyle w:val="AnnexTableCellLeft"/>
            </w:pPr>
            <w:r>
              <w:t>Ekki valda umtalsverðu tjóni</w:t>
            </w:r>
          </w:p>
        </w:tc>
      </w:tr>
      <w:tr w:rsidR="00DB6835" w14:paraId="66B0E4A5" w14:textId="77777777" w:rsidTr="00A9140F">
        <w:trPr>
          <w:trHeight w:val="360"/>
        </w:trPr>
        <w:tc>
          <w:tcPr>
            <w:tcW w:w="2347" w:type="dxa"/>
            <w:tcMar>
              <w:top w:w="100" w:type="dxa"/>
              <w:left w:w="0" w:type="dxa"/>
              <w:bottom w:w="100" w:type="dxa"/>
              <w:right w:w="60" w:type="dxa"/>
            </w:tcMar>
          </w:tcPr>
          <w:p w14:paraId="4E0FCFA3" w14:textId="77777777" w:rsidR="00DB6835" w:rsidRDefault="00DB6835" w:rsidP="00A9140F">
            <w:pPr>
              <w:pStyle w:val="AnnexNumberedText"/>
            </w:pPr>
            <w:r>
              <w:t>2)</w:t>
            </w:r>
            <w:r>
              <w:tab/>
              <w:t>Aðlögun að loftslagsbreytingum</w:t>
            </w:r>
          </w:p>
        </w:tc>
        <w:tc>
          <w:tcPr>
            <w:tcW w:w="6393" w:type="dxa"/>
            <w:tcMar>
              <w:top w:w="100" w:type="dxa"/>
              <w:left w:w="40" w:type="dxa"/>
              <w:bottom w:w="100" w:type="dxa"/>
              <w:right w:w="0" w:type="dxa"/>
            </w:tcMar>
          </w:tcPr>
          <w:p w14:paraId="4F9D757C" w14:textId="77777777" w:rsidR="00DB6835" w:rsidRDefault="00DB6835" w:rsidP="00A9140F">
            <w:pPr>
              <w:pStyle w:val="AnnexTableCellLeft"/>
              <w:spacing w:after="280"/>
            </w:pPr>
            <w:r>
              <w:t>Rannsakaða tæknin, varan eða önnur lausn er í samræmi við viðmiðanirnar sem settar eru fram í viðbæti A við þennan viðauka.</w:t>
            </w:r>
          </w:p>
        </w:tc>
      </w:tr>
      <w:tr w:rsidR="00DB6835" w14:paraId="006D449F" w14:textId="77777777" w:rsidTr="00A9140F">
        <w:trPr>
          <w:trHeight w:val="360"/>
        </w:trPr>
        <w:tc>
          <w:tcPr>
            <w:tcW w:w="2347" w:type="dxa"/>
            <w:tcMar>
              <w:top w:w="100" w:type="dxa"/>
              <w:left w:w="0" w:type="dxa"/>
              <w:bottom w:w="100" w:type="dxa"/>
              <w:right w:w="60" w:type="dxa"/>
            </w:tcMar>
          </w:tcPr>
          <w:p w14:paraId="2B407C8A" w14:textId="77777777" w:rsidR="00DB6835" w:rsidRDefault="00DB6835" w:rsidP="00A9140F">
            <w:pPr>
              <w:pStyle w:val="AnnexNumberedText"/>
            </w:pPr>
            <w:r>
              <w:t>3)</w:t>
            </w:r>
            <w:r>
              <w:tab/>
              <w:t>Sjálfbær notkun og verndun vatns- og sjávarauðlinda</w:t>
            </w:r>
          </w:p>
        </w:tc>
        <w:tc>
          <w:tcPr>
            <w:tcW w:w="6393" w:type="dxa"/>
            <w:tcMar>
              <w:top w:w="100" w:type="dxa"/>
              <w:left w:w="40" w:type="dxa"/>
              <w:bottom w:w="100" w:type="dxa"/>
              <w:right w:w="0" w:type="dxa"/>
            </w:tcMar>
          </w:tcPr>
          <w:p w14:paraId="63F67181" w14:textId="77777777" w:rsidR="00DB6835" w:rsidRDefault="00DB6835" w:rsidP="00A9140F">
            <w:pPr>
              <w:pStyle w:val="AnnexTableCellLeft"/>
              <w:spacing w:after="280"/>
            </w:pPr>
            <w:r>
              <w:t xml:space="preserve">Sérhver möguleg áhætta fyrir góða stöðu eða gott </w:t>
            </w:r>
            <w:proofErr w:type="spellStart"/>
            <w:r>
              <w:t>vistmegin</w:t>
            </w:r>
            <w:proofErr w:type="spellEnd"/>
            <w:r>
              <w:t xml:space="preserve"> </w:t>
            </w:r>
            <w:proofErr w:type="spellStart"/>
            <w:r>
              <w:t>vatnshlota</w:t>
            </w:r>
            <w:proofErr w:type="spellEnd"/>
            <w:r>
              <w:t>, þ.m.t. yfirborðsvatn og grunnvatn, eða fyrir góða umhverfislega stöðu hafsvæða frá rannsökuðu tækninni, vörunni eða annarri lausn er metin og tekið á henni.</w:t>
            </w:r>
          </w:p>
        </w:tc>
      </w:tr>
      <w:tr w:rsidR="00DB6835" w14:paraId="5CC959C8" w14:textId="77777777" w:rsidTr="00A9140F">
        <w:trPr>
          <w:trHeight w:val="360"/>
        </w:trPr>
        <w:tc>
          <w:tcPr>
            <w:tcW w:w="2347" w:type="dxa"/>
            <w:tcMar>
              <w:top w:w="100" w:type="dxa"/>
              <w:left w:w="0" w:type="dxa"/>
              <w:bottom w:w="100" w:type="dxa"/>
              <w:right w:w="60" w:type="dxa"/>
            </w:tcMar>
          </w:tcPr>
          <w:p w14:paraId="7AEE4AAB" w14:textId="77777777" w:rsidR="00DB6835" w:rsidRDefault="00DB6835" w:rsidP="00A9140F">
            <w:pPr>
              <w:pStyle w:val="AnnexNumberedText"/>
            </w:pPr>
            <w:r>
              <w:t>4)</w:t>
            </w:r>
            <w:r>
              <w:tab/>
              <w:t>Umskipti yfir í hringrásarhagkerfi</w:t>
            </w:r>
          </w:p>
        </w:tc>
        <w:tc>
          <w:tcPr>
            <w:tcW w:w="6393" w:type="dxa"/>
            <w:tcMar>
              <w:top w:w="100" w:type="dxa"/>
              <w:left w:w="40" w:type="dxa"/>
              <w:bottom w:w="100" w:type="dxa"/>
              <w:right w:w="0" w:type="dxa"/>
            </w:tcMar>
          </w:tcPr>
          <w:p w14:paraId="22B38A32" w14:textId="77777777" w:rsidR="00DB6835" w:rsidRDefault="00DB6835" w:rsidP="00A9140F">
            <w:pPr>
              <w:pStyle w:val="AnnexTableCellLeft"/>
              <w:spacing w:after="280"/>
            </w:pPr>
            <w:r>
              <w:t xml:space="preserve">Sérhver möguleg áhætta fyrir markmið hringrásarhagkerfisins frá rannsökuðu tækninni, vörunni eða annarri lausn er metin og tekið á henni með því að hafa í huga mismunandi hugsanlegt umtalsvert tjón eins og sett er fram í </w:t>
            </w:r>
            <w:proofErr w:type="spellStart"/>
            <w:r>
              <w:t>d-lið</w:t>
            </w:r>
            <w:proofErr w:type="spellEnd"/>
            <w:r>
              <w:t xml:space="preserve"> 1. mgr. 17. gr. reglugerðar (ESB) 2020/852.</w:t>
            </w:r>
          </w:p>
        </w:tc>
      </w:tr>
      <w:tr w:rsidR="00DB6835" w14:paraId="1E11AE6F" w14:textId="77777777" w:rsidTr="00A9140F">
        <w:trPr>
          <w:trHeight w:val="360"/>
        </w:trPr>
        <w:tc>
          <w:tcPr>
            <w:tcW w:w="2347" w:type="dxa"/>
            <w:tcMar>
              <w:top w:w="100" w:type="dxa"/>
              <w:left w:w="0" w:type="dxa"/>
              <w:bottom w:w="100" w:type="dxa"/>
              <w:right w:w="60" w:type="dxa"/>
            </w:tcMar>
          </w:tcPr>
          <w:p w14:paraId="338641A5" w14:textId="77777777" w:rsidR="00DB6835" w:rsidRDefault="00DB6835" w:rsidP="00A9140F">
            <w:pPr>
              <w:pStyle w:val="AnnexNumberedText"/>
            </w:pPr>
            <w:r>
              <w:t>5)</w:t>
            </w:r>
            <w:r>
              <w:tab/>
              <w:t>Mengunarvarnir og eftirlit með mengun</w:t>
            </w:r>
          </w:p>
        </w:tc>
        <w:tc>
          <w:tcPr>
            <w:tcW w:w="6393" w:type="dxa"/>
            <w:tcMar>
              <w:top w:w="100" w:type="dxa"/>
              <w:left w:w="40" w:type="dxa"/>
              <w:bottom w:w="100" w:type="dxa"/>
              <w:right w:w="0" w:type="dxa"/>
            </w:tcMar>
          </w:tcPr>
          <w:p w14:paraId="409137AD" w14:textId="77777777" w:rsidR="00DB6835" w:rsidRDefault="00DB6835" w:rsidP="00A9140F">
            <w:pPr>
              <w:pStyle w:val="AnnexTableCellLeft"/>
              <w:spacing w:after="280"/>
            </w:pPr>
            <w:r>
              <w:t>Sérhver möguleg áhætta á að valda verulegri aukningu á losun mengunarefna í andrúmsloft, vatn eða jarðveg frá rannsökuðu tækninni, vörunni eða annarri lausn er metin og tekið á henni.</w:t>
            </w:r>
          </w:p>
        </w:tc>
      </w:tr>
      <w:tr w:rsidR="00DB6835" w14:paraId="604AFFED" w14:textId="77777777" w:rsidTr="00A9140F">
        <w:trPr>
          <w:trHeight w:val="360"/>
        </w:trPr>
        <w:tc>
          <w:tcPr>
            <w:tcW w:w="2347" w:type="dxa"/>
            <w:tcMar>
              <w:top w:w="100" w:type="dxa"/>
              <w:left w:w="0" w:type="dxa"/>
              <w:bottom w:w="100" w:type="dxa"/>
              <w:right w:w="60" w:type="dxa"/>
            </w:tcMar>
          </w:tcPr>
          <w:p w14:paraId="275D8FD9" w14:textId="77777777" w:rsidR="00DB6835" w:rsidRDefault="00DB6835" w:rsidP="00A9140F">
            <w:pPr>
              <w:pStyle w:val="AnnexNumberedText"/>
            </w:pPr>
            <w:r>
              <w:t>6)</w:t>
            </w:r>
            <w:r>
              <w:tab/>
              <w:t>Vernd og endurheimt líffræðilegrar fjölbreytni og vistkerfa</w:t>
            </w:r>
          </w:p>
        </w:tc>
        <w:tc>
          <w:tcPr>
            <w:tcW w:w="6393" w:type="dxa"/>
            <w:tcMar>
              <w:top w:w="100" w:type="dxa"/>
              <w:left w:w="40" w:type="dxa"/>
              <w:bottom w:w="100" w:type="dxa"/>
              <w:right w:w="0" w:type="dxa"/>
            </w:tcMar>
          </w:tcPr>
          <w:p w14:paraId="4B644229" w14:textId="77777777" w:rsidR="00DB6835" w:rsidRDefault="00DB6835" w:rsidP="00A9140F">
            <w:pPr>
              <w:pStyle w:val="AnnexTableCellLeft"/>
              <w:spacing w:after="280"/>
            </w:pPr>
            <w:r>
              <w:t>Sérhver möguleg áhætta fyrir gott ástand eða viðnám vistkerfa eða fyrir varðveislustöðu búsvæða og tegunda, m.a. þeirra sem hafa mikla þýðingu fyrir Sambandið, frá rannsökuðu tækninni, vörunni eða annarri lausn er metin og tekið á henni.</w:t>
            </w:r>
          </w:p>
        </w:tc>
      </w:tr>
    </w:tbl>
    <w:p w14:paraId="3849098E" w14:textId="77777777" w:rsidR="00DB6835" w:rsidRDefault="00DB6835" w:rsidP="00DB6835">
      <w:pPr>
        <w:pStyle w:val="AnnexNumberedText"/>
        <w:spacing w:before="200" w:after="200"/>
        <w:ind w:left="500" w:hanging="500"/>
      </w:pPr>
      <w:r>
        <w:t>9.2.</w:t>
      </w:r>
      <w:r>
        <w:rPr>
          <w:b/>
        </w:rPr>
        <w:tab/>
        <w:t xml:space="preserve">Rannsóknir, þróun og nýsköpun vegna beinnar </w:t>
      </w:r>
      <w:proofErr w:type="spellStart"/>
      <w:r>
        <w:rPr>
          <w:b/>
        </w:rPr>
        <w:t>föngunar</w:t>
      </w:r>
      <w:proofErr w:type="spellEnd"/>
      <w:r>
        <w:rPr>
          <w:b/>
        </w:rPr>
        <w:t xml:space="preserve"> koltvísýrings í andrúmslofti</w:t>
      </w:r>
    </w:p>
    <w:p w14:paraId="650059FC" w14:textId="77777777" w:rsidR="00DB6835" w:rsidRDefault="00DB6835" w:rsidP="00DB6835">
      <w:pPr>
        <w:pStyle w:val="AnnexGrSeq3"/>
        <w:ind w:left="500"/>
        <w:jc w:val="both"/>
      </w:pPr>
      <w:r>
        <w:rPr>
          <w:i/>
        </w:rPr>
        <w:t>Lýsing á starfseminni</w:t>
      </w:r>
    </w:p>
    <w:p w14:paraId="59890ABD" w14:textId="77777777" w:rsidR="00DB6835" w:rsidRDefault="00DB6835" w:rsidP="00DB6835">
      <w:pPr>
        <w:pStyle w:val="AnnexNormal"/>
        <w:ind w:left="500"/>
      </w:pPr>
      <w:r>
        <w:t xml:space="preserve">Rannsóknir, hagnýtar rannsóknir og tilraunaþróun á sviði lausna, úrvinnslu, tækni, viðskiptalíkana og annarra vara sem eru ætlaðar til beinnar </w:t>
      </w:r>
      <w:proofErr w:type="spellStart"/>
      <w:r>
        <w:t>föngunar</w:t>
      </w:r>
      <w:proofErr w:type="spellEnd"/>
      <w:r>
        <w:t xml:space="preserve"> koltvísýrings í andrúmsloftinu.</w:t>
      </w:r>
    </w:p>
    <w:p w14:paraId="796DC79A" w14:textId="77777777" w:rsidR="00DB6835" w:rsidRDefault="00DB6835" w:rsidP="00DB6835">
      <w:pPr>
        <w:pStyle w:val="AnnexNormal"/>
        <w:ind w:left="500"/>
      </w:pPr>
      <w:r>
        <w:t>Atvinnustarfsemin í þessum flokki gæti tengst nokkrum kóðum atvinnugreinaflokkunar Evrópusambandsins, einkum M71.1.2 og M72.1, í samræmi við atvinnugreinaflokkunina sem komið var á með reglugerð (EB) nr. 1893/2006.</w:t>
      </w:r>
    </w:p>
    <w:p w14:paraId="038F6213" w14:textId="77777777" w:rsidR="00DB6835" w:rsidRDefault="00DB6835" w:rsidP="00DB6835">
      <w:pPr>
        <w:pStyle w:val="AnnexNormal"/>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2EB22196" w14:textId="77777777" w:rsidR="00DB6835" w:rsidRDefault="00DB6835" w:rsidP="00DB6835">
      <w:pPr>
        <w:pStyle w:val="AnnexGrSeq3"/>
        <w:ind w:left="500"/>
        <w:jc w:val="both"/>
      </w:pPr>
      <w:r>
        <w:rPr>
          <w:i/>
        </w:rPr>
        <w:t>Tæknileg matsviðmið</w:t>
      </w:r>
    </w:p>
    <w:tbl>
      <w:tblPr>
        <w:tblStyle w:val="EFTATable"/>
        <w:tblW w:w="8748" w:type="dxa"/>
        <w:tblInd w:w="492" w:type="dxa"/>
        <w:tblLayout w:type="fixed"/>
        <w:tblLook w:val="04A0" w:firstRow="1" w:lastRow="0" w:firstColumn="1" w:lastColumn="0" w:noHBand="0" w:noVBand="1"/>
      </w:tblPr>
      <w:tblGrid>
        <w:gridCol w:w="2868"/>
        <w:gridCol w:w="5880"/>
      </w:tblGrid>
      <w:tr w:rsidR="00DB6835" w14:paraId="7BCED307" w14:textId="77777777" w:rsidTr="00A9140F">
        <w:trPr>
          <w:trHeight w:val="240"/>
        </w:trPr>
        <w:tc>
          <w:tcPr>
            <w:tcW w:w="8748" w:type="dxa"/>
            <w:gridSpan w:val="2"/>
            <w:tcBorders>
              <w:bottom w:val="single" w:sz="4" w:space="0" w:color="auto"/>
            </w:tcBorders>
            <w:tcMar>
              <w:top w:w="100" w:type="dxa"/>
              <w:left w:w="0" w:type="dxa"/>
              <w:bottom w:w="100" w:type="dxa"/>
              <w:right w:w="60" w:type="dxa"/>
            </w:tcMar>
          </w:tcPr>
          <w:p w14:paraId="02BF3131"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59A0EA5A" w14:textId="77777777" w:rsidTr="00A9140F">
        <w:trPr>
          <w:trHeight w:val="360"/>
        </w:trPr>
        <w:tc>
          <w:tcPr>
            <w:tcW w:w="8748" w:type="dxa"/>
            <w:gridSpan w:val="2"/>
            <w:tcBorders>
              <w:bottom w:val="nil"/>
            </w:tcBorders>
            <w:tcMar>
              <w:top w:w="100" w:type="dxa"/>
              <w:left w:w="0" w:type="dxa"/>
              <w:bottom w:w="100" w:type="dxa"/>
              <w:right w:w="60" w:type="dxa"/>
            </w:tcMar>
          </w:tcPr>
          <w:p w14:paraId="4882B685" w14:textId="77777777" w:rsidR="00DB6835" w:rsidRDefault="00DB6835" w:rsidP="00A9140F">
            <w:pPr>
              <w:pStyle w:val="AnnexNumberedText"/>
              <w:tabs>
                <w:tab w:val="left" w:pos="508"/>
              </w:tabs>
              <w:ind w:left="0" w:firstLine="0"/>
            </w:pPr>
            <w:r>
              <w:t>1.</w:t>
            </w:r>
            <w:r>
              <w:tab/>
              <w:t xml:space="preserve">Í starfseminni er rannsökuð, þróuð eða látin í té nýsköpun fyrir tækni, vörur eða aðrar lausnir sem eru ætlaðar til beinnar </w:t>
            </w:r>
            <w:proofErr w:type="spellStart"/>
            <w:r>
              <w:t>föngunar</w:t>
            </w:r>
            <w:proofErr w:type="spellEnd"/>
            <w:r>
              <w:t xml:space="preserve"> koltvísýrings í andrúmsloftinu.</w:t>
            </w:r>
          </w:p>
        </w:tc>
      </w:tr>
      <w:tr w:rsidR="00DB6835" w14:paraId="06DC0ACE" w14:textId="77777777" w:rsidTr="00A9140F">
        <w:trPr>
          <w:trHeight w:val="240"/>
        </w:trPr>
        <w:tc>
          <w:tcPr>
            <w:tcW w:w="8748" w:type="dxa"/>
            <w:gridSpan w:val="2"/>
            <w:tcBorders>
              <w:top w:val="nil"/>
            </w:tcBorders>
            <w:tcMar>
              <w:top w:w="100" w:type="dxa"/>
              <w:left w:w="0" w:type="dxa"/>
              <w:bottom w:w="100" w:type="dxa"/>
              <w:right w:w="60" w:type="dxa"/>
            </w:tcMar>
          </w:tcPr>
          <w:p w14:paraId="0D4B56F7" w14:textId="77777777" w:rsidR="00DB6835" w:rsidRDefault="00DB6835" w:rsidP="00A9140F">
            <w:pPr>
              <w:pStyle w:val="AnnexNumberedText"/>
              <w:pageBreakBefore/>
              <w:tabs>
                <w:tab w:val="left" w:pos="508"/>
              </w:tabs>
              <w:spacing w:after="360"/>
              <w:ind w:left="0" w:firstLine="0"/>
            </w:pPr>
            <w:r>
              <w:lastRenderedPageBreak/>
              <w:t>2.</w:t>
            </w:r>
            <w:r>
              <w:tab/>
              <w:t xml:space="preserve">Innleiðing tækni, vara eða annarra lausna sem eru til rannsóknar til beinnar </w:t>
            </w:r>
            <w:proofErr w:type="spellStart"/>
            <w:r>
              <w:t>föngunar</w:t>
            </w:r>
            <w:proofErr w:type="spellEnd"/>
            <w:r>
              <w:t xml:space="preserve"> koltvísýrings í andrúmsloftinu getur mögulega leitt til samdráttar í heildarnettólosun gróðurhúsalofttegunda þegar hún hefur verið markaðssett.</w:t>
            </w:r>
          </w:p>
          <w:p w14:paraId="1E53F429" w14:textId="77777777" w:rsidR="00DB6835" w:rsidRDefault="00DB6835" w:rsidP="00A9140F">
            <w:pPr>
              <w:pStyle w:val="AnnexNumberedText"/>
              <w:tabs>
                <w:tab w:val="left" w:pos="508"/>
              </w:tabs>
              <w:spacing w:after="360"/>
              <w:ind w:left="0" w:firstLine="0"/>
            </w:pPr>
            <w:r>
              <w:t>3.</w:t>
            </w:r>
            <w:r>
              <w:tab/>
              <w:t>Ef rannsökuð, þróuð eða nýsköpuð tækni, vara eða önnur lausn er á tæknilegu viðbúnaðarstigi 1 til 7 metur aðilinn, sem annast rannsóknina, losun gróðurhúsalofttegunda á vistferlinum á einföldu formi. Aðilinn sýnir fram á eitt af eftirfarandi, eftir atvikum:</w:t>
            </w:r>
          </w:p>
          <w:p w14:paraId="15CA85BD" w14:textId="77777777" w:rsidR="00DB6835" w:rsidRDefault="00DB6835" w:rsidP="00A9140F">
            <w:pPr>
              <w:pStyle w:val="AnnexNumberedText"/>
              <w:spacing w:after="360"/>
            </w:pPr>
            <w:r>
              <w:t>a)</w:t>
            </w:r>
            <w:r>
              <w:tab/>
              <w:t>einkaleyfi, sem ekki er eldra en 10 ára, sem tengist tækninni, vörunni eða annarri lausn þar sem fram koma upplýsingar um getu til samdráttar í losun gróðurhúsalofttegunda,</w:t>
            </w:r>
          </w:p>
          <w:p w14:paraId="15796A05" w14:textId="77777777" w:rsidR="00DB6835" w:rsidRDefault="00DB6835" w:rsidP="00A9140F">
            <w:pPr>
              <w:pStyle w:val="AnnexNumberedText"/>
              <w:spacing w:after="360"/>
            </w:pPr>
            <w:r>
              <w:t>b)</w:t>
            </w:r>
            <w:r>
              <w:tab/>
              <w:t xml:space="preserve">leyfi frá </w:t>
            </w:r>
            <w:proofErr w:type="spellStart"/>
            <w:r>
              <w:t>lögbæru</w:t>
            </w:r>
            <w:proofErr w:type="spellEnd"/>
            <w:r>
              <w:t xml:space="preserve"> yfirvaldi til að starfrækja sýnistöðvar sem tengjast nýsköpunartækninni, vörunni eða annarri lausn á meðan á sýniverkefninu stendur þar sem fram koma upplýsingar um getu til samdráttar í losun gróðurhúsalofttegunda.</w:t>
            </w:r>
          </w:p>
          <w:p w14:paraId="6DE50ACB" w14:textId="77777777" w:rsidR="00DB6835" w:rsidRDefault="00DB6835" w:rsidP="00A9140F">
            <w:pPr>
              <w:pStyle w:val="AnnexTableCellLeft"/>
              <w:spacing w:after="360"/>
            </w:pPr>
            <w:r>
              <w:t>Ef rannsökuð, þróuð eða nýsköpuð tækni, vara eða önnur lausn er á tæknilegu viðbúnaðarstigi 8 eða hærra er losun gróðurhúsalofttegunda á vistferlinum reiknuð út með því að nota tilmæli 2013/179/ESB eða, að öðrum kosti, með því að nota ISO 14067:2018 (</w:t>
            </w:r>
            <w:r>
              <w:rPr>
                <w:rStyle w:val="Tilvsunneanmlsgrein"/>
                <w:sz w:val="18"/>
                <w:szCs w:val="18"/>
              </w:rPr>
              <w:footnoteReference w:id="333"/>
            </w:r>
            <w:r>
              <w:t>) eða ISO 14064-1:2018 (</w:t>
            </w:r>
            <w:r>
              <w:rPr>
                <w:rStyle w:val="Tilvsunneanmlsgrein"/>
                <w:sz w:val="18"/>
                <w:szCs w:val="18"/>
              </w:rPr>
              <w:footnoteReference w:id="334"/>
            </w:r>
            <w:r>
              <w:t>) og óháður þriðji aðili sannprófar hana.</w:t>
            </w:r>
          </w:p>
        </w:tc>
      </w:tr>
      <w:tr w:rsidR="00DB6835" w14:paraId="3EAA6821" w14:textId="77777777" w:rsidTr="00A9140F">
        <w:trPr>
          <w:trHeight w:val="240"/>
        </w:trPr>
        <w:tc>
          <w:tcPr>
            <w:tcW w:w="8748" w:type="dxa"/>
            <w:gridSpan w:val="2"/>
            <w:tcMar>
              <w:top w:w="100" w:type="dxa"/>
              <w:left w:w="0" w:type="dxa"/>
              <w:bottom w:w="100" w:type="dxa"/>
              <w:right w:w="60" w:type="dxa"/>
            </w:tcMar>
          </w:tcPr>
          <w:p w14:paraId="42973A75" w14:textId="77777777" w:rsidR="00DB6835" w:rsidRDefault="00DB6835" w:rsidP="00A9140F">
            <w:pPr>
              <w:pStyle w:val="AnnexTableCellLeft"/>
            </w:pPr>
            <w:r>
              <w:t>Ekki valda umtalsverðu tjóni</w:t>
            </w:r>
          </w:p>
        </w:tc>
      </w:tr>
      <w:tr w:rsidR="00DB6835" w14:paraId="25573045" w14:textId="77777777" w:rsidTr="00A9140F">
        <w:trPr>
          <w:trHeight w:val="360"/>
        </w:trPr>
        <w:tc>
          <w:tcPr>
            <w:tcW w:w="2868" w:type="dxa"/>
            <w:tcMar>
              <w:top w:w="140" w:type="dxa"/>
              <w:left w:w="0" w:type="dxa"/>
              <w:bottom w:w="140" w:type="dxa"/>
              <w:right w:w="60" w:type="dxa"/>
            </w:tcMar>
          </w:tcPr>
          <w:p w14:paraId="2A699AB9" w14:textId="77777777" w:rsidR="00DB6835" w:rsidRDefault="00DB6835" w:rsidP="00A9140F">
            <w:pPr>
              <w:pStyle w:val="AnnexNumberedText"/>
            </w:pPr>
            <w:r>
              <w:t>2)</w:t>
            </w:r>
            <w:r>
              <w:tab/>
              <w:t>Aðlögun að loftslagsbreytingum</w:t>
            </w:r>
          </w:p>
        </w:tc>
        <w:tc>
          <w:tcPr>
            <w:tcW w:w="5880" w:type="dxa"/>
            <w:tcMar>
              <w:top w:w="140" w:type="dxa"/>
              <w:left w:w="40" w:type="dxa"/>
              <w:bottom w:w="140" w:type="dxa"/>
              <w:right w:w="0" w:type="dxa"/>
            </w:tcMar>
          </w:tcPr>
          <w:p w14:paraId="306171CA" w14:textId="77777777" w:rsidR="00DB6835" w:rsidRDefault="00DB6835" w:rsidP="00A9140F">
            <w:pPr>
              <w:pStyle w:val="AnnexTableCellLeft"/>
            </w:pPr>
            <w:r>
              <w:t>Rannsakaða tæknin, varan eða önnur lausn er í samræmi við viðmiðanirnar sem settar eru fram í viðbæti A við þennan viðauka.</w:t>
            </w:r>
          </w:p>
        </w:tc>
      </w:tr>
      <w:tr w:rsidR="00DB6835" w14:paraId="7C818BA9" w14:textId="77777777" w:rsidTr="00A9140F">
        <w:trPr>
          <w:trHeight w:val="360"/>
        </w:trPr>
        <w:tc>
          <w:tcPr>
            <w:tcW w:w="2868" w:type="dxa"/>
            <w:tcMar>
              <w:top w:w="140" w:type="dxa"/>
              <w:left w:w="0" w:type="dxa"/>
              <w:bottom w:w="140" w:type="dxa"/>
              <w:right w:w="60" w:type="dxa"/>
            </w:tcMar>
          </w:tcPr>
          <w:p w14:paraId="1CE39166" w14:textId="77777777" w:rsidR="00DB6835" w:rsidRDefault="00DB6835" w:rsidP="00A9140F">
            <w:pPr>
              <w:pStyle w:val="AnnexNumberedText"/>
            </w:pPr>
            <w:r>
              <w:t>3)</w:t>
            </w:r>
            <w:r>
              <w:tab/>
              <w:t>Sjálfbær notkun og verndun vatns- og sjávarauðlinda</w:t>
            </w:r>
          </w:p>
        </w:tc>
        <w:tc>
          <w:tcPr>
            <w:tcW w:w="5880" w:type="dxa"/>
            <w:tcMar>
              <w:top w:w="140" w:type="dxa"/>
              <w:left w:w="40" w:type="dxa"/>
              <w:bottom w:w="140" w:type="dxa"/>
              <w:right w:w="0" w:type="dxa"/>
            </w:tcMar>
          </w:tcPr>
          <w:p w14:paraId="614DB0B9" w14:textId="77777777" w:rsidR="00DB6835" w:rsidRDefault="00DB6835" w:rsidP="00A9140F">
            <w:pPr>
              <w:pStyle w:val="AnnexTableCellLeft"/>
            </w:pPr>
            <w:r>
              <w:t xml:space="preserve">Sérhver möguleg áhætta fyrir góða stöðu eða gott </w:t>
            </w:r>
            <w:proofErr w:type="spellStart"/>
            <w:r>
              <w:t>vistmegin</w:t>
            </w:r>
            <w:proofErr w:type="spellEnd"/>
            <w:r>
              <w:t xml:space="preserve"> </w:t>
            </w:r>
            <w:proofErr w:type="spellStart"/>
            <w:r>
              <w:t>vatnshlota</w:t>
            </w:r>
            <w:proofErr w:type="spellEnd"/>
            <w:r>
              <w:t>, þ.m.t. yfirborðsvatn og grunnvatn, eða fyrir góða umhverfislega stöðu hafsvæða frá rannsökuðu tækninni, vörunni eða annarri lausn er metin og tekið á henni.</w:t>
            </w:r>
          </w:p>
        </w:tc>
      </w:tr>
      <w:tr w:rsidR="00DB6835" w14:paraId="01451207" w14:textId="77777777" w:rsidTr="00A9140F">
        <w:trPr>
          <w:trHeight w:val="360"/>
        </w:trPr>
        <w:tc>
          <w:tcPr>
            <w:tcW w:w="2868" w:type="dxa"/>
            <w:tcMar>
              <w:top w:w="140" w:type="dxa"/>
              <w:left w:w="0" w:type="dxa"/>
              <w:bottom w:w="140" w:type="dxa"/>
              <w:right w:w="60" w:type="dxa"/>
            </w:tcMar>
          </w:tcPr>
          <w:p w14:paraId="10D7C629" w14:textId="77777777" w:rsidR="00DB6835" w:rsidRDefault="00DB6835" w:rsidP="00A9140F">
            <w:pPr>
              <w:pStyle w:val="AnnexNumberedText"/>
            </w:pPr>
            <w:r>
              <w:t>4)</w:t>
            </w:r>
            <w:r>
              <w:tab/>
              <w:t>Umskipti yfir í hringrásarhagkerfi</w:t>
            </w:r>
          </w:p>
        </w:tc>
        <w:tc>
          <w:tcPr>
            <w:tcW w:w="5880" w:type="dxa"/>
            <w:tcMar>
              <w:top w:w="140" w:type="dxa"/>
              <w:left w:w="40" w:type="dxa"/>
              <w:bottom w:w="140" w:type="dxa"/>
              <w:right w:w="0" w:type="dxa"/>
            </w:tcMar>
          </w:tcPr>
          <w:p w14:paraId="40D9DECC" w14:textId="77777777" w:rsidR="00DB6835" w:rsidRDefault="00DB6835" w:rsidP="00A9140F">
            <w:pPr>
              <w:pStyle w:val="AnnexTableCellLeft"/>
            </w:pPr>
            <w:r>
              <w:t xml:space="preserve">Sérhver möguleg áhætta fyrir markmið hringrásarhagkerfisins frá rannsökuðu tækninni, vörunni eða annarri lausn er metin og tekið á henni með því að hafa í huga mismunandi hugsanlegt umtalsvert tjón eins og sett er fram í </w:t>
            </w:r>
            <w:proofErr w:type="spellStart"/>
            <w:r>
              <w:t>d-lið</w:t>
            </w:r>
            <w:proofErr w:type="spellEnd"/>
            <w:r>
              <w:t xml:space="preserve"> 1. mgr. 17. gr. reglugerðar (ESB) 2020/852.</w:t>
            </w:r>
          </w:p>
        </w:tc>
      </w:tr>
      <w:tr w:rsidR="00DB6835" w14:paraId="0521C904" w14:textId="77777777" w:rsidTr="00A9140F">
        <w:trPr>
          <w:trHeight w:val="360"/>
        </w:trPr>
        <w:tc>
          <w:tcPr>
            <w:tcW w:w="2868" w:type="dxa"/>
            <w:tcMar>
              <w:top w:w="140" w:type="dxa"/>
              <w:left w:w="0" w:type="dxa"/>
              <w:bottom w:w="140" w:type="dxa"/>
              <w:right w:w="60" w:type="dxa"/>
            </w:tcMar>
          </w:tcPr>
          <w:p w14:paraId="51D148D2" w14:textId="77777777" w:rsidR="00DB6835" w:rsidRDefault="00DB6835" w:rsidP="00A9140F">
            <w:pPr>
              <w:pStyle w:val="AnnexNumberedText"/>
            </w:pPr>
            <w:r>
              <w:t>5)</w:t>
            </w:r>
            <w:r>
              <w:tab/>
              <w:t>Mengunarvarnir og eftirlit með mengun</w:t>
            </w:r>
          </w:p>
        </w:tc>
        <w:tc>
          <w:tcPr>
            <w:tcW w:w="5880" w:type="dxa"/>
            <w:tcMar>
              <w:top w:w="140" w:type="dxa"/>
              <w:left w:w="40" w:type="dxa"/>
              <w:bottom w:w="140" w:type="dxa"/>
              <w:right w:w="0" w:type="dxa"/>
            </w:tcMar>
          </w:tcPr>
          <w:p w14:paraId="64E3758F" w14:textId="77777777" w:rsidR="00DB6835" w:rsidRDefault="00DB6835" w:rsidP="00A9140F">
            <w:pPr>
              <w:pStyle w:val="AnnexTableCellLeft"/>
            </w:pPr>
            <w:r>
              <w:t>Sérhver möguleg áhætta á að valda verulegri aukningu á losun mengunarefna í andrúmsloft, vatn eða jarðveg frá rannsökuðu tækninni, vörunni eða annarri lausn er metin og tekið á henni.</w:t>
            </w:r>
          </w:p>
        </w:tc>
      </w:tr>
      <w:tr w:rsidR="00DB6835" w14:paraId="5516E827" w14:textId="77777777" w:rsidTr="00A9140F">
        <w:trPr>
          <w:trHeight w:val="360"/>
        </w:trPr>
        <w:tc>
          <w:tcPr>
            <w:tcW w:w="2868" w:type="dxa"/>
            <w:tcMar>
              <w:top w:w="140" w:type="dxa"/>
              <w:left w:w="0" w:type="dxa"/>
              <w:bottom w:w="140" w:type="dxa"/>
              <w:right w:w="60" w:type="dxa"/>
            </w:tcMar>
          </w:tcPr>
          <w:p w14:paraId="7C295EAA" w14:textId="77777777" w:rsidR="00DB6835" w:rsidRDefault="00DB6835" w:rsidP="00A9140F">
            <w:pPr>
              <w:pStyle w:val="AnnexNumberedText"/>
            </w:pPr>
            <w:r>
              <w:t>6)</w:t>
            </w:r>
            <w:r>
              <w:tab/>
              <w:t>Vernd og endurheimt líffræðilegrar fjölbreytni og vistkerfa</w:t>
            </w:r>
          </w:p>
        </w:tc>
        <w:tc>
          <w:tcPr>
            <w:tcW w:w="5880" w:type="dxa"/>
            <w:tcMar>
              <w:top w:w="140" w:type="dxa"/>
              <w:left w:w="40" w:type="dxa"/>
              <w:bottom w:w="140" w:type="dxa"/>
              <w:right w:w="0" w:type="dxa"/>
            </w:tcMar>
          </w:tcPr>
          <w:p w14:paraId="5A219325" w14:textId="77777777" w:rsidR="00DB6835" w:rsidRDefault="00DB6835" w:rsidP="00A9140F">
            <w:pPr>
              <w:pStyle w:val="AnnexTableCellLeft"/>
            </w:pPr>
            <w:r>
              <w:t>Sérhver möguleg áhætta fyrir gott ástand eða viðnám vistkerfa eða fyrir varðveislustöðu búsvæða og tegunda, m.a. þeirra sem hafa mikla þýðingu fyrir Sambandið, frá rannsökuðu tækninni, vörunni eða annarri lausn er metin og tekið á henni.</w:t>
            </w:r>
          </w:p>
        </w:tc>
      </w:tr>
    </w:tbl>
    <w:p w14:paraId="6AD507B7" w14:textId="77777777" w:rsidR="00DB6835" w:rsidRDefault="00DB6835" w:rsidP="00DB6835">
      <w:pPr>
        <w:pStyle w:val="AnnexNumberedText"/>
        <w:tabs>
          <w:tab w:val="left" w:pos="508"/>
        </w:tabs>
        <w:spacing w:before="200" w:after="400"/>
        <w:ind w:left="500" w:hanging="500"/>
      </w:pPr>
      <w:r>
        <w:t>9.3.</w:t>
      </w:r>
      <w:r>
        <w:rPr>
          <w:b/>
        </w:rPr>
        <w:tab/>
        <w:t>Sérfræðiþjónusta tengd orkunýtingu bygginga</w:t>
      </w:r>
    </w:p>
    <w:p w14:paraId="0995F8BC" w14:textId="77777777" w:rsidR="00DB6835" w:rsidRDefault="00DB6835" w:rsidP="00DB6835">
      <w:pPr>
        <w:pStyle w:val="AnnexGrSeq3"/>
        <w:spacing w:after="400"/>
        <w:ind w:left="500"/>
        <w:jc w:val="both"/>
      </w:pPr>
      <w:r>
        <w:rPr>
          <w:i/>
        </w:rPr>
        <w:t>Lýsing á starfseminni</w:t>
      </w:r>
    </w:p>
    <w:p w14:paraId="59740482" w14:textId="77777777" w:rsidR="00DB6835" w:rsidRDefault="00DB6835" w:rsidP="00DB6835">
      <w:pPr>
        <w:pStyle w:val="AnnexNormal"/>
        <w:spacing w:after="0"/>
        <w:ind w:left="500"/>
      </w:pPr>
      <w:r>
        <w:t>Sérfræðiþjónusta tengd orkunýtingu bygginga.</w:t>
      </w:r>
      <w:r>
        <w:br w:type="page"/>
      </w:r>
    </w:p>
    <w:p w14:paraId="52DDE29E" w14:textId="77777777" w:rsidR="00DB6835" w:rsidRDefault="00DB6835" w:rsidP="00DB6835">
      <w:pPr>
        <w:pStyle w:val="AnnexNormal"/>
        <w:ind w:left="500"/>
      </w:pPr>
      <w:r>
        <w:lastRenderedPageBreak/>
        <w:t>Atvinnustarfsemin í þessum flokki gæti tengst kóða atvinnugreinaflokkunar Evrópusambandsins M71 í samræmi við atvinnugreinaflokkunina sem komið var á með reglugerð (EB) nr. 1893/2006.</w:t>
      </w:r>
    </w:p>
    <w:p w14:paraId="254B96C0" w14:textId="77777777" w:rsidR="00DB6835" w:rsidRDefault="00DB6835" w:rsidP="00DB6835">
      <w:pPr>
        <w:pStyle w:val="AnnexNormal"/>
        <w:ind w:left="500"/>
      </w:pPr>
      <w:r>
        <w:t xml:space="preserve">Atvinnustarfsemi í þessum flokki er starfsemi sem gerir annarri starfsemi kleift að stuðla að umhverfismarkmiðum, eins og um getur í </w:t>
      </w:r>
      <w:proofErr w:type="spellStart"/>
      <w:r>
        <w:t>i-lið</w:t>
      </w:r>
      <w:proofErr w:type="spellEnd"/>
      <w:r>
        <w:t xml:space="preserve"> 1. mgr. 10. gr. reglugerðar (ESB) 2020/852, þegar hún er í samræmi við tæknilegu matsviðmiðin sem sett eru fram í þessum þætti.</w:t>
      </w:r>
    </w:p>
    <w:p w14:paraId="5FE304F0" w14:textId="77777777" w:rsidR="00DB6835" w:rsidRDefault="00DB6835" w:rsidP="00DB6835">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764"/>
        <w:gridCol w:w="5976"/>
      </w:tblGrid>
      <w:tr w:rsidR="00DB6835" w14:paraId="1A2A2D68" w14:textId="77777777" w:rsidTr="00A9140F">
        <w:trPr>
          <w:trHeight w:val="240"/>
        </w:trPr>
        <w:tc>
          <w:tcPr>
            <w:tcW w:w="8740" w:type="dxa"/>
            <w:gridSpan w:val="2"/>
            <w:tcMar>
              <w:top w:w="100" w:type="dxa"/>
              <w:left w:w="0" w:type="dxa"/>
              <w:bottom w:w="100" w:type="dxa"/>
              <w:right w:w="60" w:type="dxa"/>
            </w:tcMar>
          </w:tcPr>
          <w:p w14:paraId="23414614" w14:textId="77777777" w:rsidR="00DB6835" w:rsidRDefault="00DB6835" w:rsidP="00A9140F">
            <w:pPr>
              <w:pStyle w:val="AnnexTableCellLeft"/>
            </w:pPr>
            <w:r>
              <w:t xml:space="preserve">Verulegt framlag til </w:t>
            </w:r>
            <w:proofErr w:type="spellStart"/>
            <w:r>
              <w:t>mildunar</w:t>
            </w:r>
            <w:proofErr w:type="spellEnd"/>
            <w:r>
              <w:t xml:space="preserve"> loftslagsbreytinga</w:t>
            </w:r>
          </w:p>
        </w:tc>
      </w:tr>
      <w:tr w:rsidR="00DB6835" w14:paraId="5D24F733" w14:textId="77777777" w:rsidTr="00A9140F">
        <w:trPr>
          <w:trHeight w:val="360"/>
        </w:trPr>
        <w:tc>
          <w:tcPr>
            <w:tcW w:w="8740" w:type="dxa"/>
            <w:gridSpan w:val="2"/>
            <w:tcMar>
              <w:top w:w="100" w:type="dxa"/>
              <w:left w:w="0" w:type="dxa"/>
              <w:bottom w:w="100" w:type="dxa"/>
              <w:right w:w="60" w:type="dxa"/>
            </w:tcMar>
          </w:tcPr>
          <w:p w14:paraId="5F1CB4D6" w14:textId="77777777" w:rsidR="00DB6835" w:rsidRDefault="00DB6835" w:rsidP="00A9140F">
            <w:pPr>
              <w:pStyle w:val="AnnexTableCellLeft"/>
              <w:spacing w:after="240"/>
              <w:ind w:left="300" w:hanging="300"/>
            </w:pPr>
            <w:r>
              <w:t>Starfsemin samanstendur af einu af eftirfarandi:</w:t>
            </w:r>
          </w:p>
          <w:p w14:paraId="6B526F93" w14:textId="77777777" w:rsidR="00DB6835" w:rsidRDefault="00DB6835" w:rsidP="00A9140F">
            <w:pPr>
              <w:pStyle w:val="AnnexNumberedText"/>
              <w:spacing w:after="240"/>
            </w:pPr>
            <w:r>
              <w:t>a)</w:t>
            </w:r>
            <w:r>
              <w:tab/>
              <w:t xml:space="preserve">tæknilegt samráð (orkusamráð, orkuhermun, </w:t>
            </w:r>
            <w:proofErr w:type="spellStart"/>
            <w:r>
              <w:t>verkefnastjórnun</w:t>
            </w:r>
            <w:proofErr w:type="spellEnd"/>
            <w:r>
              <w:t>, gerð samninga um orkunýtingu, sérstök þjálfun) sem tengist úrbótum á orkunýtingu bygginga,</w:t>
            </w:r>
          </w:p>
          <w:p w14:paraId="548F4194" w14:textId="77777777" w:rsidR="00DB6835" w:rsidRDefault="00DB6835" w:rsidP="00A9140F">
            <w:pPr>
              <w:pStyle w:val="AnnexNumberedText"/>
              <w:spacing w:after="240"/>
            </w:pPr>
            <w:r>
              <w:t>b)</w:t>
            </w:r>
            <w:r>
              <w:tab/>
              <w:t>viðurkenndar orkuúttektir og mat á orkunýtingu bygginga,</w:t>
            </w:r>
          </w:p>
          <w:p w14:paraId="16D3A941" w14:textId="77777777" w:rsidR="00DB6835" w:rsidRDefault="00DB6835" w:rsidP="00A9140F">
            <w:pPr>
              <w:pStyle w:val="AnnexNumberedText"/>
              <w:spacing w:after="240"/>
            </w:pPr>
            <w:r>
              <w:t>c)</w:t>
            </w:r>
            <w:r>
              <w:tab/>
              <w:t>orkustjórnunarþjónusta,</w:t>
            </w:r>
          </w:p>
          <w:p w14:paraId="5110D7F6" w14:textId="77777777" w:rsidR="00DB6835" w:rsidRDefault="00DB6835" w:rsidP="00A9140F">
            <w:pPr>
              <w:pStyle w:val="AnnexNumberedText"/>
              <w:spacing w:after="240"/>
            </w:pPr>
            <w:r>
              <w:t>d)</w:t>
            </w:r>
            <w:r>
              <w:tab/>
              <w:t>samningar um orkunýtingu,</w:t>
            </w:r>
          </w:p>
          <w:p w14:paraId="0E39DECC" w14:textId="77777777" w:rsidR="00DB6835" w:rsidRDefault="00DB6835" w:rsidP="00A9140F">
            <w:pPr>
              <w:pStyle w:val="AnnexNumberedText"/>
              <w:spacing w:after="240"/>
            </w:pPr>
            <w:r>
              <w:t>e)</w:t>
            </w:r>
            <w:r>
              <w:tab/>
              <w:t>orkuþjónusta sem orkuþjónustufyrirtæki láta í té.</w:t>
            </w:r>
          </w:p>
        </w:tc>
      </w:tr>
      <w:tr w:rsidR="00DB6835" w14:paraId="314B60B4" w14:textId="77777777" w:rsidTr="00A9140F">
        <w:trPr>
          <w:trHeight w:val="240"/>
        </w:trPr>
        <w:tc>
          <w:tcPr>
            <w:tcW w:w="8740" w:type="dxa"/>
            <w:gridSpan w:val="2"/>
            <w:tcMar>
              <w:top w:w="100" w:type="dxa"/>
              <w:left w:w="0" w:type="dxa"/>
              <w:bottom w:w="100" w:type="dxa"/>
              <w:right w:w="60" w:type="dxa"/>
            </w:tcMar>
          </w:tcPr>
          <w:p w14:paraId="6E2C371E" w14:textId="77777777" w:rsidR="00DB6835" w:rsidRDefault="00DB6835" w:rsidP="00A9140F">
            <w:pPr>
              <w:pStyle w:val="AnnexTableCellLeft"/>
            </w:pPr>
            <w:r>
              <w:t>Ekki valda umtalsverðu tjóni</w:t>
            </w:r>
          </w:p>
        </w:tc>
      </w:tr>
      <w:tr w:rsidR="00DB6835" w14:paraId="416AB95F" w14:textId="77777777" w:rsidTr="00A9140F">
        <w:trPr>
          <w:trHeight w:val="360"/>
        </w:trPr>
        <w:tc>
          <w:tcPr>
            <w:tcW w:w="2764" w:type="dxa"/>
            <w:tcMar>
              <w:top w:w="100" w:type="dxa"/>
              <w:left w:w="0" w:type="dxa"/>
              <w:bottom w:w="100" w:type="dxa"/>
              <w:right w:w="60" w:type="dxa"/>
            </w:tcMar>
          </w:tcPr>
          <w:p w14:paraId="33C994F6" w14:textId="77777777" w:rsidR="00DB6835" w:rsidRDefault="00DB6835" w:rsidP="00A9140F">
            <w:pPr>
              <w:pStyle w:val="AnnexNumberedText"/>
            </w:pPr>
            <w:r>
              <w:t>2)</w:t>
            </w:r>
            <w:r>
              <w:tab/>
              <w:t>Aðlögun að loftslagsbreytingum</w:t>
            </w:r>
          </w:p>
        </w:tc>
        <w:tc>
          <w:tcPr>
            <w:tcW w:w="5976" w:type="dxa"/>
            <w:tcMar>
              <w:top w:w="100" w:type="dxa"/>
              <w:left w:w="40" w:type="dxa"/>
              <w:bottom w:w="100" w:type="dxa"/>
              <w:right w:w="0" w:type="dxa"/>
            </w:tcMar>
          </w:tcPr>
          <w:p w14:paraId="5764645A" w14:textId="77777777" w:rsidR="00DB6835" w:rsidRDefault="00DB6835" w:rsidP="00A9140F">
            <w:pPr>
              <w:pStyle w:val="AnnexTableCellLeft"/>
            </w:pPr>
            <w:r>
              <w:t>Starfsemin er í samræmi við viðmiðanirnar sem settar eru fram í viðbæti A við þennan viðauka.</w:t>
            </w:r>
          </w:p>
        </w:tc>
      </w:tr>
      <w:tr w:rsidR="00DB6835" w14:paraId="7A6EA06C" w14:textId="77777777" w:rsidTr="00A9140F">
        <w:trPr>
          <w:trHeight w:val="360"/>
        </w:trPr>
        <w:tc>
          <w:tcPr>
            <w:tcW w:w="2764" w:type="dxa"/>
            <w:tcMar>
              <w:top w:w="100" w:type="dxa"/>
              <w:left w:w="0" w:type="dxa"/>
              <w:bottom w:w="100" w:type="dxa"/>
              <w:right w:w="60" w:type="dxa"/>
            </w:tcMar>
          </w:tcPr>
          <w:p w14:paraId="365641D6" w14:textId="77777777" w:rsidR="00DB6835" w:rsidRDefault="00DB6835" w:rsidP="00A9140F">
            <w:pPr>
              <w:pStyle w:val="AnnexNumberedText"/>
            </w:pPr>
            <w:r>
              <w:t>3)</w:t>
            </w:r>
            <w:r>
              <w:tab/>
              <w:t>Sjálfbær notkun og verndun vatns- og sjávarauðlinda</w:t>
            </w:r>
          </w:p>
        </w:tc>
        <w:tc>
          <w:tcPr>
            <w:tcW w:w="5976" w:type="dxa"/>
            <w:tcMar>
              <w:top w:w="100" w:type="dxa"/>
              <w:left w:w="40" w:type="dxa"/>
              <w:bottom w:w="100" w:type="dxa"/>
              <w:right w:w="0" w:type="dxa"/>
            </w:tcMar>
          </w:tcPr>
          <w:p w14:paraId="26287DCB" w14:textId="77777777" w:rsidR="00DB6835" w:rsidRDefault="00DB6835" w:rsidP="00A9140F">
            <w:pPr>
              <w:pStyle w:val="AnnexTableCellLeft"/>
            </w:pPr>
            <w:r>
              <w:t>Á ekki við</w:t>
            </w:r>
          </w:p>
        </w:tc>
      </w:tr>
      <w:tr w:rsidR="00DB6835" w14:paraId="31097E14" w14:textId="77777777" w:rsidTr="00A9140F">
        <w:trPr>
          <w:trHeight w:val="360"/>
        </w:trPr>
        <w:tc>
          <w:tcPr>
            <w:tcW w:w="2764" w:type="dxa"/>
            <w:tcMar>
              <w:top w:w="100" w:type="dxa"/>
              <w:left w:w="0" w:type="dxa"/>
              <w:bottom w:w="100" w:type="dxa"/>
              <w:right w:w="60" w:type="dxa"/>
            </w:tcMar>
          </w:tcPr>
          <w:p w14:paraId="010D3A9C" w14:textId="77777777" w:rsidR="00DB6835" w:rsidRDefault="00DB6835" w:rsidP="00A9140F">
            <w:pPr>
              <w:pStyle w:val="AnnexNumberedText"/>
            </w:pPr>
            <w:r>
              <w:t>4)</w:t>
            </w:r>
            <w:r>
              <w:tab/>
              <w:t>Umskipti yfir í hringrásarhagkerfi</w:t>
            </w:r>
          </w:p>
        </w:tc>
        <w:tc>
          <w:tcPr>
            <w:tcW w:w="5976" w:type="dxa"/>
            <w:tcMar>
              <w:top w:w="100" w:type="dxa"/>
              <w:left w:w="40" w:type="dxa"/>
              <w:bottom w:w="100" w:type="dxa"/>
              <w:right w:w="0" w:type="dxa"/>
            </w:tcMar>
          </w:tcPr>
          <w:p w14:paraId="738E3162" w14:textId="77777777" w:rsidR="00DB6835" w:rsidRDefault="00DB6835" w:rsidP="00A9140F">
            <w:pPr>
              <w:pStyle w:val="AnnexTableCellLeft"/>
            </w:pPr>
            <w:r>
              <w:t>Á ekki við</w:t>
            </w:r>
          </w:p>
        </w:tc>
      </w:tr>
      <w:tr w:rsidR="00DB6835" w14:paraId="4914A23C" w14:textId="77777777" w:rsidTr="00A9140F">
        <w:trPr>
          <w:trHeight w:val="360"/>
        </w:trPr>
        <w:tc>
          <w:tcPr>
            <w:tcW w:w="2764" w:type="dxa"/>
            <w:tcMar>
              <w:top w:w="100" w:type="dxa"/>
              <w:left w:w="0" w:type="dxa"/>
              <w:bottom w:w="100" w:type="dxa"/>
              <w:right w:w="60" w:type="dxa"/>
            </w:tcMar>
          </w:tcPr>
          <w:p w14:paraId="5436A5D9" w14:textId="77777777" w:rsidR="00DB6835" w:rsidRDefault="00DB6835" w:rsidP="00A9140F">
            <w:pPr>
              <w:pStyle w:val="AnnexNumberedText"/>
            </w:pPr>
            <w:r>
              <w:t>5)</w:t>
            </w:r>
            <w:r>
              <w:tab/>
              <w:t>Mengunarvarnir og eftirlit með mengun</w:t>
            </w:r>
          </w:p>
        </w:tc>
        <w:tc>
          <w:tcPr>
            <w:tcW w:w="5976" w:type="dxa"/>
            <w:tcMar>
              <w:top w:w="100" w:type="dxa"/>
              <w:left w:w="40" w:type="dxa"/>
              <w:bottom w:w="100" w:type="dxa"/>
              <w:right w:w="0" w:type="dxa"/>
            </w:tcMar>
          </w:tcPr>
          <w:p w14:paraId="4F8554D7" w14:textId="77777777" w:rsidR="00DB6835" w:rsidRDefault="00DB6835" w:rsidP="00A9140F">
            <w:pPr>
              <w:pStyle w:val="AnnexTableCellLeft"/>
            </w:pPr>
            <w:r>
              <w:t>Á ekki við</w:t>
            </w:r>
          </w:p>
        </w:tc>
      </w:tr>
      <w:tr w:rsidR="00DB6835" w14:paraId="64129A94" w14:textId="77777777" w:rsidTr="00A9140F">
        <w:trPr>
          <w:trHeight w:val="360"/>
        </w:trPr>
        <w:tc>
          <w:tcPr>
            <w:tcW w:w="2764" w:type="dxa"/>
            <w:tcMar>
              <w:top w:w="100" w:type="dxa"/>
              <w:left w:w="0" w:type="dxa"/>
              <w:bottom w:w="100" w:type="dxa"/>
              <w:right w:w="60" w:type="dxa"/>
            </w:tcMar>
          </w:tcPr>
          <w:p w14:paraId="37A0A161" w14:textId="77777777" w:rsidR="00DB6835" w:rsidRDefault="00DB6835" w:rsidP="00A9140F">
            <w:pPr>
              <w:pStyle w:val="AnnexNumberedText"/>
            </w:pPr>
            <w:r>
              <w:t>6)</w:t>
            </w:r>
            <w:r>
              <w:tab/>
              <w:t>Vernd og endurheimt líffræðilegrar fjölbreytni og vistkerfa</w:t>
            </w:r>
          </w:p>
        </w:tc>
        <w:tc>
          <w:tcPr>
            <w:tcW w:w="5976" w:type="dxa"/>
            <w:tcMar>
              <w:top w:w="100" w:type="dxa"/>
              <w:left w:w="40" w:type="dxa"/>
              <w:bottom w:w="100" w:type="dxa"/>
              <w:right w:w="0" w:type="dxa"/>
            </w:tcMar>
          </w:tcPr>
          <w:p w14:paraId="285BC7F4" w14:textId="77777777" w:rsidR="00DB6835" w:rsidRDefault="00DB6835" w:rsidP="00A9140F">
            <w:pPr>
              <w:pStyle w:val="AnnexTableCellLeft"/>
            </w:pPr>
            <w:r>
              <w:t>Á ekki við</w:t>
            </w:r>
          </w:p>
        </w:tc>
      </w:tr>
    </w:tbl>
    <w:p w14:paraId="38C10FC9" w14:textId="77777777" w:rsidR="00DB6835" w:rsidRDefault="00DB6835" w:rsidP="00DB6835">
      <w:pPr>
        <w:shd w:val="clear" w:color="auto" w:fill="auto"/>
        <w:spacing w:line="0" w:lineRule="auto"/>
        <w:jc w:val="left"/>
        <w:rPr>
          <w:i/>
          <w:color w:val="auto"/>
          <w:sz w:val="16"/>
          <w14:ligatures w14:val="standard"/>
        </w:rPr>
        <w:sectPr w:rsidR="00DB6835">
          <w:footnotePr>
            <w:numRestart w:val="eachSect"/>
          </w:footnotePr>
          <w:pgSz w:w="11906" w:h="16838" w:code="9"/>
          <w:pgMar w:top="1680" w:right="1333" w:bottom="840" w:left="1333" w:header="920" w:footer="280" w:gutter="0"/>
          <w:cols w:space="708"/>
          <w:docGrid w:linePitch="360"/>
        </w:sectPr>
      </w:pPr>
    </w:p>
    <w:p w14:paraId="61875AB3" w14:textId="77777777" w:rsidR="00DB6835" w:rsidRDefault="00DB6835" w:rsidP="00DB6835">
      <w:pPr>
        <w:pStyle w:val="AnnexTI"/>
      </w:pPr>
    </w:p>
    <w:p w14:paraId="77F3FA31" w14:textId="77777777" w:rsidR="002B5657" w:rsidRDefault="002B5657" w:rsidP="002B5657">
      <w:pPr>
        <w:pStyle w:val="AnnexTI"/>
      </w:pPr>
      <w:r>
        <w:t>Viðbætir A</w:t>
      </w:r>
    </w:p>
    <w:p w14:paraId="65D22282" w14:textId="77777777" w:rsidR="002B5657" w:rsidRDefault="002B5657" w:rsidP="002B5657">
      <w:pPr>
        <w:pStyle w:val="AnnexSTI"/>
        <w:spacing w:after="200"/>
      </w:pPr>
      <w:r>
        <w:t>ALMENNAR VIÐMIÐANIR UM AÐ VALDA EKKI UMTALSVERÐU TJÓNI FYRIR AÐLÖGUN AÐ LOFTSLAGSBREYTINGUM</w:t>
      </w:r>
    </w:p>
    <w:p w14:paraId="4982C70B" w14:textId="77777777" w:rsidR="002B5657" w:rsidRDefault="002B5657" w:rsidP="002B5657">
      <w:pPr>
        <w:pStyle w:val="AnnexNumberedText"/>
        <w:jc w:val="center"/>
      </w:pPr>
      <w:r>
        <w:t>I.</w:t>
      </w:r>
      <w:r>
        <w:rPr>
          <w:b/>
        </w:rPr>
        <w:tab/>
        <w:t>Viðmiðanir</w:t>
      </w:r>
    </w:p>
    <w:tbl>
      <w:tblPr>
        <w:tblStyle w:val="EFTATable"/>
        <w:tblW w:w="0" w:type="auto"/>
        <w:tblInd w:w="92" w:type="dxa"/>
        <w:tblBorders>
          <w:left w:val="single" w:sz="4" w:space="0" w:color="auto"/>
          <w:right w:val="single" w:sz="4" w:space="0" w:color="auto"/>
        </w:tblBorders>
        <w:tblLook w:val="04A0" w:firstRow="1" w:lastRow="0" w:firstColumn="1" w:lastColumn="0" w:noHBand="0" w:noVBand="1"/>
      </w:tblPr>
      <w:tblGrid>
        <w:gridCol w:w="9138"/>
      </w:tblGrid>
      <w:tr w:rsidR="002B5657" w14:paraId="0A941B02" w14:textId="77777777" w:rsidTr="00A9140F">
        <w:trPr>
          <w:trHeight w:val="8300"/>
        </w:trPr>
        <w:tc>
          <w:tcPr>
            <w:tcW w:w="9228" w:type="dxa"/>
            <w:shd w:val="clear" w:color="auto" w:fill="ECECEC"/>
            <w:tcMar>
              <w:left w:w="80" w:type="dxa"/>
              <w:right w:w="80" w:type="dxa"/>
            </w:tcMar>
          </w:tcPr>
          <w:p w14:paraId="391AC777" w14:textId="77777777" w:rsidR="002B5657" w:rsidRDefault="002B5657" w:rsidP="00A9140F">
            <w:pPr>
              <w:pStyle w:val="AnnexNormal"/>
              <w:spacing w:after="300"/>
            </w:pPr>
            <w:r>
              <w:t>Efnisleg loftslagsáhætta sem hefur mikla þýðingu fyrir starfsemina hefur verið greind meðal þeirra sem eru skráðar í töflunni í II. þætti þessa viðbætis með því að framkvæma traust loftslagsáhættu- og veikleikamat með eftirfarandi skrefum:</w:t>
            </w:r>
          </w:p>
          <w:p w14:paraId="5362EB3C" w14:textId="77777777" w:rsidR="002B5657" w:rsidRDefault="002B5657" w:rsidP="00A9140F">
            <w:pPr>
              <w:pStyle w:val="AnnexNumberedText"/>
              <w:spacing w:after="300"/>
            </w:pPr>
            <w:r>
              <w:t>a)</w:t>
            </w:r>
            <w:r>
              <w:tab/>
              <w:t>skimun á starfseminni til að greina hvaða efnislega loftslagsáhætta úr skránni í II. þætti þessa viðbætis getur haft áhrif á árangurinn af atvinnustarfseminni á væntum líftíma hennar,</w:t>
            </w:r>
          </w:p>
          <w:p w14:paraId="14E72FD2" w14:textId="77777777" w:rsidR="002B5657" w:rsidRDefault="002B5657" w:rsidP="00A9140F">
            <w:pPr>
              <w:pStyle w:val="AnnexNumberedText"/>
              <w:spacing w:after="300"/>
            </w:pPr>
            <w:r>
              <w:t>b)</w:t>
            </w:r>
            <w:r>
              <w:tab/>
              <w:t>ef metið er að starfsemin sé í áhættu vegna einnar eða fleiri tegunda efnislegrar loftslagsáhættu sem er skráð í II. þátt þessa viðbætis, loftslagsáhættu- og veikleikamat til að meta hversu mikla þýðingu efnislega loftslagsáhættan hefur fyrir atvinnustarfsemina,</w:t>
            </w:r>
          </w:p>
          <w:p w14:paraId="042248A9" w14:textId="77777777" w:rsidR="002B5657" w:rsidRDefault="002B5657" w:rsidP="00A9140F">
            <w:pPr>
              <w:pStyle w:val="AnnexNumberedText"/>
              <w:spacing w:after="300"/>
            </w:pPr>
            <w:r>
              <w:t>c)</w:t>
            </w:r>
            <w:r>
              <w:tab/>
              <w:t>mat á aðlögunarlausnum sem geta dregið úr greindri efnislegri loftslagsáhættu.</w:t>
            </w:r>
          </w:p>
          <w:p w14:paraId="324A25CE" w14:textId="77777777" w:rsidR="002B5657" w:rsidRDefault="002B5657" w:rsidP="00A9140F">
            <w:pPr>
              <w:pStyle w:val="AnnexNormal"/>
              <w:spacing w:after="300"/>
              <w:ind w:left="300" w:hanging="300"/>
            </w:pPr>
            <w:r>
              <w:t xml:space="preserve">Loftslagsáhættu- og veikleikamatið er í réttu hlutfalli við umfang starfseminnar og </w:t>
            </w:r>
            <w:proofErr w:type="spellStart"/>
            <w:r>
              <w:t>væntan</w:t>
            </w:r>
            <w:proofErr w:type="spellEnd"/>
            <w:r>
              <w:t xml:space="preserve"> líftíma hennar þannig að:</w:t>
            </w:r>
          </w:p>
          <w:p w14:paraId="61992255" w14:textId="77777777" w:rsidR="002B5657" w:rsidRDefault="002B5657" w:rsidP="00A9140F">
            <w:pPr>
              <w:pStyle w:val="AnnexNumberedText"/>
              <w:spacing w:after="3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AC6F031" w14:textId="77777777" w:rsidR="002B5657" w:rsidRDefault="002B5657"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bookmarkStart w:id="46" w:name="NOTE_334"/>
            <w:r>
              <w:rPr>
                <w:rStyle w:val="Tilvsunneanmlsgrein"/>
                <w:sz w:val="18"/>
                <w:szCs w:val="18"/>
              </w:rPr>
              <w:footnoteReference w:id="335"/>
            </w:r>
            <w:bookmarkEnd w:id="46"/>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CF9756C" w14:textId="77777777" w:rsidR="002B5657" w:rsidRDefault="002B5657" w:rsidP="00A9140F">
            <w:pPr>
              <w:pStyle w:val="AnnexNormal"/>
              <w:spacing w:after="300"/>
              <w:rPr>
                <w:szCs w:val="18"/>
              </w:rPr>
            </w:pPr>
            <w:r>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bookmarkStart w:id="47" w:name="NOTE_335"/>
            <w:r>
              <w:rPr>
                <w:rStyle w:val="Tilvsunneanmlsgrein"/>
                <w:sz w:val="18"/>
                <w:szCs w:val="18"/>
              </w:rPr>
              <w:footnoteReference w:id="336"/>
            </w:r>
            <w:bookmarkEnd w:id="47"/>
            <w:r>
              <w:t>), vísindalegt ritrýnt útgefið efni og líkön með opnum aðgangi (</w:t>
            </w:r>
            <w:bookmarkStart w:id="48" w:name="NOTE_336"/>
            <w:r>
              <w:rPr>
                <w:rStyle w:val="Tilvsunneanmlsgrein"/>
                <w:sz w:val="18"/>
                <w:szCs w:val="18"/>
              </w:rPr>
              <w:footnoteReference w:id="337"/>
            </w:r>
            <w:bookmarkEnd w:id="48"/>
            <w:r>
              <w:t>) eða gegn greiðslu.</w:t>
            </w:r>
          </w:p>
          <w:p w14:paraId="191A801C" w14:textId="77777777" w:rsidR="002B5657" w:rsidRDefault="002B5657" w:rsidP="00A9140F">
            <w:pPr>
              <w:pStyle w:val="AnnexNormal"/>
              <w:spacing w:after="300"/>
              <w:rPr>
                <w:szCs w:val="18"/>
              </w:rPr>
            </w:pPr>
            <w:r>
              <w:t>Að því er varðar starfsemi sem fyrir er og nýja starfsemi þar sem fyrirliggjandi efnislegar eignir eru notaðar kemur rekstraraðilinn í framkvæmd efnislegum og óefnislegum lausnum („aðlögunarlausnum“), á tímabili sem nemur allt að fimm árum, sem draga úr helstu efnislegu loftslagsáhættunum sem greindust sem hafa mikla þýðingu fyrir þessa starfsemi. Útbúin er aðlögunaráætlun fyrir framkvæmd þessara lausna til samræmis við það.</w:t>
            </w:r>
          </w:p>
          <w:p w14:paraId="28B17DC7" w14:textId="77777777" w:rsidR="002B5657" w:rsidRDefault="002B5657" w:rsidP="00A9140F">
            <w:pPr>
              <w:pStyle w:val="AnnexNormal"/>
              <w:spacing w:after="300"/>
            </w:pPr>
            <w:r>
              <w:t xml:space="preserve">Að því er varðar starfsemi sem fyrir er og nýja starfsemi þar sem nýbyggðar efnislegar eignir eru notaðar samþættir rekstraraðilinn aðlögunarlausnir sem draga úr helstu efnislegu loftslagsáhættunum sem greindust, sem hafa mikla þýðingu fyrir þessa starfsemi á hönnunar- og byggingartímanum, og kemur þeim til framkvæmda áður en </w:t>
            </w:r>
            <w:proofErr w:type="spellStart"/>
            <w:r>
              <w:t>starfræksla</w:t>
            </w:r>
            <w:proofErr w:type="spellEnd"/>
            <w:r>
              <w:t xml:space="preserve"> hefst.</w:t>
            </w:r>
          </w:p>
          <w:p w14:paraId="3C32F956" w14:textId="77777777" w:rsidR="002B5657" w:rsidRDefault="002B5657" w:rsidP="00A9140F">
            <w:pPr>
              <w:pStyle w:val="AnnexNormal"/>
              <w:spacing w:after="120"/>
            </w:pPr>
            <w:r>
              <w:t>Aðlögunarlausnir sem komið er í framkvæmd hafa ekki neikvæð áhrif á viðleitni til aðlögunar eða viðnám annars fólks, náttúru, menningararfleifðar, eigna og annarrar atvinnustarfsemi gegn efnislegri loftslagsáhættu; þær eru í samræmi við staðbundnar, geirabundnar, svæðisbundnar eða landsbundnar aðlögunarstefnur og -áætlanir og tekið er tillit til notkunar á náttúrumiðuðum lausnum (</w:t>
            </w:r>
            <w:bookmarkStart w:id="49" w:name="NOTE_337"/>
            <w:r>
              <w:rPr>
                <w:rStyle w:val="Tilvsunneanmlsgrein"/>
                <w:sz w:val="18"/>
                <w:szCs w:val="18"/>
              </w:rPr>
              <w:footnoteReference w:id="338"/>
            </w:r>
            <w:bookmarkEnd w:id="49"/>
            <w:r>
              <w:t>) eða treyst á bláa eða græna innviði (</w:t>
            </w:r>
            <w:bookmarkStart w:id="50" w:name="NOTE_338"/>
            <w:r>
              <w:rPr>
                <w:rStyle w:val="Tilvsunneanmlsgrein"/>
                <w:sz w:val="18"/>
                <w:szCs w:val="18"/>
              </w:rPr>
              <w:footnoteReference w:id="339"/>
            </w:r>
            <w:bookmarkEnd w:id="50"/>
            <w:r>
              <w:t>) að því marki sem mögulegt er.</w:t>
            </w:r>
          </w:p>
        </w:tc>
      </w:tr>
    </w:tbl>
    <w:p w14:paraId="6EDCC921" w14:textId="77777777" w:rsidR="002B5657" w:rsidRDefault="002B5657" w:rsidP="002B5657">
      <w:pPr>
        <w:pStyle w:val="AnnexNormal"/>
        <w:spacing w:after="0" w:line="240" w:lineRule="auto"/>
        <w:ind w:left="308"/>
        <w:rPr>
          <w:sz w:val="4"/>
          <w:szCs w:val="4"/>
        </w:rPr>
      </w:pPr>
      <w:r>
        <w:lastRenderedPageBreak/>
        <w:br w:type="page"/>
      </w:r>
    </w:p>
    <w:p w14:paraId="271CFA0A" w14:textId="77777777" w:rsidR="002B5657" w:rsidRDefault="002B5657" w:rsidP="002B5657">
      <w:pPr>
        <w:pStyle w:val="AnnexNumberedText"/>
        <w:jc w:val="center"/>
        <w:rPr>
          <w:szCs w:val="18"/>
        </w:rPr>
      </w:pPr>
      <w:r>
        <w:lastRenderedPageBreak/>
        <w:t>II.</w:t>
      </w:r>
      <w:r>
        <w:rPr>
          <w:b/>
        </w:rPr>
        <w:tab/>
      </w:r>
      <w:r>
        <w:rPr>
          <w:b/>
          <w:bCs/>
        </w:rPr>
        <w:t>Flokkun loftslagstengdrar hættu</w:t>
      </w:r>
      <w:r>
        <w:t xml:space="preserve"> (</w:t>
      </w:r>
      <w:bookmarkStart w:id="51" w:name="NOTE_339"/>
      <w:r>
        <w:rPr>
          <w:rStyle w:val="Tilvsunneanmlsgrein"/>
          <w:sz w:val="18"/>
          <w:szCs w:val="18"/>
        </w:rPr>
        <w:footnoteReference w:id="340"/>
      </w:r>
      <w:bookmarkEnd w:id="51"/>
      <w:r>
        <w:t>)</w:t>
      </w:r>
    </w:p>
    <w:tbl>
      <w:tblPr>
        <w:tblStyle w:val="EFTATable"/>
        <w:tblW w:w="8931" w:type="dxa"/>
        <w:tblInd w:w="308" w:type="dxa"/>
        <w:tblLayout w:type="fixed"/>
        <w:tblLook w:val="04A0" w:firstRow="1" w:lastRow="0" w:firstColumn="1" w:lastColumn="0" w:noHBand="0" w:noVBand="1"/>
      </w:tblPr>
      <w:tblGrid>
        <w:gridCol w:w="904"/>
        <w:gridCol w:w="2006"/>
        <w:gridCol w:w="2007"/>
        <w:gridCol w:w="2007"/>
        <w:gridCol w:w="2007"/>
      </w:tblGrid>
      <w:tr w:rsidR="002B5657" w14:paraId="0C6EC4CF" w14:textId="77777777" w:rsidTr="00A9140F">
        <w:trPr>
          <w:trHeight w:val="240"/>
          <w:tblHeader/>
        </w:trPr>
        <w:tc>
          <w:tcPr>
            <w:tcW w:w="904" w:type="dxa"/>
            <w:tcMar>
              <w:top w:w="40" w:type="dxa"/>
              <w:left w:w="0" w:type="dxa"/>
              <w:bottom w:w="40" w:type="dxa"/>
            </w:tcMar>
          </w:tcPr>
          <w:p w14:paraId="1DB11FA3" w14:textId="77777777" w:rsidR="002B5657" w:rsidRDefault="002B5657" w:rsidP="00A9140F">
            <w:pPr>
              <w:pStyle w:val="AnnexTableHeader"/>
            </w:pPr>
          </w:p>
        </w:tc>
        <w:tc>
          <w:tcPr>
            <w:tcW w:w="2006" w:type="dxa"/>
            <w:tcMar>
              <w:top w:w="40" w:type="dxa"/>
              <w:bottom w:w="40" w:type="dxa"/>
            </w:tcMar>
          </w:tcPr>
          <w:p w14:paraId="2F176710" w14:textId="77777777" w:rsidR="002B5657" w:rsidRDefault="002B5657" w:rsidP="00A9140F">
            <w:pPr>
              <w:pStyle w:val="AnnexTableHeader"/>
            </w:pPr>
            <w:r>
              <w:t>Tengdar hitastigi</w:t>
            </w:r>
          </w:p>
        </w:tc>
        <w:tc>
          <w:tcPr>
            <w:tcW w:w="2007" w:type="dxa"/>
            <w:tcMar>
              <w:top w:w="40" w:type="dxa"/>
              <w:bottom w:w="40" w:type="dxa"/>
            </w:tcMar>
          </w:tcPr>
          <w:p w14:paraId="2FD9A927" w14:textId="77777777" w:rsidR="002B5657" w:rsidRDefault="002B5657" w:rsidP="00A9140F">
            <w:pPr>
              <w:pStyle w:val="AnnexTableHeader"/>
            </w:pPr>
            <w:r>
              <w:t>Tengdar vindi</w:t>
            </w:r>
          </w:p>
        </w:tc>
        <w:tc>
          <w:tcPr>
            <w:tcW w:w="2007" w:type="dxa"/>
            <w:tcMar>
              <w:top w:w="40" w:type="dxa"/>
              <w:bottom w:w="40" w:type="dxa"/>
            </w:tcMar>
          </w:tcPr>
          <w:p w14:paraId="4C3B1CED" w14:textId="77777777" w:rsidR="002B5657" w:rsidRDefault="002B5657" w:rsidP="00A9140F">
            <w:pPr>
              <w:pStyle w:val="AnnexTableHeader"/>
            </w:pPr>
            <w:r>
              <w:t>Tengdar vatni</w:t>
            </w:r>
          </w:p>
        </w:tc>
        <w:tc>
          <w:tcPr>
            <w:tcW w:w="2007" w:type="dxa"/>
            <w:tcMar>
              <w:top w:w="40" w:type="dxa"/>
              <w:bottom w:w="40" w:type="dxa"/>
              <w:right w:w="0" w:type="dxa"/>
            </w:tcMar>
          </w:tcPr>
          <w:p w14:paraId="12D18F2F" w14:textId="77777777" w:rsidR="002B5657" w:rsidRDefault="002B5657" w:rsidP="00A9140F">
            <w:pPr>
              <w:pStyle w:val="AnnexTableHeader"/>
            </w:pPr>
            <w:r>
              <w:t>Tengdar föstum efnismassa</w:t>
            </w:r>
          </w:p>
        </w:tc>
      </w:tr>
      <w:tr w:rsidR="002B5657" w14:paraId="7CFAD6B5" w14:textId="77777777" w:rsidTr="00A9140F">
        <w:trPr>
          <w:trHeight w:val="240"/>
        </w:trPr>
        <w:tc>
          <w:tcPr>
            <w:tcW w:w="904" w:type="dxa"/>
            <w:vMerge w:val="restart"/>
            <w:tcMar>
              <w:top w:w="40" w:type="dxa"/>
              <w:left w:w="0" w:type="dxa"/>
              <w:bottom w:w="40" w:type="dxa"/>
            </w:tcMar>
            <w:textDirection w:val="btLr"/>
            <w:vAlign w:val="center"/>
          </w:tcPr>
          <w:p w14:paraId="1080FEA9" w14:textId="77777777" w:rsidR="002B5657" w:rsidRDefault="002B5657" w:rsidP="00A9140F">
            <w:pPr>
              <w:pStyle w:val="AnnexTableHeader"/>
              <w:ind w:left="113" w:right="113"/>
            </w:pPr>
            <w:r>
              <w:rPr>
                <w:b/>
              </w:rPr>
              <w:t>Langvinnar</w:t>
            </w:r>
          </w:p>
        </w:tc>
        <w:tc>
          <w:tcPr>
            <w:tcW w:w="2006" w:type="dxa"/>
            <w:tcMar>
              <w:top w:w="40" w:type="dxa"/>
              <w:bottom w:w="40" w:type="dxa"/>
            </w:tcMar>
          </w:tcPr>
          <w:p w14:paraId="3FB65B7B" w14:textId="77777777" w:rsidR="002B5657" w:rsidRDefault="002B5657" w:rsidP="00A9140F">
            <w:pPr>
              <w:pStyle w:val="AnnexTableCellLeft"/>
              <w:jc w:val="left"/>
            </w:pPr>
            <w:r>
              <w:t>Hitastigsbreytingar (loft, ferskvatn, sjór)</w:t>
            </w:r>
          </w:p>
        </w:tc>
        <w:tc>
          <w:tcPr>
            <w:tcW w:w="2007" w:type="dxa"/>
            <w:tcMar>
              <w:top w:w="40" w:type="dxa"/>
              <w:bottom w:w="40" w:type="dxa"/>
            </w:tcMar>
          </w:tcPr>
          <w:p w14:paraId="51E05F77" w14:textId="77777777" w:rsidR="002B5657" w:rsidRDefault="002B5657" w:rsidP="00A9140F">
            <w:pPr>
              <w:pStyle w:val="AnnexTableCellLeft"/>
              <w:jc w:val="left"/>
            </w:pPr>
            <w:r>
              <w:t>Breytingar á vindamynstrum</w:t>
            </w:r>
          </w:p>
        </w:tc>
        <w:tc>
          <w:tcPr>
            <w:tcW w:w="2007" w:type="dxa"/>
            <w:tcMar>
              <w:top w:w="40" w:type="dxa"/>
              <w:bottom w:w="40" w:type="dxa"/>
            </w:tcMar>
          </w:tcPr>
          <w:p w14:paraId="27BB33A5" w14:textId="77777777" w:rsidR="002B5657" w:rsidRDefault="002B5657" w:rsidP="00A9140F">
            <w:pPr>
              <w:pStyle w:val="AnnexTableCellLeft"/>
              <w:jc w:val="left"/>
            </w:pPr>
            <w:r>
              <w:t>Breytingar á úrkomumynstrum og -tegundum (rigning, haglél, snjór/ís)</w:t>
            </w:r>
          </w:p>
        </w:tc>
        <w:tc>
          <w:tcPr>
            <w:tcW w:w="2007" w:type="dxa"/>
            <w:tcMar>
              <w:top w:w="40" w:type="dxa"/>
              <w:bottom w:w="40" w:type="dxa"/>
              <w:right w:w="0" w:type="dxa"/>
            </w:tcMar>
          </w:tcPr>
          <w:p w14:paraId="53B90B7F" w14:textId="77777777" w:rsidR="002B5657" w:rsidRDefault="002B5657" w:rsidP="00A9140F">
            <w:pPr>
              <w:pStyle w:val="AnnexTableCellLeft"/>
              <w:jc w:val="left"/>
            </w:pPr>
            <w:r>
              <w:t>Strandrof</w:t>
            </w:r>
          </w:p>
        </w:tc>
      </w:tr>
      <w:tr w:rsidR="002B5657" w14:paraId="798622DD" w14:textId="77777777" w:rsidTr="00A9140F">
        <w:trPr>
          <w:trHeight w:val="240"/>
        </w:trPr>
        <w:tc>
          <w:tcPr>
            <w:tcW w:w="904" w:type="dxa"/>
            <w:vMerge/>
            <w:tcMar>
              <w:top w:w="40" w:type="dxa"/>
              <w:left w:w="0" w:type="dxa"/>
              <w:bottom w:w="40" w:type="dxa"/>
            </w:tcMar>
            <w:vAlign w:val="center"/>
          </w:tcPr>
          <w:p w14:paraId="3E0BDA36" w14:textId="77777777" w:rsidR="002B5657" w:rsidRDefault="002B5657" w:rsidP="00A9140F">
            <w:pPr>
              <w:pStyle w:val="Para"/>
              <w:jc w:val="center"/>
            </w:pPr>
          </w:p>
        </w:tc>
        <w:tc>
          <w:tcPr>
            <w:tcW w:w="2006" w:type="dxa"/>
            <w:tcMar>
              <w:top w:w="40" w:type="dxa"/>
              <w:bottom w:w="40" w:type="dxa"/>
            </w:tcMar>
          </w:tcPr>
          <w:p w14:paraId="67BF1837" w14:textId="77777777" w:rsidR="002B5657" w:rsidRDefault="002B5657" w:rsidP="00A9140F">
            <w:pPr>
              <w:pStyle w:val="AnnexTableCellLeft"/>
              <w:jc w:val="left"/>
            </w:pPr>
            <w:r>
              <w:t>Hitaálag</w:t>
            </w:r>
          </w:p>
        </w:tc>
        <w:tc>
          <w:tcPr>
            <w:tcW w:w="2007" w:type="dxa"/>
            <w:tcMar>
              <w:top w:w="40" w:type="dxa"/>
              <w:bottom w:w="40" w:type="dxa"/>
            </w:tcMar>
          </w:tcPr>
          <w:p w14:paraId="2910E494" w14:textId="77777777" w:rsidR="002B5657" w:rsidRDefault="002B5657" w:rsidP="00A9140F">
            <w:pPr>
              <w:pStyle w:val="AnnexTableCellLeft"/>
              <w:jc w:val="left"/>
            </w:pPr>
          </w:p>
        </w:tc>
        <w:tc>
          <w:tcPr>
            <w:tcW w:w="2007" w:type="dxa"/>
            <w:tcMar>
              <w:top w:w="40" w:type="dxa"/>
              <w:bottom w:w="40" w:type="dxa"/>
            </w:tcMar>
          </w:tcPr>
          <w:p w14:paraId="081DB924" w14:textId="77777777" w:rsidR="002B5657" w:rsidRDefault="002B5657" w:rsidP="00A9140F">
            <w:pPr>
              <w:pStyle w:val="AnnexTableCellLeft"/>
              <w:jc w:val="left"/>
            </w:pPr>
            <w:r>
              <w:t>Úrkoma eða vatnafræðilegur breytileiki</w:t>
            </w:r>
          </w:p>
        </w:tc>
        <w:tc>
          <w:tcPr>
            <w:tcW w:w="2007" w:type="dxa"/>
            <w:tcMar>
              <w:top w:w="40" w:type="dxa"/>
              <w:bottom w:w="40" w:type="dxa"/>
              <w:right w:w="0" w:type="dxa"/>
            </w:tcMar>
          </w:tcPr>
          <w:p w14:paraId="77545678" w14:textId="77777777" w:rsidR="002B5657" w:rsidRDefault="002B5657" w:rsidP="00A9140F">
            <w:pPr>
              <w:pStyle w:val="AnnexTableCellLeft"/>
              <w:jc w:val="left"/>
            </w:pPr>
            <w:r>
              <w:t>Hnignun lands</w:t>
            </w:r>
          </w:p>
        </w:tc>
      </w:tr>
      <w:tr w:rsidR="002B5657" w14:paraId="6019D82D" w14:textId="77777777" w:rsidTr="00A9140F">
        <w:trPr>
          <w:trHeight w:val="240"/>
        </w:trPr>
        <w:tc>
          <w:tcPr>
            <w:tcW w:w="904" w:type="dxa"/>
            <w:vMerge/>
            <w:tcMar>
              <w:top w:w="40" w:type="dxa"/>
              <w:left w:w="0" w:type="dxa"/>
              <w:bottom w:w="40" w:type="dxa"/>
            </w:tcMar>
            <w:vAlign w:val="center"/>
          </w:tcPr>
          <w:p w14:paraId="29F4806E" w14:textId="77777777" w:rsidR="002B5657" w:rsidRDefault="002B5657" w:rsidP="00A9140F">
            <w:pPr>
              <w:pStyle w:val="Para"/>
              <w:jc w:val="center"/>
            </w:pPr>
          </w:p>
        </w:tc>
        <w:tc>
          <w:tcPr>
            <w:tcW w:w="2006" w:type="dxa"/>
            <w:tcMar>
              <w:top w:w="40" w:type="dxa"/>
              <w:bottom w:w="40" w:type="dxa"/>
            </w:tcMar>
          </w:tcPr>
          <w:p w14:paraId="23EFD773" w14:textId="77777777" w:rsidR="002B5657" w:rsidRDefault="002B5657" w:rsidP="00A9140F">
            <w:pPr>
              <w:pStyle w:val="AnnexTableCellLeft"/>
              <w:jc w:val="left"/>
            </w:pPr>
            <w:r>
              <w:t>Breytileiki á hitastigi</w:t>
            </w:r>
          </w:p>
        </w:tc>
        <w:tc>
          <w:tcPr>
            <w:tcW w:w="2007" w:type="dxa"/>
            <w:tcMar>
              <w:top w:w="40" w:type="dxa"/>
              <w:bottom w:w="40" w:type="dxa"/>
            </w:tcMar>
          </w:tcPr>
          <w:p w14:paraId="4329284D" w14:textId="77777777" w:rsidR="002B5657" w:rsidRDefault="002B5657" w:rsidP="00A9140F">
            <w:pPr>
              <w:pStyle w:val="AnnexTableCellLeft"/>
              <w:jc w:val="left"/>
            </w:pPr>
          </w:p>
        </w:tc>
        <w:tc>
          <w:tcPr>
            <w:tcW w:w="2007" w:type="dxa"/>
            <w:tcMar>
              <w:top w:w="40" w:type="dxa"/>
              <w:bottom w:w="40" w:type="dxa"/>
            </w:tcMar>
          </w:tcPr>
          <w:p w14:paraId="1CFBDD6E" w14:textId="77777777" w:rsidR="002B5657" w:rsidRDefault="002B5657" w:rsidP="00A9140F">
            <w:pPr>
              <w:pStyle w:val="AnnexTableCellLeft"/>
              <w:jc w:val="left"/>
            </w:pPr>
            <w:proofErr w:type="spellStart"/>
            <w:r>
              <w:t>Súrnun</w:t>
            </w:r>
            <w:proofErr w:type="spellEnd"/>
            <w:r>
              <w:t xml:space="preserve"> sjávar</w:t>
            </w:r>
          </w:p>
        </w:tc>
        <w:tc>
          <w:tcPr>
            <w:tcW w:w="2007" w:type="dxa"/>
            <w:tcMar>
              <w:top w:w="40" w:type="dxa"/>
              <w:bottom w:w="40" w:type="dxa"/>
              <w:right w:w="0" w:type="dxa"/>
            </w:tcMar>
          </w:tcPr>
          <w:p w14:paraId="056A7512" w14:textId="77777777" w:rsidR="002B5657" w:rsidRDefault="002B5657" w:rsidP="00A9140F">
            <w:pPr>
              <w:pStyle w:val="AnnexTableCellLeft"/>
              <w:jc w:val="left"/>
            </w:pPr>
            <w:r>
              <w:t>Jarðvegsrof</w:t>
            </w:r>
          </w:p>
        </w:tc>
      </w:tr>
      <w:tr w:rsidR="002B5657" w14:paraId="1D1818ED" w14:textId="77777777" w:rsidTr="00A9140F">
        <w:trPr>
          <w:trHeight w:val="240"/>
        </w:trPr>
        <w:tc>
          <w:tcPr>
            <w:tcW w:w="904" w:type="dxa"/>
            <w:vMerge/>
            <w:tcMar>
              <w:top w:w="40" w:type="dxa"/>
              <w:left w:w="0" w:type="dxa"/>
              <w:bottom w:w="40" w:type="dxa"/>
            </w:tcMar>
            <w:vAlign w:val="center"/>
          </w:tcPr>
          <w:p w14:paraId="5A872FBB" w14:textId="77777777" w:rsidR="002B5657" w:rsidRDefault="002B5657" w:rsidP="00A9140F">
            <w:pPr>
              <w:pStyle w:val="Para"/>
              <w:jc w:val="center"/>
            </w:pPr>
          </w:p>
        </w:tc>
        <w:tc>
          <w:tcPr>
            <w:tcW w:w="2006" w:type="dxa"/>
            <w:tcMar>
              <w:top w:w="40" w:type="dxa"/>
              <w:bottom w:w="40" w:type="dxa"/>
            </w:tcMar>
          </w:tcPr>
          <w:p w14:paraId="0F3EFCAB" w14:textId="77777777" w:rsidR="002B5657" w:rsidRDefault="002B5657" w:rsidP="00A9140F">
            <w:pPr>
              <w:pStyle w:val="AnnexTableCellLeft"/>
              <w:jc w:val="left"/>
            </w:pPr>
            <w:proofErr w:type="spellStart"/>
            <w:r>
              <w:t>Þiðnun</w:t>
            </w:r>
            <w:proofErr w:type="spellEnd"/>
            <w:r>
              <w:t xml:space="preserve"> </w:t>
            </w:r>
            <w:proofErr w:type="spellStart"/>
            <w:r>
              <w:t>sífrera</w:t>
            </w:r>
            <w:proofErr w:type="spellEnd"/>
          </w:p>
        </w:tc>
        <w:tc>
          <w:tcPr>
            <w:tcW w:w="2007" w:type="dxa"/>
            <w:tcMar>
              <w:top w:w="40" w:type="dxa"/>
              <w:bottom w:w="40" w:type="dxa"/>
            </w:tcMar>
          </w:tcPr>
          <w:p w14:paraId="7E6FD687" w14:textId="77777777" w:rsidR="002B5657" w:rsidRDefault="002B5657" w:rsidP="00A9140F">
            <w:pPr>
              <w:pStyle w:val="AnnexTableCellLeft"/>
              <w:jc w:val="left"/>
            </w:pPr>
          </w:p>
        </w:tc>
        <w:tc>
          <w:tcPr>
            <w:tcW w:w="2007" w:type="dxa"/>
            <w:tcMar>
              <w:top w:w="40" w:type="dxa"/>
              <w:bottom w:w="40" w:type="dxa"/>
            </w:tcMar>
          </w:tcPr>
          <w:p w14:paraId="2385F1E8" w14:textId="77777777" w:rsidR="002B5657" w:rsidRDefault="002B5657" w:rsidP="00A9140F">
            <w:pPr>
              <w:pStyle w:val="AnnexTableCellLeft"/>
              <w:jc w:val="left"/>
            </w:pPr>
            <w:r>
              <w:t>Saltvatnsinnstreymi</w:t>
            </w:r>
          </w:p>
        </w:tc>
        <w:tc>
          <w:tcPr>
            <w:tcW w:w="2007" w:type="dxa"/>
            <w:tcMar>
              <w:top w:w="40" w:type="dxa"/>
              <w:bottom w:w="40" w:type="dxa"/>
              <w:right w:w="0" w:type="dxa"/>
            </w:tcMar>
          </w:tcPr>
          <w:p w14:paraId="649E044E" w14:textId="77777777" w:rsidR="002B5657" w:rsidRDefault="002B5657" w:rsidP="00A9140F">
            <w:pPr>
              <w:pStyle w:val="AnnexTableCellLeft"/>
              <w:jc w:val="left"/>
            </w:pPr>
            <w:r>
              <w:t>Jarðskrið</w:t>
            </w:r>
          </w:p>
        </w:tc>
      </w:tr>
      <w:tr w:rsidR="002B5657" w14:paraId="0F0061C9" w14:textId="77777777" w:rsidTr="00A9140F">
        <w:trPr>
          <w:trHeight w:val="240"/>
        </w:trPr>
        <w:tc>
          <w:tcPr>
            <w:tcW w:w="904" w:type="dxa"/>
            <w:vMerge/>
            <w:tcMar>
              <w:top w:w="40" w:type="dxa"/>
              <w:left w:w="0" w:type="dxa"/>
              <w:bottom w:w="40" w:type="dxa"/>
            </w:tcMar>
            <w:vAlign w:val="center"/>
          </w:tcPr>
          <w:p w14:paraId="408107DA" w14:textId="77777777" w:rsidR="002B5657" w:rsidRDefault="002B5657" w:rsidP="00A9140F">
            <w:pPr>
              <w:pStyle w:val="Para"/>
              <w:jc w:val="center"/>
            </w:pPr>
          </w:p>
        </w:tc>
        <w:tc>
          <w:tcPr>
            <w:tcW w:w="2006" w:type="dxa"/>
            <w:tcMar>
              <w:top w:w="40" w:type="dxa"/>
              <w:bottom w:w="40" w:type="dxa"/>
            </w:tcMar>
          </w:tcPr>
          <w:p w14:paraId="3117022D" w14:textId="77777777" w:rsidR="002B5657" w:rsidRDefault="002B5657" w:rsidP="00A9140F">
            <w:pPr>
              <w:pStyle w:val="AnnexTableCellLeft"/>
              <w:jc w:val="left"/>
            </w:pPr>
          </w:p>
        </w:tc>
        <w:tc>
          <w:tcPr>
            <w:tcW w:w="2007" w:type="dxa"/>
            <w:tcMar>
              <w:top w:w="40" w:type="dxa"/>
              <w:bottom w:w="40" w:type="dxa"/>
            </w:tcMar>
          </w:tcPr>
          <w:p w14:paraId="5ABB32DE" w14:textId="77777777" w:rsidR="002B5657" w:rsidRDefault="002B5657" w:rsidP="00A9140F">
            <w:pPr>
              <w:pStyle w:val="AnnexTableCellLeft"/>
              <w:jc w:val="left"/>
            </w:pPr>
          </w:p>
        </w:tc>
        <w:tc>
          <w:tcPr>
            <w:tcW w:w="2007" w:type="dxa"/>
            <w:tcMar>
              <w:top w:w="40" w:type="dxa"/>
              <w:bottom w:w="40" w:type="dxa"/>
            </w:tcMar>
          </w:tcPr>
          <w:p w14:paraId="5A9B432B" w14:textId="77777777" w:rsidR="002B5657" w:rsidRDefault="002B5657" w:rsidP="00A9140F">
            <w:pPr>
              <w:pStyle w:val="AnnexTableCellLeft"/>
              <w:jc w:val="left"/>
            </w:pPr>
            <w:r>
              <w:t>Hækkun sjávarborðs</w:t>
            </w:r>
          </w:p>
        </w:tc>
        <w:tc>
          <w:tcPr>
            <w:tcW w:w="2007" w:type="dxa"/>
            <w:tcMar>
              <w:top w:w="40" w:type="dxa"/>
              <w:bottom w:w="40" w:type="dxa"/>
              <w:right w:w="0" w:type="dxa"/>
            </w:tcMar>
          </w:tcPr>
          <w:p w14:paraId="116C9E44" w14:textId="77777777" w:rsidR="002B5657" w:rsidRDefault="002B5657" w:rsidP="00A9140F">
            <w:pPr>
              <w:pStyle w:val="AnnexTableCellLeft"/>
              <w:jc w:val="left"/>
            </w:pPr>
          </w:p>
        </w:tc>
      </w:tr>
      <w:tr w:rsidR="002B5657" w14:paraId="038E1765" w14:textId="77777777" w:rsidTr="00A9140F">
        <w:trPr>
          <w:trHeight w:val="240"/>
        </w:trPr>
        <w:tc>
          <w:tcPr>
            <w:tcW w:w="904" w:type="dxa"/>
            <w:vMerge/>
            <w:tcMar>
              <w:top w:w="40" w:type="dxa"/>
              <w:left w:w="0" w:type="dxa"/>
              <w:bottom w:w="40" w:type="dxa"/>
            </w:tcMar>
            <w:vAlign w:val="center"/>
          </w:tcPr>
          <w:p w14:paraId="1CB40FA6" w14:textId="77777777" w:rsidR="002B5657" w:rsidRDefault="002B5657" w:rsidP="00A9140F">
            <w:pPr>
              <w:pStyle w:val="Para"/>
              <w:jc w:val="center"/>
            </w:pPr>
          </w:p>
        </w:tc>
        <w:tc>
          <w:tcPr>
            <w:tcW w:w="2006" w:type="dxa"/>
            <w:tcMar>
              <w:top w:w="40" w:type="dxa"/>
              <w:bottom w:w="40" w:type="dxa"/>
            </w:tcMar>
          </w:tcPr>
          <w:p w14:paraId="42C90C8D" w14:textId="77777777" w:rsidR="002B5657" w:rsidRDefault="002B5657" w:rsidP="00A9140F">
            <w:pPr>
              <w:pStyle w:val="AnnexTableCellLeft"/>
              <w:jc w:val="left"/>
            </w:pPr>
          </w:p>
        </w:tc>
        <w:tc>
          <w:tcPr>
            <w:tcW w:w="2007" w:type="dxa"/>
            <w:tcMar>
              <w:top w:w="40" w:type="dxa"/>
              <w:bottom w:w="40" w:type="dxa"/>
            </w:tcMar>
          </w:tcPr>
          <w:p w14:paraId="35F34E5F" w14:textId="77777777" w:rsidR="002B5657" w:rsidRDefault="002B5657" w:rsidP="00A9140F">
            <w:pPr>
              <w:pStyle w:val="AnnexTableCellLeft"/>
              <w:jc w:val="left"/>
            </w:pPr>
          </w:p>
        </w:tc>
        <w:tc>
          <w:tcPr>
            <w:tcW w:w="2007" w:type="dxa"/>
            <w:tcMar>
              <w:top w:w="40" w:type="dxa"/>
              <w:bottom w:w="40" w:type="dxa"/>
            </w:tcMar>
          </w:tcPr>
          <w:p w14:paraId="5212617C" w14:textId="77777777" w:rsidR="002B5657" w:rsidRDefault="002B5657" w:rsidP="00A9140F">
            <w:pPr>
              <w:pStyle w:val="AnnexTableCellLeft"/>
              <w:jc w:val="left"/>
            </w:pPr>
            <w:r>
              <w:t>Álag á vatnsauðlindir</w:t>
            </w:r>
          </w:p>
        </w:tc>
        <w:tc>
          <w:tcPr>
            <w:tcW w:w="2007" w:type="dxa"/>
            <w:tcMar>
              <w:top w:w="40" w:type="dxa"/>
              <w:bottom w:w="40" w:type="dxa"/>
              <w:right w:w="0" w:type="dxa"/>
            </w:tcMar>
          </w:tcPr>
          <w:p w14:paraId="2632BD1F" w14:textId="77777777" w:rsidR="002B5657" w:rsidRDefault="002B5657" w:rsidP="00A9140F">
            <w:pPr>
              <w:pStyle w:val="AnnexTableCellLeft"/>
              <w:jc w:val="left"/>
            </w:pPr>
          </w:p>
        </w:tc>
      </w:tr>
      <w:tr w:rsidR="002B5657" w14:paraId="5097BAC9" w14:textId="77777777" w:rsidTr="00A9140F">
        <w:trPr>
          <w:trHeight w:val="240"/>
        </w:trPr>
        <w:tc>
          <w:tcPr>
            <w:tcW w:w="904" w:type="dxa"/>
            <w:vMerge w:val="restart"/>
            <w:tcMar>
              <w:top w:w="40" w:type="dxa"/>
              <w:left w:w="0" w:type="dxa"/>
              <w:bottom w:w="40" w:type="dxa"/>
            </w:tcMar>
            <w:textDirection w:val="btLr"/>
            <w:vAlign w:val="center"/>
          </w:tcPr>
          <w:p w14:paraId="7D243BF4" w14:textId="77777777" w:rsidR="002B5657" w:rsidRDefault="002B5657" w:rsidP="00A9140F">
            <w:pPr>
              <w:pStyle w:val="AnnexTableHeader"/>
              <w:ind w:left="113" w:right="113"/>
            </w:pPr>
            <w:r>
              <w:rPr>
                <w:b/>
              </w:rPr>
              <w:t>Bráðar</w:t>
            </w:r>
          </w:p>
        </w:tc>
        <w:tc>
          <w:tcPr>
            <w:tcW w:w="2006" w:type="dxa"/>
            <w:tcMar>
              <w:top w:w="40" w:type="dxa"/>
              <w:bottom w:w="40" w:type="dxa"/>
            </w:tcMar>
          </w:tcPr>
          <w:p w14:paraId="721CFDAB" w14:textId="77777777" w:rsidR="002B5657" w:rsidRDefault="002B5657" w:rsidP="00A9140F">
            <w:pPr>
              <w:pStyle w:val="AnnexTableCellLeft"/>
              <w:jc w:val="left"/>
            </w:pPr>
            <w:r>
              <w:t>Hitabylgja</w:t>
            </w:r>
          </w:p>
        </w:tc>
        <w:tc>
          <w:tcPr>
            <w:tcW w:w="2007" w:type="dxa"/>
            <w:tcMar>
              <w:top w:w="40" w:type="dxa"/>
              <w:bottom w:w="40" w:type="dxa"/>
            </w:tcMar>
          </w:tcPr>
          <w:p w14:paraId="5D3C770A" w14:textId="77777777" w:rsidR="002B5657" w:rsidRDefault="002B5657" w:rsidP="00A9140F">
            <w:pPr>
              <w:pStyle w:val="AnnexTableCellLeft"/>
              <w:jc w:val="left"/>
            </w:pPr>
            <w:r>
              <w:t>Fellibylur, fárviðri, hitabeltisstormur</w:t>
            </w:r>
          </w:p>
        </w:tc>
        <w:tc>
          <w:tcPr>
            <w:tcW w:w="2007" w:type="dxa"/>
            <w:tcMar>
              <w:top w:w="40" w:type="dxa"/>
              <w:bottom w:w="40" w:type="dxa"/>
            </w:tcMar>
          </w:tcPr>
          <w:p w14:paraId="73AFA674" w14:textId="77777777" w:rsidR="002B5657" w:rsidRDefault="002B5657" w:rsidP="00A9140F">
            <w:pPr>
              <w:pStyle w:val="AnnexTableCellLeft"/>
              <w:jc w:val="left"/>
            </w:pPr>
            <w:r>
              <w:t>Þurrkur</w:t>
            </w:r>
          </w:p>
        </w:tc>
        <w:tc>
          <w:tcPr>
            <w:tcW w:w="2007" w:type="dxa"/>
            <w:tcMar>
              <w:top w:w="40" w:type="dxa"/>
              <w:bottom w:w="40" w:type="dxa"/>
              <w:right w:w="0" w:type="dxa"/>
            </w:tcMar>
          </w:tcPr>
          <w:p w14:paraId="34919897" w14:textId="77777777" w:rsidR="002B5657" w:rsidRDefault="002B5657" w:rsidP="00A9140F">
            <w:pPr>
              <w:pStyle w:val="AnnexTableCellLeft"/>
              <w:jc w:val="left"/>
            </w:pPr>
            <w:r>
              <w:t>Snjóflóð</w:t>
            </w:r>
          </w:p>
        </w:tc>
      </w:tr>
      <w:tr w:rsidR="002B5657" w14:paraId="67120C2E" w14:textId="77777777" w:rsidTr="00A9140F">
        <w:trPr>
          <w:trHeight w:val="240"/>
        </w:trPr>
        <w:tc>
          <w:tcPr>
            <w:tcW w:w="904" w:type="dxa"/>
            <w:vMerge/>
            <w:tcMar>
              <w:top w:w="40" w:type="dxa"/>
              <w:bottom w:w="40" w:type="dxa"/>
            </w:tcMar>
          </w:tcPr>
          <w:p w14:paraId="67E59A5E" w14:textId="77777777" w:rsidR="002B5657" w:rsidRDefault="002B5657" w:rsidP="00A9140F">
            <w:pPr>
              <w:pStyle w:val="Para"/>
            </w:pPr>
          </w:p>
        </w:tc>
        <w:tc>
          <w:tcPr>
            <w:tcW w:w="2006" w:type="dxa"/>
            <w:tcMar>
              <w:top w:w="40" w:type="dxa"/>
              <w:bottom w:w="40" w:type="dxa"/>
            </w:tcMar>
          </w:tcPr>
          <w:p w14:paraId="6E5FF0D2" w14:textId="77777777" w:rsidR="002B5657" w:rsidRDefault="002B5657" w:rsidP="00A9140F">
            <w:pPr>
              <w:pStyle w:val="AnnexTableCellLeft"/>
              <w:jc w:val="left"/>
            </w:pPr>
            <w:r>
              <w:t>Kuldabylgja/frost</w:t>
            </w:r>
          </w:p>
        </w:tc>
        <w:tc>
          <w:tcPr>
            <w:tcW w:w="2007" w:type="dxa"/>
            <w:tcMar>
              <w:top w:w="40" w:type="dxa"/>
              <w:bottom w:w="40" w:type="dxa"/>
            </w:tcMar>
          </w:tcPr>
          <w:p w14:paraId="71A69EF9" w14:textId="77777777" w:rsidR="002B5657" w:rsidRDefault="002B5657" w:rsidP="00A9140F">
            <w:pPr>
              <w:pStyle w:val="AnnexTableCellLeft"/>
              <w:jc w:val="left"/>
            </w:pPr>
            <w:r>
              <w:t>Stormur (þ.m.t. hríðarbyljir, ryk- og sandstormar)</w:t>
            </w:r>
          </w:p>
        </w:tc>
        <w:tc>
          <w:tcPr>
            <w:tcW w:w="2007" w:type="dxa"/>
            <w:tcMar>
              <w:top w:w="40" w:type="dxa"/>
              <w:bottom w:w="40" w:type="dxa"/>
            </w:tcMar>
          </w:tcPr>
          <w:p w14:paraId="202DABDF" w14:textId="77777777" w:rsidR="002B5657" w:rsidRDefault="002B5657" w:rsidP="00A9140F">
            <w:pPr>
              <w:pStyle w:val="AnnexTableCellLeft"/>
              <w:jc w:val="left"/>
            </w:pPr>
            <w:r>
              <w:t>Mikil úrkoma (rigning, haglél, snjór/ís)</w:t>
            </w:r>
          </w:p>
        </w:tc>
        <w:tc>
          <w:tcPr>
            <w:tcW w:w="2007" w:type="dxa"/>
            <w:tcMar>
              <w:top w:w="40" w:type="dxa"/>
              <w:bottom w:w="40" w:type="dxa"/>
              <w:right w:w="0" w:type="dxa"/>
            </w:tcMar>
          </w:tcPr>
          <w:p w14:paraId="132755C4" w14:textId="77777777" w:rsidR="002B5657" w:rsidRDefault="002B5657" w:rsidP="00A9140F">
            <w:pPr>
              <w:pStyle w:val="AnnexTableCellLeft"/>
              <w:jc w:val="left"/>
            </w:pPr>
            <w:r>
              <w:t>Jarðvegshlaup</w:t>
            </w:r>
          </w:p>
        </w:tc>
      </w:tr>
      <w:tr w:rsidR="002B5657" w14:paraId="4B78A6BF" w14:textId="77777777" w:rsidTr="00A9140F">
        <w:trPr>
          <w:trHeight w:val="240"/>
        </w:trPr>
        <w:tc>
          <w:tcPr>
            <w:tcW w:w="904" w:type="dxa"/>
            <w:vMerge/>
            <w:tcMar>
              <w:top w:w="40" w:type="dxa"/>
              <w:bottom w:w="40" w:type="dxa"/>
            </w:tcMar>
          </w:tcPr>
          <w:p w14:paraId="3A6A2198" w14:textId="77777777" w:rsidR="002B5657" w:rsidRDefault="002B5657" w:rsidP="00A9140F">
            <w:pPr>
              <w:pStyle w:val="Para"/>
            </w:pPr>
          </w:p>
        </w:tc>
        <w:tc>
          <w:tcPr>
            <w:tcW w:w="2006" w:type="dxa"/>
            <w:tcMar>
              <w:top w:w="40" w:type="dxa"/>
              <w:bottom w:w="40" w:type="dxa"/>
            </w:tcMar>
          </w:tcPr>
          <w:p w14:paraId="149798BE" w14:textId="77777777" w:rsidR="002B5657" w:rsidRDefault="002B5657" w:rsidP="00A9140F">
            <w:pPr>
              <w:pStyle w:val="AnnexTableCellLeft"/>
              <w:jc w:val="left"/>
            </w:pPr>
            <w:r>
              <w:t>Gróðureldur</w:t>
            </w:r>
          </w:p>
        </w:tc>
        <w:tc>
          <w:tcPr>
            <w:tcW w:w="2007" w:type="dxa"/>
            <w:tcMar>
              <w:top w:w="40" w:type="dxa"/>
              <w:bottom w:w="40" w:type="dxa"/>
            </w:tcMar>
          </w:tcPr>
          <w:p w14:paraId="16CB604E" w14:textId="77777777" w:rsidR="002B5657" w:rsidRDefault="002B5657" w:rsidP="00A9140F">
            <w:pPr>
              <w:pStyle w:val="AnnexTableCellLeft"/>
              <w:jc w:val="left"/>
            </w:pPr>
            <w:proofErr w:type="spellStart"/>
            <w:r>
              <w:t>Skýstrókur</w:t>
            </w:r>
            <w:proofErr w:type="spellEnd"/>
          </w:p>
        </w:tc>
        <w:tc>
          <w:tcPr>
            <w:tcW w:w="2007" w:type="dxa"/>
            <w:tcMar>
              <w:top w:w="40" w:type="dxa"/>
              <w:bottom w:w="40" w:type="dxa"/>
            </w:tcMar>
          </w:tcPr>
          <w:p w14:paraId="133A5B6B" w14:textId="77777777" w:rsidR="002B5657" w:rsidRDefault="002B5657" w:rsidP="00A9140F">
            <w:pPr>
              <w:pStyle w:val="AnnexTableCellLeft"/>
              <w:jc w:val="left"/>
            </w:pPr>
            <w:r>
              <w:t>Flóð (við strendur, í ám, rigningar, grunnvatn)</w:t>
            </w:r>
          </w:p>
        </w:tc>
        <w:tc>
          <w:tcPr>
            <w:tcW w:w="2007" w:type="dxa"/>
            <w:tcMar>
              <w:top w:w="40" w:type="dxa"/>
              <w:bottom w:w="40" w:type="dxa"/>
              <w:right w:w="0" w:type="dxa"/>
            </w:tcMar>
          </w:tcPr>
          <w:p w14:paraId="40D1CB7F" w14:textId="77777777" w:rsidR="002B5657" w:rsidRDefault="002B5657" w:rsidP="00A9140F">
            <w:pPr>
              <w:pStyle w:val="AnnexTableCellLeft"/>
              <w:jc w:val="left"/>
            </w:pPr>
            <w:r>
              <w:t>Landsig</w:t>
            </w:r>
          </w:p>
        </w:tc>
      </w:tr>
      <w:tr w:rsidR="002B5657" w14:paraId="73240CB2" w14:textId="77777777" w:rsidTr="00A9140F">
        <w:trPr>
          <w:trHeight w:val="240"/>
        </w:trPr>
        <w:tc>
          <w:tcPr>
            <w:tcW w:w="904" w:type="dxa"/>
            <w:vMerge/>
            <w:tcMar>
              <w:top w:w="40" w:type="dxa"/>
              <w:bottom w:w="40" w:type="dxa"/>
            </w:tcMar>
          </w:tcPr>
          <w:p w14:paraId="6EA1BE88" w14:textId="77777777" w:rsidR="002B5657" w:rsidRDefault="002B5657" w:rsidP="00A9140F">
            <w:pPr>
              <w:pStyle w:val="Para"/>
            </w:pPr>
          </w:p>
        </w:tc>
        <w:tc>
          <w:tcPr>
            <w:tcW w:w="2006" w:type="dxa"/>
            <w:tcMar>
              <w:top w:w="40" w:type="dxa"/>
              <w:bottom w:w="40" w:type="dxa"/>
            </w:tcMar>
          </w:tcPr>
          <w:p w14:paraId="4E175CBE" w14:textId="77777777" w:rsidR="002B5657" w:rsidRDefault="002B5657" w:rsidP="00A9140F">
            <w:pPr>
              <w:pStyle w:val="AnnexTableCellLeft"/>
              <w:jc w:val="left"/>
            </w:pPr>
          </w:p>
        </w:tc>
        <w:tc>
          <w:tcPr>
            <w:tcW w:w="2007" w:type="dxa"/>
            <w:tcMar>
              <w:top w:w="40" w:type="dxa"/>
              <w:bottom w:w="40" w:type="dxa"/>
            </w:tcMar>
          </w:tcPr>
          <w:p w14:paraId="714DD03E" w14:textId="77777777" w:rsidR="002B5657" w:rsidRDefault="002B5657" w:rsidP="00A9140F">
            <w:pPr>
              <w:pStyle w:val="AnnexTableCellLeft"/>
              <w:jc w:val="left"/>
            </w:pPr>
          </w:p>
        </w:tc>
        <w:tc>
          <w:tcPr>
            <w:tcW w:w="2007" w:type="dxa"/>
            <w:tcMar>
              <w:top w:w="40" w:type="dxa"/>
              <w:bottom w:w="40" w:type="dxa"/>
            </w:tcMar>
          </w:tcPr>
          <w:p w14:paraId="513AD7F4" w14:textId="77777777" w:rsidR="002B5657" w:rsidRDefault="002B5657" w:rsidP="00A9140F">
            <w:pPr>
              <w:pStyle w:val="AnnexTableCellLeft"/>
              <w:jc w:val="left"/>
            </w:pPr>
            <w:r>
              <w:t>Jökulhlaup</w:t>
            </w:r>
          </w:p>
        </w:tc>
        <w:tc>
          <w:tcPr>
            <w:tcW w:w="2007" w:type="dxa"/>
            <w:tcMar>
              <w:top w:w="40" w:type="dxa"/>
              <w:bottom w:w="40" w:type="dxa"/>
              <w:right w:w="0" w:type="dxa"/>
            </w:tcMar>
          </w:tcPr>
          <w:p w14:paraId="597B882D" w14:textId="77777777" w:rsidR="002B5657" w:rsidRDefault="002B5657" w:rsidP="00A9140F">
            <w:pPr>
              <w:pStyle w:val="AnnexTableCellLeft"/>
              <w:jc w:val="left"/>
            </w:pPr>
          </w:p>
        </w:tc>
      </w:tr>
    </w:tbl>
    <w:p w14:paraId="49080D83" w14:textId="77777777" w:rsidR="002B5657" w:rsidRDefault="002B5657" w:rsidP="002B5657">
      <w:pPr>
        <w:pStyle w:val="AnnexTI"/>
        <w:sectPr w:rsidR="002B5657">
          <w:footnotePr>
            <w:numRestart w:val="eachSect"/>
          </w:footnotePr>
          <w:pgSz w:w="11906" w:h="16838" w:code="9"/>
          <w:pgMar w:top="1680" w:right="1333" w:bottom="840" w:left="1333" w:header="920" w:footer="280" w:gutter="0"/>
          <w:cols w:space="708"/>
          <w:docGrid w:linePitch="360"/>
        </w:sectPr>
      </w:pPr>
    </w:p>
    <w:p w14:paraId="54FB3660" w14:textId="77777777" w:rsidR="002B5657" w:rsidRDefault="002B5657" w:rsidP="002B5657">
      <w:pPr>
        <w:pStyle w:val="AnnexTI"/>
        <w:keepNext w:val="0"/>
        <w:keepLines w:val="0"/>
      </w:pPr>
      <w:r>
        <w:lastRenderedPageBreak/>
        <w:t>Viðbætir B</w:t>
      </w:r>
    </w:p>
    <w:p w14:paraId="4461EE45" w14:textId="77777777" w:rsidR="002B5657" w:rsidRDefault="002B5657" w:rsidP="002B5657">
      <w:pPr>
        <w:pStyle w:val="AnnexGrSeq1"/>
        <w:keepNext w:val="0"/>
        <w:keepLines w:val="0"/>
      </w:pPr>
      <w:r>
        <w:rPr>
          <w:b/>
        </w:rPr>
        <w:t>ALMENNAR VIÐMIÐANIR UM AÐ VALDA EKKI UMTALSVERÐU TJÓNI FYRIR SJÁLFBÆRA NOTKUN OG VERNDUN VATNS- OG SJÁVARAUÐLINDA</w:t>
      </w:r>
    </w:p>
    <w:tbl>
      <w:tblPr>
        <w:tblStyle w:val="EFTATable"/>
        <w:tblW w:w="0" w:type="auto"/>
        <w:tblInd w:w="92" w:type="dxa"/>
        <w:tblBorders>
          <w:left w:val="single" w:sz="4" w:space="0" w:color="auto"/>
          <w:right w:val="single" w:sz="4" w:space="0" w:color="auto"/>
        </w:tblBorders>
        <w:tblLook w:val="04A0" w:firstRow="1" w:lastRow="0" w:firstColumn="1" w:lastColumn="0" w:noHBand="0" w:noVBand="1"/>
      </w:tblPr>
      <w:tblGrid>
        <w:gridCol w:w="9138"/>
      </w:tblGrid>
      <w:tr w:rsidR="002B5657" w14:paraId="54983E3F" w14:textId="77777777" w:rsidTr="00A9140F">
        <w:trPr>
          <w:trHeight w:val="2280"/>
        </w:trPr>
        <w:tc>
          <w:tcPr>
            <w:tcW w:w="9228" w:type="dxa"/>
            <w:shd w:val="clear" w:color="auto" w:fill="ECECEC"/>
            <w:tcMar>
              <w:left w:w="80" w:type="dxa"/>
              <w:right w:w="80" w:type="dxa"/>
            </w:tcMar>
          </w:tcPr>
          <w:p w14:paraId="7BFEAE65" w14:textId="77777777" w:rsidR="002B5657" w:rsidRDefault="002B5657" w:rsidP="00A9140F">
            <w:pPr>
              <w:pStyle w:val="AnnexNormal"/>
              <w:spacing w:after="240"/>
              <w:rPr>
                <w:szCs w:val="18"/>
              </w:rPr>
            </w:pPr>
            <w:r>
              <w:t>Áhætta vegna hnignunar umhverfisins sem tengist varðveislu vatnsgæða og til að komast hjá álagi á vatnsauðlindir er greind og tekið á henni með það að markmiði að ná góðu vatnsástandi og góðu vistmegni, eins og skilgreint er í 22. og 23. lið 2. gr. reglugerðar (ESB) 2020/852, í samræmi við tilskipun Evrópuþingsins og ráðsins 2000/60/EB (</w:t>
            </w:r>
            <w:bookmarkStart w:id="52" w:name="NOTE_340"/>
            <w:r>
              <w:rPr>
                <w:rStyle w:val="Tilvsunneanmlsgrein"/>
                <w:sz w:val="18"/>
                <w:szCs w:val="18"/>
              </w:rPr>
              <w:footnoteReference w:id="341"/>
            </w:r>
            <w:bookmarkEnd w:id="52"/>
            <w:r>
              <w:t>), og stjórnunaráætlun um notkun og verndun vatns er þróuð fyrir vatnshlot, sem verður/verða hugsanlega fyrir áhrifum, í samráði við viðkomandi hagsmunaaðila.</w:t>
            </w:r>
          </w:p>
          <w:p w14:paraId="74755705" w14:textId="77777777" w:rsidR="002B5657" w:rsidRDefault="002B5657" w:rsidP="00A9140F">
            <w:pPr>
              <w:pStyle w:val="AnnexNormal"/>
              <w:spacing w:after="100"/>
            </w:pPr>
            <w:r>
              <w:t>Þegar mat á umhverfisáhrifum er framkvæmt í samræmi við tilskipun Evrópuþingsins og ráðsins 2011/92/ESB (</w:t>
            </w:r>
            <w:bookmarkStart w:id="53" w:name="NOTE_341"/>
            <w:r>
              <w:rPr>
                <w:rStyle w:val="Tilvsunneanmlsgrein"/>
                <w:sz w:val="18"/>
                <w:szCs w:val="18"/>
              </w:rPr>
              <w:footnoteReference w:id="342"/>
            </w:r>
            <w:bookmarkEnd w:id="53"/>
            <w:r>
              <w:t>) og felur í sér mat á áhrifum á vatn, í samræmi við tilskipun 2000/60/EB, er ekki gerð krafa um viðbótarmat á áhrifum á vatn að því tilskildu að tekið hafi verið á þeim áhættum sem greindust.</w:t>
            </w:r>
          </w:p>
        </w:tc>
      </w:tr>
    </w:tbl>
    <w:p w14:paraId="6F98D239" w14:textId="77777777" w:rsidR="002B5657" w:rsidRDefault="002B5657" w:rsidP="002B5657">
      <w:pPr>
        <w:pStyle w:val="AnnexNormal"/>
      </w:pPr>
    </w:p>
    <w:p w14:paraId="54C5BEA8" w14:textId="77777777" w:rsidR="002B5657" w:rsidRDefault="002B5657" w:rsidP="002B5657">
      <w:pPr>
        <w:pStyle w:val="line2"/>
        <w:pBdr>
          <w:bottom w:val="none" w:sz="0" w:space="0" w:color="auto"/>
        </w:pBdr>
        <w:ind w:left="0" w:right="0"/>
      </w:pPr>
    </w:p>
    <w:p w14:paraId="413006E0" w14:textId="77777777" w:rsidR="002B5657" w:rsidRDefault="002B5657" w:rsidP="002B5657">
      <w:pPr>
        <w:pStyle w:val="AnnexTI"/>
        <w:sectPr w:rsidR="002B5657">
          <w:footnotePr>
            <w:numRestart w:val="eachSect"/>
          </w:footnotePr>
          <w:pgSz w:w="11906" w:h="16838" w:code="9"/>
          <w:pgMar w:top="1680" w:right="1333" w:bottom="840" w:left="1333" w:header="920" w:footer="280" w:gutter="0"/>
          <w:cols w:space="708"/>
          <w:docGrid w:linePitch="360"/>
        </w:sectPr>
      </w:pPr>
    </w:p>
    <w:p w14:paraId="6A84A307" w14:textId="77777777" w:rsidR="002B5657" w:rsidRDefault="002B5657" w:rsidP="002B5657">
      <w:pPr>
        <w:pStyle w:val="AnnexTI"/>
      </w:pPr>
      <w:r>
        <w:lastRenderedPageBreak/>
        <w:t>Viðbætir C</w:t>
      </w:r>
    </w:p>
    <w:p w14:paraId="7D6F33B5" w14:textId="77777777" w:rsidR="002B5657" w:rsidRDefault="002B5657" w:rsidP="002B5657">
      <w:pPr>
        <w:pStyle w:val="AnnexSTI"/>
        <w:spacing w:line="200" w:lineRule="exact"/>
        <w:rPr>
          <w:sz w:val="16"/>
        </w:rPr>
      </w:pPr>
      <w:r>
        <w:rPr>
          <w:sz w:val="16"/>
        </w:rPr>
        <w:t>ALMENNAR VIÐMIÐANIR UM AÐ VALDA EKKI UMTALSVERÐU TJÓNI FYRIR MENGUNARVARNIR OG EFTIRLIT MEÐ MENGUN AÐ ÞVÍ ER VARÐAR NOTKUN OG TILVIST ÍÐEFNA</w:t>
      </w:r>
    </w:p>
    <w:tbl>
      <w:tblPr>
        <w:tblStyle w:val="EFTATable"/>
        <w:tblW w:w="0" w:type="auto"/>
        <w:tblInd w:w="92" w:type="dxa"/>
        <w:tblBorders>
          <w:left w:val="single" w:sz="4" w:space="0" w:color="auto"/>
          <w:right w:val="single" w:sz="4" w:space="0" w:color="auto"/>
        </w:tblBorders>
        <w:tblLook w:val="04A0" w:firstRow="1" w:lastRow="0" w:firstColumn="1" w:lastColumn="0" w:noHBand="0" w:noVBand="1"/>
      </w:tblPr>
      <w:tblGrid>
        <w:gridCol w:w="9138"/>
      </w:tblGrid>
      <w:tr w:rsidR="002B5657" w14:paraId="2B792C79" w14:textId="77777777" w:rsidTr="00A9140F">
        <w:trPr>
          <w:trHeight w:val="2280"/>
        </w:trPr>
        <w:tc>
          <w:tcPr>
            <w:tcW w:w="9228" w:type="dxa"/>
            <w:shd w:val="clear" w:color="auto" w:fill="ECECEC"/>
            <w:tcMar>
              <w:left w:w="80" w:type="dxa"/>
              <w:right w:w="80" w:type="dxa"/>
            </w:tcMar>
          </w:tcPr>
          <w:p w14:paraId="2E1FA3BC" w14:textId="77777777" w:rsidR="002B5657" w:rsidRDefault="002B5657" w:rsidP="00A9140F">
            <w:pPr>
              <w:pStyle w:val="AnnexNormal"/>
              <w:spacing w:after="240"/>
            </w:pPr>
            <w:r>
              <w:t>Starfsemin leiðir ekki til framleiðslu, setningar á markað eða notkunar á:</w:t>
            </w:r>
          </w:p>
          <w:p w14:paraId="0ED93C3D" w14:textId="77777777" w:rsidR="002B5657" w:rsidRDefault="002B5657" w:rsidP="00A9140F">
            <w:pPr>
              <w:pStyle w:val="AnnexNumberedText"/>
              <w:spacing w:after="240"/>
              <w:ind w:left="293" w:hanging="293"/>
              <w:rPr>
                <w:szCs w:val="18"/>
              </w:rPr>
            </w:pPr>
            <w:r>
              <w:t>a)</w:t>
            </w:r>
            <w:r>
              <w:tab/>
              <w:t>efnum, hvort sem þau eru ein sér, í blöndum eða í hlutum, sem eru skráð í I. eða II. viðauka við reglugerð Evrópuþingsins og ráðsins (ESB) 2019/1021 (</w:t>
            </w:r>
            <w:bookmarkStart w:id="54" w:name="NOTE_342"/>
            <w:r>
              <w:rPr>
                <w:rStyle w:val="Tilvsunneanmlsgrein"/>
                <w:sz w:val="18"/>
                <w:szCs w:val="18"/>
              </w:rPr>
              <w:footnoteReference w:id="343"/>
            </w:r>
            <w:bookmarkEnd w:id="54"/>
            <w:r>
              <w:t xml:space="preserve">), nema ef um er að ræða efni sem eru fyrir hendi sem óviljandi </w:t>
            </w:r>
            <w:proofErr w:type="spellStart"/>
            <w:r>
              <w:t>snefilaðskotaefni</w:t>
            </w:r>
            <w:proofErr w:type="spellEnd"/>
            <w:r>
              <w:t>,</w:t>
            </w:r>
          </w:p>
          <w:p w14:paraId="3EE8BAF0" w14:textId="77777777" w:rsidR="002B5657" w:rsidRDefault="002B5657" w:rsidP="00A9140F">
            <w:pPr>
              <w:pStyle w:val="AnnexNumberedText"/>
              <w:spacing w:after="240"/>
              <w:ind w:left="293" w:hanging="293"/>
              <w:rPr>
                <w:szCs w:val="18"/>
              </w:rPr>
            </w:pPr>
            <w:r>
              <w:t>b)</w:t>
            </w:r>
            <w:r>
              <w:tab/>
              <w:t>kvikasilfri og kvikasilfurssamböndum, blöndum þeirra og vörum með viðbættu kvikasilfri, eins og skilgreint er í 2. gr. reglugerðar Evrópuþingsins og ráðsins (ESB) 2017/852 (</w:t>
            </w:r>
            <w:bookmarkStart w:id="55" w:name="NOTE_343"/>
            <w:r>
              <w:rPr>
                <w:rStyle w:val="Tilvsunneanmlsgrein"/>
                <w:sz w:val="18"/>
                <w:szCs w:val="18"/>
              </w:rPr>
              <w:footnoteReference w:id="344"/>
            </w:r>
            <w:bookmarkEnd w:id="55"/>
            <w:r>
              <w:t>).</w:t>
            </w:r>
          </w:p>
          <w:p w14:paraId="01586DAC" w14:textId="77777777" w:rsidR="002B5657" w:rsidRDefault="002B5657" w:rsidP="00A9140F">
            <w:pPr>
              <w:pStyle w:val="AnnexNumberedText"/>
              <w:spacing w:after="240"/>
              <w:ind w:left="293" w:hanging="293"/>
              <w:rPr>
                <w:szCs w:val="18"/>
              </w:rPr>
            </w:pPr>
            <w:r>
              <w:t>c)</w:t>
            </w:r>
            <w:r>
              <w:tab/>
              <w:t>efnum, hvort sem þau eru ein sér, í blöndum eða í hlutum, sem eru skráð í I. eða II. viðauka við reglugerð Evrópuþingsins og ráðsins (EB) nr. 1005/2009 (</w:t>
            </w:r>
            <w:bookmarkStart w:id="56" w:name="NOTE_344"/>
            <w:r>
              <w:rPr>
                <w:rStyle w:val="Tilvsunneanmlsgrein"/>
                <w:sz w:val="18"/>
                <w:szCs w:val="18"/>
              </w:rPr>
              <w:footnoteReference w:id="345"/>
            </w:r>
            <w:bookmarkEnd w:id="56"/>
            <w:r>
              <w:t>),</w:t>
            </w:r>
          </w:p>
          <w:p w14:paraId="387402DA" w14:textId="77777777" w:rsidR="002B5657" w:rsidRDefault="002B5657" w:rsidP="00A9140F">
            <w:pPr>
              <w:pStyle w:val="AnnexNumberedText"/>
              <w:spacing w:after="240"/>
              <w:ind w:left="293" w:hanging="293"/>
              <w:rPr>
                <w:szCs w:val="18"/>
              </w:rPr>
            </w:pPr>
            <w:r>
              <w:t>d)</w:t>
            </w:r>
            <w:r>
              <w:tab/>
              <w:t>efnum, hvort sem þau eru ein sér, í blöndum eða í hlutum, sem eru skráð í II. viðauka við tilskipun Evrópuþingsins og ráðsins 2011/65/ESB (</w:t>
            </w:r>
            <w:bookmarkStart w:id="57" w:name="NOTE_345"/>
            <w:r>
              <w:rPr>
                <w:rStyle w:val="Tilvsunneanmlsgrein"/>
                <w:sz w:val="18"/>
                <w:szCs w:val="18"/>
              </w:rPr>
              <w:footnoteReference w:id="346"/>
            </w:r>
            <w:bookmarkEnd w:id="57"/>
            <w:r>
              <w:t>), nema þegar farið er að öllu leyti að 1. mgr. 4. gr. þeirrar tilskipunar,</w:t>
            </w:r>
          </w:p>
          <w:p w14:paraId="559E34D8" w14:textId="77777777" w:rsidR="002B5657" w:rsidRDefault="002B5657" w:rsidP="00A9140F">
            <w:pPr>
              <w:pStyle w:val="AnnexNumberedText"/>
              <w:spacing w:after="240"/>
              <w:ind w:left="293" w:hanging="293"/>
              <w:rPr>
                <w:szCs w:val="18"/>
              </w:rPr>
            </w:pPr>
            <w:r>
              <w:t>e)</w:t>
            </w:r>
            <w:r>
              <w:tab/>
              <w:t>efnum, hvort sem þau eru ein sér, í blöndum eða í hlutum, sem eru skráð í XVII. viðauka við reglugerð Evrópuþingsins og ráðsins (EB) 1907/2006 (</w:t>
            </w:r>
            <w:bookmarkStart w:id="58" w:name="NOTE_346"/>
            <w:r>
              <w:rPr>
                <w:rStyle w:val="Tilvsunneanmlsgrein"/>
                <w:sz w:val="18"/>
                <w:szCs w:val="18"/>
              </w:rPr>
              <w:footnoteReference w:id="347"/>
            </w:r>
            <w:bookmarkEnd w:id="58"/>
            <w:r>
              <w:t>), nema þegar farið er að öllu leyti að skilyrðunum sem eru tilgreind í þeim viðauka,</w:t>
            </w:r>
          </w:p>
          <w:p w14:paraId="315E2AFF" w14:textId="77777777" w:rsidR="002B5657" w:rsidRDefault="002B5657" w:rsidP="00A9140F">
            <w:pPr>
              <w:pStyle w:val="AnnexNumberedText"/>
              <w:spacing w:after="240"/>
              <w:ind w:left="293" w:hanging="293"/>
              <w:rPr>
                <w:szCs w:val="18"/>
              </w:rPr>
            </w:pPr>
            <w:r>
              <w:t>f)</w:t>
            </w:r>
            <w:r>
              <w:tab/>
              <w:t>efnum, hvort sem þau eru ein sér, í blöndum eða í hlutum, sem uppfylla viðmiðanirnar sem mælt er fyrir um í 57. gr. reglugerðar (EB) 1907/2006 og eru tilgreind í samræmi við 1. mgr. 59. gr. þeirrar reglugerðar, nema notkun þeirra reynist vera nauðsynleg fyrir samfélagið,</w:t>
            </w:r>
          </w:p>
          <w:p w14:paraId="04A43B07" w14:textId="77777777" w:rsidR="002B5657" w:rsidRDefault="002B5657" w:rsidP="00A9140F">
            <w:pPr>
              <w:pStyle w:val="AnnexNumberedText"/>
              <w:ind w:left="293" w:hanging="293"/>
            </w:pPr>
            <w:r>
              <w:t>g)</w:t>
            </w:r>
            <w:r>
              <w:tab/>
              <w:t>öðrum efnum, hvort sem þau eru ein sér, í blöndum eða í hlutum, sem uppfylla viðmiðunina sem mælt er fyrir um í 57. gr. reglugerðar (EB) 1907/2006, nema notkun þeirra reynist nauðsynleg fyrir samfélagið.</w:t>
            </w:r>
          </w:p>
        </w:tc>
      </w:tr>
    </w:tbl>
    <w:p w14:paraId="62ABE8E2" w14:textId="77777777" w:rsidR="002B5657" w:rsidRDefault="002B5657" w:rsidP="002B5657">
      <w:pPr>
        <w:pStyle w:val="AnnexNormal"/>
      </w:pPr>
    </w:p>
    <w:p w14:paraId="78121884" w14:textId="77777777" w:rsidR="002B5657" w:rsidRDefault="002B5657" w:rsidP="002B5657">
      <w:pPr>
        <w:pStyle w:val="AnnexTI"/>
        <w:sectPr w:rsidR="002B5657">
          <w:footnotePr>
            <w:numRestart w:val="eachSect"/>
          </w:footnotePr>
          <w:pgSz w:w="11906" w:h="16838" w:code="9"/>
          <w:pgMar w:top="1680" w:right="1333" w:bottom="840" w:left="1333" w:header="920" w:footer="280" w:gutter="0"/>
          <w:cols w:space="708"/>
          <w:docGrid w:linePitch="360"/>
        </w:sectPr>
      </w:pPr>
    </w:p>
    <w:p w14:paraId="694367CD" w14:textId="77777777" w:rsidR="002B5657" w:rsidRDefault="002B5657" w:rsidP="002B5657">
      <w:pPr>
        <w:pStyle w:val="AnnexTI"/>
      </w:pPr>
      <w:r>
        <w:lastRenderedPageBreak/>
        <w:t>Viðbætir D</w:t>
      </w:r>
    </w:p>
    <w:p w14:paraId="59F21A62" w14:textId="77777777" w:rsidR="002B5657" w:rsidRDefault="002B5657" w:rsidP="002B5657">
      <w:pPr>
        <w:pStyle w:val="AnnexSTI"/>
        <w:spacing w:after="200" w:line="200" w:lineRule="exact"/>
        <w:rPr>
          <w:sz w:val="16"/>
        </w:rPr>
      </w:pPr>
      <w:r>
        <w:rPr>
          <w:sz w:val="16"/>
        </w:rPr>
        <w:t>ALMENNAR VIÐMIÐANIR UM AÐ VALDA EKKI UMTALSVERÐU TJÓNI FYRIR VERND OG ENDURHEIMT LÍFFRÆÐILEGRAR FJÖLBREYTNI OG VISTKERFA</w:t>
      </w:r>
    </w:p>
    <w:tbl>
      <w:tblPr>
        <w:tblStyle w:val="EFTATable"/>
        <w:tblW w:w="0" w:type="auto"/>
        <w:tblInd w:w="92" w:type="dxa"/>
        <w:tblBorders>
          <w:left w:val="single" w:sz="4" w:space="0" w:color="auto"/>
          <w:right w:val="single" w:sz="4" w:space="0" w:color="auto"/>
        </w:tblBorders>
        <w:tblLook w:val="04A0" w:firstRow="1" w:lastRow="0" w:firstColumn="1" w:lastColumn="0" w:noHBand="0" w:noVBand="1"/>
      </w:tblPr>
      <w:tblGrid>
        <w:gridCol w:w="9138"/>
      </w:tblGrid>
      <w:tr w:rsidR="002B5657" w14:paraId="4995B82E" w14:textId="77777777" w:rsidTr="00A9140F">
        <w:trPr>
          <w:trHeight w:val="2280"/>
        </w:trPr>
        <w:tc>
          <w:tcPr>
            <w:tcW w:w="9228" w:type="dxa"/>
            <w:shd w:val="clear" w:color="auto" w:fill="ECECEC"/>
            <w:tcMar>
              <w:left w:w="80" w:type="dxa"/>
              <w:right w:w="80" w:type="dxa"/>
            </w:tcMar>
          </w:tcPr>
          <w:p w14:paraId="37EB058F" w14:textId="77777777" w:rsidR="002B5657" w:rsidRDefault="002B5657" w:rsidP="00A9140F">
            <w:pPr>
              <w:pStyle w:val="AnnexNormal"/>
              <w:spacing w:after="240"/>
            </w:pPr>
            <w:r>
              <w:t>Mati á umhverfisáhrifum eða skimun (</w:t>
            </w:r>
            <w:bookmarkStart w:id="59" w:name="NOTE_347"/>
            <w:r>
              <w:rPr>
                <w:rStyle w:val="Tilvsunneanmlsgrein"/>
                <w:sz w:val="18"/>
              </w:rPr>
              <w:footnoteReference w:id="348"/>
            </w:r>
            <w:bookmarkEnd w:id="59"/>
            <w:r>
              <w:t>) er lokið í samræmi við tilskipun 2011/92/ESB (</w:t>
            </w:r>
            <w:bookmarkStart w:id="60" w:name="NOTE_348"/>
            <w:r>
              <w:rPr>
                <w:rStyle w:val="Tilvsunneanmlsgrein"/>
                <w:sz w:val="18"/>
              </w:rPr>
              <w:footnoteReference w:id="349"/>
            </w:r>
            <w:bookmarkEnd w:id="60"/>
            <w:r>
              <w:t>).</w:t>
            </w:r>
          </w:p>
          <w:p w14:paraId="4E40FE43" w14:textId="77777777" w:rsidR="002B5657" w:rsidRDefault="002B5657" w:rsidP="00A9140F">
            <w:pPr>
              <w:pStyle w:val="AnnexNormal"/>
              <w:spacing w:after="240"/>
            </w:pPr>
            <w:r>
              <w:t xml:space="preserve">Þegar mat á umhverfisáhrifum hefur verið framkvæmt er tilskildum </w:t>
            </w:r>
            <w:proofErr w:type="spellStart"/>
            <w:r>
              <w:t>mildunar</w:t>
            </w:r>
            <w:proofErr w:type="spellEnd"/>
            <w:r>
              <w:t>- og bótaráðstöfunum til að vernda umhverfið hrint í framkvæmd.</w:t>
            </w:r>
          </w:p>
          <w:p w14:paraId="2E673CD6" w14:textId="77777777" w:rsidR="002B5657" w:rsidRDefault="002B5657" w:rsidP="00A9140F">
            <w:pPr>
              <w:pStyle w:val="AnnexNormal"/>
              <w:spacing w:after="120"/>
            </w:pPr>
            <w:r>
              <w:t>Að því er varðar staði/</w:t>
            </w:r>
            <w:proofErr w:type="spellStart"/>
            <w:r>
              <w:t>starfrækslu</w:t>
            </w:r>
            <w:proofErr w:type="spellEnd"/>
            <w:r>
              <w:t xml:space="preserve"> sem er(u) á eða nálægt svæðum sem eru viðkvæm m.t.t. líffræðilegrar fjölbreytni (þ.m.t. Evrópunet verndarsvæða, heimsminjastaðir UNESCO og lykilsvæði líffræðilegrar fjölbreytni sem og önnur vernduð svæði) hefur viðeigandi mat (</w:t>
            </w:r>
            <w:bookmarkStart w:id="61" w:name="NOTE_349"/>
            <w:r>
              <w:rPr>
                <w:rStyle w:val="Tilvsunneanmlsgrein"/>
                <w:sz w:val="18"/>
              </w:rPr>
              <w:footnoteReference w:id="350"/>
            </w:r>
            <w:bookmarkEnd w:id="61"/>
            <w:r>
              <w:t xml:space="preserve">), eftir atvikum, farið fram og nauðsynlegum </w:t>
            </w:r>
            <w:proofErr w:type="spellStart"/>
            <w:r>
              <w:t>mildunarráðstöfunum</w:t>
            </w:r>
            <w:proofErr w:type="spellEnd"/>
            <w:r>
              <w:t xml:space="preserve"> (</w:t>
            </w:r>
            <w:bookmarkStart w:id="62" w:name="NOTE_350"/>
            <w:r>
              <w:rPr>
                <w:rStyle w:val="Tilvsunneanmlsgrein"/>
                <w:sz w:val="18"/>
              </w:rPr>
              <w:footnoteReference w:id="351"/>
            </w:r>
            <w:bookmarkEnd w:id="62"/>
            <w:r>
              <w:t>) verið komið í framkvæmd á grundvelli niðurstaðna þess.</w:t>
            </w:r>
          </w:p>
        </w:tc>
      </w:tr>
    </w:tbl>
    <w:p w14:paraId="0FC79FC5" w14:textId="77777777" w:rsidR="002B5657" w:rsidRDefault="002B5657" w:rsidP="002B5657">
      <w:pPr>
        <w:pStyle w:val="AnnexNormal"/>
      </w:pPr>
    </w:p>
    <w:p w14:paraId="784900FC" w14:textId="77777777" w:rsidR="002B5657" w:rsidRDefault="002B5657" w:rsidP="002B5657">
      <w:pPr>
        <w:pStyle w:val="AnnexTI"/>
        <w:sectPr w:rsidR="002B5657">
          <w:footnotePr>
            <w:numRestart w:val="eachSect"/>
          </w:footnotePr>
          <w:pgSz w:w="11906" w:h="16838" w:code="9"/>
          <w:pgMar w:top="1680" w:right="1333" w:bottom="840" w:left="1333" w:header="920" w:footer="280" w:gutter="0"/>
          <w:cols w:space="708"/>
          <w:docGrid w:linePitch="360"/>
        </w:sectPr>
      </w:pPr>
    </w:p>
    <w:p w14:paraId="23B7BB22" w14:textId="77777777" w:rsidR="002B5657" w:rsidRDefault="002B5657" w:rsidP="002B5657">
      <w:pPr>
        <w:pStyle w:val="AnnexTI"/>
      </w:pPr>
      <w:r>
        <w:lastRenderedPageBreak/>
        <w:t>Viðbætir E</w:t>
      </w:r>
    </w:p>
    <w:p w14:paraId="5A92DD4B" w14:textId="77777777" w:rsidR="002B5657" w:rsidRDefault="002B5657" w:rsidP="002B5657">
      <w:pPr>
        <w:pStyle w:val="AnnexSTI"/>
        <w:spacing w:after="200" w:line="200" w:lineRule="exact"/>
        <w:rPr>
          <w:sz w:val="16"/>
        </w:rPr>
      </w:pPr>
      <w:r>
        <w:t>TÆKNIFORSKRIFTIR (</w:t>
      </w:r>
      <w:bookmarkStart w:id="63" w:name="NOTE_351"/>
      <w:r>
        <w:rPr>
          <w:rStyle w:val="Tilvsunneanmlsgrein"/>
          <w:b w:val="0"/>
        </w:rPr>
        <w:footnoteReference w:id="352"/>
      </w:r>
      <w:bookmarkEnd w:id="63"/>
      <w:r>
        <w:t>) FYRIR VATNSBÚNAÐ</w:t>
      </w:r>
    </w:p>
    <w:tbl>
      <w:tblPr>
        <w:tblStyle w:val="EFTATable"/>
        <w:tblW w:w="0" w:type="auto"/>
        <w:tblInd w:w="92" w:type="dxa"/>
        <w:tblBorders>
          <w:left w:val="single" w:sz="4" w:space="0" w:color="auto"/>
          <w:right w:val="single" w:sz="4" w:space="0" w:color="auto"/>
        </w:tblBorders>
        <w:tblLook w:val="04A0" w:firstRow="1" w:lastRow="0" w:firstColumn="1" w:lastColumn="0" w:noHBand="0" w:noVBand="1"/>
      </w:tblPr>
      <w:tblGrid>
        <w:gridCol w:w="9138"/>
      </w:tblGrid>
      <w:tr w:rsidR="002B5657" w14:paraId="18960EC2" w14:textId="77777777" w:rsidTr="00A9140F">
        <w:trPr>
          <w:trHeight w:val="2280"/>
        </w:trPr>
        <w:tc>
          <w:tcPr>
            <w:tcW w:w="9228" w:type="dxa"/>
            <w:shd w:val="clear" w:color="auto" w:fill="ECECEC"/>
            <w:tcMar>
              <w:left w:w="80" w:type="dxa"/>
              <w:right w:w="80" w:type="dxa"/>
            </w:tcMar>
          </w:tcPr>
          <w:p w14:paraId="4F406D32" w14:textId="77777777" w:rsidR="002B5657" w:rsidRDefault="002B5657" w:rsidP="00A9140F">
            <w:pPr>
              <w:pStyle w:val="AnnexNumberedText"/>
            </w:pPr>
            <w:r>
              <w:t>1.</w:t>
            </w:r>
            <w:r>
              <w:tab/>
              <w:t>Flæðið er skráð við staðlaðan viðmiðunarþrýsting 3 – 0/+ 0,2 bör eða 0,1 – 0/+ 0,02 fyrir vörur sem eru takmarkaðar við lágan þrýsting.</w:t>
            </w:r>
          </w:p>
          <w:p w14:paraId="75AA0707" w14:textId="77777777" w:rsidR="002B5657" w:rsidRDefault="002B5657" w:rsidP="00A9140F">
            <w:pPr>
              <w:pStyle w:val="AnnexNumberedText"/>
            </w:pPr>
            <w:r>
              <w:t>2.</w:t>
            </w:r>
            <w:r>
              <w:tab/>
              <w:t>Flæði við lægri þrýstinginn 1,5 – 0/+ 0,2 bör er ≥ 60% af mesta mögulega flæði.</w:t>
            </w:r>
          </w:p>
          <w:p w14:paraId="16DC9F04" w14:textId="77777777" w:rsidR="002B5657" w:rsidRDefault="002B5657" w:rsidP="00A9140F">
            <w:pPr>
              <w:pStyle w:val="AnnexNumberedText"/>
            </w:pPr>
            <w:r>
              <w:t>3.</w:t>
            </w:r>
            <w:r>
              <w:tab/>
              <w:t>Fyrir blöndunartæki er viðmiðunarhitastigið 38 ± 1 °C.</w:t>
            </w:r>
          </w:p>
          <w:p w14:paraId="28CD1F84" w14:textId="77777777" w:rsidR="002B5657" w:rsidRDefault="002B5657" w:rsidP="00A9140F">
            <w:pPr>
              <w:pStyle w:val="AnnexNumberedText"/>
            </w:pPr>
            <w:r>
              <w:t>4.</w:t>
            </w:r>
            <w:r>
              <w:tab/>
              <w:t>Þegar streymið verður að vera minna en 6 l/mín er það í samræmi við regluna sem sett er fram í 2. lið.</w:t>
            </w:r>
          </w:p>
          <w:p w14:paraId="603ED43B" w14:textId="77777777" w:rsidR="002B5657" w:rsidRDefault="002B5657" w:rsidP="00A9140F">
            <w:pPr>
              <w:pStyle w:val="AnnexNumberedText"/>
            </w:pPr>
            <w:r>
              <w:t>5.</w:t>
            </w:r>
            <w:r>
              <w:tab/>
              <w:t>Fyrir krana er aðferðinni sem lýst er í ákvæði 10.2.3 í EN 200 fylgt með eftirfarandi undantekningum:</w:t>
            </w:r>
          </w:p>
          <w:p w14:paraId="6560CDFF" w14:textId="77777777" w:rsidR="002B5657" w:rsidRDefault="002B5657" w:rsidP="00A9140F">
            <w:pPr>
              <w:pStyle w:val="AnnexNumberedText"/>
              <w:ind w:left="600"/>
            </w:pPr>
            <w:r>
              <w:t>a)</w:t>
            </w:r>
            <w:r>
              <w:tab/>
              <w:t>fyrir krana sem eru ekki eingöngu takmarkaðir við notkun við lágan þrýsting: að öðrum kosti er notaður 3 – 0/+ 0,2 bara þrýstingur á bæði heita og kalda inntakið,</w:t>
            </w:r>
          </w:p>
          <w:p w14:paraId="4DCBA56C" w14:textId="77777777" w:rsidR="002B5657" w:rsidRDefault="002B5657" w:rsidP="00A9140F">
            <w:pPr>
              <w:pStyle w:val="AnnexNumberedText"/>
              <w:ind w:left="600"/>
            </w:pPr>
            <w:r>
              <w:t>b)</w:t>
            </w:r>
            <w:r>
              <w:tab/>
              <w:t>fyrir krana sem eru eingöngu takmarkaðir við notkun við lágan þrýsting: notaður er 0,4 – 0/+ 0,02 bara þrýstingur á bæði heita og kalda inntakið og streymisstýringin opnuð til fulls.</w:t>
            </w:r>
          </w:p>
        </w:tc>
      </w:tr>
    </w:tbl>
    <w:p w14:paraId="4FC0D8E1" w14:textId="77777777" w:rsidR="002B5657" w:rsidRDefault="002B5657" w:rsidP="002B5657">
      <w:pPr>
        <w:pStyle w:val="AnnexTI"/>
        <w:sectPr w:rsidR="002B5657">
          <w:footnotePr>
            <w:numRestart w:val="eachSect"/>
          </w:footnotePr>
          <w:pgSz w:w="11906" w:h="16838" w:code="9"/>
          <w:pgMar w:top="1680" w:right="1333" w:bottom="840" w:left="1333" w:header="920" w:footer="280" w:gutter="0"/>
          <w:cols w:space="708"/>
          <w:docGrid w:linePitch="360"/>
        </w:sectPr>
      </w:pPr>
    </w:p>
    <w:p w14:paraId="344D169E" w14:textId="77777777" w:rsidR="002B5657" w:rsidRDefault="002B5657" w:rsidP="002B5657">
      <w:pPr>
        <w:pStyle w:val="AnnexTI"/>
        <w:spacing w:after="360"/>
      </w:pPr>
      <w:r>
        <w:lastRenderedPageBreak/>
        <w:t>II. VIÐAUKI</w:t>
      </w:r>
    </w:p>
    <w:p w14:paraId="0C696DF0" w14:textId="77777777" w:rsidR="002B5657" w:rsidRDefault="002B5657" w:rsidP="002B5657">
      <w:pPr>
        <w:pStyle w:val="AnnexSTI"/>
      </w:pPr>
      <w:r>
        <w:t>Tæknileg matsviðmið til að ákvarða við hvaða skilyrði atvinnustarfsemi telst stuðla verulega að aðlögun að loftslagsbreytingum og til að ákvarða hvort þessi atvinnustarfsemi veldur umtalsverðu tjóni á einhverjum öðrum almennum umhverfismarkmiðum</w:t>
      </w:r>
    </w:p>
    <w:tbl>
      <w:tblPr>
        <w:tblW w:w="9228" w:type="dxa"/>
        <w:tblInd w:w="12" w:type="dxa"/>
        <w:tblLayout w:type="fixed"/>
        <w:tblCellMar>
          <w:top w:w="190" w:type="dxa"/>
          <w:bottom w:w="190" w:type="dxa"/>
        </w:tblCellMar>
        <w:tblLook w:val="04A0" w:firstRow="1" w:lastRow="0" w:firstColumn="1" w:lastColumn="0" w:noHBand="0" w:noVBand="1"/>
      </w:tblPr>
      <w:tblGrid>
        <w:gridCol w:w="480"/>
        <w:gridCol w:w="672"/>
        <w:gridCol w:w="7698"/>
        <w:gridCol w:w="378"/>
      </w:tblGrid>
      <w:tr w:rsidR="002B5657" w14:paraId="27CFFCBE" w14:textId="77777777" w:rsidTr="00A9140F">
        <w:trPr>
          <w:trHeight w:val="20"/>
        </w:trPr>
        <w:tc>
          <w:tcPr>
            <w:tcW w:w="480" w:type="dxa"/>
            <w:tcMar>
              <w:left w:w="0" w:type="dxa"/>
            </w:tcMar>
          </w:tcPr>
          <w:p w14:paraId="43AB4F0D" w14:textId="77777777" w:rsidR="002B5657" w:rsidRDefault="002B5657" w:rsidP="00A9140F">
            <w:pPr>
              <w:pStyle w:val="AnnexNormal"/>
              <w:spacing w:after="0" w:line="240" w:lineRule="auto"/>
            </w:pPr>
            <w:r>
              <w:t>1.</w:t>
            </w:r>
          </w:p>
        </w:tc>
        <w:tc>
          <w:tcPr>
            <w:tcW w:w="8370" w:type="dxa"/>
            <w:gridSpan w:val="2"/>
          </w:tcPr>
          <w:p w14:paraId="1E048EC6" w14:textId="77777777" w:rsidR="002B5657" w:rsidRDefault="002B5657" w:rsidP="00A9140F">
            <w:pPr>
              <w:pStyle w:val="AnnexNormal"/>
              <w:tabs>
                <w:tab w:val="right" w:leader="dot" w:pos="8154"/>
              </w:tabs>
              <w:spacing w:after="0" w:line="240" w:lineRule="auto"/>
            </w:pPr>
            <w:r>
              <w:t>Skógrækt</w:t>
            </w:r>
            <w:r>
              <w:tab/>
            </w:r>
          </w:p>
        </w:tc>
        <w:tc>
          <w:tcPr>
            <w:tcW w:w="378" w:type="dxa"/>
            <w:tcMar>
              <w:right w:w="0" w:type="dxa"/>
            </w:tcMar>
          </w:tcPr>
          <w:p w14:paraId="2FE60EBC" w14:textId="77777777" w:rsidR="002B5657" w:rsidRDefault="002B5657" w:rsidP="00A9140F">
            <w:pPr>
              <w:pStyle w:val="AnnexNormal"/>
              <w:spacing w:after="0" w:line="240" w:lineRule="auto"/>
            </w:pPr>
            <w:r>
              <w:t>151</w:t>
            </w:r>
          </w:p>
        </w:tc>
      </w:tr>
      <w:tr w:rsidR="002B5657" w14:paraId="61329C7A" w14:textId="77777777" w:rsidTr="00A9140F">
        <w:trPr>
          <w:trHeight w:val="20"/>
        </w:trPr>
        <w:tc>
          <w:tcPr>
            <w:tcW w:w="480" w:type="dxa"/>
            <w:tcMar>
              <w:left w:w="0" w:type="dxa"/>
            </w:tcMar>
          </w:tcPr>
          <w:p w14:paraId="711FD292" w14:textId="77777777" w:rsidR="002B5657" w:rsidRDefault="002B5657" w:rsidP="00A9140F">
            <w:pPr>
              <w:pStyle w:val="AnnexNormal"/>
              <w:spacing w:after="0" w:line="240" w:lineRule="auto"/>
            </w:pPr>
            <w:r>
              <w:t>1.1.</w:t>
            </w:r>
          </w:p>
        </w:tc>
        <w:tc>
          <w:tcPr>
            <w:tcW w:w="8370" w:type="dxa"/>
            <w:gridSpan w:val="2"/>
          </w:tcPr>
          <w:p w14:paraId="6CDE2B2A" w14:textId="77777777" w:rsidR="002B5657" w:rsidRDefault="002B5657" w:rsidP="00A9140F">
            <w:pPr>
              <w:pStyle w:val="AnnexNormal"/>
              <w:tabs>
                <w:tab w:val="right" w:leader="dot" w:pos="8154"/>
              </w:tabs>
              <w:spacing w:after="0" w:line="240" w:lineRule="auto"/>
            </w:pPr>
            <w:r>
              <w:t>Nýskógrækt</w:t>
            </w:r>
            <w:r>
              <w:tab/>
            </w:r>
          </w:p>
        </w:tc>
        <w:tc>
          <w:tcPr>
            <w:tcW w:w="378" w:type="dxa"/>
            <w:tcMar>
              <w:right w:w="0" w:type="dxa"/>
            </w:tcMar>
          </w:tcPr>
          <w:p w14:paraId="222ADB7A" w14:textId="77777777" w:rsidR="002B5657" w:rsidRDefault="002B5657" w:rsidP="00A9140F">
            <w:pPr>
              <w:pStyle w:val="AnnexNormal"/>
              <w:spacing w:after="0" w:line="240" w:lineRule="auto"/>
            </w:pPr>
            <w:r>
              <w:t>151</w:t>
            </w:r>
          </w:p>
        </w:tc>
      </w:tr>
      <w:tr w:rsidR="002B5657" w14:paraId="4C391E33" w14:textId="77777777" w:rsidTr="00A9140F">
        <w:trPr>
          <w:trHeight w:val="20"/>
        </w:trPr>
        <w:tc>
          <w:tcPr>
            <w:tcW w:w="480" w:type="dxa"/>
            <w:tcMar>
              <w:left w:w="0" w:type="dxa"/>
            </w:tcMar>
          </w:tcPr>
          <w:p w14:paraId="6DA9E742" w14:textId="77777777" w:rsidR="002B5657" w:rsidRDefault="002B5657" w:rsidP="00A9140F">
            <w:pPr>
              <w:pStyle w:val="AnnexNormal"/>
              <w:spacing w:after="0" w:line="240" w:lineRule="auto"/>
            </w:pPr>
            <w:r>
              <w:t>1.2.</w:t>
            </w:r>
          </w:p>
        </w:tc>
        <w:tc>
          <w:tcPr>
            <w:tcW w:w="8370" w:type="dxa"/>
            <w:gridSpan w:val="2"/>
          </w:tcPr>
          <w:p w14:paraId="2A19C13E" w14:textId="77777777" w:rsidR="002B5657" w:rsidRDefault="002B5657" w:rsidP="00A9140F">
            <w:pPr>
              <w:pStyle w:val="AnnexNormal"/>
              <w:tabs>
                <w:tab w:val="right" w:leader="dot" w:pos="8154"/>
              </w:tabs>
              <w:spacing w:after="0" w:line="240" w:lineRule="auto"/>
            </w:pPr>
            <w:r>
              <w:t xml:space="preserve">Endurreisn og endurheimt skóga, þ.m.t. </w:t>
            </w:r>
            <w:proofErr w:type="spellStart"/>
            <w:r>
              <w:t>endurræktun</w:t>
            </w:r>
            <w:proofErr w:type="spellEnd"/>
            <w:r>
              <w:t xml:space="preserve"> skóga og endurnýjun náttúrulegra skóga eftir aftakaviðburð</w:t>
            </w:r>
            <w:r>
              <w:tab/>
            </w:r>
          </w:p>
        </w:tc>
        <w:tc>
          <w:tcPr>
            <w:tcW w:w="378" w:type="dxa"/>
            <w:tcMar>
              <w:right w:w="0" w:type="dxa"/>
            </w:tcMar>
          </w:tcPr>
          <w:p w14:paraId="39174183" w14:textId="77777777" w:rsidR="002B5657" w:rsidRDefault="002B5657" w:rsidP="00A9140F">
            <w:pPr>
              <w:pStyle w:val="AnnexNormal"/>
              <w:spacing w:after="0" w:line="240" w:lineRule="auto"/>
            </w:pPr>
            <w:r>
              <w:t>156</w:t>
            </w:r>
          </w:p>
        </w:tc>
      </w:tr>
      <w:tr w:rsidR="002B5657" w14:paraId="66E649EA" w14:textId="77777777" w:rsidTr="00A9140F">
        <w:trPr>
          <w:trHeight w:val="20"/>
        </w:trPr>
        <w:tc>
          <w:tcPr>
            <w:tcW w:w="480" w:type="dxa"/>
            <w:tcMar>
              <w:left w:w="0" w:type="dxa"/>
            </w:tcMar>
          </w:tcPr>
          <w:p w14:paraId="46485BAD" w14:textId="77777777" w:rsidR="002B5657" w:rsidRDefault="002B5657" w:rsidP="00A9140F">
            <w:pPr>
              <w:pStyle w:val="AnnexNormal"/>
              <w:spacing w:after="0" w:line="240" w:lineRule="auto"/>
            </w:pPr>
            <w:r>
              <w:t>1.3.</w:t>
            </w:r>
          </w:p>
        </w:tc>
        <w:tc>
          <w:tcPr>
            <w:tcW w:w="8370" w:type="dxa"/>
            <w:gridSpan w:val="2"/>
          </w:tcPr>
          <w:p w14:paraId="60F1CAD2" w14:textId="77777777" w:rsidR="002B5657" w:rsidRDefault="002B5657" w:rsidP="00A9140F">
            <w:pPr>
              <w:pStyle w:val="AnnexNormal"/>
              <w:tabs>
                <w:tab w:val="right" w:leader="dot" w:pos="8154"/>
              </w:tabs>
              <w:spacing w:after="0" w:line="240" w:lineRule="auto"/>
            </w:pPr>
            <w:r>
              <w:t>Stjórnun skóga</w:t>
            </w:r>
            <w:r>
              <w:tab/>
            </w:r>
          </w:p>
        </w:tc>
        <w:tc>
          <w:tcPr>
            <w:tcW w:w="378" w:type="dxa"/>
            <w:tcMar>
              <w:right w:w="0" w:type="dxa"/>
            </w:tcMar>
          </w:tcPr>
          <w:p w14:paraId="36FEC55D" w14:textId="77777777" w:rsidR="002B5657" w:rsidRDefault="002B5657" w:rsidP="00A9140F">
            <w:pPr>
              <w:pStyle w:val="AnnexNormal"/>
              <w:spacing w:after="0" w:line="240" w:lineRule="auto"/>
            </w:pPr>
            <w:r>
              <w:t>163</w:t>
            </w:r>
          </w:p>
        </w:tc>
      </w:tr>
      <w:tr w:rsidR="002B5657" w14:paraId="2EBF100A" w14:textId="77777777" w:rsidTr="00A9140F">
        <w:trPr>
          <w:trHeight w:val="20"/>
        </w:trPr>
        <w:tc>
          <w:tcPr>
            <w:tcW w:w="480" w:type="dxa"/>
            <w:tcMar>
              <w:left w:w="0" w:type="dxa"/>
            </w:tcMar>
          </w:tcPr>
          <w:p w14:paraId="2BAE7AA3" w14:textId="77777777" w:rsidR="002B5657" w:rsidRDefault="002B5657" w:rsidP="00A9140F">
            <w:pPr>
              <w:pStyle w:val="AnnexNormal"/>
              <w:spacing w:after="0" w:line="240" w:lineRule="auto"/>
            </w:pPr>
            <w:r>
              <w:t>1.4.</w:t>
            </w:r>
          </w:p>
        </w:tc>
        <w:tc>
          <w:tcPr>
            <w:tcW w:w="8370" w:type="dxa"/>
            <w:gridSpan w:val="2"/>
          </w:tcPr>
          <w:p w14:paraId="5FA396E1" w14:textId="77777777" w:rsidR="002B5657" w:rsidRDefault="002B5657" w:rsidP="00A9140F">
            <w:pPr>
              <w:pStyle w:val="AnnexNormal"/>
              <w:tabs>
                <w:tab w:val="right" w:leader="dot" w:pos="8154"/>
              </w:tabs>
              <w:spacing w:after="0" w:line="240" w:lineRule="auto"/>
            </w:pPr>
            <w:r>
              <w:t>Varðveisluskógrækt</w:t>
            </w:r>
            <w:r>
              <w:tab/>
            </w:r>
          </w:p>
        </w:tc>
        <w:tc>
          <w:tcPr>
            <w:tcW w:w="378" w:type="dxa"/>
            <w:tcMar>
              <w:right w:w="0" w:type="dxa"/>
            </w:tcMar>
          </w:tcPr>
          <w:p w14:paraId="21E02383" w14:textId="77777777" w:rsidR="002B5657" w:rsidRDefault="002B5657" w:rsidP="00A9140F">
            <w:pPr>
              <w:pStyle w:val="AnnexNormal"/>
              <w:spacing w:after="0" w:line="240" w:lineRule="auto"/>
            </w:pPr>
            <w:r>
              <w:t>168</w:t>
            </w:r>
          </w:p>
        </w:tc>
      </w:tr>
      <w:tr w:rsidR="002B5657" w14:paraId="2A1A55E0" w14:textId="77777777" w:rsidTr="00A9140F">
        <w:trPr>
          <w:trHeight w:val="20"/>
        </w:trPr>
        <w:tc>
          <w:tcPr>
            <w:tcW w:w="480" w:type="dxa"/>
            <w:tcMar>
              <w:left w:w="0" w:type="dxa"/>
            </w:tcMar>
          </w:tcPr>
          <w:p w14:paraId="72D712FE" w14:textId="77777777" w:rsidR="002B5657" w:rsidRDefault="002B5657" w:rsidP="00A9140F">
            <w:pPr>
              <w:pStyle w:val="AnnexNormal"/>
              <w:spacing w:after="0" w:line="240" w:lineRule="auto"/>
            </w:pPr>
            <w:r>
              <w:t>2.</w:t>
            </w:r>
          </w:p>
        </w:tc>
        <w:tc>
          <w:tcPr>
            <w:tcW w:w="8370" w:type="dxa"/>
            <w:gridSpan w:val="2"/>
          </w:tcPr>
          <w:p w14:paraId="40007F6D" w14:textId="77777777" w:rsidR="002B5657" w:rsidRDefault="002B5657" w:rsidP="00A9140F">
            <w:pPr>
              <w:pStyle w:val="AnnexNormal"/>
              <w:tabs>
                <w:tab w:val="right" w:leader="dot" w:pos="8154"/>
              </w:tabs>
              <w:spacing w:after="0" w:line="240" w:lineRule="auto"/>
            </w:pPr>
            <w:r>
              <w:t>Starfsemi á sviði umhverfisverndar og endurheimtar</w:t>
            </w:r>
            <w:r>
              <w:tab/>
            </w:r>
          </w:p>
        </w:tc>
        <w:tc>
          <w:tcPr>
            <w:tcW w:w="378" w:type="dxa"/>
            <w:tcMar>
              <w:right w:w="0" w:type="dxa"/>
            </w:tcMar>
          </w:tcPr>
          <w:p w14:paraId="6E255AD3" w14:textId="77777777" w:rsidR="002B5657" w:rsidRDefault="002B5657" w:rsidP="00A9140F">
            <w:pPr>
              <w:pStyle w:val="AnnexNormal"/>
              <w:spacing w:after="0" w:line="240" w:lineRule="auto"/>
            </w:pPr>
            <w:r>
              <w:t>173</w:t>
            </w:r>
          </w:p>
        </w:tc>
      </w:tr>
      <w:tr w:rsidR="002B5657" w14:paraId="69E96C9E" w14:textId="77777777" w:rsidTr="00A9140F">
        <w:trPr>
          <w:trHeight w:val="20"/>
        </w:trPr>
        <w:tc>
          <w:tcPr>
            <w:tcW w:w="480" w:type="dxa"/>
            <w:tcMar>
              <w:left w:w="0" w:type="dxa"/>
            </w:tcMar>
          </w:tcPr>
          <w:p w14:paraId="4F5D4AB7" w14:textId="77777777" w:rsidR="002B5657" w:rsidRDefault="002B5657" w:rsidP="00A9140F">
            <w:pPr>
              <w:pStyle w:val="AnnexNormal"/>
              <w:spacing w:after="0" w:line="240" w:lineRule="auto"/>
            </w:pPr>
            <w:r>
              <w:t>2.1.</w:t>
            </w:r>
          </w:p>
        </w:tc>
        <w:tc>
          <w:tcPr>
            <w:tcW w:w="8370" w:type="dxa"/>
            <w:gridSpan w:val="2"/>
          </w:tcPr>
          <w:p w14:paraId="49082E3D" w14:textId="77777777" w:rsidR="002B5657" w:rsidRDefault="002B5657" w:rsidP="00A9140F">
            <w:pPr>
              <w:pStyle w:val="AnnexNormal"/>
              <w:tabs>
                <w:tab w:val="right" w:leader="dot" w:pos="8154"/>
              </w:tabs>
              <w:spacing w:after="0" w:line="240" w:lineRule="auto"/>
            </w:pPr>
            <w:r>
              <w:t>Endurheimt votlendis</w:t>
            </w:r>
            <w:r>
              <w:tab/>
            </w:r>
          </w:p>
        </w:tc>
        <w:tc>
          <w:tcPr>
            <w:tcW w:w="378" w:type="dxa"/>
            <w:tcMar>
              <w:right w:w="0" w:type="dxa"/>
            </w:tcMar>
          </w:tcPr>
          <w:p w14:paraId="59E2B93E" w14:textId="77777777" w:rsidR="002B5657" w:rsidRDefault="002B5657" w:rsidP="00A9140F">
            <w:pPr>
              <w:pStyle w:val="AnnexNormal"/>
              <w:spacing w:after="0" w:line="240" w:lineRule="auto"/>
            </w:pPr>
            <w:r>
              <w:t>173</w:t>
            </w:r>
          </w:p>
        </w:tc>
      </w:tr>
      <w:tr w:rsidR="002B5657" w14:paraId="3462E488" w14:textId="77777777" w:rsidTr="00A9140F">
        <w:trPr>
          <w:trHeight w:val="20"/>
        </w:trPr>
        <w:tc>
          <w:tcPr>
            <w:tcW w:w="480" w:type="dxa"/>
            <w:tcMar>
              <w:left w:w="0" w:type="dxa"/>
            </w:tcMar>
          </w:tcPr>
          <w:p w14:paraId="3AF8D539" w14:textId="77777777" w:rsidR="002B5657" w:rsidRDefault="002B5657" w:rsidP="00A9140F">
            <w:pPr>
              <w:pStyle w:val="AnnexNormal"/>
              <w:spacing w:after="0" w:line="240" w:lineRule="auto"/>
            </w:pPr>
            <w:r>
              <w:t>3.</w:t>
            </w:r>
          </w:p>
        </w:tc>
        <w:tc>
          <w:tcPr>
            <w:tcW w:w="8370" w:type="dxa"/>
            <w:gridSpan w:val="2"/>
          </w:tcPr>
          <w:p w14:paraId="7718ADCA" w14:textId="77777777" w:rsidR="002B5657" w:rsidRDefault="002B5657" w:rsidP="00A9140F">
            <w:pPr>
              <w:pStyle w:val="AnnexNormal"/>
              <w:tabs>
                <w:tab w:val="right" w:leader="dot" w:pos="8154"/>
              </w:tabs>
              <w:spacing w:after="0" w:line="240" w:lineRule="auto"/>
            </w:pPr>
            <w:r>
              <w:t>Framleiðsla</w:t>
            </w:r>
            <w:r>
              <w:tab/>
            </w:r>
          </w:p>
        </w:tc>
        <w:tc>
          <w:tcPr>
            <w:tcW w:w="378" w:type="dxa"/>
            <w:tcMar>
              <w:right w:w="0" w:type="dxa"/>
            </w:tcMar>
          </w:tcPr>
          <w:p w14:paraId="08D02688" w14:textId="77777777" w:rsidR="002B5657" w:rsidRDefault="002B5657" w:rsidP="00A9140F">
            <w:pPr>
              <w:pStyle w:val="AnnexNormal"/>
              <w:spacing w:after="0" w:line="240" w:lineRule="auto"/>
            </w:pPr>
            <w:r>
              <w:t>176</w:t>
            </w:r>
          </w:p>
        </w:tc>
      </w:tr>
      <w:tr w:rsidR="002B5657" w14:paraId="3D6AF953" w14:textId="77777777" w:rsidTr="00A9140F">
        <w:trPr>
          <w:trHeight w:val="20"/>
        </w:trPr>
        <w:tc>
          <w:tcPr>
            <w:tcW w:w="480" w:type="dxa"/>
            <w:tcMar>
              <w:left w:w="0" w:type="dxa"/>
            </w:tcMar>
          </w:tcPr>
          <w:p w14:paraId="50E606ED" w14:textId="77777777" w:rsidR="002B5657" w:rsidRDefault="002B5657" w:rsidP="00A9140F">
            <w:pPr>
              <w:pStyle w:val="AnnexNormal"/>
              <w:spacing w:after="0" w:line="240" w:lineRule="auto"/>
            </w:pPr>
            <w:r>
              <w:t>3.1.</w:t>
            </w:r>
          </w:p>
        </w:tc>
        <w:tc>
          <w:tcPr>
            <w:tcW w:w="8370" w:type="dxa"/>
            <w:gridSpan w:val="2"/>
          </w:tcPr>
          <w:p w14:paraId="23A4A3EA" w14:textId="77777777" w:rsidR="002B5657" w:rsidRDefault="002B5657" w:rsidP="00A9140F">
            <w:pPr>
              <w:pStyle w:val="AnnexNormal"/>
              <w:tabs>
                <w:tab w:val="right" w:leader="dot" w:pos="8154"/>
              </w:tabs>
              <w:spacing w:after="0" w:line="240" w:lineRule="auto"/>
            </w:pPr>
            <w:r>
              <w:t>Framleiðsla á tækni á sviði endurnýjanlegrar orku</w:t>
            </w:r>
            <w:r>
              <w:tab/>
            </w:r>
          </w:p>
        </w:tc>
        <w:tc>
          <w:tcPr>
            <w:tcW w:w="378" w:type="dxa"/>
            <w:tcMar>
              <w:right w:w="0" w:type="dxa"/>
            </w:tcMar>
          </w:tcPr>
          <w:p w14:paraId="7E311E79" w14:textId="77777777" w:rsidR="002B5657" w:rsidRDefault="002B5657" w:rsidP="00A9140F">
            <w:pPr>
              <w:pStyle w:val="AnnexNormal"/>
              <w:spacing w:after="0" w:line="240" w:lineRule="auto"/>
            </w:pPr>
            <w:r>
              <w:t>176</w:t>
            </w:r>
          </w:p>
        </w:tc>
      </w:tr>
      <w:tr w:rsidR="002B5657" w14:paraId="29843450" w14:textId="77777777" w:rsidTr="00A9140F">
        <w:trPr>
          <w:trHeight w:val="20"/>
        </w:trPr>
        <w:tc>
          <w:tcPr>
            <w:tcW w:w="480" w:type="dxa"/>
            <w:tcMar>
              <w:left w:w="0" w:type="dxa"/>
            </w:tcMar>
          </w:tcPr>
          <w:p w14:paraId="4BEBB83F" w14:textId="77777777" w:rsidR="002B5657" w:rsidRDefault="002B5657" w:rsidP="00A9140F">
            <w:pPr>
              <w:pStyle w:val="AnnexNormal"/>
              <w:spacing w:after="0" w:line="240" w:lineRule="auto"/>
            </w:pPr>
            <w:r>
              <w:t>3.2.</w:t>
            </w:r>
          </w:p>
        </w:tc>
        <w:tc>
          <w:tcPr>
            <w:tcW w:w="8370" w:type="dxa"/>
            <w:gridSpan w:val="2"/>
          </w:tcPr>
          <w:p w14:paraId="2D083396" w14:textId="77777777" w:rsidR="002B5657" w:rsidRDefault="002B5657" w:rsidP="00A9140F">
            <w:pPr>
              <w:pStyle w:val="AnnexNormal"/>
              <w:tabs>
                <w:tab w:val="right" w:leader="dot" w:pos="8154"/>
              </w:tabs>
              <w:spacing w:after="0" w:line="240" w:lineRule="auto"/>
            </w:pPr>
            <w:r>
              <w:t>Framleiðsla á tækjum fyrir framleiðslu og notkun á vetni</w:t>
            </w:r>
            <w:r>
              <w:tab/>
            </w:r>
          </w:p>
        </w:tc>
        <w:tc>
          <w:tcPr>
            <w:tcW w:w="378" w:type="dxa"/>
            <w:tcMar>
              <w:right w:w="0" w:type="dxa"/>
            </w:tcMar>
          </w:tcPr>
          <w:p w14:paraId="2EAFCE25" w14:textId="77777777" w:rsidR="002B5657" w:rsidRDefault="002B5657" w:rsidP="00A9140F">
            <w:pPr>
              <w:pStyle w:val="AnnexNormal"/>
              <w:spacing w:after="0" w:line="240" w:lineRule="auto"/>
            </w:pPr>
            <w:r>
              <w:t>178</w:t>
            </w:r>
          </w:p>
        </w:tc>
      </w:tr>
      <w:tr w:rsidR="002B5657" w14:paraId="1DB46F2A" w14:textId="77777777" w:rsidTr="00A9140F">
        <w:trPr>
          <w:trHeight w:val="20"/>
        </w:trPr>
        <w:tc>
          <w:tcPr>
            <w:tcW w:w="480" w:type="dxa"/>
            <w:tcMar>
              <w:left w:w="0" w:type="dxa"/>
            </w:tcMar>
          </w:tcPr>
          <w:p w14:paraId="4FD7B6DB" w14:textId="77777777" w:rsidR="002B5657" w:rsidRDefault="002B5657" w:rsidP="00A9140F">
            <w:pPr>
              <w:pStyle w:val="AnnexNormal"/>
              <w:spacing w:after="0" w:line="240" w:lineRule="auto"/>
            </w:pPr>
            <w:r>
              <w:t>3.3.</w:t>
            </w:r>
          </w:p>
        </w:tc>
        <w:tc>
          <w:tcPr>
            <w:tcW w:w="8370" w:type="dxa"/>
            <w:gridSpan w:val="2"/>
          </w:tcPr>
          <w:p w14:paraId="218EC893" w14:textId="77777777" w:rsidR="002B5657" w:rsidRDefault="002B5657" w:rsidP="00A9140F">
            <w:pPr>
              <w:pStyle w:val="AnnexNormal"/>
              <w:tabs>
                <w:tab w:val="right" w:leader="dot" w:pos="8154"/>
              </w:tabs>
              <w:spacing w:after="0" w:line="240" w:lineRule="auto"/>
            </w:pPr>
            <w:r>
              <w:t>Framleiðsla á lágkolefnistækni fyrir flutninga</w:t>
            </w:r>
            <w:r>
              <w:tab/>
            </w:r>
          </w:p>
        </w:tc>
        <w:tc>
          <w:tcPr>
            <w:tcW w:w="378" w:type="dxa"/>
            <w:tcMar>
              <w:right w:w="0" w:type="dxa"/>
            </w:tcMar>
          </w:tcPr>
          <w:p w14:paraId="7DB18125" w14:textId="77777777" w:rsidR="002B5657" w:rsidRDefault="002B5657" w:rsidP="00A9140F">
            <w:pPr>
              <w:pStyle w:val="AnnexNormal"/>
              <w:spacing w:after="0" w:line="240" w:lineRule="auto"/>
            </w:pPr>
            <w:r>
              <w:t>180</w:t>
            </w:r>
          </w:p>
        </w:tc>
      </w:tr>
      <w:tr w:rsidR="002B5657" w14:paraId="1D19F1EA" w14:textId="77777777" w:rsidTr="00A9140F">
        <w:trPr>
          <w:trHeight w:val="20"/>
        </w:trPr>
        <w:tc>
          <w:tcPr>
            <w:tcW w:w="480" w:type="dxa"/>
            <w:tcMar>
              <w:left w:w="0" w:type="dxa"/>
            </w:tcMar>
          </w:tcPr>
          <w:p w14:paraId="2E196883" w14:textId="77777777" w:rsidR="002B5657" w:rsidRDefault="002B5657" w:rsidP="00A9140F">
            <w:pPr>
              <w:pStyle w:val="AnnexNormal"/>
              <w:spacing w:after="0" w:line="240" w:lineRule="auto"/>
            </w:pPr>
            <w:r>
              <w:t>3.4.</w:t>
            </w:r>
          </w:p>
        </w:tc>
        <w:tc>
          <w:tcPr>
            <w:tcW w:w="8370" w:type="dxa"/>
            <w:gridSpan w:val="2"/>
          </w:tcPr>
          <w:p w14:paraId="1FCB43A8" w14:textId="77777777" w:rsidR="002B5657" w:rsidRDefault="002B5657" w:rsidP="00A9140F">
            <w:pPr>
              <w:pStyle w:val="AnnexNormal"/>
              <w:tabs>
                <w:tab w:val="right" w:leader="dot" w:pos="8154"/>
              </w:tabs>
              <w:spacing w:after="0" w:line="240" w:lineRule="auto"/>
            </w:pPr>
            <w:r>
              <w:t>Framleiðsla á rafhlöðum</w:t>
            </w:r>
            <w:r>
              <w:tab/>
            </w:r>
          </w:p>
        </w:tc>
        <w:tc>
          <w:tcPr>
            <w:tcW w:w="378" w:type="dxa"/>
            <w:tcMar>
              <w:right w:w="0" w:type="dxa"/>
            </w:tcMar>
          </w:tcPr>
          <w:p w14:paraId="53EF443E" w14:textId="77777777" w:rsidR="002B5657" w:rsidRDefault="002B5657" w:rsidP="00A9140F">
            <w:pPr>
              <w:pStyle w:val="AnnexNormal"/>
              <w:spacing w:after="0" w:line="240" w:lineRule="auto"/>
            </w:pPr>
            <w:r>
              <w:t>183</w:t>
            </w:r>
          </w:p>
        </w:tc>
      </w:tr>
      <w:tr w:rsidR="002B5657" w14:paraId="0EDA3E74" w14:textId="77777777" w:rsidTr="00A9140F">
        <w:trPr>
          <w:trHeight w:val="20"/>
        </w:trPr>
        <w:tc>
          <w:tcPr>
            <w:tcW w:w="480" w:type="dxa"/>
            <w:tcMar>
              <w:left w:w="0" w:type="dxa"/>
            </w:tcMar>
          </w:tcPr>
          <w:p w14:paraId="07626D5C" w14:textId="77777777" w:rsidR="002B5657" w:rsidRDefault="002B5657" w:rsidP="00A9140F">
            <w:pPr>
              <w:pStyle w:val="AnnexNormal"/>
              <w:spacing w:after="0" w:line="240" w:lineRule="auto"/>
            </w:pPr>
            <w:r>
              <w:t>3.5.</w:t>
            </w:r>
          </w:p>
        </w:tc>
        <w:tc>
          <w:tcPr>
            <w:tcW w:w="8370" w:type="dxa"/>
            <w:gridSpan w:val="2"/>
          </w:tcPr>
          <w:p w14:paraId="660A239C" w14:textId="77777777" w:rsidR="002B5657" w:rsidRDefault="002B5657" w:rsidP="00A9140F">
            <w:pPr>
              <w:pStyle w:val="AnnexNormal"/>
              <w:tabs>
                <w:tab w:val="right" w:leader="dot" w:pos="8154"/>
              </w:tabs>
              <w:spacing w:after="0" w:line="240" w:lineRule="auto"/>
            </w:pPr>
            <w:r>
              <w:t xml:space="preserve">Framleiðsla á </w:t>
            </w:r>
            <w:proofErr w:type="spellStart"/>
            <w:r>
              <w:t>orkunýtnum</w:t>
            </w:r>
            <w:proofErr w:type="spellEnd"/>
            <w:r>
              <w:t xml:space="preserve"> búnaði fyrir byggingar</w:t>
            </w:r>
            <w:r>
              <w:tab/>
            </w:r>
          </w:p>
        </w:tc>
        <w:tc>
          <w:tcPr>
            <w:tcW w:w="378" w:type="dxa"/>
            <w:tcMar>
              <w:right w:w="0" w:type="dxa"/>
            </w:tcMar>
          </w:tcPr>
          <w:p w14:paraId="2E04F290" w14:textId="77777777" w:rsidR="002B5657" w:rsidRDefault="002B5657" w:rsidP="00A9140F">
            <w:pPr>
              <w:pStyle w:val="AnnexNormal"/>
              <w:spacing w:after="0" w:line="240" w:lineRule="auto"/>
            </w:pPr>
            <w:r>
              <w:t>185</w:t>
            </w:r>
          </w:p>
        </w:tc>
      </w:tr>
      <w:tr w:rsidR="002B5657" w14:paraId="78ED680B" w14:textId="77777777" w:rsidTr="00A9140F">
        <w:trPr>
          <w:trHeight w:val="20"/>
        </w:trPr>
        <w:tc>
          <w:tcPr>
            <w:tcW w:w="480" w:type="dxa"/>
            <w:tcMar>
              <w:left w:w="0" w:type="dxa"/>
            </w:tcMar>
          </w:tcPr>
          <w:p w14:paraId="659AAE32" w14:textId="77777777" w:rsidR="002B5657" w:rsidRDefault="002B5657" w:rsidP="00A9140F">
            <w:pPr>
              <w:pStyle w:val="AnnexNormal"/>
              <w:spacing w:after="0" w:line="240" w:lineRule="auto"/>
            </w:pPr>
            <w:r>
              <w:t>3.6.</w:t>
            </w:r>
          </w:p>
        </w:tc>
        <w:tc>
          <w:tcPr>
            <w:tcW w:w="8370" w:type="dxa"/>
            <w:gridSpan w:val="2"/>
          </w:tcPr>
          <w:p w14:paraId="7A19ADFF" w14:textId="77777777" w:rsidR="002B5657" w:rsidRDefault="002B5657" w:rsidP="00A9140F">
            <w:pPr>
              <w:pStyle w:val="AnnexNormal"/>
              <w:tabs>
                <w:tab w:val="right" w:leader="dot" w:pos="8154"/>
              </w:tabs>
              <w:spacing w:after="0" w:line="240" w:lineRule="auto"/>
            </w:pPr>
            <w:r>
              <w:t>Framleiðsla á annarri lágkolefnistækni</w:t>
            </w:r>
            <w:r>
              <w:tab/>
            </w:r>
          </w:p>
        </w:tc>
        <w:tc>
          <w:tcPr>
            <w:tcW w:w="378" w:type="dxa"/>
            <w:tcMar>
              <w:right w:w="0" w:type="dxa"/>
            </w:tcMar>
          </w:tcPr>
          <w:p w14:paraId="4634F6D0" w14:textId="77777777" w:rsidR="002B5657" w:rsidRDefault="002B5657" w:rsidP="00A9140F">
            <w:pPr>
              <w:pStyle w:val="AnnexNormal"/>
              <w:spacing w:after="0" w:line="240" w:lineRule="auto"/>
            </w:pPr>
            <w:r>
              <w:t>188</w:t>
            </w:r>
          </w:p>
        </w:tc>
      </w:tr>
      <w:tr w:rsidR="002B5657" w14:paraId="40750FD1" w14:textId="77777777" w:rsidTr="00A9140F">
        <w:trPr>
          <w:trHeight w:val="20"/>
        </w:trPr>
        <w:tc>
          <w:tcPr>
            <w:tcW w:w="480" w:type="dxa"/>
            <w:tcMar>
              <w:left w:w="0" w:type="dxa"/>
            </w:tcMar>
          </w:tcPr>
          <w:p w14:paraId="46BD7012" w14:textId="77777777" w:rsidR="002B5657" w:rsidRDefault="002B5657" w:rsidP="00A9140F">
            <w:pPr>
              <w:pStyle w:val="AnnexNormal"/>
              <w:spacing w:after="0" w:line="240" w:lineRule="auto"/>
            </w:pPr>
            <w:r>
              <w:t>3.7.</w:t>
            </w:r>
          </w:p>
        </w:tc>
        <w:tc>
          <w:tcPr>
            <w:tcW w:w="8370" w:type="dxa"/>
            <w:gridSpan w:val="2"/>
          </w:tcPr>
          <w:p w14:paraId="6C8148F7" w14:textId="77777777" w:rsidR="002B5657" w:rsidRDefault="002B5657" w:rsidP="00A9140F">
            <w:pPr>
              <w:pStyle w:val="AnnexNormal"/>
              <w:tabs>
                <w:tab w:val="right" w:leader="dot" w:pos="8154"/>
              </w:tabs>
              <w:spacing w:after="0" w:line="240" w:lineRule="auto"/>
            </w:pPr>
            <w:r>
              <w:t xml:space="preserve">Framleiðsla á </w:t>
            </w:r>
            <w:proofErr w:type="spellStart"/>
            <w:r>
              <w:t>sementi</w:t>
            </w:r>
            <w:proofErr w:type="spellEnd"/>
            <w:r>
              <w:tab/>
            </w:r>
          </w:p>
        </w:tc>
        <w:tc>
          <w:tcPr>
            <w:tcW w:w="378" w:type="dxa"/>
            <w:tcMar>
              <w:right w:w="0" w:type="dxa"/>
            </w:tcMar>
          </w:tcPr>
          <w:p w14:paraId="36D9112F" w14:textId="77777777" w:rsidR="002B5657" w:rsidRDefault="002B5657" w:rsidP="00A9140F">
            <w:pPr>
              <w:pStyle w:val="AnnexNormal"/>
              <w:spacing w:after="0" w:line="240" w:lineRule="auto"/>
            </w:pPr>
            <w:r>
              <w:t>190</w:t>
            </w:r>
          </w:p>
        </w:tc>
      </w:tr>
      <w:tr w:rsidR="002B5657" w14:paraId="42C58668" w14:textId="77777777" w:rsidTr="00A9140F">
        <w:trPr>
          <w:trHeight w:val="20"/>
        </w:trPr>
        <w:tc>
          <w:tcPr>
            <w:tcW w:w="480" w:type="dxa"/>
            <w:tcMar>
              <w:left w:w="0" w:type="dxa"/>
            </w:tcMar>
          </w:tcPr>
          <w:p w14:paraId="65EC934C" w14:textId="77777777" w:rsidR="002B5657" w:rsidRDefault="002B5657" w:rsidP="00A9140F">
            <w:pPr>
              <w:pStyle w:val="AnnexNormal"/>
              <w:spacing w:after="0" w:line="240" w:lineRule="auto"/>
            </w:pPr>
            <w:r>
              <w:t>3.8.</w:t>
            </w:r>
          </w:p>
        </w:tc>
        <w:tc>
          <w:tcPr>
            <w:tcW w:w="8370" w:type="dxa"/>
            <w:gridSpan w:val="2"/>
          </w:tcPr>
          <w:p w14:paraId="3FDBCAAA" w14:textId="77777777" w:rsidR="002B5657" w:rsidRDefault="002B5657" w:rsidP="00A9140F">
            <w:pPr>
              <w:pStyle w:val="AnnexNormal"/>
              <w:tabs>
                <w:tab w:val="right" w:leader="dot" w:pos="8154"/>
              </w:tabs>
              <w:spacing w:after="0" w:line="240" w:lineRule="auto"/>
            </w:pPr>
            <w:r>
              <w:t>Framleiðsla á áli</w:t>
            </w:r>
            <w:r>
              <w:tab/>
            </w:r>
          </w:p>
        </w:tc>
        <w:tc>
          <w:tcPr>
            <w:tcW w:w="378" w:type="dxa"/>
            <w:tcMar>
              <w:right w:w="0" w:type="dxa"/>
            </w:tcMar>
          </w:tcPr>
          <w:p w14:paraId="6DFA9F7E" w14:textId="77777777" w:rsidR="002B5657" w:rsidRDefault="002B5657" w:rsidP="00A9140F">
            <w:pPr>
              <w:pStyle w:val="AnnexNormal"/>
              <w:spacing w:after="0" w:line="240" w:lineRule="auto"/>
            </w:pPr>
            <w:r>
              <w:t>191</w:t>
            </w:r>
          </w:p>
        </w:tc>
      </w:tr>
      <w:tr w:rsidR="002B5657" w14:paraId="2845A674" w14:textId="77777777" w:rsidTr="00A9140F">
        <w:trPr>
          <w:trHeight w:val="20"/>
        </w:trPr>
        <w:tc>
          <w:tcPr>
            <w:tcW w:w="480" w:type="dxa"/>
            <w:tcMar>
              <w:left w:w="0" w:type="dxa"/>
            </w:tcMar>
          </w:tcPr>
          <w:p w14:paraId="2EC21155" w14:textId="77777777" w:rsidR="002B5657" w:rsidRDefault="002B5657" w:rsidP="00A9140F">
            <w:pPr>
              <w:pStyle w:val="AnnexNormal"/>
              <w:spacing w:after="0" w:line="240" w:lineRule="auto"/>
            </w:pPr>
            <w:r>
              <w:t>3.9.</w:t>
            </w:r>
          </w:p>
        </w:tc>
        <w:tc>
          <w:tcPr>
            <w:tcW w:w="8370" w:type="dxa"/>
            <w:gridSpan w:val="2"/>
          </w:tcPr>
          <w:p w14:paraId="661FC3A4" w14:textId="77777777" w:rsidR="002B5657" w:rsidRDefault="002B5657" w:rsidP="00A9140F">
            <w:pPr>
              <w:pStyle w:val="AnnexNormal"/>
              <w:tabs>
                <w:tab w:val="right" w:leader="dot" w:pos="8154"/>
              </w:tabs>
              <w:spacing w:after="0" w:line="240" w:lineRule="auto"/>
            </w:pPr>
            <w:r>
              <w:t>Framleiðsla á járni og stáli</w:t>
            </w:r>
            <w:r>
              <w:tab/>
            </w:r>
          </w:p>
        </w:tc>
        <w:tc>
          <w:tcPr>
            <w:tcW w:w="378" w:type="dxa"/>
            <w:tcMar>
              <w:right w:w="0" w:type="dxa"/>
            </w:tcMar>
          </w:tcPr>
          <w:p w14:paraId="6BA15BA4" w14:textId="77777777" w:rsidR="002B5657" w:rsidRDefault="002B5657" w:rsidP="00A9140F">
            <w:pPr>
              <w:pStyle w:val="AnnexNormal"/>
              <w:spacing w:after="0" w:line="240" w:lineRule="auto"/>
            </w:pPr>
            <w:r>
              <w:t>193</w:t>
            </w:r>
          </w:p>
        </w:tc>
      </w:tr>
      <w:tr w:rsidR="002B5657" w14:paraId="4775E50F" w14:textId="77777777" w:rsidTr="00A9140F">
        <w:trPr>
          <w:trHeight w:val="20"/>
        </w:trPr>
        <w:tc>
          <w:tcPr>
            <w:tcW w:w="480" w:type="dxa"/>
            <w:tcMar>
              <w:left w:w="0" w:type="dxa"/>
            </w:tcMar>
          </w:tcPr>
          <w:p w14:paraId="130F7DFF" w14:textId="77777777" w:rsidR="002B5657" w:rsidRDefault="002B5657" w:rsidP="00A9140F">
            <w:pPr>
              <w:pStyle w:val="AnnexNormal"/>
              <w:spacing w:after="0" w:line="240" w:lineRule="auto"/>
            </w:pPr>
            <w:r>
              <w:t>3.10.</w:t>
            </w:r>
          </w:p>
        </w:tc>
        <w:tc>
          <w:tcPr>
            <w:tcW w:w="8370" w:type="dxa"/>
            <w:gridSpan w:val="2"/>
          </w:tcPr>
          <w:p w14:paraId="5461488C" w14:textId="77777777" w:rsidR="002B5657" w:rsidRDefault="002B5657" w:rsidP="00A9140F">
            <w:pPr>
              <w:pStyle w:val="AnnexNormal"/>
              <w:tabs>
                <w:tab w:val="right" w:leader="dot" w:pos="8154"/>
              </w:tabs>
              <w:spacing w:after="0" w:line="240" w:lineRule="auto"/>
            </w:pPr>
            <w:r>
              <w:t>Framleiðsla á vetni</w:t>
            </w:r>
            <w:r>
              <w:tab/>
            </w:r>
          </w:p>
        </w:tc>
        <w:tc>
          <w:tcPr>
            <w:tcW w:w="378" w:type="dxa"/>
            <w:tcMar>
              <w:right w:w="0" w:type="dxa"/>
            </w:tcMar>
          </w:tcPr>
          <w:p w14:paraId="33290371" w14:textId="77777777" w:rsidR="002B5657" w:rsidRDefault="002B5657" w:rsidP="00A9140F">
            <w:pPr>
              <w:pStyle w:val="AnnexNormal"/>
              <w:spacing w:after="0" w:line="240" w:lineRule="auto"/>
            </w:pPr>
            <w:r>
              <w:t>196</w:t>
            </w:r>
          </w:p>
        </w:tc>
      </w:tr>
      <w:tr w:rsidR="002B5657" w14:paraId="7C7EE04C" w14:textId="77777777" w:rsidTr="00A9140F">
        <w:trPr>
          <w:trHeight w:val="20"/>
        </w:trPr>
        <w:tc>
          <w:tcPr>
            <w:tcW w:w="480" w:type="dxa"/>
            <w:tcMar>
              <w:left w:w="0" w:type="dxa"/>
            </w:tcMar>
          </w:tcPr>
          <w:p w14:paraId="10E15694" w14:textId="77777777" w:rsidR="002B5657" w:rsidRDefault="002B5657" w:rsidP="00A9140F">
            <w:pPr>
              <w:pStyle w:val="AnnexNormal"/>
              <w:spacing w:after="0" w:line="240" w:lineRule="auto"/>
            </w:pPr>
            <w:r>
              <w:t>3.11.</w:t>
            </w:r>
          </w:p>
        </w:tc>
        <w:tc>
          <w:tcPr>
            <w:tcW w:w="8370" w:type="dxa"/>
            <w:gridSpan w:val="2"/>
          </w:tcPr>
          <w:p w14:paraId="2FC33559" w14:textId="77777777" w:rsidR="002B5657" w:rsidRDefault="002B5657" w:rsidP="00A9140F">
            <w:pPr>
              <w:pStyle w:val="AnnexNormal"/>
              <w:tabs>
                <w:tab w:val="right" w:leader="dot" w:pos="8154"/>
              </w:tabs>
              <w:spacing w:after="0" w:line="240" w:lineRule="auto"/>
            </w:pPr>
            <w:r>
              <w:t xml:space="preserve">Framleiðsla á </w:t>
            </w:r>
            <w:proofErr w:type="spellStart"/>
            <w:r>
              <w:t>kinroki</w:t>
            </w:r>
            <w:proofErr w:type="spellEnd"/>
            <w:r>
              <w:tab/>
            </w:r>
          </w:p>
        </w:tc>
        <w:tc>
          <w:tcPr>
            <w:tcW w:w="378" w:type="dxa"/>
            <w:tcMar>
              <w:right w:w="0" w:type="dxa"/>
            </w:tcMar>
          </w:tcPr>
          <w:p w14:paraId="6EE2590B" w14:textId="77777777" w:rsidR="002B5657" w:rsidRDefault="002B5657" w:rsidP="00A9140F">
            <w:pPr>
              <w:pStyle w:val="AnnexNormal"/>
              <w:spacing w:after="0" w:line="240" w:lineRule="auto"/>
            </w:pPr>
            <w:r>
              <w:t>198</w:t>
            </w:r>
          </w:p>
        </w:tc>
      </w:tr>
      <w:tr w:rsidR="002B5657" w14:paraId="45A94CC1" w14:textId="77777777" w:rsidTr="00A9140F">
        <w:trPr>
          <w:trHeight w:val="20"/>
        </w:trPr>
        <w:tc>
          <w:tcPr>
            <w:tcW w:w="480" w:type="dxa"/>
            <w:tcMar>
              <w:left w:w="0" w:type="dxa"/>
            </w:tcMar>
          </w:tcPr>
          <w:p w14:paraId="2A6FB3A1" w14:textId="77777777" w:rsidR="002B5657" w:rsidRDefault="002B5657" w:rsidP="00A9140F">
            <w:pPr>
              <w:pStyle w:val="AnnexNormal"/>
              <w:spacing w:after="0" w:line="240" w:lineRule="auto"/>
            </w:pPr>
            <w:r>
              <w:t>3.12.</w:t>
            </w:r>
          </w:p>
        </w:tc>
        <w:tc>
          <w:tcPr>
            <w:tcW w:w="8370" w:type="dxa"/>
            <w:gridSpan w:val="2"/>
          </w:tcPr>
          <w:p w14:paraId="1A4AF03F" w14:textId="77777777" w:rsidR="002B5657" w:rsidRDefault="002B5657" w:rsidP="00A9140F">
            <w:pPr>
              <w:pStyle w:val="AnnexNormal"/>
              <w:tabs>
                <w:tab w:val="right" w:leader="dot" w:pos="8154"/>
              </w:tabs>
              <w:spacing w:after="0" w:line="240" w:lineRule="auto"/>
            </w:pPr>
            <w:r>
              <w:t xml:space="preserve">Framleiðsla á </w:t>
            </w:r>
            <w:proofErr w:type="spellStart"/>
            <w:r>
              <w:t>sóda</w:t>
            </w:r>
            <w:proofErr w:type="spellEnd"/>
            <w:r>
              <w:tab/>
            </w:r>
          </w:p>
        </w:tc>
        <w:tc>
          <w:tcPr>
            <w:tcW w:w="378" w:type="dxa"/>
            <w:tcMar>
              <w:right w:w="0" w:type="dxa"/>
            </w:tcMar>
          </w:tcPr>
          <w:p w14:paraId="47EF62AC" w14:textId="77777777" w:rsidR="002B5657" w:rsidRDefault="002B5657" w:rsidP="00A9140F">
            <w:pPr>
              <w:pStyle w:val="AnnexNormal"/>
              <w:spacing w:after="0" w:line="240" w:lineRule="auto"/>
            </w:pPr>
            <w:r>
              <w:t>200</w:t>
            </w:r>
          </w:p>
        </w:tc>
      </w:tr>
      <w:tr w:rsidR="002B5657" w14:paraId="3063463C" w14:textId="77777777" w:rsidTr="00A9140F">
        <w:trPr>
          <w:trHeight w:val="20"/>
        </w:trPr>
        <w:tc>
          <w:tcPr>
            <w:tcW w:w="480" w:type="dxa"/>
            <w:tcMar>
              <w:left w:w="0" w:type="dxa"/>
            </w:tcMar>
          </w:tcPr>
          <w:p w14:paraId="0AF27403" w14:textId="77777777" w:rsidR="002B5657" w:rsidRDefault="002B5657" w:rsidP="00A9140F">
            <w:pPr>
              <w:pStyle w:val="AnnexNormal"/>
              <w:spacing w:after="0" w:line="240" w:lineRule="auto"/>
            </w:pPr>
            <w:r>
              <w:t>3.13.</w:t>
            </w:r>
          </w:p>
        </w:tc>
        <w:tc>
          <w:tcPr>
            <w:tcW w:w="8370" w:type="dxa"/>
            <w:gridSpan w:val="2"/>
          </w:tcPr>
          <w:p w14:paraId="12596026" w14:textId="77777777" w:rsidR="002B5657" w:rsidRDefault="002B5657" w:rsidP="00A9140F">
            <w:pPr>
              <w:pStyle w:val="AnnexNormal"/>
              <w:tabs>
                <w:tab w:val="right" w:leader="dot" w:pos="8154"/>
              </w:tabs>
              <w:spacing w:after="0" w:line="240" w:lineRule="auto"/>
            </w:pPr>
            <w:r>
              <w:t xml:space="preserve">Framleiðsla á </w:t>
            </w:r>
            <w:proofErr w:type="spellStart"/>
            <w:r>
              <w:t>klór</w:t>
            </w:r>
            <w:proofErr w:type="spellEnd"/>
            <w:r>
              <w:tab/>
            </w:r>
          </w:p>
        </w:tc>
        <w:tc>
          <w:tcPr>
            <w:tcW w:w="378" w:type="dxa"/>
            <w:tcMar>
              <w:right w:w="0" w:type="dxa"/>
            </w:tcMar>
          </w:tcPr>
          <w:p w14:paraId="09CA491B" w14:textId="77777777" w:rsidR="002B5657" w:rsidRDefault="002B5657" w:rsidP="00A9140F">
            <w:pPr>
              <w:pStyle w:val="AnnexNormal"/>
              <w:spacing w:after="0" w:line="240" w:lineRule="auto"/>
            </w:pPr>
            <w:r>
              <w:t>202</w:t>
            </w:r>
          </w:p>
        </w:tc>
      </w:tr>
      <w:tr w:rsidR="002B5657" w14:paraId="43D12CC3" w14:textId="77777777" w:rsidTr="00A9140F">
        <w:trPr>
          <w:trHeight w:val="20"/>
        </w:trPr>
        <w:tc>
          <w:tcPr>
            <w:tcW w:w="480" w:type="dxa"/>
            <w:tcMar>
              <w:left w:w="0" w:type="dxa"/>
            </w:tcMar>
          </w:tcPr>
          <w:p w14:paraId="6B8A32D4" w14:textId="77777777" w:rsidR="002B5657" w:rsidRDefault="002B5657" w:rsidP="00A9140F">
            <w:pPr>
              <w:pStyle w:val="AnnexNormal"/>
              <w:pageBreakBefore/>
              <w:spacing w:after="0" w:line="240" w:lineRule="auto"/>
            </w:pPr>
            <w:r>
              <w:lastRenderedPageBreak/>
              <w:t>3.14.</w:t>
            </w:r>
          </w:p>
        </w:tc>
        <w:tc>
          <w:tcPr>
            <w:tcW w:w="8370" w:type="dxa"/>
            <w:gridSpan w:val="2"/>
          </w:tcPr>
          <w:p w14:paraId="2FCCD059" w14:textId="77777777" w:rsidR="002B5657" w:rsidRDefault="002B5657" w:rsidP="00A9140F">
            <w:pPr>
              <w:pStyle w:val="AnnexNormal"/>
              <w:tabs>
                <w:tab w:val="right" w:leader="dot" w:pos="8154"/>
              </w:tabs>
              <w:spacing w:after="0" w:line="240" w:lineRule="auto"/>
            </w:pPr>
            <w:r>
              <w:t>Framleiðsla á lífrænum grunnefnum</w:t>
            </w:r>
            <w:r>
              <w:tab/>
            </w:r>
          </w:p>
        </w:tc>
        <w:tc>
          <w:tcPr>
            <w:tcW w:w="378" w:type="dxa"/>
            <w:tcMar>
              <w:right w:w="0" w:type="dxa"/>
            </w:tcMar>
          </w:tcPr>
          <w:p w14:paraId="5F61BE5F" w14:textId="77777777" w:rsidR="002B5657" w:rsidRDefault="002B5657" w:rsidP="00A9140F">
            <w:pPr>
              <w:pStyle w:val="AnnexNormal"/>
              <w:spacing w:after="0" w:line="240" w:lineRule="auto"/>
            </w:pPr>
            <w:r>
              <w:t>204</w:t>
            </w:r>
          </w:p>
        </w:tc>
      </w:tr>
      <w:tr w:rsidR="002B5657" w14:paraId="744CE7FB" w14:textId="77777777" w:rsidTr="00A9140F">
        <w:trPr>
          <w:trHeight w:val="20"/>
        </w:trPr>
        <w:tc>
          <w:tcPr>
            <w:tcW w:w="480" w:type="dxa"/>
            <w:tcMar>
              <w:left w:w="0" w:type="dxa"/>
            </w:tcMar>
          </w:tcPr>
          <w:p w14:paraId="4AAEFE0B" w14:textId="77777777" w:rsidR="002B5657" w:rsidRDefault="002B5657" w:rsidP="00A9140F">
            <w:pPr>
              <w:pStyle w:val="AnnexNormal"/>
              <w:spacing w:after="0" w:line="240" w:lineRule="auto"/>
            </w:pPr>
            <w:r>
              <w:t>3.15.</w:t>
            </w:r>
          </w:p>
        </w:tc>
        <w:tc>
          <w:tcPr>
            <w:tcW w:w="8370" w:type="dxa"/>
            <w:gridSpan w:val="2"/>
          </w:tcPr>
          <w:p w14:paraId="3654D798" w14:textId="77777777" w:rsidR="002B5657" w:rsidRDefault="002B5657" w:rsidP="00A9140F">
            <w:pPr>
              <w:pStyle w:val="AnnexNormal"/>
              <w:tabs>
                <w:tab w:val="right" w:leader="dot" w:pos="8154"/>
              </w:tabs>
              <w:spacing w:after="0" w:line="240" w:lineRule="auto"/>
            </w:pPr>
            <w:r>
              <w:t xml:space="preserve">Framleiðsla á vatnsfríu </w:t>
            </w:r>
            <w:proofErr w:type="spellStart"/>
            <w:r>
              <w:t>ammoníaki</w:t>
            </w:r>
            <w:proofErr w:type="spellEnd"/>
            <w:r>
              <w:tab/>
            </w:r>
          </w:p>
        </w:tc>
        <w:tc>
          <w:tcPr>
            <w:tcW w:w="378" w:type="dxa"/>
            <w:tcMar>
              <w:right w:w="0" w:type="dxa"/>
            </w:tcMar>
          </w:tcPr>
          <w:p w14:paraId="6FDFB5C3" w14:textId="77777777" w:rsidR="002B5657" w:rsidRDefault="002B5657" w:rsidP="00A9140F">
            <w:pPr>
              <w:pStyle w:val="AnnexNormal"/>
              <w:spacing w:after="0" w:line="240" w:lineRule="auto"/>
            </w:pPr>
            <w:r>
              <w:t>207</w:t>
            </w:r>
          </w:p>
        </w:tc>
      </w:tr>
      <w:tr w:rsidR="002B5657" w14:paraId="121B2933" w14:textId="77777777" w:rsidTr="00A9140F">
        <w:trPr>
          <w:trHeight w:val="20"/>
        </w:trPr>
        <w:tc>
          <w:tcPr>
            <w:tcW w:w="480" w:type="dxa"/>
            <w:tcMar>
              <w:left w:w="0" w:type="dxa"/>
            </w:tcMar>
          </w:tcPr>
          <w:p w14:paraId="456C88FC" w14:textId="77777777" w:rsidR="002B5657" w:rsidRDefault="002B5657" w:rsidP="00A9140F">
            <w:pPr>
              <w:pStyle w:val="AnnexNormal"/>
              <w:spacing w:after="0" w:line="240" w:lineRule="auto"/>
            </w:pPr>
            <w:r>
              <w:t>3.16.</w:t>
            </w:r>
          </w:p>
        </w:tc>
        <w:tc>
          <w:tcPr>
            <w:tcW w:w="8370" w:type="dxa"/>
            <w:gridSpan w:val="2"/>
          </w:tcPr>
          <w:p w14:paraId="6FD00EAD" w14:textId="77777777" w:rsidR="002B5657" w:rsidRDefault="002B5657" w:rsidP="00A9140F">
            <w:pPr>
              <w:pStyle w:val="AnnexNormal"/>
              <w:tabs>
                <w:tab w:val="right" w:leader="dot" w:pos="8154"/>
              </w:tabs>
              <w:spacing w:after="0" w:line="240" w:lineRule="auto"/>
            </w:pPr>
            <w:r>
              <w:t>Framleiðsla á saltpéturssýru</w:t>
            </w:r>
            <w:r>
              <w:tab/>
            </w:r>
          </w:p>
        </w:tc>
        <w:tc>
          <w:tcPr>
            <w:tcW w:w="378" w:type="dxa"/>
            <w:tcMar>
              <w:right w:w="0" w:type="dxa"/>
            </w:tcMar>
          </w:tcPr>
          <w:p w14:paraId="1BCFE89A" w14:textId="77777777" w:rsidR="002B5657" w:rsidRDefault="002B5657" w:rsidP="00A9140F">
            <w:pPr>
              <w:pStyle w:val="AnnexNormal"/>
              <w:spacing w:after="0" w:line="240" w:lineRule="auto"/>
            </w:pPr>
            <w:r>
              <w:t>209</w:t>
            </w:r>
          </w:p>
        </w:tc>
      </w:tr>
      <w:tr w:rsidR="002B5657" w14:paraId="7741C0CD" w14:textId="77777777" w:rsidTr="00A9140F">
        <w:trPr>
          <w:trHeight w:val="20"/>
        </w:trPr>
        <w:tc>
          <w:tcPr>
            <w:tcW w:w="480" w:type="dxa"/>
            <w:tcMar>
              <w:left w:w="0" w:type="dxa"/>
            </w:tcMar>
          </w:tcPr>
          <w:p w14:paraId="3708476B" w14:textId="77777777" w:rsidR="002B5657" w:rsidRDefault="002B5657" w:rsidP="00A9140F">
            <w:pPr>
              <w:pStyle w:val="AnnexNormal"/>
              <w:spacing w:after="0" w:line="240" w:lineRule="auto"/>
            </w:pPr>
            <w:r>
              <w:t>3.17.</w:t>
            </w:r>
          </w:p>
        </w:tc>
        <w:tc>
          <w:tcPr>
            <w:tcW w:w="8370" w:type="dxa"/>
            <w:gridSpan w:val="2"/>
          </w:tcPr>
          <w:p w14:paraId="53A8AF0F" w14:textId="77777777" w:rsidR="002B5657" w:rsidRDefault="002B5657" w:rsidP="00A9140F">
            <w:pPr>
              <w:pStyle w:val="AnnexNormal"/>
              <w:tabs>
                <w:tab w:val="right" w:leader="dot" w:pos="8154"/>
              </w:tabs>
              <w:spacing w:after="0" w:line="240" w:lineRule="auto"/>
            </w:pPr>
            <w:r>
              <w:t>Framleiðsla á plasthráefni</w:t>
            </w:r>
            <w:r>
              <w:tab/>
            </w:r>
          </w:p>
        </w:tc>
        <w:tc>
          <w:tcPr>
            <w:tcW w:w="378" w:type="dxa"/>
            <w:tcMar>
              <w:right w:w="0" w:type="dxa"/>
            </w:tcMar>
          </w:tcPr>
          <w:p w14:paraId="0950AE77" w14:textId="77777777" w:rsidR="002B5657" w:rsidRDefault="002B5657" w:rsidP="00A9140F">
            <w:pPr>
              <w:pStyle w:val="AnnexNormal"/>
              <w:spacing w:after="0" w:line="240" w:lineRule="auto"/>
            </w:pPr>
            <w:r>
              <w:t>211</w:t>
            </w:r>
          </w:p>
        </w:tc>
      </w:tr>
      <w:tr w:rsidR="002B5657" w14:paraId="30003595" w14:textId="77777777" w:rsidTr="00A9140F">
        <w:trPr>
          <w:trHeight w:val="20"/>
        </w:trPr>
        <w:tc>
          <w:tcPr>
            <w:tcW w:w="480" w:type="dxa"/>
            <w:tcMar>
              <w:left w:w="0" w:type="dxa"/>
            </w:tcMar>
          </w:tcPr>
          <w:p w14:paraId="308E73CE" w14:textId="77777777" w:rsidR="002B5657" w:rsidRDefault="002B5657" w:rsidP="00A9140F">
            <w:pPr>
              <w:pStyle w:val="AnnexNormal"/>
              <w:spacing w:after="0" w:line="240" w:lineRule="auto"/>
            </w:pPr>
            <w:r>
              <w:t>4.</w:t>
            </w:r>
          </w:p>
        </w:tc>
        <w:tc>
          <w:tcPr>
            <w:tcW w:w="8370" w:type="dxa"/>
            <w:gridSpan w:val="2"/>
          </w:tcPr>
          <w:p w14:paraId="63FD7F13" w14:textId="77777777" w:rsidR="002B5657" w:rsidRDefault="002B5657" w:rsidP="00A9140F">
            <w:pPr>
              <w:pStyle w:val="AnnexNormal"/>
              <w:tabs>
                <w:tab w:val="right" w:leader="dot" w:pos="8154"/>
              </w:tabs>
              <w:spacing w:after="0" w:line="240" w:lineRule="auto"/>
            </w:pPr>
            <w:r>
              <w:t>Orka</w:t>
            </w:r>
            <w:r>
              <w:tab/>
            </w:r>
          </w:p>
        </w:tc>
        <w:tc>
          <w:tcPr>
            <w:tcW w:w="378" w:type="dxa"/>
            <w:tcMar>
              <w:right w:w="0" w:type="dxa"/>
            </w:tcMar>
          </w:tcPr>
          <w:p w14:paraId="0F00E28F" w14:textId="77777777" w:rsidR="002B5657" w:rsidRDefault="002B5657" w:rsidP="00A9140F">
            <w:pPr>
              <w:pStyle w:val="AnnexNormal"/>
              <w:spacing w:after="0" w:line="240" w:lineRule="auto"/>
            </w:pPr>
            <w:r>
              <w:t>213</w:t>
            </w:r>
          </w:p>
        </w:tc>
      </w:tr>
      <w:tr w:rsidR="002B5657" w14:paraId="3F8C0EE8" w14:textId="77777777" w:rsidTr="00A9140F">
        <w:trPr>
          <w:trHeight w:val="20"/>
        </w:trPr>
        <w:tc>
          <w:tcPr>
            <w:tcW w:w="480" w:type="dxa"/>
            <w:tcMar>
              <w:left w:w="0" w:type="dxa"/>
            </w:tcMar>
          </w:tcPr>
          <w:p w14:paraId="1314605C" w14:textId="77777777" w:rsidR="002B5657" w:rsidRDefault="002B5657" w:rsidP="00A9140F">
            <w:pPr>
              <w:pStyle w:val="AnnexNormal"/>
              <w:spacing w:after="0" w:line="240" w:lineRule="auto"/>
            </w:pPr>
            <w:r>
              <w:t>4.1.</w:t>
            </w:r>
          </w:p>
        </w:tc>
        <w:tc>
          <w:tcPr>
            <w:tcW w:w="8370" w:type="dxa"/>
            <w:gridSpan w:val="2"/>
          </w:tcPr>
          <w:p w14:paraId="0FC16AFD" w14:textId="77777777" w:rsidR="002B5657" w:rsidRDefault="002B5657" w:rsidP="00A9140F">
            <w:pPr>
              <w:pStyle w:val="AnnexNormal"/>
              <w:tabs>
                <w:tab w:val="right" w:leader="dot" w:pos="8154"/>
              </w:tabs>
              <w:spacing w:after="0" w:line="240" w:lineRule="auto"/>
            </w:pPr>
            <w:r>
              <w:t>Raforkuframleiðsla með notkun sólarraforkutækni</w:t>
            </w:r>
            <w:r>
              <w:tab/>
            </w:r>
          </w:p>
        </w:tc>
        <w:tc>
          <w:tcPr>
            <w:tcW w:w="378" w:type="dxa"/>
            <w:tcMar>
              <w:right w:w="0" w:type="dxa"/>
            </w:tcMar>
          </w:tcPr>
          <w:p w14:paraId="0A321CEB" w14:textId="77777777" w:rsidR="002B5657" w:rsidRDefault="002B5657" w:rsidP="00A9140F">
            <w:pPr>
              <w:pStyle w:val="AnnexNormal"/>
              <w:spacing w:after="0" w:line="240" w:lineRule="auto"/>
            </w:pPr>
            <w:r>
              <w:t>213</w:t>
            </w:r>
          </w:p>
        </w:tc>
      </w:tr>
      <w:tr w:rsidR="002B5657" w14:paraId="3FEDF79E" w14:textId="77777777" w:rsidTr="00A9140F">
        <w:trPr>
          <w:trHeight w:val="20"/>
        </w:trPr>
        <w:tc>
          <w:tcPr>
            <w:tcW w:w="480" w:type="dxa"/>
            <w:tcMar>
              <w:left w:w="0" w:type="dxa"/>
            </w:tcMar>
          </w:tcPr>
          <w:p w14:paraId="7B24A236" w14:textId="77777777" w:rsidR="002B5657" w:rsidRDefault="002B5657" w:rsidP="00A9140F">
            <w:pPr>
              <w:pStyle w:val="AnnexNormal"/>
              <w:spacing w:after="0" w:line="240" w:lineRule="auto"/>
            </w:pPr>
            <w:r>
              <w:t>4.2.</w:t>
            </w:r>
          </w:p>
        </w:tc>
        <w:tc>
          <w:tcPr>
            <w:tcW w:w="8370" w:type="dxa"/>
            <w:gridSpan w:val="2"/>
          </w:tcPr>
          <w:p w14:paraId="476FD9D8" w14:textId="77777777" w:rsidR="002B5657" w:rsidRDefault="002B5657" w:rsidP="00A9140F">
            <w:pPr>
              <w:pStyle w:val="AnnexNormal"/>
              <w:tabs>
                <w:tab w:val="right" w:leader="dot" w:pos="8154"/>
              </w:tabs>
              <w:spacing w:after="0" w:line="240" w:lineRule="auto"/>
            </w:pPr>
            <w:r>
              <w:t>Raforkuframleiðsla með notkun þjappaðrar sólarorkutækni (CSP)</w:t>
            </w:r>
            <w:r>
              <w:tab/>
            </w:r>
          </w:p>
        </w:tc>
        <w:tc>
          <w:tcPr>
            <w:tcW w:w="378" w:type="dxa"/>
            <w:tcMar>
              <w:right w:w="0" w:type="dxa"/>
            </w:tcMar>
          </w:tcPr>
          <w:p w14:paraId="2905006C" w14:textId="77777777" w:rsidR="002B5657" w:rsidRDefault="002B5657" w:rsidP="00A9140F">
            <w:pPr>
              <w:pStyle w:val="AnnexNormal"/>
              <w:spacing w:after="0" w:line="240" w:lineRule="auto"/>
            </w:pPr>
            <w:r>
              <w:t>215</w:t>
            </w:r>
          </w:p>
        </w:tc>
      </w:tr>
      <w:tr w:rsidR="002B5657" w14:paraId="02CC573D" w14:textId="77777777" w:rsidTr="00A9140F">
        <w:trPr>
          <w:trHeight w:val="20"/>
        </w:trPr>
        <w:tc>
          <w:tcPr>
            <w:tcW w:w="480" w:type="dxa"/>
            <w:tcMar>
              <w:left w:w="0" w:type="dxa"/>
            </w:tcMar>
          </w:tcPr>
          <w:p w14:paraId="27412DB5" w14:textId="77777777" w:rsidR="002B5657" w:rsidRDefault="002B5657" w:rsidP="00A9140F">
            <w:pPr>
              <w:pStyle w:val="AnnexNormal"/>
              <w:spacing w:after="0" w:line="240" w:lineRule="auto"/>
            </w:pPr>
            <w:r>
              <w:t>4.3.</w:t>
            </w:r>
          </w:p>
        </w:tc>
        <w:tc>
          <w:tcPr>
            <w:tcW w:w="8370" w:type="dxa"/>
            <w:gridSpan w:val="2"/>
          </w:tcPr>
          <w:p w14:paraId="0A835345" w14:textId="77777777" w:rsidR="002B5657" w:rsidRDefault="002B5657" w:rsidP="00A9140F">
            <w:pPr>
              <w:pStyle w:val="AnnexNormal"/>
              <w:tabs>
                <w:tab w:val="right" w:leader="dot" w:pos="8154"/>
              </w:tabs>
              <w:spacing w:after="0" w:line="240" w:lineRule="auto"/>
            </w:pPr>
            <w:r>
              <w:t>Raforkuframleiðsla úr vindorku</w:t>
            </w:r>
            <w:r>
              <w:tab/>
            </w:r>
          </w:p>
        </w:tc>
        <w:tc>
          <w:tcPr>
            <w:tcW w:w="378" w:type="dxa"/>
            <w:tcMar>
              <w:right w:w="0" w:type="dxa"/>
            </w:tcMar>
          </w:tcPr>
          <w:p w14:paraId="6B1E41B9" w14:textId="77777777" w:rsidR="002B5657" w:rsidRDefault="002B5657" w:rsidP="00A9140F">
            <w:pPr>
              <w:pStyle w:val="AnnexNormal"/>
              <w:spacing w:after="0" w:line="240" w:lineRule="auto"/>
            </w:pPr>
            <w:r>
              <w:t>216</w:t>
            </w:r>
          </w:p>
        </w:tc>
      </w:tr>
      <w:tr w:rsidR="002B5657" w14:paraId="4C82530D" w14:textId="77777777" w:rsidTr="00A9140F">
        <w:trPr>
          <w:trHeight w:val="20"/>
        </w:trPr>
        <w:tc>
          <w:tcPr>
            <w:tcW w:w="480" w:type="dxa"/>
            <w:tcMar>
              <w:left w:w="0" w:type="dxa"/>
            </w:tcMar>
          </w:tcPr>
          <w:p w14:paraId="743B6A8A" w14:textId="77777777" w:rsidR="002B5657" w:rsidRDefault="002B5657" w:rsidP="00A9140F">
            <w:pPr>
              <w:pStyle w:val="AnnexNormal"/>
              <w:spacing w:after="0" w:line="240" w:lineRule="auto"/>
            </w:pPr>
            <w:r>
              <w:t>4.4.</w:t>
            </w:r>
          </w:p>
        </w:tc>
        <w:tc>
          <w:tcPr>
            <w:tcW w:w="8370" w:type="dxa"/>
            <w:gridSpan w:val="2"/>
          </w:tcPr>
          <w:p w14:paraId="267336DC" w14:textId="77777777" w:rsidR="002B5657" w:rsidRDefault="002B5657" w:rsidP="00A9140F">
            <w:pPr>
              <w:pStyle w:val="AnnexNormal"/>
              <w:tabs>
                <w:tab w:val="right" w:leader="dot" w:pos="8154"/>
              </w:tabs>
              <w:spacing w:after="0" w:line="240" w:lineRule="auto"/>
            </w:pPr>
            <w:r>
              <w:t>Raforkuframleiðsla úr sjávarorkutækni</w:t>
            </w:r>
            <w:r>
              <w:tab/>
            </w:r>
          </w:p>
        </w:tc>
        <w:tc>
          <w:tcPr>
            <w:tcW w:w="378" w:type="dxa"/>
            <w:tcMar>
              <w:right w:w="0" w:type="dxa"/>
            </w:tcMar>
          </w:tcPr>
          <w:p w14:paraId="2D0C50BE" w14:textId="77777777" w:rsidR="002B5657" w:rsidRDefault="002B5657" w:rsidP="00A9140F">
            <w:pPr>
              <w:pStyle w:val="AnnexNormal"/>
              <w:spacing w:after="0" w:line="240" w:lineRule="auto"/>
            </w:pPr>
            <w:r>
              <w:t>218</w:t>
            </w:r>
          </w:p>
        </w:tc>
      </w:tr>
      <w:tr w:rsidR="002B5657" w14:paraId="181C6D45" w14:textId="77777777" w:rsidTr="00A9140F">
        <w:trPr>
          <w:trHeight w:val="20"/>
        </w:trPr>
        <w:tc>
          <w:tcPr>
            <w:tcW w:w="480" w:type="dxa"/>
            <w:tcMar>
              <w:left w:w="0" w:type="dxa"/>
            </w:tcMar>
          </w:tcPr>
          <w:p w14:paraId="3EB9053F" w14:textId="77777777" w:rsidR="002B5657" w:rsidRDefault="002B5657" w:rsidP="00A9140F">
            <w:pPr>
              <w:pStyle w:val="AnnexNormal"/>
              <w:spacing w:after="0" w:line="240" w:lineRule="auto"/>
            </w:pPr>
            <w:r>
              <w:t>4.5.</w:t>
            </w:r>
          </w:p>
        </w:tc>
        <w:tc>
          <w:tcPr>
            <w:tcW w:w="8370" w:type="dxa"/>
            <w:gridSpan w:val="2"/>
          </w:tcPr>
          <w:p w14:paraId="5B0B0E76" w14:textId="77777777" w:rsidR="002B5657" w:rsidRDefault="002B5657" w:rsidP="00A9140F">
            <w:pPr>
              <w:pStyle w:val="AnnexNormal"/>
              <w:tabs>
                <w:tab w:val="right" w:leader="dot" w:pos="8154"/>
              </w:tabs>
              <w:spacing w:after="0" w:line="240" w:lineRule="auto"/>
            </w:pPr>
            <w:r>
              <w:t>Raforkuframleiðsla úr vatnsorku</w:t>
            </w:r>
            <w:r>
              <w:tab/>
            </w:r>
          </w:p>
        </w:tc>
        <w:tc>
          <w:tcPr>
            <w:tcW w:w="378" w:type="dxa"/>
            <w:tcMar>
              <w:right w:w="0" w:type="dxa"/>
            </w:tcMar>
          </w:tcPr>
          <w:p w14:paraId="5236B722" w14:textId="77777777" w:rsidR="002B5657" w:rsidRDefault="002B5657" w:rsidP="00A9140F">
            <w:pPr>
              <w:pStyle w:val="AnnexNormal"/>
              <w:spacing w:after="0" w:line="240" w:lineRule="auto"/>
            </w:pPr>
            <w:r>
              <w:t>220</w:t>
            </w:r>
          </w:p>
        </w:tc>
      </w:tr>
      <w:tr w:rsidR="002B5657" w14:paraId="1CB90213" w14:textId="77777777" w:rsidTr="00A9140F">
        <w:trPr>
          <w:trHeight w:val="20"/>
        </w:trPr>
        <w:tc>
          <w:tcPr>
            <w:tcW w:w="480" w:type="dxa"/>
            <w:tcMar>
              <w:left w:w="0" w:type="dxa"/>
            </w:tcMar>
          </w:tcPr>
          <w:p w14:paraId="1598A259" w14:textId="77777777" w:rsidR="002B5657" w:rsidRDefault="002B5657" w:rsidP="00A9140F">
            <w:pPr>
              <w:pStyle w:val="AnnexNormal"/>
              <w:spacing w:after="0" w:line="240" w:lineRule="auto"/>
            </w:pPr>
            <w:r>
              <w:t>4.6.</w:t>
            </w:r>
          </w:p>
        </w:tc>
        <w:tc>
          <w:tcPr>
            <w:tcW w:w="8370" w:type="dxa"/>
            <w:gridSpan w:val="2"/>
          </w:tcPr>
          <w:p w14:paraId="1B98DF3D" w14:textId="77777777" w:rsidR="002B5657" w:rsidRDefault="002B5657" w:rsidP="00A9140F">
            <w:pPr>
              <w:pStyle w:val="AnnexNormal"/>
              <w:tabs>
                <w:tab w:val="right" w:leader="dot" w:pos="8154"/>
              </w:tabs>
              <w:spacing w:after="0" w:line="240" w:lineRule="auto"/>
            </w:pPr>
            <w:r>
              <w:t>Raforkuframleiðsla úr jarðvarmaorku</w:t>
            </w:r>
            <w:r>
              <w:tab/>
            </w:r>
          </w:p>
        </w:tc>
        <w:tc>
          <w:tcPr>
            <w:tcW w:w="378" w:type="dxa"/>
            <w:tcMar>
              <w:right w:w="0" w:type="dxa"/>
            </w:tcMar>
          </w:tcPr>
          <w:p w14:paraId="52B8F5C2" w14:textId="77777777" w:rsidR="002B5657" w:rsidRDefault="002B5657" w:rsidP="00A9140F">
            <w:pPr>
              <w:pStyle w:val="AnnexNormal"/>
              <w:spacing w:after="0" w:line="240" w:lineRule="auto"/>
            </w:pPr>
            <w:r>
              <w:t>223</w:t>
            </w:r>
          </w:p>
        </w:tc>
      </w:tr>
      <w:tr w:rsidR="002B5657" w14:paraId="1172B981" w14:textId="77777777" w:rsidTr="00A9140F">
        <w:trPr>
          <w:trHeight w:val="20"/>
        </w:trPr>
        <w:tc>
          <w:tcPr>
            <w:tcW w:w="480" w:type="dxa"/>
            <w:tcMar>
              <w:left w:w="0" w:type="dxa"/>
            </w:tcMar>
          </w:tcPr>
          <w:p w14:paraId="00914A47" w14:textId="77777777" w:rsidR="002B5657" w:rsidRDefault="002B5657" w:rsidP="00A9140F">
            <w:pPr>
              <w:pStyle w:val="AnnexNormal"/>
              <w:spacing w:after="0" w:line="240" w:lineRule="auto"/>
            </w:pPr>
            <w:r>
              <w:t>4.7.</w:t>
            </w:r>
          </w:p>
        </w:tc>
        <w:tc>
          <w:tcPr>
            <w:tcW w:w="8370" w:type="dxa"/>
            <w:gridSpan w:val="2"/>
          </w:tcPr>
          <w:p w14:paraId="60DB422F" w14:textId="77777777" w:rsidR="002B5657" w:rsidRDefault="002B5657" w:rsidP="00A9140F">
            <w:pPr>
              <w:pStyle w:val="AnnexNormal"/>
              <w:tabs>
                <w:tab w:val="right" w:leader="dot" w:pos="8154"/>
              </w:tabs>
              <w:spacing w:after="0" w:line="240" w:lineRule="auto"/>
            </w:pPr>
            <w:r>
              <w:t>Raforkuframleiðsla úr endurnýjanlegu loftkenndu eldsneyti sem er ekki jarðefnaeldsneyti og fljótandi eldsneyti</w:t>
            </w:r>
            <w:r>
              <w:tab/>
            </w:r>
          </w:p>
        </w:tc>
        <w:tc>
          <w:tcPr>
            <w:tcW w:w="378" w:type="dxa"/>
            <w:tcMar>
              <w:right w:w="0" w:type="dxa"/>
            </w:tcMar>
          </w:tcPr>
          <w:p w14:paraId="5686EE59" w14:textId="77777777" w:rsidR="002B5657" w:rsidRDefault="002B5657" w:rsidP="00A9140F">
            <w:pPr>
              <w:pStyle w:val="AnnexNormal"/>
              <w:spacing w:after="0" w:line="240" w:lineRule="auto"/>
            </w:pPr>
            <w:r>
              <w:t>225</w:t>
            </w:r>
          </w:p>
        </w:tc>
      </w:tr>
      <w:tr w:rsidR="002B5657" w14:paraId="296599B1" w14:textId="77777777" w:rsidTr="00A9140F">
        <w:trPr>
          <w:trHeight w:val="20"/>
        </w:trPr>
        <w:tc>
          <w:tcPr>
            <w:tcW w:w="480" w:type="dxa"/>
            <w:tcMar>
              <w:left w:w="0" w:type="dxa"/>
            </w:tcMar>
          </w:tcPr>
          <w:p w14:paraId="79435649" w14:textId="77777777" w:rsidR="002B5657" w:rsidRDefault="002B5657" w:rsidP="00A9140F">
            <w:pPr>
              <w:pStyle w:val="AnnexNormal"/>
              <w:spacing w:after="0" w:line="240" w:lineRule="auto"/>
            </w:pPr>
            <w:r>
              <w:t>4.8.</w:t>
            </w:r>
          </w:p>
        </w:tc>
        <w:tc>
          <w:tcPr>
            <w:tcW w:w="8370" w:type="dxa"/>
            <w:gridSpan w:val="2"/>
          </w:tcPr>
          <w:p w14:paraId="27523937" w14:textId="77777777" w:rsidR="002B5657" w:rsidRDefault="002B5657" w:rsidP="00A9140F">
            <w:pPr>
              <w:pStyle w:val="AnnexNormal"/>
              <w:tabs>
                <w:tab w:val="right" w:leader="dot" w:pos="8154"/>
              </w:tabs>
              <w:spacing w:after="0" w:line="240" w:lineRule="auto"/>
            </w:pPr>
            <w:r>
              <w:t>Raforkuframleiðsla úr líforku</w:t>
            </w:r>
            <w:r>
              <w:tab/>
            </w:r>
          </w:p>
        </w:tc>
        <w:tc>
          <w:tcPr>
            <w:tcW w:w="378" w:type="dxa"/>
            <w:tcMar>
              <w:right w:w="0" w:type="dxa"/>
            </w:tcMar>
          </w:tcPr>
          <w:p w14:paraId="1869AEDA" w14:textId="77777777" w:rsidR="002B5657" w:rsidRDefault="002B5657" w:rsidP="00A9140F">
            <w:pPr>
              <w:pStyle w:val="AnnexNormal"/>
              <w:spacing w:after="0" w:line="240" w:lineRule="auto"/>
            </w:pPr>
            <w:r>
              <w:t>227</w:t>
            </w:r>
          </w:p>
        </w:tc>
      </w:tr>
      <w:tr w:rsidR="002B5657" w14:paraId="12AC40EC" w14:textId="77777777" w:rsidTr="00A9140F">
        <w:trPr>
          <w:trHeight w:val="20"/>
        </w:trPr>
        <w:tc>
          <w:tcPr>
            <w:tcW w:w="480" w:type="dxa"/>
            <w:tcMar>
              <w:left w:w="0" w:type="dxa"/>
            </w:tcMar>
          </w:tcPr>
          <w:p w14:paraId="39C5F37E" w14:textId="77777777" w:rsidR="002B5657" w:rsidRDefault="002B5657" w:rsidP="00A9140F">
            <w:pPr>
              <w:pStyle w:val="AnnexNormal"/>
              <w:spacing w:after="0" w:line="240" w:lineRule="auto"/>
            </w:pPr>
            <w:r>
              <w:t>4.9.</w:t>
            </w:r>
          </w:p>
        </w:tc>
        <w:tc>
          <w:tcPr>
            <w:tcW w:w="8370" w:type="dxa"/>
            <w:gridSpan w:val="2"/>
          </w:tcPr>
          <w:p w14:paraId="7A1AFA98" w14:textId="77777777" w:rsidR="002B5657" w:rsidRDefault="002B5657" w:rsidP="00A9140F">
            <w:pPr>
              <w:pStyle w:val="AnnexNormal"/>
              <w:tabs>
                <w:tab w:val="right" w:leader="dot" w:pos="8154"/>
              </w:tabs>
              <w:spacing w:after="0" w:line="240" w:lineRule="auto"/>
            </w:pPr>
            <w:r>
              <w:t>Flutningur og dreifing á raforku</w:t>
            </w:r>
            <w:r>
              <w:tab/>
            </w:r>
          </w:p>
        </w:tc>
        <w:tc>
          <w:tcPr>
            <w:tcW w:w="378" w:type="dxa"/>
            <w:tcMar>
              <w:right w:w="0" w:type="dxa"/>
            </w:tcMar>
          </w:tcPr>
          <w:p w14:paraId="780C808B" w14:textId="77777777" w:rsidR="002B5657" w:rsidRDefault="002B5657" w:rsidP="00A9140F">
            <w:pPr>
              <w:pStyle w:val="AnnexNormal"/>
              <w:spacing w:after="0" w:line="240" w:lineRule="auto"/>
            </w:pPr>
            <w:r>
              <w:t>229</w:t>
            </w:r>
          </w:p>
        </w:tc>
      </w:tr>
      <w:tr w:rsidR="002B5657" w14:paraId="1A6D705E" w14:textId="77777777" w:rsidTr="00A9140F">
        <w:trPr>
          <w:trHeight w:val="20"/>
        </w:trPr>
        <w:tc>
          <w:tcPr>
            <w:tcW w:w="480" w:type="dxa"/>
            <w:tcMar>
              <w:left w:w="0" w:type="dxa"/>
            </w:tcMar>
          </w:tcPr>
          <w:p w14:paraId="75434AEA" w14:textId="77777777" w:rsidR="002B5657" w:rsidRDefault="002B5657" w:rsidP="00A9140F">
            <w:pPr>
              <w:pStyle w:val="AnnexNormal"/>
              <w:spacing w:after="0" w:line="240" w:lineRule="auto"/>
            </w:pPr>
            <w:r>
              <w:t>4.10.</w:t>
            </w:r>
          </w:p>
        </w:tc>
        <w:tc>
          <w:tcPr>
            <w:tcW w:w="8370" w:type="dxa"/>
            <w:gridSpan w:val="2"/>
          </w:tcPr>
          <w:p w14:paraId="319DE127" w14:textId="77777777" w:rsidR="002B5657" w:rsidRDefault="002B5657" w:rsidP="00A9140F">
            <w:pPr>
              <w:pStyle w:val="AnnexNormal"/>
              <w:tabs>
                <w:tab w:val="right" w:leader="dot" w:pos="8154"/>
              </w:tabs>
              <w:spacing w:after="0" w:line="240" w:lineRule="auto"/>
            </w:pPr>
            <w:r>
              <w:t>Geymsla á raforku</w:t>
            </w:r>
            <w:r>
              <w:tab/>
            </w:r>
          </w:p>
        </w:tc>
        <w:tc>
          <w:tcPr>
            <w:tcW w:w="378" w:type="dxa"/>
            <w:tcMar>
              <w:right w:w="0" w:type="dxa"/>
            </w:tcMar>
          </w:tcPr>
          <w:p w14:paraId="10D36F9C" w14:textId="77777777" w:rsidR="002B5657" w:rsidRDefault="002B5657" w:rsidP="00A9140F">
            <w:pPr>
              <w:pStyle w:val="AnnexNormal"/>
              <w:spacing w:after="0" w:line="240" w:lineRule="auto"/>
            </w:pPr>
            <w:r>
              <w:t>231</w:t>
            </w:r>
          </w:p>
        </w:tc>
      </w:tr>
      <w:tr w:rsidR="002B5657" w14:paraId="6F2D491B" w14:textId="77777777" w:rsidTr="00A9140F">
        <w:trPr>
          <w:trHeight w:val="20"/>
        </w:trPr>
        <w:tc>
          <w:tcPr>
            <w:tcW w:w="480" w:type="dxa"/>
            <w:tcMar>
              <w:left w:w="0" w:type="dxa"/>
            </w:tcMar>
          </w:tcPr>
          <w:p w14:paraId="737C7E91" w14:textId="77777777" w:rsidR="002B5657" w:rsidRDefault="002B5657" w:rsidP="00A9140F">
            <w:pPr>
              <w:pStyle w:val="AnnexNormal"/>
              <w:spacing w:after="0" w:line="240" w:lineRule="auto"/>
            </w:pPr>
            <w:r>
              <w:t>4.11.</w:t>
            </w:r>
          </w:p>
        </w:tc>
        <w:tc>
          <w:tcPr>
            <w:tcW w:w="8370" w:type="dxa"/>
            <w:gridSpan w:val="2"/>
          </w:tcPr>
          <w:p w14:paraId="0A107844" w14:textId="77777777" w:rsidR="002B5657" w:rsidRDefault="002B5657" w:rsidP="00A9140F">
            <w:pPr>
              <w:pStyle w:val="AnnexNormal"/>
              <w:tabs>
                <w:tab w:val="right" w:leader="dot" w:pos="8154"/>
              </w:tabs>
              <w:spacing w:after="0" w:line="240" w:lineRule="auto"/>
            </w:pPr>
            <w:r>
              <w:t>Geymsla á varmaorku</w:t>
            </w:r>
            <w:r>
              <w:tab/>
            </w:r>
          </w:p>
        </w:tc>
        <w:tc>
          <w:tcPr>
            <w:tcW w:w="378" w:type="dxa"/>
            <w:tcMar>
              <w:right w:w="0" w:type="dxa"/>
            </w:tcMar>
          </w:tcPr>
          <w:p w14:paraId="34E27849" w14:textId="77777777" w:rsidR="002B5657" w:rsidRDefault="002B5657" w:rsidP="00A9140F">
            <w:pPr>
              <w:pStyle w:val="AnnexNormal"/>
              <w:spacing w:after="0" w:line="240" w:lineRule="auto"/>
            </w:pPr>
            <w:r>
              <w:t>233</w:t>
            </w:r>
          </w:p>
        </w:tc>
      </w:tr>
      <w:tr w:rsidR="002B5657" w14:paraId="74FF8658" w14:textId="77777777" w:rsidTr="00A9140F">
        <w:trPr>
          <w:trHeight w:val="20"/>
        </w:trPr>
        <w:tc>
          <w:tcPr>
            <w:tcW w:w="480" w:type="dxa"/>
            <w:tcMar>
              <w:left w:w="0" w:type="dxa"/>
            </w:tcMar>
          </w:tcPr>
          <w:p w14:paraId="375A80AD" w14:textId="77777777" w:rsidR="002B5657" w:rsidRDefault="002B5657" w:rsidP="00A9140F">
            <w:pPr>
              <w:pStyle w:val="AnnexNormal"/>
              <w:spacing w:after="0" w:line="240" w:lineRule="auto"/>
            </w:pPr>
            <w:r>
              <w:t>4.12.</w:t>
            </w:r>
          </w:p>
        </w:tc>
        <w:tc>
          <w:tcPr>
            <w:tcW w:w="8370" w:type="dxa"/>
            <w:gridSpan w:val="2"/>
          </w:tcPr>
          <w:p w14:paraId="26074E08" w14:textId="77777777" w:rsidR="002B5657" w:rsidRDefault="002B5657" w:rsidP="00A9140F">
            <w:pPr>
              <w:pStyle w:val="AnnexNormal"/>
              <w:tabs>
                <w:tab w:val="right" w:leader="dot" w:pos="8154"/>
              </w:tabs>
              <w:spacing w:after="0" w:line="240" w:lineRule="auto"/>
            </w:pPr>
            <w:r>
              <w:t>Geymsla á vetni</w:t>
            </w:r>
            <w:r>
              <w:tab/>
            </w:r>
          </w:p>
        </w:tc>
        <w:tc>
          <w:tcPr>
            <w:tcW w:w="378" w:type="dxa"/>
            <w:tcMar>
              <w:right w:w="0" w:type="dxa"/>
            </w:tcMar>
          </w:tcPr>
          <w:p w14:paraId="014952F1" w14:textId="77777777" w:rsidR="002B5657" w:rsidRDefault="002B5657" w:rsidP="00A9140F">
            <w:pPr>
              <w:pStyle w:val="AnnexNormal"/>
              <w:spacing w:after="0" w:line="240" w:lineRule="auto"/>
            </w:pPr>
            <w:r>
              <w:t>235</w:t>
            </w:r>
          </w:p>
        </w:tc>
      </w:tr>
      <w:tr w:rsidR="002B5657" w14:paraId="39B531BC" w14:textId="77777777" w:rsidTr="00A9140F">
        <w:trPr>
          <w:trHeight w:val="20"/>
        </w:trPr>
        <w:tc>
          <w:tcPr>
            <w:tcW w:w="480" w:type="dxa"/>
            <w:tcMar>
              <w:left w:w="0" w:type="dxa"/>
            </w:tcMar>
          </w:tcPr>
          <w:p w14:paraId="09D1D0EA" w14:textId="77777777" w:rsidR="002B5657" w:rsidRDefault="002B5657" w:rsidP="00A9140F">
            <w:pPr>
              <w:pStyle w:val="AnnexNormal"/>
              <w:spacing w:after="0" w:line="240" w:lineRule="auto"/>
            </w:pPr>
            <w:r>
              <w:t>4.13.</w:t>
            </w:r>
          </w:p>
        </w:tc>
        <w:tc>
          <w:tcPr>
            <w:tcW w:w="8370" w:type="dxa"/>
            <w:gridSpan w:val="2"/>
          </w:tcPr>
          <w:p w14:paraId="51485216" w14:textId="77777777" w:rsidR="002B5657" w:rsidRDefault="002B5657" w:rsidP="00A9140F">
            <w:pPr>
              <w:pStyle w:val="AnnexNormal"/>
              <w:tabs>
                <w:tab w:val="right" w:leader="dot" w:pos="8154"/>
              </w:tabs>
              <w:spacing w:after="0" w:line="240" w:lineRule="auto"/>
            </w:pPr>
            <w:r>
              <w:t>Framleiðsla á lífgasi og lífeldsneyti til notkunar í flutningum og á fljótandi lífeldsneyti</w:t>
            </w:r>
            <w:r>
              <w:tab/>
            </w:r>
          </w:p>
        </w:tc>
        <w:tc>
          <w:tcPr>
            <w:tcW w:w="378" w:type="dxa"/>
            <w:tcMar>
              <w:right w:w="0" w:type="dxa"/>
            </w:tcMar>
          </w:tcPr>
          <w:p w14:paraId="5E81EEDB" w14:textId="77777777" w:rsidR="002B5657" w:rsidRDefault="002B5657" w:rsidP="00A9140F">
            <w:pPr>
              <w:pStyle w:val="AnnexNormal"/>
              <w:spacing w:after="0" w:line="240" w:lineRule="auto"/>
            </w:pPr>
            <w:r>
              <w:t>236</w:t>
            </w:r>
          </w:p>
        </w:tc>
      </w:tr>
      <w:tr w:rsidR="002B5657" w14:paraId="325EE349" w14:textId="77777777" w:rsidTr="00A9140F">
        <w:trPr>
          <w:trHeight w:val="20"/>
        </w:trPr>
        <w:tc>
          <w:tcPr>
            <w:tcW w:w="480" w:type="dxa"/>
            <w:tcMar>
              <w:left w:w="0" w:type="dxa"/>
            </w:tcMar>
          </w:tcPr>
          <w:p w14:paraId="7741BB88" w14:textId="77777777" w:rsidR="002B5657" w:rsidRDefault="002B5657" w:rsidP="00A9140F">
            <w:pPr>
              <w:pStyle w:val="AnnexNormal"/>
              <w:spacing w:after="0" w:line="240" w:lineRule="auto"/>
            </w:pPr>
            <w:r>
              <w:t>4.14.</w:t>
            </w:r>
          </w:p>
        </w:tc>
        <w:tc>
          <w:tcPr>
            <w:tcW w:w="8370" w:type="dxa"/>
            <w:gridSpan w:val="2"/>
          </w:tcPr>
          <w:p w14:paraId="2FC44020" w14:textId="77777777" w:rsidR="002B5657" w:rsidRDefault="002B5657" w:rsidP="00A9140F">
            <w:pPr>
              <w:pStyle w:val="AnnexNormal"/>
              <w:tabs>
                <w:tab w:val="right" w:leader="dot" w:pos="8154"/>
              </w:tabs>
              <w:spacing w:after="0" w:line="240" w:lineRule="auto"/>
            </w:pPr>
            <w:r>
              <w:t>Flutnings- og dreifikerfi fyrir endurnýjanlegt gas og lágkolefnisgas</w:t>
            </w:r>
            <w:r>
              <w:tab/>
            </w:r>
          </w:p>
        </w:tc>
        <w:tc>
          <w:tcPr>
            <w:tcW w:w="378" w:type="dxa"/>
            <w:tcMar>
              <w:right w:w="0" w:type="dxa"/>
            </w:tcMar>
          </w:tcPr>
          <w:p w14:paraId="16DCDEE0" w14:textId="77777777" w:rsidR="002B5657" w:rsidRDefault="002B5657" w:rsidP="00A9140F">
            <w:pPr>
              <w:pStyle w:val="AnnexNormal"/>
              <w:spacing w:after="0" w:line="240" w:lineRule="auto"/>
            </w:pPr>
            <w:r>
              <w:t>238</w:t>
            </w:r>
          </w:p>
        </w:tc>
      </w:tr>
      <w:tr w:rsidR="002B5657" w14:paraId="0B1AC87C" w14:textId="77777777" w:rsidTr="00A9140F">
        <w:trPr>
          <w:trHeight w:val="20"/>
        </w:trPr>
        <w:tc>
          <w:tcPr>
            <w:tcW w:w="480" w:type="dxa"/>
            <w:tcMar>
              <w:left w:w="0" w:type="dxa"/>
            </w:tcMar>
          </w:tcPr>
          <w:p w14:paraId="7D422BED" w14:textId="77777777" w:rsidR="002B5657" w:rsidRDefault="002B5657" w:rsidP="00A9140F">
            <w:pPr>
              <w:pStyle w:val="AnnexNormal"/>
              <w:spacing w:after="0" w:line="240" w:lineRule="auto"/>
            </w:pPr>
            <w:r>
              <w:t>4.15.</w:t>
            </w:r>
          </w:p>
        </w:tc>
        <w:tc>
          <w:tcPr>
            <w:tcW w:w="8370" w:type="dxa"/>
            <w:gridSpan w:val="2"/>
          </w:tcPr>
          <w:p w14:paraId="6E9C1D14" w14:textId="77777777" w:rsidR="002B5657" w:rsidRDefault="002B5657" w:rsidP="00A9140F">
            <w:pPr>
              <w:pStyle w:val="AnnexNormal"/>
              <w:tabs>
                <w:tab w:val="right" w:leader="dot" w:pos="8154"/>
              </w:tabs>
              <w:spacing w:after="0" w:line="240" w:lineRule="auto"/>
            </w:pPr>
            <w:r>
              <w:t xml:space="preserve">Dreifing </w:t>
            </w:r>
            <w:proofErr w:type="spellStart"/>
            <w:r>
              <w:t>fjarhitunar</w:t>
            </w:r>
            <w:proofErr w:type="spellEnd"/>
            <w:r>
              <w:t>/-kælingar</w:t>
            </w:r>
            <w:r>
              <w:tab/>
            </w:r>
          </w:p>
        </w:tc>
        <w:tc>
          <w:tcPr>
            <w:tcW w:w="378" w:type="dxa"/>
            <w:tcMar>
              <w:right w:w="0" w:type="dxa"/>
            </w:tcMar>
          </w:tcPr>
          <w:p w14:paraId="76147D60" w14:textId="77777777" w:rsidR="002B5657" w:rsidRDefault="002B5657" w:rsidP="00A9140F">
            <w:pPr>
              <w:pStyle w:val="AnnexNormal"/>
              <w:spacing w:after="0" w:line="240" w:lineRule="auto"/>
            </w:pPr>
            <w:r>
              <w:t>240</w:t>
            </w:r>
          </w:p>
        </w:tc>
      </w:tr>
      <w:tr w:rsidR="002B5657" w14:paraId="2AF4E585" w14:textId="77777777" w:rsidTr="00A9140F">
        <w:trPr>
          <w:trHeight w:val="20"/>
        </w:trPr>
        <w:tc>
          <w:tcPr>
            <w:tcW w:w="480" w:type="dxa"/>
            <w:tcMar>
              <w:left w:w="0" w:type="dxa"/>
            </w:tcMar>
          </w:tcPr>
          <w:p w14:paraId="1D89F339" w14:textId="77777777" w:rsidR="002B5657" w:rsidRDefault="002B5657" w:rsidP="00A9140F">
            <w:pPr>
              <w:pStyle w:val="AnnexNormal"/>
              <w:spacing w:after="0" w:line="240" w:lineRule="auto"/>
            </w:pPr>
            <w:r>
              <w:t>4.16.</w:t>
            </w:r>
          </w:p>
        </w:tc>
        <w:tc>
          <w:tcPr>
            <w:tcW w:w="8370" w:type="dxa"/>
            <w:gridSpan w:val="2"/>
          </w:tcPr>
          <w:p w14:paraId="504491B2" w14:textId="77777777" w:rsidR="002B5657" w:rsidRDefault="002B5657" w:rsidP="00A9140F">
            <w:pPr>
              <w:pStyle w:val="AnnexNormal"/>
              <w:tabs>
                <w:tab w:val="right" w:leader="dot" w:pos="8154"/>
              </w:tabs>
              <w:spacing w:after="0" w:line="240" w:lineRule="auto"/>
            </w:pPr>
            <w:r>
              <w:t xml:space="preserve">Uppsetning og </w:t>
            </w:r>
            <w:proofErr w:type="spellStart"/>
            <w:r>
              <w:t>starfræksla</w:t>
            </w:r>
            <w:proofErr w:type="spellEnd"/>
            <w:r>
              <w:t xml:space="preserve"> rafmagnsvarmadæla</w:t>
            </w:r>
            <w:r>
              <w:tab/>
            </w:r>
          </w:p>
        </w:tc>
        <w:tc>
          <w:tcPr>
            <w:tcW w:w="378" w:type="dxa"/>
            <w:tcMar>
              <w:right w:w="0" w:type="dxa"/>
            </w:tcMar>
          </w:tcPr>
          <w:p w14:paraId="71963825" w14:textId="77777777" w:rsidR="002B5657" w:rsidRDefault="002B5657" w:rsidP="00A9140F">
            <w:pPr>
              <w:pStyle w:val="AnnexNormal"/>
              <w:spacing w:after="0" w:line="240" w:lineRule="auto"/>
            </w:pPr>
            <w:r>
              <w:t>241</w:t>
            </w:r>
          </w:p>
        </w:tc>
      </w:tr>
      <w:tr w:rsidR="002B5657" w14:paraId="1EAE93A2" w14:textId="77777777" w:rsidTr="00A9140F">
        <w:trPr>
          <w:trHeight w:val="20"/>
        </w:trPr>
        <w:tc>
          <w:tcPr>
            <w:tcW w:w="480" w:type="dxa"/>
            <w:tcMar>
              <w:left w:w="0" w:type="dxa"/>
            </w:tcMar>
          </w:tcPr>
          <w:p w14:paraId="1015DF62" w14:textId="77777777" w:rsidR="002B5657" w:rsidRDefault="002B5657" w:rsidP="00A9140F">
            <w:pPr>
              <w:pStyle w:val="AnnexNormal"/>
              <w:spacing w:after="0" w:line="240" w:lineRule="auto"/>
            </w:pPr>
            <w:r>
              <w:t>4.17.</w:t>
            </w:r>
          </w:p>
        </w:tc>
        <w:tc>
          <w:tcPr>
            <w:tcW w:w="8370" w:type="dxa"/>
            <w:gridSpan w:val="2"/>
          </w:tcPr>
          <w:p w14:paraId="322771B1" w14:textId="77777777" w:rsidR="002B5657" w:rsidRDefault="002B5657" w:rsidP="00A9140F">
            <w:pPr>
              <w:pStyle w:val="AnnexNormal"/>
              <w:tabs>
                <w:tab w:val="right" w:leader="dot" w:pos="8154"/>
              </w:tabs>
              <w:spacing w:after="0" w:line="240" w:lineRule="auto"/>
            </w:pPr>
            <w:proofErr w:type="spellStart"/>
            <w:r>
              <w:t>Samþætt</w:t>
            </w:r>
            <w:proofErr w:type="spellEnd"/>
            <w:r>
              <w:t xml:space="preserve"> vinnsla varma/kælingar og raforku úr sólarorku</w:t>
            </w:r>
            <w:r>
              <w:tab/>
            </w:r>
          </w:p>
        </w:tc>
        <w:tc>
          <w:tcPr>
            <w:tcW w:w="378" w:type="dxa"/>
            <w:tcMar>
              <w:right w:w="0" w:type="dxa"/>
            </w:tcMar>
          </w:tcPr>
          <w:p w14:paraId="2E416AE5" w14:textId="77777777" w:rsidR="002B5657" w:rsidRDefault="002B5657" w:rsidP="00A9140F">
            <w:pPr>
              <w:pStyle w:val="AnnexNormal"/>
              <w:spacing w:after="0" w:line="240" w:lineRule="auto"/>
            </w:pPr>
            <w:r>
              <w:t>243</w:t>
            </w:r>
          </w:p>
        </w:tc>
      </w:tr>
      <w:tr w:rsidR="002B5657" w14:paraId="12909825" w14:textId="77777777" w:rsidTr="00A9140F">
        <w:trPr>
          <w:trHeight w:val="20"/>
        </w:trPr>
        <w:tc>
          <w:tcPr>
            <w:tcW w:w="480" w:type="dxa"/>
            <w:tcMar>
              <w:left w:w="0" w:type="dxa"/>
            </w:tcMar>
          </w:tcPr>
          <w:p w14:paraId="2A62696C" w14:textId="77777777" w:rsidR="002B5657" w:rsidRDefault="002B5657" w:rsidP="00A9140F">
            <w:pPr>
              <w:pStyle w:val="AnnexNormal"/>
              <w:spacing w:after="0" w:line="240" w:lineRule="auto"/>
            </w:pPr>
            <w:r>
              <w:t>4.18.</w:t>
            </w:r>
          </w:p>
        </w:tc>
        <w:tc>
          <w:tcPr>
            <w:tcW w:w="8370" w:type="dxa"/>
            <w:gridSpan w:val="2"/>
          </w:tcPr>
          <w:p w14:paraId="1C731739" w14:textId="77777777" w:rsidR="002B5657" w:rsidRDefault="002B5657" w:rsidP="00A9140F">
            <w:pPr>
              <w:pStyle w:val="AnnexNormal"/>
              <w:tabs>
                <w:tab w:val="right" w:leader="dot" w:pos="8154"/>
              </w:tabs>
              <w:spacing w:after="0" w:line="240" w:lineRule="auto"/>
            </w:pPr>
            <w:proofErr w:type="spellStart"/>
            <w:r>
              <w:t>Samþætt</w:t>
            </w:r>
            <w:proofErr w:type="spellEnd"/>
            <w:r>
              <w:t xml:space="preserve"> vinnsla varma/kælingar og raforku úr jarðvarmaorku</w:t>
            </w:r>
            <w:r>
              <w:tab/>
            </w:r>
          </w:p>
        </w:tc>
        <w:tc>
          <w:tcPr>
            <w:tcW w:w="378" w:type="dxa"/>
            <w:tcMar>
              <w:right w:w="0" w:type="dxa"/>
            </w:tcMar>
          </w:tcPr>
          <w:p w14:paraId="064EA806" w14:textId="77777777" w:rsidR="002B5657" w:rsidRDefault="002B5657" w:rsidP="00A9140F">
            <w:pPr>
              <w:pStyle w:val="AnnexNormal"/>
              <w:spacing w:after="0" w:line="240" w:lineRule="auto"/>
            </w:pPr>
            <w:r>
              <w:t>244</w:t>
            </w:r>
          </w:p>
        </w:tc>
      </w:tr>
      <w:tr w:rsidR="002B5657" w14:paraId="78A808FD" w14:textId="77777777" w:rsidTr="00A9140F">
        <w:trPr>
          <w:trHeight w:val="20"/>
        </w:trPr>
        <w:tc>
          <w:tcPr>
            <w:tcW w:w="480" w:type="dxa"/>
            <w:tcMar>
              <w:left w:w="0" w:type="dxa"/>
            </w:tcMar>
          </w:tcPr>
          <w:p w14:paraId="50296C20" w14:textId="77777777" w:rsidR="002B5657" w:rsidRDefault="002B5657" w:rsidP="00A9140F">
            <w:pPr>
              <w:pStyle w:val="AnnexNormal"/>
              <w:spacing w:after="0" w:line="240" w:lineRule="auto"/>
            </w:pPr>
            <w:r>
              <w:t>4.19.</w:t>
            </w:r>
          </w:p>
        </w:tc>
        <w:tc>
          <w:tcPr>
            <w:tcW w:w="8370" w:type="dxa"/>
            <w:gridSpan w:val="2"/>
          </w:tcPr>
          <w:p w14:paraId="6025F9AA" w14:textId="77777777" w:rsidR="002B5657" w:rsidRDefault="002B5657" w:rsidP="00A9140F">
            <w:pPr>
              <w:pStyle w:val="AnnexNormal"/>
              <w:tabs>
                <w:tab w:val="right" w:leader="dot" w:pos="8154"/>
              </w:tabs>
              <w:spacing w:after="0" w:line="240" w:lineRule="auto"/>
            </w:pPr>
            <w:proofErr w:type="spellStart"/>
            <w:r>
              <w:t>Samþætt</w:t>
            </w:r>
            <w:proofErr w:type="spellEnd"/>
            <w:r>
              <w:t xml:space="preserve"> vinnsla varma/kælingar og raforku úr endurnýjanlegu loftkenndu eldsneyti sem er ekki jarðefnaeldsneyti og fljótandi eldsneyti</w:t>
            </w:r>
            <w:r>
              <w:tab/>
            </w:r>
          </w:p>
        </w:tc>
        <w:tc>
          <w:tcPr>
            <w:tcW w:w="378" w:type="dxa"/>
            <w:tcMar>
              <w:right w:w="0" w:type="dxa"/>
            </w:tcMar>
          </w:tcPr>
          <w:p w14:paraId="2BE7DA22" w14:textId="77777777" w:rsidR="002B5657" w:rsidRDefault="002B5657" w:rsidP="00A9140F">
            <w:pPr>
              <w:pStyle w:val="AnnexNormal"/>
              <w:spacing w:after="0" w:line="240" w:lineRule="auto"/>
            </w:pPr>
            <w:r>
              <w:t>246</w:t>
            </w:r>
          </w:p>
        </w:tc>
      </w:tr>
      <w:tr w:rsidR="002B5657" w14:paraId="06FE98A7" w14:textId="77777777" w:rsidTr="00A9140F">
        <w:trPr>
          <w:trHeight w:val="20"/>
        </w:trPr>
        <w:tc>
          <w:tcPr>
            <w:tcW w:w="480" w:type="dxa"/>
            <w:tcMar>
              <w:top w:w="180" w:type="dxa"/>
              <w:left w:w="0" w:type="dxa"/>
              <w:bottom w:w="180" w:type="dxa"/>
            </w:tcMar>
          </w:tcPr>
          <w:p w14:paraId="616DCC6B" w14:textId="77777777" w:rsidR="002B5657" w:rsidRDefault="002B5657" w:rsidP="00A9140F">
            <w:pPr>
              <w:pStyle w:val="AnnexNormal"/>
              <w:pageBreakBefore/>
              <w:spacing w:after="0" w:line="240" w:lineRule="auto"/>
            </w:pPr>
            <w:r>
              <w:lastRenderedPageBreak/>
              <w:t>4.20.</w:t>
            </w:r>
          </w:p>
        </w:tc>
        <w:tc>
          <w:tcPr>
            <w:tcW w:w="8370" w:type="dxa"/>
            <w:gridSpan w:val="2"/>
            <w:tcMar>
              <w:top w:w="180" w:type="dxa"/>
              <w:bottom w:w="180" w:type="dxa"/>
            </w:tcMar>
          </w:tcPr>
          <w:p w14:paraId="4C47FE1C" w14:textId="77777777" w:rsidR="002B5657" w:rsidRDefault="002B5657" w:rsidP="00A9140F">
            <w:pPr>
              <w:pStyle w:val="AnnexNormal"/>
              <w:tabs>
                <w:tab w:val="right" w:leader="dot" w:pos="8154"/>
              </w:tabs>
              <w:spacing w:after="0" w:line="240" w:lineRule="auto"/>
            </w:pPr>
            <w:proofErr w:type="spellStart"/>
            <w:r>
              <w:t>Samþætt</w:t>
            </w:r>
            <w:proofErr w:type="spellEnd"/>
            <w:r>
              <w:t xml:space="preserve"> vinnsla varma/kælingar og raforku úr líforku</w:t>
            </w:r>
            <w:r>
              <w:tab/>
            </w:r>
          </w:p>
        </w:tc>
        <w:tc>
          <w:tcPr>
            <w:tcW w:w="378" w:type="dxa"/>
            <w:tcMar>
              <w:top w:w="180" w:type="dxa"/>
              <w:bottom w:w="180" w:type="dxa"/>
              <w:right w:w="0" w:type="dxa"/>
            </w:tcMar>
          </w:tcPr>
          <w:p w14:paraId="00EC5ED4" w14:textId="77777777" w:rsidR="002B5657" w:rsidRDefault="002B5657" w:rsidP="00A9140F">
            <w:pPr>
              <w:pStyle w:val="AnnexNormal"/>
              <w:spacing w:after="0" w:line="240" w:lineRule="auto"/>
            </w:pPr>
            <w:r>
              <w:t>248</w:t>
            </w:r>
          </w:p>
        </w:tc>
      </w:tr>
      <w:tr w:rsidR="002B5657" w14:paraId="40F394E2" w14:textId="77777777" w:rsidTr="00A9140F">
        <w:trPr>
          <w:trHeight w:val="20"/>
        </w:trPr>
        <w:tc>
          <w:tcPr>
            <w:tcW w:w="480" w:type="dxa"/>
            <w:tcMar>
              <w:top w:w="180" w:type="dxa"/>
              <w:left w:w="0" w:type="dxa"/>
              <w:bottom w:w="180" w:type="dxa"/>
            </w:tcMar>
          </w:tcPr>
          <w:p w14:paraId="7032E388" w14:textId="77777777" w:rsidR="002B5657" w:rsidRDefault="002B5657" w:rsidP="00A9140F">
            <w:pPr>
              <w:pStyle w:val="AnnexNormal"/>
              <w:spacing w:after="0" w:line="240" w:lineRule="auto"/>
            </w:pPr>
            <w:r>
              <w:t>4.21.</w:t>
            </w:r>
          </w:p>
        </w:tc>
        <w:tc>
          <w:tcPr>
            <w:tcW w:w="8370" w:type="dxa"/>
            <w:gridSpan w:val="2"/>
            <w:tcMar>
              <w:top w:w="180" w:type="dxa"/>
              <w:bottom w:w="180" w:type="dxa"/>
            </w:tcMar>
          </w:tcPr>
          <w:p w14:paraId="6B4FCBD5" w14:textId="77777777" w:rsidR="002B5657" w:rsidRDefault="002B5657" w:rsidP="00A9140F">
            <w:pPr>
              <w:pStyle w:val="AnnexNormal"/>
              <w:tabs>
                <w:tab w:val="right" w:leader="dot" w:pos="8154"/>
              </w:tabs>
              <w:spacing w:after="0" w:line="240" w:lineRule="auto"/>
            </w:pPr>
            <w:r>
              <w:t>Framleiðsla á varma/kælingu úr sólarvarmaorku</w:t>
            </w:r>
            <w:r>
              <w:tab/>
            </w:r>
          </w:p>
        </w:tc>
        <w:tc>
          <w:tcPr>
            <w:tcW w:w="378" w:type="dxa"/>
            <w:tcMar>
              <w:top w:w="180" w:type="dxa"/>
              <w:bottom w:w="180" w:type="dxa"/>
              <w:right w:w="0" w:type="dxa"/>
            </w:tcMar>
          </w:tcPr>
          <w:p w14:paraId="6F4B9081" w14:textId="77777777" w:rsidR="002B5657" w:rsidRDefault="002B5657" w:rsidP="00A9140F">
            <w:pPr>
              <w:pStyle w:val="AnnexNormal"/>
              <w:spacing w:after="0" w:line="240" w:lineRule="auto"/>
            </w:pPr>
            <w:r>
              <w:t>250</w:t>
            </w:r>
          </w:p>
        </w:tc>
      </w:tr>
      <w:tr w:rsidR="002B5657" w14:paraId="5CDE8113" w14:textId="77777777" w:rsidTr="00A9140F">
        <w:trPr>
          <w:trHeight w:val="20"/>
        </w:trPr>
        <w:tc>
          <w:tcPr>
            <w:tcW w:w="480" w:type="dxa"/>
            <w:tcMar>
              <w:top w:w="180" w:type="dxa"/>
              <w:left w:w="0" w:type="dxa"/>
              <w:bottom w:w="180" w:type="dxa"/>
            </w:tcMar>
          </w:tcPr>
          <w:p w14:paraId="5BA36ADB" w14:textId="77777777" w:rsidR="002B5657" w:rsidRDefault="002B5657" w:rsidP="00A9140F">
            <w:pPr>
              <w:pStyle w:val="AnnexNormal"/>
              <w:spacing w:after="0" w:line="240" w:lineRule="auto"/>
            </w:pPr>
            <w:r>
              <w:t>4.22.</w:t>
            </w:r>
          </w:p>
        </w:tc>
        <w:tc>
          <w:tcPr>
            <w:tcW w:w="8370" w:type="dxa"/>
            <w:gridSpan w:val="2"/>
            <w:tcMar>
              <w:top w:w="180" w:type="dxa"/>
              <w:bottom w:w="180" w:type="dxa"/>
            </w:tcMar>
          </w:tcPr>
          <w:p w14:paraId="27473BB6" w14:textId="77777777" w:rsidR="002B5657" w:rsidRDefault="002B5657" w:rsidP="00A9140F">
            <w:pPr>
              <w:pStyle w:val="AnnexNormal"/>
              <w:tabs>
                <w:tab w:val="right" w:leader="dot" w:pos="8154"/>
              </w:tabs>
              <w:spacing w:after="0" w:line="240" w:lineRule="auto"/>
            </w:pPr>
            <w:r>
              <w:t>Framleiðsla á varma/kælingu úr jarðvarmaorku</w:t>
            </w:r>
            <w:r>
              <w:tab/>
            </w:r>
          </w:p>
        </w:tc>
        <w:tc>
          <w:tcPr>
            <w:tcW w:w="378" w:type="dxa"/>
            <w:tcMar>
              <w:top w:w="180" w:type="dxa"/>
              <w:bottom w:w="180" w:type="dxa"/>
              <w:right w:w="0" w:type="dxa"/>
            </w:tcMar>
          </w:tcPr>
          <w:p w14:paraId="72CA7B06" w14:textId="77777777" w:rsidR="002B5657" w:rsidRDefault="002B5657" w:rsidP="00A9140F">
            <w:pPr>
              <w:pStyle w:val="AnnexNormal"/>
              <w:spacing w:after="0" w:line="240" w:lineRule="auto"/>
            </w:pPr>
            <w:r>
              <w:t>251</w:t>
            </w:r>
          </w:p>
        </w:tc>
      </w:tr>
      <w:tr w:rsidR="002B5657" w14:paraId="0922B4B6" w14:textId="77777777" w:rsidTr="00A9140F">
        <w:trPr>
          <w:trHeight w:val="20"/>
        </w:trPr>
        <w:tc>
          <w:tcPr>
            <w:tcW w:w="480" w:type="dxa"/>
            <w:tcMar>
              <w:top w:w="180" w:type="dxa"/>
              <w:left w:w="0" w:type="dxa"/>
              <w:bottom w:w="180" w:type="dxa"/>
            </w:tcMar>
          </w:tcPr>
          <w:p w14:paraId="5F0AA552" w14:textId="77777777" w:rsidR="002B5657" w:rsidRDefault="002B5657" w:rsidP="00A9140F">
            <w:pPr>
              <w:pStyle w:val="AnnexNormal"/>
              <w:spacing w:after="0" w:line="240" w:lineRule="auto"/>
            </w:pPr>
            <w:r>
              <w:t>4.23.</w:t>
            </w:r>
          </w:p>
        </w:tc>
        <w:tc>
          <w:tcPr>
            <w:tcW w:w="8370" w:type="dxa"/>
            <w:gridSpan w:val="2"/>
            <w:tcMar>
              <w:top w:w="180" w:type="dxa"/>
              <w:bottom w:w="180" w:type="dxa"/>
            </w:tcMar>
          </w:tcPr>
          <w:p w14:paraId="36751873" w14:textId="77777777" w:rsidR="002B5657" w:rsidRDefault="002B5657" w:rsidP="00A9140F">
            <w:pPr>
              <w:pStyle w:val="AnnexNormal"/>
              <w:tabs>
                <w:tab w:val="right" w:leader="dot" w:pos="8154"/>
              </w:tabs>
              <w:spacing w:after="0" w:line="240" w:lineRule="auto"/>
            </w:pPr>
            <w:r>
              <w:t>Framleiðsla á varma/kælingu úr endurnýjanlegu loftkenndu eldsneyti sem er ekki jarðefnaeldsneyti og fljótandi eldsneyti</w:t>
            </w:r>
            <w:r>
              <w:tab/>
            </w:r>
          </w:p>
        </w:tc>
        <w:tc>
          <w:tcPr>
            <w:tcW w:w="378" w:type="dxa"/>
            <w:tcMar>
              <w:top w:w="180" w:type="dxa"/>
              <w:bottom w:w="180" w:type="dxa"/>
              <w:right w:w="0" w:type="dxa"/>
            </w:tcMar>
          </w:tcPr>
          <w:p w14:paraId="4537CF91" w14:textId="77777777" w:rsidR="002B5657" w:rsidRDefault="002B5657" w:rsidP="00A9140F">
            <w:pPr>
              <w:pStyle w:val="AnnexNormal"/>
              <w:spacing w:after="0" w:line="240" w:lineRule="auto"/>
            </w:pPr>
            <w:r>
              <w:t>253</w:t>
            </w:r>
          </w:p>
        </w:tc>
      </w:tr>
      <w:tr w:rsidR="002B5657" w14:paraId="26CC23EC" w14:textId="77777777" w:rsidTr="00A9140F">
        <w:trPr>
          <w:trHeight w:val="20"/>
        </w:trPr>
        <w:tc>
          <w:tcPr>
            <w:tcW w:w="480" w:type="dxa"/>
            <w:tcMar>
              <w:top w:w="180" w:type="dxa"/>
              <w:left w:w="0" w:type="dxa"/>
              <w:bottom w:w="180" w:type="dxa"/>
            </w:tcMar>
          </w:tcPr>
          <w:p w14:paraId="137B6517" w14:textId="77777777" w:rsidR="002B5657" w:rsidRDefault="002B5657" w:rsidP="00A9140F">
            <w:pPr>
              <w:pStyle w:val="AnnexNormal"/>
              <w:spacing w:after="0" w:line="240" w:lineRule="auto"/>
            </w:pPr>
            <w:r>
              <w:t>4.24.</w:t>
            </w:r>
          </w:p>
        </w:tc>
        <w:tc>
          <w:tcPr>
            <w:tcW w:w="8370" w:type="dxa"/>
            <w:gridSpan w:val="2"/>
            <w:tcMar>
              <w:top w:w="180" w:type="dxa"/>
              <w:bottom w:w="180" w:type="dxa"/>
            </w:tcMar>
          </w:tcPr>
          <w:p w14:paraId="7FE1D4F4" w14:textId="77777777" w:rsidR="002B5657" w:rsidRDefault="002B5657" w:rsidP="00A9140F">
            <w:pPr>
              <w:pStyle w:val="AnnexNormal"/>
              <w:tabs>
                <w:tab w:val="right" w:leader="dot" w:pos="8154"/>
              </w:tabs>
              <w:spacing w:after="0" w:line="240" w:lineRule="auto"/>
            </w:pPr>
            <w:r>
              <w:t>Framleiðsla á varma/kælingu úr líforku</w:t>
            </w:r>
            <w:r>
              <w:tab/>
            </w:r>
          </w:p>
        </w:tc>
        <w:tc>
          <w:tcPr>
            <w:tcW w:w="378" w:type="dxa"/>
            <w:tcMar>
              <w:top w:w="180" w:type="dxa"/>
              <w:bottom w:w="180" w:type="dxa"/>
              <w:right w:w="0" w:type="dxa"/>
            </w:tcMar>
          </w:tcPr>
          <w:p w14:paraId="15B39E49" w14:textId="77777777" w:rsidR="002B5657" w:rsidRDefault="002B5657" w:rsidP="00A9140F">
            <w:pPr>
              <w:pStyle w:val="AnnexNormal"/>
              <w:spacing w:after="0" w:line="240" w:lineRule="auto"/>
            </w:pPr>
            <w:r>
              <w:t>255</w:t>
            </w:r>
          </w:p>
        </w:tc>
      </w:tr>
      <w:tr w:rsidR="002B5657" w14:paraId="01B13219" w14:textId="77777777" w:rsidTr="00A9140F">
        <w:trPr>
          <w:trHeight w:val="20"/>
        </w:trPr>
        <w:tc>
          <w:tcPr>
            <w:tcW w:w="480" w:type="dxa"/>
            <w:tcMar>
              <w:top w:w="180" w:type="dxa"/>
              <w:left w:w="0" w:type="dxa"/>
              <w:bottom w:w="180" w:type="dxa"/>
            </w:tcMar>
          </w:tcPr>
          <w:p w14:paraId="008AE091" w14:textId="77777777" w:rsidR="002B5657" w:rsidRDefault="002B5657" w:rsidP="00A9140F">
            <w:pPr>
              <w:pStyle w:val="AnnexNormal"/>
              <w:spacing w:after="0" w:line="240" w:lineRule="auto"/>
            </w:pPr>
            <w:r>
              <w:t>4.25.</w:t>
            </w:r>
          </w:p>
        </w:tc>
        <w:tc>
          <w:tcPr>
            <w:tcW w:w="8370" w:type="dxa"/>
            <w:gridSpan w:val="2"/>
            <w:tcMar>
              <w:top w:w="180" w:type="dxa"/>
              <w:bottom w:w="180" w:type="dxa"/>
            </w:tcMar>
          </w:tcPr>
          <w:p w14:paraId="6AD5C741" w14:textId="77777777" w:rsidR="002B5657" w:rsidRDefault="002B5657" w:rsidP="00A9140F">
            <w:pPr>
              <w:pStyle w:val="AnnexNormal"/>
              <w:tabs>
                <w:tab w:val="right" w:leader="dot" w:pos="8154"/>
              </w:tabs>
              <w:spacing w:after="0" w:line="240" w:lineRule="auto"/>
            </w:pPr>
            <w:r>
              <w:t xml:space="preserve">Framleiðsla á varma/kælingu úr </w:t>
            </w:r>
            <w:proofErr w:type="spellStart"/>
            <w:r>
              <w:t>glatvarma</w:t>
            </w:r>
            <w:proofErr w:type="spellEnd"/>
            <w:r>
              <w:tab/>
            </w:r>
          </w:p>
        </w:tc>
        <w:tc>
          <w:tcPr>
            <w:tcW w:w="378" w:type="dxa"/>
            <w:tcMar>
              <w:top w:w="180" w:type="dxa"/>
              <w:bottom w:w="180" w:type="dxa"/>
              <w:right w:w="0" w:type="dxa"/>
            </w:tcMar>
          </w:tcPr>
          <w:p w14:paraId="264A0BBE" w14:textId="77777777" w:rsidR="002B5657" w:rsidRDefault="002B5657" w:rsidP="00A9140F">
            <w:pPr>
              <w:pStyle w:val="AnnexNormal"/>
              <w:spacing w:after="0" w:line="240" w:lineRule="auto"/>
            </w:pPr>
            <w:r>
              <w:t>257</w:t>
            </w:r>
          </w:p>
        </w:tc>
      </w:tr>
      <w:tr w:rsidR="002B5657" w14:paraId="453576F4" w14:textId="77777777" w:rsidTr="00A9140F">
        <w:trPr>
          <w:trHeight w:val="20"/>
        </w:trPr>
        <w:tc>
          <w:tcPr>
            <w:tcW w:w="480" w:type="dxa"/>
            <w:tcMar>
              <w:top w:w="180" w:type="dxa"/>
              <w:left w:w="0" w:type="dxa"/>
              <w:bottom w:w="180" w:type="dxa"/>
            </w:tcMar>
          </w:tcPr>
          <w:p w14:paraId="05DB93CC" w14:textId="77777777" w:rsidR="002B5657" w:rsidRDefault="002B5657" w:rsidP="00A9140F">
            <w:pPr>
              <w:pStyle w:val="AnnexNormal"/>
              <w:spacing w:after="0" w:line="240" w:lineRule="auto"/>
            </w:pPr>
            <w:r>
              <w:t>5.</w:t>
            </w:r>
          </w:p>
        </w:tc>
        <w:tc>
          <w:tcPr>
            <w:tcW w:w="8370" w:type="dxa"/>
            <w:gridSpan w:val="2"/>
            <w:tcMar>
              <w:top w:w="180" w:type="dxa"/>
              <w:bottom w:w="180" w:type="dxa"/>
            </w:tcMar>
          </w:tcPr>
          <w:p w14:paraId="53C19AC1" w14:textId="77777777" w:rsidR="002B5657" w:rsidRDefault="002B5657" w:rsidP="00A9140F">
            <w:pPr>
              <w:pStyle w:val="AnnexNormal"/>
              <w:tabs>
                <w:tab w:val="right" w:leader="dot" w:pos="8154"/>
              </w:tabs>
              <w:spacing w:after="0" w:line="240" w:lineRule="auto"/>
            </w:pPr>
            <w:r>
              <w:t>Vatnsveita, fráveitukerfi, úrgangsstjórnun og hreinsunarstarfsemi</w:t>
            </w:r>
            <w:r>
              <w:tab/>
            </w:r>
          </w:p>
        </w:tc>
        <w:tc>
          <w:tcPr>
            <w:tcW w:w="378" w:type="dxa"/>
            <w:tcMar>
              <w:top w:w="180" w:type="dxa"/>
              <w:bottom w:w="180" w:type="dxa"/>
              <w:right w:w="0" w:type="dxa"/>
            </w:tcMar>
          </w:tcPr>
          <w:p w14:paraId="455ABDF0" w14:textId="77777777" w:rsidR="002B5657" w:rsidRDefault="002B5657" w:rsidP="00A9140F">
            <w:pPr>
              <w:pStyle w:val="AnnexNormal"/>
              <w:spacing w:after="0" w:line="240" w:lineRule="auto"/>
            </w:pPr>
            <w:r>
              <w:t>259</w:t>
            </w:r>
          </w:p>
        </w:tc>
      </w:tr>
      <w:tr w:rsidR="002B5657" w14:paraId="01B3414A" w14:textId="77777777" w:rsidTr="00A9140F">
        <w:trPr>
          <w:trHeight w:val="20"/>
        </w:trPr>
        <w:tc>
          <w:tcPr>
            <w:tcW w:w="480" w:type="dxa"/>
            <w:tcMar>
              <w:top w:w="180" w:type="dxa"/>
              <w:left w:w="0" w:type="dxa"/>
              <w:bottom w:w="180" w:type="dxa"/>
            </w:tcMar>
          </w:tcPr>
          <w:p w14:paraId="2F215585" w14:textId="77777777" w:rsidR="002B5657" w:rsidRDefault="002B5657" w:rsidP="00A9140F">
            <w:pPr>
              <w:pStyle w:val="AnnexNormal"/>
              <w:spacing w:after="0" w:line="240" w:lineRule="auto"/>
            </w:pPr>
            <w:r>
              <w:t>5.1.</w:t>
            </w:r>
          </w:p>
        </w:tc>
        <w:tc>
          <w:tcPr>
            <w:tcW w:w="8370" w:type="dxa"/>
            <w:gridSpan w:val="2"/>
            <w:tcMar>
              <w:top w:w="180" w:type="dxa"/>
              <w:bottom w:w="180" w:type="dxa"/>
            </w:tcMar>
          </w:tcPr>
          <w:p w14:paraId="2CDA91DB" w14:textId="77777777" w:rsidR="002B5657" w:rsidRDefault="002B5657" w:rsidP="00A9140F">
            <w:pPr>
              <w:pStyle w:val="AnnexNormal"/>
              <w:tabs>
                <w:tab w:val="right" w:leader="dot" w:pos="8154"/>
              </w:tabs>
              <w:spacing w:after="0" w:line="240" w:lineRule="auto"/>
            </w:pPr>
            <w:r>
              <w:t xml:space="preserve">Uppbygging, stækkun og </w:t>
            </w:r>
            <w:proofErr w:type="spellStart"/>
            <w:r>
              <w:t>starfræksla</w:t>
            </w:r>
            <w:proofErr w:type="spellEnd"/>
            <w:r>
              <w:t xml:space="preserve"> vatnsöflunar-, </w:t>
            </w:r>
            <w:proofErr w:type="spellStart"/>
            <w:r>
              <w:t>vatnshreinsi</w:t>
            </w:r>
            <w:proofErr w:type="spellEnd"/>
            <w:r>
              <w:t>- og vatnsveitukerfa</w:t>
            </w:r>
            <w:r>
              <w:tab/>
            </w:r>
          </w:p>
        </w:tc>
        <w:tc>
          <w:tcPr>
            <w:tcW w:w="378" w:type="dxa"/>
            <w:tcMar>
              <w:top w:w="180" w:type="dxa"/>
              <w:bottom w:w="180" w:type="dxa"/>
              <w:right w:w="0" w:type="dxa"/>
            </w:tcMar>
          </w:tcPr>
          <w:p w14:paraId="581A3D6C" w14:textId="77777777" w:rsidR="002B5657" w:rsidRDefault="002B5657" w:rsidP="00A9140F">
            <w:pPr>
              <w:pStyle w:val="AnnexNormal"/>
              <w:spacing w:after="0" w:line="240" w:lineRule="auto"/>
            </w:pPr>
            <w:r>
              <w:t>259</w:t>
            </w:r>
          </w:p>
        </w:tc>
      </w:tr>
      <w:tr w:rsidR="002B5657" w14:paraId="75A31569" w14:textId="77777777" w:rsidTr="00A9140F">
        <w:trPr>
          <w:trHeight w:val="20"/>
        </w:trPr>
        <w:tc>
          <w:tcPr>
            <w:tcW w:w="480" w:type="dxa"/>
            <w:tcMar>
              <w:top w:w="180" w:type="dxa"/>
              <w:left w:w="0" w:type="dxa"/>
              <w:bottom w:w="180" w:type="dxa"/>
            </w:tcMar>
          </w:tcPr>
          <w:p w14:paraId="54DC5A52" w14:textId="77777777" w:rsidR="002B5657" w:rsidRDefault="002B5657" w:rsidP="00A9140F">
            <w:pPr>
              <w:pStyle w:val="AnnexNormal"/>
              <w:spacing w:after="0" w:line="240" w:lineRule="auto"/>
            </w:pPr>
            <w:r>
              <w:t>5.2.</w:t>
            </w:r>
          </w:p>
        </w:tc>
        <w:tc>
          <w:tcPr>
            <w:tcW w:w="8370" w:type="dxa"/>
            <w:gridSpan w:val="2"/>
            <w:tcMar>
              <w:top w:w="180" w:type="dxa"/>
              <w:bottom w:w="180" w:type="dxa"/>
            </w:tcMar>
          </w:tcPr>
          <w:p w14:paraId="2481DC9A" w14:textId="77777777" w:rsidR="002B5657" w:rsidRDefault="002B5657" w:rsidP="00A9140F">
            <w:pPr>
              <w:pStyle w:val="AnnexNormal"/>
              <w:tabs>
                <w:tab w:val="right" w:leader="dot" w:pos="8154"/>
              </w:tabs>
              <w:spacing w:after="0" w:line="240" w:lineRule="auto"/>
            </w:pPr>
            <w:r>
              <w:t xml:space="preserve">Endurnýjun vatnsöflunar-, </w:t>
            </w:r>
            <w:proofErr w:type="spellStart"/>
            <w:r>
              <w:t>vatnshreinsi</w:t>
            </w:r>
            <w:proofErr w:type="spellEnd"/>
            <w:r>
              <w:t>- og vatnsveitukerfa</w:t>
            </w:r>
            <w:r>
              <w:tab/>
            </w:r>
          </w:p>
        </w:tc>
        <w:tc>
          <w:tcPr>
            <w:tcW w:w="378" w:type="dxa"/>
            <w:tcMar>
              <w:top w:w="180" w:type="dxa"/>
              <w:bottom w:w="180" w:type="dxa"/>
              <w:right w:w="0" w:type="dxa"/>
            </w:tcMar>
          </w:tcPr>
          <w:p w14:paraId="24F8BE23" w14:textId="77777777" w:rsidR="002B5657" w:rsidRDefault="002B5657" w:rsidP="00A9140F">
            <w:pPr>
              <w:pStyle w:val="AnnexNormal"/>
              <w:spacing w:after="0" w:line="240" w:lineRule="auto"/>
            </w:pPr>
            <w:r>
              <w:t>260</w:t>
            </w:r>
          </w:p>
        </w:tc>
      </w:tr>
      <w:tr w:rsidR="002B5657" w14:paraId="0BE4BF9D" w14:textId="77777777" w:rsidTr="00A9140F">
        <w:trPr>
          <w:trHeight w:val="20"/>
        </w:trPr>
        <w:tc>
          <w:tcPr>
            <w:tcW w:w="480" w:type="dxa"/>
            <w:tcMar>
              <w:top w:w="180" w:type="dxa"/>
              <w:left w:w="0" w:type="dxa"/>
              <w:bottom w:w="180" w:type="dxa"/>
            </w:tcMar>
          </w:tcPr>
          <w:p w14:paraId="0C794F0A" w14:textId="77777777" w:rsidR="002B5657" w:rsidRDefault="002B5657" w:rsidP="00A9140F">
            <w:pPr>
              <w:pStyle w:val="AnnexNormal"/>
              <w:spacing w:after="0" w:line="240" w:lineRule="auto"/>
            </w:pPr>
            <w:r>
              <w:t>5.3.</w:t>
            </w:r>
          </w:p>
        </w:tc>
        <w:tc>
          <w:tcPr>
            <w:tcW w:w="8370" w:type="dxa"/>
            <w:gridSpan w:val="2"/>
            <w:tcMar>
              <w:top w:w="180" w:type="dxa"/>
              <w:bottom w:w="180" w:type="dxa"/>
            </w:tcMar>
          </w:tcPr>
          <w:p w14:paraId="24D9E9B5" w14:textId="77777777" w:rsidR="002B5657" w:rsidRDefault="002B5657" w:rsidP="00A9140F">
            <w:pPr>
              <w:pStyle w:val="AnnexNormal"/>
              <w:tabs>
                <w:tab w:val="right" w:leader="dot" w:pos="8154"/>
              </w:tabs>
              <w:spacing w:after="0" w:line="240" w:lineRule="auto"/>
            </w:pPr>
            <w:r>
              <w:t xml:space="preserve">Uppbygging, stækkun og </w:t>
            </w:r>
            <w:proofErr w:type="spellStart"/>
            <w:r>
              <w:t>starfræksla</w:t>
            </w:r>
            <w:proofErr w:type="spellEnd"/>
            <w:r>
              <w:t xml:space="preserve"> </w:t>
            </w:r>
            <w:proofErr w:type="spellStart"/>
            <w:r>
              <w:t>skólpsöfnunar</w:t>
            </w:r>
            <w:proofErr w:type="spellEnd"/>
            <w:r>
              <w:t xml:space="preserve"> og -hreinsunarkerfa</w:t>
            </w:r>
            <w:r>
              <w:tab/>
            </w:r>
          </w:p>
        </w:tc>
        <w:tc>
          <w:tcPr>
            <w:tcW w:w="378" w:type="dxa"/>
            <w:tcMar>
              <w:top w:w="180" w:type="dxa"/>
              <w:bottom w:w="180" w:type="dxa"/>
              <w:right w:w="0" w:type="dxa"/>
            </w:tcMar>
          </w:tcPr>
          <w:p w14:paraId="56E78BA3" w14:textId="77777777" w:rsidR="002B5657" w:rsidRDefault="002B5657" w:rsidP="00A9140F">
            <w:pPr>
              <w:pStyle w:val="AnnexNormal"/>
              <w:spacing w:after="0" w:line="240" w:lineRule="auto"/>
            </w:pPr>
            <w:r>
              <w:t>262</w:t>
            </w:r>
          </w:p>
        </w:tc>
      </w:tr>
      <w:tr w:rsidR="002B5657" w14:paraId="40814865" w14:textId="77777777" w:rsidTr="00A9140F">
        <w:trPr>
          <w:trHeight w:val="20"/>
        </w:trPr>
        <w:tc>
          <w:tcPr>
            <w:tcW w:w="480" w:type="dxa"/>
            <w:tcMar>
              <w:top w:w="180" w:type="dxa"/>
              <w:left w:w="0" w:type="dxa"/>
              <w:bottom w:w="180" w:type="dxa"/>
            </w:tcMar>
          </w:tcPr>
          <w:p w14:paraId="6197A3E1" w14:textId="77777777" w:rsidR="002B5657" w:rsidRDefault="002B5657" w:rsidP="00A9140F">
            <w:pPr>
              <w:pStyle w:val="AnnexNormal"/>
              <w:spacing w:after="0" w:line="240" w:lineRule="auto"/>
            </w:pPr>
            <w:r>
              <w:t>5.4.</w:t>
            </w:r>
          </w:p>
        </w:tc>
        <w:tc>
          <w:tcPr>
            <w:tcW w:w="8370" w:type="dxa"/>
            <w:gridSpan w:val="2"/>
            <w:tcMar>
              <w:top w:w="180" w:type="dxa"/>
              <w:bottom w:w="180" w:type="dxa"/>
            </w:tcMar>
          </w:tcPr>
          <w:p w14:paraId="1176D146" w14:textId="77777777" w:rsidR="002B5657" w:rsidRDefault="002B5657" w:rsidP="00A9140F">
            <w:pPr>
              <w:pStyle w:val="AnnexNormal"/>
              <w:tabs>
                <w:tab w:val="right" w:leader="dot" w:pos="8154"/>
              </w:tabs>
              <w:spacing w:after="0" w:line="240" w:lineRule="auto"/>
            </w:pPr>
            <w:r>
              <w:t xml:space="preserve">Endurnýjun </w:t>
            </w:r>
            <w:proofErr w:type="spellStart"/>
            <w:r>
              <w:t>skólpsöfnunar</w:t>
            </w:r>
            <w:proofErr w:type="spellEnd"/>
            <w:r>
              <w:t xml:space="preserve"> og -hreinsunarkerfa</w:t>
            </w:r>
            <w:r>
              <w:tab/>
            </w:r>
          </w:p>
        </w:tc>
        <w:tc>
          <w:tcPr>
            <w:tcW w:w="378" w:type="dxa"/>
            <w:tcMar>
              <w:top w:w="180" w:type="dxa"/>
              <w:bottom w:w="180" w:type="dxa"/>
              <w:right w:w="0" w:type="dxa"/>
            </w:tcMar>
          </w:tcPr>
          <w:p w14:paraId="16471870" w14:textId="77777777" w:rsidR="002B5657" w:rsidRDefault="002B5657" w:rsidP="00A9140F">
            <w:pPr>
              <w:pStyle w:val="AnnexNormal"/>
              <w:spacing w:after="0" w:line="240" w:lineRule="auto"/>
            </w:pPr>
            <w:r>
              <w:t>263</w:t>
            </w:r>
          </w:p>
        </w:tc>
      </w:tr>
      <w:tr w:rsidR="002B5657" w14:paraId="4DAFF09D" w14:textId="77777777" w:rsidTr="00A9140F">
        <w:trPr>
          <w:trHeight w:val="20"/>
        </w:trPr>
        <w:tc>
          <w:tcPr>
            <w:tcW w:w="480" w:type="dxa"/>
            <w:tcMar>
              <w:top w:w="180" w:type="dxa"/>
              <w:left w:w="0" w:type="dxa"/>
              <w:bottom w:w="180" w:type="dxa"/>
            </w:tcMar>
          </w:tcPr>
          <w:p w14:paraId="3AC31E03" w14:textId="77777777" w:rsidR="002B5657" w:rsidRDefault="002B5657" w:rsidP="00A9140F">
            <w:pPr>
              <w:pStyle w:val="AnnexNormal"/>
              <w:spacing w:after="0" w:line="240" w:lineRule="auto"/>
            </w:pPr>
            <w:r>
              <w:t>5.5.</w:t>
            </w:r>
          </w:p>
        </w:tc>
        <w:tc>
          <w:tcPr>
            <w:tcW w:w="8370" w:type="dxa"/>
            <w:gridSpan w:val="2"/>
            <w:tcMar>
              <w:top w:w="180" w:type="dxa"/>
              <w:bottom w:w="180" w:type="dxa"/>
            </w:tcMar>
          </w:tcPr>
          <w:p w14:paraId="6A633254" w14:textId="77777777" w:rsidR="002B5657" w:rsidRDefault="002B5657" w:rsidP="00A9140F">
            <w:pPr>
              <w:pStyle w:val="AnnexNormal"/>
              <w:tabs>
                <w:tab w:val="right" w:leader="dot" w:pos="8154"/>
              </w:tabs>
              <w:spacing w:after="0" w:line="240" w:lineRule="auto"/>
            </w:pPr>
            <w:r>
              <w:t>Söfnun og flutningur á hættulausum úrgangi sem er aðgreindur við upptök í hluta</w:t>
            </w:r>
            <w:r>
              <w:tab/>
            </w:r>
          </w:p>
        </w:tc>
        <w:tc>
          <w:tcPr>
            <w:tcW w:w="378" w:type="dxa"/>
            <w:tcMar>
              <w:top w:w="180" w:type="dxa"/>
              <w:bottom w:w="180" w:type="dxa"/>
              <w:right w:w="0" w:type="dxa"/>
            </w:tcMar>
          </w:tcPr>
          <w:p w14:paraId="7A8EA72A" w14:textId="77777777" w:rsidR="002B5657" w:rsidRDefault="002B5657" w:rsidP="00A9140F">
            <w:pPr>
              <w:pStyle w:val="AnnexNormal"/>
              <w:spacing w:after="0" w:line="240" w:lineRule="auto"/>
            </w:pPr>
            <w:r>
              <w:t>265</w:t>
            </w:r>
          </w:p>
        </w:tc>
      </w:tr>
      <w:tr w:rsidR="002B5657" w14:paraId="7130B074" w14:textId="77777777" w:rsidTr="00A9140F">
        <w:trPr>
          <w:trHeight w:val="20"/>
        </w:trPr>
        <w:tc>
          <w:tcPr>
            <w:tcW w:w="480" w:type="dxa"/>
            <w:tcMar>
              <w:top w:w="180" w:type="dxa"/>
              <w:left w:w="0" w:type="dxa"/>
              <w:bottom w:w="180" w:type="dxa"/>
            </w:tcMar>
          </w:tcPr>
          <w:p w14:paraId="71AEA8B3" w14:textId="77777777" w:rsidR="002B5657" w:rsidRDefault="002B5657" w:rsidP="00A9140F">
            <w:pPr>
              <w:pStyle w:val="AnnexNormal"/>
              <w:spacing w:after="0" w:line="240" w:lineRule="auto"/>
            </w:pPr>
            <w:r>
              <w:t>5.6.</w:t>
            </w:r>
          </w:p>
        </w:tc>
        <w:tc>
          <w:tcPr>
            <w:tcW w:w="8370" w:type="dxa"/>
            <w:gridSpan w:val="2"/>
            <w:tcMar>
              <w:top w:w="180" w:type="dxa"/>
              <w:bottom w:w="180" w:type="dxa"/>
            </w:tcMar>
          </w:tcPr>
          <w:p w14:paraId="548AC9EC" w14:textId="77777777" w:rsidR="002B5657" w:rsidRDefault="002B5657" w:rsidP="00A9140F">
            <w:pPr>
              <w:pStyle w:val="AnnexNormal"/>
              <w:tabs>
                <w:tab w:val="right" w:leader="dot" w:pos="8154"/>
              </w:tabs>
              <w:spacing w:after="0" w:line="240" w:lineRule="auto"/>
            </w:pPr>
            <w:proofErr w:type="spellStart"/>
            <w:r>
              <w:t>Loftfirrð</w:t>
            </w:r>
            <w:proofErr w:type="spellEnd"/>
            <w:r>
              <w:t xml:space="preserve"> meltun </w:t>
            </w:r>
            <w:proofErr w:type="spellStart"/>
            <w:r>
              <w:t>skólpseyru</w:t>
            </w:r>
            <w:proofErr w:type="spellEnd"/>
            <w:r>
              <w:tab/>
            </w:r>
          </w:p>
        </w:tc>
        <w:tc>
          <w:tcPr>
            <w:tcW w:w="378" w:type="dxa"/>
            <w:tcMar>
              <w:top w:w="180" w:type="dxa"/>
              <w:bottom w:w="180" w:type="dxa"/>
              <w:right w:w="0" w:type="dxa"/>
            </w:tcMar>
          </w:tcPr>
          <w:p w14:paraId="6B7135FA" w14:textId="77777777" w:rsidR="002B5657" w:rsidRDefault="002B5657" w:rsidP="00A9140F">
            <w:pPr>
              <w:pStyle w:val="AnnexNormal"/>
              <w:spacing w:after="0" w:line="240" w:lineRule="auto"/>
            </w:pPr>
            <w:r>
              <w:t>267</w:t>
            </w:r>
          </w:p>
        </w:tc>
      </w:tr>
      <w:tr w:rsidR="002B5657" w14:paraId="0E51E77F" w14:textId="77777777" w:rsidTr="00A9140F">
        <w:trPr>
          <w:trHeight w:val="20"/>
        </w:trPr>
        <w:tc>
          <w:tcPr>
            <w:tcW w:w="480" w:type="dxa"/>
            <w:tcMar>
              <w:top w:w="180" w:type="dxa"/>
              <w:left w:w="0" w:type="dxa"/>
              <w:bottom w:w="180" w:type="dxa"/>
            </w:tcMar>
          </w:tcPr>
          <w:p w14:paraId="73EE3D0F" w14:textId="77777777" w:rsidR="002B5657" w:rsidRDefault="002B5657" w:rsidP="00A9140F">
            <w:pPr>
              <w:pStyle w:val="AnnexNormal"/>
              <w:spacing w:after="0" w:line="240" w:lineRule="auto"/>
            </w:pPr>
            <w:r>
              <w:t>5.7.</w:t>
            </w:r>
          </w:p>
        </w:tc>
        <w:tc>
          <w:tcPr>
            <w:tcW w:w="8370" w:type="dxa"/>
            <w:gridSpan w:val="2"/>
            <w:tcMar>
              <w:top w:w="180" w:type="dxa"/>
              <w:bottom w:w="180" w:type="dxa"/>
            </w:tcMar>
          </w:tcPr>
          <w:p w14:paraId="15A97072" w14:textId="77777777" w:rsidR="002B5657" w:rsidRDefault="002B5657" w:rsidP="00A9140F">
            <w:pPr>
              <w:pStyle w:val="AnnexNormal"/>
              <w:tabs>
                <w:tab w:val="right" w:leader="dot" w:pos="8154"/>
              </w:tabs>
              <w:spacing w:after="0" w:line="240" w:lineRule="auto"/>
            </w:pPr>
            <w:proofErr w:type="spellStart"/>
            <w:r>
              <w:t>Loftfirrð</w:t>
            </w:r>
            <w:proofErr w:type="spellEnd"/>
            <w:r>
              <w:t xml:space="preserve"> meltun lífúrgangs</w:t>
            </w:r>
            <w:r>
              <w:tab/>
            </w:r>
          </w:p>
        </w:tc>
        <w:tc>
          <w:tcPr>
            <w:tcW w:w="378" w:type="dxa"/>
            <w:tcMar>
              <w:top w:w="180" w:type="dxa"/>
              <w:bottom w:w="180" w:type="dxa"/>
              <w:right w:w="0" w:type="dxa"/>
            </w:tcMar>
          </w:tcPr>
          <w:p w14:paraId="204B92F8" w14:textId="77777777" w:rsidR="002B5657" w:rsidRDefault="002B5657" w:rsidP="00A9140F">
            <w:pPr>
              <w:pStyle w:val="AnnexNormal"/>
              <w:spacing w:after="0" w:line="240" w:lineRule="auto"/>
            </w:pPr>
            <w:r>
              <w:t>268</w:t>
            </w:r>
          </w:p>
        </w:tc>
      </w:tr>
      <w:tr w:rsidR="002B5657" w14:paraId="29FD4387" w14:textId="77777777" w:rsidTr="00A9140F">
        <w:trPr>
          <w:trHeight w:val="20"/>
        </w:trPr>
        <w:tc>
          <w:tcPr>
            <w:tcW w:w="480" w:type="dxa"/>
            <w:tcMar>
              <w:top w:w="180" w:type="dxa"/>
              <w:left w:w="0" w:type="dxa"/>
              <w:bottom w:w="180" w:type="dxa"/>
            </w:tcMar>
          </w:tcPr>
          <w:p w14:paraId="772ABDD6" w14:textId="77777777" w:rsidR="002B5657" w:rsidRDefault="002B5657" w:rsidP="00A9140F">
            <w:pPr>
              <w:pStyle w:val="AnnexNormal"/>
              <w:spacing w:after="0" w:line="240" w:lineRule="auto"/>
            </w:pPr>
            <w:r>
              <w:t>5.8.</w:t>
            </w:r>
          </w:p>
        </w:tc>
        <w:tc>
          <w:tcPr>
            <w:tcW w:w="8370" w:type="dxa"/>
            <w:gridSpan w:val="2"/>
            <w:tcMar>
              <w:top w:w="180" w:type="dxa"/>
              <w:bottom w:w="180" w:type="dxa"/>
            </w:tcMar>
          </w:tcPr>
          <w:p w14:paraId="3DC1BE9E" w14:textId="77777777" w:rsidR="002B5657" w:rsidRDefault="002B5657" w:rsidP="00A9140F">
            <w:pPr>
              <w:pStyle w:val="AnnexNormal"/>
              <w:tabs>
                <w:tab w:val="right" w:leader="dot" w:pos="8154"/>
              </w:tabs>
              <w:spacing w:after="0" w:line="240" w:lineRule="auto"/>
            </w:pPr>
            <w:proofErr w:type="spellStart"/>
            <w:r>
              <w:t>Mylting</w:t>
            </w:r>
            <w:proofErr w:type="spellEnd"/>
            <w:r>
              <w:t xml:space="preserve"> lífúrgangs</w:t>
            </w:r>
            <w:r>
              <w:tab/>
            </w:r>
          </w:p>
        </w:tc>
        <w:tc>
          <w:tcPr>
            <w:tcW w:w="378" w:type="dxa"/>
            <w:tcMar>
              <w:top w:w="180" w:type="dxa"/>
              <w:bottom w:w="180" w:type="dxa"/>
              <w:right w:w="0" w:type="dxa"/>
            </w:tcMar>
          </w:tcPr>
          <w:p w14:paraId="4CBA8140" w14:textId="77777777" w:rsidR="002B5657" w:rsidRDefault="002B5657" w:rsidP="00A9140F">
            <w:pPr>
              <w:pStyle w:val="AnnexNormal"/>
              <w:spacing w:after="0" w:line="240" w:lineRule="auto"/>
            </w:pPr>
            <w:r>
              <w:t>270</w:t>
            </w:r>
          </w:p>
        </w:tc>
      </w:tr>
      <w:tr w:rsidR="002B5657" w14:paraId="2255B173" w14:textId="77777777" w:rsidTr="00A9140F">
        <w:trPr>
          <w:trHeight w:val="20"/>
        </w:trPr>
        <w:tc>
          <w:tcPr>
            <w:tcW w:w="480" w:type="dxa"/>
            <w:tcMar>
              <w:top w:w="180" w:type="dxa"/>
              <w:left w:w="0" w:type="dxa"/>
              <w:bottom w:w="180" w:type="dxa"/>
            </w:tcMar>
          </w:tcPr>
          <w:p w14:paraId="74144C42" w14:textId="77777777" w:rsidR="002B5657" w:rsidRDefault="002B5657" w:rsidP="00A9140F">
            <w:pPr>
              <w:pStyle w:val="AnnexNormal"/>
              <w:spacing w:after="0" w:line="240" w:lineRule="auto"/>
            </w:pPr>
            <w:r>
              <w:t>5.9.</w:t>
            </w:r>
          </w:p>
        </w:tc>
        <w:tc>
          <w:tcPr>
            <w:tcW w:w="8370" w:type="dxa"/>
            <w:gridSpan w:val="2"/>
            <w:tcMar>
              <w:top w:w="180" w:type="dxa"/>
              <w:bottom w:w="180" w:type="dxa"/>
            </w:tcMar>
          </w:tcPr>
          <w:p w14:paraId="49BE8559" w14:textId="77777777" w:rsidR="002B5657" w:rsidRDefault="002B5657" w:rsidP="00A9140F">
            <w:pPr>
              <w:pStyle w:val="AnnexNormal"/>
              <w:tabs>
                <w:tab w:val="right" w:leader="dot" w:pos="8154"/>
              </w:tabs>
              <w:spacing w:after="0" w:line="240" w:lineRule="auto"/>
            </w:pPr>
            <w:r>
              <w:t>Endurheimt efnis úr hættulausum úrgangi</w:t>
            </w:r>
            <w:r>
              <w:tab/>
            </w:r>
            <w:r>
              <w:tab/>
            </w:r>
          </w:p>
        </w:tc>
        <w:tc>
          <w:tcPr>
            <w:tcW w:w="378" w:type="dxa"/>
            <w:tcMar>
              <w:top w:w="180" w:type="dxa"/>
              <w:bottom w:w="180" w:type="dxa"/>
              <w:right w:w="0" w:type="dxa"/>
            </w:tcMar>
          </w:tcPr>
          <w:p w14:paraId="2D0E8D76" w14:textId="77777777" w:rsidR="002B5657" w:rsidRDefault="002B5657" w:rsidP="00A9140F">
            <w:pPr>
              <w:pStyle w:val="AnnexNormal"/>
              <w:spacing w:after="0" w:line="240" w:lineRule="auto"/>
            </w:pPr>
            <w:r>
              <w:t>272</w:t>
            </w:r>
          </w:p>
        </w:tc>
      </w:tr>
      <w:tr w:rsidR="002B5657" w14:paraId="1410B766" w14:textId="77777777" w:rsidTr="00A9140F">
        <w:trPr>
          <w:trHeight w:val="20"/>
        </w:trPr>
        <w:tc>
          <w:tcPr>
            <w:tcW w:w="480" w:type="dxa"/>
            <w:tcMar>
              <w:top w:w="180" w:type="dxa"/>
              <w:left w:w="0" w:type="dxa"/>
              <w:bottom w:w="180" w:type="dxa"/>
            </w:tcMar>
          </w:tcPr>
          <w:p w14:paraId="4C854A7D" w14:textId="77777777" w:rsidR="002B5657" w:rsidRDefault="002B5657" w:rsidP="00A9140F">
            <w:pPr>
              <w:pStyle w:val="AnnexNormal"/>
              <w:spacing w:after="0" w:line="240" w:lineRule="auto"/>
            </w:pPr>
            <w:r>
              <w:t>5.10.</w:t>
            </w:r>
          </w:p>
        </w:tc>
        <w:tc>
          <w:tcPr>
            <w:tcW w:w="8370" w:type="dxa"/>
            <w:gridSpan w:val="2"/>
            <w:tcMar>
              <w:top w:w="180" w:type="dxa"/>
              <w:bottom w:w="180" w:type="dxa"/>
            </w:tcMar>
          </w:tcPr>
          <w:p w14:paraId="308782B7" w14:textId="77777777" w:rsidR="002B5657" w:rsidRDefault="002B5657" w:rsidP="00A9140F">
            <w:pPr>
              <w:pStyle w:val="AnnexNormal"/>
              <w:tabs>
                <w:tab w:val="right" w:leader="dot" w:pos="8154"/>
              </w:tabs>
              <w:spacing w:after="0" w:line="240" w:lineRule="auto"/>
            </w:pPr>
            <w:proofErr w:type="spellStart"/>
            <w:r>
              <w:t>Föngun</w:t>
            </w:r>
            <w:proofErr w:type="spellEnd"/>
            <w:r>
              <w:t xml:space="preserve"> og notkun hauggass</w:t>
            </w:r>
            <w:r>
              <w:tab/>
            </w:r>
          </w:p>
        </w:tc>
        <w:tc>
          <w:tcPr>
            <w:tcW w:w="378" w:type="dxa"/>
            <w:tcMar>
              <w:top w:w="180" w:type="dxa"/>
              <w:bottom w:w="180" w:type="dxa"/>
              <w:right w:w="0" w:type="dxa"/>
            </w:tcMar>
          </w:tcPr>
          <w:p w14:paraId="59AE7022" w14:textId="77777777" w:rsidR="002B5657" w:rsidRDefault="002B5657" w:rsidP="00A9140F">
            <w:pPr>
              <w:pStyle w:val="AnnexNormal"/>
              <w:spacing w:after="0" w:line="240" w:lineRule="auto"/>
            </w:pPr>
            <w:r>
              <w:t>273</w:t>
            </w:r>
          </w:p>
        </w:tc>
      </w:tr>
      <w:tr w:rsidR="002B5657" w14:paraId="7D988520" w14:textId="77777777" w:rsidTr="00A9140F">
        <w:trPr>
          <w:trHeight w:val="20"/>
        </w:trPr>
        <w:tc>
          <w:tcPr>
            <w:tcW w:w="480" w:type="dxa"/>
            <w:tcMar>
              <w:top w:w="180" w:type="dxa"/>
              <w:left w:w="0" w:type="dxa"/>
              <w:bottom w:w="180" w:type="dxa"/>
            </w:tcMar>
          </w:tcPr>
          <w:p w14:paraId="60587EDF" w14:textId="77777777" w:rsidR="002B5657" w:rsidRDefault="002B5657" w:rsidP="00A9140F">
            <w:pPr>
              <w:pStyle w:val="AnnexNormal"/>
              <w:spacing w:after="0" w:line="240" w:lineRule="auto"/>
            </w:pPr>
            <w:r>
              <w:t>5.11.</w:t>
            </w:r>
          </w:p>
        </w:tc>
        <w:tc>
          <w:tcPr>
            <w:tcW w:w="8370" w:type="dxa"/>
            <w:gridSpan w:val="2"/>
            <w:tcMar>
              <w:top w:w="180" w:type="dxa"/>
              <w:bottom w:w="180" w:type="dxa"/>
            </w:tcMar>
          </w:tcPr>
          <w:p w14:paraId="3E082168" w14:textId="77777777" w:rsidR="002B5657" w:rsidRDefault="002B5657" w:rsidP="00A9140F">
            <w:pPr>
              <w:pStyle w:val="AnnexNormal"/>
              <w:tabs>
                <w:tab w:val="right" w:leader="dot" w:pos="8154"/>
              </w:tabs>
              <w:spacing w:after="0" w:line="240" w:lineRule="auto"/>
            </w:pPr>
            <w:r>
              <w:t>Flutningur á koltvísýringi</w:t>
            </w:r>
            <w:r>
              <w:tab/>
            </w:r>
          </w:p>
        </w:tc>
        <w:tc>
          <w:tcPr>
            <w:tcW w:w="378" w:type="dxa"/>
            <w:tcMar>
              <w:top w:w="180" w:type="dxa"/>
              <w:bottom w:w="180" w:type="dxa"/>
              <w:right w:w="0" w:type="dxa"/>
            </w:tcMar>
          </w:tcPr>
          <w:p w14:paraId="58F657F0" w14:textId="77777777" w:rsidR="002B5657" w:rsidRDefault="002B5657" w:rsidP="00A9140F">
            <w:pPr>
              <w:pStyle w:val="AnnexNormal"/>
              <w:spacing w:after="0" w:line="240" w:lineRule="auto"/>
            </w:pPr>
            <w:r>
              <w:t>275</w:t>
            </w:r>
          </w:p>
        </w:tc>
      </w:tr>
      <w:tr w:rsidR="002B5657" w14:paraId="445B8FEB" w14:textId="77777777" w:rsidTr="00A9140F">
        <w:trPr>
          <w:trHeight w:val="20"/>
        </w:trPr>
        <w:tc>
          <w:tcPr>
            <w:tcW w:w="480" w:type="dxa"/>
            <w:tcMar>
              <w:top w:w="180" w:type="dxa"/>
              <w:left w:w="0" w:type="dxa"/>
              <w:bottom w:w="180" w:type="dxa"/>
            </w:tcMar>
          </w:tcPr>
          <w:p w14:paraId="5F380EE4" w14:textId="77777777" w:rsidR="002B5657" w:rsidRDefault="002B5657" w:rsidP="00A9140F">
            <w:pPr>
              <w:pStyle w:val="AnnexNormal"/>
              <w:spacing w:after="0" w:line="240" w:lineRule="auto"/>
            </w:pPr>
            <w:r>
              <w:t>5.12.</w:t>
            </w:r>
          </w:p>
        </w:tc>
        <w:tc>
          <w:tcPr>
            <w:tcW w:w="8370" w:type="dxa"/>
            <w:gridSpan w:val="2"/>
            <w:tcMar>
              <w:top w:w="180" w:type="dxa"/>
              <w:bottom w:w="180" w:type="dxa"/>
            </w:tcMar>
          </w:tcPr>
          <w:p w14:paraId="04A01AD2" w14:textId="77777777" w:rsidR="002B5657" w:rsidRDefault="002B5657" w:rsidP="00A9140F">
            <w:pPr>
              <w:pStyle w:val="AnnexNormal"/>
              <w:tabs>
                <w:tab w:val="right" w:leader="dot" w:pos="8154"/>
              </w:tabs>
              <w:spacing w:after="0" w:line="240" w:lineRule="auto"/>
            </w:pPr>
            <w:r>
              <w:t>Varanleg geymsla koltvísýrings neðanjarðar</w:t>
            </w:r>
            <w:r>
              <w:tab/>
            </w:r>
          </w:p>
        </w:tc>
        <w:tc>
          <w:tcPr>
            <w:tcW w:w="378" w:type="dxa"/>
            <w:tcMar>
              <w:top w:w="180" w:type="dxa"/>
              <w:bottom w:w="180" w:type="dxa"/>
              <w:right w:w="0" w:type="dxa"/>
            </w:tcMar>
          </w:tcPr>
          <w:p w14:paraId="0D31A38A" w14:textId="77777777" w:rsidR="002B5657" w:rsidRDefault="002B5657" w:rsidP="00A9140F">
            <w:pPr>
              <w:pStyle w:val="AnnexNormal"/>
              <w:spacing w:after="0" w:line="240" w:lineRule="auto"/>
            </w:pPr>
            <w:r>
              <w:t>277</w:t>
            </w:r>
          </w:p>
        </w:tc>
      </w:tr>
      <w:tr w:rsidR="002B5657" w14:paraId="4A211341" w14:textId="77777777" w:rsidTr="00A9140F">
        <w:trPr>
          <w:trHeight w:val="20"/>
        </w:trPr>
        <w:tc>
          <w:tcPr>
            <w:tcW w:w="480" w:type="dxa"/>
            <w:tcMar>
              <w:top w:w="180" w:type="dxa"/>
              <w:left w:w="0" w:type="dxa"/>
              <w:bottom w:w="180" w:type="dxa"/>
            </w:tcMar>
          </w:tcPr>
          <w:p w14:paraId="07ACF959" w14:textId="77777777" w:rsidR="002B5657" w:rsidRDefault="002B5657" w:rsidP="00A9140F">
            <w:pPr>
              <w:pStyle w:val="AnnexNormal"/>
              <w:spacing w:after="0" w:line="240" w:lineRule="auto"/>
            </w:pPr>
            <w:r>
              <w:t>6.</w:t>
            </w:r>
          </w:p>
        </w:tc>
        <w:tc>
          <w:tcPr>
            <w:tcW w:w="8370" w:type="dxa"/>
            <w:gridSpan w:val="2"/>
            <w:tcMar>
              <w:top w:w="180" w:type="dxa"/>
              <w:bottom w:w="180" w:type="dxa"/>
            </w:tcMar>
          </w:tcPr>
          <w:p w14:paraId="11E6900B" w14:textId="77777777" w:rsidR="002B5657" w:rsidRDefault="002B5657" w:rsidP="00A9140F">
            <w:pPr>
              <w:pStyle w:val="AnnexNormal"/>
              <w:tabs>
                <w:tab w:val="right" w:leader="dot" w:pos="8154"/>
              </w:tabs>
              <w:spacing w:after="0" w:line="240" w:lineRule="auto"/>
            </w:pPr>
            <w:r>
              <w:t>Flutningar</w:t>
            </w:r>
            <w:r>
              <w:tab/>
            </w:r>
          </w:p>
        </w:tc>
        <w:tc>
          <w:tcPr>
            <w:tcW w:w="378" w:type="dxa"/>
            <w:tcMar>
              <w:top w:w="180" w:type="dxa"/>
              <w:bottom w:w="180" w:type="dxa"/>
              <w:right w:w="0" w:type="dxa"/>
            </w:tcMar>
          </w:tcPr>
          <w:p w14:paraId="5530BF20" w14:textId="77777777" w:rsidR="002B5657" w:rsidRDefault="002B5657" w:rsidP="00A9140F">
            <w:pPr>
              <w:pStyle w:val="AnnexNormal"/>
              <w:spacing w:after="0" w:line="240" w:lineRule="auto"/>
            </w:pPr>
            <w:r>
              <w:t>278</w:t>
            </w:r>
          </w:p>
        </w:tc>
      </w:tr>
      <w:tr w:rsidR="002B5657" w14:paraId="1C901DDC" w14:textId="77777777" w:rsidTr="00A9140F">
        <w:trPr>
          <w:trHeight w:val="20"/>
        </w:trPr>
        <w:tc>
          <w:tcPr>
            <w:tcW w:w="480" w:type="dxa"/>
            <w:tcMar>
              <w:top w:w="180" w:type="dxa"/>
              <w:left w:w="0" w:type="dxa"/>
              <w:bottom w:w="180" w:type="dxa"/>
            </w:tcMar>
          </w:tcPr>
          <w:p w14:paraId="71EC7C47" w14:textId="77777777" w:rsidR="002B5657" w:rsidRDefault="002B5657" w:rsidP="00A9140F">
            <w:pPr>
              <w:pStyle w:val="AnnexNormal"/>
              <w:spacing w:after="0" w:line="240" w:lineRule="auto"/>
            </w:pPr>
            <w:r>
              <w:t>6.1.</w:t>
            </w:r>
          </w:p>
        </w:tc>
        <w:tc>
          <w:tcPr>
            <w:tcW w:w="8370" w:type="dxa"/>
            <w:gridSpan w:val="2"/>
            <w:tcMar>
              <w:top w:w="180" w:type="dxa"/>
              <w:bottom w:w="180" w:type="dxa"/>
            </w:tcMar>
          </w:tcPr>
          <w:p w14:paraId="18689D91" w14:textId="77777777" w:rsidR="002B5657" w:rsidRDefault="002B5657" w:rsidP="00A9140F">
            <w:pPr>
              <w:pStyle w:val="AnnexNormal"/>
              <w:tabs>
                <w:tab w:val="right" w:leader="dot" w:pos="8154"/>
              </w:tabs>
              <w:spacing w:after="0" w:line="240" w:lineRule="auto"/>
            </w:pPr>
            <w:r>
              <w:t>Farþegaflutningar með járnbrautum milli borga</w:t>
            </w:r>
            <w:r>
              <w:tab/>
            </w:r>
          </w:p>
        </w:tc>
        <w:tc>
          <w:tcPr>
            <w:tcW w:w="378" w:type="dxa"/>
            <w:tcMar>
              <w:top w:w="180" w:type="dxa"/>
              <w:bottom w:w="180" w:type="dxa"/>
              <w:right w:w="0" w:type="dxa"/>
            </w:tcMar>
          </w:tcPr>
          <w:p w14:paraId="00717B34" w14:textId="77777777" w:rsidR="002B5657" w:rsidRDefault="002B5657" w:rsidP="00A9140F">
            <w:pPr>
              <w:pStyle w:val="AnnexNormal"/>
              <w:spacing w:after="0" w:line="240" w:lineRule="auto"/>
            </w:pPr>
            <w:r>
              <w:t>278</w:t>
            </w:r>
          </w:p>
        </w:tc>
      </w:tr>
      <w:tr w:rsidR="002B5657" w14:paraId="62331356" w14:textId="77777777" w:rsidTr="00A9140F">
        <w:trPr>
          <w:trHeight w:val="20"/>
        </w:trPr>
        <w:tc>
          <w:tcPr>
            <w:tcW w:w="480" w:type="dxa"/>
            <w:tcMar>
              <w:top w:w="180" w:type="dxa"/>
              <w:left w:w="0" w:type="dxa"/>
              <w:bottom w:w="180" w:type="dxa"/>
            </w:tcMar>
          </w:tcPr>
          <w:p w14:paraId="5FD63B97" w14:textId="77777777" w:rsidR="002B5657" w:rsidRDefault="002B5657" w:rsidP="00A9140F">
            <w:pPr>
              <w:pStyle w:val="AnnexNormal"/>
              <w:spacing w:after="0" w:line="240" w:lineRule="auto"/>
            </w:pPr>
            <w:r>
              <w:t>6.2.</w:t>
            </w:r>
          </w:p>
        </w:tc>
        <w:tc>
          <w:tcPr>
            <w:tcW w:w="8370" w:type="dxa"/>
            <w:gridSpan w:val="2"/>
            <w:tcMar>
              <w:top w:w="180" w:type="dxa"/>
              <w:bottom w:w="180" w:type="dxa"/>
            </w:tcMar>
          </w:tcPr>
          <w:p w14:paraId="38B8FDD0" w14:textId="77777777" w:rsidR="002B5657" w:rsidRDefault="002B5657" w:rsidP="00A9140F">
            <w:pPr>
              <w:pStyle w:val="AnnexNormal"/>
              <w:tabs>
                <w:tab w:val="right" w:leader="dot" w:pos="8154"/>
              </w:tabs>
              <w:spacing w:after="0" w:line="240" w:lineRule="auto"/>
            </w:pPr>
            <w:r>
              <w:t>Vöruflutningar með járnbrautum</w:t>
            </w:r>
            <w:r>
              <w:tab/>
            </w:r>
          </w:p>
        </w:tc>
        <w:tc>
          <w:tcPr>
            <w:tcW w:w="378" w:type="dxa"/>
            <w:tcMar>
              <w:top w:w="180" w:type="dxa"/>
              <w:bottom w:w="180" w:type="dxa"/>
              <w:right w:w="0" w:type="dxa"/>
            </w:tcMar>
          </w:tcPr>
          <w:p w14:paraId="2BEDF093" w14:textId="77777777" w:rsidR="002B5657" w:rsidRDefault="002B5657" w:rsidP="00A9140F">
            <w:pPr>
              <w:pStyle w:val="AnnexNormal"/>
              <w:spacing w:after="0" w:line="240" w:lineRule="auto"/>
            </w:pPr>
            <w:r>
              <w:t>279</w:t>
            </w:r>
          </w:p>
        </w:tc>
      </w:tr>
      <w:tr w:rsidR="002B5657" w14:paraId="284CE2A6" w14:textId="77777777" w:rsidTr="00A9140F">
        <w:trPr>
          <w:trHeight w:val="20"/>
        </w:trPr>
        <w:tc>
          <w:tcPr>
            <w:tcW w:w="480" w:type="dxa"/>
            <w:tcMar>
              <w:top w:w="180" w:type="dxa"/>
              <w:left w:w="0" w:type="dxa"/>
              <w:bottom w:w="180" w:type="dxa"/>
            </w:tcMar>
          </w:tcPr>
          <w:p w14:paraId="5C79C593" w14:textId="77777777" w:rsidR="002B5657" w:rsidRDefault="002B5657" w:rsidP="00A9140F">
            <w:pPr>
              <w:pStyle w:val="AnnexNormal"/>
              <w:spacing w:after="0" w:line="240" w:lineRule="auto"/>
            </w:pPr>
            <w:r>
              <w:t>6.3.</w:t>
            </w:r>
          </w:p>
        </w:tc>
        <w:tc>
          <w:tcPr>
            <w:tcW w:w="8370" w:type="dxa"/>
            <w:gridSpan w:val="2"/>
            <w:tcMar>
              <w:top w:w="180" w:type="dxa"/>
              <w:bottom w:w="180" w:type="dxa"/>
            </w:tcMar>
          </w:tcPr>
          <w:p w14:paraId="469D717E" w14:textId="77777777" w:rsidR="002B5657" w:rsidRDefault="002B5657" w:rsidP="00A9140F">
            <w:pPr>
              <w:pStyle w:val="AnnexNormal"/>
              <w:tabs>
                <w:tab w:val="right" w:leader="dot" w:pos="8154"/>
              </w:tabs>
              <w:spacing w:after="0" w:line="240" w:lineRule="auto"/>
            </w:pPr>
            <w:r>
              <w:t>Flutningar í þéttbýli og úthverfum, farþegaflutningar á vegum</w:t>
            </w:r>
            <w:r>
              <w:tab/>
            </w:r>
          </w:p>
        </w:tc>
        <w:tc>
          <w:tcPr>
            <w:tcW w:w="378" w:type="dxa"/>
            <w:tcMar>
              <w:top w:w="180" w:type="dxa"/>
              <w:bottom w:w="180" w:type="dxa"/>
              <w:right w:w="0" w:type="dxa"/>
            </w:tcMar>
          </w:tcPr>
          <w:p w14:paraId="2117C77E" w14:textId="77777777" w:rsidR="002B5657" w:rsidRDefault="002B5657" w:rsidP="00A9140F">
            <w:pPr>
              <w:pStyle w:val="AnnexNormal"/>
              <w:spacing w:after="0" w:line="240" w:lineRule="auto"/>
            </w:pPr>
            <w:r>
              <w:t>281</w:t>
            </w:r>
          </w:p>
        </w:tc>
      </w:tr>
      <w:tr w:rsidR="002B5657" w14:paraId="716C0EC1" w14:textId="77777777" w:rsidTr="00A9140F">
        <w:trPr>
          <w:trHeight w:val="20"/>
        </w:trPr>
        <w:tc>
          <w:tcPr>
            <w:tcW w:w="480" w:type="dxa"/>
            <w:tcMar>
              <w:top w:w="180" w:type="dxa"/>
              <w:left w:w="0" w:type="dxa"/>
              <w:bottom w:w="180" w:type="dxa"/>
            </w:tcMar>
          </w:tcPr>
          <w:p w14:paraId="289FC4C9" w14:textId="77777777" w:rsidR="002B5657" w:rsidRDefault="002B5657" w:rsidP="00A9140F">
            <w:pPr>
              <w:pStyle w:val="AnnexNormal"/>
              <w:spacing w:after="0" w:line="240" w:lineRule="auto"/>
            </w:pPr>
            <w:r>
              <w:t>6.4.</w:t>
            </w:r>
          </w:p>
        </w:tc>
        <w:tc>
          <w:tcPr>
            <w:tcW w:w="8370" w:type="dxa"/>
            <w:gridSpan w:val="2"/>
            <w:tcMar>
              <w:top w:w="180" w:type="dxa"/>
              <w:bottom w:w="180" w:type="dxa"/>
            </w:tcMar>
          </w:tcPr>
          <w:p w14:paraId="144D1BA1" w14:textId="77777777" w:rsidR="002B5657" w:rsidRDefault="002B5657" w:rsidP="00A9140F">
            <w:pPr>
              <w:pStyle w:val="AnnexNormal"/>
              <w:tabs>
                <w:tab w:val="right" w:leader="dot" w:pos="8154"/>
              </w:tabs>
              <w:spacing w:after="0" w:line="240" w:lineRule="auto"/>
            </w:pPr>
            <w:proofErr w:type="spellStart"/>
            <w:r>
              <w:t>Starfræksla</w:t>
            </w:r>
            <w:proofErr w:type="spellEnd"/>
            <w:r>
              <w:t xml:space="preserve"> á ferlitækjum einstaklinga, nytjahjólaflutningastjórnun</w:t>
            </w:r>
            <w:r>
              <w:tab/>
            </w:r>
          </w:p>
        </w:tc>
        <w:tc>
          <w:tcPr>
            <w:tcW w:w="378" w:type="dxa"/>
            <w:tcMar>
              <w:top w:w="180" w:type="dxa"/>
              <w:bottom w:w="180" w:type="dxa"/>
              <w:right w:w="0" w:type="dxa"/>
            </w:tcMar>
          </w:tcPr>
          <w:p w14:paraId="6D29A356" w14:textId="77777777" w:rsidR="002B5657" w:rsidRDefault="002B5657" w:rsidP="00A9140F">
            <w:pPr>
              <w:pStyle w:val="AnnexNormal"/>
              <w:spacing w:after="0" w:line="240" w:lineRule="auto"/>
            </w:pPr>
            <w:r>
              <w:t>283</w:t>
            </w:r>
          </w:p>
        </w:tc>
      </w:tr>
      <w:tr w:rsidR="002B5657" w14:paraId="57094072" w14:textId="77777777" w:rsidTr="00A9140F">
        <w:trPr>
          <w:trHeight w:val="20"/>
        </w:trPr>
        <w:tc>
          <w:tcPr>
            <w:tcW w:w="480" w:type="dxa"/>
            <w:tcMar>
              <w:top w:w="180" w:type="dxa"/>
              <w:left w:w="0" w:type="dxa"/>
              <w:bottom w:w="180" w:type="dxa"/>
            </w:tcMar>
          </w:tcPr>
          <w:p w14:paraId="597EED56" w14:textId="77777777" w:rsidR="002B5657" w:rsidRDefault="002B5657" w:rsidP="00A9140F">
            <w:pPr>
              <w:pStyle w:val="AnnexNormal"/>
              <w:spacing w:after="0" w:line="240" w:lineRule="auto"/>
            </w:pPr>
            <w:r>
              <w:lastRenderedPageBreak/>
              <w:t>6.5.</w:t>
            </w:r>
          </w:p>
        </w:tc>
        <w:tc>
          <w:tcPr>
            <w:tcW w:w="8370" w:type="dxa"/>
            <w:gridSpan w:val="2"/>
            <w:tcMar>
              <w:top w:w="180" w:type="dxa"/>
              <w:bottom w:w="180" w:type="dxa"/>
            </w:tcMar>
          </w:tcPr>
          <w:p w14:paraId="7563D361" w14:textId="77777777" w:rsidR="002B5657" w:rsidRDefault="002B5657" w:rsidP="00A9140F">
            <w:pPr>
              <w:pStyle w:val="AnnexNormal"/>
              <w:tabs>
                <w:tab w:val="right" w:leader="dot" w:pos="8154"/>
              </w:tabs>
              <w:spacing w:after="0" w:line="240" w:lineRule="auto"/>
            </w:pPr>
            <w:r>
              <w:t>Flutningar með mótorhjólum, fólksbifreiðum og atvinnuökutækjum</w:t>
            </w:r>
            <w:r>
              <w:tab/>
            </w:r>
          </w:p>
        </w:tc>
        <w:tc>
          <w:tcPr>
            <w:tcW w:w="378" w:type="dxa"/>
            <w:tcMar>
              <w:top w:w="180" w:type="dxa"/>
              <w:bottom w:w="180" w:type="dxa"/>
              <w:right w:w="0" w:type="dxa"/>
            </w:tcMar>
          </w:tcPr>
          <w:p w14:paraId="11B139F6" w14:textId="77777777" w:rsidR="002B5657" w:rsidRDefault="002B5657" w:rsidP="00A9140F">
            <w:pPr>
              <w:pStyle w:val="AnnexNormal"/>
              <w:spacing w:after="0" w:line="240" w:lineRule="auto"/>
            </w:pPr>
            <w:r>
              <w:t>284</w:t>
            </w:r>
          </w:p>
        </w:tc>
      </w:tr>
      <w:tr w:rsidR="002B5657" w14:paraId="73C3A979" w14:textId="77777777" w:rsidTr="00A9140F">
        <w:trPr>
          <w:trHeight w:val="20"/>
        </w:trPr>
        <w:tc>
          <w:tcPr>
            <w:tcW w:w="480" w:type="dxa"/>
            <w:tcMar>
              <w:left w:w="0" w:type="dxa"/>
            </w:tcMar>
          </w:tcPr>
          <w:p w14:paraId="18FA4A74" w14:textId="77777777" w:rsidR="002B5657" w:rsidRDefault="002B5657" w:rsidP="00A9140F">
            <w:pPr>
              <w:pStyle w:val="AnnexNormal"/>
              <w:pageBreakBefore/>
              <w:spacing w:after="0" w:line="240" w:lineRule="auto"/>
            </w:pPr>
            <w:r>
              <w:lastRenderedPageBreak/>
              <w:t>6.6.</w:t>
            </w:r>
          </w:p>
        </w:tc>
        <w:tc>
          <w:tcPr>
            <w:tcW w:w="8370" w:type="dxa"/>
            <w:gridSpan w:val="2"/>
          </w:tcPr>
          <w:p w14:paraId="55071357" w14:textId="77777777" w:rsidR="002B5657" w:rsidRDefault="002B5657" w:rsidP="00A9140F">
            <w:pPr>
              <w:pStyle w:val="AnnexNormal"/>
              <w:tabs>
                <w:tab w:val="right" w:leader="dot" w:pos="8154"/>
              </w:tabs>
              <w:spacing w:after="0" w:line="240" w:lineRule="auto"/>
            </w:pPr>
            <w:r>
              <w:t>Vöruflutningaþjónusta á vegum</w:t>
            </w:r>
            <w:r>
              <w:tab/>
            </w:r>
          </w:p>
        </w:tc>
        <w:tc>
          <w:tcPr>
            <w:tcW w:w="378" w:type="dxa"/>
            <w:tcMar>
              <w:right w:w="0" w:type="dxa"/>
            </w:tcMar>
          </w:tcPr>
          <w:p w14:paraId="0B7DCA39" w14:textId="77777777" w:rsidR="002B5657" w:rsidRDefault="002B5657" w:rsidP="00A9140F">
            <w:pPr>
              <w:pStyle w:val="AnnexNormal"/>
              <w:spacing w:after="0" w:line="240" w:lineRule="auto"/>
            </w:pPr>
            <w:r>
              <w:t>287</w:t>
            </w:r>
          </w:p>
        </w:tc>
      </w:tr>
      <w:tr w:rsidR="002B5657" w14:paraId="705223C1" w14:textId="77777777" w:rsidTr="00A9140F">
        <w:trPr>
          <w:trHeight w:val="20"/>
        </w:trPr>
        <w:tc>
          <w:tcPr>
            <w:tcW w:w="480" w:type="dxa"/>
            <w:tcMar>
              <w:left w:w="0" w:type="dxa"/>
            </w:tcMar>
          </w:tcPr>
          <w:p w14:paraId="34496CB6" w14:textId="77777777" w:rsidR="002B5657" w:rsidRDefault="002B5657" w:rsidP="00A9140F">
            <w:pPr>
              <w:pStyle w:val="AnnexNormal"/>
              <w:spacing w:after="0" w:line="240" w:lineRule="auto"/>
            </w:pPr>
            <w:r>
              <w:t>6.7.</w:t>
            </w:r>
          </w:p>
        </w:tc>
        <w:tc>
          <w:tcPr>
            <w:tcW w:w="8370" w:type="dxa"/>
            <w:gridSpan w:val="2"/>
          </w:tcPr>
          <w:p w14:paraId="7FDC4F5D" w14:textId="77777777" w:rsidR="002B5657" w:rsidRDefault="002B5657" w:rsidP="00A9140F">
            <w:pPr>
              <w:pStyle w:val="AnnexNormal"/>
              <w:tabs>
                <w:tab w:val="right" w:leader="dot" w:pos="8154"/>
              </w:tabs>
              <w:spacing w:after="0" w:line="240" w:lineRule="auto"/>
            </w:pPr>
            <w:r>
              <w:t>Farþegaflutningar á skipgengum vatnaleiðum</w:t>
            </w:r>
            <w:r>
              <w:tab/>
            </w:r>
          </w:p>
        </w:tc>
        <w:tc>
          <w:tcPr>
            <w:tcW w:w="378" w:type="dxa"/>
            <w:tcMar>
              <w:right w:w="0" w:type="dxa"/>
            </w:tcMar>
          </w:tcPr>
          <w:p w14:paraId="41DDAD67" w14:textId="77777777" w:rsidR="002B5657" w:rsidRDefault="002B5657" w:rsidP="00A9140F">
            <w:pPr>
              <w:pStyle w:val="AnnexNormal"/>
              <w:spacing w:after="0" w:line="240" w:lineRule="auto"/>
            </w:pPr>
            <w:r>
              <w:t>289</w:t>
            </w:r>
          </w:p>
        </w:tc>
      </w:tr>
      <w:tr w:rsidR="002B5657" w14:paraId="59887BBE" w14:textId="77777777" w:rsidTr="00A9140F">
        <w:trPr>
          <w:trHeight w:val="20"/>
        </w:trPr>
        <w:tc>
          <w:tcPr>
            <w:tcW w:w="480" w:type="dxa"/>
            <w:tcMar>
              <w:left w:w="0" w:type="dxa"/>
            </w:tcMar>
          </w:tcPr>
          <w:p w14:paraId="1A328D11" w14:textId="77777777" w:rsidR="002B5657" w:rsidRDefault="002B5657" w:rsidP="00A9140F">
            <w:pPr>
              <w:pStyle w:val="AnnexNormal"/>
              <w:spacing w:after="0" w:line="240" w:lineRule="auto"/>
            </w:pPr>
            <w:r>
              <w:t>6.8.</w:t>
            </w:r>
          </w:p>
        </w:tc>
        <w:tc>
          <w:tcPr>
            <w:tcW w:w="8370" w:type="dxa"/>
            <w:gridSpan w:val="2"/>
          </w:tcPr>
          <w:p w14:paraId="205A72A9" w14:textId="77777777" w:rsidR="002B5657" w:rsidRDefault="002B5657" w:rsidP="00A9140F">
            <w:pPr>
              <w:pStyle w:val="AnnexNormal"/>
              <w:tabs>
                <w:tab w:val="right" w:leader="dot" w:pos="8154"/>
              </w:tabs>
              <w:spacing w:after="0" w:line="240" w:lineRule="auto"/>
            </w:pPr>
            <w:r>
              <w:t>Vöruflutningar á skipgengum vatnaleiðum</w:t>
            </w:r>
            <w:r>
              <w:tab/>
            </w:r>
          </w:p>
        </w:tc>
        <w:tc>
          <w:tcPr>
            <w:tcW w:w="378" w:type="dxa"/>
            <w:tcMar>
              <w:right w:w="0" w:type="dxa"/>
            </w:tcMar>
          </w:tcPr>
          <w:p w14:paraId="48ED7AB0" w14:textId="77777777" w:rsidR="002B5657" w:rsidRDefault="002B5657" w:rsidP="00A9140F">
            <w:pPr>
              <w:pStyle w:val="AnnexNormal"/>
              <w:spacing w:after="0" w:line="240" w:lineRule="auto"/>
            </w:pPr>
            <w:r>
              <w:t>290</w:t>
            </w:r>
          </w:p>
        </w:tc>
      </w:tr>
      <w:tr w:rsidR="002B5657" w14:paraId="22F77459" w14:textId="77777777" w:rsidTr="00A9140F">
        <w:trPr>
          <w:trHeight w:val="20"/>
        </w:trPr>
        <w:tc>
          <w:tcPr>
            <w:tcW w:w="480" w:type="dxa"/>
            <w:tcMar>
              <w:left w:w="0" w:type="dxa"/>
            </w:tcMar>
          </w:tcPr>
          <w:p w14:paraId="63FFFEA4" w14:textId="77777777" w:rsidR="002B5657" w:rsidRDefault="002B5657" w:rsidP="00A9140F">
            <w:pPr>
              <w:pStyle w:val="AnnexNormal"/>
              <w:spacing w:after="0" w:line="240" w:lineRule="auto"/>
            </w:pPr>
            <w:r>
              <w:t>6.9.</w:t>
            </w:r>
          </w:p>
        </w:tc>
        <w:tc>
          <w:tcPr>
            <w:tcW w:w="8370" w:type="dxa"/>
            <w:gridSpan w:val="2"/>
          </w:tcPr>
          <w:p w14:paraId="6ED8B284" w14:textId="77777777" w:rsidR="002B5657" w:rsidRDefault="002B5657" w:rsidP="00A9140F">
            <w:pPr>
              <w:pStyle w:val="AnnexNormal"/>
              <w:tabs>
                <w:tab w:val="right" w:leader="dot" w:pos="8154"/>
              </w:tabs>
              <w:spacing w:after="0" w:line="240" w:lineRule="auto"/>
            </w:pPr>
            <w:r>
              <w:t>Endurbætur á farþega- og vöruflutningum eftir skipgengum vatnaleiðum</w:t>
            </w:r>
            <w:r>
              <w:tab/>
            </w:r>
          </w:p>
        </w:tc>
        <w:tc>
          <w:tcPr>
            <w:tcW w:w="378" w:type="dxa"/>
            <w:tcMar>
              <w:right w:w="0" w:type="dxa"/>
            </w:tcMar>
          </w:tcPr>
          <w:p w14:paraId="0A456319" w14:textId="77777777" w:rsidR="002B5657" w:rsidRDefault="002B5657" w:rsidP="00A9140F">
            <w:pPr>
              <w:pStyle w:val="AnnexNormal"/>
              <w:spacing w:after="0" w:line="240" w:lineRule="auto"/>
            </w:pPr>
            <w:r>
              <w:t>292</w:t>
            </w:r>
          </w:p>
        </w:tc>
      </w:tr>
      <w:tr w:rsidR="002B5657" w14:paraId="53A32A94" w14:textId="77777777" w:rsidTr="00A9140F">
        <w:trPr>
          <w:trHeight w:val="20"/>
        </w:trPr>
        <w:tc>
          <w:tcPr>
            <w:tcW w:w="480" w:type="dxa"/>
            <w:tcMar>
              <w:left w:w="0" w:type="dxa"/>
            </w:tcMar>
          </w:tcPr>
          <w:p w14:paraId="0A375200" w14:textId="77777777" w:rsidR="002B5657" w:rsidRDefault="002B5657" w:rsidP="00A9140F">
            <w:pPr>
              <w:pStyle w:val="AnnexNormal"/>
              <w:spacing w:after="0" w:line="240" w:lineRule="auto"/>
            </w:pPr>
            <w:r>
              <w:t>6.10.</w:t>
            </w:r>
          </w:p>
        </w:tc>
        <w:tc>
          <w:tcPr>
            <w:tcW w:w="8370" w:type="dxa"/>
            <w:gridSpan w:val="2"/>
          </w:tcPr>
          <w:p w14:paraId="07519169" w14:textId="77777777" w:rsidR="002B5657" w:rsidRDefault="002B5657" w:rsidP="00A9140F">
            <w:pPr>
              <w:pStyle w:val="AnnexNormal"/>
              <w:tabs>
                <w:tab w:val="right" w:leader="dot" w:pos="8154"/>
              </w:tabs>
              <w:spacing w:after="0" w:line="240" w:lineRule="auto"/>
            </w:pPr>
            <w:r>
              <w:t>Millilanda- og strandsiglingar með vörur, skip fyrir hafnarstarfsemi og aukastarfsemi</w:t>
            </w:r>
            <w:r>
              <w:tab/>
            </w:r>
          </w:p>
        </w:tc>
        <w:tc>
          <w:tcPr>
            <w:tcW w:w="378" w:type="dxa"/>
            <w:tcMar>
              <w:right w:w="0" w:type="dxa"/>
            </w:tcMar>
          </w:tcPr>
          <w:p w14:paraId="5F442097" w14:textId="77777777" w:rsidR="002B5657" w:rsidRDefault="002B5657" w:rsidP="00A9140F">
            <w:pPr>
              <w:pStyle w:val="AnnexNormal"/>
              <w:spacing w:after="0" w:line="240" w:lineRule="auto"/>
            </w:pPr>
            <w:r>
              <w:t>293</w:t>
            </w:r>
          </w:p>
        </w:tc>
      </w:tr>
      <w:tr w:rsidR="002B5657" w14:paraId="64AD123E" w14:textId="77777777" w:rsidTr="00A9140F">
        <w:trPr>
          <w:trHeight w:val="20"/>
        </w:trPr>
        <w:tc>
          <w:tcPr>
            <w:tcW w:w="480" w:type="dxa"/>
            <w:tcMar>
              <w:left w:w="0" w:type="dxa"/>
            </w:tcMar>
          </w:tcPr>
          <w:p w14:paraId="35A554EB" w14:textId="77777777" w:rsidR="002B5657" w:rsidRDefault="002B5657" w:rsidP="00A9140F">
            <w:pPr>
              <w:pStyle w:val="AnnexNormal"/>
              <w:spacing w:after="0" w:line="240" w:lineRule="auto"/>
            </w:pPr>
            <w:r>
              <w:t>6.11.</w:t>
            </w:r>
          </w:p>
        </w:tc>
        <w:tc>
          <w:tcPr>
            <w:tcW w:w="8370" w:type="dxa"/>
            <w:gridSpan w:val="2"/>
          </w:tcPr>
          <w:p w14:paraId="22B79D74" w14:textId="77777777" w:rsidR="002B5657" w:rsidRDefault="002B5657" w:rsidP="00A9140F">
            <w:pPr>
              <w:pStyle w:val="AnnexNormal"/>
              <w:tabs>
                <w:tab w:val="right" w:leader="dot" w:pos="8154"/>
              </w:tabs>
              <w:spacing w:after="0" w:line="240" w:lineRule="auto"/>
            </w:pPr>
            <w:r>
              <w:t>Millilanda- og strandsiglingar með farþega</w:t>
            </w:r>
            <w:r>
              <w:tab/>
            </w:r>
          </w:p>
        </w:tc>
        <w:tc>
          <w:tcPr>
            <w:tcW w:w="378" w:type="dxa"/>
            <w:tcMar>
              <w:right w:w="0" w:type="dxa"/>
            </w:tcMar>
          </w:tcPr>
          <w:p w14:paraId="79203C0F" w14:textId="77777777" w:rsidR="002B5657" w:rsidRDefault="002B5657" w:rsidP="00A9140F">
            <w:pPr>
              <w:pStyle w:val="AnnexNormal"/>
              <w:spacing w:after="0" w:line="240" w:lineRule="auto"/>
            </w:pPr>
            <w:r>
              <w:t>296</w:t>
            </w:r>
          </w:p>
        </w:tc>
      </w:tr>
      <w:tr w:rsidR="002B5657" w14:paraId="2C415BB7" w14:textId="77777777" w:rsidTr="00A9140F">
        <w:trPr>
          <w:trHeight w:val="20"/>
        </w:trPr>
        <w:tc>
          <w:tcPr>
            <w:tcW w:w="480" w:type="dxa"/>
            <w:tcMar>
              <w:left w:w="0" w:type="dxa"/>
            </w:tcMar>
          </w:tcPr>
          <w:p w14:paraId="5EA1CC08" w14:textId="77777777" w:rsidR="002B5657" w:rsidRDefault="002B5657" w:rsidP="00A9140F">
            <w:pPr>
              <w:pStyle w:val="AnnexNormal"/>
              <w:spacing w:after="0" w:line="240" w:lineRule="auto"/>
            </w:pPr>
            <w:r>
              <w:t>6.12.</w:t>
            </w:r>
          </w:p>
        </w:tc>
        <w:tc>
          <w:tcPr>
            <w:tcW w:w="8370" w:type="dxa"/>
            <w:gridSpan w:val="2"/>
          </w:tcPr>
          <w:p w14:paraId="001D4440" w14:textId="77777777" w:rsidR="002B5657" w:rsidRDefault="002B5657" w:rsidP="00A9140F">
            <w:pPr>
              <w:pStyle w:val="AnnexNormal"/>
              <w:tabs>
                <w:tab w:val="right" w:leader="dot" w:pos="8154"/>
              </w:tabs>
              <w:spacing w:after="0" w:line="240" w:lineRule="auto"/>
            </w:pPr>
            <w:r>
              <w:t>Endurbætur á millilanda- og strandsiglingum með vörur og farþega</w:t>
            </w:r>
            <w:r>
              <w:tab/>
            </w:r>
          </w:p>
        </w:tc>
        <w:tc>
          <w:tcPr>
            <w:tcW w:w="378" w:type="dxa"/>
            <w:tcMar>
              <w:right w:w="0" w:type="dxa"/>
            </w:tcMar>
          </w:tcPr>
          <w:p w14:paraId="7DCFE998" w14:textId="77777777" w:rsidR="002B5657" w:rsidRDefault="002B5657" w:rsidP="00A9140F">
            <w:pPr>
              <w:pStyle w:val="AnnexNormal"/>
              <w:spacing w:after="0" w:line="240" w:lineRule="auto"/>
            </w:pPr>
            <w:r>
              <w:t>298</w:t>
            </w:r>
          </w:p>
        </w:tc>
      </w:tr>
      <w:tr w:rsidR="002B5657" w14:paraId="2AFDD284" w14:textId="77777777" w:rsidTr="00A9140F">
        <w:trPr>
          <w:trHeight w:val="20"/>
        </w:trPr>
        <w:tc>
          <w:tcPr>
            <w:tcW w:w="480" w:type="dxa"/>
            <w:tcMar>
              <w:left w:w="0" w:type="dxa"/>
            </w:tcMar>
          </w:tcPr>
          <w:p w14:paraId="62684821" w14:textId="77777777" w:rsidR="002B5657" w:rsidRDefault="002B5657" w:rsidP="00A9140F">
            <w:pPr>
              <w:pStyle w:val="AnnexNormal"/>
              <w:spacing w:after="0" w:line="240" w:lineRule="auto"/>
            </w:pPr>
            <w:r>
              <w:t>6.13.</w:t>
            </w:r>
          </w:p>
        </w:tc>
        <w:tc>
          <w:tcPr>
            <w:tcW w:w="8370" w:type="dxa"/>
            <w:gridSpan w:val="2"/>
          </w:tcPr>
          <w:p w14:paraId="55A41339" w14:textId="77777777" w:rsidR="002B5657" w:rsidRDefault="002B5657" w:rsidP="00A9140F">
            <w:pPr>
              <w:pStyle w:val="AnnexNormal"/>
              <w:tabs>
                <w:tab w:val="right" w:leader="dot" w:pos="8154"/>
              </w:tabs>
              <w:spacing w:after="0" w:line="240" w:lineRule="auto"/>
            </w:pPr>
            <w:r>
              <w:t>Grunnvirki fyrir ferlimál einstaklinga, nytjahjólaflutningastjórnun</w:t>
            </w:r>
            <w:r>
              <w:tab/>
            </w:r>
          </w:p>
        </w:tc>
        <w:tc>
          <w:tcPr>
            <w:tcW w:w="378" w:type="dxa"/>
            <w:tcMar>
              <w:right w:w="0" w:type="dxa"/>
            </w:tcMar>
          </w:tcPr>
          <w:p w14:paraId="12824781" w14:textId="77777777" w:rsidR="002B5657" w:rsidRDefault="002B5657" w:rsidP="00A9140F">
            <w:pPr>
              <w:pStyle w:val="AnnexNormal"/>
              <w:spacing w:after="0" w:line="240" w:lineRule="auto"/>
            </w:pPr>
            <w:r>
              <w:t>300</w:t>
            </w:r>
          </w:p>
        </w:tc>
      </w:tr>
      <w:tr w:rsidR="002B5657" w14:paraId="4F0C98AA" w14:textId="77777777" w:rsidTr="00A9140F">
        <w:trPr>
          <w:trHeight w:val="20"/>
        </w:trPr>
        <w:tc>
          <w:tcPr>
            <w:tcW w:w="480" w:type="dxa"/>
            <w:tcMar>
              <w:left w:w="0" w:type="dxa"/>
            </w:tcMar>
          </w:tcPr>
          <w:p w14:paraId="6681E3B3" w14:textId="77777777" w:rsidR="002B5657" w:rsidRDefault="002B5657" w:rsidP="00A9140F">
            <w:pPr>
              <w:pStyle w:val="AnnexNormal"/>
              <w:spacing w:after="0" w:line="240" w:lineRule="auto"/>
            </w:pPr>
            <w:r>
              <w:t>6.14.</w:t>
            </w:r>
          </w:p>
        </w:tc>
        <w:tc>
          <w:tcPr>
            <w:tcW w:w="8370" w:type="dxa"/>
            <w:gridSpan w:val="2"/>
          </w:tcPr>
          <w:p w14:paraId="20092A63" w14:textId="77777777" w:rsidR="002B5657" w:rsidRDefault="002B5657" w:rsidP="00A9140F">
            <w:pPr>
              <w:pStyle w:val="AnnexNormal"/>
              <w:tabs>
                <w:tab w:val="right" w:leader="dot" w:pos="8154"/>
              </w:tabs>
              <w:spacing w:after="0" w:line="240" w:lineRule="auto"/>
            </w:pPr>
            <w:r>
              <w:t>Grunnvirki fyrir flutninga með járnbrautum</w:t>
            </w:r>
            <w:r>
              <w:tab/>
            </w:r>
          </w:p>
        </w:tc>
        <w:tc>
          <w:tcPr>
            <w:tcW w:w="378" w:type="dxa"/>
            <w:tcMar>
              <w:right w:w="0" w:type="dxa"/>
            </w:tcMar>
          </w:tcPr>
          <w:p w14:paraId="1AABE212" w14:textId="77777777" w:rsidR="002B5657" w:rsidRDefault="002B5657" w:rsidP="00A9140F">
            <w:pPr>
              <w:pStyle w:val="AnnexNormal"/>
              <w:spacing w:after="0" w:line="240" w:lineRule="auto"/>
            </w:pPr>
            <w:r>
              <w:t>302</w:t>
            </w:r>
          </w:p>
        </w:tc>
      </w:tr>
      <w:tr w:rsidR="002B5657" w14:paraId="183F3671" w14:textId="77777777" w:rsidTr="00A9140F">
        <w:trPr>
          <w:trHeight w:val="20"/>
        </w:trPr>
        <w:tc>
          <w:tcPr>
            <w:tcW w:w="480" w:type="dxa"/>
            <w:tcMar>
              <w:left w:w="0" w:type="dxa"/>
            </w:tcMar>
          </w:tcPr>
          <w:p w14:paraId="3149A094" w14:textId="77777777" w:rsidR="002B5657" w:rsidRDefault="002B5657" w:rsidP="00A9140F">
            <w:pPr>
              <w:pStyle w:val="AnnexNormal"/>
              <w:spacing w:after="0" w:line="240" w:lineRule="auto"/>
            </w:pPr>
            <w:r>
              <w:t>6.15.</w:t>
            </w:r>
          </w:p>
        </w:tc>
        <w:tc>
          <w:tcPr>
            <w:tcW w:w="8370" w:type="dxa"/>
            <w:gridSpan w:val="2"/>
          </w:tcPr>
          <w:p w14:paraId="70A21A0A" w14:textId="77777777" w:rsidR="002B5657" w:rsidRDefault="002B5657" w:rsidP="00A9140F">
            <w:pPr>
              <w:pStyle w:val="AnnexNormal"/>
              <w:tabs>
                <w:tab w:val="right" w:leader="dot" w:pos="8154"/>
              </w:tabs>
              <w:spacing w:after="0" w:line="240" w:lineRule="auto"/>
            </w:pPr>
            <w:r>
              <w:t>Grunnvirki sem gera flutninga á vegum og almenningssamgöngur möguleg</w:t>
            </w:r>
            <w:r>
              <w:tab/>
            </w:r>
          </w:p>
        </w:tc>
        <w:tc>
          <w:tcPr>
            <w:tcW w:w="378" w:type="dxa"/>
            <w:tcMar>
              <w:right w:w="0" w:type="dxa"/>
            </w:tcMar>
          </w:tcPr>
          <w:p w14:paraId="15CDEE64" w14:textId="77777777" w:rsidR="002B5657" w:rsidRDefault="002B5657" w:rsidP="00A9140F">
            <w:pPr>
              <w:pStyle w:val="AnnexNormal"/>
              <w:spacing w:after="0" w:line="240" w:lineRule="auto"/>
            </w:pPr>
            <w:r>
              <w:t>304</w:t>
            </w:r>
          </w:p>
        </w:tc>
      </w:tr>
      <w:tr w:rsidR="002B5657" w14:paraId="0452D1CC" w14:textId="77777777" w:rsidTr="00A9140F">
        <w:trPr>
          <w:trHeight w:val="20"/>
        </w:trPr>
        <w:tc>
          <w:tcPr>
            <w:tcW w:w="480" w:type="dxa"/>
            <w:tcMar>
              <w:left w:w="0" w:type="dxa"/>
            </w:tcMar>
          </w:tcPr>
          <w:p w14:paraId="4C1844CC" w14:textId="77777777" w:rsidR="002B5657" w:rsidRDefault="002B5657" w:rsidP="00A9140F">
            <w:pPr>
              <w:pStyle w:val="AnnexNormal"/>
              <w:spacing w:after="0" w:line="240" w:lineRule="auto"/>
            </w:pPr>
            <w:r>
              <w:t>6.16.</w:t>
            </w:r>
          </w:p>
        </w:tc>
        <w:tc>
          <w:tcPr>
            <w:tcW w:w="8370" w:type="dxa"/>
            <w:gridSpan w:val="2"/>
          </w:tcPr>
          <w:p w14:paraId="5A142558" w14:textId="77777777" w:rsidR="002B5657" w:rsidRDefault="002B5657" w:rsidP="00A9140F">
            <w:pPr>
              <w:pStyle w:val="AnnexNormal"/>
              <w:tabs>
                <w:tab w:val="right" w:leader="dot" w:pos="8154"/>
              </w:tabs>
              <w:spacing w:after="0" w:line="240" w:lineRule="auto"/>
            </w:pPr>
            <w:r>
              <w:t>Grunnvirki fyrir flutninga á sjó og vatnaleiðum</w:t>
            </w:r>
            <w:r>
              <w:tab/>
            </w:r>
          </w:p>
        </w:tc>
        <w:tc>
          <w:tcPr>
            <w:tcW w:w="378" w:type="dxa"/>
            <w:tcMar>
              <w:right w:w="0" w:type="dxa"/>
            </w:tcMar>
          </w:tcPr>
          <w:p w14:paraId="51E975A3" w14:textId="77777777" w:rsidR="002B5657" w:rsidRDefault="002B5657" w:rsidP="00A9140F">
            <w:pPr>
              <w:pStyle w:val="AnnexNormal"/>
              <w:spacing w:after="0" w:line="240" w:lineRule="auto"/>
            </w:pPr>
            <w:r>
              <w:t>306</w:t>
            </w:r>
          </w:p>
        </w:tc>
      </w:tr>
      <w:tr w:rsidR="002B5657" w14:paraId="2CD781F8" w14:textId="77777777" w:rsidTr="00A9140F">
        <w:trPr>
          <w:trHeight w:val="20"/>
        </w:trPr>
        <w:tc>
          <w:tcPr>
            <w:tcW w:w="480" w:type="dxa"/>
            <w:tcMar>
              <w:left w:w="0" w:type="dxa"/>
            </w:tcMar>
          </w:tcPr>
          <w:p w14:paraId="784741F1" w14:textId="77777777" w:rsidR="002B5657" w:rsidRDefault="002B5657" w:rsidP="00A9140F">
            <w:pPr>
              <w:pStyle w:val="AnnexNormal"/>
              <w:spacing w:after="0" w:line="240" w:lineRule="auto"/>
            </w:pPr>
            <w:r>
              <w:t>6.17.</w:t>
            </w:r>
          </w:p>
        </w:tc>
        <w:tc>
          <w:tcPr>
            <w:tcW w:w="8370" w:type="dxa"/>
            <w:gridSpan w:val="2"/>
          </w:tcPr>
          <w:p w14:paraId="60B9BBA7" w14:textId="77777777" w:rsidR="002B5657" w:rsidRDefault="002B5657" w:rsidP="00A9140F">
            <w:pPr>
              <w:pStyle w:val="AnnexNormal"/>
              <w:tabs>
                <w:tab w:val="right" w:leader="dot" w:pos="8154"/>
              </w:tabs>
              <w:spacing w:after="0" w:line="240" w:lineRule="auto"/>
            </w:pPr>
            <w:r>
              <w:t>Grunnvirki flugvalla</w:t>
            </w:r>
            <w:r>
              <w:tab/>
            </w:r>
          </w:p>
        </w:tc>
        <w:tc>
          <w:tcPr>
            <w:tcW w:w="378" w:type="dxa"/>
            <w:tcMar>
              <w:right w:w="0" w:type="dxa"/>
            </w:tcMar>
          </w:tcPr>
          <w:p w14:paraId="5060CE4F" w14:textId="77777777" w:rsidR="002B5657" w:rsidRDefault="002B5657" w:rsidP="00A9140F">
            <w:pPr>
              <w:pStyle w:val="AnnexNormal"/>
              <w:spacing w:after="0" w:line="240" w:lineRule="auto"/>
            </w:pPr>
            <w:r>
              <w:t>309</w:t>
            </w:r>
          </w:p>
        </w:tc>
      </w:tr>
      <w:tr w:rsidR="002B5657" w14:paraId="655759ED" w14:textId="77777777" w:rsidTr="00A9140F">
        <w:trPr>
          <w:trHeight w:val="20"/>
        </w:trPr>
        <w:tc>
          <w:tcPr>
            <w:tcW w:w="480" w:type="dxa"/>
            <w:tcMar>
              <w:left w:w="0" w:type="dxa"/>
            </w:tcMar>
          </w:tcPr>
          <w:p w14:paraId="62A1D5B1" w14:textId="77777777" w:rsidR="002B5657" w:rsidRDefault="002B5657" w:rsidP="00A9140F">
            <w:pPr>
              <w:pStyle w:val="AnnexNormal"/>
              <w:spacing w:after="0" w:line="240" w:lineRule="auto"/>
            </w:pPr>
            <w:r>
              <w:t>7.</w:t>
            </w:r>
          </w:p>
        </w:tc>
        <w:tc>
          <w:tcPr>
            <w:tcW w:w="8370" w:type="dxa"/>
            <w:gridSpan w:val="2"/>
          </w:tcPr>
          <w:p w14:paraId="758FD5E4" w14:textId="77777777" w:rsidR="002B5657" w:rsidRDefault="002B5657" w:rsidP="00A9140F">
            <w:pPr>
              <w:pStyle w:val="AnnexNormal"/>
              <w:tabs>
                <w:tab w:val="right" w:leader="dot" w:pos="8154"/>
              </w:tabs>
              <w:spacing w:after="0" w:line="240" w:lineRule="auto"/>
            </w:pPr>
            <w:r>
              <w:t>Byggingarstarfsemi og mannvirkjagerð og fasteignir</w:t>
            </w:r>
            <w:r>
              <w:tab/>
            </w:r>
          </w:p>
        </w:tc>
        <w:tc>
          <w:tcPr>
            <w:tcW w:w="378" w:type="dxa"/>
            <w:tcMar>
              <w:right w:w="0" w:type="dxa"/>
            </w:tcMar>
          </w:tcPr>
          <w:p w14:paraId="2A0D8FEE" w14:textId="77777777" w:rsidR="002B5657" w:rsidRDefault="002B5657" w:rsidP="00A9140F">
            <w:pPr>
              <w:pStyle w:val="AnnexNormal"/>
              <w:spacing w:after="0" w:line="240" w:lineRule="auto"/>
            </w:pPr>
            <w:r>
              <w:t>311</w:t>
            </w:r>
          </w:p>
        </w:tc>
      </w:tr>
      <w:tr w:rsidR="002B5657" w14:paraId="2F92E6EB" w14:textId="77777777" w:rsidTr="00A9140F">
        <w:trPr>
          <w:trHeight w:val="20"/>
        </w:trPr>
        <w:tc>
          <w:tcPr>
            <w:tcW w:w="480" w:type="dxa"/>
            <w:tcMar>
              <w:left w:w="0" w:type="dxa"/>
            </w:tcMar>
          </w:tcPr>
          <w:p w14:paraId="6321C957" w14:textId="77777777" w:rsidR="002B5657" w:rsidRDefault="002B5657" w:rsidP="00A9140F">
            <w:pPr>
              <w:pStyle w:val="AnnexNormal"/>
              <w:spacing w:after="0" w:line="240" w:lineRule="auto"/>
            </w:pPr>
            <w:r>
              <w:t>7.1.</w:t>
            </w:r>
          </w:p>
        </w:tc>
        <w:tc>
          <w:tcPr>
            <w:tcW w:w="8370" w:type="dxa"/>
            <w:gridSpan w:val="2"/>
          </w:tcPr>
          <w:p w14:paraId="2235EC31" w14:textId="77777777" w:rsidR="002B5657" w:rsidRDefault="002B5657" w:rsidP="00A9140F">
            <w:pPr>
              <w:pStyle w:val="AnnexNormal"/>
              <w:tabs>
                <w:tab w:val="right" w:leader="dot" w:pos="8154"/>
              </w:tabs>
              <w:spacing w:after="0" w:line="240" w:lineRule="auto"/>
            </w:pPr>
            <w:r>
              <w:t>Smíði nýrra bygginga</w:t>
            </w:r>
            <w:r>
              <w:tab/>
            </w:r>
          </w:p>
        </w:tc>
        <w:tc>
          <w:tcPr>
            <w:tcW w:w="378" w:type="dxa"/>
            <w:tcMar>
              <w:right w:w="0" w:type="dxa"/>
            </w:tcMar>
          </w:tcPr>
          <w:p w14:paraId="09B2E8A0" w14:textId="77777777" w:rsidR="002B5657" w:rsidRDefault="002B5657" w:rsidP="00A9140F">
            <w:pPr>
              <w:pStyle w:val="AnnexNormal"/>
              <w:spacing w:after="0" w:line="240" w:lineRule="auto"/>
            </w:pPr>
            <w:r>
              <w:t>311</w:t>
            </w:r>
          </w:p>
        </w:tc>
      </w:tr>
      <w:tr w:rsidR="002B5657" w14:paraId="753AE319" w14:textId="77777777" w:rsidTr="00A9140F">
        <w:trPr>
          <w:trHeight w:val="20"/>
        </w:trPr>
        <w:tc>
          <w:tcPr>
            <w:tcW w:w="480" w:type="dxa"/>
            <w:tcMar>
              <w:left w:w="0" w:type="dxa"/>
            </w:tcMar>
          </w:tcPr>
          <w:p w14:paraId="31B17FF7" w14:textId="77777777" w:rsidR="002B5657" w:rsidRDefault="002B5657" w:rsidP="00A9140F">
            <w:pPr>
              <w:pStyle w:val="AnnexNormal"/>
              <w:spacing w:after="0" w:line="240" w:lineRule="auto"/>
            </w:pPr>
            <w:r>
              <w:t>7.2.</w:t>
            </w:r>
          </w:p>
        </w:tc>
        <w:tc>
          <w:tcPr>
            <w:tcW w:w="8370" w:type="dxa"/>
            <w:gridSpan w:val="2"/>
          </w:tcPr>
          <w:p w14:paraId="01870239" w14:textId="77777777" w:rsidR="002B5657" w:rsidRDefault="002B5657" w:rsidP="00A9140F">
            <w:pPr>
              <w:pStyle w:val="AnnexNormal"/>
              <w:tabs>
                <w:tab w:val="right" w:leader="dot" w:pos="8154"/>
              </w:tabs>
              <w:spacing w:after="0" w:line="240" w:lineRule="auto"/>
            </w:pPr>
            <w:r>
              <w:t>Endurnýjun bygginga sem fyrir eru</w:t>
            </w:r>
            <w:r>
              <w:tab/>
            </w:r>
          </w:p>
        </w:tc>
        <w:tc>
          <w:tcPr>
            <w:tcW w:w="378" w:type="dxa"/>
            <w:tcMar>
              <w:right w:w="0" w:type="dxa"/>
            </w:tcMar>
          </w:tcPr>
          <w:p w14:paraId="336CEFDE" w14:textId="77777777" w:rsidR="002B5657" w:rsidRDefault="002B5657" w:rsidP="00A9140F">
            <w:pPr>
              <w:pStyle w:val="AnnexNormal"/>
              <w:spacing w:after="0" w:line="240" w:lineRule="auto"/>
            </w:pPr>
            <w:r>
              <w:t>314</w:t>
            </w:r>
          </w:p>
        </w:tc>
      </w:tr>
      <w:tr w:rsidR="002B5657" w14:paraId="2B8365D8" w14:textId="77777777" w:rsidTr="00A9140F">
        <w:trPr>
          <w:trHeight w:val="20"/>
        </w:trPr>
        <w:tc>
          <w:tcPr>
            <w:tcW w:w="480" w:type="dxa"/>
            <w:tcMar>
              <w:left w:w="0" w:type="dxa"/>
            </w:tcMar>
          </w:tcPr>
          <w:p w14:paraId="6F273E69" w14:textId="77777777" w:rsidR="002B5657" w:rsidRDefault="002B5657" w:rsidP="00A9140F">
            <w:pPr>
              <w:pStyle w:val="AnnexNormal"/>
              <w:spacing w:after="0" w:line="240" w:lineRule="auto"/>
            </w:pPr>
            <w:r>
              <w:t>7.3.</w:t>
            </w:r>
          </w:p>
        </w:tc>
        <w:tc>
          <w:tcPr>
            <w:tcW w:w="8370" w:type="dxa"/>
            <w:gridSpan w:val="2"/>
          </w:tcPr>
          <w:p w14:paraId="4F924232" w14:textId="77777777" w:rsidR="002B5657" w:rsidRDefault="002B5657" w:rsidP="00A9140F">
            <w:pPr>
              <w:pStyle w:val="AnnexNormal"/>
              <w:tabs>
                <w:tab w:val="right" w:leader="dot" w:pos="8154"/>
              </w:tabs>
              <w:spacing w:after="0" w:line="240" w:lineRule="auto"/>
            </w:pPr>
            <w:r>
              <w:t xml:space="preserve">Uppsetning, viðhald og viðgerðir á </w:t>
            </w:r>
            <w:proofErr w:type="spellStart"/>
            <w:r>
              <w:t>orkunýtnum</w:t>
            </w:r>
            <w:proofErr w:type="spellEnd"/>
            <w:r>
              <w:t xml:space="preserve"> búnaði</w:t>
            </w:r>
            <w:r>
              <w:tab/>
            </w:r>
          </w:p>
        </w:tc>
        <w:tc>
          <w:tcPr>
            <w:tcW w:w="378" w:type="dxa"/>
            <w:tcMar>
              <w:right w:w="0" w:type="dxa"/>
            </w:tcMar>
          </w:tcPr>
          <w:p w14:paraId="39026257" w14:textId="77777777" w:rsidR="002B5657" w:rsidRDefault="002B5657" w:rsidP="00A9140F">
            <w:pPr>
              <w:pStyle w:val="AnnexNormal"/>
              <w:spacing w:after="0" w:line="240" w:lineRule="auto"/>
            </w:pPr>
            <w:r>
              <w:t>316</w:t>
            </w:r>
          </w:p>
        </w:tc>
      </w:tr>
      <w:tr w:rsidR="002B5657" w14:paraId="7D835546" w14:textId="77777777" w:rsidTr="00A9140F">
        <w:trPr>
          <w:trHeight w:val="20"/>
        </w:trPr>
        <w:tc>
          <w:tcPr>
            <w:tcW w:w="480" w:type="dxa"/>
            <w:tcMar>
              <w:left w:w="0" w:type="dxa"/>
            </w:tcMar>
          </w:tcPr>
          <w:p w14:paraId="6AE6D8D2" w14:textId="77777777" w:rsidR="002B5657" w:rsidRDefault="002B5657" w:rsidP="00A9140F">
            <w:pPr>
              <w:pStyle w:val="AnnexNormal"/>
              <w:spacing w:after="0" w:line="240" w:lineRule="auto"/>
            </w:pPr>
            <w:r>
              <w:t>7.4.</w:t>
            </w:r>
          </w:p>
        </w:tc>
        <w:tc>
          <w:tcPr>
            <w:tcW w:w="8370" w:type="dxa"/>
            <w:gridSpan w:val="2"/>
          </w:tcPr>
          <w:p w14:paraId="3518E9D3" w14:textId="77777777" w:rsidR="002B5657" w:rsidRDefault="002B5657" w:rsidP="00A9140F">
            <w:pPr>
              <w:pStyle w:val="AnnexNormal"/>
              <w:tabs>
                <w:tab w:val="right" w:leader="dot" w:pos="8154"/>
              </w:tabs>
              <w:spacing w:after="0" w:line="240" w:lineRule="auto"/>
            </w:pPr>
            <w:r>
              <w:t xml:space="preserve">Uppsetning, viðhald og viðgerðir á hleðslustöðvum fyrir </w:t>
            </w:r>
            <w:proofErr w:type="spellStart"/>
            <w:r>
              <w:t>rafknúin</w:t>
            </w:r>
            <w:proofErr w:type="spellEnd"/>
            <w:r>
              <w:t xml:space="preserve"> ökutæki í byggingum (og bílastæðum sem eru tengd byggingum)</w:t>
            </w:r>
            <w:r>
              <w:tab/>
            </w:r>
          </w:p>
        </w:tc>
        <w:tc>
          <w:tcPr>
            <w:tcW w:w="378" w:type="dxa"/>
            <w:tcMar>
              <w:right w:w="0" w:type="dxa"/>
            </w:tcMar>
          </w:tcPr>
          <w:p w14:paraId="17CF0F1C" w14:textId="77777777" w:rsidR="002B5657" w:rsidRDefault="002B5657" w:rsidP="00A9140F">
            <w:pPr>
              <w:pStyle w:val="AnnexNormal"/>
              <w:spacing w:after="0" w:line="240" w:lineRule="auto"/>
            </w:pPr>
            <w:r>
              <w:t>319</w:t>
            </w:r>
          </w:p>
        </w:tc>
      </w:tr>
      <w:tr w:rsidR="002B5657" w14:paraId="2CFB0682" w14:textId="77777777" w:rsidTr="00A9140F">
        <w:trPr>
          <w:trHeight w:val="20"/>
        </w:trPr>
        <w:tc>
          <w:tcPr>
            <w:tcW w:w="480" w:type="dxa"/>
            <w:tcMar>
              <w:left w:w="0" w:type="dxa"/>
            </w:tcMar>
          </w:tcPr>
          <w:p w14:paraId="326B4FCC" w14:textId="77777777" w:rsidR="002B5657" w:rsidRDefault="002B5657" w:rsidP="00A9140F">
            <w:pPr>
              <w:pStyle w:val="AnnexNormal"/>
              <w:spacing w:after="0" w:line="240" w:lineRule="auto"/>
            </w:pPr>
            <w:r>
              <w:t>7.5.</w:t>
            </w:r>
          </w:p>
        </w:tc>
        <w:tc>
          <w:tcPr>
            <w:tcW w:w="8370" w:type="dxa"/>
            <w:gridSpan w:val="2"/>
          </w:tcPr>
          <w:p w14:paraId="59E11834" w14:textId="77777777" w:rsidR="002B5657" w:rsidRDefault="002B5657" w:rsidP="00A9140F">
            <w:pPr>
              <w:pStyle w:val="AnnexNormal"/>
              <w:tabs>
                <w:tab w:val="right" w:leader="dot" w:pos="8154"/>
              </w:tabs>
              <w:spacing w:after="0" w:line="240" w:lineRule="auto"/>
            </w:pPr>
            <w:r>
              <w:t>Uppsetning, viðhald og viðgerðir á búnaði og tækjum til mælinga, stýringar og eftirlits með orkunýtingu bygginga</w:t>
            </w:r>
            <w:r>
              <w:tab/>
            </w:r>
          </w:p>
        </w:tc>
        <w:tc>
          <w:tcPr>
            <w:tcW w:w="378" w:type="dxa"/>
            <w:tcMar>
              <w:right w:w="0" w:type="dxa"/>
            </w:tcMar>
          </w:tcPr>
          <w:p w14:paraId="2B6A6D97" w14:textId="77777777" w:rsidR="002B5657" w:rsidRDefault="002B5657" w:rsidP="00A9140F">
            <w:pPr>
              <w:pStyle w:val="AnnexNormal"/>
              <w:spacing w:after="0" w:line="240" w:lineRule="auto"/>
            </w:pPr>
            <w:r>
              <w:t>320</w:t>
            </w:r>
          </w:p>
        </w:tc>
      </w:tr>
      <w:tr w:rsidR="002B5657" w14:paraId="4EE7F013" w14:textId="77777777" w:rsidTr="00A9140F">
        <w:trPr>
          <w:trHeight w:val="20"/>
        </w:trPr>
        <w:tc>
          <w:tcPr>
            <w:tcW w:w="480" w:type="dxa"/>
            <w:tcMar>
              <w:left w:w="0" w:type="dxa"/>
            </w:tcMar>
          </w:tcPr>
          <w:p w14:paraId="35357C19" w14:textId="77777777" w:rsidR="002B5657" w:rsidRDefault="002B5657" w:rsidP="00A9140F">
            <w:pPr>
              <w:pStyle w:val="AnnexNormal"/>
              <w:spacing w:after="0" w:line="240" w:lineRule="auto"/>
            </w:pPr>
            <w:r>
              <w:t>7.6.</w:t>
            </w:r>
          </w:p>
        </w:tc>
        <w:tc>
          <w:tcPr>
            <w:tcW w:w="8370" w:type="dxa"/>
            <w:gridSpan w:val="2"/>
          </w:tcPr>
          <w:p w14:paraId="5FE6A0E0" w14:textId="77777777" w:rsidR="002B5657" w:rsidRDefault="002B5657" w:rsidP="00A9140F">
            <w:pPr>
              <w:pStyle w:val="AnnexNormal"/>
              <w:tabs>
                <w:tab w:val="right" w:leader="dot" w:pos="8154"/>
              </w:tabs>
              <w:spacing w:after="0" w:line="240" w:lineRule="auto"/>
            </w:pPr>
            <w:r>
              <w:t>Uppsetning, viðhald og viðgerðir á tækni á sviði endurnýjanlegrar orku</w:t>
            </w:r>
            <w:r>
              <w:tab/>
            </w:r>
          </w:p>
        </w:tc>
        <w:tc>
          <w:tcPr>
            <w:tcW w:w="378" w:type="dxa"/>
            <w:tcMar>
              <w:right w:w="0" w:type="dxa"/>
            </w:tcMar>
          </w:tcPr>
          <w:p w14:paraId="2DB68A64" w14:textId="77777777" w:rsidR="002B5657" w:rsidRDefault="002B5657" w:rsidP="00A9140F">
            <w:pPr>
              <w:pStyle w:val="AnnexNormal"/>
              <w:spacing w:after="0" w:line="240" w:lineRule="auto"/>
            </w:pPr>
            <w:r>
              <w:t>321</w:t>
            </w:r>
          </w:p>
        </w:tc>
      </w:tr>
      <w:tr w:rsidR="002B5657" w14:paraId="37945AF4" w14:textId="77777777" w:rsidTr="00A9140F">
        <w:trPr>
          <w:trHeight w:val="20"/>
        </w:trPr>
        <w:tc>
          <w:tcPr>
            <w:tcW w:w="480" w:type="dxa"/>
            <w:tcMar>
              <w:left w:w="0" w:type="dxa"/>
            </w:tcMar>
          </w:tcPr>
          <w:p w14:paraId="32F1E943" w14:textId="77777777" w:rsidR="002B5657" w:rsidRDefault="002B5657" w:rsidP="00A9140F">
            <w:pPr>
              <w:pStyle w:val="AnnexNormal"/>
              <w:spacing w:after="0" w:line="240" w:lineRule="auto"/>
            </w:pPr>
            <w:r>
              <w:t>7.7.</w:t>
            </w:r>
          </w:p>
        </w:tc>
        <w:tc>
          <w:tcPr>
            <w:tcW w:w="8370" w:type="dxa"/>
            <w:gridSpan w:val="2"/>
          </w:tcPr>
          <w:p w14:paraId="058E7973" w14:textId="77777777" w:rsidR="002B5657" w:rsidRDefault="002B5657" w:rsidP="00A9140F">
            <w:pPr>
              <w:pStyle w:val="AnnexNormal"/>
              <w:tabs>
                <w:tab w:val="right" w:leader="dot" w:pos="8154"/>
              </w:tabs>
              <w:spacing w:after="0" w:line="240" w:lineRule="auto"/>
            </w:pPr>
            <w:r>
              <w:t>Kaup og eignarhald á byggingum</w:t>
            </w:r>
            <w:r>
              <w:tab/>
            </w:r>
          </w:p>
        </w:tc>
        <w:tc>
          <w:tcPr>
            <w:tcW w:w="378" w:type="dxa"/>
            <w:tcMar>
              <w:right w:w="0" w:type="dxa"/>
            </w:tcMar>
          </w:tcPr>
          <w:p w14:paraId="45D5D68B" w14:textId="77777777" w:rsidR="002B5657" w:rsidRDefault="002B5657" w:rsidP="00A9140F">
            <w:pPr>
              <w:pStyle w:val="AnnexNormal"/>
              <w:spacing w:after="0" w:line="240" w:lineRule="auto"/>
            </w:pPr>
            <w:r>
              <w:t>323</w:t>
            </w:r>
          </w:p>
        </w:tc>
      </w:tr>
      <w:tr w:rsidR="002B5657" w14:paraId="7C142D4C" w14:textId="77777777" w:rsidTr="00A9140F">
        <w:trPr>
          <w:trHeight w:val="20"/>
        </w:trPr>
        <w:tc>
          <w:tcPr>
            <w:tcW w:w="480" w:type="dxa"/>
            <w:tcMar>
              <w:left w:w="0" w:type="dxa"/>
            </w:tcMar>
          </w:tcPr>
          <w:p w14:paraId="51720EEB" w14:textId="77777777" w:rsidR="002B5657" w:rsidRDefault="002B5657" w:rsidP="00A9140F">
            <w:pPr>
              <w:pStyle w:val="AnnexNormal"/>
              <w:spacing w:after="0" w:line="240" w:lineRule="auto"/>
            </w:pPr>
            <w:r>
              <w:t>8.</w:t>
            </w:r>
          </w:p>
        </w:tc>
        <w:tc>
          <w:tcPr>
            <w:tcW w:w="8370" w:type="dxa"/>
            <w:gridSpan w:val="2"/>
          </w:tcPr>
          <w:p w14:paraId="1FB323C4" w14:textId="77777777" w:rsidR="002B5657" w:rsidRDefault="002B5657" w:rsidP="00A9140F">
            <w:pPr>
              <w:pStyle w:val="AnnexNormal"/>
              <w:tabs>
                <w:tab w:val="right" w:leader="dot" w:pos="8154"/>
              </w:tabs>
              <w:spacing w:after="0" w:line="240" w:lineRule="auto"/>
            </w:pPr>
            <w:r>
              <w:t>Upplýsingar og samskipti</w:t>
            </w:r>
            <w:r>
              <w:tab/>
            </w:r>
          </w:p>
        </w:tc>
        <w:tc>
          <w:tcPr>
            <w:tcW w:w="378" w:type="dxa"/>
            <w:tcMar>
              <w:right w:w="0" w:type="dxa"/>
            </w:tcMar>
          </w:tcPr>
          <w:p w14:paraId="366FDA3D" w14:textId="77777777" w:rsidR="002B5657" w:rsidRDefault="002B5657" w:rsidP="00A9140F">
            <w:pPr>
              <w:pStyle w:val="AnnexNormal"/>
              <w:spacing w:after="0" w:line="240" w:lineRule="auto"/>
            </w:pPr>
            <w:r>
              <w:t>325</w:t>
            </w:r>
          </w:p>
        </w:tc>
      </w:tr>
      <w:tr w:rsidR="002B5657" w14:paraId="7A0E0958" w14:textId="77777777" w:rsidTr="00A9140F">
        <w:trPr>
          <w:trHeight w:val="20"/>
        </w:trPr>
        <w:tc>
          <w:tcPr>
            <w:tcW w:w="480" w:type="dxa"/>
            <w:tcMar>
              <w:left w:w="0" w:type="dxa"/>
            </w:tcMar>
          </w:tcPr>
          <w:p w14:paraId="2D1AC654" w14:textId="77777777" w:rsidR="002B5657" w:rsidRDefault="002B5657" w:rsidP="00A9140F">
            <w:pPr>
              <w:pStyle w:val="AnnexNormal"/>
              <w:spacing w:after="0" w:line="240" w:lineRule="auto"/>
            </w:pPr>
            <w:r>
              <w:t>8.1.</w:t>
            </w:r>
          </w:p>
        </w:tc>
        <w:tc>
          <w:tcPr>
            <w:tcW w:w="8370" w:type="dxa"/>
            <w:gridSpan w:val="2"/>
          </w:tcPr>
          <w:p w14:paraId="773758F5" w14:textId="77777777" w:rsidR="002B5657" w:rsidRDefault="002B5657" w:rsidP="00A9140F">
            <w:pPr>
              <w:pStyle w:val="AnnexNormal"/>
              <w:tabs>
                <w:tab w:val="right" w:leader="dot" w:pos="8154"/>
              </w:tabs>
              <w:spacing w:after="0" w:line="240" w:lineRule="auto"/>
            </w:pPr>
            <w:r>
              <w:t xml:space="preserve">Gagnavinnsla, </w:t>
            </w:r>
            <w:proofErr w:type="spellStart"/>
            <w:r>
              <w:t>hýsing</w:t>
            </w:r>
            <w:proofErr w:type="spellEnd"/>
            <w:r>
              <w:t xml:space="preserve"> og tengd starfsemi</w:t>
            </w:r>
            <w:r>
              <w:tab/>
            </w:r>
          </w:p>
        </w:tc>
        <w:tc>
          <w:tcPr>
            <w:tcW w:w="378" w:type="dxa"/>
            <w:tcMar>
              <w:right w:w="0" w:type="dxa"/>
            </w:tcMar>
          </w:tcPr>
          <w:p w14:paraId="215CA40B" w14:textId="77777777" w:rsidR="002B5657" w:rsidRDefault="002B5657" w:rsidP="00A9140F">
            <w:pPr>
              <w:pStyle w:val="AnnexNormal"/>
              <w:spacing w:after="0" w:line="240" w:lineRule="auto"/>
            </w:pPr>
            <w:r>
              <w:t>325</w:t>
            </w:r>
          </w:p>
        </w:tc>
      </w:tr>
      <w:tr w:rsidR="002B5657" w14:paraId="2224A688" w14:textId="77777777" w:rsidTr="00A9140F">
        <w:trPr>
          <w:trHeight w:val="20"/>
        </w:trPr>
        <w:tc>
          <w:tcPr>
            <w:tcW w:w="480" w:type="dxa"/>
            <w:tcMar>
              <w:left w:w="0" w:type="dxa"/>
            </w:tcMar>
          </w:tcPr>
          <w:p w14:paraId="07895C86" w14:textId="77777777" w:rsidR="002B5657" w:rsidRDefault="002B5657" w:rsidP="00A9140F">
            <w:pPr>
              <w:pStyle w:val="AnnexNormal"/>
              <w:spacing w:after="0" w:line="240" w:lineRule="auto"/>
            </w:pPr>
            <w:r>
              <w:t>8.2.</w:t>
            </w:r>
          </w:p>
        </w:tc>
        <w:tc>
          <w:tcPr>
            <w:tcW w:w="8370" w:type="dxa"/>
            <w:gridSpan w:val="2"/>
          </w:tcPr>
          <w:p w14:paraId="3BAF355B" w14:textId="77777777" w:rsidR="002B5657" w:rsidRDefault="002B5657" w:rsidP="00A9140F">
            <w:pPr>
              <w:pStyle w:val="AnnexNormal"/>
              <w:tabs>
                <w:tab w:val="right" w:leader="dot" w:pos="8154"/>
              </w:tabs>
              <w:spacing w:after="0" w:line="240" w:lineRule="auto"/>
            </w:pPr>
            <w:r>
              <w:t>Tölvuforritun, ráðgjöf og tengd starfsemi</w:t>
            </w:r>
            <w:r>
              <w:tab/>
            </w:r>
          </w:p>
        </w:tc>
        <w:tc>
          <w:tcPr>
            <w:tcW w:w="378" w:type="dxa"/>
            <w:tcMar>
              <w:right w:w="0" w:type="dxa"/>
            </w:tcMar>
          </w:tcPr>
          <w:p w14:paraId="4B9EB222" w14:textId="77777777" w:rsidR="002B5657" w:rsidRDefault="002B5657" w:rsidP="00A9140F">
            <w:pPr>
              <w:pStyle w:val="AnnexNormal"/>
              <w:spacing w:after="0" w:line="240" w:lineRule="auto"/>
            </w:pPr>
            <w:r>
              <w:t>327</w:t>
            </w:r>
          </w:p>
        </w:tc>
      </w:tr>
      <w:tr w:rsidR="002B5657" w14:paraId="0466827F" w14:textId="77777777" w:rsidTr="00A9140F">
        <w:trPr>
          <w:trHeight w:val="20"/>
        </w:trPr>
        <w:tc>
          <w:tcPr>
            <w:tcW w:w="480" w:type="dxa"/>
            <w:tcMar>
              <w:left w:w="0" w:type="dxa"/>
            </w:tcMar>
          </w:tcPr>
          <w:p w14:paraId="7315839F" w14:textId="77777777" w:rsidR="002B5657" w:rsidRDefault="002B5657" w:rsidP="00A9140F">
            <w:pPr>
              <w:pStyle w:val="AnnexNormal"/>
              <w:tabs>
                <w:tab w:val="right" w:leader="dot" w:pos="8154"/>
              </w:tabs>
              <w:spacing w:after="0" w:line="240" w:lineRule="auto"/>
            </w:pPr>
            <w:r>
              <w:lastRenderedPageBreak/>
              <w:t>8.3.</w:t>
            </w:r>
          </w:p>
        </w:tc>
        <w:tc>
          <w:tcPr>
            <w:tcW w:w="8370" w:type="dxa"/>
            <w:gridSpan w:val="2"/>
          </w:tcPr>
          <w:p w14:paraId="1B677143" w14:textId="77777777" w:rsidR="002B5657" w:rsidRDefault="002B5657" w:rsidP="00A9140F">
            <w:pPr>
              <w:pStyle w:val="AnnexNormal"/>
              <w:tabs>
                <w:tab w:val="right" w:leader="dot" w:pos="8154"/>
              </w:tabs>
              <w:spacing w:after="0" w:line="240" w:lineRule="auto"/>
            </w:pPr>
            <w:r>
              <w:t>Þáttagerðar- og útsendingarstarfsemi</w:t>
            </w:r>
            <w:r>
              <w:tab/>
            </w:r>
          </w:p>
        </w:tc>
        <w:tc>
          <w:tcPr>
            <w:tcW w:w="378" w:type="dxa"/>
            <w:tcMar>
              <w:right w:w="0" w:type="dxa"/>
            </w:tcMar>
          </w:tcPr>
          <w:p w14:paraId="6A70CC9D" w14:textId="77777777" w:rsidR="002B5657" w:rsidRDefault="002B5657" w:rsidP="00A9140F">
            <w:pPr>
              <w:pStyle w:val="AnnexNormal"/>
              <w:tabs>
                <w:tab w:val="right" w:leader="dot" w:pos="8154"/>
              </w:tabs>
              <w:spacing w:after="0" w:line="240" w:lineRule="auto"/>
            </w:pPr>
            <w:r>
              <w:t>328</w:t>
            </w:r>
          </w:p>
        </w:tc>
      </w:tr>
      <w:tr w:rsidR="002B5657" w14:paraId="715D7A3F" w14:textId="77777777" w:rsidTr="00A9140F">
        <w:trPr>
          <w:trHeight w:val="20"/>
        </w:trPr>
        <w:tc>
          <w:tcPr>
            <w:tcW w:w="480" w:type="dxa"/>
            <w:tcMar>
              <w:left w:w="0" w:type="dxa"/>
            </w:tcMar>
          </w:tcPr>
          <w:p w14:paraId="6BA90558" w14:textId="77777777" w:rsidR="002B5657" w:rsidRDefault="002B5657" w:rsidP="00A9140F">
            <w:pPr>
              <w:pStyle w:val="AnnexNormal"/>
              <w:tabs>
                <w:tab w:val="right" w:leader="dot" w:pos="8154"/>
              </w:tabs>
              <w:spacing w:after="0" w:line="240" w:lineRule="auto"/>
            </w:pPr>
            <w:r>
              <w:t>9.</w:t>
            </w:r>
          </w:p>
        </w:tc>
        <w:tc>
          <w:tcPr>
            <w:tcW w:w="8370" w:type="dxa"/>
            <w:gridSpan w:val="2"/>
          </w:tcPr>
          <w:p w14:paraId="4E3EFE8C" w14:textId="77777777" w:rsidR="002B5657" w:rsidRDefault="002B5657" w:rsidP="00A9140F">
            <w:pPr>
              <w:pStyle w:val="AnnexNormal"/>
              <w:tabs>
                <w:tab w:val="right" w:leader="dot" w:pos="8154"/>
              </w:tabs>
              <w:spacing w:after="0" w:line="240" w:lineRule="auto"/>
            </w:pPr>
            <w:r>
              <w:t>Sérfræðileg, vísindaleg og tæknileg starfsemi</w:t>
            </w:r>
            <w:r>
              <w:tab/>
            </w:r>
          </w:p>
        </w:tc>
        <w:tc>
          <w:tcPr>
            <w:tcW w:w="378" w:type="dxa"/>
            <w:tcMar>
              <w:right w:w="0" w:type="dxa"/>
            </w:tcMar>
          </w:tcPr>
          <w:p w14:paraId="61B82B2E" w14:textId="77777777" w:rsidR="002B5657" w:rsidRDefault="002B5657" w:rsidP="00A9140F">
            <w:pPr>
              <w:pStyle w:val="AnnexNormal"/>
              <w:tabs>
                <w:tab w:val="right" w:leader="dot" w:pos="8154"/>
              </w:tabs>
              <w:spacing w:after="0" w:line="240" w:lineRule="auto"/>
            </w:pPr>
            <w:r>
              <w:t>330</w:t>
            </w:r>
          </w:p>
        </w:tc>
      </w:tr>
      <w:tr w:rsidR="002B5657" w14:paraId="473A0A07" w14:textId="77777777" w:rsidTr="00A9140F">
        <w:trPr>
          <w:trHeight w:val="20"/>
        </w:trPr>
        <w:tc>
          <w:tcPr>
            <w:tcW w:w="480" w:type="dxa"/>
            <w:tcMar>
              <w:left w:w="0" w:type="dxa"/>
            </w:tcMar>
          </w:tcPr>
          <w:p w14:paraId="2A27AA5D" w14:textId="77777777" w:rsidR="002B5657" w:rsidRDefault="002B5657" w:rsidP="00A9140F">
            <w:pPr>
              <w:pStyle w:val="AnnexNormal"/>
              <w:tabs>
                <w:tab w:val="right" w:leader="dot" w:pos="8154"/>
              </w:tabs>
              <w:spacing w:after="0" w:line="240" w:lineRule="auto"/>
            </w:pPr>
            <w:r>
              <w:t>9.1.</w:t>
            </w:r>
          </w:p>
        </w:tc>
        <w:tc>
          <w:tcPr>
            <w:tcW w:w="8370" w:type="dxa"/>
            <w:gridSpan w:val="2"/>
          </w:tcPr>
          <w:p w14:paraId="4EBF85C7" w14:textId="77777777" w:rsidR="002B5657" w:rsidRDefault="002B5657" w:rsidP="00A9140F">
            <w:pPr>
              <w:pStyle w:val="AnnexNormal"/>
              <w:tabs>
                <w:tab w:val="right" w:leader="dot" w:pos="8154"/>
              </w:tabs>
              <w:spacing w:after="0" w:line="240" w:lineRule="auto"/>
            </w:pPr>
            <w:r>
              <w:t>Verkfræðistarfsemi og tengd tæknileg ráðgjöf sem miðast við aðlögun að loftslagsbreytingum</w:t>
            </w:r>
            <w:r>
              <w:tab/>
            </w:r>
          </w:p>
        </w:tc>
        <w:tc>
          <w:tcPr>
            <w:tcW w:w="378" w:type="dxa"/>
            <w:tcMar>
              <w:right w:w="0" w:type="dxa"/>
            </w:tcMar>
          </w:tcPr>
          <w:p w14:paraId="247C14E3" w14:textId="77777777" w:rsidR="002B5657" w:rsidRDefault="002B5657" w:rsidP="00A9140F">
            <w:pPr>
              <w:pStyle w:val="AnnexNormal"/>
              <w:tabs>
                <w:tab w:val="right" w:leader="dot" w:pos="8154"/>
              </w:tabs>
              <w:spacing w:after="0" w:line="240" w:lineRule="auto"/>
            </w:pPr>
            <w:r>
              <w:t>330</w:t>
            </w:r>
          </w:p>
        </w:tc>
      </w:tr>
      <w:tr w:rsidR="002B5657" w14:paraId="07C71ED4" w14:textId="77777777" w:rsidTr="00A9140F">
        <w:trPr>
          <w:trHeight w:val="20"/>
        </w:trPr>
        <w:tc>
          <w:tcPr>
            <w:tcW w:w="480" w:type="dxa"/>
            <w:tcMar>
              <w:left w:w="0" w:type="dxa"/>
            </w:tcMar>
          </w:tcPr>
          <w:p w14:paraId="189F85E9" w14:textId="77777777" w:rsidR="002B5657" w:rsidRDefault="002B5657" w:rsidP="00A9140F">
            <w:pPr>
              <w:pStyle w:val="AnnexNormal"/>
              <w:tabs>
                <w:tab w:val="right" w:leader="dot" w:pos="8154"/>
              </w:tabs>
              <w:spacing w:after="0" w:line="240" w:lineRule="auto"/>
            </w:pPr>
            <w:r>
              <w:t>9.2.</w:t>
            </w:r>
          </w:p>
        </w:tc>
        <w:tc>
          <w:tcPr>
            <w:tcW w:w="8370" w:type="dxa"/>
            <w:gridSpan w:val="2"/>
          </w:tcPr>
          <w:p w14:paraId="3AE10D8B" w14:textId="77777777" w:rsidR="002B5657" w:rsidRDefault="002B5657" w:rsidP="00A9140F">
            <w:pPr>
              <w:pStyle w:val="AnnexNormal"/>
              <w:tabs>
                <w:tab w:val="right" w:leader="dot" w:pos="8154"/>
              </w:tabs>
              <w:spacing w:after="0" w:line="240" w:lineRule="auto"/>
            </w:pPr>
            <w:r>
              <w:t>Rannsóknir nátengdar markaði, þróun og nýsköpun</w:t>
            </w:r>
            <w:r>
              <w:tab/>
            </w:r>
          </w:p>
        </w:tc>
        <w:tc>
          <w:tcPr>
            <w:tcW w:w="378" w:type="dxa"/>
            <w:tcMar>
              <w:right w:w="0" w:type="dxa"/>
            </w:tcMar>
          </w:tcPr>
          <w:p w14:paraId="66D1556D" w14:textId="77777777" w:rsidR="002B5657" w:rsidRDefault="002B5657" w:rsidP="00A9140F">
            <w:pPr>
              <w:pStyle w:val="AnnexNormal"/>
              <w:tabs>
                <w:tab w:val="right" w:leader="dot" w:pos="8154"/>
              </w:tabs>
              <w:spacing w:after="0" w:line="240" w:lineRule="auto"/>
            </w:pPr>
            <w:r>
              <w:t>331</w:t>
            </w:r>
          </w:p>
        </w:tc>
      </w:tr>
      <w:tr w:rsidR="002B5657" w14:paraId="501A30DA" w14:textId="77777777" w:rsidTr="00A9140F">
        <w:trPr>
          <w:trHeight w:val="20"/>
        </w:trPr>
        <w:tc>
          <w:tcPr>
            <w:tcW w:w="480" w:type="dxa"/>
            <w:tcMar>
              <w:left w:w="0" w:type="dxa"/>
            </w:tcMar>
          </w:tcPr>
          <w:p w14:paraId="7CF65186" w14:textId="77777777" w:rsidR="002B5657" w:rsidRDefault="002B5657" w:rsidP="00A9140F">
            <w:pPr>
              <w:pStyle w:val="AnnexNormal"/>
              <w:tabs>
                <w:tab w:val="right" w:leader="dot" w:pos="8154"/>
              </w:tabs>
              <w:spacing w:after="0" w:line="240" w:lineRule="auto"/>
            </w:pPr>
            <w:r>
              <w:t>10.</w:t>
            </w:r>
          </w:p>
        </w:tc>
        <w:tc>
          <w:tcPr>
            <w:tcW w:w="8370" w:type="dxa"/>
            <w:gridSpan w:val="2"/>
          </w:tcPr>
          <w:p w14:paraId="10A28FD2" w14:textId="77777777" w:rsidR="002B5657" w:rsidRDefault="002B5657" w:rsidP="00A9140F">
            <w:pPr>
              <w:pStyle w:val="AnnexNormal"/>
              <w:tabs>
                <w:tab w:val="right" w:leader="dot" w:pos="8154"/>
              </w:tabs>
              <w:spacing w:after="0" w:line="240" w:lineRule="auto"/>
            </w:pPr>
            <w:r>
              <w:t xml:space="preserve">Fjármála- og </w:t>
            </w:r>
            <w:proofErr w:type="spellStart"/>
            <w:r>
              <w:t>vátryggingastarfsemi</w:t>
            </w:r>
            <w:proofErr w:type="spellEnd"/>
            <w:r>
              <w:tab/>
            </w:r>
          </w:p>
        </w:tc>
        <w:tc>
          <w:tcPr>
            <w:tcW w:w="378" w:type="dxa"/>
            <w:tcMar>
              <w:right w:w="0" w:type="dxa"/>
            </w:tcMar>
          </w:tcPr>
          <w:p w14:paraId="477434CB" w14:textId="77777777" w:rsidR="002B5657" w:rsidRDefault="002B5657" w:rsidP="00A9140F">
            <w:pPr>
              <w:pStyle w:val="AnnexNormal"/>
              <w:tabs>
                <w:tab w:val="right" w:leader="dot" w:pos="8154"/>
              </w:tabs>
              <w:spacing w:after="0" w:line="240" w:lineRule="auto"/>
            </w:pPr>
            <w:r>
              <w:t>333</w:t>
            </w:r>
          </w:p>
        </w:tc>
      </w:tr>
      <w:tr w:rsidR="002B5657" w14:paraId="1D1D36F4" w14:textId="77777777" w:rsidTr="00A9140F">
        <w:trPr>
          <w:trHeight w:val="20"/>
        </w:trPr>
        <w:tc>
          <w:tcPr>
            <w:tcW w:w="480" w:type="dxa"/>
            <w:tcMar>
              <w:left w:w="0" w:type="dxa"/>
            </w:tcMar>
          </w:tcPr>
          <w:p w14:paraId="17D1049F" w14:textId="77777777" w:rsidR="002B5657" w:rsidRDefault="002B5657" w:rsidP="00A9140F">
            <w:pPr>
              <w:pStyle w:val="AnnexNormal"/>
              <w:tabs>
                <w:tab w:val="right" w:leader="dot" w:pos="8154"/>
              </w:tabs>
              <w:spacing w:after="0" w:line="240" w:lineRule="auto"/>
            </w:pPr>
            <w:r>
              <w:t>10.1.</w:t>
            </w:r>
          </w:p>
        </w:tc>
        <w:tc>
          <w:tcPr>
            <w:tcW w:w="8370" w:type="dxa"/>
            <w:gridSpan w:val="2"/>
          </w:tcPr>
          <w:p w14:paraId="48AB110B" w14:textId="77777777" w:rsidR="002B5657" w:rsidRDefault="002B5657" w:rsidP="00A9140F">
            <w:pPr>
              <w:pStyle w:val="AnnexNormal"/>
              <w:tabs>
                <w:tab w:val="right" w:leader="dot" w:pos="8154"/>
              </w:tabs>
              <w:spacing w:after="0" w:line="240" w:lineRule="auto"/>
            </w:pPr>
            <w:r>
              <w:t xml:space="preserve">Skaðatrygging: trygging vegna loftslagstengds </w:t>
            </w:r>
            <w:proofErr w:type="spellStart"/>
            <w:r>
              <w:t>háska</w:t>
            </w:r>
            <w:proofErr w:type="spellEnd"/>
            <w:r>
              <w:tab/>
            </w:r>
          </w:p>
        </w:tc>
        <w:tc>
          <w:tcPr>
            <w:tcW w:w="378" w:type="dxa"/>
            <w:tcMar>
              <w:right w:w="0" w:type="dxa"/>
            </w:tcMar>
          </w:tcPr>
          <w:p w14:paraId="65B99F32" w14:textId="77777777" w:rsidR="002B5657" w:rsidRDefault="002B5657" w:rsidP="00A9140F">
            <w:pPr>
              <w:pStyle w:val="AnnexNormal"/>
              <w:tabs>
                <w:tab w:val="right" w:leader="dot" w:pos="8154"/>
              </w:tabs>
              <w:spacing w:after="0" w:line="240" w:lineRule="auto"/>
            </w:pPr>
            <w:r>
              <w:t>333</w:t>
            </w:r>
          </w:p>
        </w:tc>
      </w:tr>
      <w:tr w:rsidR="002B5657" w14:paraId="3BEE8E26" w14:textId="77777777" w:rsidTr="00A9140F">
        <w:trPr>
          <w:trHeight w:val="20"/>
        </w:trPr>
        <w:tc>
          <w:tcPr>
            <w:tcW w:w="480" w:type="dxa"/>
            <w:tcMar>
              <w:left w:w="0" w:type="dxa"/>
            </w:tcMar>
          </w:tcPr>
          <w:p w14:paraId="04D1F6CD" w14:textId="77777777" w:rsidR="002B5657" w:rsidRDefault="002B5657" w:rsidP="00A9140F">
            <w:pPr>
              <w:pStyle w:val="AnnexNormal"/>
              <w:tabs>
                <w:tab w:val="right" w:leader="dot" w:pos="8154"/>
              </w:tabs>
              <w:spacing w:after="0" w:line="240" w:lineRule="auto"/>
            </w:pPr>
            <w:r>
              <w:t>10.2.</w:t>
            </w:r>
          </w:p>
        </w:tc>
        <w:tc>
          <w:tcPr>
            <w:tcW w:w="8370" w:type="dxa"/>
            <w:gridSpan w:val="2"/>
          </w:tcPr>
          <w:p w14:paraId="05F5C6E1" w14:textId="77777777" w:rsidR="002B5657" w:rsidRDefault="002B5657" w:rsidP="00A9140F">
            <w:pPr>
              <w:pStyle w:val="AnnexNormal"/>
              <w:tabs>
                <w:tab w:val="right" w:leader="dot" w:pos="8154"/>
              </w:tabs>
              <w:spacing w:after="0" w:line="240" w:lineRule="auto"/>
            </w:pPr>
            <w:proofErr w:type="spellStart"/>
            <w:r>
              <w:t>Endurtrygging</w:t>
            </w:r>
            <w:proofErr w:type="spellEnd"/>
            <w:r>
              <w:tab/>
            </w:r>
          </w:p>
        </w:tc>
        <w:tc>
          <w:tcPr>
            <w:tcW w:w="378" w:type="dxa"/>
            <w:tcMar>
              <w:right w:w="0" w:type="dxa"/>
            </w:tcMar>
          </w:tcPr>
          <w:p w14:paraId="40DB6640" w14:textId="77777777" w:rsidR="002B5657" w:rsidRDefault="002B5657" w:rsidP="00A9140F">
            <w:pPr>
              <w:pStyle w:val="AnnexNormal"/>
              <w:tabs>
                <w:tab w:val="right" w:leader="dot" w:pos="8154"/>
              </w:tabs>
              <w:spacing w:after="0" w:line="240" w:lineRule="auto"/>
            </w:pPr>
            <w:r>
              <w:t>335</w:t>
            </w:r>
          </w:p>
        </w:tc>
      </w:tr>
      <w:tr w:rsidR="002B5657" w14:paraId="4DD56AA5" w14:textId="77777777" w:rsidTr="00A9140F">
        <w:trPr>
          <w:trHeight w:val="20"/>
        </w:trPr>
        <w:tc>
          <w:tcPr>
            <w:tcW w:w="480" w:type="dxa"/>
            <w:tcMar>
              <w:left w:w="0" w:type="dxa"/>
            </w:tcMar>
          </w:tcPr>
          <w:p w14:paraId="49D02D08" w14:textId="77777777" w:rsidR="002B5657" w:rsidRDefault="002B5657" w:rsidP="00A9140F">
            <w:pPr>
              <w:pStyle w:val="AnnexNormal"/>
              <w:tabs>
                <w:tab w:val="right" w:leader="dot" w:pos="8154"/>
              </w:tabs>
              <w:spacing w:after="0" w:line="240" w:lineRule="auto"/>
            </w:pPr>
            <w:r>
              <w:t>11.</w:t>
            </w:r>
          </w:p>
        </w:tc>
        <w:tc>
          <w:tcPr>
            <w:tcW w:w="8370" w:type="dxa"/>
            <w:gridSpan w:val="2"/>
          </w:tcPr>
          <w:p w14:paraId="525C74F4" w14:textId="77777777" w:rsidR="002B5657" w:rsidRDefault="002B5657" w:rsidP="00A9140F">
            <w:pPr>
              <w:pStyle w:val="AnnexNormal"/>
              <w:tabs>
                <w:tab w:val="right" w:leader="dot" w:pos="8154"/>
              </w:tabs>
              <w:spacing w:after="0" w:line="240" w:lineRule="auto"/>
            </w:pPr>
            <w:r>
              <w:t>Menntun</w:t>
            </w:r>
            <w:r>
              <w:tab/>
            </w:r>
          </w:p>
        </w:tc>
        <w:tc>
          <w:tcPr>
            <w:tcW w:w="378" w:type="dxa"/>
            <w:tcMar>
              <w:right w:w="0" w:type="dxa"/>
            </w:tcMar>
          </w:tcPr>
          <w:p w14:paraId="3FFFA7CE" w14:textId="77777777" w:rsidR="002B5657" w:rsidRDefault="002B5657" w:rsidP="00A9140F">
            <w:pPr>
              <w:pStyle w:val="AnnexNormal"/>
              <w:tabs>
                <w:tab w:val="right" w:leader="dot" w:pos="8154"/>
              </w:tabs>
              <w:spacing w:after="0" w:line="240" w:lineRule="auto"/>
            </w:pPr>
            <w:r>
              <w:t>337</w:t>
            </w:r>
          </w:p>
        </w:tc>
      </w:tr>
      <w:tr w:rsidR="002B5657" w14:paraId="73338740" w14:textId="77777777" w:rsidTr="00A9140F">
        <w:trPr>
          <w:trHeight w:val="20"/>
        </w:trPr>
        <w:tc>
          <w:tcPr>
            <w:tcW w:w="480" w:type="dxa"/>
            <w:tcMar>
              <w:left w:w="0" w:type="dxa"/>
            </w:tcMar>
          </w:tcPr>
          <w:p w14:paraId="0F69097F" w14:textId="77777777" w:rsidR="002B5657" w:rsidRDefault="002B5657" w:rsidP="00A9140F">
            <w:pPr>
              <w:pStyle w:val="AnnexNormal"/>
              <w:tabs>
                <w:tab w:val="right" w:leader="dot" w:pos="8154"/>
              </w:tabs>
              <w:spacing w:after="0" w:line="240" w:lineRule="auto"/>
            </w:pPr>
            <w:r>
              <w:t>12.</w:t>
            </w:r>
          </w:p>
        </w:tc>
        <w:tc>
          <w:tcPr>
            <w:tcW w:w="8370" w:type="dxa"/>
            <w:gridSpan w:val="2"/>
          </w:tcPr>
          <w:p w14:paraId="4B9E008A" w14:textId="77777777" w:rsidR="002B5657" w:rsidRDefault="002B5657" w:rsidP="00A9140F">
            <w:pPr>
              <w:pStyle w:val="AnnexNormal"/>
              <w:tabs>
                <w:tab w:val="right" w:leader="dot" w:pos="8154"/>
              </w:tabs>
              <w:spacing w:after="0" w:line="240" w:lineRule="auto"/>
            </w:pPr>
            <w:r>
              <w:t>Heilbrigðis- og félagsþjónusta</w:t>
            </w:r>
            <w:r>
              <w:tab/>
            </w:r>
          </w:p>
        </w:tc>
        <w:tc>
          <w:tcPr>
            <w:tcW w:w="378" w:type="dxa"/>
            <w:tcMar>
              <w:right w:w="0" w:type="dxa"/>
            </w:tcMar>
          </w:tcPr>
          <w:p w14:paraId="078778D7" w14:textId="77777777" w:rsidR="002B5657" w:rsidRDefault="002B5657" w:rsidP="00A9140F">
            <w:pPr>
              <w:pStyle w:val="AnnexNormal"/>
              <w:tabs>
                <w:tab w:val="right" w:leader="dot" w:pos="8154"/>
              </w:tabs>
              <w:spacing w:after="0" w:line="240" w:lineRule="auto"/>
            </w:pPr>
            <w:r>
              <w:t>338</w:t>
            </w:r>
          </w:p>
        </w:tc>
      </w:tr>
      <w:tr w:rsidR="002B5657" w14:paraId="4F835151" w14:textId="77777777" w:rsidTr="00A9140F">
        <w:trPr>
          <w:trHeight w:val="20"/>
        </w:trPr>
        <w:tc>
          <w:tcPr>
            <w:tcW w:w="480" w:type="dxa"/>
            <w:tcMar>
              <w:left w:w="0" w:type="dxa"/>
            </w:tcMar>
          </w:tcPr>
          <w:p w14:paraId="1AD89677" w14:textId="77777777" w:rsidR="002B5657" w:rsidRDefault="002B5657" w:rsidP="00A9140F">
            <w:pPr>
              <w:pStyle w:val="AnnexNormal"/>
              <w:tabs>
                <w:tab w:val="right" w:leader="dot" w:pos="8154"/>
              </w:tabs>
              <w:spacing w:after="0" w:line="240" w:lineRule="auto"/>
            </w:pPr>
            <w:r>
              <w:t>12.1.</w:t>
            </w:r>
          </w:p>
        </w:tc>
        <w:tc>
          <w:tcPr>
            <w:tcW w:w="8370" w:type="dxa"/>
            <w:gridSpan w:val="2"/>
          </w:tcPr>
          <w:p w14:paraId="02112295" w14:textId="77777777" w:rsidR="002B5657" w:rsidRDefault="002B5657" w:rsidP="00A9140F">
            <w:pPr>
              <w:pStyle w:val="AnnexNormal"/>
              <w:tabs>
                <w:tab w:val="right" w:leader="dot" w:pos="8154"/>
              </w:tabs>
              <w:spacing w:after="0" w:line="240" w:lineRule="auto"/>
            </w:pPr>
            <w:r>
              <w:t>Umönnun á dvalarheimilum</w:t>
            </w:r>
            <w:r>
              <w:tab/>
            </w:r>
          </w:p>
        </w:tc>
        <w:tc>
          <w:tcPr>
            <w:tcW w:w="378" w:type="dxa"/>
            <w:tcMar>
              <w:right w:w="0" w:type="dxa"/>
            </w:tcMar>
          </w:tcPr>
          <w:p w14:paraId="66686F51" w14:textId="77777777" w:rsidR="002B5657" w:rsidRDefault="002B5657" w:rsidP="00A9140F">
            <w:pPr>
              <w:pStyle w:val="AnnexNormal"/>
              <w:tabs>
                <w:tab w:val="right" w:leader="dot" w:pos="8154"/>
              </w:tabs>
              <w:spacing w:after="0" w:line="240" w:lineRule="auto"/>
            </w:pPr>
            <w:r>
              <w:t>338</w:t>
            </w:r>
          </w:p>
        </w:tc>
      </w:tr>
      <w:tr w:rsidR="002B5657" w14:paraId="3BA9E772" w14:textId="77777777" w:rsidTr="00A9140F">
        <w:trPr>
          <w:trHeight w:val="20"/>
        </w:trPr>
        <w:tc>
          <w:tcPr>
            <w:tcW w:w="480" w:type="dxa"/>
            <w:tcMar>
              <w:left w:w="0" w:type="dxa"/>
            </w:tcMar>
          </w:tcPr>
          <w:p w14:paraId="7BD36790" w14:textId="77777777" w:rsidR="002B5657" w:rsidRDefault="002B5657" w:rsidP="00A9140F">
            <w:pPr>
              <w:pStyle w:val="AnnexNormal"/>
              <w:tabs>
                <w:tab w:val="right" w:leader="dot" w:pos="8154"/>
              </w:tabs>
              <w:spacing w:after="0" w:line="240" w:lineRule="auto"/>
            </w:pPr>
            <w:r>
              <w:t>13.</w:t>
            </w:r>
          </w:p>
        </w:tc>
        <w:tc>
          <w:tcPr>
            <w:tcW w:w="8370" w:type="dxa"/>
            <w:gridSpan w:val="2"/>
          </w:tcPr>
          <w:p w14:paraId="78390907" w14:textId="77777777" w:rsidR="002B5657" w:rsidRDefault="002B5657" w:rsidP="00A9140F">
            <w:pPr>
              <w:pStyle w:val="AnnexNormal"/>
              <w:tabs>
                <w:tab w:val="right" w:leader="dot" w:pos="8154"/>
              </w:tabs>
              <w:spacing w:after="0" w:line="240" w:lineRule="auto"/>
            </w:pPr>
            <w:r>
              <w:t>Menningar-, íþrótta- og tómstundastarfsemi</w:t>
            </w:r>
            <w:r>
              <w:tab/>
            </w:r>
          </w:p>
        </w:tc>
        <w:tc>
          <w:tcPr>
            <w:tcW w:w="378" w:type="dxa"/>
            <w:tcMar>
              <w:right w:w="0" w:type="dxa"/>
            </w:tcMar>
          </w:tcPr>
          <w:p w14:paraId="3F1C4C5A" w14:textId="77777777" w:rsidR="002B5657" w:rsidRDefault="002B5657" w:rsidP="00A9140F">
            <w:pPr>
              <w:pStyle w:val="AnnexNormal"/>
              <w:tabs>
                <w:tab w:val="right" w:leader="dot" w:pos="8154"/>
              </w:tabs>
              <w:spacing w:after="0" w:line="240" w:lineRule="auto"/>
            </w:pPr>
            <w:r>
              <w:t>340</w:t>
            </w:r>
          </w:p>
        </w:tc>
      </w:tr>
      <w:tr w:rsidR="002B5657" w14:paraId="4F4BFB4F" w14:textId="77777777" w:rsidTr="00A9140F">
        <w:trPr>
          <w:trHeight w:val="20"/>
        </w:trPr>
        <w:tc>
          <w:tcPr>
            <w:tcW w:w="480" w:type="dxa"/>
            <w:tcMar>
              <w:left w:w="0" w:type="dxa"/>
            </w:tcMar>
          </w:tcPr>
          <w:p w14:paraId="0020D696" w14:textId="77777777" w:rsidR="002B5657" w:rsidRDefault="002B5657" w:rsidP="00A9140F">
            <w:pPr>
              <w:pStyle w:val="AnnexNormal"/>
              <w:tabs>
                <w:tab w:val="right" w:leader="dot" w:pos="8154"/>
              </w:tabs>
              <w:spacing w:after="0" w:line="240" w:lineRule="auto"/>
            </w:pPr>
            <w:r>
              <w:t>13.1.</w:t>
            </w:r>
          </w:p>
        </w:tc>
        <w:tc>
          <w:tcPr>
            <w:tcW w:w="8370" w:type="dxa"/>
            <w:gridSpan w:val="2"/>
          </w:tcPr>
          <w:p w14:paraId="06D4E7A0" w14:textId="77777777" w:rsidR="002B5657" w:rsidRDefault="002B5657" w:rsidP="00A9140F">
            <w:pPr>
              <w:pStyle w:val="AnnexNormal"/>
              <w:tabs>
                <w:tab w:val="right" w:leader="dot" w:pos="8154"/>
              </w:tabs>
              <w:spacing w:after="0" w:line="240" w:lineRule="auto"/>
            </w:pPr>
            <w:r>
              <w:t>Skapandi starfsemi, menningar- og tómstundastarfsemi</w:t>
            </w:r>
            <w:r>
              <w:tab/>
            </w:r>
          </w:p>
        </w:tc>
        <w:tc>
          <w:tcPr>
            <w:tcW w:w="378" w:type="dxa"/>
            <w:tcMar>
              <w:right w:w="0" w:type="dxa"/>
            </w:tcMar>
          </w:tcPr>
          <w:p w14:paraId="30C6A245" w14:textId="77777777" w:rsidR="002B5657" w:rsidRDefault="002B5657" w:rsidP="00A9140F">
            <w:pPr>
              <w:pStyle w:val="AnnexNormal"/>
              <w:tabs>
                <w:tab w:val="right" w:leader="dot" w:pos="8154"/>
              </w:tabs>
              <w:spacing w:after="0" w:line="240" w:lineRule="auto"/>
            </w:pPr>
            <w:r>
              <w:t>340</w:t>
            </w:r>
          </w:p>
        </w:tc>
      </w:tr>
      <w:tr w:rsidR="002B5657" w14:paraId="4AD63567" w14:textId="77777777" w:rsidTr="00A9140F">
        <w:trPr>
          <w:trHeight w:val="20"/>
        </w:trPr>
        <w:tc>
          <w:tcPr>
            <w:tcW w:w="480" w:type="dxa"/>
            <w:tcMar>
              <w:left w:w="0" w:type="dxa"/>
            </w:tcMar>
          </w:tcPr>
          <w:p w14:paraId="30F4F6E1" w14:textId="77777777" w:rsidR="002B5657" w:rsidRDefault="002B5657" w:rsidP="00A9140F">
            <w:pPr>
              <w:pStyle w:val="AnnexNormal"/>
              <w:tabs>
                <w:tab w:val="right" w:leader="dot" w:pos="8154"/>
              </w:tabs>
              <w:spacing w:after="0" w:line="240" w:lineRule="auto"/>
            </w:pPr>
            <w:r>
              <w:t>13.2.</w:t>
            </w:r>
          </w:p>
        </w:tc>
        <w:tc>
          <w:tcPr>
            <w:tcW w:w="8370" w:type="dxa"/>
            <w:gridSpan w:val="2"/>
          </w:tcPr>
          <w:p w14:paraId="40AFEA8F" w14:textId="77777777" w:rsidR="002B5657" w:rsidRDefault="002B5657" w:rsidP="00A9140F">
            <w:pPr>
              <w:pStyle w:val="AnnexNormal"/>
              <w:tabs>
                <w:tab w:val="right" w:leader="dot" w:pos="8154"/>
              </w:tabs>
              <w:spacing w:after="0" w:line="240" w:lineRule="auto"/>
            </w:pPr>
            <w:r>
              <w:t>Bókasöfn, skjalavarsla, söfn og menningarstarfsemi</w:t>
            </w:r>
            <w:r>
              <w:tab/>
            </w:r>
          </w:p>
        </w:tc>
        <w:tc>
          <w:tcPr>
            <w:tcW w:w="378" w:type="dxa"/>
            <w:tcMar>
              <w:right w:w="0" w:type="dxa"/>
            </w:tcMar>
          </w:tcPr>
          <w:p w14:paraId="37C63B1A" w14:textId="77777777" w:rsidR="002B5657" w:rsidRDefault="002B5657" w:rsidP="00A9140F">
            <w:pPr>
              <w:pStyle w:val="AnnexNormal"/>
              <w:tabs>
                <w:tab w:val="right" w:leader="dot" w:pos="8154"/>
              </w:tabs>
              <w:spacing w:after="0" w:line="240" w:lineRule="auto"/>
            </w:pPr>
            <w:r>
              <w:t>341</w:t>
            </w:r>
          </w:p>
        </w:tc>
      </w:tr>
      <w:tr w:rsidR="002B5657" w14:paraId="211F635A" w14:textId="77777777" w:rsidTr="00A9140F">
        <w:trPr>
          <w:trHeight w:val="20"/>
        </w:trPr>
        <w:tc>
          <w:tcPr>
            <w:tcW w:w="480" w:type="dxa"/>
            <w:tcMar>
              <w:left w:w="0" w:type="dxa"/>
            </w:tcMar>
          </w:tcPr>
          <w:p w14:paraId="16CB8BE9" w14:textId="77777777" w:rsidR="002B5657" w:rsidRDefault="002B5657" w:rsidP="00A9140F">
            <w:pPr>
              <w:pStyle w:val="AnnexNormal"/>
              <w:tabs>
                <w:tab w:val="right" w:leader="dot" w:pos="8154"/>
              </w:tabs>
              <w:spacing w:after="0" w:line="240" w:lineRule="auto"/>
            </w:pPr>
            <w:r>
              <w:t>13.3.</w:t>
            </w:r>
          </w:p>
        </w:tc>
        <w:tc>
          <w:tcPr>
            <w:tcW w:w="8370" w:type="dxa"/>
            <w:gridSpan w:val="2"/>
          </w:tcPr>
          <w:p w14:paraId="19C314CE" w14:textId="77777777" w:rsidR="002B5657" w:rsidRDefault="002B5657" w:rsidP="00A9140F">
            <w:pPr>
              <w:pStyle w:val="AnnexNormal"/>
              <w:tabs>
                <w:tab w:val="right" w:leader="dot" w:pos="8154"/>
              </w:tabs>
              <w:spacing w:after="0" w:line="240" w:lineRule="auto"/>
            </w:pPr>
            <w:r>
              <w:t>Útgáfustarfsemi á sviði framleiðslu á kvikmyndum, myndböndum og sjónvarpsefni, hljóðupptöku og tónlist</w:t>
            </w:r>
            <w:r>
              <w:tab/>
            </w:r>
          </w:p>
        </w:tc>
        <w:tc>
          <w:tcPr>
            <w:tcW w:w="378" w:type="dxa"/>
            <w:tcMar>
              <w:right w:w="0" w:type="dxa"/>
            </w:tcMar>
          </w:tcPr>
          <w:p w14:paraId="6C01EE49" w14:textId="77777777" w:rsidR="002B5657" w:rsidRDefault="002B5657" w:rsidP="00A9140F">
            <w:pPr>
              <w:pStyle w:val="AnnexNormal"/>
              <w:tabs>
                <w:tab w:val="right" w:leader="dot" w:pos="8154"/>
              </w:tabs>
              <w:spacing w:after="0" w:line="240" w:lineRule="auto"/>
            </w:pPr>
            <w:r>
              <w:t>343</w:t>
            </w:r>
          </w:p>
        </w:tc>
      </w:tr>
      <w:tr w:rsidR="002B5657" w14:paraId="353E5F89" w14:textId="77777777" w:rsidTr="00A9140F">
        <w:tblPrEx>
          <w:tblCellMar>
            <w:top w:w="0" w:type="dxa"/>
            <w:bottom w:w="0" w:type="dxa"/>
          </w:tblCellMar>
        </w:tblPrEx>
        <w:trPr>
          <w:trHeight w:val="20"/>
        </w:trPr>
        <w:tc>
          <w:tcPr>
            <w:tcW w:w="1152" w:type="dxa"/>
            <w:gridSpan w:val="2"/>
            <w:tcMar>
              <w:top w:w="190" w:type="dxa"/>
              <w:left w:w="0" w:type="dxa"/>
              <w:bottom w:w="190" w:type="dxa"/>
            </w:tcMar>
          </w:tcPr>
          <w:p w14:paraId="4C333ED9" w14:textId="77777777" w:rsidR="002B5657" w:rsidRDefault="002B5657" w:rsidP="00A9140F">
            <w:pPr>
              <w:pStyle w:val="AnnexNormal"/>
              <w:spacing w:after="0" w:line="240" w:lineRule="auto"/>
            </w:pPr>
            <w:r>
              <w:t>Viðbætir A:</w:t>
            </w:r>
          </w:p>
        </w:tc>
        <w:tc>
          <w:tcPr>
            <w:tcW w:w="7698" w:type="dxa"/>
            <w:tcMar>
              <w:top w:w="190" w:type="dxa"/>
              <w:bottom w:w="190" w:type="dxa"/>
            </w:tcMar>
          </w:tcPr>
          <w:p w14:paraId="64FEEBCA" w14:textId="77777777" w:rsidR="002B5657" w:rsidRDefault="002B5657" w:rsidP="00A9140F">
            <w:pPr>
              <w:pStyle w:val="AnnexNormal"/>
              <w:tabs>
                <w:tab w:val="right" w:leader="dot" w:pos="8154"/>
              </w:tabs>
              <w:spacing w:after="0" w:line="240" w:lineRule="auto"/>
            </w:pPr>
            <w:r>
              <w:t>Flokkun loftslagstengdra hætta</w:t>
            </w:r>
            <w:r>
              <w:tab/>
            </w:r>
          </w:p>
        </w:tc>
        <w:tc>
          <w:tcPr>
            <w:tcW w:w="378" w:type="dxa"/>
            <w:tcMar>
              <w:right w:w="0" w:type="dxa"/>
            </w:tcMar>
          </w:tcPr>
          <w:p w14:paraId="22A87FDF" w14:textId="77777777" w:rsidR="002B5657" w:rsidRDefault="002B5657" w:rsidP="00A9140F">
            <w:pPr>
              <w:pStyle w:val="AnnexNormal"/>
              <w:spacing w:after="0" w:line="240" w:lineRule="auto"/>
            </w:pPr>
            <w:r>
              <w:t>346</w:t>
            </w:r>
          </w:p>
        </w:tc>
      </w:tr>
      <w:tr w:rsidR="002B5657" w14:paraId="2C926BB8" w14:textId="77777777" w:rsidTr="00A9140F">
        <w:tblPrEx>
          <w:tblCellMar>
            <w:top w:w="0" w:type="dxa"/>
            <w:bottom w:w="0" w:type="dxa"/>
          </w:tblCellMar>
        </w:tblPrEx>
        <w:trPr>
          <w:trHeight w:val="20"/>
        </w:trPr>
        <w:tc>
          <w:tcPr>
            <w:tcW w:w="1152" w:type="dxa"/>
            <w:gridSpan w:val="2"/>
            <w:tcMar>
              <w:top w:w="190" w:type="dxa"/>
              <w:left w:w="0" w:type="dxa"/>
              <w:bottom w:w="190" w:type="dxa"/>
            </w:tcMar>
          </w:tcPr>
          <w:p w14:paraId="34E3D639" w14:textId="77777777" w:rsidR="002B5657" w:rsidRDefault="002B5657" w:rsidP="00A9140F">
            <w:pPr>
              <w:pStyle w:val="AnnexNormal"/>
              <w:spacing w:after="0" w:line="240" w:lineRule="auto"/>
            </w:pPr>
            <w:r>
              <w:t>Viðbætir B:</w:t>
            </w:r>
          </w:p>
        </w:tc>
        <w:tc>
          <w:tcPr>
            <w:tcW w:w="7698" w:type="dxa"/>
            <w:tcMar>
              <w:top w:w="190" w:type="dxa"/>
              <w:bottom w:w="190" w:type="dxa"/>
            </w:tcMar>
          </w:tcPr>
          <w:p w14:paraId="239E1F2D" w14:textId="77777777" w:rsidR="002B5657" w:rsidRDefault="002B5657" w:rsidP="00A9140F">
            <w:pPr>
              <w:pStyle w:val="AnnexNormal"/>
              <w:tabs>
                <w:tab w:val="right" w:leader="dot" w:pos="8154"/>
              </w:tabs>
              <w:spacing w:after="0" w:line="240" w:lineRule="auto"/>
            </w:pPr>
            <w:r>
              <w:t>Almennar viðmiðanir um að valda ekki umtalsverðu tjóni fyrir sjálfbæra notkun og verndun vatns- og sjávarauðlinda</w:t>
            </w:r>
            <w:r>
              <w:tab/>
            </w:r>
          </w:p>
        </w:tc>
        <w:tc>
          <w:tcPr>
            <w:tcW w:w="378" w:type="dxa"/>
            <w:tcMar>
              <w:right w:w="0" w:type="dxa"/>
            </w:tcMar>
          </w:tcPr>
          <w:p w14:paraId="041ECC5B" w14:textId="77777777" w:rsidR="002B5657" w:rsidRDefault="002B5657" w:rsidP="00A9140F">
            <w:pPr>
              <w:pStyle w:val="AnnexNormal"/>
              <w:spacing w:after="0" w:line="240" w:lineRule="auto"/>
            </w:pPr>
            <w:r>
              <w:t>347</w:t>
            </w:r>
          </w:p>
        </w:tc>
      </w:tr>
      <w:tr w:rsidR="002B5657" w14:paraId="026C60F9" w14:textId="77777777" w:rsidTr="00A9140F">
        <w:tblPrEx>
          <w:tblCellMar>
            <w:top w:w="0" w:type="dxa"/>
            <w:bottom w:w="0" w:type="dxa"/>
          </w:tblCellMar>
        </w:tblPrEx>
        <w:trPr>
          <w:trHeight w:val="20"/>
        </w:trPr>
        <w:tc>
          <w:tcPr>
            <w:tcW w:w="1152" w:type="dxa"/>
            <w:gridSpan w:val="2"/>
            <w:tcMar>
              <w:top w:w="190" w:type="dxa"/>
              <w:left w:w="0" w:type="dxa"/>
              <w:bottom w:w="190" w:type="dxa"/>
            </w:tcMar>
          </w:tcPr>
          <w:p w14:paraId="083B2F37" w14:textId="77777777" w:rsidR="002B5657" w:rsidRDefault="002B5657" w:rsidP="00A9140F">
            <w:pPr>
              <w:pStyle w:val="AnnexNormal"/>
              <w:spacing w:after="0" w:line="240" w:lineRule="auto"/>
            </w:pPr>
            <w:r>
              <w:t>Viðbætir C:</w:t>
            </w:r>
          </w:p>
        </w:tc>
        <w:tc>
          <w:tcPr>
            <w:tcW w:w="7698" w:type="dxa"/>
            <w:tcMar>
              <w:top w:w="190" w:type="dxa"/>
              <w:bottom w:w="190" w:type="dxa"/>
            </w:tcMar>
          </w:tcPr>
          <w:p w14:paraId="618EFB63" w14:textId="77777777" w:rsidR="002B5657" w:rsidRDefault="002B5657" w:rsidP="00A9140F">
            <w:pPr>
              <w:pStyle w:val="AnnexNormal"/>
              <w:tabs>
                <w:tab w:val="right" w:leader="dot" w:pos="8154"/>
              </w:tabs>
              <w:spacing w:after="0" w:line="240" w:lineRule="auto"/>
            </w:pPr>
            <w:r>
              <w:t xml:space="preserve">Almennar viðmiðanir um að valda ekki umtalsverðu tjóni fyrir mengunarvarnir og eftirlit með mengun að því er varðar notkun og tilvist </w:t>
            </w:r>
            <w:proofErr w:type="spellStart"/>
            <w:r>
              <w:t>íðefna</w:t>
            </w:r>
            <w:proofErr w:type="spellEnd"/>
            <w:r>
              <w:tab/>
            </w:r>
          </w:p>
        </w:tc>
        <w:tc>
          <w:tcPr>
            <w:tcW w:w="378" w:type="dxa"/>
            <w:tcMar>
              <w:right w:w="0" w:type="dxa"/>
            </w:tcMar>
          </w:tcPr>
          <w:p w14:paraId="454EFDD3" w14:textId="77777777" w:rsidR="002B5657" w:rsidRDefault="002B5657" w:rsidP="00A9140F">
            <w:pPr>
              <w:pStyle w:val="AnnexNormal"/>
              <w:spacing w:after="0" w:line="240" w:lineRule="auto"/>
            </w:pPr>
            <w:r>
              <w:t>348</w:t>
            </w:r>
          </w:p>
        </w:tc>
      </w:tr>
      <w:tr w:rsidR="002B5657" w14:paraId="49D62D47" w14:textId="77777777" w:rsidTr="00A9140F">
        <w:tblPrEx>
          <w:tblCellMar>
            <w:top w:w="0" w:type="dxa"/>
            <w:bottom w:w="0" w:type="dxa"/>
          </w:tblCellMar>
        </w:tblPrEx>
        <w:trPr>
          <w:trHeight w:val="20"/>
        </w:trPr>
        <w:tc>
          <w:tcPr>
            <w:tcW w:w="1152" w:type="dxa"/>
            <w:gridSpan w:val="2"/>
            <w:tcMar>
              <w:top w:w="190" w:type="dxa"/>
              <w:left w:w="0" w:type="dxa"/>
              <w:bottom w:w="190" w:type="dxa"/>
            </w:tcMar>
          </w:tcPr>
          <w:p w14:paraId="12D0D15B" w14:textId="77777777" w:rsidR="002B5657" w:rsidRDefault="002B5657" w:rsidP="00A9140F">
            <w:pPr>
              <w:pStyle w:val="AnnexNormal"/>
              <w:spacing w:after="0" w:line="240" w:lineRule="auto"/>
            </w:pPr>
            <w:r>
              <w:t>Viðbætir D:</w:t>
            </w:r>
          </w:p>
        </w:tc>
        <w:tc>
          <w:tcPr>
            <w:tcW w:w="7698" w:type="dxa"/>
            <w:tcMar>
              <w:top w:w="190" w:type="dxa"/>
              <w:bottom w:w="190" w:type="dxa"/>
            </w:tcMar>
          </w:tcPr>
          <w:p w14:paraId="6FFC3992" w14:textId="77777777" w:rsidR="002B5657" w:rsidRDefault="002B5657" w:rsidP="00A9140F">
            <w:pPr>
              <w:pStyle w:val="AnnexNormal"/>
              <w:tabs>
                <w:tab w:val="right" w:leader="dot" w:pos="8154"/>
              </w:tabs>
              <w:spacing w:after="0" w:line="240" w:lineRule="auto"/>
            </w:pPr>
            <w:r>
              <w:t>Almennar viðmiðanir um að valda ekki umtalsverðu tjóni fyrir vernd og endurheimt líffræðilegrar fjölbreytni og vistkerfa</w:t>
            </w:r>
            <w:r>
              <w:tab/>
            </w:r>
          </w:p>
        </w:tc>
        <w:tc>
          <w:tcPr>
            <w:tcW w:w="378" w:type="dxa"/>
            <w:tcMar>
              <w:right w:w="0" w:type="dxa"/>
            </w:tcMar>
          </w:tcPr>
          <w:p w14:paraId="3A3978A5" w14:textId="77777777" w:rsidR="002B5657" w:rsidRDefault="002B5657" w:rsidP="00A9140F">
            <w:pPr>
              <w:pStyle w:val="AnnexNormal"/>
              <w:spacing w:after="0" w:line="240" w:lineRule="auto"/>
            </w:pPr>
            <w:r>
              <w:t>349</w:t>
            </w:r>
          </w:p>
        </w:tc>
      </w:tr>
    </w:tbl>
    <w:p w14:paraId="3893E6BE" w14:textId="77777777" w:rsidR="002B5657" w:rsidRDefault="002B5657" w:rsidP="002B5657">
      <w:pPr>
        <w:pStyle w:val="Para"/>
        <w:sectPr w:rsidR="002B5657">
          <w:footnotePr>
            <w:numRestart w:val="eachSect"/>
          </w:footnotePr>
          <w:pgSz w:w="11906" w:h="16838" w:code="9"/>
          <w:pgMar w:top="1680" w:right="1333" w:bottom="840" w:left="1333" w:header="920" w:footer="280" w:gutter="0"/>
          <w:cols w:space="708"/>
          <w:docGrid w:linePitch="360"/>
        </w:sectPr>
      </w:pPr>
    </w:p>
    <w:p w14:paraId="1D07DAB9" w14:textId="77777777" w:rsidR="002B5657" w:rsidRDefault="002B5657" w:rsidP="002B5657">
      <w:pPr>
        <w:pStyle w:val="AnnexNumberedText"/>
        <w:spacing w:after="200"/>
        <w:ind w:left="500" w:hanging="500"/>
      </w:pPr>
      <w:r>
        <w:lastRenderedPageBreak/>
        <w:t>1.</w:t>
      </w:r>
      <w:r>
        <w:tab/>
        <w:t>SKÓGRÆKT</w:t>
      </w:r>
    </w:p>
    <w:p w14:paraId="515E9A90" w14:textId="77777777" w:rsidR="002B5657" w:rsidRDefault="002B5657" w:rsidP="002B5657">
      <w:pPr>
        <w:pStyle w:val="AnnexNumberedText"/>
        <w:spacing w:after="200"/>
        <w:ind w:left="500" w:hanging="500"/>
      </w:pPr>
      <w:r>
        <w:t>1.1.</w:t>
      </w:r>
      <w:r>
        <w:rPr>
          <w:b/>
        </w:rPr>
        <w:tab/>
        <w:t>Nýskógrækt</w:t>
      </w:r>
    </w:p>
    <w:p w14:paraId="355C585C" w14:textId="77777777" w:rsidR="002B5657" w:rsidRDefault="002B5657" w:rsidP="002B5657">
      <w:pPr>
        <w:pStyle w:val="AnnexGrSeq3"/>
        <w:ind w:left="500"/>
        <w:jc w:val="both"/>
      </w:pPr>
      <w:r>
        <w:rPr>
          <w:i/>
        </w:rPr>
        <w:t>Lýsing á starfseminni</w:t>
      </w:r>
    </w:p>
    <w:p w14:paraId="32B6974A" w14:textId="77777777" w:rsidR="002B5657" w:rsidRDefault="002B5657" w:rsidP="002B5657">
      <w:pPr>
        <w:pStyle w:val="AnnexNormal"/>
        <w:ind w:left="500"/>
      </w:pPr>
      <w:r>
        <w:t xml:space="preserve">Skógi komið upp með </w:t>
      </w:r>
      <w:proofErr w:type="spellStart"/>
      <w:r>
        <w:t>plöntun</w:t>
      </w:r>
      <w:proofErr w:type="spellEnd"/>
      <w:r>
        <w:t>, sáningu af ásetningi eða náttúrulegri endurmyndun á landi sem fram að því var notað í annað eða ekki nýtt. Nýskógrækt felur í sér umbreytingu á landnotkun frá skógleysi til skógar, í samræmi við skilgreiningu Matvæla- og landbúnaðarstofnunar SÞ á nýskógrækt (</w:t>
      </w:r>
      <w:bookmarkStart w:id="64" w:name="NOTE_352"/>
      <w:r>
        <w:rPr>
          <w:rStyle w:val="Tilvsunneanmlsgrein"/>
          <w:sz w:val="18"/>
        </w:rPr>
        <w:footnoteReference w:id="353"/>
      </w:r>
      <w:bookmarkEnd w:id="64"/>
      <w:r>
        <w:t>), þar sem skógur merkir land sem svarar til skilgreiningar á skógi eins og sett er fram í landslögum eða, ef hún er ekki tiltæk, í samræmi við skilgreiningu Matvæla- og landbúnaðarstofnunar SÞ á skógi (</w:t>
      </w:r>
      <w:bookmarkStart w:id="65" w:name="NOTE_353"/>
      <w:r>
        <w:rPr>
          <w:rStyle w:val="Tilvsunneanmlsgrein"/>
          <w:sz w:val="18"/>
        </w:rPr>
        <w:footnoteReference w:id="354"/>
      </w:r>
      <w:bookmarkEnd w:id="65"/>
      <w:r>
        <w:t>). Nýskógrækt getur náð yfir fyrri nýskógrækt svo fremi að hún eigi sér stað á tímabilinu milli þess sem trjánum er plantað og tímapunktsins þegar landnotkunin er viðurkennd sem skógur.</w:t>
      </w:r>
    </w:p>
    <w:p w14:paraId="21D6D1DE" w14:textId="77777777" w:rsidR="002B5657" w:rsidRDefault="002B5657" w:rsidP="002B5657">
      <w:pPr>
        <w:pStyle w:val="AnnexNormal"/>
        <w:ind w:left="500"/>
      </w:pPr>
      <w:r>
        <w:t>Atvinnustarfsemin í þessum flokki gæti tengst kóða atvinnugreinaflokkunar Evrópusambandsins A2 í samræmi við atvinnugreinaflokkunina sem komið var á með reglugerð (EB) nr. 1893/2006. Starfsemin er takmörkuð við atvinnugreinaflokkun Evrópusambandsins II 02.10, þ.e. skógrækt og önnur starfsemi tengd skógrækt, 02.20, þ.e. skógarhögg, 02.30, þ.e. söfnun afurða sem vaxa villtar en eru ekki tré og 02.40, þ.e. þjónustustarfsemi við skógrækt.</w:t>
      </w:r>
    </w:p>
    <w:p w14:paraId="493DFF46" w14:textId="77777777" w:rsidR="002B5657" w:rsidRDefault="002B5657" w:rsidP="002B5657">
      <w:pPr>
        <w:pStyle w:val="AnnexNormal"/>
        <w:ind w:left="500"/>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6A770129" w14:textId="77777777" w:rsidR="002B5657" w:rsidRDefault="002B5657" w:rsidP="002B5657">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12"/>
        <w:gridCol w:w="5928"/>
      </w:tblGrid>
      <w:tr w:rsidR="002B5657" w14:paraId="77CD0BFD"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2746ED6" w14:textId="77777777" w:rsidR="002B5657" w:rsidRDefault="002B5657" w:rsidP="00A9140F">
            <w:pPr>
              <w:pStyle w:val="AnnexTableCellLeft"/>
            </w:pPr>
            <w:r>
              <w:t>Verulegt framlag til aðlögunar að loftslagsbreytingum</w:t>
            </w:r>
          </w:p>
        </w:tc>
      </w:tr>
      <w:tr w:rsidR="002B5657" w14:paraId="0181A489" w14:textId="77777777" w:rsidTr="00A9140F">
        <w:trPr>
          <w:trHeight w:val="360"/>
        </w:trPr>
        <w:tc>
          <w:tcPr>
            <w:tcW w:w="8740" w:type="dxa"/>
            <w:gridSpan w:val="2"/>
            <w:tcBorders>
              <w:bottom w:val="nil"/>
            </w:tcBorders>
            <w:tcMar>
              <w:top w:w="100" w:type="dxa"/>
              <w:left w:w="0" w:type="dxa"/>
              <w:bottom w:w="100" w:type="dxa"/>
              <w:right w:w="60" w:type="dxa"/>
            </w:tcMar>
          </w:tcPr>
          <w:p w14:paraId="1051D9AE" w14:textId="77777777" w:rsidR="002B5657" w:rsidRDefault="002B5657" w:rsidP="00A9140F">
            <w:pPr>
              <w:pStyle w:val="AnnexNumberedText"/>
              <w:tabs>
                <w:tab w:val="left" w:pos="508"/>
              </w:tabs>
              <w:spacing w:after="2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F18A9ED" w14:textId="77777777" w:rsidR="002B5657" w:rsidRDefault="002B5657" w:rsidP="00A9140F">
            <w:pPr>
              <w:pStyle w:val="AnnexNumberedText"/>
              <w:tabs>
                <w:tab w:val="left" w:pos="508"/>
              </w:tabs>
              <w:spacing w:after="2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03BA809" w14:textId="77777777" w:rsidR="002B5657" w:rsidRDefault="002B5657" w:rsidP="00A9140F">
            <w:pPr>
              <w:pStyle w:val="AnnexNumberedText"/>
              <w:spacing w:after="280"/>
            </w:pPr>
            <w:r>
              <w:t>a)</w:t>
            </w:r>
            <w:r>
              <w:tab/>
              <w:t>skimun á starfseminni til að greina hvaða efnislega loftslagsáhætta úr skránni í viðbæti A við þennan viðauka getur haft áhrif á árangurinn af atvinnustarfseminni á væntum líftíma hennar,</w:t>
            </w:r>
          </w:p>
          <w:p w14:paraId="6BAA5149" w14:textId="77777777" w:rsidR="002B5657" w:rsidRDefault="002B5657" w:rsidP="00A9140F">
            <w:pPr>
              <w:pStyle w:val="AnnexNumberedText"/>
              <w:spacing w:after="2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7FFD4C8F" w14:textId="77777777" w:rsidR="002B5657" w:rsidRDefault="002B5657" w:rsidP="00A9140F">
            <w:pPr>
              <w:pStyle w:val="AnnexNumberedText"/>
              <w:spacing w:after="280"/>
            </w:pPr>
            <w:r>
              <w:t>c)</w:t>
            </w:r>
            <w:r>
              <w:tab/>
              <w:t>mat á aðlögunarlausnum sem geta dregið úr greindri efnislegri loftslagsáhættu.</w:t>
            </w:r>
          </w:p>
          <w:p w14:paraId="336F11A5" w14:textId="77777777" w:rsidR="002B5657" w:rsidRDefault="002B5657" w:rsidP="00A9140F">
            <w:pPr>
              <w:pStyle w:val="AnnexTableCellLeft"/>
              <w:spacing w:after="280"/>
              <w:ind w:left="279"/>
            </w:pPr>
            <w:r>
              <w:t xml:space="preserve">Loftslagsáhættu- og veikleikamatið er í réttu hlutfalli við umfang starfseminnar og </w:t>
            </w:r>
            <w:proofErr w:type="spellStart"/>
            <w:r>
              <w:t>væntan</w:t>
            </w:r>
            <w:proofErr w:type="spellEnd"/>
            <w:r>
              <w:t xml:space="preserve"> líftíma hennar þannig að:</w:t>
            </w:r>
          </w:p>
          <w:p w14:paraId="4704BEFB" w14:textId="77777777" w:rsidR="002B5657" w:rsidRDefault="002B5657" w:rsidP="00A9140F">
            <w:pPr>
              <w:pStyle w:val="AnnexNumberedText"/>
              <w:spacing w:after="2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C1F8D6F" w14:textId="77777777" w:rsidR="002B5657" w:rsidRDefault="002B5657"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35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2B5657" w14:paraId="45F8CD34" w14:textId="77777777" w:rsidTr="00A9140F">
        <w:trPr>
          <w:trHeight w:val="360"/>
        </w:trPr>
        <w:tc>
          <w:tcPr>
            <w:tcW w:w="8740" w:type="dxa"/>
            <w:gridSpan w:val="2"/>
            <w:tcBorders>
              <w:top w:val="nil"/>
            </w:tcBorders>
            <w:tcMar>
              <w:top w:w="100" w:type="dxa"/>
              <w:left w:w="0" w:type="dxa"/>
              <w:bottom w:w="100" w:type="dxa"/>
              <w:right w:w="60" w:type="dxa"/>
            </w:tcMar>
          </w:tcPr>
          <w:p w14:paraId="6591BAA3" w14:textId="77777777" w:rsidR="002B5657" w:rsidRDefault="002B5657" w:rsidP="00A9140F">
            <w:pPr>
              <w:pStyle w:val="AnnexNumberedText"/>
              <w:pageBreakBefore/>
              <w:tabs>
                <w:tab w:val="left" w:pos="508"/>
              </w:tabs>
              <w:spacing w:after="280"/>
              <w:ind w:left="0" w:firstLine="0"/>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356"/>
            </w:r>
            <w:r>
              <w:t>), vísindalegt ritrýnt útgefið efni og líkön með opnum aðgangi (</w:t>
            </w:r>
            <w:r>
              <w:rPr>
                <w:rStyle w:val="Tilvsunneanmlsgrein"/>
                <w:sz w:val="18"/>
              </w:rPr>
              <w:footnoteReference w:id="357"/>
            </w:r>
            <w:r>
              <w:t>) eða gegn greiðslu.</w:t>
            </w:r>
          </w:p>
          <w:p w14:paraId="22B1F920" w14:textId="77777777" w:rsidR="002B5657" w:rsidRDefault="002B5657" w:rsidP="00A9140F">
            <w:pPr>
              <w:pStyle w:val="AnnexNumberedText"/>
              <w:tabs>
                <w:tab w:val="left" w:pos="508"/>
              </w:tabs>
              <w:spacing w:after="280"/>
              <w:ind w:left="0" w:firstLine="0"/>
            </w:pPr>
            <w:r>
              <w:t>4.</w:t>
            </w:r>
            <w:r>
              <w:tab/>
              <w:t>Aðlögunarlausnir sem komið er í framkvæmd:</w:t>
            </w:r>
          </w:p>
          <w:p w14:paraId="20AF13DF" w14:textId="77777777" w:rsidR="002B5657" w:rsidRDefault="002B5657" w:rsidP="00A9140F">
            <w:pPr>
              <w:pStyle w:val="AnnexNumberedText"/>
              <w:spacing w:after="280"/>
            </w:pPr>
            <w:r>
              <w:t>a)</w:t>
            </w:r>
            <w:r>
              <w:tab/>
              <w:t>hafa ekki neikvæð áhrif á viðleitni til aðlögunar eða viðnám annars fólks, náttúru, menningararfleifðar, eigna og annarrar atvinnustarfsemi gegn efnislegri loftslagsáhættu,</w:t>
            </w:r>
          </w:p>
          <w:p w14:paraId="779A2448" w14:textId="77777777" w:rsidR="002B5657" w:rsidRDefault="002B5657" w:rsidP="00A9140F">
            <w:pPr>
              <w:pStyle w:val="AnnexNumberedText"/>
              <w:spacing w:after="280"/>
            </w:pPr>
            <w:r>
              <w:t>b)</w:t>
            </w:r>
            <w:r>
              <w:tab/>
              <w:t>eru með náttúrumiðaðar lausnir (</w:t>
            </w:r>
            <w:r>
              <w:rPr>
                <w:rStyle w:val="Tilvsunneanmlsgrein"/>
                <w:sz w:val="18"/>
              </w:rPr>
              <w:footnoteReference w:id="358"/>
            </w:r>
            <w:r>
              <w:t>) í forgangi eða treyst er á bláa eða græna innviði (</w:t>
            </w:r>
            <w:r>
              <w:rPr>
                <w:rStyle w:val="Tilvsunneanmlsgrein"/>
                <w:sz w:val="18"/>
              </w:rPr>
              <w:footnoteReference w:id="359"/>
            </w:r>
            <w:r>
              <w:t>) að því marki sem mögulegt er,</w:t>
            </w:r>
          </w:p>
          <w:p w14:paraId="6F6EC8ED" w14:textId="77777777" w:rsidR="002B5657" w:rsidRDefault="002B5657" w:rsidP="00A9140F">
            <w:pPr>
              <w:pStyle w:val="AnnexNumberedText"/>
              <w:spacing w:after="280"/>
            </w:pPr>
            <w:r>
              <w:t>c)</w:t>
            </w:r>
            <w:r>
              <w:tab/>
              <w:t>eru í samræmi við staðbundnar, geirabundnar, svæðisbundnar eða landsbundnar aðlögunarstefnur og -áætlanir,</w:t>
            </w:r>
          </w:p>
          <w:p w14:paraId="081F2629" w14:textId="77777777" w:rsidR="002B5657" w:rsidRDefault="002B5657" w:rsidP="00A9140F">
            <w:pPr>
              <w:pStyle w:val="AnnexNumberedText"/>
              <w:spacing w:after="28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E07A253" w14:textId="77777777" w:rsidR="002B5657" w:rsidRDefault="002B5657" w:rsidP="00A9140F">
            <w:pPr>
              <w:pStyle w:val="AnnexNumberedText"/>
              <w:spacing w:after="28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75EB232A" w14:textId="77777777" w:rsidR="002B5657" w:rsidRDefault="002B5657" w:rsidP="00A9140F">
            <w:pPr>
              <w:pStyle w:val="AnnexNumberedText"/>
              <w:tabs>
                <w:tab w:val="left" w:pos="508"/>
              </w:tabs>
              <w:spacing w:after="28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58B0FA5E" w14:textId="77777777" w:rsidR="002B5657" w:rsidRDefault="002B5657" w:rsidP="00A9140F">
            <w:pPr>
              <w:pStyle w:val="AnnexNumberedText"/>
              <w:spacing w:after="280"/>
            </w:pPr>
            <w:r>
              <w:t>a)</w:t>
            </w:r>
            <w:r>
              <w:tab/>
              <w:t>auki viðnám gegn efnislegri loftslagsáhættu fyrir annað fólk, náttúru, menningararfleifð, eignir og aðra atvinnustarfsemi,</w:t>
            </w:r>
          </w:p>
          <w:p w14:paraId="1881C895" w14:textId="77777777" w:rsidR="002B5657" w:rsidRDefault="002B5657" w:rsidP="00A9140F">
            <w:pPr>
              <w:pStyle w:val="AnnexNumberedText"/>
              <w:spacing w:after="280"/>
            </w:pPr>
            <w:r>
              <w:t>b)</w:t>
            </w:r>
            <w:r>
              <w:tab/>
              <w:t>stuðli að aðlögunarviðleitni annars fólks, náttúru, menningararfleifðar, eigna og annarrar atvinnustarfsemi.</w:t>
            </w:r>
          </w:p>
        </w:tc>
      </w:tr>
      <w:tr w:rsidR="002B5657" w14:paraId="12063F63"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4E50BE5" w14:textId="77777777" w:rsidR="002B5657" w:rsidRDefault="002B5657" w:rsidP="00A9140F">
            <w:pPr>
              <w:pStyle w:val="AnnexTableCellLeft"/>
            </w:pPr>
            <w:r>
              <w:t>Ekki valda umtalsverðu tjóni</w:t>
            </w:r>
          </w:p>
        </w:tc>
      </w:tr>
      <w:tr w:rsidR="002B5657" w14:paraId="47373ABF" w14:textId="77777777" w:rsidTr="00A9140F">
        <w:trPr>
          <w:trHeight w:val="360"/>
        </w:trPr>
        <w:tc>
          <w:tcPr>
            <w:tcW w:w="2812" w:type="dxa"/>
            <w:tcBorders>
              <w:bottom w:val="nil"/>
            </w:tcBorders>
            <w:tcMar>
              <w:top w:w="100" w:type="dxa"/>
              <w:left w:w="0" w:type="dxa"/>
              <w:bottom w:w="100" w:type="dxa"/>
              <w:right w:w="60" w:type="dxa"/>
            </w:tcMar>
          </w:tcPr>
          <w:p w14:paraId="14BA81B9" w14:textId="77777777" w:rsidR="002B5657" w:rsidRDefault="002B5657" w:rsidP="00A9140F">
            <w:pPr>
              <w:pStyle w:val="AnnexNumberedText"/>
            </w:pPr>
            <w:r>
              <w:t>1)</w:t>
            </w:r>
            <w:r>
              <w:tab/>
              <w:t>Mildun loftslagsbreytinga</w:t>
            </w:r>
          </w:p>
        </w:tc>
        <w:tc>
          <w:tcPr>
            <w:tcW w:w="5928" w:type="dxa"/>
            <w:tcBorders>
              <w:bottom w:val="nil"/>
            </w:tcBorders>
            <w:tcMar>
              <w:top w:w="100" w:type="dxa"/>
              <w:left w:w="40" w:type="dxa"/>
              <w:bottom w:w="100" w:type="dxa"/>
              <w:right w:w="0" w:type="dxa"/>
            </w:tcMar>
          </w:tcPr>
          <w:p w14:paraId="520F57FE" w14:textId="77777777" w:rsidR="002B5657" w:rsidRDefault="002B5657" w:rsidP="00A9140F">
            <w:pPr>
              <w:pStyle w:val="AnnexNumberedText"/>
              <w:spacing w:after="280"/>
              <w:ind w:left="360" w:hanging="360"/>
            </w:pPr>
            <w:r>
              <w:t>1.</w:t>
            </w:r>
            <w:r>
              <w:rPr>
                <w:i/>
              </w:rPr>
              <w:tab/>
              <w:t xml:space="preserve">Áætlun um nýskógrækt og </w:t>
            </w:r>
            <w:proofErr w:type="spellStart"/>
            <w:r>
              <w:rPr>
                <w:i/>
              </w:rPr>
              <w:t>eftirfylgjandi</w:t>
            </w:r>
            <w:proofErr w:type="spellEnd"/>
            <w:r>
              <w:rPr>
                <w:i/>
              </w:rPr>
              <w:t xml:space="preserve"> skógarstjórnunaráætlun eða jafngildur </w:t>
            </w:r>
            <w:proofErr w:type="spellStart"/>
            <w:r>
              <w:rPr>
                <w:i/>
              </w:rPr>
              <w:t>gerningur</w:t>
            </w:r>
            <w:proofErr w:type="spellEnd"/>
          </w:p>
          <w:p w14:paraId="31AF978C" w14:textId="77777777" w:rsidR="002B5657" w:rsidRDefault="002B5657" w:rsidP="00A9140F">
            <w:pPr>
              <w:pStyle w:val="AnnexNumberedText"/>
              <w:tabs>
                <w:tab w:val="left" w:pos="508"/>
              </w:tabs>
              <w:spacing w:after="280"/>
              <w:ind w:left="0" w:firstLine="0"/>
            </w:pPr>
            <w:r>
              <w:t>1.1.</w:t>
            </w:r>
            <w:r>
              <w:tab/>
              <w:t>Svæðið þar sem starfsemin fer fram fellur undir áætlun um nýskógrækt til a.m.k. fimm ára, eða lágmarkstímabil sem mælt er fyrir um í landslögum, sem er samin áður en starfsemin hefst og uppfærð samfellt, þangað til þetta svæði samsvarar skilgreiningu á skógi eins og sett er fram í landslögum eða, ef hún er ekki tiltæk, er í samræmi við skilgreiningu Matvæla- og landbúnaðarstofnunar SÞ á skógi.</w:t>
            </w:r>
          </w:p>
          <w:p w14:paraId="38559B65" w14:textId="77777777" w:rsidR="002B5657" w:rsidRDefault="002B5657" w:rsidP="00A9140F">
            <w:pPr>
              <w:pStyle w:val="AnnexTableCellLeft"/>
            </w:pPr>
            <w:r>
              <w:lastRenderedPageBreak/>
              <w:t>Áætlun um nýskógrækt inniheldur alla þætti sem krafist er samkvæmt landslögum sem varða mat á umhverfisáhrifum nýskógræktar.</w:t>
            </w:r>
          </w:p>
        </w:tc>
      </w:tr>
      <w:tr w:rsidR="002B5657" w14:paraId="0AAA2FBB" w14:textId="77777777" w:rsidTr="00A9140F">
        <w:trPr>
          <w:trHeight w:val="240"/>
        </w:trPr>
        <w:tc>
          <w:tcPr>
            <w:tcW w:w="2812" w:type="dxa"/>
            <w:tcBorders>
              <w:top w:val="single" w:sz="4" w:space="0" w:color="auto"/>
              <w:bottom w:val="nil"/>
            </w:tcBorders>
            <w:tcMar>
              <w:top w:w="100" w:type="dxa"/>
              <w:left w:w="0" w:type="dxa"/>
              <w:bottom w:w="100" w:type="dxa"/>
              <w:right w:w="60" w:type="dxa"/>
            </w:tcMar>
          </w:tcPr>
          <w:p w14:paraId="2CD58F0C" w14:textId="77777777" w:rsidR="002B5657" w:rsidRDefault="002B5657" w:rsidP="00A9140F">
            <w:pPr>
              <w:pStyle w:val="AnnexTableCellLeft"/>
              <w:pageBreakBefore/>
              <w:ind w:left="300" w:hanging="300"/>
            </w:pPr>
          </w:p>
        </w:tc>
        <w:tc>
          <w:tcPr>
            <w:tcW w:w="5928" w:type="dxa"/>
            <w:tcBorders>
              <w:top w:val="single" w:sz="4" w:space="0" w:color="auto"/>
              <w:bottom w:val="nil"/>
            </w:tcBorders>
            <w:tcMar>
              <w:top w:w="100" w:type="dxa"/>
              <w:left w:w="40" w:type="dxa"/>
              <w:bottom w:w="100" w:type="dxa"/>
              <w:right w:w="0" w:type="dxa"/>
            </w:tcMar>
          </w:tcPr>
          <w:p w14:paraId="17DD9B26" w14:textId="77777777" w:rsidR="002B5657" w:rsidRDefault="002B5657" w:rsidP="00A9140F">
            <w:pPr>
              <w:pStyle w:val="AnnexNumberedText"/>
              <w:tabs>
                <w:tab w:val="left" w:pos="508"/>
              </w:tabs>
              <w:spacing w:after="220"/>
              <w:ind w:left="0" w:firstLine="0"/>
            </w:pPr>
            <w:r>
              <w:t>1.2.</w:t>
            </w:r>
            <w:r>
              <w:tab/>
              <w:t>Ítarlegar upplýsingar eru veittar, helst í áætluninni um nýskógrækt eða, ef upplýsingarnar vantar, í einhverju öðru skjali, um eftirfarandi atriði:</w:t>
            </w:r>
          </w:p>
          <w:p w14:paraId="2B95C7D7" w14:textId="77777777" w:rsidR="002B5657" w:rsidRDefault="002B5657" w:rsidP="00A9140F">
            <w:pPr>
              <w:pStyle w:val="AnnexNumberedText"/>
              <w:spacing w:after="220"/>
            </w:pPr>
            <w:r>
              <w:t>a)</w:t>
            </w:r>
            <w:r>
              <w:tab/>
              <w:t>lýsing á svæðinu samkvæmt færslu þar um í landskránni,</w:t>
            </w:r>
          </w:p>
          <w:p w14:paraId="2C203E13" w14:textId="77777777" w:rsidR="002B5657" w:rsidRDefault="002B5657" w:rsidP="00A9140F">
            <w:pPr>
              <w:pStyle w:val="AnnexNumberedText"/>
              <w:spacing w:after="220"/>
            </w:pPr>
            <w:r>
              <w:t>b)</w:t>
            </w:r>
            <w:r>
              <w:tab/>
              <w:t>undirbúningur svæðis og áhrifin á kolefnisbirgðir sem fyrir eru, þ.m.t. jarðvegur og lífmassi ofanjarðar, til að vernda land með miklar kolefnisbirgðir (</w:t>
            </w:r>
            <w:r>
              <w:rPr>
                <w:rStyle w:val="Tilvsunneanmlsgrein"/>
                <w:sz w:val="18"/>
              </w:rPr>
              <w:footnoteReference w:id="360"/>
            </w:r>
            <w:r>
              <w:t>),</w:t>
            </w:r>
          </w:p>
          <w:p w14:paraId="6BFA36DE" w14:textId="77777777" w:rsidR="002B5657" w:rsidRDefault="002B5657" w:rsidP="00A9140F">
            <w:pPr>
              <w:pStyle w:val="AnnexNumberedText"/>
              <w:spacing w:after="220"/>
            </w:pPr>
            <w:r>
              <w:t>c)</w:t>
            </w:r>
            <w:r>
              <w:tab/>
              <w:t>stjórnunarmarkmið, þ.m.t. meiriháttar hindranir,</w:t>
            </w:r>
          </w:p>
          <w:p w14:paraId="7917C5ED" w14:textId="77777777" w:rsidR="002B5657" w:rsidRDefault="002B5657" w:rsidP="00A9140F">
            <w:pPr>
              <w:pStyle w:val="AnnexNumberedText"/>
              <w:spacing w:after="220"/>
            </w:pPr>
            <w:r>
              <w:t>d)</w:t>
            </w:r>
            <w:r>
              <w:tab/>
              <w:t>almennar stefnuáætlanir og fyrirhuguð starfsemi til að ná stjórnunarmarkmiðunum, þ.m.t. væntanlegar aðgerðir yfir allan skógræktarhringrásina,</w:t>
            </w:r>
          </w:p>
          <w:p w14:paraId="201108DD" w14:textId="77777777" w:rsidR="002B5657" w:rsidRDefault="002B5657" w:rsidP="00A9140F">
            <w:pPr>
              <w:pStyle w:val="AnnexNumberedText"/>
              <w:spacing w:after="220"/>
            </w:pPr>
            <w:r>
              <w:t>e)</w:t>
            </w:r>
            <w:r>
              <w:tab/>
              <w:t>skilgreining á búsvæðalegu samhengi skógarins, þ.m.t. helstu trjátegundir sem fyrir eru og fyrirhugaðar og umfang þeirra og dreifing,</w:t>
            </w:r>
          </w:p>
          <w:p w14:paraId="488DD230" w14:textId="77777777" w:rsidR="002B5657" w:rsidRDefault="002B5657" w:rsidP="00A9140F">
            <w:pPr>
              <w:pStyle w:val="AnnexNumberedText"/>
              <w:spacing w:after="220"/>
            </w:pPr>
            <w:r>
              <w:t>f)</w:t>
            </w:r>
            <w:r>
              <w:tab/>
              <w:t>hólf, vegir, athafnaréttur og annar almennur aðgangur, efnislegir þættir, þ.m.t. vatnaleiðir, svæði sem falla undir lagalegar takmarkanir og aðrar takmarkanir,</w:t>
            </w:r>
          </w:p>
          <w:p w14:paraId="03C5555B" w14:textId="77777777" w:rsidR="002B5657" w:rsidRDefault="002B5657" w:rsidP="00A9140F">
            <w:pPr>
              <w:pStyle w:val="AnnexNumberedText"/>
              <w:spacing w:after="220"/>
            </w:pPr>
            <w:r>
              <w:t>g)</w:t>
            </w:r>
            <w:r>
              <w:tab/>
              <w:t>ráðstafanir sem eru innleiddar til að koma á og viðhalda góðu ásigkomulagi skógarvistkerfa,</w:t>
            </w:r>
          </w:p>
          <w:p w14:paraId="44683656" w14:textId="77777777" w:rsidR="002B5657" w:rsidRDefault="002B5657" w:rsidP="00A9140F">
            <w:pPr>
              <w:pStyle w:val="AnnexNumberedText"/>
              <w:spacing w:after="220"/>
            </w:pPr>
            <w:r>
              <w:t>h)</w:t>
            </w:r>
            <w:r>
              <w:tab/>
              <w:t>tillit tekið til samfélagslegra málefna (þ.m.t. varðveisla landslags, samráð við hagsmunaaðila í samræmi við skilmála og skilyrði sem mælt er fyrir um í landslögum),</w:t>
            </w:r>
          </w:p>
          <w:p w14:paraId="6CF95682" w14:textId="77777777" w:rsidR="002B5657" w:rsidRDefault="002B5657" w:rsidP="00A9140F">
            <w:pPr>
              <w:pStyle w:val="AnnexNumberedText"/>
              <w:spacing w:after="220"/>
            </w:pPr>
            <w:r>
              <w:t>i)</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3478AE31" w14:textId="77777777" w:rsidR="002B5657" w:rsidRDefault="002B5657" w:rsidP="00A9140F">
            <w:pPr>
              <w:pStyle w:val="AnnexNumberedText"/>
              <w:spacing w:after="220"/>
            </w:pPr>
            <w:r>
              <w:t>j)</w:t>
            </w:r>
            <w:r>
              <w:tab/>
              <w:t>mat á áhrifum á fæðuöryggi,</w:t>
            </w:r>
          </w:p>
          <w:p w14:paraId="14BF561C" w14:textId="77777777" w:rsidR="002B5657" w:rsidRDefault="002B5657" w:rsidP="00A9140F">
            <w:pPr>
              <w:pStyle w:val="AnnexNumberedText"/>
              <w:spacing w:after="220"/>
            </w:pPr>
            <w:r>
              <w:t>k)</w:t>
            </w:r>
            <w:r>
              <w:tab/>
              <w:t>allar viðmiðanir um að valda ekki umtalsverðu tjóni sem skipta máli fyrir nýskógrækt.</w:t>
            </w:r>
          </w:p>
          <w:p w14:paraId="0B572E84" w14:textId="77777777" w:rsidR="002B5657" w:rsidRDefault="002B5657" w:rsidP="00A9140F">
            <w:pPr>
              <w:pStyle w:val="AnnexNumberedText"/>
              <w:tabs>
                <w:tab w:val="left" w:pos="508"/>
              </w:tabs>
              <w:spacing w:after="220"/>
              <w:ind w:left="0" w:firstLine="0"/>
            </w:pPr>
            <w:r>
              <w:t>1.3.</w:t>
            </w:r>
            <w:r>
              <w:tab/>
              <w:t xml:space="preserve">Þegar svæðið verður að skógi er áætluninni um nýskógrækt fylgt eftir með </w:t>
            </w:r>
            <w:proofErr w:type="spellStart"/>
            <w:r>
              <w:t>eftirfylgjandi</w:t>
            </w:r>
            <w:proofErr w:type="spellEnd"/>
            <w:r>
              <w:t xml:space="preserve"> skógarstjórnunaráætlun eða jafngildum </w:t>
            </w:r>
            <w:proofErr w:type="spellStart"/>
            <w:r>
              <w:t>gerningi</w:t>
            </w:r>
            <w:proofErr w:type="spellEnd"/>
            <w:r>
              <w:t xml:space="preserve">, eins og sett er fram í landslögum eða, ef ekki er skilgreining á skógarstjórnunaráætlun eða jafngildum </w:t>
            </w:r>
            <w:proofErr w:type="spellStart"/>
            <w:r>
              <w:t>gerningi</w:t>
            </w:r>
            <w:proofErr w:type="spellEnd"/>
            <w:r>
              <w:t xml:space="preserve"> í landslögum, eins og um getur í skilgreiningu Matvæla- og landbúnaðarstofnunar SÞ á „skógarsvæði með skógarstjórnunaráætlun til langs tíma“ (</w:t>
            </w:r>
            <w:r>
              <w:rPr>
                <w:rStyle w:val="Tilvsunneanmlsgrein"/>
                <w:sz w:val="18"/>
              </w:rPr>
              <w:footnoteReference w:id="361"/>
            </w:r>
            <w:r>
              <w:t xml:space="preserve">), Skógarstjórnunaráætlun, eða jafngildur </w:t>
            </w:r>
            <w:proofErr w:type="spellStart"/>
            <w:r>
              <w:t>gerningur</w:t>
            </w:r>
            <w:proofErr w:type="spellEnd"/>
            <w:r>
              <w:t>, nær yfir 10 ára tímabil eða meira og er uppfærð samfellt.</w:t>
            </w:r>
          </w:p>
          <w:p w14:paraId="2AA0363A" w14:textId="77777777" w:rsidR="002B5657" w:rsidRDefault="002B5657" w:rsidP="00A9140F">
            <w:pPr>
              <w:pStyle w:val="AnnexNumberedText"/>
              <w:tabs>
                <w:tab w:val="left" w:pos="508"/>
              </w:tabs>
              <w:spacing w:after="220"/>
              <w:ind w:left="0" w:firstLine="0"/>
            </w:pPr>
            <w:r>
              <w:t>1.4.</w:t>
            </w:r>
            <w:r>
              <w:tab/>
              <w:t>Upplýsingar eru veittar um eftirfarandi liði sem ekki eru þegar skjalfestir í skógarstjórnunaráætluninni eða jafngildu kerfi:</w:t>
            </w:r>
          </w:p>
          <w:p w14:paraId="5F4D125B" w14:textId="77777777" w:rsidR="002B5657" w:rsidRDefault="002B5657" w:rsidP="00A9140F">
            <w:pPr>
              <w:pStyle w:val="AnnexNumberedText"/>
              <w:spacing w:after="220"/>
            </w:pPr>
            <w:r>
              <w:t>a)</w:t>
            </w:r>
            <w:r>
              <w:tab/>
              <w:t>stjórnunarmarkmið, þ.m.t. meiriháttar hindranir (</w:t>
            </w:r>
            <w:r>
              <w:rPr>
                <w:rStyle w:val="Tilvsunneanmlsgrein"/>
                <w:sz w:val="18"/>
              </w:rPr>
              <w:footnoteReference w:id="362"/>
            </w:r>
            <w:r>
              <w:t>),</w:t>
            </w:r>
          </w:p>
          <w:p w14:paraId="2AC60B3F" w14:textId="77777777" w:rsidR="002B5657" w:rsidRDefault="002B5657" w:rsidP="00A9140F">
            <w:pPr>
              <w:pStyle w:val="AnnexNumberedText"/>
              <w:spacing w:after="0"/>
            </w:pPr>
            <w:r>
              <w:t>b)</w:t>
            </w:r>
            <w:r>
              <w:tab/>
              <w:t>almennar stefnuáætlanir og fyrirhuguð starfsemi til að ná stjórnunarmark</w:t>
            </w:r>
            <w:r>
              <w:lastRenderedPageBreak/>
              <w:t>miðunum, þ.m.t. væntanlegar aðgerðir yfir allan skógræktarhringrásina,</w:t>
            </w:r>
          </w:p>
        </w:tc>
      </w:tr>
      <w:tr w:rsidR="002B5657" w14:paraId="1C291711" w14:textId="77777777" w:rsidTr="00A9140F">
        <w:trPr>
          <w:trHeight w:val="240"/>
        </w:trPr>
        <w:tc>
          <w:tcPr>
            <w:tcW w:w="2812" w:type="dxa"/>
            <w:tcBorders>
              <w:top w:val="single" w:sz="4" w:space="0" w:color="auto"/>
              <w:bottom w:val="nil"/>
            </w:tcBorders>
            <w:tcMar>
              <w:top w:w="100" w:type="dxa"/>
              <w:left w:w="0" w:type="dxa"/>
              <w:bottom w:w="100" w:type="dxa"/>
              <w:right w:w="60" w:type="dxa"/>
            </w:tcMar>
          </w:tcPr>
          <w:p w14:paraId="3DF5C31E" w14:textId="77777777" w:rsidR="002B5657" w:rsidRDefault="002B5657" w:rsidP="00A9140F">
            <w:pPr>
              <w:pStyle w:val="AnnexTableCellLeft"/>
              <w:pageBreakBefore/>
              <w:ind w:left="300" w:hanging="300"/>
            </w:pPr>
          </w:p>
        </w:tc>
        <w:tc>
          <w:tcPr>
            <w:tcW w:w="5928" w:type="dxa"/>
            <w:tcBorders>
              <w:top w:val="single" w:sz="4" w:space="0" w:color="auto"/>
              <w:bottom w:val="nil"/>
            </w:tcBorders>
            <w:tcMar>
              <w:top w:w="100" w:type="dxa"/>
              <w:left w:w="40" w:type="dxa"/>
              <w:bottom w:w="100" w:type="dxa"/>
              <w:right w:w="0" w:type="dxa"/>
            </w:tcMar>
          </w:tcPr>
          <w:p w14:paraId="184B39DB" w14:textId="77777777" w:rsidR="002B5657" w:rsidRDefault="002B5657" w:rsidP="00A9140F">
            <w:pPr>
              <w:pStyle w:val="AnnexNumberedText"/>
              <w:spacing w:after="280"/>
            </w:pPr>
            <w:r>
              <w:t>c)</w:t>
            </w:r>
            <w:r>
              <w:tab/>
              <w:t>skilgreining á búsvæðalegu samhengi skógarins, þ.m.t. helstu trjátegundir sem fyrir eru og fyrirhugaðar og umfang þeirra og dreifing,</w:t>
            </w:r>
          </w:p>
          <w:p w14:paraId="18F745E0" w14:textId="77777777" w:rsidR="002B5657" w:rsidRDefault="002B5657" w:rsidP="00A9140F">
            <w:pPr>
              <w:pStyle w:val="AnnexNumberedText"/>
              <w:spacing w:after="280"/>
            </w:pPr>
            <w:r>
              <w:t>d)</w:t>
            </w:r>
            <w:r>
              <w:tab/>
              <w:t>skilgreining á svæðinu samkvæmt færslu þar um í landskránni,</w:t>
            </w:r>
          </w:p>
          <w:p w14:paraId="61406882" w14:textId="77777777" w:rsidR="002B5657" w:rsidRDefault="002B5657" w:rsidP="00A9140F">
            <w:pPr>
              <w:pStyle w:val="AnnexNumberedText"/>
              <w:spacing w:after="280"/>
            </w:pPr>
            <w:r>
              <w:t>e)</w:t>
            </w:r>
            <w:r>
              <w:tab/>
              <w:t>hólf, vegir, athafnaréttur og annar almennur aðgangur, efnislegir þættir, þ.m.t. vatnaleiðir, svæði sem falla undir lagalegar takmarkanir og aðrar takmarkanir,</w:t>
            </w:r>
          </w:p>
          <w:p w14:paraId="7EF61DA9" w14:textId="77777777" w:rsidR="002B5657" w:rsidRDefault="002B5657" w:rsidP="00A9140F">
            <w:pPr>
              <w:pStyle w:val="AnnexNumberedText"/>
              <w:spacing w:after="280"/>
            </w:pPr>
            <w:r>
              <w:t>f)</w:t>
            </w:r>
            <w:r>
              <w:tab/>
              <w:t>ráðstafanir sem eru innleiddar til að viðhalda góðu ásigkomulagi skógarvistkerfa,</w:t>
            </w:r>
          </w:p>
          <w:p w14:paraId="42DCE5D0" w14:textId="77777777" w:rsidR="002B5657" w:rsidRDefault="002B5657" w:rsidP="00A9140F">
            <w:pPr>
              <w:pStyle w:val="AnnexNumberedText"/>
              <w:spacing w:after="280"/>
            </w:pPr>
            <w:r>
              <w:t>g)</w:t>
            </w:r>
            <w:r>
              <w:tab/>
              <w:t>tillit tekið til samfélagslegra málefna (þ.m.t. varðveisla landslags, samráð við hagsmunaaðila í samræmi við skilmála og skilyrði sem mælt er fyrir um í landslögum),</w:t>
            </w:r>
          </w:p>
          <w:p w14:paraId="2F693B7F" w14:textId="77777777" w:rsidR="002B5657" w:rsidRDefault="002B5657" w:rsidP="00A9140F">
            <w:pPr>
              <w:pStyle w:val="AnnexNumberedText"/>
              <w:spacing w:after="280"/>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731C564B" w14:textId="77777777" w:rsidR="002B5657" w:rsidRDefault="002B5657" w:rsidP="00A9140F">
            <w:pPr>
              <w:pStyle w:val="AnnexNumberedText"/>
              <w:spacing w:after="280"/>
            </w:pPr>
            <w:r>
              <w:t>i)</w:t>
            </w:r>
            <w:r>
              <w:tab/>
              <w:t>allar viðmiðanir um að valda ekki umtalsverðu tjóni sem skipta máli fyrir stjórnun skóga.</w:t>
            </w:r>
          </w:p>
          <w:p w14:paraId="21276F50" w14:textId="77777777" w:rsidR="002B5657" w:rsidRDefault="002B5657" w:rsidP="00A9140F">
            <w:pPr>
              <w:pStyle w:val="AnnexNumberedText"/>
              <w:tabs>
                <w:tab w:val="left" w:pos="508"/>
              </w:tabs>
              <w:spacing w:after="280"/>
              <w:ind w:left="0" w:firstLine="0"/>
            </w:pPr>
            <w:r>
              <w:t>1.5.</w:t>
            </w:r>
            <w:r>
              <w:tab/>
              <w:t>Starfsemin er í samræmi við bestu starfsvenjur fyrir nýskógrækt sem mælt er fyrir um í landslögum eða, ef ekki er mælt fyrir um neinar slíkar bestu starfsvenjur fyrir nýskógrækt í landslögum, starfsemin er í samræmi við eina af eftirfarandi viðmiðunum:</w:t>
            </w:r>
          </w:p>
          <w:p w14:paraId="00E6117B" w14:textId="77777777" w:rsidR="002B5657" w:rsidRDefault="002B5657" w:rsidP="00A9140F">
            <w:pPr>
              <w:pStyle w:val="AnnexNumberedText"/>
              <w:spacing w:after="280"/>
            </w:pPr>
            <w:r>
              <w:t>a)</w:t>
            </w:r>
            <w:r>
              <w:tab/>
              <w:t>starfsemin er í samræmi við framselda reglugerð (ESB) nr. 807/2014,</w:t>
            </w:r>
          </w:p>
          <w:p w14:paraId="15393EC1" w14:textId="77777777" w:rsidR="002B5657" w:rsidRDefault="002B5657" w:rsidP="00A9140F">
            <w:pPr>
              <w:pStyle w:val="AnnexNumberedText"/>
              <w:spacing w:after="280"/>
            </w:pPr>
            <w:r>
              <w:t>b)</w:t>
            </w:r>
            <w:r>
              <w:tab/>
              <w:t xml:space="preserve">starfsemin fylgir </w:t>
            </w:r>
            <w:proofErr w:type="spellStart"/>
            <w:r>
              <w:t>samevrópskum</w:t>
            </w:r>
            <w:proofErr w:type="spellEnd"/>
            <w:r>
              <w:t xml:space="preserve"> viðmiðunarreglum fyrir nýskógrækt og </w:t>
            </w:r>
            <w:proofErr w:type="spellStart"/>
            <w:r>
              <w:t>endurræktun</w:t>
            </w:r>
            <w:proofErr w:type="spellEnd"/>
            <w:r>
              <w:t xml:space="preserve"> skóga með sérstaka áherslu á ákvæðin í rammasamningi Sameinuðu þjóðanna um loftslagsbreytingar (</w:t>
            </w:r>
            <w:r>
              <w:rPr>
                <w:rStyle w:val="Tilvsunneanmlsgrein"/>
                <w:sz w:val="18"/>
              </w:rPr>
              <w:footnoteReference w:id="363"/>
            </w:r>
            <w:r>
              <w:t>).</w:t>
            </w:r>
          </w:p>
          <w:p w14:paraId="502925E4" w14:textId="77777777" w:rsidR="002B5657" w:rsidRDefault="002B5657" w:rsidP="00A9140F">
            <w:pPr>
              <w:pStyle w:val="AnnexNumberedText"/>
              <w:tabs>
                <w:tab w:val="left" w:pos="508"/>
              </w:tabs>
              <w:spacing w:after="280"/>
              <w:ind w:left="0" w:firstLine="0"/>
            </w:pPr>
            <w:r>
              <w:t>1.6.</w:t>
            </w:r>
            <w:r>
              <w:tab/>
              <w:t>Starfsemin felur ekki í sér hnignun lands með miklar kolefnisbirgðir (</w:t>
            </w:r>
            <w:r>
              <w:rPr>
                <w:rStyle w:val="Tilvsunneanmlsgrein"/>
                <w:sz w:val="18"/>
              </w:rPr>
              <w:footnoteReference w:id="364"/>
            </w:r>
            <w:r>
              <w:t>).</w:t>
            </w:r>
          </w:p>
          <w:p w14:paraId="559F6E83" w14:textId="77777777" w:rsidR="002B5657" w:rsidRDefault="002B5657" w:rsidP="00A9140F">
            <w:pPr>
              <w:pStyle w:val="AnnexNumberedText"/>
              <w:tabs>
                <w:tab w:val="left" w:pos="508"/>
              </w:tabs>
              <w:spacing w:after="280"/>
              <w:ind w:left="0" w:firstLine="0"/>
            </w:pPr>
            <w:r>
              <w:t>1.7.</w:t>
            </w:r>
            <w:r>
              <w:tab/>
              <w:t>Stjórnunarkerfið sem tengist starfseminni sem er til staðar er í samræmi við skylduna um áreiðanleika og lagalegar kröfur sem mælt er fyrir um í reglugerð (ESB) nr. 995/2010.</w:t>
            </w:r>
          </w:p>
          <w:p w14:paraId="605F6F1B" w14:textId="77777777" w:rsidR="002B5657" w:rsidRDefault="002B5657" w:rsidP="00A9140F">
            <w:pPr>
              <w:pStyle w:val="AnnexNumberedText"/>
              <w:tabs>
                <w:tab w:val="left" w:pos="508"/>
              </w:tabs>
              <w:spacing w:after="280"/>
              <w:ind w:left="0" w:firstLine="0"/>
            </w:pPr>
            <w:r>
              <w:t>1.8.</w:t>
            </w:r>
            <w:r>
              <w:tab/>
              <w:t xml:space="preserve">Í áætlun um nýskógrækt og </w:t>
            </w:r>
            <w:proofErr w:type="spellStart"/>
            <w:r>
              <w:t>eftirfylgjandi</w:t>
            </w:r>
            <w:proofErr w:type="spellEnd"/>
            <w:r>
              <w:t xml:space="preserve"> skógarstjórnunaráætlun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p w14:paraId="48363EA4" w14:textId="77777777" w:rsidR="002B5657" w:rsidRDefault="002B5657" w:rsidP="00A9140F">
            <w:pPr>
              <w:pStyle w:val="AnnexNumberedText"/>
              <w:spacing w:after="280"/>
              <w:ind w:left="360" w:hanging="360"/>
            </w:pPr>
            <w:r>
              <w:t>2.</w:t>
            </w:r>
            <w:r>
              <w:rPr>
                <w:i/>
              </w:rPr>
              <w:tab/>
              <w:t>Úttekt</w:t>
            </w:r>
          </w:p>
          <w:p w14:paraId="640DFFA1" w14:textId="77777777" w:rsidR="002B5657" w:rsidRDefault="002B5657" w:rsidP="00A9140F">
            <w:pPr>
              <w:pStyle w:val="AnnexTableCellLeft"/>
              <w:spacing w:after="280"/>
            </w:pPr>
            <w:r>
              <w:lastRenderedPageBreak/>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0814AC77" w14:textId="77777777" w:rsidR="002B5657" w:rsidRDefault="002B5657" w:rsidP="00A9140F">
            <w:pPr>
              <w:pStyle w:val="AnnexNumberedText"/>
              <w:spacing w:after="0"/>
            </w:pPr>
            <w:r>
              <w:t>a)</w:t>
            </w:r>
            <w:r>
              <w:tab/>
              <w:t xml:space="preserve">viðeigandi </w:t>
            </w:r>
            <w:proofErr w:type="spellStart"/>
            <w:r>
              <w:t>lögbær</w:t>
            </w:r>
            <w:proofErr w:type="spellEnd"/>
            <w:r>
              <w:t xml:space="preserve"> landsyfirvöld,</w:t>
            </w:r>
          </w:p>
        </w:tc>
      </w:tr>
      <w:tr w:rsidR="002B5657" w14:paraId="263DF894" w14:textId="77777777" w:rsidTr="00A9140F">
        <w:trPr>
          <w:trHeight w:val="240"/>
        </w:trPr>
        <w:tc>
          <w:tcPr>
            <w:tcW w:w="2812" w:type="dxa"/>
            <w:tcBorders>
              <w:top w:val="single" w:sz="4" w:space="0" w:color="auto"/>
            </w:tcBorders>
            <w:tcMar>
              <w:top w:w="100" w:type="dxa"/>
              <w:left w:w="0" w:type="dxa"/>
              <w:bottom w:w="100" w:type="dxa"/>
              <w:right w:w="60" w:type="dxa"/>
            </w:tcMar>
          </w:tcPr>
          <w:p w14:paraId="6F66A5BD" w14:textId="77777777" w:rsidR="002B5657" w:rsidRDefault="002B5657" w:rsidP="00A9140F">
            <w:pPr>
              <w:pStyle w:val="AnnexTableCellLeft"/>
              <w:pageBreakBefore/>
              <w:ind w:left="300" w:hanging="300"/>
            </w:pPr>
          </w:p>
        </w:tc>
        <w:tc>
          <w:tcPr>
            <w:tcW w:w="5928" w:type="dxa"/>
            <w:tcBorders>
              <w:top w:val="single" w:sz="4" w:space="0" w:color="auto"/>
            </w:tcBorders>
            <w:tcMar>
              <w:top w:w="100" w:type="dxa"/>
              <w:left w:w="40" w:type="dxa"/>
              <w:bottom w:w="100" w:type="dxa"/>
              <w:right w:w="0" w:type="dxa"/>
            </w:tcMar>
          </w:tcPr>
          <w:p w14:paraId="4FF13733" w14:textId="77777777" w:rsidR="002B5657" w:rsidRDefault="002B5657" w:rsidP="00A9140F">
            <w:pPr>
              <w:pStyle w:val="AnnexNumberedText"/>
              <w:spacing w:after="240"/>
            </w:pPr>
            <w:r>
              <w:t>b)</w:t>
            </w:r>
            <w:r>
              <w:tab/>
              <w:t>óháður þriðji aðili, sem er vottunaraðili, að beiðni landsyfirvalda eða rekstraraðila starfseminnar.</w:t>
            </w:r>
          </w:p>
          <w:p w14:paraId="73DF7CF6" w14:textId="77777777" w:rsidR="002B5657" w:rsidRDefault="002B5657" w:rsidP="00A9140F">
            <w:pPr>
              <w:pStyle w:val="AnnexTableCellLeft"/>
              <w:spacing w:after="240"/>
            </w:pPr>
            <w:r>
              <w:t>Í því skyni að draga úr kostnaði er heimilt að framkvæma úttekt samhliða skógarvottun, loftslagsvottun eða annarri úttekt.</w:t>
            </w:r>
          </w:p>
          <w:p w14:paraId="5FC9D69C" w14:textId="77777777" w:rsidR="002B5657" w:rsidRDefault="002B5657" w:rsidP="00A9140F">
            <w:pPr>
              <w:pStyle w:val="AnnexTableCellLeft"/>
              <w:spacing w:after="240"/>
            </w:pPr>
            <w:r>
              <w:t>Óháður þriðji aðili, sem er vottunaraðili, má ekki eiga í neins konar hagsmunaárekstrum við eigandann eða fjármögnunaraðilann og má ekki hafa afskipti af þróun eða rekstri starfseminnar.</w:t>
            </w:r>
          </w:p>
          <w:p w14:paraId="5D3B1894" w14:textId="77777777" w:rsidR="002B5657" w:rsidRDefault="002B5657" w:rsidP="00A9140F">
            <w:pPr>
              <w:pStyle w:val="AnnexNumberedText"/>
              <w:spacing w:after="240"/>
              <w:ind w:left="360" w:hanging="360"/>
            </w:pPr>
            <w:r>
              <w:t>3.</w:t>
            </w:r>
            <w:r>
              <w:rPr>
                <w:i/>
              </w:rPr>
              <w:tab/>
              <w:t>Hópmat</w:t>
            </w:r>
          </w:p>
          <w:p w14:paraId="3F2AD3E9" w14:textId="77777777" w:rsidR="002B5657" w:rsidRDefault="002B5657" w:rsidP="00A9140F">
            <w:pPr>
              <w:pStyle w:val="AnnexTableCellLeft"/>
              <w:spacing w:after="240"/>
            </w:pPr>
            <w:r>
              <w:t>Hægt er að hafa eftirlit með því hvort farið er að viðmiðunum um að valda ekki umtalsverðu tjóni:</w:t>
            </w:r>
          </w:p>
          <w:p w14:paraId="69106BEE" w14:textId="77777777" w:rsidR="002B5657" w:rsidRDefault="002B5657" w:rsidP="00A9140F">
            <w:pPr>
              <w:pStyle w:val="AnnexNumberedText"/>
              <w:spacing w:after="240"/>
            </w:pPr>
            <w:r>
              <w:t>a)</w:t>
            </w:r>
            <w:r>
              <w:tab/>
              <w:t>á upprunasvæði skógræktarafurða (</w:t>
            </w:r>
            <w:r>
              <w:rPr>
                <w:rStyle w:val="Tilvsunneanmlsgrein"/>
                <w:sz w:val="18"/>
              </w:rPr>
              <w:footnoteReference w:id="365"/>
            </w:r>
            <w:r>
              <w:t>) eins og skilgreint er í tilskipun (ESB) 2018/2001,</w:t>
            </w:r>
          </w:p>
          <w:p w14:paraId="360984F2" w14:textId="77777777" w:rsidR="002B5657" w:rsidRDefault="002B5657" w:rsidP="00A9140F">
            <w:pPr>
              <w:pStyle w:val="AnnexNumberedText"/>
              <w:spacing w:after="240"/>
            </w:pPr>
            <w:r>
              <w:t>b)</w:t>
            </w:r>
            <w:r>
              <w:tab/>
              <w:t>hjá hópi skógræktarbúa,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r w:rsidR="002B5657" w14:paraId="4FAAC848" w14:textId="77777777" w:rsidTr="00A9140F">
        <w:trPr>
          <w:trHeight w:val="360"/>
        </w:trPr>
        <w:tc>
          <w:tcPr>
            <w:tcW w:w="2812" w:type="dxa"/>
            <w:tcMar>
              <w:top w:w="100" w:type="dxa"/>
              <w:left w:w="0" w:type="dxa"/>
              <w:bottom w:w="100" w:type="dxa"/>
              <w:right w:w="60" w:type="dxa"/>
            </w:tcMar>
          </w:tcPr>
          <w:p w14:paraId="3276163D" w14:textId="77777777" w:rsidR="002B5657" w:rsidRDefault="002B5657" w:rsidP="00A9140F">
            <w:pPr>
              <w:pStyle w:val="AnnexNumberedText"/>
            </w:pPr>
            <w:r>
              <w:t>3)</w:t>
            </w:r>
            <w:r>
              <w:tab/>
              <w:t>Sjálfbær notkun og verndun vatns- og sjávarauðlinda</w:t>
            </w:r>
          </w:p>
        </w:tc>
        <w:tc>
          <w:tcPr>
            <w:tcW w:w="5928" w:type="dxa"/>
            <w:tcMar>
              <w:top w:w="100" w:type="dxa"/>
              <w:left w:w="40" w:type="dxa"/>
              <w:bottom w:w="100" w:type="dxa"/>
              <w:right w:w="0" w:type="dxa"/>
            </w:tcMar>
          </w:tcPr>
          <w:p w14:paraId="773FFF25" w14:textId="77777777" w:rsidR="002B5657" w:rsidRDefault="002B5657" w:rsidP="00A9140F">
            <w:pPr>
              <w:pStyle w:val="AnnexTableCellLeft"/>
              <w:spacing w:after="200"/>
            </w:pPr>
            <w:r>
              <w:t>Starfsemin er í samræmi við viðmiðanirnar sem settar eru fram í viðbæti B við þennan viðauka.</w:t>
            </w:r>
          </w:p>
          <w:p w14:paraId="6D2C183D" w14:textId="77777777" w:rsidR="002B5657" w:rsidRDefault="002B5657" w:rsidP="00A9140F">
            <w:pPr>
              <w:pStyle w:val="AnnexTableCellLeft"/>
            </w:pPr>
            <w:r>
              <w:t xml:space="preserve">Ítarlegar upplýsingar sem um getur í lið 1.2. Í </w:t>
            </w:r>
            <w:proofErr w:type="spellStart"/>
            <w:r>
              <w:t>i-lið</w:t>
            </w:r>
            <w:proofErr w:type="spellEnd"/>
            <w:r>
              <w:t xml:space="preserve"> eru ákvæði um að uppfylla viðmiðanirnar sem settar eru fram í viðbæti B við þennan viðauka.</w:t>
            </w:r>
          </w:p>
        </w:tc>
      </w:tr>
      <w:tr w:rsidR="002B5657" w14:paraId="57B5A4F7" w14:textId="77777777" w:rsidTr="00A9140F">
        <w:trPr>
          <w:trHeight w:val="360"/>
        </w:trPr>
        <w:tc>
          <w:tcPr>
            <w:tcW w:w="2812" w:type="dxa"/>
            <w:tcMar>
              <w:top w:w="100" w:type="dxa"/>
              <w:left w:w="0" w:type="dxa"/>
              <w:bottom w:w="100" w:type="dxa"/>
              <w:right w:w="60" w:type="dxa"/>
            </w:tcMar>
          </w:tcPr>
          <w:p w14:paraId="65D25030" w14:textId="77777777" w:rsidR="002B5657" w:rsidRDefault="002B5657" w:rsidP="00A9140F">
            <w:pPr>
              <w:pStyle w:val="AnnexNumberedText"/>
            </w:pPr>
            <w:r>
              <w:t>4)</w:t>
            </w:r>
            <w:r>
              <w:tab/>
              <w:t>Umskipti yfir í hringrásarhagkerfi</w:t>
            </w:r>
          </w:p>
        </w:tc>
        <w:tc>
          <w:tcPr>
            <w:tcW w:w="5928" w:type="dxa"/>
            <w:tcMar>
              <w:top w:w="100" w:type="dxa"/>
              <w:left w:w="40" w:type="dxa"/>
              <w:bottom w:w="100" w:type="dxa"/>
              <w:right w:w="0" w:type="dxa"/>
            </w:tcMar>
          </w:tcPr>
          <w:p w14:paraId="505B4011" w14:textId="77777777" w:rsidR="002B5657" w:rsidRDefault="002B5657" w:rsidP="00A9140F">
            <w:pPr>
              <w:pStyle w:val="AnnexTableCellLeft"/>
            </w:pPr>
            <w:r>
              <w:t>Á ekki við</w:t>
            </w:r>
          </w:p>
        </w:tc>
      </w:tr>
      <w:tr w:rsidR="002B5657" w14:paraId="0BB14CAE" w14:textId="77777777" w:rsidTr="00A9140F">
        <w:trPr>
          <w:trHeight w:val="360"/>
        </w:trPr>
        <w:tc>
          <w:tcPr>
            <w:tcW w:w="2812" w:type="dxa"/>
            <w:tcMar>
              <w:top w:w="100" w:type="dxa"/>
              <w:left w:w="0" w:type="dxa"/>
              <w:bottom w:w="100" w:type="dxa"/>
              <w:right w:w="60" w:type="dxa"/>
            </w:tcMar>
          </w:tcPr>
          <w:p w14:paraId="6E867AEF" w14:textId="77777777" w:rsidR="002B5657" w:rsidRDefault="002B5657" w:rsidP="00A9140F">
            <w:pPr>
              <w:pStyle w:val="AnnexNumberedText"/>
            </w:pPr>
            <w:r>
              <w:t>5)</w:t>
            </w:r>
            <w:r>
              <w:tab/>
              <w:t>Mengunarvarnir og eftirlit með mengun</w:t>
            </w:r>
          </w:p>
        </w:tc>
        <w:tc>
          <w:tcPr>
            <w:tcW w:w="5928" w:type="dxa"/>
            <w:tcMar>
              <w:top w:w="100" w:type="dxa"/>
              <w:left w:w="40" w:type="dxa"/>
              <w:bottom w:w="100" w:type="dxa"/>
              <w:right w:w="0" w:type="dxa"/>
            </w:tcMar>
          </w:tcPr>
          <w:p w14:paraId="38270F8C" w14:textId="77777777" w:rsidR="002B5657" w:rsidRDefault="002B5657" w:rsidP="00A9140F">
            <w:pPr>
              <w:pStyle w:val="AnnexTableCellLeft"/>
              <w:spacing w:after="200"/>
            </w:pPr>
            <w:r>
              <w:t xml:space="preserve">Dregið er úr notkun varnarefna og annars konar aðferðir eða nálganir, sem geta falið í sér valkosti sem ekki byggjast á notkun varnarefna, eru valdar, í samræmi við tilskipun 2009/128/EB, að undanskildum tilvikum þegar þörf er á notkun varnarefna til að hafa stjórn á uppkomu </w:t>
            </w:r>
            <w:proofErr w:type="spellStart"/>
            <w:r>
              <w:t>skaðvalda</w:t>
            </w:r>
            <w:proofErr w:type="spellEnd"/>
            <w:r>
              <w:t xml:space="preserve"> og sjúkdóma.</w:t>
            </w:r>
          </w:p>
          <w:p w14:paraId="4D8C36EA" w14:textId="77777777" w:rsidR="002B5657" w:rsidRDefault="002B5657" w:rsidP="00A9140F">
            <w:pPr>
              <w:pStyle w:val="AnnexTableCellLeft"/>
              <w:spacing w:after="200"/>
            </w:pPr>
            <w:r>
              <w:t>Notkun áburðar er lágmörkuð í starfseminni og húsdýraáburður ekki notaður. Starfsemin er í samræmi við reglugerð (ESB) 2019/1009 eða landsbundnar reglur um áburð eða jarðvegsbæta til notkunar í landbúnaði</w:t>
            </w:r>
          </w:p>
          <w:p w14:paraId="17238CAC" w14:textId="77777777" w:rsidR="002B5657" w:rsidRDefault="002B5657" w:rsidP="00A9140F">
            <w:pPr>
              <w:pStyle w:val="AnnexTableCellLeft"/>
              <w:spacing w:after="200"/>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rPr>
              <w:footnoteReference w:id="366"/>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rPr>
              <w:footnoteReference w:id="367"/>
            </w:r>
            <w:r>
              <w:t>). Starfsemin er í samræmi við viðeigandi landslög um virk innihaldsefni.</w:t>
            </w:r>
          </w:p>
          <w:p w14:paraId="49D857E8" w14:textId="77777777" w:rsidR="002B5657" w:rsidRDefault="002B5657" w:rsidP="00A9140F">
            <w:pPr>
              <w:pStyle w:val="AnnexTableCellLeft"/>
            </w:pPr>
            <w:r>
              <w:t xml:space="preserve">Komið er í veg fyrir mengun vatns og jarðvegs og gripið til hreinsunarráðstafana </w:t>
            </w:r>
            <w:r>
              <w:lastRenderedPageBreak/>
              <w:t>þegar mengun á sér stað.</w:t>
            </w:r>
          </w:p>
        </w:tc>
      </w:tr>
      <w:tr w:rsidR="002B5657" w14:paraId="6C32ABE4" w14:textId="77777777" w:rsidTr="00A9140F">
        <w:trPr>
          <w:trHeight w:val="360"/>
        </w:trPr>
        <w:tc>
          <w:tcPr>
            <w:tcW w:w="2812" w:type="dxa"/>
            <w:tcMar>
              <w:top w:w="100" w:type="dxa"/>
              <w:left w:w="0" w:type="dxa"/>
              <w:bottom w:w="100" w:type="dxa"/>
              <w:right w:w="60" w:type="dxa"/>
            </w:tcMar>
          </w:tcPr>
          <w:p w14:paraId="2BD76A2E" w14:textId="77777777" w:rsidR="002B5657" w:rsidRDefault="002B5657" w:rsidP="00A9140F">
            <w:pPr>
              <w:pStyle w:val="AnnexNumberedText"/>
              <w:pageBreakBefore/>
            </w:pPr>
            <w:r>
              <w:lastRenderedPageBreak/>
              <w:t>6)</w:t>
            </w:r>
            <w:r>
              <w:tab/>
              <w:t>Vernd og endurheimt líffræðilegrar fjölbreytni og vistkerfa</w:t>
            </w:r>
          </w:p>
        </w:tc>
        <w:tc>
          <w:tcPr>
            <w:tcW w:w="5928" w:type="dxa"/>
            <w:tcMar>
              <w:top w:w="100" w:type="dxa"/>
              <w:left w:w="40" w:type="dxa"/>
              <w:bottom w:w="100" w:type="dxa"/>
              <w:right w:w="0" w:type="dxa"/>
            </w:tcMar>
          </w:tcPr>
          <w:p w14:paraId="02113EAE" w14:textId="77777777" w:rsidR="002B5657" w:rsidRDefault="002B5657" w:rsidP="00A9140F">
            <w:pPr>
              <w:pStyle w:val="AnnexTableCellLeft"/>
              <w:spacing w:after="24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6A9E5620" w14:textId="77777777" w:rsidR="002B5657" w:rsidRDefault="002B5657" w:rsidP="00A9140F">
            <w:pPr>
              <w:pStyle w:val="AnnexTableCellLeft"/>
              <w:spacing w:after="240"/>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575AFD51" w14:textId="77777777" w:rsidR="002B5657" w:rsidRDefault="002B5657" w:rsidP="00A9140F">
            <w:pPr>
              <w:pStyle w:val="AnnexTableCellLeft"/>
              <w:spacing w:after="240"/>
            </w:pPr>
            <w:r>
              <w:t xml:space="preserve">Ítarlegu upplýsingarnar sem um getur í </w:t>
            </w:r>
            <w:proofErr w:type="spellStart"/>
            <w:r>
              <w:t>k-lið</w:t>
            </w:r>
            <w:proofErr w:type="spellEnd"/>
            <w:r>
              <w:t xml:space="preserve"> í lið 1.2 (áætlun um nýskógrækt) og </w:t>
            </w:r>
            <w:proofErr w:type="spellStart"/>
            <w:r>
              <w:t>i-lið</w:t>
            </w:r>
            <w:proofErr w:type="spellEnd"/>
            <w:r>
              <w:t xml:space="preserve"> í lið 1.4 (skógarstjórnunaráætlun eða jafngilt kerfi) innihalda ákvæði um viðhald og mögulega eflingu líffræðilegrar fjölbreytni í samræmi við landsbundin og staðbundin ákvæði, þ.m.t. eftirfarandi:</w:t>
            </w:r>
          </w:p>
          <w:p w14:paraId="58B4E849" w14:textId="77777777" w:rsidR="002B5657" w:rsidRDefault="002B5657" w:rsidP="00A9140F">
            <w:pPr>
              <w:pStyle w:val="AnnexNumberedText"/>
            </w:pPr>
            <w:r>
              <w:t>a)</w:t>
            </w:r>
            <w:r>
              <w:tab/>
              <w:t>að tryggja góða varðveislustöðu búsvæðis og tegunda; viðhald dæmigerðra tegunda á búsvæði,</w:t>
            </w:r>
          </w:p>
          <w:p w14:paraId="2F402CE2" w14:textId="77777777" w:rsidR="002B5657" w:rsidRDefault="002B5657" w:rsidP="00A9140F">
            <w:pPr>
              <w:pStyle w:val="AnnexNumberedText"/>
            </w:pPr>
            <w:r>
              <w:t>b)</w:t>
            </w:r>
            <w:r>
              <w:tab/>
              <w:t xml:space="preserve">að undanskilja notkun á eða </w:t>
            </w:r>
            <w:proofErr w:type="spellStart"/>
            <w:r>
              <w:t>sleppingu</w:t>
            </w:r>
            <w:proofErr w:type="spellEnd"/>
            <w:r>
              <w:t xml:space="preserve"> ágengra tegunda,</w:t>
            </w:r>
          </w:p>
          <w:p w14:paraId="4C06B750" w14:textId="77777777" w:rsidR="002B5657" w:rsidRDefault="002B5657" w:rsidP="00A9140F">
            <w:pPr>
              <w:pStyle w:val="AnnexNumberedText"/>
            </w:pPr>
            <w:r>
              <w:t>c)</w:t>
            </w:r>
            <w:r>
              <w:tab/>
              <w:t>að undanskilja notkun á framandi tegundum nema unnt sé að sýna fram á að:</w:t>
            </w:r>
          </w:p>
          <w:p w14:paraId="38B35067" w14:textId="77777777" w:rsidR="002B5657" w:rsidRDefault="002B5657" w:rsidP="00A9140F">
            <w:pPr>
              <w:pStyle w:val="AnnexNumberedText"/>
              <w:ind w:left="600"/>
            </w:pPr>
            <w:r>
              <w:t>i.</w:t>
            </w:r>
            <w:r>
              <w:tab/>
              <w:t>notkun á fjölgunarefni í skógrækt leiði til hagstæðara og viðeigandi ástands vistkerfisins (s.s. loftslag, jarðvegsskilyrði og gróðursvæði, viðnám gegn skógareldum),</w:t>
            </w:r>
          </w:p>
          <w:p w14:paraId="52205F2D" w14:textId="77777777" w:rsidR="002B5657" w:rsidRDefault="002B5657" w:rsidP="00A9140F">
            <w:pPr>
              <w:pStyle w:val="AnnexNumberedText"/>
              <w:ind w:left="600"/>
            </w:pPr>
            <w:r>
              <w:t>ii.</w:t>
            </w:r>
            <w:r>
              <w:tab/>
              <w:t>innlendar tegundir, sem eru þegar til staðar á svæðinu, eru ekki lengur aðlagaðar að framreiknuðum loftslagsskilyrðum og jarðvegsfræðilegum/vatnafræðilegum skilyrðum,</w:t>
            </w:r>
          </w:p>
          <w:p w14:paraId="3EF0206F" w14:textId="77777777" w:rsidR="002B5657" w:rsidRDefault="002B5657" w:rsidP="00A9140F">
            <w:pPr>
              <w:pStyle w:val="AnnexNumberedText"/>
            </w:pPr>
            <w:r>
              <w:t>d)</w:t>
            </w:r>
            <w:r>
              <w:tab/>
              <w:t xml:space="preserve">að tryggja viðhald og úrbætur á </w:t>
            </w:r>
            <w:proofErr w:type="spellStart"/>
            <w:r>
              <w:t>eðlisrænum</w:t>
            </w:r>
            <w:proofErr w:type="spellEnd"/>
            <w:r>
              <w:t>, efnafræðilegum og líffræðilegum gæðum jarðvegsins,</w:t>
            </w:r>
          </w:p>
          <w:p w14:paraId="1D19090F" w14:textId="77777777" w:rsidR="002B5657" w:rsidRDefault="002B5657" w:rsidP="00A9140F">
            <w:pPr>
              <w:pStyle w:val="AnnexNumberedText"/>
            </w:pPr>
            <w:r>
              <w:t>e)</w:t>
            </w:r>
            <w:r>
              <w:tab/>
              <w:t>að efla starfsvenjur sem gagnast líffræðilegri fjölbreytni og bæta náttúrulegt ferli skóga,</w:t>
            </w:r>
          </w:p>
          <w:p w14:paraId="647D49E8" w14:textId="77777777" w:rsidR="002B5657" w:rsidRDefault="002B5657" w:rsidP="00A9140F">
            <w:pPr>
              <w:pStyle w:val="AnnexNumberedText"/>
            </w:pPr>
            <w:r>
              <w:t>f)</w:t>
            </w:r>
            <w:r>
              <w:tab/>
              <w:t>að útiloka umbreytingu vistkerfa þar sem líffræðileg fjölbreytni er mikil yfir í vistkerfi þar sem líffræðileg fjölbreytni er minni,</w:t>
            </w:r>
          </w:p>
          <w:p w14:paraId="358931BB" w14:textId="77777777" w:rsidR="002B5657" w:rsidRDefault="002B5657" w:rsidP="00A9140F">
            <w:pPr>
              <w:pStyle w:val="AnnexNumberedText"/>
            </w:pPr>
            <w:r>
              <w:t>g)</w:t>
            </w:r>
            <w:r>
              <w:tab/>
              <w:t>að tryggja fjölbreytni tengdra búsvæða og tegunda sem tengjast skóginum,</w:t>
            </w:r>
          </w:p>
          <w:p w14:paraId="6B45B4B6" w14:textId="77777777" w:rsidR="002B5657" w:rsidRDefault="002B5657" w:rsidP="00A9140F">
            <w:pPr>
              <w:pStyle w:val="AnnexNumberedText"/>
            </w:pPr>
            <w:r>
              <w:t>h)</w:t>
            </w:r>
            <w:r>
              <w:tab/>
              <w:t>að tryggja fjölbreytni í formgerð skógarteiga og að viðhalda eða efla fullvaxta skógarteiga og dauðan við.</w:t>
            </w:r>
          </w:p>
        </w:tc>
      </w:tr>
    </w:tbl>
    <w:p w14:paraId="6EF93ABE" w14:textId="77777777" w:rsidR="002B5657" w:rsidRDefault="002B5657" w:rsidP="002B5657">
      <w:pPr>
        <w:pStyle w:val="AnnexNumberedText"/>
        <w:spacing w:before="200" w:after="200"/>
        <w:ind w:left="500" w:hanging="500"/>
      </w:pPr>
    </w:p>
    <w:p w14:paraId="6A4F8109" w14:textId="77777777" w:rsidR="002B5657" w:rsidRDefault="002B5657" w:rsidP="002B5657">
      <w:pPr>
        <w:shd w:val="clear" w:color="auto" w:fill="auto"/>
        <w:spacing w:line="0" w:lineRule="auto"/>
        <w:jc w:val="left"/>
        <w:rPr>
          <w:color w:val="auto"/>
          <w14:ligatures w14:val="standard"/>
        </w:rPr>
      </w:pPr>
      <w:r>
        <w:br w:type="page"/>
      </w:r>
    </w:p>
    <w:p w14:paraId="07161369" w14:textId="77777777" w:rsidR="002B5657" w:rsidRDefault="002B5657" w:rsidP="002B5657">
      <w:pPr>
        <w:pStyle w:val="AnnexNumberedText"/>
        <w:spacing w:before="200" w:after="200"/>
        <w:ind w:left="500" w:hanging="500"/>
      </w:pPr>
      <w:r>
        <w:lastRenderedPageBreak/>
        <w:t>1.2.</w:t>
      </w:r>
      <w:r>
        <w:rPr>
          <w:b/>
        </w:rPr>
        <w:tab/>
        <w:t xml:space="preserve">Endurreisn og endurheimt skóga, þ.m.t. </w:t>
      </w:r>
      <w:proofErr w:type="spellStart"/>
      <w:r>
        <w:rPr>
          <w:b/>
        </w:rPr>
        <w:t>endurræktun</w:t>
      </w:r>
      <w:proofErr w:type="spellEnd"/>
      <w:r>
        <w:rPr>
          <w:b/>
        </w:rPr>
        <w:t xml:space="preserve"> skóga og endurnýjun náttúrulegra skóga eftir aftakaviðburð</w:t>
      </w:r>
    </w:p>
    <w:p w14:paraId="74F34E27" w14:textId="77777777" w:rsidR="002B5657" w:rsidRDefault="002B5657" w:rsidP="002B5657">
      <w:pPr>
        <w:pStyle w:val="AnnexGrSeq3"/>
        <w:spacing w:after="80"/>
        <w:ind w:left="500"/>
        <w:jc w:val="both"/>
        <w:rPr>
          <w:szCs w:val="18"/>
        </w:rPr>
      </w:pPr>
      <w:r>
        <w:rPr>
          <w:i/>
        </w:rPr>
        <w:t>Lýsing á starfseminni</w:t>
      </w:r>
    </w:p>
    <w:p w14:paraId="350A120C" w14:textId="77777777" w:rsidR="002B5657" w:rsidRDefault="002B5657" w:rsidP="002B5657">
      <w:pPr>
        <w:pStyle w:val="AnnexNormal"/>
        <w:spacing w:after="160"/>
        <w:ind w:left="500"/>
        <w:rPr>
          <w:szCs w:val="18"/>
        </w:rPr>
      </w:pPr>
      <w:r>
        <w:t>Endurreisn og endurheimt skóga eins og skilgreint er í landslögum. Ef landslög innihalda ekki slíka skilgreiningu vísar endurreisn og endurheimt til almennt samþykktrar skilgreiningar í ritrýndum birtum vísindaskrifum fyrir tiltekin lönd eða skilgreiningar í samræmi við hugtak Matvæla- og landbúnaðarstofnunar SÞ um endurheimt skóga (</w:t>
      </w:r>
      <w:bookmarkStart w:id="66" w:name="NOTE_367"/>
      <w:r>
        <w:rPr>
          <w:rStyle w:val="Tilvsunneanmlsgrein"/>
          <w:sz w:val="18"/>
          <w:szCs w:val="18"/>
        </w:rPr>
        <w:footnoteReference w:id="368"/>
      </w:r>
      <w:bookmarkEnd w:id="66"/>
      <w:r>
        <w:t>) eða skilgreiningar í samræmi við eina af skilgreiningunum um vistfræðilega endurheimt (</w:t>
      </w:r>
      <w:bookmarkStart w:id="67" w:name="NOTE_368"/>
      <w:r>
        <w:rPr>
          <w:rStyle w:val="Tilvsunneanmlsgrein"/>
          <w:sz w:val="18"/>
          <w:szCs w:val="18"/>
        </w:rPr>
        <w:footnoteReference w:id="369"/>
      </w:r>
      <w:bookmarkEnd w:id="67"/>
      <w:r>
        <w:t>) sem notuð er um skóga eða endurreisn skóga (</w:t>
      </w:r>
      <w:bookmarkStart w:id="68" w:name="NOTE_369"/>
      <w:r>
        <w:rPr>
          <w:rStyle w:val="Tilvsunneanmlsgrein"/>
          <w:sz w:val="18"/>
          <w:szCs w:val="18"/>
        </w:rPr>
        <w:footnoteReference w:id="370"/>
      </w:r>
      <w:bookmarkEnd w:id="68"/>
      <w:r>
        <w:t>) samkvæmt samningnum um líffræðilega fjölbreytni. Atvinnustarfsemin tekur einnig til starfsemi tengda skógum í samræmi við skilgreiningu Matvæla- og landbúnaðarstofnunar SÞ á „</w:t>
      </w:r>
      <w:proofErr w:type="spellStart"/>
      <w:r>
        <w:t>endurræktun</w:t>
      </w:r>
      <w:proofErr w:type="spellEnd"/>
      <w:r>
        <w:t xml:space="preserve"> skóga“ (</w:t>
      </w:r>
      <w:bookmarkStart w:id="69" w:name="NOTE_370"/>
      <w:r>
        <w:rPr>
          <w:rStyle w:val="Tilvsunneanmlsgrein"/>
          <w:sz w:val="18"/>
          <w:szCs w:val="18"/>
        </w:rPr>
        <w:footnoteReference w:id="371"/>
      </w:r>
      <w:bookmarkEnd w:id="69"/>
      <w:r>
        <w:t>) og á „náttúrulega endurnýjaður skógur“ (</w:t>
      </w:r>
      <w:bookmarkStart w:id="70" w:name="NOTE_371"/>
      <w:r>
        <w:rPr>
          <w:rStyle w:val="Tilvsunneanmlsgrein"/>
          <w:sz w:val="18"/>
          <w:szCs w:val="18"/>
        </w:rPr>
        <w:footnoteReference w:id="372"/>
      </w:r>
      <w:bookmarkEnd w:id="70"/>
      <w:r>
        <w:t>) eftir aftakaviðburð ef aftakaviðburður er skilgreindur í landslögum og, ef landslög innihalda ekki slíka skilgreiningu, í samræmi við skilgreiningu milliríkjanefndarinnar um loftslagsbreytingar á veðurhamförum (</w:t>
      </w:r>
      <w:bookmarkStart w:id="71" w:name="NOTE_372"/>
      <w:r>
        <w:rPr>
          <w:rStyle w:val="Tilvsunneanmlsgrein"/>
          <w:sz w:val="18"/>
          <w:szCs w:val="18"/>
        </w:rPr>
        <w:footnoteReference w:id="373"/>
      </w:r>
      <w:bookmarkEnd w:id="71"/>
      <w:r>
        <w:t xml:space="preserve">) eða eftir gróðurelda ef gróðureldur er skilgreindur í landslögum og, ef landslög innihalda ekki slíka skilgreiningu, eins og skilgreint er í „European </w:t>
      </w:r>
      <w:proofErr w:type="spellStart"/>
      <w:r>
        <w:t>Glossary</w:t>
      </w:r>
      <w:proofErr w:type="spellEnd"/>
      <w:r>
        <w:t xml:space="preserve"> for </w:t>
      </w:r>
      <w:proofErr w:type="spellStart"/>
      <w:r>
        <w:t>wildfires</w:t>
      </w:r>
      <w:proofErr w:type="spellEnd"/>
      <w:r>
        <w:t xml:space="preserve"> </w:t>
      </w:r>
      <w:proofErr w:type="spellStart"/>
      <w:r>
        <w:t>and</w:t>
      </w:r>
      <w:proofErr w:type="spellEnd"/>
      <w:r>
        <w:t xml:space="preserve"> </w:t>
      </w:r>
      <w:proofErr w:type="spellStart"/>
      <w:r>
        <w:t>forest</w:t>
      </w:r>
      <w:proofErr w:type="spellEnd"/>
      <w:r>
        <w:t xml:space="preserve"> </w:t>
      </w:r>
      <w:proofErr w:type="spellStart"/>
      <w:r>
        <w:t>fires</w:t>
      </w:r>
      <w:proofErr w:type="spellEnd"/>
      <w:r>
        <w:t>“ (Evrópska orðaskráin yfir gróðurelda og skógarelda) (</w:t>
      </w:r>
      <w:bookmarkStart w:id="72" w:name="NOTE_373"/>
      <w:r>
        <w:rPr>
          <w:rStyle w:val="Tilvsunneanmlsgrein"/>
          <w:sz w:val="18"/>
          <w:szCs w:val="18"/>
        </w:rPr>
        <w:footnoteReference w:id="374"/>
      </w:r>
      <w:bookmarkEnd w:id="72"/>
      <w:r>
        <w:t>).</w:t>
      </w:r>
    </w:p>
    <w:p w14:paraId="5E633524" w14:textId="77777777" w:rsidR="002B5657" w:rsidRDefault="002B5657" w:rsidP="002B5657">
      <w:pPr>
        <w:pStyle w:val="AnnexNormal"/>
        <w:spacing w:after="160"/>
        <w:ind w:left="500"/>
        <w:rPr>
          <w:szCs w:val="18"/>
        </w:rPr>
      </w:pPr>
      <w:r>
        <w:t>Atvinnustarfsemi í þessum flokki felur ekki í sér neina breytingu á landnotkun og á sér stað á hnignuðu landi sem svarar til skilgreiningar á skógi eins og sett er fram í landslögum eða, ef hún er ekki tiltæk, í samræmi við skilgreiningu Matvæla- og landbúnaðarstofnunar SÞ á skógi (</w:t>
      </w:r>
      <w:bookmarkStart w:id="73" w:name="NOTE_374"/>
      <w:r>
        <w:rPr>
          <w:rStyle w:val="Tilvsunneanmlsgrein"/>
          <w:sz w:val="18"/>
          <w:szCs w:val="18"/>
        </w:rPr>
        <w:footnoteReference w:id="375"/>
      </w:r>
      <w:bookmarkEnd w:id="73"/>
      <w:r>
        <w:t>).</w:t>
      </w:r>
    </w:p>
    <w:p w14:paraId="1EFA9DAB" w14:textId="77777777" w:rsidR="002B5657" w:rsidRDefault="002B5657" w:rsidP="002B5657">
      <w:pPr>
        <w:pStyle w:val="AnnexNormal"/>
        <w:spacing w:after="160"/>
        <w:ind w:left="500"/>
        <w:rPr>
          <w:szCs w:val="18"/>
        </w:rPr>
      </w:pPr>
      <w:r>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02.20, þ.e. skógarhögg, 02.30, þ.e. söfnun afurða sem vaxa villtar en eru ekki tré og 02.40, þ.e. þjónustustarfsemi við skógrækt.</w:t>
      </w:r>
    </w:p>
    <w:p w14:paraId="0F7F58B4" w14:textId="77777777" w:rsidR="002B5657" w:rsidRDefault="002B5657" w:rsidP="002B5657">
      <w:pPr>
        <w:pStyle w:val="AnnexNormal"/>
        <w:spacing w:after="80"/>
        <w:ind w:left="500"/>
      </w:pPr>
      <w:r>
        <w:lastRenderedPageBreak/>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r>
        <w:br w:type="page"/>
      </w:r>
    </w:p>
    <w:p w14:paraId="237AB1FB" w14:textId="77777777" w:rsidR="002B5657" w:rsidRDefault="002B5657" w:rsidP="002B5657">
      <w:pPr>
        <w:pStyle w:val="AnnexGrSeq3"/>
        <w:spacing w:after="280"/>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848"/>
        <w:gridCol w:w="5892"/>
      </w:tblGrid>
      <w:tr w:rsidR="002B5657" w14:paraId="769C480B"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50AB3B0" w14:textId="77777777" w:rsidR="002B5657" w:rsidRDefault="002B5657" w:rsidP="00A9140F">
            <w:pPr>
              <w:pStyle w:val="AnnexTableCellLeft"/>
            </w:pPr>
            <w:r>
              <w:t>Verulegt framlag til aðlögunar að loftslagsbreytingum</w:t>
            </w:r>
          </w:p>
        </w:tc>
      </w:tr>
      <w:tr w:rsidR="002B5657" w14:paraId="6F0A452F" w14:textId="77777777" w:rsidTr="00A9140F">
        <w:trPr>
          <w:trHeight w:val="360"/>
        </w:trPr>
        <w:tc>
          <w:tcPr>
            <w:tcW w:w="8740" w:type="dxa"/>
            <w:gridSpan w:val="2"/>
            <w:tcBorders>
              <w:bottom w:val="nil"/>
            </w:tcBorders>
            <w:tcMar>
              <w:top w:w="100" w:type="dxa"/>
              <w:left w:w="0" w:type="dxa"/>
              <w:bottom w:w="100" w:type="dxa"/>
              <w:right w:w="60" w:type="dxa"/>
            </w:tcMar>
          </w:tcPr>
          <w:p w14:paraId="6484B76B" w14:textId="77777777" w:rsidR="002B5657" w:rsidRDefault="002B5657" w:rsidP="00A9140F">
            <w:pPr>
              <w:pStyle w:val="AnnexNumberedText"/>
              <w:tabs>
                <w:tab w:val="left" w:pos="508"/>
              </w:tabs>
              <w:spacing w:after="56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527D7397" w14:textId="77777777" w:rsidR="002B5657" w:rsidRDefault="002B5657" w:rsidP="00A9140F">
            <w:pPr>
              <w:pStyle w:val="AnnexNumberedText"/>
              <w:tabs>
                <w:tab w:val="left" w:pos="508"/>
              </w:tabs>
              <w:spacing w:after="56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1C83B07" w14:textId="77777777" w:rsidR="002B5657" w:rsidRDefault="002B5657" w:rsidP="00A9140F">
            <w:pPr>
              <w:pStyle w:val="AnnexNumberedText"/>
              <w:spacing w:after="560"/>
            </w:pPr>
            <w:r>
              <w:t>a)</w:t>
            </w:r>
            <w:r>
              <w:tab/>
              <w:t>skimun á starfseminni til að greina hvaða efnislega loftslagsáhætta úr skránni í viðbæti A við þennan viðauka getur haft áhrif á árangurinn af atvinnustarfseminni á væntum líftíma hennar,</w:t>
            </w:r>
          </w:p>
          <w:p w14:paraId="698D46D8" w14:textId="77777777" w:rsidR="002B5657" w:rsidRDefault="002B5657" w:rsidP="00A9140F">
            <w:pPr>
              <w:pStyle w:val="AnnexNumberedText"/>
              <w:spacing w:after="56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6BE3BB5C" w14:textId="77777777" w:rsidR="002B5657" w:rsidRDefault="002B5657" w:rsidP="00A9140F">
            <w:pPr>
              <w:pStyle w:val="AnnexNumberedText"/>
              <w:spacing w:after="560"/>
            </w:pPr>
            <w:r>
              <w:t>c)</w:t>
            </w:r>
            <w:r>
              <w:tab/>
              <w:t>mat á aðlögunarlausnum sem geta dregið úr greindri efnislegri loftslagsáhættu.</w:t>
            </w:r>
          </w:p>
          <w:p w14:paraId="1A97B208" w14:textId="77777777" w:rsidR="002B5657" w:rsidRDefault="002B5657" w:rsidP="00A9140F">
            <w:pPr>
              <w:pStyle w:val="AnnexTableCellLeft"/>
              <w:spacing w:after="560"/>
            </w:pPr>
            <w:r>
              <w:t xml:space="preserve">Loftslagsáhættu- og veikleikamatið er í réttu hlutfalli við umfang starfseminnar og </w:t>
            </w:r>
            <w:proofErr w:type="spellStart"/>
            <w:r>
              <w:t>væntan</w:t>
            </w:r>
            <w:proofErr w:type="spellEnd"/>
            <w:r>
              <w:t xml:space="preserve"> líftíma hennar þannig að:</w:t>
            </w:r>
          </w:p>
          <w:p w14:paraId="4895AF41" w14:textId="77777777" w:rsidR="002B5657" w:rsidRDefault="002B5657" w:rsidP="00A9140F">
            <w:pPr>
              <w:pStyle w:val="AnnexNumberedText"/>
              <w:spacing w:after="56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1711BFE" w14:textId="77777777" w:rsidR="002B5657" w:rsidRDefault="002B5657" w:rsidP="00A9140F">
            <w:pPr>
              <w:pStyle w:val="AnnexNumberedText"/>
              <w:spacing w:after="56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37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B4BAEC5" w14:textId="77777777" w:rsidR="002B5657" w:rsidRDefault="002B5657" w:rsidP="00A9140F">
            <w:pPr>
              <w:pStyle w:val="AnnexNumberedText"/>
              <w:tabs>
                <w:tab w:val="left" w:pos="508"/>
              </w:tabs>
              <w:spacing w:after="56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377"/>
            </w:r>
            <w:r>
              <w:t>), vísindalegt ritrýnt útgefið efni og líkön með opnum aðgangi (</w:t>
            </w:r>
            <w:r>
              <w:rPr>
                <w:rStyle w:val="Tilvsunneanmlsgrein"/>
                <w:sz w:val="18"/>
              </w:rPr>
              <w:footnoteReference w:id="378"/>
            </w:r>
            <w:r>
              <w:t>) eða gegn greiðslu.</w:t>
            </w:r>
          </w:p>
          <w:p w14:paraId="017CB10F" w14:textId="77777777" w:rsidR="002B5657" w:rsidRDefault="002B5657" w:rsidP="00A9140F">
            <w:pPr>
              <w:pStyle w:val="AnnexNumberedText"/>
              <w:tabs>
                <w:tab w:val="left" w:pos="508"/>
              </w:tabs>
              <w:spacing w:after="560"/>
              <w:ind w:left="0" w:firstLine="0"/>
            </w:pPr>
            <w:r>
              <w:t>4.</w:t>
            </w:r>
            <w:r>
              <w:tab/>
              <w:t>Aðlögunarlausnir sem komið er í framkvæmd:</w:t>
            </w:r>
          </w:p>
          <w:p w14:paraId="27A138BC" w14:textId="77777777" w:rsidR="002B5657" w:rsidRDefault="002B5657" w:rsidP="00A9140F">
            <w:pPr>
              <w:pStyle w:val="AnnexNumberedText"/>
              <w:spacing w:after="0"/>
            </w:pPr>
            <w:r>
              <w:t>a)</w:t>
            </w:r>
            <w:r>
              <w:tab/>
              <w:t>hafa ekki neikvæð áhrif á viðleitni til aðlögunar eða viðnám annars fólks, náttúru, menningararfleifðar, eigna og annarrar atvinnustarfsemi gegn efnislegri loftslagsáhættu,</w:t>
            </w:r>
          </w:p>
        </w:tc>
      </w:tr>
      <w:tr w:rsidR="002B5657" w14:paraId="0C3D2899" w14:textId="77777777" w:rsidTr="00A9140F">
        <w:trPr>
          <w:trHeight w:val="360"/>
        </w:trPr>
        <w:tc>
          <w:tcPr>
            <w:tcW w:w="8740" w:type="dxa"/>
            <w:gridSpan w:val="2"/>
            <w:tcBorders>
              <w:top w:val="nil"/>
            </w:tcBorders>
            <w:tcMar>
              <w:top w:w="100" w:type="dxa"/>
              <w:left w:w="0" w:type="dxa"/>
              <w:bottom w:w="100" w:type="dxa"/>
              <w:right w:w="60" w:type="dxa"/>
            </w:tcMar>
          </w:tcPr>
          <w:p w14:paraId="780D0CF3" w14:textId="77777777" w:rsidR="002B5657" w:rsidRDefault="002B5657" w:rsidP="00A9140F">
            <w:pPr>
              <w:pStyle w:val="AnnexNumberedText"/>
              <w:pageBreakBefore/>
              <w:spacing w:after="300"/>
            </w:pPr>
            <w:r>
              <w:lastRenderedPageBreak/>
              <w:t>b)</w:t>
            </w:r>
            <w:r>
              <w:tab/>
              <w:t>eru með náttúrumiðaðar lausnir (</w:t>
            </w:r>
            <w:r>
              <w:rPr>
                <w:rStyle w:val="Tilvsunneanmlsgrein"/>
                <w:sz w:val="18"/>
                <w:szCs w:val="18"/>
              </w:rPr>
              <w:footnoteReference w:id="379"/>
            </w:r>
            <w:r>
              <w:t>) í forgangi eða treyst er á bláa eða græna innviði (</w:t>
            </w:r>
            <w:r>
              <w:rPr>
                <w:rStyle w:val="Tilvsunneanmlsgrein"/>
                <w:sz w:val="18"/>
                <w:szCs w:val="18"/>
              </w:rPr>
              <w:footnoteReference w:id="380"/>
            </w:r>
            <w:r>
              <w:t>) að því marki sem mögulegt er,</w:t>
            </w:r>
          </w:p>
          <w:p w14:paraId="27B6CC07" w14:textId="77777777" w:rsidR="002B5657" w:rsidRDefault="002B5657" w:rsidP="00A9140F">
            <w:pPr>
              <w:pStyle w:val="AnnexNumberedText"/>
              <w:spacing w:after="300"/>
            </w:pPr>
            <w:r>
              <w:t>c)</w:t>
            </w:r>
            <w:r>
              <w:tab/>
              <w:t>eru í samræmi við staðbundnar, geirabundnar, svæðisbundnar eða landsbundnar aðlögunarstefnur og -áætlanir,</w:t>
            </w:r>
          </w:p>
          <w:p w14:paraId="2ABDE4DD" w14:textId="77777777" w:rsidR="002B5657" w:rsidRDefault="002B5657"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201AE3A" w14:textId="77777777" w:rsidR="002B5657" w:rsidRDefault="002B5657" w:rsidP="00A9140F">
            <w:pPr>
              <w:pStyle w:val="AnnexNumberedText"/>
              <w:spacing w:after="30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2585CCE6" w14:textId="77777777" w:rsidR="002B5657" w:rsidRDefault="002B5657" w:rsidP="00A9140F">
            <w:pPr>
              <w:pStyle w:val="AnnexNumberedText"/>
              <w:tabs>
                <w:tab w:val="left" w:pos="508"/>
              </w:tabs>
              <w:spacing w:after="30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191267A0" w14:textId="77777777" w:rsidR="002B5657" w:rsidRDefault="002B5657" w:rsidP="00A9140F">
            <w:pPr>
              <w:pStyle w:val="AnnexNumberedText"/>
              <w:spacing w:after="300"/>
            </w:pPr>
            <w:r>
              <w:t>a)</w:t>
            </w:r>
            <w:r>
              <w:tab/>
              <w:t>auki viðnám gegn efnislegri loftslagsáhættu fyrir annað fólk, náttúru, menningararfleifð, eignir og aðra atvinnustarfsemi,</w:t>
            </w:r>
          </w:p>
          <w:p w14:paraId="721E3752" w14:textId="77777777" w:rsidR="002B5657" w:rsidRDefault="002B5657" w:rsidP="00A9140F">
            <w:pPr>
              <w:pStyle w:val="AnnexNumberedText"/>
              <w:spacing w:after="300"/>
            </w:pPr>
            <w:r>
              <w:t>b)</w:t>
            </w:r>
            <w:r>
              <w:tab/>
              <w:t>stuðli að aðlögunarviðleitni annars fólks, náttúru, menningararfleifðar, eigna og annarrar atvinnustarfsemi.</w:t>
            </w:r>
          </w:p>
        </w:tc>
      </w:tr>
      <w:tr w:rsidR="002B5657" w14:paraId="5B2279BE"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214B26F6" w14:textId="77777777" w:rsidR="002B5657" w:rsidRDefault="002B5657" w:rsidP="00A9140F">
            <w:pPr>
              <w:pStyle w:val="AnnexTableCellLeft"/>
            </w:pPr>
            <w:r>
              <w:t>Ekki valda umtalsverðu tjóni</w:t>
            </w:r>
          </w:p>
        </w:tc>
      </w:tr>
      <w:tr w:rsidR="002B5657" w14:paraId="0A0CEBC4" w14:textId="77777777" w:rsidTr="00A9140F">
        <w:trPr>
          <w:trHeight w:val="360"/>
        </w:trPr>
        <w:tc>
          <w:tcPr>
            <w:tcW w:w="2848" w:type="dxa"/>
            <w:tcBorders>
              <w:bottom w:val="nil"/>
            </w:tcBorders>
            <w:tcMar>
              <w:top w:w="100" w:type="dxa"/>
              <w:left w:w="0" w:type="dxa"/>
              <w:bottom w:w="100" w:type="dxa"/>
              <w:right w:w="60" w:type="dxa"/>
            </w:tcMar>
          </w:tcPr>
          <w:p w14:paraId="54A547B6" w14:textId="77777777" w:rsidR="002B5657" w:rsidRDefault="002B5657" w:rsidP="00A9140F">
            <w:pPr>
              <w:pStyle w:val="AnnexNumberedText"/>
              <w:ind w:left="293" w:hanging="293"/>
            </w:pPr>
            <w:r>
              <w:t>1)</w:t>
            </w:r>
            <w:r>
              <w:tab/>
              <w:t>Mildun loftslagsbreytinga</w:t>
            </w:r>
          </w:p>
        </w:tc>
        <w:tc>
          <w:tcPr>
            <w:tcW w:w="5892" w:type="dxa"/>
            <w:tcBorders>
              <w:bottom w:val="nil"/>
            </w:tcBorders>
            <w:tcMar>
              <w:top w:w="100" w:type="dxa"/>
              <w:left w:w="40" w:type="dxa"/>
              <w:bottom w:w="100" w:type="dxa"/>
              <w:right w:w="0" w:type="dxa"/>
            </w:tcMar>
          </w:tcPr>
          <w:p w14:paraId="63BCFB37" w14:textId="77777777" w:rsidR="002B5657" w:rsidRDefault="002B5657" w:rsidP="00A9140F">
            <w:pPr>
              <w:pStyle w:val="AnnexNumberedText"/>
              <w:spacing w:after="300"/>
              <w:ind w:left="360" w:hanging="360"/>
            </w:pPr>
            <w:r>
              <w:t>1.</w:t>
            </w:r>
            <w:r>
              <w:rPr>
                <w:i/>
              </w:rPr>
              <w:tab/>
              <w:t xml:space="preserve">Skógarstjórnunaráætlun eða jafngildur </w:t>
            </w:r>
            <w:proofErr w:type="spellStart"/>
            <w:r>
              <w:rPr>
                <w:i/>
              </w:rPr>
              <w:t>gerningur</w:t>
            </w:r>
            <w:proofErr w:type="spellEnd"/>
          </w:p>
          <w:p w14:paraId="63FE4E9C" w14:textId="77777777" w:rsidR="002B5657" w:rsidRDefault="002B5657" w:rsidP="00A9140F">
            <w:pPr>
              <w:pStyle w:val="AnnexNumberedText"/>
              <w:tabs>
                <w:tab w:val="left" w:pos="508"/>
              </w:tabs>
              <w:spacing w:after="300"/>
              <w:ind w:left="0" w:firstLine="0"/>
            </w:pPr>
            <w:r>
              <w:t>1.1.</w:t>
            </w:r>
            <w:r>
              <w:tab/>
              <w:t xml:space="preserve">Starfsemin fer fram á svæði sem fellur undir skógarstjórnunaráætlun eða jafngildan </w:t>
            </w:r>
            <w:proofErr w:type="spellStart"/>
            <w:r>
              <w:t>gerning</w:t>
            </w:r>
            <w:proofErr w:type="spellEnd"/>
            <w:r>
              <w:t xml:space="preserve">, eins og sett er fram í landslögum eða, ef ekki er skilgreining á skógarstjórnunaráætlun eða jafngildum </w:t>
            </w:r>
            <w:proofErr w:type="spellStart"/>
            <w:r>
              <w:t>gerningi</w:t>
            </w:r>
            <w:proofErr w:type="spellEnd"/>
            <w:r>
              <w:t xml:space="preserve"> í landslögum, eins og um getur í skilgreiningu Matvæla- og landbúnaðarstofnunar SÞ á „skógarsvæði með skógarstjórnunaráætlun til langs tíma“ (</w:t>
            </w:r>
            <w:r>
              <w:rPr>
                <w:rStyle w:val="Tilvsunneanmlsgrein"/>
                <w:sz w:val="18"/>
              </w:rPr>
              <w:footnoteReference w:id="381"/>
            </w:r>
            <w:r>
              <w:t>).</w:t>
            </w:r>
          </w:p>
          <w:p w14:paraId="2E1AAA83" w14:textId="77777777" w:rsidR="002B5657" w:rsidRDefault="002B5657" w:rsidP="00A9140F">
            <w:pPr>
              <w:pStyle w:val="AnnexTableCellLeft"/>
              <w:spacing w:after="300"/>
            </w:pPr>
            <w:r>
              <w:t xml:space="preserve">Skógarstjórnunaráætlun, eða jafngildur </w:t>
            </w:r>
            <w:proofErr w:type="spellStart"/>
            <w:r>
              <w:t>gerningur</w:t>
            </w:r>
            <w:proofErr w:type="spellEnd"/>
            <w:r>
              <w:t>, nær yfir 10 ára tímabil eða meira og er uppfærð samfellt.</w:t>
            </w:r>
          </w:p>
          <w:p w14:paraId="500C3663" w14:textId="77777777" w:rsidR="002B5657" w:rsidRDefault="002B5657" w:rsidP="00A9140F">
            <w:pPr>
              <w:pStyle w:val="AnnexNumberedText"/>
              <w:tabs>
                <w:tab w:val="left" w:pos="508"/>
              </w:tabs>
              <w:spacing w:after="300"/>
              <w:ind w:left="0" w:firstLine="0"/>
            </w:pPr>
            <w:r>
              <w:t>1.2.</w:t>
            </w:r>
            <w:r>
              <w:tab/>
              <w:t>Upplýsingar eru veittar um eftirfarandi liði sem ekki eru þegar skjalfestir í skógarstjórnunaráætluninni eða jafngildu kerfi:</w:t>
            </w:r>
          </w:p>
          <w:p w14:paraId="7F8F42C9" w14:textId="77777777" w:rsidR="002B5657" w:rsidRDefault="002B5657" w:rsidP="00A9140F">
            <w:pPr>
              <w:pStyle w:val="AnnexNumberedText"/>
              <w:spacing w:after="300"/>
            </w:pPr>
            <w:r>
              <w:t>a)</w:t>
            </w:r>
            <w:r>
              <w:tab/>
              <w:t>stjórnunarmarkmið, þ.m.t. meiriháttar hindranir (</w:t>
            </w:r>
            <w:r>
              <w:rPr>
                <w:rStyle w:val="Tilvsunneanmlsgrein"/>
                <w:sz w:val="18"/>
              </w:rPr>
              <w:footnoteReference w:id="382"/>
            </w:r>
            <w:r>
              <w:t>),</w:t>
            </w:r>
          </w:p>
          <w:p w14:paraId="36021C85" w14:textId="77777777" w:rsidR="002B5657" w:rsidRDefault="002B5657" w:rsidP="00A9140F">
            <w:pPr>
              <w:pStyle w:val="AnnexNumberedText"/>
              <w:spacing w:after="0"/>
            </w:pPr>
            <w:r>
              <w:t>b)</w:t>
            </w:r>
            <w:r>
              <w:tab/>
              <w:t>almennar stefnuáætlanir og fyrirhuguð starfsemi til að ná stjórnunarmarkmiðunum, þ.m.t. væntanlegar aðgerðir yfir allan skógræktarhringrásina,</w:t>
            </w:r>
          </w:p>
        </w:tc>
      </w:tr>
      <w:tr w:rsidR="002B5657" w14:paraId="4A4F9F16" w14:textId="77777777" w:rsidTr="00A9140F">
        <w:trPr>
          <w:trHeight w:val="240"/>
        </w:trPr>
        <w:tc>
          <w:tcPr>
            <w:tcW w:w="2848" w:type="dxa"/>
            <w:tcBorders>
              <w:top w:val="single" w:sz="4" w:space="0" w:color="auto"/>
              <w:bottom w:val="nil"/>
            </w:tcBorders>
            <w:tcMar>
              <w:top w:w="100" w:type="dxa"/>
              <w:left w:w="0" w:type="dxa"/>
              <w:bottom w:w="100" w:type="dxa"/>
              <w:right w:w="60" w:type="dxa"/>
            </w:tcMar>
          </w:tcPr>
          <w:p w14:paraId="2CBD82B0" w14:textId="77777777" w:rsidR="002B5657" w:rsidRDefault="002B5657" w:rsidP="00A9140F">
            <w:pPr>
              <w:pStyle w:val="AnnexTableCellLeft"/>
              <w:pageBreakBefore/>
            </w:pPr>
          </w:p>
        </w:tc>
        <w:tc>
          <w:tcPr>
            <w:tcW w:w="5892" w:type="dxa"/>
            <w:tcBorders>
              <w:top w:val="single" w:sz="4" w:space="0" w:color="auto"/>
              <w:bottom w:val="nil"/>
            </w:tcBorders>
            <w:tcMar>
              <w:top w:w="100" w:type="dxa"/>
              <w:left w:w="40" w:type="dxa"/>
              <w:bottom w:w="100" w:type="dxa"/>
              <w:right w:w="0" w:type="dxa"/>
            </w:tcMar>
          </w:tcPr>
          <w:p w14:paraId="7D4B7486" w14:textId="77777777" w:rsidR="002B5657" w:rsidRDefault="002B5657" w:rsidP="00A9140F">
            <w:pPr>
              <w:pStyle w:val="AnnexNumberedText"/>
              <w:spacing w:after="240"/>
            </w:pPr>
            <w:r>
              <w:t>c)</w:t>
            </w:r>
            <w:r>
              <w:tab/>
              <w:t>skilgreining á búsvæðalegu samhengi skógarins, þ.m.t. helstu trjátegundir sem fyrir eru og fyrirhugaðar og umfang þeirra og dreifing,</w:t>
            </w:r>
          </w:p>
          <w:p w14:paraId="52C229AC" w14:textId="77777777" w:rsidR="002B5657" w:rsidRDefault="002B5657" w:rsidP="00A9140F">
            <w:pPr>
              <w:pStyle w:val="AnnexNumberedText"/>
              <w:spacing w:after="240"/>
            </w:pPr>
            <w:r>
              <w:t>d)</w:t>
            </w:r>
            <w:r>
              <w:tab/>
              <w:t>skilgreining á svæðinu samkvæmt færslu þar um í landskránni,</w:t>
            </w:r>
          </w:p>
          <w:p w14:paraId="7DC58206" w14:textId="77777777" w:rsidR="002B5657" w:rsidRDefault="002B5657" w:rsidP="00A9140F">
            <w:pPr>
              <w:pStyle w:val="AnnexNumberedText"/>
              <w:spacing w:after="240"/>
            </w:pPr>
            <w:r>
              <w:t>e)</w:t>
            </w:r>
            <w:r>
              <w:tab/>
              <w:t>hólf, vegir, athafnaréttur og annar almennur aðgangur, efnislegir þættir, þ.m.t. vatnaleiðir, svæði sem falla undir lagalegar takmarkanir og aðrar takmarkanir,</w:t>
            </w:r>
          </w:p>
          <w:p w14:paraId="1D1A1884" w14:textId="77777777" w:rsidR="002B5657" w:rsidRDefault="002B5657" w:rsidP="00A9140F">
            <w:pPr>
              <w:pStyle w:val="AnnexNumberedText"/>
              <w:spacing w:after="240"/>
            </w:pPr>
            <w:r>
              <w:t>f)</w:t>
            </w:r>
            <w:r>
              <w:tab/>
              <w:t>ráðstafanir sem eru innleiddar til að viðhalda góðu ásigkomulagi skógarvistkerfa,</w:t>
            </w:r>
          </w:p>
          <w:p w14:paraId="0D2B4F02" w14:textId="77777777" w:rsidR="002B5657" w:rsidRDefault="002B5657" w:rsidP="00A9140F">
            <w:pPr>
              <w:pStyle w:val="AnnexNumberedText"/>
              <w:spacing w:after="240"/>
            </w:pPr>
            <w:r>
              <w:t>g)</w:t>
            </w:r>
            <w:r>
              <w:tab/>
              <w:t>tillit tekið til samfélagslegra málefna (þ.m.t. varðveisla landslags, samráð við hagsmunaaðila í samræmi við skilmála og skilyrði sem mælt er fyrir um í landslögum),</w:t>
            </w:r>
          </w:p>
          <w:p w14:paraId="5182A50A" w14:textId="77777777" w:rsidR="002B5657" w:rsidRDefault="002B5657" w:rsidP="00A9140F">
            <w:pPr>
              <w:pStyle w:val="AnnexNumberedText"/>
              <w:spacing w:after="240"/>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1C025C02" w14:textId="77777777" w:rsidR="002B5657" w:rsidRDefault="002B5657" w:rsidP="00A9140F">
            <w:pPr>
              <w:pStyle w:val="AnnexNumberedText"/>
              <w:spacing w:after="240"/>
            </w:pPr>
            <w:r>
              <w:t>i)</w:t>
            </w:r>
            <w:r>
              <w:tab/>
              <w:t>allar viðmiðanir um að valda ekki umtalsverðu tjóni sem skipta máli fyrir stjórnun skóga.</w:t>
            </w:r>
          </w:p>
          <w:p w14:paraId="2190775E" w14:textId="77777777" w:rsidR="002B5657" w:rsidRDefault="002B5657" w:rsidP="00A9140F">
            <w:pPr>
              <w:pStyle w:val="AnnexNumberedText"/>
              <w:tabs>
                <w:tab w:val="left" w:pos="508"/>
              </w:tabs>
              <w:spacing w:after="240"/>
              <w:ind w:left="0" w:firstLine="0"/>
            </w:pPr>
            <w:r>
              <w:t>1.3.</w:t>
            </w:r>
            <w:r>
              <w:tab/>
              <w:t>Sjálfbærni skógarstjórnunarkerfanna, eins og skjalfest er í áætluninni sem um getur í lið 1.1, er tryggð með því að velja metnaðarfyllstu aðferðina af eftirfarandi:</w:t>
            </w:r>
          </w:p>
          <w:p w14:paraId="3E40254B" w14:textId="77777777" w:rsidR="002B5657" w:rsidRDefault="002B5657" w:rsidP="00A9140F">
            <w:pPr>
              <w:pStyle w:val="AnnexNumberedText"/>
              <w:spacing w:after="240"/>
            </w:pPr>
            <w:r>
              <w:t>a)</w:t>
            </w:r>
            <w:r>
              <w:tab/>
              <w:t>skógarstjórnunin samsvarar gildandi landsbundinni skilgreiningu á sjálfbærri stjórnun skóga,</w:t>
            </w:r>
          </w:p>
          <w:p w14:paraId="3DE38769" w14:textId="77777777" w:rsidR="002B5657" w:rsidRDefault="002B5657" w:rsidP="00A9140F">
            <w:pPr>
              <w:pStyle w:val="AnnexNumberedText"/>
              <w:spacing w:after="240"/>
            </w:pPr>
            <w:r>
              <w:t>b)</w:t>
            </w:r>
            <w:r>
              <w:tab/>
              <w:t>skógarstjórnunin samsvarar skilgreiningu á sjálfbærri skógarstjórnun skóga í Evrópu (</w:t>
            </w:r>
            <w:r>
              <w:rPr>
                <w:rStyle w:val="Tilvsunneanmlsgrein"/>
                <w:sz w:val="18"/>
              </w:rPr>
              <w:footnoteReference w:id="383"/>
            </w:r>
            <w:r>
              <w:t xml:space="preserve">) og er í samræmi við </w:t>
            </w:r>
            <w:proofErr w:type="spellStart"/>
            <w:r>
              <w:t>samevrópskar</w:t>
            </w:r>
            <w:proofErr w:type="spellEnd"/>
            <w:r>
              <w:t xml:space="preserve"> leiðbeiningar vegna aðgerða á sviði sjálfbærrar skógarstjórnunar (</w:t>
            </w:r>
            <w:r>
              <w:rPr>
                <w:rStyle w:val="Tilvsunneanmlsgrein"/>
                <w:sz w:val="18"/>
              </w:rPr>
              <w:footnoteReference w:id="384"/>
            </w:r>
            <w:r>
              <w:t>),</w:t>
            </w:r>
          </w:p>
          <w:p w14:paraId="5CCEA6D4" w14:textId="77777777" w:rsidR="002B5657" w:rsidRDefault="002B5657" w:rsidP="00A9140F">
            <w:pPr>
              <w:pStyle w:val="AnnexNumberedText"/>
              <w:spacing w:after="240"/>
            </w:pPr>
            <w:r>
              <w:t>c)</w:t>
            </w:r>
            <w:r>
              <w:tab/>
              <w:t xml:space="preserve">stjórnunarkerfið sem er til staðar er í samræmi við viðmiðanir um sjálfbærni skóga sem mælt er fyrir um í 6. mgr. 29. gr. tilskipunar (ESB) 2018/2001 og, frá og með gildistökudegi hennar, við framkvæmdargerðina um </w:t>
            </w:r>
            <w:proofErr w:type="spellStart"/>
            <w:r>
              <w:t>rekstrarlegar</w:t>
            </w:r>
            <w:proofErr w:type="spellEnd"/>
            <w:r>
              <w:t xml:space="preserve"> leiðbeiningar um orku frá lífmassa úr skógi sem var samþykkt skv. 8. mgr. 29. gr. þeirrar tilskipunar.</w:t>
            </w:r>
          </w:p>
          <w:p w14:paraId="7EE2EB21" w14:textId="77777777" w:rsidR="002B5657" w:rsidRDefault="002B5657" w:rsidP="00A9140F">
            <w:pPr>
              <w:pStyle w:val="AnnexNumberedText"/>
              <w:tabs>
                <w:tab w:val="left" w:pos="508"/>
              </w:tabs>
              <w:spacing w:after="240"/>
              <w:ind w:left="0" w:firstLine="0"/>
            </w:pPr>
            <w:r>
              <w:t>1.4.</w:t>
            </w:r>
            <w:r>
              <w:tab/>
              <w:t>Starfsemin felur ekki í sér hnignun lands með miklar kolefnisbirgðir (</w:t>
            </w:r>
            <w:r>
              <w:rPr>
                <w:rStyle w:val="Tilvsunneanmlsgrein"/>
                <w:sz w:val="18"/>
              </w:rPr>
              <w:footnoteReference w:id="385"/>
            </w:r>
            <w:r>
              <w:t>).</w:t>
            </w:r>
          </w:p>
          <w:p w14:paraId="62634234" w14:textId="77777777" w:rsidR="002B5657" w:rsidRDefault="002B5657" w:rsidP="00A9140F">
            <w:pPr>
              <w:pStyle w:val="AnnexNumberedText"/>
              <w:tabs>
                <w:tab w:val="left" w:pos="508"/>
              </w:tabs>
              <w:spacing w:after="240"/>
              <w:ind w:left="0" w:firstLine="0"/>
            </w:pPr>
            <w:r>
              <w:t>1.5.</w:t>
            </w:r>
            <w:r>
              <w:tab/>
              <w:t>Stjórnunarkerfið sem tengist starfseminni sem er til staðar er í samræmi við skylduna um áreiðanleika og lagalegar kröfur sem mælt er fyrir um í reglugerð (ESB) nr. 995/2010.</w:t>
            </w:r>
          </w:p>
          <w:p w14:paraId="14EFB06A" w14:textId="77777777" w:rsidR="002B5657" w:rsidRDefault="002B5657" w:rsidP="00A9140F">
            <w:pPr>
              <w:pStyle w:val="AnnexNumberedText"/>
              <w:tabs>
                <w:tab w:val="left" w:pos="508"/>
              </w:tabs>
              <w:spacing w:after="0"/>
              <w:ind w:left="0" w:firstLine="0"/>
            </w:pPr>
            <w:r>
              <w:lastRenderedPageBreak/>
              <w:t>1.6.</w:t>
            </w:r>
            <w:r>
              <w:tab/>
              <w:t xml:space="preserve">Í skógarstjórnunaráætluninni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tc>
      </w:tr>
      <w:tr w:rsidR="002B5657" w14:paraId="3042D4F9" w14:textId="77777777" w:rsidTr="00A9140F">
        <w:trPr>
          <w:trHeight w:val="240"/>
        </w:trPr>
        <w:tc>
          <w:tcPr>
            <w:tcW w:w="2848" w:type="dxa"/>
            <w:tcBorders>
              <w:top w:val="single" w:sz="4" w:space="0" w:color="auto"/>
            </w:tcBorders>
            <w:tcMar>
              <w:top w:w="100" w:type="dxa"/>
              <w:left w:w="0" w:type="dxa"/>
              <w:bottom w:w="100" w:type="dxa"/>
              <w:right w:w="60" w:type="dxa"/>
            </w:tcMar>
          </w:tcPr>
          <w:p w14:paraId="6B96DAE4" w14:textId="77777777" w:rsidR="002B5657" w:rsidRDefault="002B5657" w:rsidP="00A9140F">
            <w:pPr>
              <w:pStyle w:val="AnnexTableCellLeft"/>
              <w:pageBreakBefore/>
            </w:pPr>
          </w:p>
        </w:tc>
        <w:tc>
          <w:tcPr>
            <w:tcW w:w="5892" w:type="dxa"/>
            <w:tcBorders>
              <w:top w:val="single" w:sz="4" w:space="0" w:color="auto"/>
            </w:tcBorders>
            <w:tcMar>
              <w:top w:w="100" w:type="dxa"/>
              <w:left w:w="40" w:type="dxa"/>
              <w:bottom w:w="100" w:type="dxa"/>
              <w:right w:w="0" w:type="dxa"/>
            </w:tcMar>
          </w:tcPr>
          <w:p w14:paraId="15585D1C" w14:textId="77777777" w:rsidR="002B5657" w:rsidRDefault="002B5657" w:rsidP="00A9140F">
            <w:pPr>
              <w:pStyle w:val="AnnexNumberedText"/>
              <w:spacing w:after="280"/>
              <w:ind w:left="360" w:hanging="360"/>
            </w:pPr>
            <w:r>
              <w:t>2.</w:t>
            </w:r>
            <w:r>
              <w:rPr>
                <w:i/>
              </w:rPr>
              <w:tab/>
              <w:t>Úttekt</w:t>
            </w:r>
          </w:p>
          <w:p w14:paraId="79F8AD72" w14:textId="77777777" w:rsidR="002B5657" w:rsidRDefault="002B5657" w:rsidP="00A9140F">
            <w:pPr>
              <w:pStyle w:val="AnnexTableCellLeft"/>
              <w:spacing w:after="28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5422EA0B" w14:textId="77777777" w:rsidR="002B5657" w:rsidRDefault="002B5657" w:rsidP="00A9140F">
            <w:pPr>
              <w:pStyle w:val="AnnexNumberedText"/>
              <w:spacing w:after="280"/>
            </w:pPr>
            <w:r>
              <w:t>a)</w:t>
            </w:r>
            <w:r>
              <w:tab/>
              <w:t xml:space="preserve">viðeigandi </w:t>
            </w:r>
            <w:proofErr w:type="spellStart"/>
            <w:r>
              <w:t>lögbær</w:t>
            </w:r>
            <w:proofErr w:type="spellEnd"/>
            <w:r>
              <w:t xml:space="preserve"> landsyfirvöld,</w:t>
            </w:r>
          </w:p>
          <w:p w14:paraId="5A799D1C" w14:textId="77777777" w:rsidR="002B5657" w:rsidRDefault="002B5657" w:rsidP="00A9140F">
            <w:pPr>
              <w:pStyle w:val="AnnexNumberedText"/>
              <w:spacing w:after="280"/>
            </w:pPr>
            <w:r>
              <w:t>b)</w:t>
            </w:r>
            <w:r>
              <w:tab/>
              <w:t>óháður þriðji aðili, sem er vottunaraðili, að beiðni landsyfirvalda eða rekstraraðila starfseminnar.</w:t>
            </w:r>
          </w:p>
          <w:p w14:paraId="068D1158" w14:textId="77777777" w:rsidR="002B5657" w:rsidRDefault="002B5657" w:rsidP="00A9140F">
            <w:pPr>
              <w:pStyle w:val="AnnexTableCellLeft"/>
              <w:spacing w:after="280"/>
            </w:pPr>
            <w:r>
              <w:t>Í því skyni að draga úr kostnaði er heimilt að framkvæma úttekt samhliða skógarvottun, loftslagsvottun eða annarri úttekt.</w:t>
            </w:r>
          </w:p>
          <w:p w14:paraId="6CDF0C19" w14:textId="77777777" w:rsidR="002B5657" w:rsidRDefault="002B5657" w:rsidP="00A9140F">
            <w:pPr>
              <w:pStyle w:val="AnnexTableCellLeft"/>
              <w:spacing w:after="280"/>
            </w:pPr>
            <w:r>
              <w:t>Óháður þriðji aðili, sem er vottunaraðili, má ekki eiga í neins konar hagsmunaárekstrum við eigandann eða fjármögnunaraðilann og má ekki hafa afskipti af þróun eða rekstri starfseminnar.</w:t>
            </w:r>
          </w:p>
          <w:p w14:paraId="43DFFE96" w14:textId="77777777" w:rsidR="002B5657" w:rsidRDefault="002B5657" w:rsidP="00A9140F">
            <w:pPr>
              <w:pStyle w:val="AnnexNumberedText"/>
              <w:spacing w:after="280"/>
              <w:ind w:left="360" w:hanging="360"/>
            </w:pPr>
            <w:r>
              <w:t>3.</w:t>
            </w:r>
            <w:r>
              <w:rPr>
                <w:i/>
              </w:rPr>
              <w:tab/>
              <w:t>Hópmat</w:t>
            </w:r>
          </w:p>
          <w:p w14:paraId="0336A2BA" w14:textId="77777777" w:rsidR="002B5657" w:rsidRDefault="002B5657" w:rsidP="00A9140F">
            <w:pPr>
              <w:pStyle w:val="AnnexTableCellLeft"/>
              <w:spacing w:after="280"/>
            </w:pPr>
            <w:r>
              <w:t>Hægt er að hafa eftirlit með því hvort farið er að viðmiðunum um að valda ekki umtalsverðu tjóni:</w:t>
            </w:r>
          </w:p>
          <w:p w14:paraId="620D7211" w14:textId="77777777" w:rsidR="002B5657" w:rsidRDefault="002B5657" w:rsidP="00A9140F">
            <w:pPr>
              <w:pStyle w:val="AnnexNumberedText"/>
              <w:spacing w:after="280"/>
            </w:pPr>
            <w:r>
              <w:t>a)</w:t>
            </w:r>
            <w:r>
              <w:tab/>
              <w:t>á upprunasvæði skógræktarafurða (</w:t>
            </w:r>
            <w:r>
              <w:rPr>
                <w:rStyle w:val="Tilvsunneanmlsgrein"/>
                <w:sz w:val="18"/>
              </w:rPr>
              <w:footnoteReference w:id="386"/>
            </w:r>
            <w:r>
              <w:t>) eins og skilgreint er í tilskipun (ESB) 2018/2001,</w:t>
            </w:r>
          </w:p>
          <w:p w14:paraId="38DDCE5F" w14:textId="77777777" w:rsidR="002B5657" w:rsidRDefault="002B5657" w:rsidP="00A9140F">
            <w:pPr>
              <w:pStyle w:val="AnnexNumberedText"/>
            </w:pPr>
            <w:r>
              <w:t>b)</w:t>
            </w:r>
            <w:r>
              <w:tab/>
              <w:t>hjá hópi 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r w:rsidR="002B5657" w14:paraId="0848FF0D" w14:textId="77777777" w:rsidTr="00A9140F">
        <w:trPr>
          <w:trHeight w:val="360"/>
        </w:trPr>
        <w:tc>
          <w:tcPr>
            <w:tcW w:w="2848" w:type="dxa"/>
            <w:tcMar>
              <w:top w:w="100" w:type="dxa"/>
              <w:left w:w="0" w:type="dxa"/>
              <w:bottom w:w="100" w:type="dxa"/>
              <w:right w:w="60" w:type="dxa"/>
            </w:tcMar>
          </w:tcPr>
          <w:p w14:paraId="0EF132B8" w14:textId="77777777" w:rsidR="002B5657" w:rsidRDefault="002B5657" w:rsidP="00A9140F">
            <w:pPr>
              <w:pStyle w:val="AnnexNumberedText"/>
              <w:ind w:left="293" w:hanging="293"/>
            </w:pPr>
            <w:r>
              <w:t>3)</w:t>
            </w:r>
            <w:r>
              <w:tab/>
              <w:t>Sjálfbær notkun og verndun vatns- og sjávarauðlinda</w:t>
            </w:r>
          </w:p>
        </w:tc>
        <w:tc>
          <w:tcPr>
            <w:tcW w:w="5892" w:type="dxa"/>
            <w:tcMar>
              <w:top w:w="100" w:type="dxa"/>
              <w:left w:w="40" w:type="dxa"/>
              <w:bottom w:w="100" w:type="dxa"/>
              <w:right w:w="0" w:type="dxa"/>
            </w:tcMar>
          </w:tcPr>
          <w:p w14:paraId="563383A6" w14:textId="77777777" w:rsidR="002B5657" w:rsidRDefault="002B5657" w:rsidP="00A9140F">
            <w:pPr>
              <w:pStyle w:val="AnnexTableCellLeft"/>
              <w:spacing w:after="280"/>
            </w:pPr>
            <w:r>
              <w:t>Starfsemin er í samræmi við viðmiðanirnar sem settar eru fram í viðbæti B við þennan viðauka.</w:t>
            </w:r>
          </w:p>
          <w:p w14:paraId="114E6A19" w14:textId="77777777" w:rsidR="002B5657" w:rsidRDefault="002B5657" w:rsidP="00A9140F">
            <w:pPr>
              <w:pStyle w:val="AnnexTableCellLeft"/>
              <w:spacing w:after="240"/>
            </w:pPr>
            <w:r>
              <w:t xml:space="preserve">Ítarlegar upplýsingar sem um getur í lið 1.2. Í </w:t>
            </w:r>
            <w:proofErr w:type="spellStart"/>
            <w:r>
              <w:t>i-lið</w:t>
            </w:r>
            <w:proofErr w:type="spellEnd"/>
            <w:r>
              <w:t xml:space="preserve"> eru ákvæði um að uppfylla viðmiðanirnar sem settar eru fram í viðbæti B við þennan viðauka.</w:t>
            </w:r>
          </w:p>
        </w:tc>
      </w:tr>
      <w:tr w:rsidR="002B5657" w14:paraId="124296DC" w14:textId="77777777" w:rsidTr="00A9140F">
        <w:trPr>
          <w:trHeight w:val="360"/>
        </w:trPr>
        <w:tc>
          <w:tcPr>
            <w:tcW w:w="2848" w:type="dxa"/>
            <w:tcBorders>
              <w:bottom w:val="single" w:sz="4" w:space="0" w:color="auto"/>
            </w:tcBorders>
            <w:tcMar>
              <w:top w:w="100" w:type="dxa"/>
              <w:left w:w="0" w:type="dxa"/>
              <w:bottom w:w="100" w:type="dxa"/>
              <w:right w:w="60" w:type="dxa"/>
            </w:tcMar>
          </w:tcPr>
          <w:p w14:paraId="736D5183" w14:textId="77777777" w:rsidR="002B5657" w:rsidRDefault="002B5657" w:rsidP="00A9140F">
            <w:pPr>
              <w:pStyle w:val="AnnexNumberedText"/>
              <w:ind w:left="293" w:hanging="293"/>
            </w:pPr>
            <w:r>
              <w:t>4)</w:t>
            </w:r>
            <w:r>
              <w:tab/>
              <w:t>Umskipti yfir í hringrásarhagkerfi</w:t>
            </w:r>
          </w:p>
        </w:tc>
        <w:tc>
          <w:tcPr>
            <w:tcW w:w="5892" w:type="dxa"/>
            <w:tcBorders>
              <w:bottom w:val="single" w:sz="4" w:space="0" w:color="auto"/>
            </w:tcBorders>
            <w:tcMar>
              <w:top w:w="100" w:type="dxa"/>
              <w:left w:w="40" w:type="dxa"/>
              <w:bottom w:w="100" w:type="dxa"/>
              <w:right w:w="0" w:type="dxa"/>
            </w:tcMar>
          </w:tcPr>
          <w:p w14:paraId="43DD0CD8" w14:textId="77777777" w:rsidR="002B5657" w:rsidRDefault="002B5657" w:rsidP="00A9140F">
            <w:pPr>
              <w:pStyle w:val="AnnexTableCellLeft"/>
            </w:pPr>
            <w:r>
              <w:t>Breyting á skógrækt, sem starfsemin veldur á svæðinu sem hún nær yfir, er ekki líkleg til að draga umtalsvert úr sjálfbæru framboði á fyrsta stigs lífmassa úr skógi sem hentar til framleiðslu á viðarvörum með langtímamöguleika til hringrásar. Þessa viðmiðun er hægt að sýna fram á með greiningu á loftslagsávinningnum sem um getur í 2. lið.</w:t>
            </w:r>
          </w:p>
        </w:tc>
      </w:tr>
      <w:tr w:rsidR="002B5657" w14:paraId="4D17C6BD" w14:textId="77777777" w:rsidTr="00A9140F">
        <w:trPr>
          <w:trHeight w:val="360"/>
        </w:trPr>
        <w:tc>
          <w:tcPr>
            <w:tcW w:w="2848" w:type="dxa"/>
            <w:tcBorders>
              <w:bottom w:val="nil"/>
            </w:tcBorders>
            <w:tcMar>
              <w:top w:w="100" w:type="dxa"/>
              <w:left w:w="0" w:type="dxa"/>
              <w:bottom w:w="100" w:type="dxa"/>
              <w:right w:w="60" w:type="dxa"/>
            </w:tcMar>
          </w:tcPr>
          <w:p w14:paraId="1FA227FA" w14:textId="77777777" w:rsidR="002B5657" w:rsidRDefault="002B5657" w:rsidP="00A9140F">
            <w:pPr>
              <w:pStyle w:val="AnnexNumberedText"/>
              <w:ind w:left="293" w:hanging="293"/>
            </w:pPr>
            <w:r>
              <w:t>5)</w:t>
            </w:r>
            <w:r>
              <w:tab/>
              <w:t>Mengunarvarnir og eftirlit með mengun</w:t>
            </w:r>
          </w:p>
        </w:tc>
        <w:tc>
          <w:tcPr>
            <w:tcW w:w="5892" w:type="dxa"/>
            <w:tcBorders>
              <w:bottom w:val="nil"/>
            </w:tcBorders>
            <w:tcMar>
              <w:top w:w="100" w:type="dxa"/>
              <w:left w:w="40" w:type="dxa"/>
              <w:bottom w:w="100" w:type="dxa"/>
              <w:right w:w="0" w:type="dxa"/>
            </w:tcMar>
          </w:tcPr>
          <w:p w14:paraId="2AE4622F" w14:textId="77777777" w:rsidR="002B5657" w:rsidRDefault="002B5657" w:rsidP="00A9140F">
            <w:pPr>
              <w:pStyle w:val="AnnexTableCellLeft"/>
              <w:spacing w:after="280"/>
            </w:pPr>
            <w:r>
              <w:t xml:space="preserve">Dregið er úr notkun varnarefna og annars konar aðferðir eða nálganir, sem geta falið í sér valkosti sem ekki byggjast á notkun varnarefna, eru valdar, í samræmi við tilskipun 2009/128/EB, að undanskildum tilvikum þegar þörf er á notkun varnarefna til að hafa stjórn á uppkomu </w:t>
            </w:r>
            <w:proofErr w:type="spellStart"/>
            <w:r>
              <w:t>skaðvalda</w:t>
            </w:r>
            <w:proofErr w:type="spellEnd"/>
            <w:r>
              <w:t xml:space="preserve"> og sjúkdóma.</w:t>
            </w:r>
          </w:p>
          <w:p w14:paraId="1697800A" w14:textId="77777777" w:rsidR="002B5657" w:rsidRDefault="002B5657" w:rsidP="00A9140F">
            <w:pPr>
              <w:pStyle w:val="AnnexTableCellLeft"/>
            </w:pPr>
            <w:r>
              <w:t xml:space="preserve">Notkun áburðar er lágmörkuð í starfseminni og húsdýraáburður ekki notaður. Starfsemin er í samræmi við reglugerð (ESB) 2019/1009 eða landsbundnar </w:t>
            </w:r>
            <w:r>
              <w:lastRenderedPageBreak/>
              <w:t>reglur um áburð eða jarðvegsbæta til notkunar í landbúnaði.</w:t>
            </w:r>
          </w:p>
        </w:tc>
      </w:tr>
      <w:tr w:rsidR="002B5657" w14:paraId="73DA373B" w14:textId="77777777" w:rsidTr="00A9140F">
        <w:trPr>
          <w:trHeight w:val="240"/>
        </w:trPr>
        <w:tc>
          <w:tcPr>
            <w:tcW w:w="2848" w:type="dxa"/>
            <w:tcBorders>
              <w:top w:val="single" w:sz="4" w:space="0" w:color="auto"/>
            </w:tcBorders>
            <w:tcMar>
              <w:top w:w="100" w:type="dxa"/>
              <w:left w:w="0" w:type="dxa"/>
              <w:bottom w:w="100" w:type="dxa"/>
              <w:right w:w="60" w:type="dxa"/>
            </w:tcMar>
          </w:tcPr>
          <w:p w14:paraId="243028F6" w14:textId="77777777" w:rsidR="002B5657" w:rsidRDefault="002B5657" w:rsidP="00A9140F">
            <w:pPr>
              <w:pStyle w:val="AnnexTableCellLeft"/>
              <w:pageBreakBefore/>
            </w:pPr>
          </w:p>
        </w:tc>
        <w:tc>
          <w:tcPr>
            <w:tcW w:w="5892" w:type="dxa"/>
            <w:tcBorders>
              <w:top w:val="single" w:sz="4" w:space="0" w:color="auto"/>
            </w:tcBorders>
            <w:tcMar>
              <w:top w:w="100" w:type="dxa"/>
              <w:left w:w="40" w:type="dxa"/>
              <w:bottom w:w="100" w:type="dxa"/>
              <w:right w:w="0" w:type="dxa"/>
            </w:tcMar>
          </w:tcPr>
          <w:p w14:paraId="66A03936" w14:textId="77777777" w:rsidR="002B5657" w:rsidRDefault="002B5657" w:rsidP="00A9140F">
            <w:pPr>
              <w:pStyle w:val="AnnexTableCellLeft"/>
              <w:spacing w:after="280"/>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rPr>
              <w:footnoteReference w:id="387"/>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Starfsemin er í samræmi við viðeigandi landslög um virk innihaldsefni.</w:t>
            </w:r>
          </w:p>
          <w:p w14:paraId="2BBFB046" w14:textId="77777777" w:rsidR="002B5657" w:rsidRDefault="002B5657" w:rsidP="00A9140F">
            <w:pPr>
              <w:pStyle w:val="AnnexTableCellLeft"/>
              <w:spacing w:after="280"/>
            </w:pPr>
            <w:r>
              <w:t>Komið er í veg fyrir mengun vatns og jarðvegs og gripið til hreinsunarráðstafana þegar mengun á sér stað.</w:t>
            </w:r>
          </w:p>
        </w:tc>
      </w:tr>
      <w:tr w:rsidR="002B5657" w14:paraId="24D44A26" w14:textId="77777777" w:rsidTr="00A9140F">
        <w:trPr>
          <w:trHeight w:val="360"/>
        </w:trPr>
        <w:tc>
          <w:tcPr>
            <w:tcW w:w="2848" w:type="dxa"/>
            <w:tcMar>
              <w:top w:w="100" w:type="dxa"/>
              <w:left w:w="0" w:type="dxa"/>
              <w:bottom w:w="100" w:type="dxa"/>
              <w:right w:w="60" w:type="dxa"/>
            </w:tcMar>
          </w:tcPr>
          <w:p w14:paraId="1585CF6B" w14:textId="77777777" w:rsidR="002B5657" w:rsidRDefault="002B5657" w:rsidP="00A9140F">
            <w:pPr>
              <w:pStyle w:val="AnnexNumberedText"/>
              <w:ind w:left="293" w:hanging="293"/>
            </w:pPr>
            <w:r>
              <w:t>6)</w:t>
            </w:r>
            <w:r>
              <w:tab/>
              <w:t>Vernd og endurheimt líffræðilegrar fjölbreytni og vistkerfa</w:t>
            </w:r>
          </w:p>
        </w:tc>
        <w:tc>
          <w:tcPr>
            <w:tcW w:w="5892" w:type="dxa"/>
            <w:tcMar>
              <w:top w:w="100" w:type="dxa"/>
              <w:left w:w="40" w:type="dxa"/>
              <w:bottom w:w="100" w:type="dxa"/>
              <w:right w:w="0" w:type="dxa"/>
            </w:tcMar>
          </w:tcPr>
          <w:p w14:paraId="4972EE73" w14:textId="77777777" w:rsidR="002B5657" w:rsidRDefault="002B5657" w:rsidP="00A9140F">
            <w:pPr>
              <w:pStyle w:val="AnnexTableCellLeft"/>
              <w:spacing w:after="28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59327C8E" w14:textId="77777777" w:rsidR="002B5657" w:rsidRDefault="002B5657" w:rsidP="00A9140F">
            <w:pPr>
              <w:pStyle w:val="AnnexTableCellLeft"/>
              <w:spacing w:after="280"/>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00E13812" w14:textId="77777777" w:rsidR="002B5657" w:rsidRDefault="002B5657" w:rsidP="00A9140F">
            <w:pPr>
              <w:pStyle w:val="AnnexTableCellLeft"/>
              <w:spacing w:after="280"/>
            </w:pPr>
            <w:r>
              <w:t xml:space="preserve">Ítarlegu upplýsingarnar sem um getur í </w:t>
            </w:r>
            <w:proofErr w:type="spellStart"/>
            <w:r>
              <w:t>i-lið</w:t>
            </w:r>
            <w:proofErr w:type="spellEnd"/>
            <w:r>
              <w:t xml:space="preserve"> í lið 1.2 innihalda ákvæði um viðhald og mögulega eflingu líffræðilegrar fjölbreytni í samræmi við landsbundin og staðbundin ákvæði, þ.m.t. eftirfarandi:</w:t>
            </w:r>
          </w:p>
          <w:p w14:paraId="5B30ADE7" w14:textId="77777777" w:rsidR="002B5657" w:rsidRDefault="002B5657" w:rsidP="00A9140F">
            <w:pPr>
              <w:pStyle w:val="AnnexNumberedText"/>
              <w:spacing w:after="280"/>
            </w:pPr>
            <w:r>
              <w:t>a)</w:t>
            </w:r>
            <w:r>
              <w:tab/>
              <w:t>að tryggja góða varðveislustöðu búsvæðis og tegunda; viðhald dæmigerðra tegunda á búsvæði,</w:t>
            </w:r>
          </w:p>
          <w:p w14:paraId="758C6CEE" w14:textId="77777777" w:rsidR="002B5657" w:rsidRDefault="002B5657" w:rsidP="00A9140F">
            <w:pPr>
              <w:pStyle w:val="AnnexNumberedText"/>
              <w:spacing w:after="280"/>
            </w:pPr>
            <w:r>
              <w:t>b)</w:t>
            </w:r>
            <w:r>
              <w:tab/>
              <w:t xml:space="preserve">að undanskilja notkun á eða </w:t>
            </w:r>
            <w:proofErr w:type="spellStart"/>
            <w:r>
              <w:t>sleppingu</w:t>
            </w:r>
            <w:proofErr w:type="spellEnd"/>
            <w:r>
              <w:t xml:space="preserve"> ágengra framandi tegunda,</w:t>
            </w:r>
          </w:p>
          <w:p w14:paraId="273BCEFD" w14:textId="77777777" w:rsidR="002B5657" w:rsidRDefault="002B5657" w:rsidP="00A9140F">
            <w:pPr>
              <w:pStyle w:val="AnnexNumberedText"/>
              <w:spacing w:after="280"/>
            </w:pPr>
            <w:r>
              <w:t>c)</w:t>
            </w:r>
            <w:r>
              <w:tab/>
              <w:t>að undanskilja notkun á framandi tegundum nema unnt sé að sýna fram á að:</w:t>
            </w:r>
          </w:p>
          <w:p w14:paraId="3C80825F" w14:textId="77777777" w:rsidR="002B5657" w:rsidRDefault="002B5657" w:rsidP="00A9140F">
            <w:pPr>
              <w:pStyle w:val="AnnexNumberedText"/>
              <w:spacing w:after="280"/>
              <w:ind w:left="600"/>
            </w:pPr>
            <w:r>
              <w:t>i.</w:t>
            </w:r>
            <w:r>
              <w:tab/>
              <w:t>notkun á fjölgunarefni í skógrækt leiði til hagstæðara og viðeigandi ástands vistkerfisins (s.s. loftslag, jarðvegsskilyrði og gróðursvæði, viðnám gegn skógareldum),</w:t>
            </w:r>
          </w:p>
          <w:p w14:paraId="291654C6" w14:textId="77777777" w:rsidR="002B5657" w:rsidRDefault="002B5657" w:rsidP="00A9140F">
            <w:pPr>
              <w:pStyle w:val="AnnexNumberedText"/>
              <w:spacing w:after="280"/>
              <w:ind w:left="600"/>
            </w:pPr>
            <w:r>
              <w:t>ii.</w:t>
            </w:r>
            <w:r>
              <w:tab/>
              <w:t>innlendar tegundir, sem eru þegar til staðar á svæðinu, eru ekki lengur aðlagaðar að framreiknuðum loftslagsskilyrðum og jarðvegsfræðilegum/vatnafræðilegum skilyrðum,</w:t>
            </w:r>
          </w:p>
          <w:p w14:paraId="58BEF6BC" w14:textId="77777777" w:rsidR="002B5657" w:rsidRDefault="002B5657" w:rsidP="00A9140F">
            <w:pPr>
              <w:pStyle w:val="AnnexNumberedText"/>
              <w:spacing w:after="280"/>
            </w:pPr>
            <w:r>
              <w:t>d)</w:t>
            </w:r>
            <w:r>
              <w:tab/>
              <w:t xml:space="preserve">að tryggja viðhald og úrbætur á </w:t>
            </w:r>
            <w:proofErr w:type="spellStart"/>
            <w:r>
              <w:t>eðlisrænum</w:t>
            </w:r>
            <w:proofErr w:type="spellEnd"/>
            <w:r>
              <w:t>, efnafræðilegum og líffræðilegum gæðum jarðvegsins,</w:t>
            </w:r>
          </w:p>
          <w:p w14:paraId="310C7D17" w14:textId="77777777" w:rsidR="002B5657" w:rsidRDefault="002B5657" w:rsidP="00A9140F">
            <w:pPr>
              <w:pStyle w:val="AnnexNumberedText"/>
              <w:spacing w:after="280"/>
            </w:pPr>
            <w:r>
              <w:t>e)</w:t>
            </w:r>
            <w:r>
              <w:tab/>
              <w:t>að efla starfsvenjur sem gagnast líffræðilegri fjölbreytni og bæta náttúrulegt ferli skóga,</w:t>
            </w:r>
          </w:p>
          <w:p w14:paraId="47279952" w14:textId="77777777" w:rsidR="002B5657" w:rsidRDefault="002B5657" w:rsidP="00A9140F">
            <w:pPr>
              <w:pStyle w:val="AnnexNumberedText"/>
              <w:spacing w:after="280"/>
            </w:pPr>
            <w:r>
              <w:t>f)</w:t>
            </w:r>
            <w:r>
              <w:tab/>
              <w:t>að útiloka umbreytingu vistkerfa þar sem líffræðileg fjölbreytni er mikil yfir í vistkerfi þar sem líffræðileg fjölbreytni er minni,</w:t>
            </w:r>
          </w:p>
          <w:p w14:paraId="5531C0F2" w14:textId="77777777" w:rsidR="002B5657" w:rsidRDefault="002B5657" w:rsidP="00A9140F">
            <w:pPr>
              <w:pStyle w:val="AnnexNumberedText"/>
              <w:spacing w:after="280"/>
            </w:pPr>
            <w:r>
              <w:t>g)</w:t>
            </w:r>
            <w:r>
              <w:tab/>
              <w:t>að tryggja fjölbreytni tengdra búsvæða og tegunda sem tengjast skóginum,</w:t>
            </w:r>
          </w:p>
          <w:p w14:paraId="70C3DBCD" w14:textId="77777777" w:rsidR="002B5657" w:rsidRDefault="002B5657" w:rsidP="00A9140F">
            <w:pPr>
              <w:pStyle w:val="AnnexNumberedText"/>
              <w:spacing w:after="0"/>
            </w:pPr>
            <w:r>
              <w:t>h)</w:t>
            </w:r>
            <w:r>
              <w:tab/>
              <w:t>að tryggja fjölbreytni í formgerð skógarteiga og að viðhalda eða efla full</w:t>
            </w:r>
            <w:r>
              <w:lastRenderedPageBreak/>
              <w:t>vaxta skógarteiga og dauðan við.</w:t>
            </w:r>
          </w:p>
        </w:tc>
      </w:tr>
    </w:tbl>
    <w:p w14:paraId="7F2D6540" w14:textId="77777777" w:rsidR="002B5657" w:rsidRDefault="002B5657" w:rsidP="002B5657">
      <w:pPr>
        <w:shd w:val="clear" w:color="auto" w:fill="auto"/>
        <w:spacing w:line="0" w:lineRule="auto"/>
        <w:jc w:val="left"/>
        <w:rPr>
          <w:color w:val="auto"/>
          <w14:ligatures w14:val="standard"/>
        </w:rPr>
      </w:pPr>
      <w:r>
        <w:lastRenderedPageBreak/>
        <w:br w:type="page"/>
      </w:r>
    </w:p>
    <w:p w14:paraId="0B92331A" w14:textId="77777777" w:rsidR="002B5657" w:rsidRDefault="002B5657" w:rsidP="002B5657">
      <w:pPr>
        <w:pStyle w:val="AnnexNumberedText"/>
        <w:ind w:left="500" w:hanging="500"/>
      </w:pPr>
      <w:r>
        <w:lastRenderedPageBreak/>
        <w:t>1.3.</w:t>
      </w:r>
      <w:r>
        <w:rPr>
          <w:b/>
        </w:rPr>
        <w:tab/>
        <w:t>Stjórnun skóga</w:t>
      </w:r>
    </w:p>
    <w:p w14:paraId="02BF20D3" w14:textId="77777777" w:rsidR="002B5657" w:rsidRDefault="002B5657" w:rsidP="002B5657">
      <w:pPr>
        <w:pStyle w:val="AnnexGrSeq3"/>
        <w:ind w:left="500"/>
        <w:jc w:val="both"/>
      </w:pPr>
      <w:r>
        <w:rPr>
          <w:i/>
        </w:rPr>
        <w:t>Lýsing á starfseminni</w:t>
      </w:r>
    </w:p>
    <w:p w14:paraId="795AF0DA" w14:textId="77777777" w:rsidR="002B5657" w:rsidRDefault="002B5657" w:rsidP="002B5657">
      <w:pPr>
        <w:pStyle w:val="AnnexNormal"/>
        <w:ind w:left="500"/>
        <w:rPr>
          <w:szCs w:val="18"/>
        </w:rPr>
      </w:pPr>
      <w:r>
        <w:t>Stjórnun skóga eins og skilgreint er í landslögum. Ef landslög innihalda ekki slíka skilgreiningu vísar skógarstjórnun til hvers konar atvinnustarfsemi sem leiðir af kerfi, sem gildir um skóg, sem hefur áhrif á vistfræðilegt, efnahagslegt og félagslegt hlutverk skógarins. Með skógarstjórnun er ekki gert ráð fyrir neinum breytingum á landnotkun og hún á sér stað á landi sem svarar til skilgreiningar á skógi eins og sett er fram í landslögum eða, ef hún ekki tiltæk, í samræmi við skilgreiningu Matvæla- og landbúnaðarstofnunar SÞ á skógi (</w:t>
      </w:r>
      <w:bookmarkStart w:id="74" w:name="NOTE_387"/>
      <w:r>
        <w:rPr>
          <w:rStyle w:val="Tilvsunneanmlsgrein"/>
          <w:sz w:val="18"/>
          <w:szCs w:val="18"/>
        </w:rPr>
        <w:footnoteReference w:id="388"/>
      </w:r>
      <w:bookmarkEnd w:id="74"/>
      <w:r>
        <w:t>).</w:t>
      </w:r>
    </w:p>
    <w:p w14:paraId="30D6CFDD" w14:textId="77777777" w:rsidR="002B5657" w:rsidRDefault="002B5657" w:rsidP="002B5657">
      <w:pPr>
        <w:pStyle w:val="AnnexNormal"/>
        <w:ind w:left="500"/>
      </w:pPr>
      <w:r>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02.20, þ.e. skógarhögg, 02.30, þ.e. söfnun afurða sem vaxa villtar en eru ekki tré og 02.40, þ.e. þjónustustarfsemi við skógrækt.</w:t>
      </w:r>
    </w:p>
    <w:p w14:paraId="3BF114A5" w14:textId="77777777" w:rsidR="002B5657" w:rsidRDefault="002B5657" w:rsidP="002B5657">
      <w:pPr>
        <w:pStyle w:val="AnnexNormal"/>
        <w:ind w:left="500"/>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2AB1E319" w14:textId="77777777" w:rsidR="002B5657" w:rsidRDefault="002B5657" w:rsidP="002B5657">
      <w:pPr>
        <w:pStyle w:val="AnnexGrSeq3"/>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2968"/>
        <w:gridCol w:w="5784"/>
      </w:tblGrid>
      <w:tr w:rsidR="002B5657" w14:paraId="19861666" w14:textId="77777777" w:rsidTr="00A9140F">
        <w:trPr>
          <w:trHeight w:val="240"/>
        </w:trPr>
        <w:tc>
          <w:tcPr>
            <w:tcW w:w="8752" w:type="dxa"/>
            <w:gridSpan w:val="2"/>
            <w:tcBorders>
              <w:bottom w:val="single" w:sz="4" w:space="0" w:color="auto"/>
            </w:tcBorders>
            <w:tcMar>
              <w:top w:w="100" w:type="dxa"/>
              <w:left w:w="0" w:type="dxa"/>
              <w:bottom w:w="100" w:type="dxa"/>
              <w:right w:w="60" w:type="dxa"/>
            </w:tcMar>
          </w:tcPr>
          <w:p w14:paraId="0561F1CE" w14:textId="77777777" w:rsidR="002B5657" w:rsidRDefault="002B5657" w:rsidP="00A9140F">
            <w:pPr>
              <w:pStyle w:val="AnnexTableCellLeft"/>
            </w:pPr>
            <w:r>
              <w:t>Verulegt framlag til aðlögunar að loftslagsbreytingum</w:t>
            </w:r>
          </w:p>
        </w:tc>
      </w:tr>
      <w:tr w:rsidR="002B5657" w14:paraId="27DFBD37" w14:textId="77777777" w:rsidTr="00A9140F">
        <w:trPr>
          <w:trHeight w:val="360"/>
        </w:trPr>
        <w:tc>
          <w:tcPr>
            <w:tcW w:w="8752" w:type="dxa"/>
            <w:gridSpan w:val="2"/>
            <w:tcBorders>
              <w:bottom w:val="nil"/>
            </w:tcBorders>
            <w:tcMar>
              <w:top w:w="100" w:type="dxa"/>
              <w:left w:w="0" w:type="dxa"/>
              <w:bottom w:w="100" w:type="dxa"/>
              <w:right w:w="60" w:type="dxa"/>
            </w:tcMar>
          </w:tcPr>
          <w:p w14:paraId="48160120" w14:textId="77777777" w:rsidR="002B5657" w:rsidRDefault="002B5657" w:rsidP="00A9140F">
            <w:pPr>
              <w:pStyle w:val="AnnexNumberedText"/>
              <w:tabs>
                <w:tab w:val="left" w:pos="508"/>
              </w:tabs>
              <w:spacing w:after="1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0F35F9B3" w14:textId="77777777" w:rsidR="002B5657" w:rsidRDefault="002B5657" w:rsidP="00A9140F">
            <w:pPr>
              <w:pStyle w:val="AnnexNumberedText"/>
              <w:tabs>
                <w:tab w:val="left" w:pos="508"/>
              </w:tabs>
              <w:spacing w:after="1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4B91009" w14:textId="77777777" w:rsidR="002B5657" w:rsidRDefault="002B5657" w:rsidP="00A9140F">
            <w:pPr>
              <w:pStyle w:val="AnnexNumberedText"/>
              <w:spacing w:after="180"/>
            </w:pPr>
            <w:r>
              <w:t>a)</w:t>
            </w:r>
            <w:r>
              <w:tab/>
              <w:t>skimun á starfseminni til að greina hvaða efnislega loftslagsáhætta úr skránni í viðbæti A við þennan viðauka getur haft áhrif á árangurinn af atvinnustarfseminni á væntum líftíma hennar,</w:t>
            </w:r>
          </w:p>
          <w:p w14:paraId="6AA8F219" w14:textId="77777777" w:rsidR="002B5657" w:rsidRDefault="002B5657" w:rsidP="00A9140F">
            <w:pPr>
              <w:pStyle w:val="AnnexNumberedText"/>
              <w:spacing w:after="1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6E5C9833" w14:textId="77777777" w:rsidR="002B5657" w:rsidRDefault="002B5657" w:rsidP="00A9140F">
            <w:pPr>
              <w:pStyle w:val="AnnexNumberedText"/>
              <w:spacing w:after="180"/>
            </w:pPr>
            <w:r>
              <w:t>c)</w:t>
            </w:r>
            <w:r>
              <w:tab/>
              <w:t>mat á aðlögunarlausnum sem geta dregið úr greindri efnislegri loftslagsáhættu.</w:t>
            </w:r>
          </w:p>
          <w:p w14:paraId="7147C4AD" w14:textId="77777777" w:rsidR="002B5657" w:rsidRDefault="002B5657" w:rsidP="00A9140F">
            <w:pPr>
              <w:pStyle w:val="AnnexTableCellLeft"/>
              <w:spacing w:after="180"/>
            </w:pPr>
            <w:r>
              <w:t xml:space="preserve">Loftslagsáhættu- og veikleikamatið er í réttu hlutfalli við umfang starfseminnar og </w:t>
            </w:r>
            <w:proofErr w:type="spellStart"/>
            <w:r>
              <w:t>væntan</w:t>
            </w:r>
            <w:proofErr w:type="spellEnd"/>
            <w:r>
              <w:t xml:space="preserve"> líftíma hennar þannig að:</w:t>
            </w:r>
          </w:p>
          <w:p w14:paraId="69510D44" w14:textId="77777777" w:rsidR="002B5657" w:rsidRDefault="002B5657" w:rsidP="00A9140F">
            <w:pPr>
              <w:pStyle w:val="AnnexNumberedText"/>
              <w:spacing w:after="1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576E39C" w14:textId="77777777" w:rsidR="002B5657" w:rsidRDefault="002B5657" w:rsidP="00A9140F">
            <w:pPr>
              <w:pStyle w:val="AnnexNumberedText"/>
              <w:spacing w:after="18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38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D06C5D2" w14:textId="77777777" w:rsidR="002B5657" w:rsidRDefault="002B5657" w:rsidP="00A9140F">
            <w:pPr>
              <w:pStyle w:val="AnnexNumberedText"/>
              <w:tabs>
                <w:tab w:val="left" w:pos="508"/>
              </w:tabs>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390"/>
            </w:r>
            <w:r>
              <w:t>), vísindalegt ritrýnt útgefið efni og líkön með opnum aðgangi (</w:t>
            </w:r>
            <w:r>
              <w:rPr>
                <w:rStyle w:val="Tilvsunneanmlsgrein"/>
                <w:sz w:val="18"/>
              </w:rPr>
              <w:footnoteReference w:id="391"/>
            </w:r>
            <w:r>
              <w:t>) eða gegn greiðslu.</w:t>
            </w:r>
          </w:p>
        </w:tc>
      </w:tr>
      <w:tr w:rsidR="002B5657" w14:paraId="0FB6AD0C" w14:textId="77777777" w:rsidTr="00A9140F">
        <w:trPr>
          <w:trHeight w:val="360"/>
        </w:trPr>
        <w:tc>
          <w:tcPr>
            <w:tcW w:w="8752" w:type="dxa"/>
            <w:gridSpan w:val="2"/>
            <w:tcBorders>
              <w:top w:val="nil"/>
            </w:tcBorders>
            <w:tcMar>
              <w:top w:w="100" w:type="dxa"/>
              <w:left w:w="0" w:type="dxa"/>
              <w:bottom w:w="100" w:type="dxa"/>
              <w:right w:w="60" w:type="dxa"/>
            </w:tcMar>
          </w:tcPr>
          <w:p w14:paraId="4D6ABC19" w14:textId="77777777" w:rsidR="002B5657" w:rsidRDefault="002B5657" w:rsidP="00A9140F">
            <w:pPr>
              <w:pStyle w:val="AnnexNumberedText"/>
              <w:pageBreakBefore/>
              <w:tabs>
                <w:tab w:val="left" w:pos="508"/>
              </w:tabs>
              <w:spacing w:after="240"/>
              <w:ind w:left="0" w:firstLine="0"/>
            </w:pPr>
            <w:r>
              <w:lastRenderedPageBreak/>
              <w:t>4.</w:t>
            </w:r>
            <w:r>
              <w:tab/>
              <w:t>Aðlögunarlausnir sem komið er í framkvæmd:</w:t>
            </w:r>
          </w:p>
          <w:p w14:paraId="12BEF21D" w14:textId="77777777" w:rsidR="002B5657" w:rsidRDefault="002B5657" w:rsidP="00A9140F">
            <w:pPr>
              <w:pStyle w:val="AnnexNumberedText"/>
              <w:spacing w:after="240"/>
            </w:pPr>
            <w:r>
              <w:t>a)</w:t>
            </w:r>
            <w:r>
              <w:tab/>
              <w:t>hafa ekki neikvæð áhrif á viðleitni til aðlögunar eða viðnám annars fólks, náttúru, menningararfleifðar, eigna og annarrar atvinnustarfsemi gegn efnislegri loftslagsáhættu,</w:t>
            </w:r>
          </w:p>
          <w:p w14:paraId="425AECA5" w14:textId="77777777" w:rsidR="002B5657" w:rsidRDefault="002B5657" w:rsidP="00A9140F">
            <w:pPr>
              <w:pStyle w:val="AnnexNumberedText"/>
              <w:spacing w:after="240"/>
            </w:pPr>
            <w:r>
              <w:t>b)</w:t>
            </w:r>
            <w:r>
              <w:tab/>
              <w:t>eru með náttúrumiðaðar lausnir (</w:t>
            </w:r>
            <w:r>
              <w:rPr>
                <w:rStyle w:val="Tilvsunneanmlsgrein"/>
                <w:sz w:val="18"/>
              </w:rPr>
              <w:footnoteReference w:id="392"/>
            </w:r>
            <w:r>
              <w:t>) í forgangi eða treyst er á bláa eða græna innviði (</w:t>
            </w:r>
            <w:r>
              <w:rPr>
                <w:rStyle w:val="Tilvsunneanmlsgrein"/>
                <w:sz w:val="18"/>
              </w:rPr>
              <w:footnoteReference w:id="393"/>
            </w:r>
            <w:r>
              <w:t>) að því marki sem mögulegt er,</w:t>
            </w:r>
          </w:p>
          <w:p w14:paraId="353552EE" w14:textId="77777777" w:rsidR="002B5657" w:rsidRDefault="002B5657" w:rsidP="00A9140F">
            <w:pPr>
              <w:pStyle w:val="AnnexNumberedText"/>
              <w:spacing w:after="240"/>
            </w:pPr>
            <w:r>
              <w:t>c)</w:t>
            </w:r>
            <w:r>
              <w:tab/>
              <w:t>eru í samræmi við staðbundnar, geirabundnar, svæðisbundnar eða landsbundnar aðlögunarstefnur og -áætlanir,</w:t>
            </w:r>
          </w:p>
          <w:p w14:paraId="59BB37E5" w14:textId="77777777" w:rsidR="002B5657" w:rsidRDefault="002B5657" w:rsidP="00A9140F">
            <w:pPr>
              <w:pStyle w:val="AnnexNumberedText"/>
              <w:spacing w:after="24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E5C384F" w14:textId="77777777" w:rsidR="002B5657" w:rsidRDefault="002B5657" w:rsidP="00A9140F">
            <w:pPr>
              <w:pStyle w:val="AnnexNumberedText"/>
              <w:spacing w:after="24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32E93306" w14:textId="77777777" w:rsidR="002B5657" w:rsidRDefault="002B5657" w:rsidP="00A9140F">
            <w:pPr>
              <w:pStyle w:val="AnnexNumberedText"/>
              <w:tabs>
                <w:tab w:val="left" w:pos="508"/>
              </w:tabs>
              <w:spacing w:after="24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37573EA1" w14:textId="77777777" w:rsidR="002B5657" w:rsidRDefault="002B5657" w:rsidP="00A9140F">
            <w:pPr>
              <w:pStyle w:val="AnnexNumberedText"/>
              <w:spacing w:after="240"/>
            </w:pPr>
            <w:r>
              <w:t>a)</w:t>
            </w:r>
            <w:r>
              <w:tab/>
              <w:t>auki viðnám gegn efnislegri loftslagsáhættu fyrir annað fólk, náttúru, menningararfleifð, eignir og aðra atvinnustarfsemi,</w:t>
            </w:r>
          </w:p>
          <w:p w14:paraId="290A6AF9" w14:textId="77777777" w:rsidR="002B5657" w:rsidRDefault="002B5657" w:rsidP="00A9140F">
            <w:pPr>
              <w:pStyle w:val="AnnexNumberedText"/>
              <w:spacing w:after="240"/>
            </w:pPr>
            <w:r>
              <w:t>b)</w:t>
            </w:r>
            <w:r>
              <w:tab/>
              <w:t>stuðli að aðlögunarviðleitni annars fólks, náttúru, menningararfleifðar, eigna og annarrar atvinnustarfsemi.</w:t>
            </w:r>
          </w:p>
        </w:tc>
      </w:tr>
      <w:tr w:rsidR="002B5657" w14:paraId="60EA1373" w14:textId="77777777" w:rsidTr="00A9140F">
        <w:trPr>
          <w:trHeight w:val="240"/>
        </w:trPr>
        <w:tc>
          <w:tcPr>
            <w:tcW w:w="8752" w:type="dxa"/>
            <w:gridSpan w:val="2"/>
            <w:tcBorders>
              <w:bottom w:val="single" w:sz="4" w:space="0" w:color="auto"/>
            </w:tcBorders>
            <w:tcMar>
              <w:top w:w="100" w:type="dxa"/>
              <w:left w:w="0" w:type="dxa"/>
              <w:bottom w:w="100" w:type="dxa"/>
              <w:right w:w="60" w:type="dxa"/>
            </w:tcMar>
          </w:tcPr>
          <w:p w14:paraId="6E196FFC" w14:textId="77777777" w:rsidR="002B5657" w:rsidRDefault="002B5657" w:rsidP="00A9140F">
            <w:pPr>
              <w:pStyle w:val="AnnexTableCellLeft"/>
            </w:pPr>
            <w:r>
              <w:t>Ekki valda umtalsverðu tjóni</w:t>
            </w:r>
          </w:p>
        </w:tc>
      </w:tr>
      <w:tr w:rsidR="002B5657" w14:paraId="284D40FF" w14:textId="77777777" w:rsidTr="00A9140F">
        <w:trPr>
          <w:trHeight w:val="360"/>
        </w:trPr>
        <w:tc>
          <w:tcPr>
            <w:tcW w:w="2968" w:type="dxa"/>
            <w:tcBorders>
              <w:bottom w:val="nil"/>
            </w:tcBorders>
            <w:tcMar>
              <w:top w:w="100" w:type="dxa"/>
              <w:left w:w="0" w:type="dxa"/>
              <w:bottom w:w="100" w:type="dxa"/>
              <w:right w:w="60" w:type="dxa"/>
            </w:tcMar>
          </w:tcPr>
          <w:p w14:paraId="0EF91B31" w14:textId="77777777" w:rsidR="002B5657" w:rsidRDefault="002B5657" w:rsidP="00A9140F">
            <w:pPr>
              <w:pStyle w:val="AnnexNumberedText"/>
              <w:ind w:left="360" w:hanging="360"/>
            </w:pPr>
            <w:r>
              <w:t>1)</w:t>
            </w:r>
            <w:r>
              <w:tab/>
              <w:t>Mildun loftslagsbreytinga</w:t>
            </w:r>
          </w:p>
        </w:tc>
        <w:tc>
          <w:tcPr>
            <w:tcW w:w="5784" w:type="dxa"/>
            <w:tcBorders>
              <w:bottom w:val="nil"/>
            </w:tcBorders>
            <w:tcMar>
              <w:top w:w="100" w:type="dxa"/>
              <w:left w:w="40" w:type="dxa"/>
              <w:bottom w:w="100" w:type="dxa"/>
              <w:right w:w="0" w:type="dxa"/>
            </w:tcMar>
          </w:tcPr>
          <w:p w14:paraId="0594D64F" w14:textId="77777777" w:rsidR="002B5657" w:rsidRDefault="002B5657" w:rsidP="00A9140F">
            <w:pPr>
              <w:pStyle w:val="AnnexNumberedText"/>
              <w:spacing w:after="200"/>
              <w:ind w:left="279" w:hanging="279"/>
            </w:pPr>
            <w:r>
              <w:t>1.</w:t>
            </w:r>
            <w:r>
              <w:rPr>
                <w:i/>
              </w:rPr>
              <w:tab/>
              <w:t xml:space="preserve">Skógarstjórnunaráætlun eða jafngildur </w:t>
            </w:r>
            <w:proofErr w:type="spellStart"/>
            <w:r>
              <w:rPr>
                <w:i/>
              </w:rPr>
              <w:t>gerningur</w:t>
            </w:r>
            <w:proofErr w:type="spellEnd"/>
          </w:p>
          <w:p w14:paraId="39EE4E52" w14:textId="77777777" w:rsidR="002B5657" w:rsidRDefault="002B5657" w:rsidP="00A9140F">
            <w:pPr>
              <w:pStyle w:val="AnnexNumberedText"/>
              <w:tabs>
                <w:tab w:val="left" w:pos="508"/>
              </w:tabs>
              <w:spacing w:after="200"/>
              <w:ind w:left="0" w:firstLine="0"/>
            </w:pPr>
            <w:r>
              <w:t>1.1.</w:t>
            </w:r>
            <w:r>
              <w:tab/>
              <w:t xml:space="preserve">Starfsemin fer fram á svæði sem fellur undir skógarstjórnunaráætlun eða jafngildan </w:t>
            </w:r>
            <w:proofErr w:type="spellStart"/>
            <w:r>
              <w:t>gerning</w:t>
            </w:r>
            <w:proofErr w:type="spellEnd"/>
            <w:r>
              <w:t>, eins og sett er fram í landslögum eða, ef ekki er skilgreining á skógarstjórnunaráætlun í landslögum, eins og um getur í skilgreiningu Matvæla- og landbúnaðarstofnunar SÞ á „skógarsvæði með skógarstjórnunaráætlun til langs tíma“ (</w:t>
            </w:r>
            <w:r>
              <w:rPr>
                <w:rStyle w:val="Tilvsunneanmlsgrein"/>
                <w:sz w:val="18"/>
              </w:rPr>
              <w:footnoteReference w:id="394"/>
            </w:r>
            <w:r>
              <w:t>).</w:t>
            </w:r>
          </w:p>
          <w:p w14:paraId="063F6D6B" w14:textId="77777777" w:rsidR="002B5657" w:rsidRDefault="002B5657" w:rsidP="00A9140F">
            <w:pPr>
              <w:pStyle w:val="AnnexTableCellLeft"/>
              <w:spacing w:after="200"/>
            </w:pPr>
            <w:r>
              <w:t xml:space="preserve">Skógarstjórnunaráætlun, eða jafngildur </w:t>
            </w:r>
            <w:proofErr w:type="spellStart"/>
            <w:r>
              <w:t>gerningur</w:t>
            </w:r>
            <w:proofErr w:type="spellEnd"/>
            <w:r>
              <w:t>, nær yfir 10 ára tímabil eða meira og er uppfærð samfellt.</w:t>
            </w:r>
          </w:p>
          <w:p w14:paraId="4A555C3D" w14:textId="77777777" w:rsidR="002B5657" w:rsidRDefault="002B5657" w:rsidP="00A9140F">
            <w:pPr>
              <w:pStyle w:val="AnnexNumberedText"/>
              <w:tabs>
                <w:tab w:val="left" w:pos="508"/>
              </w:tabs>
              <w:spacing w:after="200"/>
              <w:ind w:left="0" w:firstLine="0"/>
            </w:pPr>
            <w:r>
              <w:t>1.2.</w:t>
            </w:r>
            <w:r>
              <w:tab/>
              <w:t>Upplýsingar eru veittar um eftirfarandi liði sem ekki eru þegar skjalfestir í skógarstjórnunaráætluninni eða jafngildu kerfi:</w:t>
            </w:r>
          </w:p>
          <w:p w14:paraId="47C07D1B" w14:textId="77777777" w:rsidR="002B5657" w:rsidRDefault="002B5657" w:rsidP="00A9140F">
            <w:pPr>
              <w:pStyle w:val="AnnexNumberedText"/>
              <w:spacing w:after="200"/>
            </w:pPr>
            <w:r>
              <w:t>a)</w:t>
            </w:r>
            <w:r>
              <w:tab/>
              <w:t>stjórnunarmarkmið, þ.m.t. meiriháttar hindranir (</w:t>
            </w:r>
            <w:r>
              <w:rPr>
                <w:rStyle w:val="Tilvsunneanmlsgrein"/>
                <w:sz w:val="18"/>
              </w:rPr>
              <w:footnoteReference w:id="395"/>
            </w:r>
            <w:r>
              <w:t>),</w:t>
            </w:r>
          </w:p>
          <w:p w14:paraId="3E8C52B2" w14:textId="77777777" w:rsidR="002B5657" w:rsidRDefault="002B5657" w:rsidP="00A9140F">
            <w:pPr>
              <w:pStyle w:val="AnnexNumberedText"/>
              <w:spacing w:after="0"/>
            </w:pPr>
            <w:r>
              <w:t>b)</w:t>
            </w:r>
            <w:r>
              <w:tab/>
              <w:t>almennar stefnuáætlanir og fyrirhuguð starfsemi til að ná stjórnunarmark</w:t>
            </w:r>
            <w:r>
              <w:lastRenderedPageBreak/>
              <w:t>miðunum, þ.m.t. væntanlegar aðgerðir yfir allan skógræktarhringrásina,</w:t>
            </w:r>
          </w:p>
        </w:tc>
      </w:tr>
      <w:tr w:rsidR="002B5657" w14:paraId="7F53F347" w14:textId="77777777" w:rsidTr="00A9140F">
        <w:trPr>
          <w:trHeight w:val="240"/>
        </w:trPr>
        <w:tc>
          <w:tcPr>
            <w:tcW w:w="2968" w:type="dxa"/>
            <w:tcBorders>
              <w:top w:val="single" w:sz="4" w:space="0" w:color="auto"/>
              <w:bottom w:val="nil"/>
            </w:tcBorders>
            <w:tcMar>
              <w:top w:w="100" w:type="dxa"/>
              <w:left w:w="0" w:type="dxa"/>
              <w:bottom w:w="100" w:type="dxa"/>
              <w:right w:w="60" w:type="dxa"/>
            </w:tcMar>
          </w:tcPr>
          <w:p w14:paraId="36C3314E" w14:textId="77777777" w:rsidR="002B5657" w:rsidRDefault="002B5657" w:rsidP="00A9140F">
            <w:pPr>
              <w:pStyle w:val="AnnexTableCellLeft"/>
              <w:pageBreakBefore/>
            </w:pPr>
          </w:p>
        </w:tc>
        <w:tc>
          <w:tcPr>
            <w:tcW w:w="5784" w:type="dxa"/>
            <w:tcBorders>
              <w:top w:val="single" w:sz="4" w:space="0" w:color="auto"/>
              <w:bottom w:val="nil"/>
            </w:tcBorders>
            <w:tcMar>
              <w:top w:w="100" w:type="dxa"/>
              <w:left w:w="40" w:type="dxa"/>
              <w:bottom w:w="100" w:type="dxa"/>
              <w:right w:w="0" w:type="dxa"/>
            </w:tcMar>
          </w:tcPr>
          <w:p w14:paraId="79475FCA" w14:textId="77777777" w:rsidR="002B5657" w:rsidRDefault="002B5657" w:rsidP="00A9140F">
            <w:pPr>
              <w:pStyle w:val="AnnexNumberedText"/>
              <w:spacing w:after="200"/>
            </w:pPr>
            <w:r>
              <w:t>c)</w:t>
            </w:r>
            <w:r>
              <w:tab/>
              <w:t>skilgreining á búsvæðalegu samhengi skógarins, þ.m.t. helstu trjátegundir sem fyrir eru og fyrirhugaðar og umfang þeirra og dreifing,</w:t>
            </w:r>
          </w:p>
          <w:p w14:paraId="4232BC26" w14:textId="77777777" w:rsidR="002B5657" w:rsidRDefault="002B5657" w:rsidP="00A9140F">
            <w:pPr>
              <w:pStyle w:val="AnnexNumberedText"/>
              <w:spacing w:after="200"/>
            </w:pPr>
            <w:r>
              <w:t>d)</w:t>
            </w:r>
            <w:r>
              <w:tab/>
              <w:t>skilgreining á svæðinu samkvæmt færslu þar um í landskránni,</w:t>
            </w:r>
          </w:p>
          <w:p w14:paraId="2F68C9B5" w14:textId="77777777" w:rsidR="002B5657" w:rsidRDefault="002B5657" w:rsidP="00A9140F">
            <w:pPr>
              <w:pStyle w:val="AnnexNumberedText"/>
              <w:spacing w:after="200"/>
            </w:pPr>
            <w:r>
              <w:t>e)</w:t>
            </w:r>
            <w:r>
              <w:tab/>
              <w:t>hólf, vegir, athafnaréttur og annar almennur aðgangur, efnislegir þættir, þ.m.t. vatnaleiðir, svæði sem falla undir lagalegar takmarkanir og aðrar takmarkanir,</w:t>
            </w:r>
          </w:p>
          <w:p w14:paraId="620EFEAB" w14:textId="77777777" w:rsidR="002B5657" w:rsidRDefault="002B5657" w:rsidP="00A9140F">
            <w:pPr>
              <w:pStyle w:val="AnnexNumberedText"/>
              <w:spacing w:after="200"/>
            </w:pPr>
            <w:r>
              <w:t>f)</w:t>
            </w:r>
            <w:r>
              <w:tab/>
              <w:t>ráðstafanir sem eru innleiddar til að koma á og viðhalda góðu ásigkomulagi skógarvistkerfa,</w:t>
            </w:r>
          </w:p>
          <w:p w14:paraId="744CBEC2" w14:textId="77777777" w:rsidR="002B5657" w:rsidRDefault="002B5657" w:rsidP="00A9140F">
            <w:pPr>
              <w:pStyle w:val="AnnexNumberedText"/>
              <w:spacing w:after="200"/>
            </w:pPr>
            <w:r>
              <w:t>g)</w:t>
            </w:r>
            <w:r>
              <w:tab/>
              <w:t>tillit tekið til samfélagslegra málefna (þ.m.t. varðveisla landslags, samráð við hagsmunaaðila í samræmi við skilmála og skilyrði sem mælt er fyrir um í landslögum),</w:t>
            </w:r>
          </w:p>
          <w:p w14:paraId="3F3F141C" w14:textId="77777777" w:rsidR="002B5657" w:rsidRDefault="002B5657" w:rsidP="00A9140F">
            <w:pPr>
              <w:pStyle w:val="AnnexNumberedText"/>
              <w:spacing w:after="200"/>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71F344EB" w14:textId="77777777" w:rsidR="002B5657" w:rsidRDefault="002B5657" w:rsidP="00A9140F">
            <w:pPr>
              <w:pStyle w:val="AnnexNumberedText"/>
              <w:spacing w:after="200"/>
            </w:pPr>
            <w:r>
              <w:t>i)</w:t>
            </w:r>
            <w:r>
              <w:tab/>
              <w:t>allar viðmiðanir um að valda ekki umtalsverðu tjóni sem skipta máli fyrir skógarstjórnun.</w:t>
            </w:r>
          </w:p>
          <w:p w14:paraId="1CA7E7E8" w14:textId="77777777" w:rsidR="002B5657" w:rsidRDefault="002B5657" w:rsidP="00A9140F">
            <w:pPr>
              <w:pStyle w:val="AnnexNumberedText"/>
              <w:spacing w:after="200"/>
              <w:ind w:left="414" w:hanging="414"/>
            </w:pPr>
            <w:r>
              <w:t>1.3.</w:t>
            </w:r>
            <w:r>
              <w:tab/>
              <w:t>Sjálfbærni skógarstjórnunarkerfanna, eins og skjalfest er í áætluninni sem um getur í lið 1.1, er tryggð með því að velja metnaðarfyllstu aðferðina af eftirfarandi:</w:t>
            </w:r>
          </w:p>
          <w:p w14:paraId="70785E8F" w14:textId="77777777" w:rsidR="002B5657" w:rsidRDefault="002B5657" w:rsidP="00A9140F">
            <w:pPr>
              <w:pStyle w:val="AnnexNumberedText"/>
              <w:spacing w:after="200"/>
            </w:pPr>
            <w:r>
              <w:t>a)</w:t>
            </w:r>
            <w:r>
              <w:tab/>
              <w:t>skógarstjórnunin samsvarar gildandi landsbundinni skilgreiningu á sjálfbærri stjórnun skóga,</w:t>
            </w:r>
          </w:p>
          <w:p w14:paraId="54D08564" w14:textId="77777777" w:rsidR="002B5657" w:rsidRDefault="002B5657" w:rsidP="00A9140F">
            <w:pPr>
              <w:pStyle w:val="AnnexNumberedText"/>
              <w:spacing w:after="200"/>
            </w:pPr>
            <w:r>
              <w:t>b)</w:t>
            </w:r>
            <w:r>
              <w:tab/>
              <w:t>skógarstjórnunin samsvarar skilgreiningu á sjálfbærri skógarstjórnun skóga í Evrópu (</w:t>
            </w:r>
            <w:r>
              <w:rPr>
                <w:rStyle w:val="Tilvsunneanmlsgrein"/>
                <w:sz w:val="18"/>
              </w:rPr>
              <w:footnoteReference w:id="396"/>
            </w:r>
            <w:r>
              <w:t xml:space="preserve">) og er í samræmi við </w:t>
            </w:r>
            <w:proofErr w:type="spellStart"/>
            <w:r>
              <w:t>samevrópskar</w:t>
            </w:r>
            <w:proofErr w:type="spellEnd"/>
            <w:r>
              <w:t xml:space="preserve"> leiðbeiningar vegna aðgerða á sviði sjálfbærrar skógarstjórnunar (</w:t>
            </w:r>
            <w:r>
              <w:rPr>
                <w:rStyle w:val="Tilvsunneanmlsgrein"/>
                <w:sz w:val="18"/>
              </w:rPr>
              <w:footnoteReference w:id="397"/>
            </w:r>
            <w:r>
              <w:t>),</w:t>
            </w:r>
          </w:p>
          <w:p w14:paraId="5E9A2777" w14:textId="77777777" w:rsidR="002B5657" w:rsidRDefault="002B5657" w:rsidP="00A9140F">
            <w:pPr>
              <w:pStyle w:val="AnnexNumberedText"/>
              <w:spacing w:after="200"/>
            </w:pPr>
            <w:r>
              <w:t>c)</w:t>
            </w:r>
            <w:r>
              <w:tab/>
              <w:t xml:space="preserve">stjórnunarkerfið sem er til staðar er í samræmi við viðmiðanir um sjálfbærni skóga sem mælt er fyrir um í 6. mgr. 29. gr. tilskipunar (ESB) 2018/2001 og, frá og með gildistökudegi hennar, við framkvæmdargerðina um </w:t>
            </w:r>
            <w:proofErr w:type="spellStart"/>
            <w:r>
              <w:t>rekstrarlegar</w:t>
            </w:r>
            <w:proofErr w:type="spellEnd"/>
            <w:r>
              <w:t xml:space="preserve"> leiðbeiningar um orku frá lífmassa úr skógi sem var samþykkt skv. 8. mgr. 29. gr. þeirrar tilskipunar.</w:t>
            </w:r>
          </w:p>
          <w:p w14:paraId="5AE8EDC6" w14:textId="77777777" w:rsidR="002B5657" w:rsidRDefault="002B5657" w:rsidP="00A9140F">
            <w:pPr>
              <w:pStyle w:val="AnnexNumberedText"/>
              <w:spacing w:after="200"/>
              <w:ind w:left="414" w:hanging="414"/>
            </w:pPr>
            <w:r>
              <w:t>1.4.</w:t>
            </w:r>
            <w:r>
              <w:tab/>
              <w:t>Starfsemin felur ekki í sér hnignun lands með miklar kolefnisbirgðir (</w:t>
            </w:r>
            <w:r>
              <w:rPr>
                <w:rStyle w:val="Tilvsunneanmlsgrein"/>
                <w:sz w:val="18"/>
              </w:rPr>
              <w:footnoteReference w:id="398"/>
            </w:r>
            <w:r>
              <w:t>).</w:t>
            </w:r>
          </w:p>
          <w:p w14:paraId="34F6B433" w14:textId="77777777" w:rsidR="002B5657" w:rsidRDefault="002B5657" w:rsidP="00A9140F">
            <w:pPr>
              <w:pStyle w:val="AnnexNumberedText"/>
              <w:spacing w:after="200"/>
              <w:ind w:left="414" w:hanging="414"/>
            </w:pPr>
            <w:r>
              <w:t>1.5.</w:t>
            </w:r>
            <w:r>
              <w:tab/>
              <w:t>Stjórnunarkerfið sem tengist starfseminni sem er til staðar er í samræmi við skylduna um áreiðanleika og lagalegar kröfur sem mælt er fyrir um í reglugerð (ESB) nr. 995/2010.</w:t>
            </w:r>
          </w:p>
          <w:p w14:paraId="776BD83F" w14:textId="77777777" w:rsidR="002B5657" w:rsidRDefault="002B5657" w:rsidP="00A9140F">
            <w:pPr>
              <w:pStyle w:val="AnnexNumberedText"/>
              <w:spacing w:after="0"/>
              <w:ind w:left="414" w:hanging="414"/>
            </w:pPr>
            <w:r>
              <w:t>1.6.</w:t>
            </w:r>
            <w:r>
              <w:tab/>
              <w:t>Í skógarstjórnunaráætluninni eða jafngildu skjali er kveðið á um vöktun sem tryggir að upplýsingarnar í áætluninni séu réttar, einkum að því er varðar gögn sem tengjast hlutaðeigandi svæði.</w:t>
            </w:r>
          </w:p>
        </w:tc>
      </w:tr>
      <w:tr w:rsidR="002B5657" w14:paraId="421F89B9" w14:textId="77777777" w:rsidTr="00A9140F">
        <w:trPr>
          <w:trHeight w:val="240"/>
        </w:trPr>
        <w:tc>
          <w:tcPr>
            <w:tcW w:w="2968" w:type="dxa"/>
            <w:tcBorders>
              <w:top w:val="single" w:sz="4" w:space="0" w:color="auto"/>
            </w:tcBorders>
            <w:tcMar>
              <w:top w:w="100" w:type="dxa"/>
              <w:left w:w="0" w:type="dxa"/>
              <w:bottom w:w="100" w:type="dxa"/>
              <w:right w:w="60" w:type="dxa"/>
            </w:tcMar>
          </w:tcPr>
          <w:p w14:paraId="52A8D783" w14:textId="77777777" w:rsidR="002B5657" w:rsidRDefault="002B5657" w:rsidP="00A9140F">
            <w:pPr>
              <w:pStyle w:val="AnnexTableCellLeft"/>
              <w:pageBreakBefore/>
            </w:pPr>
          </w:p>
        </w:tc>
        <w:tc>
          <w:tcPr>
            <w:tcW w:w="5784" w:type="dxa"/>
            <w:tcBorders>
              <w:top w:val="single" w:sz="4" w:space="0" w:color="auto"/>
            </w:tcBorders>
            <w:tcMar>
              <w:top w:w="100" w:type="dxa"/>
              <w:left w:w="40" w:type="dxa"/>
              <w:bottom w:w="100" w:type="dxa"/>
              <w:right w:w="0" w:type="dxa"/>
            </w:tcMar>
          </w:tcPr>
          <w:p w14:paraId="3260AC02" w14:textId="77777777" w:rsidR="002B5657" w:rsidRDefault="002B5657" w:rsidP="00A9140F">
            <w:pPr>
              <w:pStyle w:val="AnnexNumberedText"/>
              <w:spacing w:after="280"/>
              <w:ind w:left="360" w:hanging="360"/>
            </w:pPr>
            <w:r>
              <w:t>2.</w:t>
            </w:r>
            <w:r>
              <w:rPr>
                <w:i/>
              </w:rPr>
              <w:tab/>
              <w:t>Úttekt</w:t>
            </w:r>
          </w:p>
          <w:p w14:paraId="41B3A663" w14:textId="77777777" w:rsidR="002B5657" w:rsidRDefault="002B5657" w:rsidP="00A9140F">
            <w:pPr>
              <w:pStyle w:val="AnnexTableCellLeft"/>
              <w:spacing w:after="28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2402FFC1" w14:textId="77777777" w:rsidR="002B5657" w:rsidRDefault="002B5657" w:rsidP="00A9140F">
            <w:pPr>
              <w:pStyle w:val="AnnexNumberedText"/>
              <w:spacing w:after="280"/>
            </w:pPr>
            <w:r>
              <w:t>a)</w:t>
            </w:r>
            <w:r>
              <w:tab/>
              <w:t xml:space="preserve">viðeigandi </w:t>
            </w:r>
            <w:proofErr w:type="spellStart"/>
            <w:r>
              <w:t>lögbær</w:t>
            </w:r>
            <w:proofErr w:type="spellEnd"/>
            <w:r>
              <w:t xml:space="preserve"> landsyfirvöld,</w:t>
            </w:r>
          </w:p>
          <w:p w14:paraId="221A5626" w14:textId="77777777" w:rsidR="002B5657" w:rsidRDefault="002B5657" w:rsidP="00A9140F">
            <w:pPr>
              <w:pStyle w:val="AnnexNumberedText"/>
              <w:spacing w:after="280"/>
            </w:pPr>
            <w:r>
              <w:t>b)</w:t>
            </w:r>
            <w:r>
              <w:tab/>
              <w:t>óháður þriðji aðili, sem er vottunaraðili, að beiðni landsyfirvalda eða rekstraraðila starfseminnar.</w:t>
            </w:r>
          </w:p>
          <w:p w14:paraId="6767AAC5" w14:textId="77777777" w:rsidR="002B5657" w:rsidRDefault="002B5657" w:rsidP="00A9140F">
            <w:pPr>
              <w:pStyle w:val="AnnexTableCellLeft"/>
              <w:spacing w:after="280"/>
            </w:pPr>
            <w:r>
              <w:t>Í því skyni að draga úr kostnaði er heimilt að framkvæma úttekt samhliða skógarvottun, loftslagsvottun eða annarri úttekt.</w:t>
            </w:r>
          </w:p>
          <w:p w14:paraId="0F0F45E6" w14:textId="77777777" w:rsidR="002B5657" w:rsidRDefault="002B5657" w:rsidP="00A9140F">
            <w:pPr>
              <w:pStyle w:val="AnnexTableCellLeft"/>
              <w:spacing w:after="280"/>
            </w:pPr>
            <w:r>
              <w:t>Óháður þriðji aðili, sem er vottunaraðili, má ekki eiga í neins konar hagsmunaárekstrum við eigandann eða fjármögnunaraðilann og má ekki hafa afskipti af þróun eða rekstri starfseminnar.</w:t>
            </w:r>
          </w:p>
          <w:p w14:paraId="57F94578" w14:textId="77777777" w:rsidR="002B5657" w:rsidRDefault="002B5657" w:rsidP="00A9140F">
            <w:pPr>
              <w:pStyle w:val="AnnexNumberedText"/>
              <w:spacing w:after="280"/>
              <w:ind w:left="279" w:hanging="279"/>
            </w:pPr>
            <w:r>
              <w:t>3.</w:t>
            </w:r>
            <w:r>
              <w:rPr>
                <w:i/>
              </w:rPr>
              <w:tab/>
              <w:t>Hópmat</w:t>
            </w:r>
          </w:p>
          <w:p w14:paraId="10EB0049" w14:textId="77777777" w:rsidR="002B5657" w:rsidRDefault="002B5657" w:rsidP="00A9140F">
            <w:pPr>
              <w:pStyle w:val="AnnexTableCellLeft"/>
              <w:spacing w:after="280"/>
            </w:pPr>
            <w:r>
              <w:t>Hægt er að hafa eftirlit með því hvort farið er að viðmiðunum um að valda ekki umtalsverðu tjóni:</w:t>
            </w:r>
          </w:p>
          <w:p w14:paraId="2276B561" w14:textId="77777777" w:rsidR="002B5657" w:rsidRDefault="002B5657" w:rsidP="00A9140F">
            <w:pPr>
              <w:pStyle w:val="AnnexNumberedText"/>
              <w:spacing w:after="280"/>
            </w:pPr>
            <w:r>
              <w:t>a)</w:t>
            </w:r>
            <w:r>
              <w:tab/>
              <w:t>á upprunasvæði skógræktarafurða (</w:t>
            </w:r>
            <w:r>
              <w:rPr>
                <w:rStyle w:val="Tilvsunneanmlsgrein"/>
                <w:sz w:val="18"/>
                <w:szCs w:val="18"/>
              </w:rPr>
              <w:footnoteReference w:id="399"/>
            </w:r>
            <w:r>
              <w:t>) eins og skilgreint er í tilskipun (ESB) 2018/2001,</w:t>
            </w:r>
          </w:p>
          <w:p w14:paraId="3F19214E" w14:textId="77777777" w:rsidR="002B5657" w:rsidRDefault="002B5657" w:rsidP="00A9140F">
            <w:pPr>
              <w:pStyle w:val="AnnexNumberedText"/>
              <w:spacing w:after="280"/>
            </w:pPr>
            <w:r>
              <w:t>b)</w:t>
            </w:r>
            <w:r>
              <w:tab/>
              <w:t>hjá hópi 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r w:rsidR="002B5657" w14:paraId="60F15FFB" w14:textId="77777777" w:rsidTr="00A9140F">
        <w:trPr>
          <w:trHeight w:val="360"/>
        </w:trPr>
        <w:tc>
          <w:tcPr>
            <w:tcW w:w="2968" w:type="dxa"/>
            <w:tcMar>
              <w:top w:w="100" w:type="dxa"/>
              <w:left w:w="0" w:type="dxa"/>
              <w:bottom w:w="100" w:type="dxa"/>
              <w:right w:w="60" w:type="dxa"/>
            </w:tcMar>
          </w:tcPr>
          <w:p w14:paraId="4EF3569F" w14:textId="77777777" w:rsidR="002B5657" w:rsidRDefault="002B5657" w:rsidP="00A9140F">
            <w:pPr>
              <w:pStyle w:val="AnnexNumberedText"/>
              <w:ind w:left="360" w:hanging="360"/>
            </w:pPr>
            <w:r>
              <w:t>3)</w:t>
            </w:r>
            <w:r>
              <w:tab/>
              <w:t>Sjálfbær notkun og verndun vatns- og sjávarauðlinda</w:t>
            </w:r>
          </w:p>
        </w:tc>
        <w:tc>
          <w:tcPr>
            <w:tcW w:w="5784" w:type="dxa"/>
            <w:tcMar>
              <w:top w:w="100" w:type="dxa"/>
              <w:left w:w="40" w:type="dxa"/>
              <w:bottom w:w="100" w:type="dxa"/>
              <w:right w:w="0" w:type="dxa"/>
            </w:tcMar>
          </w:tcPr>
          <w:p w14:paraId="684EF87C" w14:textId="77777777" w:rsidR="002B5657" w:rsidRDefault="002B5657" w:rsidP="00A9140F">
            <w:pPr>
              <w:pStyle w:val="AnnexTableCellLeft"/>
              <w:spacing w:after="280"/>
            </w:pPr>
            <w:r>
              <w:t>Starfsemin er í samræmi við viðmiðanirnar sem settar eru fram í viðbæti B við þennan viðauka.</w:t>
            </w:r>
          </w:p>
          <w:p w14:paraId="389FAE60" w14:textId="77777777" w:rsidR="002B5657" w:rsidRDefault="002B5657" w:rsidP="00A9140F">
            <w:pPr>
              <w:pStyle w:val="AnnexTableCellLeft"/>
            </w:pPr>
            <w:r>
              <w:t xml:space="preserve">Ítarlegar upplýsingar sem um getur í lið 1.2. Í </w:t>
            </w:r>
            <w:proofErr w:type="spellStart"/>
            <w:r>
              <w:t>i-lið</w:t>
            </w:r>
            <w:proofErr w:type="spellEnd"/>
            <w:r>
              <w:t xml:space="preserve"> eru ákvæði um að uppfylla viðmiðanirnar sem settar eru fram í viðbæti B við þennan viðauka.</w:t>
            </w:r>
          </w:p>
        </w:tc>
      </w:tr>
      <w:tr w:rsidR="002B5657" w14:paraId="44D21E7C" w14:textId="77777777" w:rsidTr="00A9140F">
        <w:trPr>
          <w:trHeight w:val="360"/>
        </w:trPr>
        <w:tc>
          <w:tcPr>
            <w:tcW w:w="2968" w:type="dxa"/>
            <w:tcBorders>
              <w:bottom w:val="single" w:sz="4" w:space="0" w:color="auto"/>
            </w:tcBorders>
            <w:tcMar>
              <w:top w:w="100" w:type="dxa"/>
              <w:left w:w="0" w:type="dxa"/>
              <w:bottom w:w="100" w:type="dxa"/>
              <w:right w:w="60" w:type="dxa"/>
            </w:tcMar>
          </w:tcPr>
          <w:p w14:paraId="26FC087C" w14:textId="77777777" w:rsidR="002B5657" w:rsidRDefault="002B5657" w:rsidP="00A9140F">
            <w:pPr>
              <w:pStyle w:val="AnnexNumberedText"/>
              <w:ind w:left="360" w:hanging="360"/>
            </w:pPr>
            <w:r>
              <w:t>4)</w:t>
            </w:r>
            <w:r>
              <w:tab/>
              <w:t>Umskipti yfir í hringrásarhagkerfi</w:t>
            </w:r>
          </w:p>
        </w:tc>
        <w:tc>
          <w:tcPr>
            <w:tcW w:w="5784" w:type="dxa"/>
            <w:tcBorders>
              <w:bottom w:val="single" w:sz="4" w:space="0" w:color="auto"/>
            </w:tcBorders>
            <w:tcMar>
              <w:top w:w="100" w:type="dxa"/>
              <w:left w:w="40" w:type="dxa"/>
              <w:bottom w:w="100" w:type="dxa"/>
              <w:right w:w="0" w:type="dxa"/>
            </w:tcMar>
          </w:tcPr>
          <w:p w14:paraId="2DDE50E5" w14:textId="77777777" w:rsidR="002B5657" w:rsidRDefault="002B5657" w:rsidP="00A9140F">
            <w:pPr>
              <w:pStyle w:val="AnnexTableCellLeft"/>
            </w:pPr>
            <w:r>
              <w:t>Breyting á skógrækt, sem starfsemin veldur á svæðinu sem hún nær yfir, er ekki líkleg til að draga umtalsvert úr sjálfbæru framboði á fyrsta stigs lífmassa úr skógi sem hentar til framleiðslu á viðarvörum með langtímamöguleika til hringrásar. Þessa viðmiðun er hægt að sýna fram á með greiningu á loftslagsávinningnum sem um getur í 2. lið.</w:t>
            </w:r>
          </w:p>
        </w:tc>
      </w:tr>
      <w:tr w:rsidR="002B5657" w14:paraId="2D5630A5" w14:textId="77777777" w:rsidTr="00A9140F">
        <w:trPr>
          <w:trHeight w:val="360"/>
        </w:trPr>
        <w:tc>
          <w:tcPr>
            <w:tcW w:w="2968" w:type="dxa"/>
            <w:tcBorders>
              <w:bottom w:val="nil"/>
            </w:tcBorders>
            <w:tcMar>
              <w:top w:w="100" w:type="dxa"/>
              <w:left w:w="0" w:type="dxa"/>
              <w:bottom w:w="100" w:type="dxa"/>
              <w:right w:w="60" w:type="dxa"/>
            </w:tcMar>
          </w:tcPr>
          <w:p w14:paraId="4BE844DA" w14:textId="77777777" w:rsidR="002B5657" w:rsidRDefault="002B5657" w:rsidP="00A9140F">
            <w:pPr>
              <w:pStyle w:val="AnnexNumberedText"/>
              <w:ind w:left="360" w:hanging="360"/>
            </w:pPr>
            <w:r>
              <w:t>5)</w:t>
            </w:r>
            <w:r>
              <w:tab/>
              <w:t>Mengunarvarnir og eftirlit með mengun</w:t>
            </w:r>
          </w:p>
        </w:tc>
        <w:tc>
          <w:tcPr>
            <w:tcW w:w="5784" w:type="dxa"/>
            <w:tcBorders>
              <w:bottom w:val="nil"/>
            </w:tcBorders>
            <w:tcMar>
              <w:top w:w="100" w:type="dxa"/>
              <w:left w:w="40" w:type="dxa"/>
              <w:bottom w:w="100" w:type="dxa"/>
              <w:right w:w="0" w:type="dxa"/>
            </w:tcMar>
          </w:tcPr>
          <w:p w14:paraId="28A635D0" w14:textId="77777777" w:rsidR="002B5657" w:rsidRDefault="002B5657" w:rsidP="00A9140F">
            <w:pPr>
              <w:pStyle w:val="AnnexTableCellLeft"/>
              <w:spacing w:after="280"/>
            </w:pPr>
            <w:r>
              <w:t xml:space="preserve">Dregið er úr notkun varnarefna og annars konar aðferðir eða nálganir, sem geta falið í sér valkosti sem ekki byggjast á notkun varnarefna, eru valdar, í samræmi við tilskipun 2009/128/EB, að undanskildum tilvikum þegar þörf er á notkun varnarefna til að hafa stjórn á uppkomu </w:t>
            </w:r>
            <w:proofErr w:type="spellStart"/>
            <w:r>
              <w:t>skaðvalda</w:t>
            </w:r>
            <w:proofErr w:type="spellEnd"/>
            <w:r>
              <w:t xml:space="preserve"> og sjúkdóma.</w:t>
            </w:r>
          </w:p>
          <w:p w14:paraId="0B6B4582" w14:textId="77777777" w:rsidR="002B5657" w:rsidRDefault="002B5657" w:rsidP="00A9140F">
            <w:pPr>
              <w:pStyle w:val="AnnexTableCellLeft"/>
            </w:pPr>
            <w:r>
              <w:t xml:space="preserve">Notkun áburðar er lágmörkuð í starfseminni og húsdýraáburður ekki notaður. Starfsemin er í samræmi við reglugerð (ESB) 2019/1009 eða landsbundnar </w:t>
            </w:r>
            <w:r>
              <w:lastRenderedPageBreak/>
              <w:t>reglur um áburð eða jarðvegsbæta til notkunar í landbúnaði.</w:t>
            </w:r>
          </w:p>
        </w:tc>
      </w:tr>
      <w:tr w:rsidR="002B5657" w14:paraId="5396A37B" w14:textId="77777777" w:rsidTr="00A9140F">
        <w:trPr>
          <w:trHeight w:val="240"/>
        </w:trPr>
        <w:tc>
          <w:tcPr>
            <w:tcW w:w="2968" w:type="dxa"/>
            <w:tcBorders>
              <w:top w:val="single" w:sz="4" w:space="0" w:color="auto"/>
            </w:tcBorders>
            <w:tcMar>
              <w:top w:w="100" w:type="dxa"/>
              <w:left w:w="0" w:type="dxa"/>
              <w:bottom w:w="100" w:type="dxa"/>
              <w:right w:w="60" w:type="dxa"/>
            </w:tcMar>
          </w:tcPr>
          <w:p w14:paraId="5E94E80E" w14:textId="77777777" w:rsidR="002B5657" w:rsidRDefault="002B5657" w:rsidP="00A9140F">
            <w:pPr>
              <w:pStyle w:val="AnnexTableCellLeft"/>
              <w:pageBreakBefore/>
            </w:pPr>
          </w:p>
        </w:tc>
        <w:tc>
          <w:tcPr>
            <w:tcW w:w="5784" w:type="dxa"/>
            <w:tcBorders>
              <w:top w:val="single" w:sz="4" w:space="0" w:color="auto"/>
            </w:tcBorders>
            <w:tcMar>
              <w:top w:w="100" w:type="dxa"/>
              <w:left w:w="40" w:type="dxa"/>
              <w:bottom w:w="100" w:type="dxa"/>
              <w:right w:w="0" w:type="dxa"/>
            </w:tcMar>
          </w:tcPr>
          <w:p w14:paraId="1197512F" w14:textId="77777777" w:rsidR="002B5657" w:rsidRDefault="002B5657" w:rsidP="00A9140F">
            <w:pPr>
              <w:pStyle w:val="AnnexTableCellLeft"/>
              <w:spacing w:after="240"/>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rPr>
              <w:footnoteReference w:id="400"/>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rPr>
              <w:footnoteReference w:id="401"/>
            </w:r>
            <w:r>
              <w:t>). Starfsemin er í samræmi við viðeigandi landslög um virk innihaldsefni.</w:t>
            </w:r>
          </w:p>
          <w:p w14:paraId="7512215B" w14:textId="77777777" w:rsidR="002B5657" w:rsidRDefault="002B5657" w:rsidP="00A9140F">
            <w:pPr>
              <w:pStyle w:val="AnnexTableCellLeft"/>
              <w:spacing w:after="240"/>
            </w:pPr>
            <w:r>
              <w:t>Komið er í veg fyrir mengun vatns og jarðvegs og gripið til hreinsunarráðstafana þegar mengun á sér stað.</w:t>
            </w:r>
          </w:p>
        </w:tc>
      </w:tr>
      <w:tr w:rsidR="002B5657" w14:paraId="72D22EDD" w14:textId="77777777" w:rsidTr="00A9140F">
        <w:trPr>
          <w:trHeight w:val="360"/>
        </w:trPr>
        <w:tc>
          <w:tcPr>
            <w:tcW w:w="2968" w:type="dxa"/>
            <w:tcMar>
              <w:top w:w="100" w:type="dxa"/>
              <w:left w:w="0" w:type="dxa"/>
              <w:bottom w:w="100" w:type="dxa"/>
              <w:right w:w="60" w:type="dxa"/>
            </w:tcMar>
          </w:tcPr>
          <w:p w14:paraId="550A9699" w14:textId="77777777" w:rsidR="002B5657" w:rsidRDefault="002B5657" w:rsidP="00A9140F">
            <w:pPr>
              <w:pStyle w:val="AnnexNumberedText"/>
            </w:pPr>
            <w:r>
              <w:t>6)</w:t>
            </w:r>
            <w:r>
              <w:tab/>
              <w:t>Vernd og endurheimt líffræðilegrar fjölbreytni og vistkerfa</w:t>
            </w:r>
          </w:p>
        </w:tc>
        <w:tc>
          <w:tcPr>
            <w:tcW w:w="5784" w:type="dxa"/>
            <w:tcMar>
              <w:top w:w="100" w:type="dxa"/>
              <w:left w:w="40" w:type="dxa"/>
              <w:bottom w:w="100" w:type="dxa"/>
              <w:right w:w="0" w:type="dxa"/>
            </w:tcMar>
          </w:tcPr>
          <w:p w14:paraId="12406186" w14:textId="77777777" w:rsidR="002B5657" w:rsidRDefault="002B5657" w:rsidP="00A9140F">
            <w:pPr>
              <w:pStyle w:val="AnnexTableCellLeft"/>
              <w:spacing w:after="24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4AEA0169" w14:textId="77777777" w:rsidR="002B5657" w:rsidRDefault="002B5657" w:rsidP="00A9140F">
            <w:pPr>
              <w:pStyle w:val="AnnexTableCellLeft"/>
              <w:spacing w:after="240"/>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0E44E7AC" w14:textId="77777777" w:rsidR="002B5657" w:rsidRDefault="002B5657" w:rsidP="00A9140F">
            <w:pPr>
              <w:pStyle w:val="AnnexTableCellLeft"/>
              <w:spacing w:after="240"/>
            </w:pPr>
            <w:r>
              <w:t xml:space="preserve">Ítarlegu upplýsingarnar sem um getur í </w:t>
            </w:r>
            <w:proofErr w:type="spellStart"/>
            <w:r>
              <w:t>i-lið</w:t>
            </w:r>
            <w:proofErr w:type="spellEnd"/>
            <w:r>
              <w:t xml:space="preserve"> í lið 1.2 innihalda ákvæði um viðhald og mögulega eflingu líffræðilegrar fjölbreytni í samræmi við landsbundin og staðbundin ákvæði, þ.m.t. eftirfarandi:</w:t>
            </w:r>
          </w:p>
          <w:p w14:paraId="047872C0" w14:textId="77777777" w:rsidR="002B5657" w:rsidRDefault="002B5657" w:rsidP="00A9140F">
            <w:pPr>
              <w:pStyle w:val="AnnexNumberedText"/>
              <w:spacing w:after="240"/>
            </w:pPr>
            <w:r>
              <w:t>a)</w:t>
            </w:r>
            <w:r>
              <w:tab/>
              <w:t>að tryggja góða varðveislustöðu búsvæðis og tegunda; viðhald dæmigerðra tegunda á búsvæði,</w:t>
            </w:r>
          </w:p>
          <w:p w14:paraId="1BD6EB3F" w14:textId="77777777" w:rsidR="002B5657" w:rsidRDefault="002B5657" w:rsidP="00A9140F">
            <w:pPr>
              <w:pStyle w:val="AnnexNumberedText"/>
              <w:spacing w:after="240"/>
            </w:pPr>
            <w:r>
              <w:t>b)</w:t>
            </w:r>
            <w:r>
              <w:tab/>
              <w:t xml:space="preserve">að undanskilja notkun á eða </w:t>
            </w:r>
            <w:proofErr w:type="spellStart"/>
            <w:r>
              <w:t>sleppingu</w:t>
            </w:r>
            <w:proofErr w:type="spellEnd"/>
            <w:r>
              <w:t xml:space="preserve"> ágengra framandi tegunda,</w:t>
            </w:r>
          </w:p>
          <w:p w14:paraId="1F0B8BE8" w14:textId="77777777" w:rsidR="002B5657" w:rsidRDefault="002B5657" w:rsidP="00A9140F">
            <w:pPr>
              <w:pStyle w:val="AnnexNumberedText"/>
              <w:spacing w:after="240"/>
            </w:pPr>
            <w:r>
              <w:t>c)</w:t>
            </w:r>
            <w:r>
              <w:tab/>
              <w:t>að undanskilja notkun á framandi tegundum nema unnt sé að sýna fram á að:</w:t>
            </w:r>
          </w:p>
          <w:p w14:paraId="190309B7" w14:textId="77777777" w:rsidR="002B5657" w:rsidRDefault="002B5657" w:rsidP="00A9140F">
            <w:pPr>
              <w:pStyle w:val="AnnexNumberedText"/>
              <w:spacing w:after="240"/>
              <w:ind w:left="600"/>
            </w:pPr>
            <w:r>
              <w:t>i.</w:t>
            </w:r>
            <w:r>
              <w:tab/>
              <w:t>notkun á fjölgunarefni í skógrækt leiði til hagstæðara og viðeigandi ástands vistkerfisins (s.s. loftslag, jarðvegsskilyrði og gróðursvæði, viðnám gegn skógareldum),</w:t>
            </w:r>
          </w:p>
          <w:p w14:paraId="2498816E" w14:textId="77777777" w:rsidR="002B5657" w:rsidRDefault="002B5657" w:rsidP="00A9140F">
            <w:pPr>
              <w:pStyle w:val="AnnexNumberedText"/>
              <w:spacing w:after="240"/>
              <w:ind w:left="600"/>
            </w:pPr>
            <w:r>
              <w:t>ii.</w:t>
            </w:r>
            <w:r>
              <w:tab/>
              <w:t>innlendar tegundir, sem eru þegar til staðar á svæðinu, eru ekki lengur aðlagaðar að framreiknuðum loftslagsskilyrðum og jarðvegsfræðilegum/vatnafræðilegum skilyrðum,</w:t>
            </w:r>
          </w:p>
          <w:p w14:paraId="09AA2B89" w14:textId="77777777" w:rsidR="002B5657" w:rsidRDefault="002B5657" w:rsidP="00A9140F">
            <w:pPr>
              <w:pStyle w:val="AnnexNumberedText"/>
              <w:spacing w:after="240"/>
              <w:ind w:left="293" w:hanging="293"/>
            </w:pPr>
            <w:r>
              <w:t>d)</w:t>
            </w:r>
            <w:r>
              <w:tab/>
              <w:t xml:space="preserve">að tryggja viðhald og úrbætur á </w:t>
            </w:r>
            <w:proofErr w:type="spellStart"/>
            <w:r>
              <w:t>eðlisrænum</w:t>
            </w:r>
            <w:proofErr w:type="spellEnd"/>
            <w:r>
              <w:t>, efnafræðilegum og líffræðilegum gæðum jarðvegsins,</w:t>
            </w:r>
          </w:p>
          <w:p w14:paraId="6054E0B0" w14:textId="77777777" w:rsidR="002B5657" w:rsidRDefault="002B5657" w:rsidP="00A9140F">
            <w:pPr>
              <w:pStyle w:val="AnnexNumberedText"/>
              <w:spacing w:after="240"/>
              <w:ind w:left="293" w:hanging="293"/>
            </w:pPr>
            <w:r>
              <w:t>e)</w:t>
            </w:r>
            <w:r>
              <w:tab/>
              <w:t>að efla starfsvenjur sem gagnast líffræðilegri fjölbreytni og bæta náttúrulegt ferli skóga,</w:t>
            </w:r>
          </w:p>
          <w:p w14:paraId="333CA970" w14:textId="77777777" w:rsidR="002B5657" w:rsidRDefault="002B5657" w:rsidP="00A9140F">
            <w:pPr>
              <w:pStyle w:val="AnnexNumberedText"/>
              <w:spacing w:after="240"/>
              <w:ind w:left="293" w:hanging="293"/>
            </w:pPr>
            <w:r>
              <w:t>f)</w:t>
            </w:r>
            <w:r>
              <w:tab/>
              <w:t>að útiloka umbreytingu vistkerfa þar sem líffræðileg fjölbreytni er mikil yfir í vistkerfi þar sem líffræðileg fjölbreytni er minni,</w:t>
            </w:r>
          </w:p>
          <w:p w14:paraId="393CFDF0" w14:textId="77777777" w:rsidR="002B5657" w:rsidRDefault="002B5657" w:rsidP="00A9140F">
            <w:pPr>
              <w:pStyle w:val="AnnexNumberedText"/>
              <w:spacing w:after="240"/>
              <w:ind w:left="293" w:hanging="293"/>
            </w:pPr>
            <w:r>
              <w:t>g)</w:t>
            </w:r>
            <w:r>
              <w:tab/>
              <w:t>að tryggja fjölbreytni tengdra búsvæða og tegunda sem tengjast skóginum,</w:t>
            </w:r>
          </w:p>
          <w:p w14:paraId="73E6A844" w14:textId="77777777" w:rsidR="002B5657" w:rsidRDefault="002B5657" w:rsidP="00A9140F">
            <w:pPr>
              <w:pStyle w:val="AnnexNumberedText"/>
              <w:spacing w:after="0"/>
              <w:ind w:left="293" w:hanging="293"/>
            </w:pPr>
            <w:r>
              <w:t>h)</w:t>
            </w:r>
            <w:r>
              <w:tab/>
              <w:t>að tryggja fjölbreytni í formgerð skógarteiga og að viðhalda eða efla full</w:t>
            </w:r>
            <w:r>
              <w:lastRenderedPageBreak/>
              <w:t>vaxta skógarteiga og dauðan við.</w:t>
            </w:r>
          </w:p>
        </w:tc>
      </w:tr>
    </w:tbl>
    <w:p w14:paraId="045CBF5D" w14:textId="77777777" w:rsidR="002B5657" w:rsidRDefault="002B5657" w:rsidP="002B5657">
      <w:pPr>
        <w:pStyle w:val="AnnexNumberedText"/>
        <w:ind w:left="500" w:hanging="500"/>
      </w:pPr>
      <w:r>
        <w:lastRenderedPageBreak/>
        <w:t>1.4.</w:t>
      </w:r>
      <w:r>
        <w:rPr>
          <w:b/>
        </w:rPr>
        <w:tab/>
        <w:t>Varðveisluskógrækt</w:t>
      </w:r>
    </w:p>
    <w:p w14:paraId="7525F5A0" w14:textId="77777777" w:rsidR="002B5657" w:rsidRDefault="002B5657" w:rsidP="002B5657">
      <w:pPr>
        <w:pStyle w:val="AnnexGrSeq3"/>
        <w:spacing w:after="240"/>
        <w:ind w:left="500"/>
        <w:jc w:val="both"/>
      </w:pPr>
      <w:r>
        <w:rPr>
          <w:i/>
        </w:rPr>
        <w:t>Lýsing á starfseminni</w:t>
      </w:r>
    </w:p>
    <w:p w14:paraId="4C4CE6B9" w14:textId="77777777" w:rsidR="002B5657" w:rsidRDefault="002B5657" w:rsidP="002B5657">
      <w:pPr>
        <w:pStyle w:val="AnnexNormal"/>
        <w:spacing w:after="240"/>
        <w:ind w:left="500"/>
        <w:rPr>
          <w:szCs w:val="18"/>
        </w:rPr>
      </w:pPr>
      <w:r>
        <w:t>Skógarstjórnunarstarfsemi með það að markmiði að varðveita eitt eða fleiri búsvæði eða tegundir. Með varðveisluskógrækt er ekki gert ráð fyrir neinum breytingum á landflokki og hún á sér stað á landi sem svarar til skilgreiningar á skógi eins og sett er fram í landslögum eða, ef hún ekki tiltæk, í samræmi við skilgreiningu Matvæla- og landbúnaðarstofnunar SÞ á skógi (</w:t>
      </w:r>
      <w:bookmarkStart w:id="75" w:name="NOTE_401"/>
      <w:r>
        <w:rPr>
          <w:rStyle w:val="Tilvsunneanmlsgrein"/>
          <w:sz w:val="18"/>
          <w:szCs w:val="18"/>
        </w:rPr>
        <w:footnoteReference w:id="402"/>
      </w:r>
      <w:bookmarkEnd w:id="75"/>
      <w:r>
        <w:t>).</w:t>
      </w:r>
    </w:p>
    <w:p w14:paraId="3D3C1AC1" w14:textId="77777777" w:rsidR="002B5657" w:rsidRDefault="002B5657" w:rsidP="002B5657">
      <w:pPr>
        <w:pStyle w:val="AnnexNormal"/>
        <w:spacing w:after="240"/>
        <w:ind w:left="500"/>
      </w:pPr>
      <w:r>
        <w:t>Atvinnustarfsemin í þessum flokki gæti tengst kóða atvinnugreinaflokkunar Evrópusambandsins A2 í samræmi við atvinnugreinaflokkunina sem komið var á með reglugerð (EB) nr. 1893/2006. Atvinnustarfsemin í þessum flokki er takmörkuð við atvinnugreinaflokkun Evrópusambandsins II 02.10, þ.e. skógrækt og önnur starfsemi tengd skógrækt, 02.20, þ.e. skógarhögg, 02.30, þ.e. söfnun afurða sem vaxa villtar en eru ekki tré og 02.40, þ.e. þjónustustarfsemi við skógrækt.</w:t>
      </w:r>
    </w:p>
    <w:p w14:paraId="45DB25E5" w14:textId="77777777" w:rsidR="002B5657" w:rsidRDefault="002B5657" w:rsidP="002B5657">
      <w:pPr>
        <w:pStyle w:val="AnnexNormal"/>
        <w:spacing w:after="240"/>
        <w:ind w:left="500"/>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03499C7C" w14:textId="77777777" w:rsidR="002B5657" w:rsidRDefault="002B5657" w:rsidP="002B5657">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08"/>
        <w:gridCol w:w="5832"/>
      </w:tblGrid>
      <w:tr w:rsidR="002B5657" w14:paraId="6A707280"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A04EFCE" w14:textId="77777777" w:rsidR="002B5657" w:rsidRDefault="002B5657" w:rsidP="00A9140F">
            <w:pPr>
              <w:pStyle w:val="AnnexTableCellLeft"/>
            </w:pPr>
            <w:r>
              <w:t>Verulegt framlag til aðlögunar að loftslagsbreytingum</w:t>
            </w:r>
          </w:p>
        </w:tc>
      </w:tr>
      <w:tr w:rsidR="002B5657" w14:paraId="1117B57F" w14:textId="77777777" w:rsidTr="00A9140F">
        <w:trPr>
          <w:trHeight w:val="360"/>
        </w:trPr>
        <w:tc>
          <w:tcPr>
            <w:tcW w:w="8740" w:type="dxa"/>
            <w:gridSpan w:val="2"/>
            <w:tcBorders>
              <w:bottom w:val="nil"/>
            </w:tcBorders>
            <w:tcMar>
              <w:top w:w="100" w:type="dxa"/>
              <w:left w:w="0" w:type="dxa"/>
              <w:bottom w:w="100" w:type="dxa"/>
              <w:right w:w="60" w:type="dxa"/>
            </w:tcMar>
          </w:tcPr>
          <w:p w14:paraId="76E57FF9" w14:textId="77777777" w:rsidR="002B5657" w:rsidRDefault="002B5657" w:rsidP="00A9140F">
            <w:pPr>
              <w:pStyle w:val="AnnexNumberedText"/>
              <w:tabs>
                <w:tab w:val="left" w:pos="508"/>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5D6B6DBD" w14:textId="77777777" w:rsidR="002B5657" w:rsidRDefault="002B5657" w:rsidP="00A9140F">
            <w:pPr>
              <w:pStyle w:val="AnnexNumberedText"/>
              <w:tabs>
                <w:tab w:val="left" w:pos="508"/>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D5DD648" w14:textId="77777777" w:rsidR="002B5657" w:rsidRDefault="002B5657"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13F27435" w14:textId="77777777" w:rsidR="002B5657" w:rsidRDefault="002B5657" w:rsidP="00A9140F">
            <w:pPr>
              <w:pStyle w:val="AnnexNumberedText"/>
              <w:spacing w:after="20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5760C608" w14:textId="77777777" w:rsidR="002B5657" w:rsidRDefault="002B5657" w:rsidP="00A9140F">
            <w:pPr>
              <w:pStyle w:val="AnnexNumberedText"/>
              <w:spacing w:after="200"/>
            </w:pPr>
            <w:r>
              <w:t>c)</w:t>
            </w:r>
            <w:r>
              <w:tab/>
              <w:t>mat á aðlögunarlausnum sem geta dregið úr greindri efnislegri loftslagsáhættu.</w:t>
            </w:r>
          </w:p>
          <w:p w14:paraId="369A0443" w14:textId="77777777" w:rsidR="002B5657" w:rsidRDefault="002B5657" w:rsidP="00A9140F">
            <w:pPr>
              <w:pStyle w:val="AnnexTableCellLeft"/>
              <w:tabs>
                <w:tab w:val="left" w:pos="508"/>
              </w:tabs>
              <w:spacing w:after="200"/>
            </w:pPr>
            <w:r>
              <w:t xml:space="preserve">Loftslagsáhættu- og veikleikamatið er í réttu hlutfalli við umfang starfseminnar og </w:t>
            </w:r>
            <w:proofErr w:type="spellStart"/>
            <w:r>
              <w:t>væntan</w:t>
            </w:r>
            <w:proofErr w:type="spellEnd"/>
            <w:r>
              <w:t xml:space="preserve"> líftíma hennar þannig að:</w:t>
            </w:r>
          </w:p>
          <w:p w14:paraId="4DA252A2" w14:textId="77777777" w:rsidR="002B5657" w:rsidRDefault="002B5657" w:rsidP="00A9140F">
            <w:pPr>
              <w:pStyle w:val="AnnexNumberedText"/>
              <w:tabs>
                <w:tab w:val="left" w:pos="508"/>
              </w:tabs>
              <w:spacing w:after="2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748F7F3" w14:textId="77777777" w:rsidR="002B5657" w:rsidRDefault="002B5657" w:rsidP="00A9140F">
            <w:pPr>
              <w:pStyle w:val="AnnexNumberedText"/>
              <w:spacing w:after="20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0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55D2314" w14:textId="77777777" w:rsidR="002B5657" w:rsidRDefault="002B5657" w:rsidP="00A9140F">
            <w:pPr>
              <w:pStyle w:val="AnnexNumberedText"/>
              <w:tabs>
                <w:tab w:val="left" w:pos="508"/>
              </w:tabs>
              <w:ind w:left="0" w:firstLine="0"/>
            </w:pPr>
            <w:r>
              <w:t>3.</w:t>
            </w:r>
            <w:r>
              <w:tab/>
              <w:t xml:space="preserve">Loftslagsframreikningar og mat á áhrifum byggjast á bestu starfsvenjum og tiltækum leiðbeiningum og tekið er </w:t>
            </w:r>
            <w:r>
              <w:lastRenderedPageBreak/>
              <w:t>tillit til nýjustu vísinda við veikleika- og áhættugreiningar og tengdra aðferða í samræmi við nýjustu skýrslur milliríkjanefndarinnar um loftslagsbreytingar (</w:t>
            </w:r>
            <w:r>
              <w:rPr>
                <w:rStyle w:val="Tilvsunneanmlsgrein"/>
                <w:sz w:val="18"/>
              </w:rPr>
              <w:footnoteReference w:id="404"/>
            </w:r>
            <w:r>
              <w:t>), vísindalegt ritrýnt útgefið efni og líkön með opnum aðgangi (</w:t>
            </w:r>
            <w:r>
              <w:rPr>
                <w:rStyle w:val="Tilvsunneanmlsgrein"/>
                <w:sz w:val="18"/>
              </w:rPr>
              <w:footnoteReference w:id="405"/>
            </w:r>
            <w:r>
              <w:t>) eða gegn greiðslu.</w:t>
            </w:r>
          </w:p>
        </w:tc>
      </w:tr>
      <w:tr w:rsidR="002B5657" w14:paraId="5185BE55" w14:textId="77777777" w:rsidTr="00A9140F">
        <w:trPr>
          <w:trHeight w:val="360"/>
        </w:trPr>
        <w:tc>
          <w:tcPr>
            <w:tcW w:w="8740" w:type="dxa"/>
            <w:gridSpan w:val="2"/>
            <w:tcBorders>
              <w:top w:val="nil"/>
            </w:tcBorders>
            <w:tcMar>
              <w:top w:w="100" w:type="dxa"/>
              <w:left w:w="0" w:type="dxa"/>
              <w:bottom w:w="100" w:type="dxa"/>
              <w:right w:w="60" w:type="dxa"/>
            </w:tcMar>
          </w:tcPr>
          <w:p w14:paraId="559A8D18" w14:textId="77777777" w:rsidR="002B5657" w:rsidRDefault="002B5657" w:rsidP="00A9140F">
            <w:pPr>
              <w:pStyle w:val="AnnexNumberedText"/>
              <w:pageBreakBefore/>
              <w:tabs>
                <w:tab w:val="left" w:pos="508"/>
              </w:tabs>
              <w:spacing w:after="180"/>
              <w:ind w:left="0" w:firstLine="0"/>
            </w:pPr>
            <w:r>
              <w:lastRenderedPageBreak/>
              <w:t>4.</w:t>
            </w:r>
            <w:r>
              <w:tab/>
              <w:t>Aðlögunarlausnir sem komið er í framkvæmd:</w:t>
            </w:r>
          </w:p>
          <w:p w14:paraId="2523C842" w14:textId="77777777" w:rsidR="002B5657" w:rsidRDefault="002B5657" w:rsidP="00A9140F">
            <w:pPr>
              <w:pStyle w:val="AnnexNumberedText"/>
              <w:spacing w:after="180"/>
            </w:pPr>
            <w:r>
              <w:t>a)</w:t>
            </w:r>
            <w:r>
              <w:tab/>
              <w:t>hafa ekki neikvæð áhrif á viðleitni til aðlögunar eða viðnám annars fólks, náttúru, menningararfleifðar, eigna og annarrar atvinnustarfsemi gegn efnislegri loftslagsáhættu,</w:t>
            </w:r>
          </w:p>
          <w:p w14:paraId="68C64D16" w14:textId="77777777" w:rsidR="002B5657" w:rsidRDefault="002B5657" w:rsidP="00A9140F">
            <w:pPr>
              <w:pStyle w:val="AnnexNumberedText"/>
              <w:spacing w:after="180"/>
            </w:pPr>
            <w:r>
              <w:t>b)</w:t>
            </w:r>
            <w:r>
              <w:tab/>
              <w:t>eru með náttúrumiðaðar lausnir (</w:t>
            </w:r>
            <w:r>
              <w:rPr>
                <w:rStyle w:val="Tilvsunneanmlsgrein"/>
                <w:sz w:val="18"/>
              </w:rPr>
              <w:footnoteReference w:id="406"/>
            </w:r>
            <w:r>
              <w:t>) í forgangi eða treyst er á bláa eða græna innviði (</w:t>
            </w:r>
            <w:r>
              <w:rPr>
                <w:rStyle w:val="Tilvsunneanmlsgrein"/>
                <w:sz w:val="18"/>
              </w:rPr>
              <w:footnoteReference w:id="407"/>
            </w:r>
            <w:r>
              <w:t>) að því marki sem mögulegt er,</w:t>
            </w:r>
          </w:p>
          <w:p w14:paraId="1A883F47" w14:textId="77777777" w:rsidR="002B5657" w:rsidRDefault="002B5657" w:rsidP="00A9140F">
            <w:pPr>
              <w:pStyle w:val="AnnexNumberedText"/>
              <w:spacing w:after="180"/>
            </w:pPr>
            <w:r>
              <w:t>c)</w:t>
            </w:r>
            <w:r>
              <w:tab/>
              <w:t>eru í samræmi við staðbundnar, geirabundnar, svæðisbundnar eða landsbundnar aðlögunarstefnur og -áætlanir,</w:t>
            </w:r>
          </w:p>
          <w:p w14:paraId="77F04B0D" w14:textId="77777777" w:rsidR="002B5657" w:rsidRDefault="002B5657" w:rsidP="00A9140F">
            <w:pPr>
              <w:pStyle w:val="AnnexNumberedText"/>
              <w:spacing w:after="18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87C1DC5" w14:textId="77777777" w:rsidR="002B5657" w:rsidRDefault="002B5657" w:rsidP="00A9140F">
            <w:pPr>
              <w:pStyle w:val="AnnexNumberedText"/>
              <w:spacing w:after="18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2C8EE5B6" w14:textId="77777777" w:rsidR="002B5657" w:rsidRDefault="002B5657" w:rsidP="00A9140F">
            <w:pPr>
              <w:pStyle w:val="AnnexNumberedText"/>
              <w:tabs>
                <w:tab w:val="left" w:pos="508"/>
              </w:tabs>
              <w:spacing w:after="18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010F341D" w14:textId="77777777" w:rsidR="002B5657" w:rsidRDefault="002B5657" w:rsidP="00A9140F">
            <w:pPr>
              <w:pStyle w:val="AnnexNumberedText"/>
              <w:spacing w:after="180"/>
            </w:pPr>
            <w:r>
              <w:t>a)</w:t>
            </w:r>
            <w:r>
              <w:tab/>
              <w:t>auki viðnám gegn efnislegri loftslagsáhættu fyrir annað fólk, náttúru, menningararfleifð, eignir og aðra atvinnustarfsemi eða</w:t>
            </w:r>
          </w:p>
          <w:p w14:paraId="3F4EEA77" w14:textId="77777777" w:rsidR="002B5657" w:rsidRDefault="002B5657" w:rsidP="00A9140F">
            <w:pPr>
              <w:pStyle w:val="AnnexNumberedText"/>
              <w:spacing w:after="180"/>
            </w:pPr>
            <w:r>
              <w:t>b)</w:t>
            </w:r>
            <w:r>
              <w:tab/>
              <w:t>stuðli að aðlögunarviðleitni annars fólks, náttúru, menningararfleifðar, eigna og annarrar atvinnustarfsemi.</w:t>
            </w:r>
          </w:p>
        </w:tc>
      </w:tr>
      <w:tr w:rsidR="002B5657" w14:paraId="425BE0DE"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12E3A5CA" w14:textId="77777777" w:rsidR="002B5657" w:rsidRDefault="002B5657" w:rsidP="00A9140F">
            <w:pPr>
              <w:pStyle w:val="AnnexTableCellLeft"/>
            </w:pPr>
            <w:r>
              <w:t>Ekki valda umtalsverðu tjóni</w:t>
            </w:r>
          </w:p>
        </w:tc>
      </w:tr>
      <w:tr w:rsidR="002B5657" w14:paraId="5039335C" w14:textId="77777777" w:rsidTr="00A9140F">
        <w:trPr>
          <w:trHeight w:val="360"/>
        </w:trPr>
        <w:tc>
          <w:tcPr>
            <w:tcW w:w="2908" w:type="dxa"/>
            <w:tcBorders>
              <w:bottom w:val="nil"/>
            </w:tcBorders>
            <w:tcMar>
              <w:top w:w="100" w:type="dxa"/>
              <w:left w:w="0" w:type="dxa"/>
              <w:bottom w:w="100" w:type="dxa"/>
              <w:right w:w="60" w:type="dxa"/>
            </w:tcMar>
          </w:tcPr>
          <w:p w14:paraId="59CE7E1D" w14:textId="77777777" w:rsidR="002B5657" w:rsidRDefault="002B5657" w:rsidP="00A9140F">
            <w:pPr>
              <w:pStyle w:val="AnnexNumberedText"/>
              <w:ind w:left="293" w:hanging="293"/>
            </w:pPr>
            <w:r>
              <w:t>1)</w:t>
            </w:r>
            <w:r>
              <w:tab/>
              <w:t>Mildun loftslagsbreytinga</w:t>
            </w:r>
          </w:p>
        </w:tc>
        <w:tc>
          <w:tcPr>
            <w:tcW w:w="5832" w:type="dxa"/>
            <w:tcBorders>
              <w:bottom w:val="nil"/>
            </w:tcBorders>
            <w:tcMar>
              <w:top w:w="100" w:type="dxa"/>
              <w:left w:w="40" w:type="dxa"/>
              <w:bottom w:w="100" w:type="dxa"/>
              <w:right w:w="0" w:type="dxa"/>
            </w:tcMar>
          </w:tcPr>
          <w:p w14:paraId="61C8F3BA" w14:textId="77777777" w:rsidR="002B5657" w:rsidRDefault="002B5657" w:rsidP="00A9140F">
            <w:pPr>
              <w:pStyle w:val="AnnexNumberedText"/>
              <w:spacing w:after="240"/>
              <w:ind w:left="279" w:hanging="279"/>
            </w:pPr>
            <w:r>
              <w:t>1.</w:t>
            </w:r>
            <w:r>
              <w:rPr>
                <w:i/>
              </w:rPr>
              <w:tab/>
              <w:t xml:space="preserve">Skógarstjórnunaráætlun eða jafngildur </w:t>
            </w:r>
            <w:proofErr w:type="spellStart"/>
            <w:r>
              <w:rPr>
                <w:i/>
              </w:rPr>
              <w:t>gerningur</w:t>
            </w:r>
            <w:proofErr w:type="spellEnd"/>
          </w:p>
          <w:p w14:paraId="753B1490" w14:textId="77777777" w:rsidR="002B5657" w:rsidRDefault="002B5657" w:rsidP="00A9140F">
            <w:pPr>
              <w:pStyle w:val="AnnexNumberedText"/>
              <w:tabs>
                <w:tab w:val="left" w:pos="508"/>
              </w:tabs>
              <w:spacing w:after="240"/>
              <w:ind w:left="0" w:firstLine="0"/>
            </w:pPr>
            <w:r>
              <w:t>1.1.</w:t>
            </w:r>
            <w:r>
              <w:tab/>
              <w:t xml:space="preserve">Starfsemin fer fram á svæði sem fellur undir skógarstjórnunaráætlun eða jafngildan </w:t>
            </w:r>
            <w:proofErr w:type="spellStart"/>
            <w:r>
              <w:t>gerning</w:t>
            </w:r>
            <w:proofErr w:type="spellEnd"/>
            <w:r>
              <w:t>, eins og sett er fram í landslögum eða, ef ekki er skilgreining á skógarstjórnunaráætlun í landsreglum, eins og um getur í skilgreiningu Matvæla- og landbúnaðarstofnunar SÞ á „skógarsvæði með skógarstjórnunaráætlun til langs tíma“ (</w:t>
            </w:r>
            <w:r>
              <w:rPr>
                <w:rStyle w:val="Tilvsunneanmlsgrein"/>
                <w:sz w:val="18"/>
              </w:rPr>
              <w:footnoteReference w:id="408"/>
            </w:r>
            <w:r>
              <w:t>).</w:t>
            </w:r>
          </w:p>
          <w:p w14:paraId="7690CB06" w14:textId="77777777" w:rsidR="002B5657" w:rsidRDefault="002B5657" w:rsidP="00A9140F">
            <w:pPr>
              <w:pStyle w:val="AnnexTableCellLeft"/>
              <w:spacing w:after="240"/>
            </w:pPr>
            <w:r>
              <w:t xml:space="preserve">Skógarstjórnunaráætlun, eða jafngildur </w:t>
            </w:r>
            <w:proofErr w:type="spellStart"/>
            <w:r>
              <w:t>gerningur</w:t>
            </w:r>
            <w:proofErr w:type="spellEnd"/>
            <w:r>
              <w:t>, nær yfir 10 ára tímabil eða meira og er uppfærð samfellt.</w:t>
            </w:r>
          </w:p>
          <w:p w14:paraId="2BC9A8FB" w14:textId="77777777" w:rsidR="002B5657" w:rsidRDefault="002B5657" w:rsidP="00A9140F">
            <w:pPr>
              <w:pStyle w:val="AnnexNumberedText"/>
              <w:tabs>
                <w:tab w:val="left" w:pos="508"/>
              </w:tabs>
              <w:spacing w:after="240"/>
              <w:ind w:left="0" w:firstLine="0"/>
            </w:pPr>
            <w:r>
              <w:t>1.2.</w:t>
            </w:r>
            <w:r>
              <w:tab/>
              <w:t>Upplýsingar eru veittar um eftirfarandi liði sem ekki eru þegar skjalfestir í skógarstjórnunaráætluninni eða jafngildu kerfi:</w:t>
            </w:r>
          </w:p>
          <w:p w14:paraId="72646C23" w14:textId="77777777" w:rsidR="002B5657" w:rsidRDefault="002B5657" w:rsidP="00A9140F">
            <w:pPr>
              <w:pStyle w:val="AnnexNumberedText"/>
              <w:spacing w:after="240"/>
            </w:pPr>
            <w:r>
              <w:t>a)</w:t>
            </w:r>
            <w:r>
              <w:tab/>
              <w:t>stjórnunarmarkmið, þ.m.t. meiriháttar hindranir,</w:t>
            </w:r>
          </w:p>
          <w:p w14:paraId="11957B72" w14:textId="77777777" w:rsidR="002B5657" w:rsidRDefault="002B5657" w:rsidP="00A9140F">
            <w:pPr>
              <w:pStyle w:val="AnnexNumberedText"/>
              <w:spacing w:after="240"/>
            </w:pPr>
            <w:r>
              <w:t>b)</w:t>
            </w:r>
            <w:r>
              <w:tab/>
              <w:t>almennar stefnuáætlanir og fyrirhuguð starfsemi til að ná stjórnunarmarkmiðunum, þ.m.t. væntanlegar aðgerðir yfir allan skógræktarhringrásina,</w:t>
            </w:r>
          </w:p>
          <w:p w14:paraId="2EAD7A4A" w14:textId="77777777" w:rsidR="002B5657" w:rsidRDefault="002B5657" w:rsidP="00A9140F">
            <w:pPr>
              <w:pStyle w:val="AnnexNumberedText"/>
              <w:spacing w:after="0"/>
            </w:pPr>
            <w:r>
              <w:t>c)</w:t>
            </w:r>
            <w:r>
              <w:tab/>
              <w:t xml:space="preserve">skilgreining á búsvæðalegu samhengi skógarins, helstu trjátegundum sem </w:t>
            </w:r>
            <w:r>
              <w:lastRenderedPageBreak/>
              <w:t>fyrir eru og fyrirhugaðar og umfangi þeirra og dreifingu, í samræmi við staðbundna skógarvistkerfið,</w:t>
            </w:r>
          </w:p>
        </w:tc>
      </w:tr>
      <w:tr w:rsidR="002B5657" w14:paraId="0D5F5F0A" w14:textId="77777777" w:rsidTr="00A9140F">
        <w:trPr>
          <w:trHeight w:val="240"/>
        </w:trPr>
        <w:tc>
          <w:tcPr>
            <w:tcW w:w="2908" w:type="dxa"/>
            <w:tcBorders>
              <w:top w:val="single" w:sz="4" w:space="0" w:color="auto"/>
              <w:bottom w:val="nil"/>
            </w:tcBorders>
            <w:tcMar>
              <w:top w:w="100" w:type="dxa"/>
              <w:left w:w="0" w:type="dxa"/>
              <w:bottom w:w="100" w:type="dxa"/>
              <w:right w:w="60" w:type="dxa"/>
            </w:tcMar>
          </w:tcPr>
          <w:p w14:paraId="3D743F64" w14:textId="77777777" w:rsidR="002B5657" w:rsidRDefault="002B5657" w:rsidP="00A9140F">
            <w:pPr>
              <w:pStyle w:val="AnnexTableCellLeft"/>
              <w:pageBreakBefore/>
            </w:pPr>
          </w:p>
        </w:tc>
        <w:tc>
          <w:tcPr>
            <w:tcW w:w="5832" w:type="dxa"/>
            <w:tcBorders>
              <w:top w:val="single" w:sz="4" w:space="0" w:color="auto"/>
              <w:bottom w:val="nil"/>
            </w:tcBorders>
            <w:tcMar>
              <w:top w:w="100" w:type="dxa"/>
              <w:left w:w="40" w:type="dxa"/>
              <w:bottom w:w="100" w:type="dxa"/>
              <w:right w:w="0" w:type="dxa"/>
            </w:tcMar>
          </w:tcPr>
          <w:p w14:paraId="2FB0B98B" w14:textId="77777777" w:rsidR="002B5657" w:rsidRDefault="002B5657" w:rsidP="00A9140F">
            <w:pPr>
              <w:pStyle w:val="AnnexNumberedText"/>
            </w:pPr>
            <w:r>
              <w:t>d)</w:t>
            </w:r>
            <w:r>
              <w:tab/>
              <w:t>skilgreining á svæðinu samkvæmt færslu þar um í landskránni,</w:t>
            </w:r>
          </w:p>
          <w:p w14:paraId="29CAD7A6" w14:textId="77777777" w:rsidR="002B5657" w:rsidRDefault="002B5657" w:rsidP="00A9140F">
            <w:pPr>
              <w:pStyle w:val="AnnexNumberedText"/>
            </w:pPr>
            <w:r>
              <w:t>e)</w:t>
            </w:r>
            <w:r>
              <w:tab/>
              <w:t>hólf, vegir, athafnaréttur og annar almennur aðgangur, efnislegir þættir, þ.m.t. vatnaleiðir, svæði sem falla undir lagalegar takmarkanir og aðrar takmarkanir,</w:t>
            </w:r>
          </w:p>
          <w:p w14:paraId="65BFC016" w14:textId="77777777" w:rsidR="002B5657" w:rsidRDefault="002B5657" w:rsidP="00A9140F">
            <w:pPr>
              <w:pStyle w:val="AnnexNumberedText"/>
            </w:pPr>
            <w:r>
              <w:t>f)</w:t>
            </w:r>
            <w:r>
              <w:tab/>
              <w:t>ráðstafanir sem eru innleiddar til að viðhalda góðu ásigkomulagi skógarvistkerfa,</w:t>
            </w:r>
          </w:p>
          <w:p w14:paraId="08390275" w14:textId="77777777" w:rsidR="002B5657" w:rsidRDefault="002B5657" w:rsidP="00A9140F">
            <w:pPr>
              <w:pStyle w:val="AnnexNumberedText"/>
            </w:pPr>
            <w:r>
              <w:t>g)</w:t>
            </w:r>
            <w:r>
              <w:tab/>
              <w:t>tillit tekið til samfélagslegra málefna (þ.m.t. varðveisla landslags, samráð við hagsmunaaðila í samræmi við skilmála og skilyrði sem mælt er fyrir um í landslögum),</w:t>
            </w:r>
          </w:p>
          <w:p w14:paraId="0E1FFCA7" w14:textId="77777777" w:rsidR="002B5657" w:rsidRDefault="002B5657" w:rsidP="00A9140F">
            <w:pPr>
              <w:pStyle w:val="AnnexNumberedText"/>
            </w:pPr>
            <w:r>
              <w:t>h)</w:t>
            </w:r>
            <w:r>
              <w:tab/>
              <w:t xml:space="preserve">mat á áhættu sem tengist skógi, þ.m.t. skógareldar, uppkoma </w:t>
            </w:r>
            <w:proofErr w:type="spellStart"/>
            <w:r>
              <w:t>skaðvalda</w:t>
            </w:r>
            <w:proofErr w:type="spellEnd"/>
            <w:r>
              <w:t xml:space="preserve"> og sjúkdóma, með það að markmiði að koma í veg fyrir, draga úr og halda áhættum í skefjum og ráðstafanir sem eru gerðar til að tryggja vernd gegn og aðlögun að </w:t>
            </w:r>
            <w:proofErr w:type="spellStart"/>
            <w:r>
              <w:t>eftirstæðum</w:t>
            </w:r>
            <w:proofErr w:type="spellEnd"/>
            <w:r>
              <w:t xml:space="preserve"> áhættuþáttum,</w:t>
            </w:r>
          </w:p>
          <w:p w14:paraId="7C2C4458" w14:textId="77777777" w:rsidR="002B5657" w:rsidRDefault="002B5657" w:rsidP="00A9140F">
            <w:pPr>
              <w:pStyle w:val="AnnexNumberedText"/>
            </w:pPr>
            <w:r>
              <w:t>i)</w:t>
            </w:r>
            <w:r>
              <w:tab/>
              <w:t>allar viðmiðanir um að valda ekki umtalsverðu tjóni sem skipta máli fyrir skógarstjórnun.</w:t>
            </w:r>
          </w:p>
          <w:p w14:paraId="4946CE38" w14:textId="77777777" w:rsidR="002B5657" w:rsidRDefault="002B5657" w:rsidP="00A9140F">
            <w:pPr>
              <w:pStyle w:val="AnnexNumberedText"/>
              <w:tabs>
                <w:tab w:val="left" w:pos="508"/>
              </w:tabs>
              <w:ind w:left="0" w:firstLine="0"/>
            </w:pPr>
            <w:r>
              <w:t>1.3.</w:t>
            </w:r>
            <w:r>
              <w:tab/>
              <w:t xml:space="preserve">Skógarstjórnunaráætlun eða jafngildur </w:t>
            </w:r>
            <w:proofErr w:type="spellStart"/>
            <w:r>
              <w:t>gerningur</w:t>
            </w:r>
            <w:proofErr w:type="spellEnd"/>
            <w:r>
              <w:t>:</w:t>
            </w:r>
          </w:p>
          <w:p w14:paraId="3C6203B3" w14:textId="77777777" w:rsidR="002B5657" w:rsidRDefault="002B5657" w:rsidP="00A9140F">
            <w:pPr>
              <w:pStyle w:val="AnnexNumberedText"/>
              <w:rPr>
                <w:szCs w:val="18"/>
              </w:rPr>
            </w:pPr>
            <w:r>
              <w:t>a)</w:t>
            </w:r>
            <w:r>
              <w:tab/>
              <w:t>inniheldur fastsett meginstjórnunarmarkmið (</w:t>
            </w:r>
            <w:r>
              <w:rPr>
                <w:rStyle w:val="Tilvsunneanmlsgrein"/>
                <w:sz w:val="18"/>
                <w:szCs w:val="18"/>
              </w:rPr>
              <w:footnoteReference w:id="409"/>
            </w:r>
            <w:r>
              <w:t>) sem samanstendur af vernd jarðvegs og vatns (</w:t>
            </w:r>
            <w:r>
              <w:rPr>
                <w:rStyle w:val="Tilvsunneanmlsgrein"/>
                <w:sz w:val="18"/>
                <w:szCs w:val="18"/>
              </w:rPr>
              <w:footnoteReference w:id="410"/>
            </w:r>
            <w:r>
              <w:t>), varðveislu líffræðilegrar fjölbreytni (</w:t>
            </w:r>
            <w:r>
              <w:rPr>
                <w:rStyle w:val="Tilvsunneanmlsgrein"/>
                <w:sz w:val="18"/>
                <w:szCs w:val="18"/>
              </w:rPr>
              <w:footnoteReference w:id="411"/>
            </w:r>
            <w:r>
              <w:t>) eða félagsþjónustu (</w:t>
            </w:r>
            <w:r>
              <w:rPr>
                <w:rStyle w:val="Tilvsunneanmlsgrein"/>
                <w:sz w:val="18"/>
                <w:szCs w:val="18"/>
              </w:rPr>
              <w:footnoteReference w:id="412"/>
            </w:r>
            <w:r>
              <w:t>) sem byggist á skilgreiningum Matvæla- og landbúnaðarstofnunar SÞ,</w:t>
            </w:r>
          </w:p>
          <w:p w14:paraId="1734BD33" w14:textId="77777777" w:rsidR="002B5657" w:rsidRDefault="002B5657" w:rsidP="00A9140F">
            <w:pPr>
              <w:pStyle w:val="AnnexNumberedText"/>
              <w:rPr>
                <w:szCs w:val="18"/>
              </w:rPr>
            </w:pPr>
            <w:r>
              <w:t>b)</w:t>
            </w:r>
            <w:r>
              <w:tab/>
              <w:t>eflir starfsvenjur sem gagnast líffræðilegri fjölbreytni og bæta náttúrulegt ferli skóga,</w:t>
            </w:r>
          </w:p>
          <w:p w14:paraId="5D4B18D4" w14:textId="77777777" w:rsidR="002B5657" w:rsidRDefault="002B5657" w:rsidP="00A9140F">
            <w:pPr>
              <w:pStyle w:val="AnnexNumberedText"/>
              <w:rPr>
                <w:szCs w:val="18"/>
              </w:rPr>
            </w:pPr>
            <w:r>
              <w:t>c)</w:t>
            </w:r>
            <w:r>
              <w:tab/>
              <w:t>inniheldur greiningu á:</w:t>
            </w:r>
          </w:p>
          <w:p w14:paraId="25046BE9" w14:textId="77777777" w:rsidR="002B5657" w:rsidRDefault="002B5657" w:rsidP="00A9140F">
            <w:pPr>
              <w:pStyle w:val="AnnexNumberedText"/>
              <w:tabs>
                <w:tab w:val="right" w:pos="917"/>
              </w:tabs>
              <w:ind w:left="600"/>
              <w:rPr>
                <w:szCs w:val="18"/>
              </w:rPr>
            </w:pPr>
            <w:r>
              <w:t>i.</w:t>
            </w:r>
            <w:r>
              <w:tab/>
              <w:t>áhrifum og álagi á varðveislu búsvæðis og fjölbreytni tengdra búsvæða,</w:t>
            </w:r>
          </w:p>
          <w:p w14:paraId="35AC9CE4" w14:textId="77777777" w:rsidR="002B5657" w:rsidRDefault="002B5657" w:rsidP="00A9140F">
            <w:pPr>
              <w:pStyle w:val="AnnexNumberedText"/>
              <w:tabs>
                <w:tab w:val="right" w:pos="917"/>
              </w:tabs>
              <w:ind w:left="600"/>
              <w:rPr>
                <w:szCs w:val="18"/>
              </w:rPr>
            </w:pPr>
            <w:r>
              <w:t>ii.</w:t>
            </w:r>
            <w:r>
              <w:tab/>
              <w:t>skilyrðum fyrir nýtingu sem lágmarkar áhrif á jarðveg,</w:t>
            </w:r>
          </w:p>
          <w:p w14:paraId="3A0BA91A" w14:textId="77777777" w:rsidR="002B5657" w:rsidRDefault="002B5657" w:rsidP="00A9140F">
            <w:pPr>
              <w:pStyle w:val="AnnexNumberedText"/>
              <w:tabs>
                <w:tab w:val="right" w:pos="917"/>
              </w:tabs>
              <w:ind w:left="600"/>
              <w:rPr>
                <w:szCs w:val="18"/>
              </w:rPr>
            </w:pPr>
            <w:r>
              <w:t>iii.</w:t>
            </w:r>
            <w:r>
              <w:tab/>
              <w:t xml:space="preserve">annarri starfsemi sem hefur áhrif á varðveislumarkmið, s.s. veiðar og fiskveiðar, landbúnaður, starfsemi tengd búskap og skógrækt, iðnaður, </w:t>
            </w:r>
            <w:proofErr w:type="spellStart"/>
            <w:r>
              <w:t>námugröftur</w:t>
            </w:r>
            <w:proofErr w:type="spellEnd"/>
            <w:r>
              <w:t xml:space="preserve"> og viðskiptastarfsemi.</w:t>
            </w:r>
          </w:p>
          <w:p w14:paraId="6C630EDA" w14:textId="77777777" w:rsidR="002B5657" w:rsidRDefault="002B5657" w:rsidP="00A9140F">
            <w:pPr>
              <w:pStyle w:val="AnnexNumberedText"/>
              <w:tabs>
                <w:tab w:val="left" w:pos="508"/>
              </w:tabs>
              <w:ind w:left="0" w:firstLine="0"/>
              <w:rPr>
                <w:szCs w:val="18"/>
              </w:rPr>
            </w:pPr>
            <w:r>
              <w:t>1.4.</w:t>
            </w:r>
            <w:r>
              <w:tab/>
              <w:t>Sjálfbærni skógarstjórnunarkerfanna, eins og skjalfest er í áætluninni sem um getur í lið 1.1, er tryggð með því að velja metnaðarfyllstu aðferðina af eftirfarandi:</w:t>
            </w:r>
          </w:p>
          <w:p w14:paraId="2F3DBB2E" w14:textId="77777777" w:rsidR="002B5657" w:rsidRDefault="002B5657" w:rsidP="00A9140F">
            <w:pPr>
              <w:pStyle w:val="AnnexNumberedText"/>
              <w:rPr>
                <w:szCs w:val="18"/>
              </w:rPr>
            </w:pPr>
            <w:r>
              <w:t>a)</w:t>
            </w:r>
            <w:r>
              <w:tab/>
              <w:t>skógarstjórnunin samsvarar landsbundinni skilgreiningu á sjálfbærri skógarstjórnun, ef einhver er,</w:t>
            </w:r>
          </w:p>
          <w:p w14:paraId="6E42A275" w14:textId="77777777" w:rsidR="002B5657" w:rsidRDefault="002B5657" w:rsidP="00A9140F">
            <w:pPr>
              <w:pStyle w:val="AnnexNumberedText"/>
            </w:pPr>
            <w:r>
              <w:t>b)</w:t>
            </w:r>
            <w:r>
              <w:tab/>
              <w:t>skógarstjórnunin samsvarar skilgreiningu á sjálfbærri skógarstjórnun skóga í Evrópu (</w:t>
            </w:r>
            <w:r>
              <w:rPr>
                <w:rStyle w:val="Tilvsunneanmlsgrein"/>
                <w:sz w:val="18"/>
                <w:szCs w:val="18"/>
              </w:rPr>
              <w:footnoteReference w:id="413"/>
            </w:r>
            <w:r>
              <w:t xml:space="preserve">) og er í samræmi við </w:t>
            </w:r>
            <w:proofErr w:type="spellStart"/>
            <w:r>
              <w:t>samevrópskar</w:t>
            </w:r>
            <w:proofErr w:type="spellEnd"/>
            <w:r>
              <w:t xml:space="preserve"> leiðbeiningar vegna aðgerða á sviði sjálfbærrar skógarstjórnunar (</w:t>
            </w:r>
            <w:r>
              <w:rPr>
                <w:rStyle w:val="Tilvsunneanmlsgrein"/>
                <w:sz w:val="18"/>
                <w:szCs w:val="18"/>
              </w:rPr>
              <w:footnoteReference w:id="414"/>
            </w:r>
            <w:r>
              <w:t>),</w:t>
            </w:r>
          </w:p>
        </w:tc>
      </w:tr>
      <w:tr w:rsidR="002B5657" w14:paraId="208C7A9F" w14:textId="77777777" w:rsidTr="00A9140F">
        <w:trPr>
          <w:trHeight w:val="240"/>
        </w:trPr>
        <w:tc>
          <w:tcPr>
            <w:tcW w:w="2908" w:type="dxa"/>
            <w:tcBorders>
              <w:top w:val="single" w:sz="4" w:space="0" w:color="auto"/>
            </w:tcBorders>
            <w:tcMar>
              <w:top w:w="100" w:type="dxa"/>
              <w:left w:w="0" w:type="dxa"/>
              <w:bottom w:w="100" w:type="dxa"/>
              <w:right w:w="60" w:type="dxa"/>
            </w:tcMar>
          </w:tcPr>
          <w:p w14:paraId="1ECDB1EA" w14:textId="77777777" w:rsidR="002B5657" w:rsidRDefault="002B5657" w:rsidP="00A9140F">
            <w:pPr>
              <w:pStyle w:val="AnnexTableCellLeft"/>
              <w:pageBreakBefore/>
            </w:pPr>
          </w:p>
        </w:tc>
        <w:tc>
          <w:tcPr>
            <w:tcW w:w="5832" w:type="dxa"/>
            <w:tcBorders>
              <w:top w:val="single" w:sz="4" w:space="0" w:color="auto"/>
            </w:tcBorders>
            <w:tcMar>
              <w:top w:w="100" w:type="dxa"/>
              <w:left w:w="40" w:type="dxa"/>
              <w:bottom w:w="100" w:type="dxa"/>
              <w:right w:w="0" w:type="dxa"/>
            </w:tcMar>
          </w:tcPr>
          <w:p w14:paraId="542F2916" w14:textId="77777777" w:rsidR="002B5657" w:rsidRDefault="002B5657" w:rsidP="00A9140F">
            <w:pPr>
              <w:pStyle w:val="AnnexNumberedText"/>
              <w:spacing w:after="220"/>
            </w:pPr>
            <w:r>
              <w:t>c)</w:t>
            </w:r>
            <w:r>
              <w:tab/>
              <w:t xml:space="preserve">stjórnunarkerfið sem er til staðar er í samræmi við viðmiðanir um sjálfbærni skóga eins og skilgreint er í 6. mgr. 29. gr. tilskipunar (ESB) 2018/2001 og, frá og með gildistökudegi hennar, við framkvæmdargerðina um </w:t>
            </w:r>
            <w:proofErr w:type="spellStart"/>
            <w:r>
              <w:t>rekstrarlegar</w:t>
            </w:r>
            <w:proofErr w:type="spellEnd"/>
            <w:r>
              <w:t xml:space="preserve"> leiðbeiningar um orku frá lífmassa úr skógi sem var samþykkt skv. 8. mgr. 29. gr. þeirrar tilskipunar.</w:t>
            </w:r>
          </w:p>
          <w:p w14:paraId="30480AFB" w14:textId="77777777" w:rsidR="002B5657" w:rsidRDefault="002B5657" w:rsidP="00A9140F">
            <w:pPr>
              <w:pStyle w:val="AnnexNumberedText"/>
              <w:tabs>
                <w:tab w:val="left" w:pos="508"/>
              </w:tabs>
              <w:spacing w:after="220"/>
              <w:ind w:left="0" w:firstLine="0"/>
            </w:pPr>
            <w:r>
              <w:t>1.5.</w:t>
            </w:r>
            <w:r>
              <w:tab/>
              <w:t>Starfsemin felur ekki í sér hnignun lands með miklar kolefnisbirgðir (</w:t>
            </w:r>
            <w:r>
              <w:rPr>
                <w:rStyle w:val="Tilvsunneanmlsgrein"/>
                <w:sz w:val="18"/>
              </w:rPr>
              <w:footnoteReference w:id="415"/>
            </w:r>
            <w:r>
              <w:t>).</w:t>
            </w:r>
          </w:p>
          <w:p w14:paraId="56DA1ECB" w14:textId="77777777" w:rsidR="002B5657" w:rsidRDefault="002B5657" w:rsidP="00A9140F">
            <w:pPr>
              <w:pStyle w:val="AnnexNumberedText"/>
              <w:tabs>
                <w:tab w:val="left" w:pos="508"/>
              </w:tabs>
              <w:spacing w:after="220"/>
              <w:ind w:left="0" w:firstLine="0"/>
            </w:pPr>
            <w:r>
              <w:t>1.6.</w:t>
            </w:r>
            <w:r>
              <w:tab/>
              <w:t>Stjórnunarkerfið sem tengist starfseminni sem er til staðar er í samræmi við skylduna um áreiðanleika og lagalegar kröfur sem mælt er fyrir um í reglugerð (ESB) nr. 995/2010.</w:t>
            </w:r>
          </w:p>
          <w:p w14:paraId="08DC22E6" w14:textId="77777777" w:rsidR="002B5657" w:rsidRDefault="002B5657" w:rsidP="00A9140F">
            <w:pPr>
              <w:pStyle w:val="AnnexNumberedText"/>
              <w:tabs>
                <w:tab w:val="left" w:pos="508"/>
              </w:tabs>
              <w:spacing w:after="220"/>
              <w:ind w:left="0" w:firstLine="0"/>
            </w:pPr>
            <w:r>
              <w:t>1.7.</w:t>
            </w:r>
            <w:r>
              <w:tab/>
              <w:t xml:space="preserve">Í skógarstjórnunaráætluninni eða jafngildum </w:t>
            </w:r>
            <w:proofErr w:type="spellStart"/>
            <w:r>
              <w:t>gerningi</w:t>
            </w:r>
            <w:proofErr w:type="spellEnd"/>
            <w:r>
              <w:t xml:space="preserve"> er kveðið á um vöktun sem tryggir að upplýsingarnar í áætluninni séu réttar, einkum að því er varðar gögn sem tengjast hlutaðeigandi svæði.</w:t>
            </w:r>
          </w:p>
          <w:p w14:paraId="00337A2C" w14:textId="77777777" w:rsidR="002B5657" w:rsidRDefault="002B5657" w:rsidP="00A9140F">
            <w:pPr>
              <w:pStyle w:val="AnnexNumberedText"/>
              <w:spacing w:after="220"/>
              <w:ind w:left="360" w:hanging="360"/>
            </w:pPr>
            <w:r>
              <w:t>2.</w:t>
            </w:r>
            <w:r>
              <w:rPr>
                <w:i/>
              </w:rPr>
              <w:tab/>
              <w:t>Úttekt</w:t>
            </w:r>
          </w:p>
          <w:p w14:paraId="51E28854" w14:textId="77777777" w:rsidR="002B5657" w:rsidRDefault="002B5657" w:rsidP="00A9140F">
            <w:pPr>
              <w:pStyle w:val="AnnexTableCellLeft"/>
              <w:spacing w:after="22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7A94EE02" w14:textId="77777777" w:rsidR="002B5657" w:rsidRDefault="002B5657" w:rsidP="00A9140F">
            <w:pPr>
              <w:pStyle w:val="AnnexNumberedText"/>
              <w:spacing w:after="220"/>
            </w:pPr>
            <w:r>
              <w:t>a)</w:t>
            </w:r>
            <w:r>
              <w:tab/>
              <w:t xml:space="preserve">viðeigandi </w:t>
            </w:r>
            <w:proofErr w:type="spellStart"/>
            <w:r>
              <w:t>lögbær</w:t>
            </w:r>
            <w:proofErr w:type="spellEnd"/>
            <w:r>
              <w:t xml:space="preserve"> landsyfirvöld,</w:t>
            </w:r>
          </w:p>
          <w:p w14:paraId="3E7BB5BE" w14:textId="77777777" w:rsidR="002B5657" w:rsidRDefault="002B5657" w:rsidP="00A9140F">
            <w:pPr>
              <w:pStyle w:val="AnnexNumberedText"/>
              <w:spacing w:after="220"/>
            </w:pPr>
            <w:r>
              <w:t>b)</w:t>
            </w:r>
            <w:r>
              <w:tab/>
              <w:t>óháður þriðji aðili, sem er vottunaraðili, að beiðni landsyfirvalda eða rekstraraðila starfseminnar.</w:t>
            </w:r>
          </w:p>
          <w:p w14:paraId="2AF80CF8" w14:textId="77777777" w:rsidR="002B5657" w:rsidRDefault="002B5657" w:rsidP="00A9140F">
            <w:pPr>
              <w:pStyle w:val="AnnexTableCellLeft"/>
              <w:spacing w:after="220"/>
            </w:pPr>
            <w:r>
              <w:t>Í því skyni að draga úr kostnaði er heimilt að framkvæma úttekt samhliða skógarvottun, loftslagsvottun eða annarri úttekt.</w:t>
            </w:r>
          </w:p>
          <w:p w14:paraId="091662DC" w14:textId="77777777" w:rsidR="002B5657" w:rsidRDefault="002B5657" w:rsidP="00A9140F">
            <w:pPr>
              <w:pStyle w:val="AnnexTableCellLeft"/>
              <w:spacing w:after="220"/>
            </w:pPr>
            <w:r>
              <w:t>Óháður þriðji aðili, sem er vottunaraðili, má ekki eiga í neins konar hagsmunaárekstrum við eigandann eða fjármögnunaraðilann og má ekki hafa afskipti af þróun eða rekstri starfseminnar.</w:t>
            </w:r>
          </w:p>
          <w:p w14:paraId="3ADB4074" w14:textId="77777777" w:rsidR="002B5657" w:rsidRDefault="002B5657" w:rsidP="00A9140F">
            <w:pPr>
              <w:pStyle w:val="AnnexNumberedText"/>
              <w:spacing w:after="220"/>
              <w:ind w:left="360" w:hanging="360"/>
            </w:pPr>
            <w:r>
              <w:t>3.</w:t>
            </w:r>
            <w:r>
              <w:rPr>
                <w:i/>
              </w:rPr>
              <w:tab/>
              <w:t>Hópmat</w:t>
            </w:r>
          </w:p>
          <w:p w14:paraId="08447444" w14:textId="77777777" w:rsidR="002B5657" w:rsidRDefault="002B5657" w:rsidP="00A9140F">
            <w:pPr>
              <w:pStyle w:val="AnnexTableCellLeft"/>
              <w:spacing w:after="220"/>
            </w:pPr>
            <w:r>
              <w:t>Hægt er að hafa eftirlit með því hvort farið er að viðmiðunum um að valda ekki umtalsverðu tjóni:</w:t>
            </w:r>
          </w:p>
          <w:p w14:paraId="452D0B2D" w14:textId="77777777" w:rsidR="002B5657" w:rsidRDefault="002B5657" w:rsidP="00A9140F">
            <w:pPr>
              <w:pStyle w:val="AnnexNumberedText"/>
              <w:spacing w:after="220"/>
            </w:pPr>
            <w:r>
              <w:t>a)</w:t>
            </w:r>
            <w:r>
              <w:tab/>
              <w:t>á upprunasvæði skógræktarafurða (</w:t>
            </w:r>
            <w:r>
              <w:rPr>
                <w:rStyle w:val="Tilvsunneanmlsgrein"/>
                <w:sz w:val="18"/>
              </w:rPr>
              <w:footnoteReference w:id="416"/>
            </w:r>
            <w:r>
              <w:t>) eins og skilgreint er í tilskipun (ESB) 2018/2001,</w:t>
            </w:r>
          </w:p>
          <w:p w14:paraId="6C129935" w14:textId="77777777" w:rsidR="002B5657" w:rsidRDefault="002B5657" w:rsidP="00A9140F">
            <w:pPr>
              <w:pStyle w:val="AnnexNumberedText"/>
              <w:spacing w:after="220"/>
            </w:pPr>
            <w:r>
              <w:t>b)</w:t>
            </w:r>
            <w:r>
              <w:tab/>
              <w:t>hjá hópi búa, sem eru nægilega einsleit til að meta áhættu í tengslum við sjálfbærni starfsemi tengda skógum, að því tilskildu að varanleg innbyrðis tengsl séu á milli allra þessara búa og þau taki þátt í starfseminni og að þessi hópur búa haldist óbreyttur í öllum síðari úttektum.</w:t>
            </w:r>
          </w:p>
        </w:tc>
      </w:tr>
      <w:tr w:rsidR="002B5657" w14:paraId="2A4E8B1F" w14:textId="77777777" w:rsidTr="00A9140F">
        <w:trPr>
          <w:trHeight w:val="360"/>
        </w:trPr>
        <w:tc>
          <w:tcPr>
            <w:tcW w:w="2908" w:type="dxa"/>
            <w:tcMar>
              <w:top w:w="100" w:type="dxa"/>
              <w:left w:w="0" w:type="dxa"/>
              <w:bottom w:w="100" w:type="dxa"/>
              <w:right w:w="60" w:type="dxa"/>
            </w:tcMar>
          </w:tcPr>
          <w:p w14:paraId="4848DCAF" w14:textId="77777777" w:rsidR="002B5657" w:rsidRDefault="002B5657" w:rsidP="00A9140F">
            <w:pPr>
              <w:pStyle w:val="AnnexNumberedText"/>
              <w:ind w:left="293" w:hanging="293"/>
            </w:pPr>
            <w:r>
              <w:t>3)</w:t>
            </w:r>
            <w:r>
              <w:tab/>
              <w:t>Sjálfbær notkun og verndun vatns- og sjávarauðlinda</w:t>
            </w:r>
          </w:p>
        </w:tc>
        <w:tc>
          <w:tcPr>
            <w:tcW w:w="5832" w:type="dxa"/>
            <w:tcMar>
              <w:top w:w="100" w:type="dxa"/>
              <w:left w:w="40" w:type="dxa"/>
              <w:bottom w:w="100" w:type="dxa"/>
              <w:right w:w="0" w:type="dxa"/>
            </w:tcMar>
          </w:tcPr>
          <w:p w14:paraId="2E4704E2" w14:textId="77777777" w:rsidR="002B5657" w:rsidRDefault="002B5657" w:rsidP="00A9140F">
            <w:pPr>
              <w:pStyle w:val="AnnexTableCellLeft"/>
              <w:spacing w:after="240"/>
            </w:pPr>
            <w:r>
              <w:t xml:space="preserve">Starfsemin er í samræmi við viðmiðanirnar sem settar eru fram í viðbæti B við </w:t>
            </w:r>
            <w:r>
              <w:lastRenderedPageBreak/>
              <w:t>þennan viðauka.</w:t>
            </w:r>
          </w:p>
          <w:p w14:paraId="75932DBC" w14:textId="77777777" w:rsidR="002B5657" w:rsidRDefault="002B5657" w:rsidP="00A9140F">
            <w:pPr>
              <w:pStyle w:val="AnnexTableCellLeft"/>
            </w:pPr>
            <w:r>
              <w:t xml:space="preserve">Ítarlegar upplýsingar sem um getur í lið 1.2. Í </w:t>
            </w:r>
            <w:proofErr w:type="spellStart"/>
            <w:r>
              <w:t>i-lið</w:t>
            </w:r>
            <w:proofErr w:type="spellEnd"/>
            <w:r>
              <w:t xml:space="preserve"> eru ákvæði um að uppfylla viðmiðanirnar sem settar eru fram í viðbæti B við þennan viðauka.</w:t>
            </w:r>
          </w:p>
        </w:tc>
      </w:tr>
      <w:tr w:rsidR="002B5657" w14:paraId="5E6A2A16" w14:textId="77777777" w:rsidTr="00A9140F">
        <w:trPr>
          <w:trHeight w:val="360"/>
        </w:trPr>
        <w:tc>
          <w:tcPr>
            <w:tcW w:w="2908" w:type="dxa"/>
            <w:tcMar>
              <w:top w:w="100" w:type="dxa"/>
              <w:left w:w="0" w:type="dxa"/>
              <w:bottom w:w="100" w:type="dxa"/>
              <w:right w:w="60" w:type="dxa"/>
            </w:tcMar>
          </w:tcPr>
          <w:p w14:paraId="223BE7A0" w14:textId="77777777" w:rsidR="002B5657" w:rsidRDefault="002B5657" w:rsidP="00A9140F">
            <w:pPr>
              <w:pStyle w:val="AnnexNumberedText"/>
              <w:pageBreakBefore/>
            </w:pPr>
            <w:r>
              <w:lastRenderedPageBreak/>
              <w:t>4)</w:t>
            </w:r>
            <w:r>
              <w:tab/>
              <w:t>Umskipti yfir í hringrásarhagkerfi</w:t>
            </w:r>
          </w:p>
        </w:tc>
        <w:tc>
          <w:tcPr>
            <w:tcW w:w="5832" w:type="dxa"/>
            <w:tcMar>
              <w:top w:w="100" w:type="dxa"/>
              <w:left w:w="40" w:type="dxa"/>
              <w:bottom w:w="100" w:type="dxa"/>
              <w:right w:w="0" w:type="dxa"/>
            </w:tcMar>
          </w:tcPr>
          <w:p w14:paraId="6F31A3EA" w14:textId="77777777" w:rsidR="002B5657" w:rsidRDefault="002B5657" w:rsidP="00A9140F">
            <w:pPr>
              <w:pStyle w:val="AnnexTableCellLeft"/>
              <w:spacing w:after="300"/>
            </w:pPr>
            <w:r>
              <w:t>Breyting á skógrækt, sem starfsemin veldur á svæðinu sem hún nær yfir, er ekki líkleg til að draga umtalsvert úr sjálfbæru framboði á fyrsta stigs lífmassa úr skógi sem hentar til framleiðslu á viðarvörum með langtímamöguleika til hringrásar. Þessa viðmiðun er hægt að sýna fram á með greiningu á loftslagsávinningnum sem um getur í 2. lið.</w:t>
            </w:r>
          </w:p>
        </w:tc>
      </w:tr>
      <w:tr w:rsidR="002B5657" w14:paraId="73883DF9" w14:textId="77777777" w:rsidTr="00A9140F">
        <w:trPr>
          <w:trHeight w:val="360"/>
        </w:trPr>
        <w:tc>
          <w:tcPr>
            <w:tcW w:w="2908" w:type="dxa"/>
            <w:tcBorders>
              <w:bottom w:val="single" w:sz="4" w:space="0" w:color="auto"/>
            </w:tcBorders>
            <w:tcMar>
              <w:top w:w="100" w:type="dxa"/>
              <w:left w:w="0" w:type="dxa"/>
              <w:bottom w:w="100" w:type="dxa"/>
              <w:right w:w="60" w:type="dxa"/>
            </w:tcMar>
          </w:tcPr>
          <w:p w14:paraId="29DD855B" w14:textId="77777777" w:rsidR="002B5657" w:rsidRDefault="002B5657" w:rsidP="00A9140F">
            <w:pPr>
              <w:pStyle w:val="AnnexNumberedText"/>
            </w:pPr>
            <w:r>
              <w:t>5)</w:t>
            </w:r>
            <w:r>
              <w:tab/>
              <w:t>Mengunarvarnir og eftirlit með mengun</w:t>
            </w:r>
          </w:p>
        </w:tc>
        <w:tc>
          <w:tcPr>
            <w:tcW w:w="5832" w:type="dxa"/>
            <w:tcBorders>
              <w:bottom w:val="single" w:sz="4" w:space="0" w:color="auto"/>
            </w:tcBorders>
            <w:tcMar>
              <w:top w:w="100" w:type="dxa"/>
              <w:left w:w="40" w:type="dxa"/>
              <w:bottom w:w="100" w:type="dxa"/>
              <w:right w:w="0" w:type="dxa"/>
            </w:tcMar>
          </w:tcPr>
          <w:p w14:paraId="3251B519" w14:textId="77777777" w:rsidR="002B5657" w:rsidRDefault="002B5657" w:rsidP="00A9140F">
            <w:pPr>
              <w:pStyle w:val="AnnexTableCellLeft"/>
              <w:spacing w:after="300"/>
            </w:pPr>
            <w:r>
              <w:t>Í starfseminni eru hvorki notuð varnarefni né áburður.</w:t>
            </w:r>
          </w:p>
          <w:p w14:paraId="039D4D0A" w14:textId="77777777" w:rsidR="002B5657" w:rsidRDefault="002B5657" w:rsidP="00A9140F">
            <w:pPr>
              <w:pStyle w:val="AnnexTableCellLeft"/>
              <w:spacing w:after="300"/>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rPr>
              <w:footnoteReference w:id="417"/>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rPr>
              <w:footnoteReference w:id="418"/>
            </w:r>
            <w:r>
              <w:t>). Starfsemin er í samræmi við viðeigandi landslög um virk innihaldsefni.</w:t>
            </w:r>
          </w:p>
          <w:p w14:paraId="44A11AA6" w14:textId="77777777" w:rsidR="002B5657" w:rsidRDefault="002B5657" w:rsidP="00A9140F">
            <w:pPr>
              <w:pStyle w:val="AnnexTableCellLeft"/>
              <w:spacing w:after="300"/>
            </w:pPr>
            <w:r>
              <w:t>Komið er í veg fyrir mengun vatns og jarðvegs og gripið til hreinsunarráðstafana þegar mengun á sér stað.</w:t>
            </w:r>
          </w:p>
        </w:tc>
      </w:tr>
      <w:tr w:rsidR="002B5657" w14:paraId="17031D5C" w14:textId="77777777" w:rsidTr="00A9140F">
        <w:trPr>
          <w:trHeight w:val="360"/>
        </w:trPr>
        <w:tc>
          <w:tcPr>
            <w:tcW w:w="2908" w:type="dxa"/>
            <w:vMerge w:val="restart"/>
            <w:tcBorders>
              <w:bottom w:val="nil"/>
            </w:tcBorders>
            <w:tcMar>
              <w:top w:w="100" w:type="dxa"/>
              <w:left w:w="0" w:type="dxa"/>
              <w:bottom w:w="100" w:type="dxa"/>
              <w:right w:w="60" w:type="dxa"/>
            </w:tcMar>
          </w:tcPr>
          <w:p w14:paraId="4CBE7A55" w14:textId="77777777" w:rsidR="002B5657" w:rsidRDefault="002B5657" w:rsidP="00A9140F">
            <w:pPr>
              <w:pStyle w:val="AnnexNumberedText"/>
              <w:ind w:left="293" w:hanging="293"/>
            </w:pPr>
            <w:r>
              <w:t>6)</w:t>
            </w:r>
            <w:r>
              <w:tab/>
              <w:t>Vernd og endurheimt líffræðilegrar fjölbreytni og vistkerfa</w:t>
            </w:r>
          </w:p>
        </w:tc>
        <w:tc>
          <w:tcPr>
            <w:tcW w:w="5832" w:type="dxa"/>
            <w:tcBorders>
              <w:bottom w:val="nil"/>
            </w:tcBorders>
            <w:tcMar>
              <w:top w:w="100" w:type="dxa"/>
              <w:left w:w="40" w:type="dxa"/>
              <w:bottom w:w="100" w:type="dxa"/>
              <w:right w:w="0" w:type="dxa"/>
            </w:tcMar>
          </w:tcPr>
          <w:p w14:paraId="4267F8E7" w14:textId="77777777" w:rsidR="002B5657" w:rsidRDefault="002B5657" w:rsidP="00A9140F">
            <w:pPr>
              <w:pStyle w:val="AnnexTableCellLeft"/>
              <w:spacing w:after="30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29C49095" w14:textId="77777777" w:rsidR="002B5657" w:rsidRDefault="002B5657" w:rsidP="00A9140F">
            <w:pPr>
              <w:pStyle w:val="AnnexTableCellLeft"/>
              <w:spacing w:after="300"/>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74EB75B9" w14:textId="77777777" w:rsidR="002B5657" w:rsidRDefault="002B5657" w:rsidP="00A9140F">
            <w:pPr>
              <w:pStyle w:val="AnnexTableCellLeft"/>
              <w:spacing w:after="300"/>
            </w:pPr>
            <w:r>
              <w:t xml:space="preserve">Ítarlegu upplýsingarnar sem um getur í </w:t>
            </w:r>
            <w:proofErr w:type="spellStart"/>
            <w:r>
              <w:t>i-lið</w:t>
            </w:r>
            <w:proofErr w:type="spellEnd"/>
            <w:r>
              <w:t xml:space="preserve"> í lið 1.2 innihalda ákvæði um viðhald og mögulega eflingu líffræðilegrar fjölbreytni í samræmi við landsbundin og staðbundin ákvæði, þ.m.t. eftirfarandi:</w:t>
            </w:r>
          </w:p>
          <w:p w14:paraId="081032FF" w14:textId="77777777" w:rsidR="002B5657" w:rsidRDefault="002B5657" w:rsidP="00A9140F">
            <w:pPr>
              <w:pStyle w:val="AnnexNumberedText"/>
              <w:spacing w:after="300"/>
            </w:pPr>
            <w:r>
              <w:t>a)</w:t>
            </w:r>
            <w:r>
              <w:tab/>
              <w:t>að tryggja góða varðveislustöðu búsvæðis og tegunda; viðhald dæmigerðra tegunda á búsvæði,</w:t>
            </w:r>
          </w:p>
          <w:p w14:paraId="70810C9E" w14:textId="77777777" w:rsidR="002B5657" w:rsidRDefault="002B5657" w:rsidP="00A9140F">
            <w:pPr>
              <w:pStyle w:val="AnnexNumberedText"/>
              <w:spacing w:after="300"/>
            </w:pPr>
            <w:r>
              <w:t>b)</w:t>
            </w:r>
            <w:r>
              <w:tab/>
              <w:t xml:space="preserve">að undanskilja notkun á eða </w:t>
            </w:r>
            <w:proofErr w:type="spellStart"/>
            <w:r>
              <w:t>sleppingu</w:t>
            </w:r>
            <w:proofErr w:type="spellEnd"/>
            <w:r>
              <w:t xml:space="preserve"> ágengra framandi tegunda,</w:t>
            </w:r>
          </w:p>
          <w:p w14:paraId="21CDFB24" w14:textId="77777777" w:rsidR="002B5657" w:rsidRDefault="002B5657" w:rsidP="00A9140F">
            <w:pPr>
              <w:pStyle w:val="AnnexNumberedText"/>
              <w:spacing w:after="300"/>
            </w:pPr>
            <w:r>
              <w:t>c)</w:t>
            </w:r>
            <w:r>
              <w:tab/>
              <w:t>að undanskilja notkun á framandi tegundum nema unnt sé að sýna fram á að:</w:t>
            </w:r>
          </w:p>
          <w:p w14:paraId="762863B9" w14:textId="77777777" w:rsidR="002B5657" w:rsidRDefault="002B5657" w:rsidP="00A9140F">
            <w:pPr>
              <w:pStyle w:val="AnnexNumberedText"/>
              <w:spacing w:after="300"/>
              <w:ind w:left="600"/>
            </w:pPr>
            <w:r>
              <w:t>i.</w:t>
            </w:r>
            <w:r>
              <w:tab/>
              <w:t>notkun á fjölgunarefni í skógrækt leiði til hagstæðara og viðeigandi ástands vistkerfisins (s.s. loftslag, jarðvegsskilyrði og gróðursvæði, viðnám gegn skógareldum),</w:t>
            </w:r>
          </w:p>
          <w:p w14:paraId="0686B3A3" w14:textId="77777777" w:rsidR="002B5657" w:rsidRDefault="002B5657" w:rsidP="00A9140F">
            <w:pPr>
              <w:pStyle w:val="AnnexNumberedText"/>
              <w:spacing w:after="300"/>
              <w:ind w:left="600"/>
            </w:pPr>
            <w:r>
              <w:t>ii.</w:t>
            </w:r>
            <w:r>
              <w:tab/>
              <w:t>innlendar tegundir, sem eru þegar til staðar á svæðinu, eru ekki lengur aðlagaðar að framreiknuðum loftslagsskilyrðum og jarðvegsfræðilegum/vatnafræðilegum skilyrðum,</w:t>
            </w:r>
          </w:p>
          <w:p w14:paraId="78A61867" w14:textId="77777777" w:rsidR="002B5657" w:rsidRDefault="002B5657" w:rsidP="00A9140F">
            <w:pPr>
              <w:pStyle w:val="AnnexNumberedText"/>
              <w:spacing w:after="80"/>
            </w:pPr>
            <w:r>
              <w:lastRenderedPageBreak/>
              <w:t>d)</w:t>
            </w:r>
            <w:r>
              <w:tab/>
              <w:t xml:space="preserve">að tryggja viðhald og úrbætur á </w:t>
            </w:r>
            <w:proofErr w:type="spellStart"/>
            <w:r>
              <w:t>eðlisrænum</w:t>
            </w:r>
            <w:proofErr w:type="spellEnd"/>
            <w:r>
              <w:t>, efnafræðilegum og líffræðilegum gæðum jarðvegsins,</w:t>
            </w:r>
          </w:p>
        </w:tc>
      </w:tr>
      <w:tr w:rsidR="002B5657" w14:paraId="7E3E2792" w14:textId="77777777" w:rsidTr="00A9140F">
        <w:trPr>
          <w:trHeight w:val="240"/>
        </w:trPr>
        <w:tc>
          <w:tcPr>
            <w:tcW w:w="2908" w:type="dxa"/>
            <w:vMerge/>
            <w:tcBorders>
              <w:top w:val="single" w:sz="4" w:space="0" w:color="auto"/>
            </w:tcBorders>
            <w:tcMar>
              <w:top w:w="100" w:type="dxa"/>
              <w:left w:w="0" w:type="dxa"/>
              <w:bottom w:w="100" w:type="dxa"/>
              <w:right w:w="60" w:type="dxa"/>
            </w:tcMar>
          </w:tcPr>
          <w:p w14:paraId="6D8A024C" w14:textId="77777777" w:rsidR="002B5657" w:rsidRDefault="002B5657" w:rsidP="00A9140F">
            <w:pPr>
              <w:pStyle w:val="Para"/>
            </w:pPr>
          </w:p>
        </w:tc>
        <w:tc>
          <w:tcPr>
            <w:tcW w:w="5832" w:type="dxa"/>
            <w:tcBorders>
              <w:top w:val="single" w:sz="4" w:space="0" w:color="auto"/>
            </w:tcBorders>
            <w:tcMar>
              <w:top w:w="100" w:type="dxa"/>
              <w:left w:w="40" w:type="dxa"/>
              <w:bottom w:w="100" w:type="dxa"/>
              <w:right w:w="0" w:type="dxa"/>
            </w:tcMar>
          </w:tcPr>
          <w:p w14:paraId="6287206F" w14:textId="77777777" w:rsidR="002B5657" w:rsidRDefault="002B5657" w:rsidP="00A9140F">
            <w:pPr>
              <w:pStyle w:val="AnnexNumberedText"/>
              <w:spacing w:after="200"/>
            </w:pPr>
            <w:r>
              <w:t>e)</w:t>
            </w:r>
            <w:r>
              <w:tab/>
              <w:t>að efla starfsvenjur sem gagnast líffræðilegri fjölbreytni og bæta náttúrulegt ferli skóga,</w:t>
            </w:r>
          </w:p>
          <w:p w14:paraId="74F421DB" w14:textId="77777777" w:rsidR="002B5657" w:rsidRDefault="002B5657" w:rsidP="00A9140F">
            <w:pPr>
              <w:pStyle w:val="AnnexNumberedText"/>
              <w:spacing w:after="200"/>
            </w:pPr>
            <w:r>
              <w:t>f)</w:t>
            </w:r>
            <w:r>
              <w:tab/>
              <w:t>að útiloka umbreytingu vistkerfa þar sem líffræðileg fjölbreytni er mikil yfir í vistkerfi þar sem líffræðileg fjölbreytni er minni,</w:t>
            </w:r>
          </w:p>
          <w:p w14:paraId="54C3BF1A" w14:textId="77777777" w:rsidR="002B5657" w:rsidRDefault="002B5657" w:rsidP="00A9140F">
            <w:pPr>
              <w:pStyle w:val="AnnexNumberedText"/>
              <w:spacing w:after="200"/>
            </w:pPr>
            <w:r>
              <w:t>g)</w:t>
            </w:r>
            <w:r>
              <w:tab/>
              <w:t>að tryggja fjölbreytni tengdra búsvæða og tegunda sem tengjast skóginum,</w:t>
            </w:r>
          </w:p>
          <w:p w14:paraId="74871BB0" w14:textId="77777777" w:rsidR="002B5657" w:rsidRDefault="002B5657" w:rsidP="00A9140F">
            <w:pPr>
              <w:pStyle w:val="AnnexNumberedText"/>
              <w:spacing w:after="200"/>
            </w:pPr>
            <w:r>
              <w:t>h)</w:t>
            </w:r>
            <w:r>
              <w:tab/>
              <w:t>að tryggja fjölbreytni í formgerð skógarteiga og að viðhalda eða efla fullvaxta skógarteiga og dauðan við.</w:t>
            </w:r>
          </w:p>
        </w:tc>
      </w:tr>
    </w:tbl>
    <w:p w14:paraId="3180F6F7" w14:textId="77777777" w:rsidR="002B5657" w:rsidRDefault="002B5657" w:rsidP="002B5657">
      <w:pPr>
        <w:pStyle w:val="AnnexNumberedText"/>
        <w:spacing w:before="200" w:after="140"/>
        <w:ind w:left="500" w:hanging="500"/>
        <w:rPr>
          <w:sz w:val="16"/>
        </w:rPr>
      </w:pPr>
      <w:r>
        <w:t>2.</w:t>
      </w:r>
      <w:r>
        <w:tab/>
      </w:r>
      <w:r>
        <w:rPr>
          <w:sz w:val="16"/>
        </w:rPr>
        <w:t>STARFSEMI Á SVIÐI UMHVERFISVERNDAR OG ENDURHEIMTAR</w:t>
      </w:r>
    </w:p>
    <w:p w14:paraId="3B8F1D00" w14:textId="77777777" w:rsidR="002B5657" w:rsidRDefault="002B5657" w:rsidP="002B5657">
      <w:pPr>
        <w:pStyle w:val="AnnexNumberedText"/>
        <w:spacing w:after="140"/>
        <w:ind w:left="500" w:hanging="500"/>
      </w:pPr>
      <w:r>
        <w:t>2.1.</w:t>
      </w:r>
      <w:r>
        <w:rPr>
          <w:b/>
        </w:rPr>
        <w:tab/>
        <w:t>Endurheimt votlendis</w:t>
      </w:r>
    </w:p>
    <w:p w14:paraId="7C585679" w14:textId="77777777" w:rsidR="002B5657" w:rsidRDefault="002B5657" w:rsidP="002B5657">
      <w:pPr>
        <w:pStyle w:val="AnnexGrSeq3"/>
        <w:spacing w:after="140"/>
        <w:ind w:left="500"/>
        <w:jc w:val="both"/>
      </w:pPr>
      <w:r>
        <w:rPr>
          <w:i/>
        </w:rPr>
        <w:t>Lýsing á starfseminni</w:t>
      </w:r>
    </w:p>
    <w:p w14:paraId="63FA591D" w14:textId="77777777" w:rsidR="002B5657" w:rsidRDefault="002B5657" w:rsidP="002B5657">
      <w:pPr>
        <w:pStyle w:val="AnnexNormal"/>
        <w:spacing w:after="140"/>
        <w:ind w:left="500"/>
        <w:rPr>
          <w:szCs w:val="18"/>
        </w:rPr>
      </w:pPr>
      <w:r>
        <w:t>Endurheimt votlendis vísar til atvinnustarfsemi sem stuðlar að afturhvarfi til upprunalegs ástands votlendis og atvinnustarfsemi sem bætir starfsemi votlendis án þess að stuðla endilega að afturhvarfi til ástandsins áður en því var raskað, þar sem votlendi merkir land sem samsvarar alþjóðlegu skilgreiningunni á votlendi (</w:t>
      </w:r>
      <w:bookmarkStart w:id="76" w:name="NOTE_418"/>
      <w:r>
        <w:rPr>
          <w:rStyle w:val="Tilvsunneanmlsgrein"/>
          <w:sz w:val="18"/>
          <w:szCs w:val="18"/>
        </w:rPr>
        <w:footnoteReference w:id="419"/>
      </w:r>
      <w:bookmarkEnd w:id="76"/>
      <w:r>
        <w:t xml:space="preserve">) eða á </w:t>
      </w:r>
      <w:proofErr w:type="spellStart"/>
      <w:r>
        <w:t>mómýri</w:t>
      </w:r>
      <w:proofErr w:type="spellEnd"/>
      <w:r>
        <w:t xml:space="preserve"> (</w:t>
      </w:r>
      <w:bookmarkStart w:id="77" w:name="NOTE_419"/>
      <w:r>
        <w:rPr>
          <w:rStyle w:val="Tilvsunneanmlsgrein"/>
          <w:sz w:val="18"/>
          <w:szCs w:val="18"/>
        </w:rPr>
        <w:footnoteReference w:id="420"/>
      </w:r>
      <w:bookmarkEnd w:id="77"/>
      <w:r>
        <w:t>) eins og sett er fram í samþykktinni um votlendi sem hafa alþjóðlegt gildi, einkum fyrir fuglalíf (</w:t>
      </w:r>
      <w:proofErr w:type="spellStart"/>
      <w:r>
        <w:t>Ramsar</w:t>
      </w:r>
      <w:proofErr w:type="spellEnd"/>
      <w:r>
        <w:t>-samþykktin) (</w:t>
      </w:r>
      <w:bookmarkStart w:id="78" w:name="NOTE_420"/>
      <w:r>
        <w:rPr>
          <w:rStyle w:val="Tilvsunneanmlsgrein"/>
          <w:sz w:val="18"/>
          <w:szCs w:val="18"/>
        </w:rPr>
        <w:footnoteReference w:id="421"/>
      </w:r>
      <w:bookmarkEnd w:id="78"/>
      <w:r>
        <w:t>). Hlutaðeigandi svæði samsvarar skilgreiningu Sambandsins á votlendi eins og kveðið er á um í orðsendingu framkvæmdastjórnarinnar um skynsamlega nýtingu og vernd votlendis (</w:t>
      </w:r>
      <w:bookmarkStart w:id="79" w:name="NOTE_421"/>
      <w:r>
        <w:rPr>
          <w:rStyle w:val="Tilvsunneanmlsgrein"/>
          <w:sz w:val="18"/>
          <w:szCs w:val="18"/>
        </w:rPr>
        <w:footnoteReference w:id="422"/>
      </w:r>
      <w:bookmarkEnd w:id="79"/>
      <w:r>
        <w:t>).</w:t>
      </w:r>
    </w:p>
    <w:p w14:paraId="1639A2CD" w14:textId="77777777" w:rsidR="002B5657" w:rsidRDefault="002B5657" w:rsidP="002B5657">
      <w:pPr>
        <w:pStyle w:val="AnnexNormal"/>
        <w:spacing w:after="140"/>
        <w:ind w:left="500"/>
        <w:rPr>
          <w:szCs w:val="18"/>
        </w:rPr>
      </w:pPr>
      <w:r>
        <w:t>Atvinnustarfsemin í þessum flokki er ekki með sérstakan kóða atvinnugreinaflokkunar Evrópusambandsins, eins og um getur í atvinnugreinaflokkuninni sem komið var á með reglugerð (EB) nr. 1893/2006, heldur er vísað til 6. flokks í tölfræðilegu flokkuninni á umhverfisverndaraðgerðum (CEPA) sem komið var á með reglugerð (ESB) nr. 691/2011.</w:t>
      </w:r>
    </w:p>
    <w:p w14:paraId="3C275037" w14:textId="77777777" w:rsidR="002B5657" w:rsidRDefault="002B5657" w:rsidP="002B5657">
      <w:pPr>
        <w:pStyle w:val="AnnexNormal"/>
        <w:spacing w:after="140"/>
        <w:ind w:left="500"/>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4B3D1B3B" w14:textId="77777777" w:rsidR="002B5657" w:rsidRDefault="002B5657" w:rsidP="002B5657">
      <w:pPr>
        <w:pStyle w:val="AnnexGrSeq3"/>
        <w:spacing w:after="1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96"/>
        <w:gridCol w:w="5844"/>
      </w:tblGrid>
      <w:tr w:rsidR="002B5657" w14:paraId="00B75D21"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024A8AB1" w14:textId="77777777" w:rsidR="002B5657" w:rsidRDefault="002B5657" w:rsidP="00A9140F">
            <w:pPr>
              <w:pStyle w:val="AnnexTableCellLeft"/>
            </w:pPr>
            <w:r>
              <w:t>Verulegt framlag til aðlögunar að loftslagsbreytingum</w:t>
            </w:r>
          </w:p>
        </w:tc>
      </w:tr>
      <w:tr w:rsidR="002B5657" w14:paraId="2E21B2A5" w14:textId="77777777" w:rsidTr="00A9140F">
        <w:trPr>
          <w:trHeight w:val="360"/>
        </w:trPr>
        <w:tc>
          <w:tcPr>
            <w:tcW w:w="8740" w:type="dxa"/>
            <w:gridSpan w:val="2"/>
            <w:tcBorders>
              <w:bottom w:val="nil"/>
            </w:tcBorders>
            <w:tcMar>
              <w:top w:w="100" w:type="dxa"/>
              <w:left w:w="0" w:type="dxa"/>
              <w:bottom w:w="100" w:type="dxa"/>
              <w:right w:w="60" w:type="dxa"/>
            </w:tcMar>
          </w:tcPr>
          <w:p w14:paraId="157C70A4" w14:textId="77777777" w:rsidR="002B5657" w:rsidRDefault="002B5657" w:rsidP="00A9140F">
            <w:pPr>
              <w:pStyle w:val="AnnexNumberedText"/>
              <w:tabs>
                <w:tab w:val="left" w:pos="508"/>
              </w:tabs>
              <w:spacing w:after="1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1FA1026" w14:textId="77777777" w:rsidR="002B5657" w:rsidRDefault="002B5657" w:rsidP="00A9140F">
            <w:pPr>
              <w:pStyle w:val="AnnexNumberedText"/>
              <w:tabs>
                <w:tab w:val="left" w:pos="508"/>
              </w:tabs>
              <w:spacing w:after="1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14A60F2" w14:textId="77777777" w:rsidR="002B5657" w:rsidRDefault="002B5657" w:rsidP="00A9140F">
            <w:pPr>
              <w:pStyle w:val="AnnexNumberedText"/>
              <w:spacing w:after="100"/>
            </w:pPr>
            <w:r>
              <w:t>a)</w:t>
            </w:r>
            <w:r>
              <w:tab/>
              <w:t xml:space="preserve">skimun á starfseminni til að greina hvaða efnislega loftslagsáhætta úr skránni í viðbæti A við þennan viðauka getur </w:t>
            </w:r>
            <w:r>
              <w:lastRenderedPageBreak/>
              <w:t>haft áhrif á árangurinn af atvinnustarfseminni á væntum líftíma hennar,</w:t>
            </w:r>
          </w:p>
          <w:p w14:paraId="2D75F97C" w14:textId="77777777" w:rsidR="002B5657" w:rsidRDefault="002B5657" w:rsidP="00A9140F">
            <w:pPr>
              <w:pStyle w:val="AnnexNumberedText"/>
              <w:spacing w:after="10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21F0CE29" w14:textId="77777777" w:rsidR="002B5657" w:rsidRDefault="002B5657" w:rsidP="00A9140F">
            <w:pPr>
              <w:pStyle w:val="AnnexNumberedText"/>
              <w:spacing w:after="0"/>
            </w:pPr>
            <w:r>
              <w:t>c)</w:t>
            </w:r>
            <w:r>
              <w:tab/>
              <w:t>mat á aðlögunarlausnum sem geta dregið úr greindri efnislegri loftslagsáhættu.</w:t>
            </w:r>
          </w:p>
        </w:tc>
      </w:tr>
      <w:tr w:rsidR="002B5657" w14:paraId="12BC6DB7" w14:textId="77777777" w:rsidTr="00A9140F">
        <w:trPr>
          <w:trHeight w:val="360"/>
        </w:trPr>
        <w:tc>
          <w:tcPr>
            <w:tcW w:w="8740" w:type="dxa"/>
            <w:gridSpan w:val="2"/>
            <w:tcBorders>
              <w:top w:val="nil"/>
              <w:bottom w:val="nil"/>
            </w:tcBorders>
            <w:tcMar>
              <w:top w:w="100" w:type="dxa"/>
              <w:left w:w="0" w:type="dxa"/>
              <w:bottom w:w="100" w:type="dxa"/>
              <w:right w:w="60" w:type="dxa"/>
            </w:tcMar>
          </w:tcPr>
          <w:p w14:paraId="5DCF1CCF" w14:textId="77777777" w:rsidR="002B5657" w:rsidRDefault="002B5657" w:rsidP="00A9140F">
            <w:pPr>
              <w:pStyle w:val="AnnexTableCellLeft"/>
              <w:pageBreakBefore/>
              <w:spacing w:after="400"/>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6D912C3B" w14:textId="77777777" w:rsidR="002B5657" w:rsidRDefault="002B5657" w:rsidP="00A9140F">
            <w:pPr>
              <w:pStyle w:val="AnnexNumberedText"/>
              <w:spacing w:after="4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55AB703" w14:textId="77777777" w:rsidR="002B5657" w:rsidRDefault="002B5657" w:rsidP="00A9140F">
            <w:pPr>
              <w:pStyle w:val="AnnexNumberedText"/>
              <w:spacing w:after="40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2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42BD75D" w14:textId="77777777" w:rsidR="002B5657" w:rsidRDefault="002B5657" w:rsidP="00A9140F">
            <w:pPr>
              <w:pStyle w:val="AnnexNumberedText"/>
              <w:tabs>
                <w:tab w:val="left" w:pos="508"/>
              </w:tabs>
              <w:spacing w:after="40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24"/>
            </w:r>
            <w:r>
              <w:t>), vísindalegt ritrýnt útgefið efni og líkön með opnum aðgangi (</w:t>
            </w:r>
            <w:r>
              <w:rPr>
                <w:rStyle w:val="Tilvsunneanmlsgrein"/>
                <w:sz w:val="18"/>
              </w:rPr>
              <w:footnoteReference w:id="425"/>
            </w:r>
            <w:r>
              <w:t>) eða gegn greiðslu.</w:t>
            </w:r>
          </w:p>
          <w:p w14:paraId="10F1EC92" w14:textId="77777777" w:rsidR="002B5657" w:rsidRDefault="002B5657" w:rsidP="00A9140F">
            <w:pPr>
              <w:pStyle w:val="AnnexNumberedText"/>
              <w:tabs>
                <w:tab w:val="left" w:pos="508"/>
              </w:tabs>
              <w:spacing w:after="400"/>
              <w:ind w:left="0" w:firstLine="0"/>
            </w:pPr>
            <w:r>
              <w:t>4.</w:t>
            </w:r>
            <w:r>
              <w:tab/>
              <w:t>Aðlögunarlausnir sem komið er í framkvæmd:</w:t>
            </w:r>
          </w:p>
          <w:p w14:paraId="2C0D5217" w14:textId="77777777" w:rsidR="002B5657" w:rsidRDefault="002B5657" w:rsidP="00A9140F">
            <w:pPr>
              <w:pStyle w:val="AnnexNumberedText"/>
              <w:spacing w:after="400"/>
            </w:pPr>
            <w:r>
              <w:t>a)</w:t>
            </w:r>
            <w:r>
              <w:tab/>
              <w:t>hafa ekki neikvæð áhrif á viðleitni til aðlögunar eða viðnám annars fólks, náttúru, menningararfleifðar, eigna og annarrar atvinnustarfsemi gegn efnislegri loftslagsáhættu,</w:t>
            </w:r>
          </w:p>
          <w:p w14:paraId="161306E9" w14:textId="77777777" w:rsidR="002B5657" w:rsidRDefault="002B5657" w:rsidP="00A9140F">
            <w:pPr>
              <w:pStyle w:val="AnnexNumberedText"/>
              <w:spacing w:after="400"/>
            </w:pPr>
            <w:r>
              <w:t>b)</w:t>
            </w:r>
            <w:r>
              <w:tab/>
              <w:t>eru með náttúrumiðaðar lausnir (</w:t>
            </w:r>
            <w:r>
              <w:rPr>
                <w:rStyle w:val="Tilvsunneanmlsgrein"/>
                <w:sz w:val="18"/>
              </w:rPr>
              <w:footnoteReference w:id="426"/>
            </w:r>
            <w:r>
              <w:t>) í forgangi eða treyst er á bláa eða græna innviði (</w:t>
            </w:r>
            <w:r>
              <w:rPr>
                <w:rStyle w:val="Tilvsunneanmlsgrein"/>
                <w:sz w:val="18"/>
              </w:rPr>
              <w:footnoteReference w:id="427"/>
            </w:r>
            <w:r>
              <w:t>) að því marki sem mögulegt er,</w:t>
            </w:r>
          </w:p>
          <w:p w14:paraId="72FCE837" w14:textId="77777777" w:rsidR="002B5657" w:rsidRDefault="002B5657" w:rsidP="00A9140F">
            <w:pPr>
              <w:pStyle w:val="AnnexNumberedText"/>
              <w:spacing w:after="400"/>
            </w:pPr>
            <w:r>
              <w:t>c)</w:t>
            </w:r>
            <w:r>
              <w:tab/>
              <w:t>eru í samræmi við staðbundnar, geirabundnar, svæðisbundnar eða landsbundnar aðlögunarstefnur og -áætlanir,</w:t>
            </w:r>
          </w:p>
          <w:p w14:paraId="6B65826F" w14:textId="77777777" w:rsidR="002B5657" w:rsidRDefault="002B5657" w:rsidP="00A9140F">
            <w:pPr>
              <w:pStyle w:val="AnnexNumberedText"/>
              <w:spacing w:after="4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049D14A" w14:textId="77777777" w:rsidR="002B5657" w:rsidRDefault="002B5657" w:rsidP="00A9140F">
            <w:pPr>
              <w:pStyle w:val="AnnexNumberedText"/>
              <w:spacing w:after="40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1AEECC31" w14:textId="77777777" w:rsidR="002B5657" w:rsidRDefault="002B5657" w:rsidP="00A9140F">
            <w:pPr>
              <w:pStyle w:val="AnnexNumberedText"/>
              <w:tabs>
                <w:tab w:val="left" w:pos="508"/>
              </w:tabs>
              <w:spacing w:after="40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561C3224" w14:textId="77777777" w:rsidR="002B5657" w:rsidRDefault="002B5657" w:rsidP="00A9140F">
            <w:pPr>
              <w:pStyle w:val="AnnexNumberedText"/>
              <w:spacing w:after="0"/>
            </w:pPr>
            <w:r>
              <w:t>a)</w:t>
            </w:r>
            <w:r>
              <w:tab/>
              <w:t>auki viðnám gegn efnislegri loftslagsáhættu fyrir annað fólk, náttúru, menningararfleifð, eignir og aðra atvinnustarfsemi,</w:t>
            </w:r>
          </w:p>
        </w:tc>
      </w:tr>
      <w:tr w:rsidR="002B5657" w14:paraId="1527E564" w14:textId="77777777" w:rsidTr="00A9140F">
        <w:trPr>
          <w:trHeight w:val="360"/>
        </w:trPr>
        <w:tc>
          <w:tcPr>
            <w:tcW w:w="8740" w:type="dxa"/>
            <w:gridSpan w:val="2"/>
            <w:tcBorders>
              <w:top w:val="nil"/>
            </w:tcBorders>
            <w:tcMar>
              <w:top w:w="100" w:type="dxa"/>
              <w:left w:w="0" w:type="dxa"/>
              <w:bottom w:w="100" w:type="dxa"/>
              <w:right w:w="60" w:type="dxa"/>
            </w:tcMar>
          </w:tcPr>
          <w:p w14:paraId="61C9C8C4" w14:textId="77777777" w:rsidR="002B5657" w:rsidRDefault="002B5657" w:rsidP="00A9140F">
            <w:pPr>
              <w:pStyle w:val="AnnexNumberedText"/>
              <w:pageBreakBefore/>
            </w:pPr>
            <w:r>
              <w:lastRenderedPageBreak/>
              <w:t>b)</w:t>
            </w:r>
            <w:r>
              <w:tab/>
              <w:t>stuðli að aðlögunarviðleitni annars fólks, náttúru, menningararfleifðar, eigna og annarrar atvinnustarfsemi.</w:t>
            </w:r>
          </w:p>
        </w:tc>
      </w:tr>
      <w:tr w:rsidR="002B5657" w14:paraId="7D725B2A" w14:textId="77777777" w:rsidTr="00A9140F">
        <w:trPr>
          <w:trHeight w:val="240"/>
        </w:trPr>
        <w:tc>
          <w:tcPr>
            <w:tcW w:w="8740" w:type="dxa"/>
            <w:gridSpan w:val="2"/>
            <w:tcMar>
              <w:top w:w="100" w:type="dxa"/>
              <w:left w:w="0" w:type="dxa"/>
              <w:bottom w:w="100" w:type="dxa"/>
              <w:right w:w="60" w:type="dxa"/>
            </w:tcMar>
          </w:tcPr>
          <w:p w14:paraId="3697ED2B" w14:textId="77777777" w:rsidR="002B5657" w:rsidRDefault="002B5657" w:rsidP="00A9140F">
            <w:pPr>
              <w:pStyle w:val="AnnexTableCellLeft"/>
            </w:pPr>
            <w:r>
              <w:t>Ekki valda umtalsverðu tjóni</w:t>
            </w:r>
          </w:p>
        </w:tc>
      </w:tr>
      <w:tr w:rsidR="002B5657" w14:paraId="1697BF42" w14:textId="77777777" w:rsidTr="00A9140F">
        <w:trPr>
          <w:trHeight w:val="360"/>
        </w:trPr>
        <w:tc>
          <w:tcPr>
            <w:tcW w:w="2896" w:type="dxa"/>
            <w:tcMar>
              <w:top w:w="100" w:type="dxa"/>
              <w:left w:w="0" w:type="dxa"/>
              <w:bottom w:w="100" w:type="dxa"/>
              <w:right w:w="60" w:type="dxa"/>
            </w:tcMar>
          </w:tcPr>
          <w:p w14:paraId="27206494" w14:textId="77777777" w:rsidR="002B5657" w:rsidRDefault="002B5657" w:rsidP="00A9140F">
            <w:pPr>
              <w:pStyle w:val="AnnexNumberedText"/>
              <w:ind w:left="293" w:hanging="293"/>
            </w:pPr>
            <w:r>
              <w:t>1)</w:t>
            </w:r>
            <w:r>
              <w:tab/>
              <w:t>Mildun loftslagsbreytinga</w:t>
            </w:r>
          </w:p>
        </w:tc>
        <w:tc>
          <w:tcPr>
            <w:tcW w:w="5844" w:type="dxa"/>
            <w:tcMar>
              <w:top w:w="100" w:type="dxa"/>
              <w:left w:w="40" w:type="dxa"/>
              <w:bottom w:w="100" w:type="dxa"/>
              <w:right w:w="0" w:type="dxa"/>
            </w:tcMar>
          </w:tcPr>
          <w:p w14:paraId="20BF413B" w14:textId="77777777" w:rsidR="002B5657" w:rsidRDefault="002B5657" w:rsidP="00A9140F">
            <w:pPr>
              <w:pStyle w:val="AnnexNumberedText"/>
              <w:spacing w:after="360"/>
              <w:ind w:left="360" w:hanging="360"/>
            </w:pPr>
            <w:r>
              <w:t>1.</w:t>
            </w:r>
            <w:r>
              <w:rPr>
                <w:i/>
              </w:rPr>
              <w:tab/>
              <w:t>Áætlun um endurheimt</w:t>
            </w:r>
          </w:p>
          <w:p w14:paraId="64364880" w14:textId="77777777" w:rsidR="002B5657" w:rsidRDefault="002B5657" w:rsidP="00A9140F">
            <w:pPr>
              <w:pStyle w:val="AnnexNumberedText"/>
              <w:tabs>
                <w:tab w:val="left" w:pos="508"/>
              </w:tabs>
              <w:spacing w:after="360"/>
              <w:ind w:left="0" w:firstLine="0"/>
            </w:pPr>
            <w:r>
              <w:t>1.1.</w:t>
            </w:r>
            <w:r>
              <w:tab/>
              <w:t xml:space="preserve">Svæðið fellur undir áætlun um endurheimt, sem er í samræmi við meginreglur og leiðbeiningar </w:t>
            </w:r>
            <w:proofErr w:type="spellStart"/>
            <w:r>
              <w:t>Ramsar</w:t>
            </w:r>
            <w:proofErr w:type="spellEnd"/>
            <w:r>
              <w:t xml:space="preserve">-samþykktarinnar um endurheimt votlendis, þar til svæðið verður flokkað sem votlendi og fellur undir stjórnunaráætlun fyrir votlendi sem er í samræmi við leiðbeiningar í </w:t>
            </w:r>
            <w:proofErr w:type="spellStart"/>
            <w:r>
              <w:t>Ramsar</w:t>
            </w:r>
            <w:proofErr w:type="spellEnd"/>
            <w:r>
              <w:t xml:space="preserve">-samþykktinni um skipulag stjórnunar fyrir </w:t>
            </w:r>
            <w:proofErr w:type="spellStart"/>
            <w:r>
              <w:t>Ramsar</w:t>
            </w:r>
            <w:proofErr w:type="spellEnd"/>
            <w:r>
              <w:t xml:space="preserve">-svæði og önnur votlendi. Að því er varðar </w:t>
            </w:r>
            <w:proofErr w:type="spellStart"/>
            <w:r>
              <w:t>mómýrar</w:t>
            </w:r>
            <w:proofErr w:type="spellEnd"/>
            <w:r>
              <w:t xml:space="preserve"> er tilmælum í viðkomandi ályktunum </w:t>
            </w:r>
            <w:proofErr w:type="spellStart"/>
            <w:r>
              <w:t>Ramsar</w:t>
            </w:r>
            <w:proofErr w:type="spellEnd"/>
            <w:r>
              <w:t>-samþykktarinnar, þ.m.t. ályktun XIII/13, fylgt í áætlun um endurheimt.</w:t>
            </w:r>
          </w:p>
          <w:p w14:paraId="11884F10" w14:textId="77777777" w:rsidR="002B5657" w:rsidRDefault="002B5657" w:rsidP="00A9140F">
            <w:pPr>
              <w:pStyle w:val="AnnexNumberedText"/>
              <w:tabs>
                <w:tab w:val="left" w:pos="508"/>
              </w:tabs>
              <w:spacing w:after="360"/>
              <w:ind w:left="0" w:firstLine="0"/>
            </w:pPr>
            <w:r>
              <w:t>1.2.</w:t>
            </w:r>
            <w:r>
              <w:tab/>
              <w:t xml:space="preserve">Áætlun um endurheimt inniheldur vandlega athugun á staðbundnum vatnafræðilegum og jarðvegsfræðilegum aðstæðum, þ.m.t. framgangur </w:t>
            </w:r>
            <w:proofErr w:type="spellStart"/>
            <w:r>
              <w:t>jarðvegsmettunar</w:t>
            </w:r>
            <w:proofErr w:type="spellEnd"/>
            <w:r>
              <w:t xml:space="preserve"> og breytingar á loftháðum og </w:t>
            </w:r>
            <w:proofErr w:type="spellStart"/>
            <w:r>
              <w:t>loftfirrðum</w:t>
            </w:r>
            <w:proofErr w:type="spellEnd"/>
            <w:r>
              <w:t xml:space="preserve"> skilyrðum.</w:t>
            </w:r>
          </w:p>
          <w:p w14:paraId="354DD641" w14:textId="77777777" w:rsidR="002B5657" w:rsidRDefault="002B5657" w:rsidP="00A9140F">
            <w:pPr>
              <w:pStyle w:val="AnnexNumberedText"/>
              <w:tabs>
                <w:tab w:val="left" w:pos="508"/>
              </w:tabs>
              <w:spacing w:after="360"/>
              <w:ind w:left="0" w:firstLine="0"/>
            </w:pPr>
            <w:r>
              <w:t>1.3.</w:t>
            </w:r>
            <w:r>
              <w:tab/>
              <w:t>Fjallað er um allar viðmiðanir um að valda ekki umtalsverðu tjóni sem eiga við um stjórnun votlendis í áætlun um endurheimt.</w:t>
            </w:r>
          </w:p>
          <w:p w14:paraId="0621535C" w14:textId="77777777" w:rsidR="002B5657" w:rsidRDefault="002B5657" w:rsidP="00A9140F">
            <w:pPr>
              <w:pStyle w:val="AnnexNumberedText"/>
              <w:tabs>
                <w:tab w:val="left" w:pos="508"/>
              </w:tabs>
              <w:spacing w:after="360"/>
              <w:ind w:left="0" w:firstLine="0"/>
            </w:pPr>
            <w:r>
              <w:t>1.4.</w:t>
            </w:r>
            <w:r>
              <w:tab/>
              <w:t>Í áætlun um endurheimt er kveðið á um vöktun sem tryggir að upplýsingarnar í áætluninni séu réttar, einkum að því er varðar gögn sem tengjast hlutaðeigandi svæði.</w:t>
            </w:r>
          </w:p>
          <w:p w14:paraId="4787986F" w14:textId="77777777" w:rsidR="002B5657" w:rsidRDefault="002B5657" w:rsidP="00A9140F">
            <w:pPr>
              <w:pStyle w:val="AnnexNumberedText"/>
              <w:spacing w:after="360"/>
              <w:ind w:left="360" w:hanging="360"/>
            </w:pPr>
            <w:r>
              <w:t>2.</w:t>
            </w:r>
            <w:r>
              <w:rPr>
                <w:i/>
              </w:rPr>
              <w:tab/>
              <w:t>Úttekt</w:t>
            </w:r>
          </w:p>
          <w:p w14:paraId="37EFB404" w14:textId="77777777" w:rsidR="002B5657" w:rsidRDefault="002B5657" w:rsidP="00A9140F">
            <w:pPr>
              <w:pStyle w:val="AnnexTableCellLeft"/>
              <w:spacing w:after="360"/>
            </w:pPr>
            <w:r>
              <w:t xml:space="preserve">Innan tveggja ára eftir að starfsemin hefst og á 10 ára fresti eftir það sannprófar annar af eftirfarandi að starfsemin sé í samræmi við viðmiðanir um verulegt framlag til </w:t>
            </w:r>
            <w:proofErr w:type="spellStart"/>
            <w:r>
              <w:t>mildunar</w:t>
            </w:r>
            <w:proofErr w:type="spellEnd"/>
            <w:r>
              <w:t xml:space="preserve"> loftslagsbreytinga og viðmiðanir um að valda ekki umtalsverðu tjóni:</w:t>
            </w:r>
          </w:p>
          <w:p w14:paraId="01D9C131" w14:textId="77777777" w:rsidR="002B5657" w:rsidRDefault="002B5657" w:rsidP="00A9140F">
            <w:pPr>
              <w:pStyle w:val="AnnexNumberedText"/>
              <w:spacing w:after="360"/>
            </w:pPr>
            <w:r>
              <w:t>a)</w:t>
            </w:r>
            <w:r>
              <w:tab/>
              <w:t xml:space="preserve">viðeigandi </w:t>
            </w:r>
            <w:proofErr w:type="spellStart"/>
            <w:r>
              <w:t>lögbær</w:t>
            </w:r>
            <w:proofErr w:type="spellEnd"/>
            <w:r>
              <w:t xml:space="preserve"> landsyfirvöld,</w:t>
            </w:r>
          </w:p>
          <w:p w14:paraId="19D53012" w14:textId="77777777" w:rsidR="002B5657" w:rsidRDefault="002B5657" w:rsidP="00A9140F">
            <w:pPr>
              <w:pStyle w:val="AnnexNumberedText"/>
              <w:spacing w:after="360"/>
            </w:pPr>
            <w:r>
              <w:t>b)</w:t>
            </w:r>
            <w:r>
              <w:tab/>
              <w:t>óháður þriðji aðili, sem er vottunaraðili, að beiðni landsyfirvalda eða rekstraraðila starfseminnar.</w:t>
            </w:r>
          </w:p>
          <w:p w14:paraId="22A1F005" w14:textId="77777777" w:rsidR="002B5657" w:rsidRDefault="002B5657" w:rsidP="00A9140F">
            <w:pPr>
              <w:pStyle w:val="AnnexTableCellLeft"/>
              <w:spacing w:after="360"/>
            </w:pPr>
            <w:r>
              <w:t>Í því skyni að draga úr kostnaði er heimilt að framkvæma úttekt samhliða skógarvottun, loftslagsvottun eða annarri úttekt.</w:t>
            </w:r>
          </w:p>
          <w:p w14:paraId="3981B341" w14:textId="77777777" w:rsidR="002B5657" w:rsidRDefault="002B5657" w:rsidP="00A9140F">
            <w:pPr>
              <w:pStyle w:val="AnnexTableCellLeft"/>
              <w:spacing w:after="360"/>
            </w:pPr>
            <w:r>
              <w:t>Óháður þriðji aðili, sem er vottunaraðili, má ekki eiga í neins konar hagsmunaárekstrum við eigandann eða fjármögnunaraðilann og má ekki hafa afskipti af þróun eða rekstri starfseminnar.</w:t>
            </w:r>
          </w:p>
          <w:p w14:paraId="3FC68A5F" w14:textId="77777777" w:rsidR="002B5657" w:rsidRDefault="002B5657" w:rsidP="00A9140F">
            <w:pPr>
              <w:pStyle w:val="AnnexTableCellLeft"/>
              <w:spacing w:after="360"/>
            </w:pPr>
            <w:r>
              <w:rPr>
                <w:i/>
              </w:rPr>
              <w:t>Hópmat</w:t>
            </w:r>
          </w:p>
          <w:p w14:paraId="3EB73C79" w14:textId="77777777" w:rsidR="002B5657" w:rsidRDefault="002B5657" w:rsidP="00A9140F">
            <w:pPr>
              <w:pStyle w:val="AnnexTableCellLeft"/>
            </w:pPr>
            <w:r>
              <w:t>Hægt er að hafa eftirlit með því hvort farið er að viðmiðunum um að valda ekki umtalsverðu tjóni hjá hópi búa, sem eru nægilega einsleit til að meta áhættu í tengslum við starfsemi tengda skógum, að því tilskildu að varanleg innbyrðis tengsl séu á milli allra þessara búa og þau taki þátt í starfseminni og að þessi hópur búa haldist óbreyttur í öllum síðari úttektum.</w:t>
            </w:r>
          </w:p>
        </w:tc>
      </w:tr>
      <w:tr w:rsidR="002B5657" w14:paraId="2063CB79" w14:textId="77777777" w:rsidTr="00A9140F">
        <w:trPr>
          <w:trHeight w:val="360"/>
        </w:trPr>
        <w:tc>
          <w:tcPr>
            <w:tcW w:w="2896" w:type="dxa"/>
            <w:tcMar>
              <w:top w:w="100" w:type="dxa"/>
              <w:left w:w="0" w:type="dxa"/>
              <w:bottom w:w="100" w:type="dxa"/>
              <w:right w:w="60" w:type="dxa"/>
            </w:tcMar>
          </w:tcPr>
          <w:p w14:paraId="5690FD86" w14:textId="77777777" w:rsidR="002B5657" w:rsidRDefault="002B5657" w:rsidP="00A9140F">
            <w:pPr>
              <w:pStyle w:val="AnnexNumberedText"/>
              <w:pageBreakBefore/>
              <w:ind w:left="293" w:hanging="293"/>
            </w:pPr>
            <w:r>
              <w:lastRenderedPageBreak/>
              <w:t>3)</w:t>
            </w:r>
            <w:r>
              <w:tab/>
              <w:t>Sjálfbær notkun og verndun vatns- og sjávarauðlinda</w:t>
            </w:r>
          </w:p>
        </w:tc>
        <w:tc>
          <w:tcPr>
            <w:tcW w:w="5844" w:type="dxa"/>
            <w:tcMar>
              <w:top w:w="100" w:type="dxa"/>
              <w:left w:w="40" w:type="dxa"/>
              <w:bottom w:w="100" w:type="dxa"/>
              <w:right w:w="0" w:type="dxa"/>
            </w:tcMar>
          </w:tcPr>
          <w:p w14:paraId="135AE083" w14:textId="77777777" w:rsidR="002B5657" w:rsidRDefault="002B5657" w:rsidP="00A9140F">
            <w:pPr>
              <w:pStyle w:val="AnnexTableCellLeft"/>
            </w:pPr>
            <w:r>
              <w:t>Starfsemin er í samræmi við viðmiðanirnar sem settar eru fram í viðbæti B við þennan viðauka.</w:t>
            </w:r>
          </w:p>
        </w:tc>
      </w:tr>
      <w:tr w:rsidR="002B5657" w14:paraId="40B9B98F" w14:textId="77777777" w:rsidTr="00A9140F">
        <w:trPr>
          <w:trHeight w:val="360"/>
        </w:trPr>
        <w:tc>
          <w:tcPr>
            <w:tcW w:w="2896" w:type="dxa"/>
            <w:tcMar>
              <w:top w:w="100" w:type="dxa"/>
              <w:left w:w="0" w:type="dxa"/>
              <w:bottom w:w="100" w:type="dxa"/>
              <w:right w:w="60" w:type="dxa"/>
            </w:tcMar>
          </w:tcPr>
          <w:p w14:paraId="2F81982E" w14:textId="77777777" w:rsidR="002B5657" w:rsidRDefault="002B5657" w:rsidP="00A9140F">
            <w:pPr>
              <w:pStyle w:val="AnnexNumberedText"/>
              <w:ind w:left="293" w:hanging="293"/>
            </w:pPr>
            <w:r>
              <w:t>4)</w:t>
            </w:r>
            <w:r>
              <w:tab/>
              <w:t>Umskipti yfir í hringrásarhagkerfi</w:t>
            </w:r>
          </w:p>
        </w:tc>
        <w:tc>
          <w:tcPr>
            <w:tcW w:w="5844" w:type="dxa"/>
            <w:tcMar>
              <w:top w:w="100" w:type="dxa"/>
              <w:left w:w="40" w:type="dxa"/>
              <w:bottom w:w="100" w:type="dxa"/>
              <w:right w:w="0" w:type="dxa"/>
            </w:tcMar>
          </w:tcPr>
          <w:p w14:paraId="19B7F188" w14:textId="77777777" w:rsidR="002B5657" w:rsidRDefault="002B5657" w:rsidP="00A9140F">
            <w:pPr>
              <w:pStyle w:val="AnnexTableCellLeft"/>
            </w:pPr>
            <w:r>
              <w:t>Mótaka er lágmörkuð.</w:t>
            </w:r>
          </w:p>
        </w:tc>
      </w:tr>
      <w:tr w:rsidR="002B5657" w14:paraId="7182A81F" w14:textId="77777777" w:rsidTr="00A9140F">
        <w:trPr>
          <w:trHeight w:val="360"/>
        </w:trPr>
        <w:tc>
          <w:tcPr>
            <w:tcW w:w="2896" w:type="dxa"/>
            <w:tcMar>
              <w:top w:w="100" w:type="dxa"/>
              <w:left w:w="0" w:type="dxa"/>
              <w:bottom w:w="100" w:type="dxa"/>
              <w:right w:w="60" w:type="dxa"/>
            </w:tcMar>
          </w:tcPr>
          <w:p w14:paraId="301083E8" w14:textId="77777777" w:rsidR="002B5657" w:rsidRDefault="002B5657" w:rsidP="00A9140F">
            <w:pPr>
              <w:pStyle w:val="AnnexNumberedText"/>
              <w:ind w:left="293" w:hanging="293"/>
            </w:pPr>
            <w:r>
              <w:t>5)</w:t>
            </w:r>
            <w:r>
              <w:tab/>
              <w:t>Mengunarvarnir og eftirlit með mengun</w:t>
            </w:r>
          </w:p>
        </w:tc>
        <w:tc>
          <w:tcPr>
            <w:tcW w:w="5844" w:type="dxa"/>
            <w:tcMar>
              <w:top w:w="100" w:type="dxa"/>
              <w:left w:w="40" w:type="dxa"/>
              <w:bottom w:w="100" w:type="dxa"/>
              <w:right w:w="0" w:type="dxa"/>
            </w:tcMar>
          </w:tcPr>
          <w:p w14:paraId="04A136C6" w14:textId="77777777" w:rsidR="002B5657" w:rsidRDefault="002B5657" w:rsidP="00A9140F">
            <w:pPr>
              <w:pStyle w:val="AnnexTableCellLeft"/>
              <w:spacing w:after="200"/>
            </w:pPr>
            <w:r>
              <w:t xml:space="preserve">Notkun varnarefna er lágmörkuð og annars konar aðferðir eða nálganir, sem geta falið í sér valkosti sem ekki byggjast á notkun varnarefna, eru valdar, í samræmi við tilskipun 2009/128/EB, að undanskildum tilvikum þegar þörf er á notkun varnarefna til að hafa stjórn á uppkomu </w:t>
            </w:r>
            <w:proofErr w:type="spellStart"/>
            <w:r>
              <w:t>skaðvalda</w:t>
            </w:r>
            <w:proofErr w:type="spellEnd"/>
            <w:r>
              <w:t xml:space="preserve"> og sjúkdóma.</w:t>
            </w:r>
          </w:p>
          <w:p w14:paraId="37BEF517" w14:textId="77777777" w:rsidR="002B5657" w:rsidRDefault="002B5657" w:rsidP="00A9140F">
            <w:pPr>
              <w:pStyle w:val="AnnexTableCellLeft"/>
              <w:spacing w:after="200"/>
            </w:pPr>
            <w:r>
              <w:t>Notkun áburðar er lágmörkuð í starfseminni og húsdýraáburður ekki notaður. Starfsemin er í samræmi við reglugerð (ESB) 2019/1009 eða landsbundnar reglur um áburð eða jarðvegsbæta til notkunar í landbúnaði.</w:t>
            </w:r>
          </w:p>
          <w:p w14:paraId="33CD3ECF" w14:textId="77777777" w:rsidR="002B5657" w:rsidRDefault="002B5657" w:rsidP="00A9140F">
            <w:pPr>
              <w:pStyle w:val="AnnexTableCellLeft"/>
              <w:spacing w:after="200"/>
            </w:pPr>
            <w:r>
              <w:t xml:space="preserve">Gerðar eru vel skjalfestar og </w:t>
            </w:r>
            <w:proofErr w:type="spellStart"/>
            <w:r>
              <w:t>sannprófanlegar</w:t>
            </w:r>
            <w:proofErr w:type="spellEnd"/>
            <w:r>
              <w:t xml:space="preserve"> ráðstafanir til að komast hjá notkun virkra innihaldsefna sem eru skráð í A-hluta I. viðauka við reglugerð (ESB) 2019/1021 (</w:t>
            </w:r>
            <w:r>
              <w:rPr>
                <w:rStyle w:val="Tilvsunneanmlsgrein"/>
                <w:sz w:val="18"/>
              </w:rPr>
              <w:footnoteReference w:id="428"/>
            </w:r>
            <w:r>
              <w:t xml:space="preserve">), Rotterdam-samninginn um starfsreglur um fyrir fram upplýst samþykki í tengslum við tiltekin hættuleg efni og varnarefni í alþjóðaviðskiptum, </w:t>
            </w:r>
            <w:proofErr w:type="spellStart"/>
            <w:r>
              <w:t>Minamatasamninginn</w:t>
            </w:r>
            <w:proofErr w:type="spellEnd"/>
            <w:r>
              <w:t xml:space="preserve"> um kvikasilfur og Montreal-bókunina um efni sem valda rýrnun ósonlagsins og virkra innihaldsefna sem eru skráð sem flokkun </w:t>
            </w:r>
            <w:proofErr w:type="spellStart"/>
            <w:r>
              <w:t>la</w:t>
            </w:r>
            <w:proofErr w:type="spellEnd"/>
            <w:r>
              <w:t xml:space="preserve"> („afar hættuleg“) eða </w:t>
            </w:r>
            <w:proofErr w:type="spellStart"/>
            <w:r>
              <w:t>lb</w:t>
            </w:r>
            <w:proofErr w:type="spellEnd"/>
            <w:r>
              <w:t xml:space="preserve"> („mjög hættuleg“) samkvæmt tilmælum Alþjóðaheilbrigðismálastofnunarinnar um flokkun varnarefna eftir hættu (</w:t>
            </w:r>
            <w:r>
              <w:rPr>
                <w:rStyle w:val="Tilvsunneanmlsgrein"/>
                <w:sz w:val="18"/>
              </w:rPr>
              <w:footnoteReference w:id="429"/>
            </w:r>
            <w:r>
              <w:t>). Starfsemin er í samræmi við viðeigandi landslög um virk innihaldsefni.</w:t>
            </w:r>
          </w:p>
          <w:p w14:paraId="63EF61AA" w14:textId="77777777" w:rsidR="002B5657" w:rsidRDefault="002B5657" w:rsidP="00A9140F">
            <w:pPr>
              <w:pStyle w:val="AnnexTableCellLeft"/>
              <w:spacing w:after="200"/>
            </w:pPr>
            <w:r>
              <w:t>Komið er í veg fyrir mengun vatns og jarðvegs og gripið til hreinsunarráðstafana þegar mengun á sér stað.</w:t>
            </w:r>
          </w:p>
        </w:tc>
      </w:tr>
      <w:tr w:rsidR="002B5657" w14:paraId="47DE651B" w14:textId="77777777" w:rsidTr="00A9140F">
        <w:trPr>
          <w:trHeight w:val="360"/>
        </w:trPr>
        <w:tc>
          <w:tcPr>
            <w:tcW w:w="2896" w:type="dxa"/>
            <w:tcMar>
              <w:top w:w="100" w:type="dxa"/>
              <w:left w:w="0" w:type="dxa"/>
              <w:bottom w:w="100" w:type="dxa"/>
              <w:right w:w="60" w:type="dxa"/>
            </w:tcMar>
          </w:tcPr>
          <w:p w14:paraId="3C78A6A5" w14:textId="77777777" w:rsidR="002B5657" w:rsidRDefault="002B5657" w:rsidP="00A9140F">
            <w:pPr>
              <w:pStyle w:val="AnnexNumberedText"/>
              <w:ind w:left="293" w:hanging="293"/>
            </w:pPr>
            <w:r>
              <w:t>6)</w:t>
            </w:r>
            <w:r>
              <w:tab/>
              <w:t>Vernd og endurheimt líffræðilegrar fjölbreytni og vistkerfa</w:t>
            </w:r>
          </w:p>
        </w:tc>
        <w:tc>
          <w:tcPr>
            <w:tcW w:w="5844" w:type="dxa"/>
            <w:tcMar>
              <w:top w:w="100" w:type="dxa"/>
              <w:left w:w="40" w:type="dxa"/>
              <w:bottom w:w="100" w:type="dxa"/>
              <w:right w:w="0" w:type="dxa"/>
            </w:tcMar>
          </w:tcPr>
          <w:p w14:paraId="7B9DEBAB" w14:textId="77777777" w:rsidR="002B5657" w:rsidRDefault="002B5657" w:rsidP="00A9140F">
            <w:pPr>
              <w:pStyle w:val="AnnexTableCellLeft"/>
              <w:spacing w:after="200"/>
            </w:pPr>
            <w:r>
              <w:t xml:space="preserve">Á svæðum sem </w:t>
            </w:r>
            <w:proofErr w:type="spellStart"/>
            <w:r>
              <w:t>lögbært</w:t>
            </w:r>
            <w:proofErr w:type="spellEnd"/>
            <w:r>
              <w:t xml:space="preserve"> landsyfirvald hefur skilgreint til varðveislu eða á vernduðum búsvæðum er starfsemin í samræmi við varðveislumarkmiðin fyrir þessi svæði.</w:t>
            </w:r>
          </w:p>
          <w:p w14:paraId="7466F641" w14:textId="77777777" w:rsidR="002B5657" w:rsidRDefault="002B5657" w:rsidP="00A9140F">
            <w:pPr>
              <w:pStyle w:val="AnnexTableCellLeft"/>
              <w:spacing w:after="200"/>
            </w:pPr>
            <w:r>
              <w:t>Ekki er um að ræða umbreytingu búsvæða sem eru sérstaklega viðkvæm fyrir tapi á líffræðilegri fjölbreytni eða með mikið varðveislugildi eða svæða sem tekin eru frá fyrir endurheimt slíkra búsvæða í samræmi við landslög.</w:t>
            </w:r>
          </w:p>
          <w:p w14:paraId="2D0214A0" w14:textId="77777777" w:rsidR="002B5657" w:rsidRDefault="002B5657" w:rsidP="00A9140F">
            <w:pPr>
              <w:pStyle w:val="AnnexTableCellLeft"/>
              <w:spacing w:after="200"/>
            </w:pPr>
            <w:r>
              <w:t>Áætlunin sem um getur í 1. lið (áætlun um endurheimt) þessa þáttar inniheldur ákvæði um viðhald og mögulega eflingu líffræðilegrar fjölbreytni í samræmi við landsbundin og staðbundin ákvæði, þ.m.t. eftirfarandi:</w:t>
            </w:r>
          </w:p>
          <w:p w14:paraId="43DDFF17" w14:textId="77777777" w:rsidR="002B5657" w:rsidRDefault="002B5657" w:rsidP="00A9140F">
            <w:pPr>
              <w:pStyle w:val="AnnexNumberedText"/>
              <w:spacing w:after="200"/>
            </w:pPr>
            <w:r>
              <w:t>a)</w:t>
            </w:r>
            <w:r>
              <w:tab/>
              <w:t>að tryggja góða varðveislustöðu búsvæðis og tegunda; viðhald dæmigerðra tegunda á búsvæði,</w:t>
            </w:r>
          </w:p>
          <w:p w14:paraId="368FDB57" w14:textId="77777777" w:rsidR="002B5657" w:rsidRDefault="002B5657" w:rsidP="00A9140F">
            <w:pPr>
              <w:pStyle w:val="AnnexNumberedText"/>
              <w:spacing w:after="200"/>
            </w:pPr>
            <w:r>
              <w:t>b)</w:t>
            </w:r>
            <w:r>
              <w:tab/>
              <w:t xml:space="preserve">að undanskilja notkun á eða </w:t>
            </w:r>
            <w:proofErr w:type="spellStart"/>
            <w:r>
              <w:t>sleppingu</w:t>
            </w:r>
            <w:proofErr w:type="spellEnd"/>
            <w:r>
              <w:t xml:space="preserve"> ágengra tegunda.</w:t>
            </w:r>
          </w:p>
        </w:tc>
      </w:tr>
    </w:tbl>
    <w:p w14:paraId="39D9A81B" w14:textId="77777777" w:rsidR="002B5657" w:rsidRDefault="002B5657" w:rsidP="002B5657">
      <w:pPr>
        <w:pStyle w:val="AnnexNumberedText"/>
        <w:spacing w:before="200"/>
        <w:ind w:left="500" w:hanging="500"/>
        <w:rPr>
          <w:sz w:val="16"/>
        </w:rPr>
      </w:pPr>
      <w:r>
        <w:t>3.</w:t>
      </w:r>
      <w:r>
        <w:tab/>
      </w:r>
      <w:r>
        <w:rPr>
          <w:sz w:val="16"/>
        </w:rPr>
        <w:t>FRAMLEIÐSLA</w:t>
      </w:r>
    </w:p>
    <w:p w14:paraId="6E12F1D7" w14:textId="77777777" w:rsidR="002B5657" w:rsidRDefault="002B5657" w:rsidP="002B5657">
      <w:pPr>
        <w:pStyle w:val="AnnexNumberedText"/>
        <w:ind w:left="500" w:hanging="500"/>
      </w:pPr>
      <w:r>
        <w:t>3.1.</w:t>
      </w:r>
      <w:r>
        <w:rPr>
          <w:b/>
        </w:rPr>
        <w:tab/>
        <w:t>Framleiðsla á tækni á sviði endurnýjanlegrar orku</w:t>
      </w:r>
    </w:p>
    <w:p w14:paraId="67D4C3BB" w14:textId="77777777" w:rsidR="002B5657" w:rsidRDefault="002B5657" w:rsidP="002B5657">
      <w:pPr>
        <w:pStyle w:val="AnnexGrSeq3"/>
        <w:spacing w:after="140"/>
        <w:ind w:left="500"/>
        <w:jc w:val="both"/>
      </w:pPr>
      <w:r>
        <w:rPr>
          <w:i/>
        </w:rPr>
        <w:t>Lýsing á starfseminni</w:t>
      </w:r>
    </w:p>
    <w:p w14:paraId="6865DC3C" w14:textId="77777777" w:rsidR="002B5657" w:rsidRDefault="002B5657" w:rsidP="002B5657">
      <w:pPr>
        <w:pStyle w:val="AnnexNormal"/>
        <w:keepNext/>
        <w:keepLines/>
        <w:suppressAutoHyphens/>
        <w:spacing w:after="140"/>
        <w:ind w:left="500"/>
      </w:pPr>
      <w:r>
        <w:t>Framleiðsla á tækni á sviði endurnýjanlegrar orku þar sem endurnýjanleg orka er eins og hún er skilgreind í 1. mgr. 2. gr. tilskipunar (ESB) 2018/2001.</w:t>
      </w:r>
    </w:p>
    <w:p w14:paraId="26BEDAF1" w14:textId="77777777" w:rsidR="002B5657" w:rsidRDefault="002B5657" w:rsidP="002B5657">
      <w:pPr>
        <w:pStyle w:val="AnnexNormal"/>
        <w:spacing w:after="0"/>
        <w:ind w:left="500"/>
      </w:pPr>
      <w:r>
        <w:t>Atvinnustarfsemin í þessum flokki gæti tengst nokkrum kóðum atvinnugreinaflokkunar Evrópusambandsins, einkum C25, C27 og C28, í samræmi við atvinnugreinaflokkunina sem komið var á með reglugerð (EB) nr. 1893/2006.</w:t>
      </w:r>
      <w:r>
        <w:br w:type="page"/>
      </w:r>
    </w:p>
    <w:p w14:paraId="02E20DAC" w14:textId="77777777" w:rsidR="002B5657" w:rsidRDefault="002B5657" w:rsidP="002B5657">
      <w:pPr>
        <w:pStyle w:val="AnnexGrSeq3"/>
        <w:ind w:left="500"/>
        <w:jc w:val="left"/>
      </w:pPr>
      <w:r>
        <w:rPr>
          <w:i/>
        </w:rPr>
        <w:lastRenderedPageBreak/>
        <w:t>Tæknileg matsviðmið</w:t>
      </w:r>
    </w:p>
    <w:tbl>
      <w:tblPr>
        <w:tblStyle w:val="EFTATable"/>
        <w:tblW w:w="8752" w:type="dxa"/>
        <w:tblInd w:w="500" w:type="dxa"/>
        <w:tblLayout w:type="fixed"/>
        <w:tblLook w:val="04A0" w:firstRow="1" w:lastRow="0" w:firstColumn="1" w:lastColumn="0" w:noHBand="0" w:noVBand="1"/>
      </w:tblPr>
      <w:tblGrid>
        <w:gridCol w:w="2788"/>
        <w:gridCol w:w="5964"/>
      </w:tblGrid>
      <w:tr w:rsidR="002B5657" w14:paraId="05CCD4DA" w14:textId="77777777" w:rsidTr="00A9140F">
        <w:trPr>
          <w:trHeight w:val="240"/>
        </w:trPr>
        <w:tc>
          <w:tcPr>
            <w:tcW w:w="8752" w:type="dxa"/>
            <w:gridSpan w:val="2"/>
            <w:tcBorders>
              <w:bottom w:val="single" w:sz="4" w:space="0" w:color="auto"/>
            </w:tcBorders>
            <w:tcMar>
              <w:top w:w="100" w:type="dxa"/>
              <w:left w:w="0" w:type="dxa"/>
              <w:bottom w:w="100" w:type="dxa"/>
              <w:right w:w="60" w:type="dxa"/>
            </w:tcMar>
          </w:tcPr>
          <w:p w14:paraId="353322DA" w14:textId="77777777" w:rsidR="002B5657" w:rsidRDefault="002B5657" w:rsidP="00A9140F">
            <w:pPr>
              <w:pStyle w:val="AnnexTableCellLeft"/>
            </w:pPr>
            <w:r>
              <w:t>Verulegt framlag til aðlögunar að loftslagsbreytingum</w:t>
            </w:r>
          </w:p>
        </w:tc>
      </w:tr>
      <w:tr w:rsidR="002B5657" w14:paraId="63747920" w14:textId="77777777" w:rsidTr="00A9140F">
        <w:trPr>
          <w:trHeight w:val="360"/>
        </w:trPr>
        <w:tc>
          <w:tcPr>
            <w:tcW w:w="8752" w:type="dxa"/>
            <w:gridSpan w:val="2"/>
            <w:tcBorders>
              <w:bottom w:val="nil"/>
            </w:tcBorders>
            <w:tcMar>
              <w:top w:w="100" w:type="dxa"/>
              <w:left w:w="0" w:type="dxa"/>
              <w:bottom w:w="100" w:type="dxa"/>
              <w:right w:w="60" w:type="dxa"/>
            </w:tcMar>
          </w:tcPr>
          <w:p w14:paraId="1E0E5689" w14:textId="77777777" w:rsidR="002B5657" w:rsidRDefault="002B5657" w:rsidP="00A9140F">
            <w:pPr>
              <w:pStyle w:val="AnnexNumberedText"/>
              <w:tabs>
                <w:tab w:val="left" w:pos="508"/>
              </w:tabs>
              <w:spacing w:after="26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71A871C" w14:textId="77777777" w:rsidR="002B5657" w:rsidRDefault="002B5657" w:rsidP="00A9140F">
            <w:pPr>
              <w:pStyle w:val="AnnexNumberedText"/>
              <w:tabs>
                <w:tab w:val="left" w:pos="508"/>
              </w:tabs>
              <w:spacing w:after="26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FBDFFA2" w14:textId="77777777" w:rsidR="002B5657" w:rsidRDefault="002B5657" w:rsidP="00A9140F">
            <w:pPr>
              <w:pStyle w:val="AnnexNumberedText"/>
              <w:spacing w:after="260"/>
            </w:pPr>
            <w:r>
              <w:t>a)</w:t>
            </w:r>
            <w:r>
              <w:tab/>
              <w:t>skimun á starfseminni til að greina hvaða efnislega loftslagsáhætta úr skránni í viðbæti A við þennan viðauka getur haft áhrif á árangurinn af atvinnustarfseminni á væntum líftíma hennar,</w:t>
            </w:r>
          </w:p>
          <w:p w14:paraId="7704C81C" w14:textId="77777777" w:rsidR="002B5657" w:rsidRDefault="002B5657" w:rsidP="00A9140F">
            <w:pPr>
              <w:pStyle w:val="AnnexNumberedText"/>
              <w:spacing w:after="26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0D7DC759" w14:textId="77777777" w:rsidR="002B5657" w:rsidRDefault="002B5657" w:rsidP="00A9140F">
            <w:pPr>
              <w:pStyle w:val="AnnexNumberedText"/>
              <w:spacing w:after="260"/>
            </w:pPr>
            <w:r>
              <w:t>c)</w:t>
            </w:r>
            <w:r>
              <w:tab/>
              <w:t>mat á aðlögunarlausnum sem geta dregið úr greindri efnislegri loftslagsáhættu.</w:t>
            </w:r>
          </w:p>
          <w:p w14:paraId="2D554779" w14:textId="77777777" w:rsidR="002B5657" w:rsidRDefault="002B5657" w:rsidP="00A9140F">
            <w:pPr>
              <w:pStyle w:val="AnnexTableCellLeft"/>
              <w:spacing w:after="260"/>
            </w:pPr>
            <w:r>
              <w:t xml:space="preserve">Loftslagsáhættu- og veikleikamatið er í réttu hlutfalli við umfang starfseminnar og </w:t>
            </w:r>
            <w:proofErr w:type="spellStart"/>
            <w:r>
              <w:t>væntan</w:t>
            </w:r>
            <w:proofErr w:type="spellEnd"/>
            <w:r>
              <w:t xml:space="preserve"> líftíma hennar þannig að:</w:t>
            </w:r>
          </w:p>
          <w:p w14:paraId="3BA3B1E4" w14:textId="77777777" w:rsidR="002B5657" w:rsidRDefault="002B5657" w:rsidP="00A9140F">
            <w:pPr>
              <w:pStyle w:val="AnnexNumberedText"/>
              <w:spacing w:after="26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1EC55DE" w14:textId="77777777" w:rsidR="002B5657" w:rsidRDefault="002B5657" w:rsidP="00A9140F">
            <w:pPr>
              <w:pStyle w:val="AnnexNumberedText"/>
              <w:spacing w:after="26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3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2A6D78D" w14:textId="77777777" w:rsidR="002B5657" w:rsidRDefault="002B5657" w:rsidP="00A9140F">
            <w:pPr>
              <w:pStyle w:val="AnnexNumberedText"/>
              <w:tabs>
                <w:tab w:val="left" w:pos="508"/>
              </w:tabs>
              <w:spacing w:after="26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31"/>
            </w:r>
            <w:r>
              <w:t>), vísindalegt ritrýnt útgefið efni og líkön með opnum aðgangi (</w:t>
            </w:r>
            <w:r>
              <w:rPr>
                <w:rStyle w:val="Tilvsunneanmlsgrein"/>
                <w:sz w:val="18"/>
              </w:rPr>
              <w:footnoteReference w:id="432"/>
            </w:r>
            <w:r>
              <w:t>) eða gegn greiðslu.</w:t>
            </w:r>
          </w:p>
          <w:p w14:paraId="45A81503" w14:textId="77777777" w:rsidR="002B5657" w:rsidRDefault="002B5657" w:rsidP="00A9140F">
            <w:pPr>
              <w:pStyle w:val="AnnexNumberedText"/>
              <w:tabs>
                <w:tab w:val="left" w:pos="508"/>
              </w:tabs>
              <w:spacing w:after="260"/>
              <w:ind w:left="0" w:firstLine="0"/>
            </w:pPr>
            <w:r>
              <w:t>4.</w:t>
            </w:r>
            <w:r>
              <w:tab/>
              <w:t>Aðlögunarlausnir sem komið er í framkvæmd:</w:t>
            </w:r>
          </w:p>
          <w:p w14:paraId="5C3AF74B" w14:textId="77777777" w:rsidR="002B5657" w:rsidRDefault="002B5657" w:rsidP="00A9140F">
            <w:pPr>
              <w:pStyle w:val="AnnexNumberedText"/>
              <w:spacing w:after="260"/>
            </w:pPr>
            <w:r>
              <w:t>a)</w:t>
            </w:r>
            <w:r>
              <w:tab/>
              <w:t>hafa ekki neikvæð áhrif á viðleitni til aðlögunar eða viðnám annars fólks, náttúru, menningararfleifðar, eigna og annarrar atvinnustarfsemi gegn efnislegri loftslagsáhættu,</w:t>
            </w:r>
          </w:p>
          <w:p w14:paraId="5D2DE4F7" w14:textId="77777777" w:rsidR="002B5657" w:rsidRDefault="002B5657" w:rsidP="00A9140F">
            <w:pPr>
              <w:pStyle w:val="AnnexNumberedText"/>
              <w:spacing w:after="260"/>
            </w:pPr>
            <w:r>
              <w:t>b)</w:t>
            </w:r>
            <w:r>
              <w:tab/>
              <w:t>eru með náttúrumiðaðar lausnir (</w:t>
            </w:r>
            <w:r>
              <w:rPr>
                <w:rStyle w:val="Tilvsunneanmlsgrein"/>
                <w:sz w:val="18"/>
              </w:rPr>
              <w:footnoteReference w:id="433"/>
            </w:r>
            <w:r>
              <w:t>) í forgangi eða treyst er á bláa eða græna innviði (</w:t>
            </w:r>
            <w:r>
              <w:rPr>
                <w:rStyle w:val="Tilvsunneanmlsgrein"/>
                <w:sz w:val="18"/>
              </w:rPr>
              <w:footnoteReference w:id="434"/>
            </w:r>
            <w:r>
              <w:t>) að því marki sem mögulegt er,</w:t>
            </w:r>
          </w:p>
          <w:p w14:paraId="44B5C713" w14:textId="77777777" w:rsidR="002B5657" w:rsidRDefault="002B5657" w:rsidP="00A9140F">
            <w:pPr>
              <w:pStyle w:val="AnnexNumberedText"/>
              <w:spacing w:after="260"/>
            </w:pPr>
            <w:r>
              <w:t>c)</w:t>
            </w:r>
            <w:r>
              <w:tab/>
              <w:t>eru í samræmi við staðbundnar, geirabundnar, svæðisbundnar eða landsbundnar aðlögunarstefnur og -áætlanir,</w:t>
            </w:r>
          </w:p>
          <w:p w14:paraId="0CA2FA99" w14:textId="77777777" w:rsidR="002B5657" w:rsidRDefault="002B5657" w:rsidP="00A9140F">
            <w:pPr>
              <w:pStyle w:val="AnnexNumberedText"/>
              <w:spacing w:after="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w:t>
            </w:r>
            <w:r>
              <w:lastRenderedPageBreak/>
              <w:t>vísar eru ekki uppfylltir,</w:t>
            </w:r>
          </w:p>
        </w:tc>
      </w:tr>
      <w:tr w:rsidR="002B5657" w14:paraId="6CAD77CB" w14:textId="77777777" w:rsidTr="00A9140F">
        <w:trPr>
          <w:trHeight w:val="360"/>
        </w:trPr>
        <w:tc>
          <w:tcPr>
            <w:tcW w:w="8752" w:type="dxa"/>
            <w:gridSpan w:val="2"/>
            <w:tcBorders>
              <w:top w:val="nil"/>
            </w:tcBorders>
            <w:tcMar>
              <w:top w:w="100" w:type="dxa"/>
              <w:left w:w="0" w:type="dxa"/>
              <w:bottom w:w="100" w:type="dxa"/>
              <w:right w:w="60" w:type="dxa"/>
            </w:tcMar>
          </w:tcPr>
          <w:p w14:paraId="0657ADA6" w14:textId="77777777" w:rsidR="002B5657" w:rsidRDefault="002B5657" w:rsidP="00A9140F">
            <w:pPr>
              <w:pStyle w:val="AnnexNumberedText"/>
              <w:pageBreakBefore/>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16F56BE9" w14:textId="77777777" w:rsidTr="00A9140F">
        <w:trPr>
          <w:trHeight w:val="240"/>
        </w:trPr>
        <w:tc>
          <w:tcPr>
            <w:tcW w:w="8752" w:type="dxa"/>
            <w:gridSpan w:val="2"/>
            <w:tcMar>
              <w:top w:w="100" w:type="dxa"/>
              <w:left w:w="0" w:type="dxa"/>
              <w:bottom w:w="100" w:type="dxa"/>
              <w:right w:w="60" w:type="dxa"/>
            </w:tcMar>
          </w:tcPr>
          <w:p w14:paraId="55D99351" w14:textId="77777777" w:rsidR="002B5657" w:rsidRDefault="002B5657" w:rsidP="00A9140F">
            <w:pPr>
              <w:pStyle w:val="AnnexTableCellLeft"/>
            </w:pPr>
            <w:r>
              <w:t>Ekki valda umtalsverðu tjóni</w:t>
            </w:r>
          </w:p>
        </w:tc>
      </w:tr>
      <w:tr w:rsidR="002B5657" w14:paraId="23C1459D" w14:textId="77777777" w:rsidTr="00A9140F">
        <w:trPr>
          <w:trHeight w:val="360"/>
        </w:trPr>
        <w:tc>
          <w:tcPr>
            <w:tcW w:w="2788" w:type="dxa"/>
            <w:tcMar>
              <w:top w:w="100" w:type="dxa"/>
              <w:left w:w="0" w:type="dxa"/>
              <w:bottom w:w="100" w:type="dxa"/>
              <w:right w:w="60" w:type="dxa"/>
            </w:tcMar>
          </w:tcPr>
          <w:p w14:paraId="6039892F" w14:textId="77777777" w:rsidR="002B5657" w:rsidRDefault="002B5657" w:rsidP="00A9140F">
            <w:pPr>
              <w:pStyle w:val="AnnexNumberedText"/>
            </w:pPr>
            <w:r>
              <w:t>1)</w:t>
            </w:r>
            <w:r>
              <w:tab/>
              <w:t>Mildun loftslagsbreytinga</w:t>
            </w:r>
          </w:p>
        </w:tc>
        <w:tc>
          <w:tcPr>
            <w:tcW w:w="5964" w:type="dxa"/>
            <w:tcMar>
              <w:top w:w="100" w:type="dxa"/>
              <w:left w:w="40" w:type="dxa"/>
              <w:bottom w:w="100" w:type="dxa"/>
              <w:right w:w="0" w:type="dxa"/>
            </w:tcMar>
          </w:tcPr>
          <w:p w14:paraId="1A50AB1D" w14:textId="77777777" w:rsidR="002B5657" w:rsidRDefault="002B5657" w:rsidP="00A9140F">
            <w:pPr>
              <w:pStyle w:val="AnnexTableCellLeft"/>
            </w:pPr>
            <w:r>
              <w:t>Á ekki við</w:t>
            </w:r>
          </w:p>
        </w:tc>
      </w:tr>
      <w:tr w:rsidR="002B5657" w14:paraId="1CD9A2A5" w14:textId="77777777" w:rsidTr="00A9140F">
        <w:trPr>
          <w:trHeight w:val="360"/>
        </w:trPr>
        <w:tc>
          <w:tcPr>
            <w:tcW w:w="2788" w:type="dxa"/>
            <w:tcMar>
              <w:top w:w="100" w:type="dxa"/>
              <w:left w:w="0" w:type="dxa"/>
              <w:bottom w:w="100" w:type="dxa"/>
              <w:right w:w="60" w:type="dxa"/>
            </w:tcMar>
          </w:tcPr>
          <w:p w14:paraId="489855DA" w14:textId="77777777" w:rsidR="002B5657" w:rsidRDefault="002B5657" w:rsidP="00A9140F">
            <w:pPr>
              <w:pStyle w:val="AnnexNumberedText"/>
            </w:pPr>
            <w:r>
              <w:t>3)</w:t>
            </w:r>
            <w:r>
              <w:tab/>
              <w:t>Sjálfbær notkun og verndun vatns- og sjávarauðlinda</w:t>
            </w:r>
          </w:p>
        </w:tc>
        <w:tc>
          <w:tcPr>
            <w:tcW w:w="5964" w:type="dxa"/>
            <w:tcMar>
              <w:top w:w="100" w:type="dxa"/>
              <w:left w:w="40" w:type="dxa"/>
              <w:bottom w:w="100" w:type="dxa"/>
              <w:right w:w="0" w:type="dxa"/>
            </w:tcMar>
          </w:tcPr>
          <w:p w14:paraId="1722606B" w14:textId="77777777" w:rsidR="002B5657" w:rsidRDefault="002B5657" w:rsidP="00A9140F">
            <w:pPr>
              <w:pStyle w:val="AnnexTableCellLeft"/>
            </w:pPr>
            <w:r>
              <w:t>Starfsemin er í samræmi við viðmiðanirnar sem settar eru fram í viðbæti B við þennan viðauka.</w:t>
            </w:r>
          </w:p>
        </w:tc>
      </w:tr>
      <w:tr w:rsidR="002B5657" w14:paraId="6DB3F4FD" w14:textId="77777777" w:rsidTr="00A9140F">
        <w:trPr>
          <w:trHeight w:val="360"/>
        </w:trPr>
        <w:tc>
          <w:tcPr>
            <w:tcW w:w="2788" w:type="dxa"/>
            <w:tcMar>
              <w:top w:w="100" w:type="dxa"/>
              <w:left w:w="0" w:type="dxa"/>
              <w:bottom w:w="100" w:type="dxa"/>
              <w:right w:w="60" w:type="dxa"/>
            </w:tcMar>
          </w:tcPr>
          <w:p w14:paraId="64414923" w14:textId="77777777" w:rsidR="002B5657" w:rsidRDefault="002B5657" w:rsidP="00A9140F">
            <w:pPr>
              <w:pStyle w:val="AnnexNumberedText"/>
            </w:pPr>
            <w:r>
              <w:t>4)</w:t>
            </w:r>
            <w:r>
              <w:tab/>
              <w:t>Umskipti yfir í hringrásarhagkerfi</w:t>
            </w:r>
          </w:p>
        </w:tc>
        <w:tc>
          <w:tcPr>
            <w:tcW w:w="5964" w:type="dxa"/>
            <w:tcMar>
              <w:top w:w="100" w:type="dxa"/>
              <w:left w:w="40" w:type="dxa"/>
              <w:bottom w:w="100" w:type="dxa"/>
              <w:right w:w="0" w:type="dxa"/>
            </w:tcMar>
          </w:tcPr>
          <w:p w14:paraId="379FC292" w14:textId="77777777" w:rsidR="002B5657" w:rsidRDefault="002B5657" w:rsidP="00A9140F">
            <w:pPr>
              <w:pStyle w:val="AnnexTableCellLeft"/>
              <w:spacing w:after="240"/>
            </w:pPr>
            <w:r>
              <w:t>Í starfseminni er lagt mat á tiltækileika og, ef það er gerlegt, tekin upp tækni sem styður:</w:t>
            </w:r>
          </w:p>
          <w:p w14:paraId="06F82260" w14:textId="77777777" w:rsidR="002B5657" w:rsidRDefault="002B5657" w:rsidP="00A9140F">
            <w:pPr>
              <w:pStyle w:val="AnnexNumberedText"/>
              <w:spacing w:after="240"/>
            </w:pPr>
            <w:r>
              <w:t>a)</w:t>
            </w:r>
            <w:r>
              <w:tab/>
              <w:t>endurnotkun og notkun á endurunnum hráefnum og endurnotuðum íhlutum í framleiðslu á vörum,</w:t>
            </w:r>
          </w:p>
          <w:p w14:paraId="784B6D5A" w14:textId="77777777" w:rsidR="002B5657" w:rsidRDefault="002B5657" w:rsidP="00A9140F">
            <w:pPr>
              <w:pStyle w:val="AnnexNumberedText"/>
              <w:spacing w:after="240"/>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00AF038B" w14:textId="77777777" w:rsidR="002B5657" w:rsidRDefault="002B5657" w:rsidP="00A9140F">
            <w:pPr>
              <w:pStyle w:val="AnnexNumberedText"/>
              <w:spacing w:after="240"/>
            </w:pPr>
            <w:r>
              <w:t>c)</w:t>
            </w:r>
            <w:r>
              <w:tab/>
              <w:t xml:space="preserve">úrgangsstjórnun þar sem endurvinnsla er sett í forgang fram yfir </w:t>
            </w:r>
            <w:proofErr w:type="spellStart"/>
            <w:r>
              <w:t>förgun</w:t>
            </w:r>
            <w:proofErr w:type="spellEnd"/>
            <w:r>
              <w:t xml:space="preserve"> í framleiðsluferlinu,</w:t>
            </w:r>
          </w:p>
          <w:p w14:paraId="5527AA0F" w14:textId="77777777" w:rsidR="002B5657" w:rsidRDefault="002B5657" w:rsidP="00A9140F">
            <w:pPr>
              <w:pStyle w:val="AnnexNumberedText"/>
              <w:spacing w:after="240"/>
            </w:pPr>
            <w:r>
              <w:t>d)</w:t>
            </w:r>
            <w:r>
              <w:tab/>
              <w:t>upplýsingar um og rekjanleika efna sem gefa tilefni til áhyggna á öllum vistferli framleiddra vara.</w:t>
            </w:r>
          </w:p>
        </w:tc>
      </w:tr>
      <w:tr w:rsidR="002B5657" w14:paraId="075AD29C" w14:textId="77777777" w:rsidTr="00A9140F">
        <w:trPr>
          <w:trHeight w:val="360"/>
        </w:trPr>
        <w:tc>
          <w:tcPr>
            <w:tcW w:w="2788" w:type="dxa"/>
            <w:tcMar>
              <w:top w:w="100" w:type="dxa"/>
              <w:left w:w="0" w:type="dxa"/>
              <w:bottom w:w="100" w:type="dxa"/>
              <w:right w:w="60" w:type="dxa"/>
            </w:tcMar>
          </w:tcPr>
          <w:p w14:paraId="2BCA76A9" w14:textId="77777777" w:rsidR="002B5657" w:rsidRDefault="002B5657" w:rsidP="00A9140F">
            <w:pPr>
              <w:pStyle w:val="AnnexNumberedText"/>
            </w:pPr>
            <w:r>
              <w:t>5)</w:t>
            </w:r>
            <w:r>
              <w:tab/>
              <w:t>Mengunarvarnir og eftirlit með mengun</w:t>
            </w:r>
          </w:p>
        </w:tc>
        <w:tc>
          <w:tcPr>
            <w:tcW w:w="5964" w:type="dxa"/>
            <w:tcMar>
              <w:top w:w="100" w:type="dxa"/>
              <w:left w:w="40" w:type="dxa"/>
              <w:bottom w:w="100" w:type="dxa"/>
              <w:right w:w="0" w:type="dxa"/>
            </w:tcMar>
          </w:tcPr>
          <w:p w14:paraId="113708D7" w14:textId="77777777" w:rsidR="002B5657" w:rsidRDefault="002B5657" w:rsidP="00A9140F">
            <w:pPr>
              <w:pStyle w:val="AnnexTableCellLeft"/>
            </w:pPr>
            <w:r>
              <w:t>Starfsemin er í samræmi við viðmiðanirnar sem settar eru fram í viðbæti C við þennan viðauka.</w:t>
            </w:r>
          </w:p>
        </w:tc>
      </w:tr>
      <w:tr w:rsidR="002B5657" w14:paraId="252EB2E0" w14:textId="77777777" w:rsidTr="00A9140F">
        <w:trPr>
          <w:trHeight w:val="360"/>
        </w:trPr>
        <w:tc>
          <w:tcPr>
            <w:tcW w:w="2788" w:type="dxa"/>
            <w:tcMar>
              <w:top w:w="100" w:type="dxa"/>
              <w:left w:w="0" w:type="dxa"/>
              <w:bottom w:w="100" w:type="dxa"/>
              <w:right w:w="60" w:type="dxa"/>
            </w:tcMar>
          </w:tcPr>
          <w:p w14:paraId="424E6E7B" w14:textId="77777777" w:rsidR="002B5657" w:rsidRDefault="002B5657" w:rsidP="00A9140F">
            <w:pPr>
              <w:pStyle w:val="AnnexNumberedText"/>
            </w:pPr>
            <w:r>
              <w:t>6)</w:t>
            </w:r>
            <w:r>
              <w:tab/>
              <w:t>Vernd og endurheimt líffræðilegrar fjölbreytni og vistkerfa</w:t>
            </w:r>
          </w:p>
        </w:tc>
        <w:tc>
          <w:tcPr>
            <w:tcW w:w="5964" w:type="dxa"/>
            <w:tcMar>
              <w:top w:w="100" w:type="dxa"/>
              <w:left w:w="40" w:type="dxa"/>
              <w:bottom w:w="100" w:type="dxa"/>
              <w:right w:w="0" w:type="dxa"/>
            </w:tcMar>
          </w:tcPr>
          <w:p w14:paraId="55F14D48" w14:textId="77777777" w:rsidR="002B5657" w:rsidRDefault="002B5657" w:rsidP="00A9140F">
            <w:pPr>
              <w:pStyle w:val="AnnexTableCellLeft"/>
            </w:pPr>
            <w:r>
              <w:t>Starfsemin er í samræmi við viðmiðanirnar sem settar eru fram í viðbæti D við þennan viðauka.</w:t>
            </w:r>
          </w:p>
        </w:tc>
      </w:tr>
    </w:tbl>
    <w:p w14:paraId="0B910E8D" w14:textId="77777777" w:rsidR="002B5657" w:rsidRDefault="002B5657" w:rsidP="002B5657">
      <w:pPr>
        <w:pStyle w:val="AnnexNumberedText"/>
        <w:spacing w:before="200"/>
        <w:ind w:left="500" w:hanging="500"/>
      </w:pPr>
      <w:r>
        <w:t>3.2.</w:t>
      </w:r>
      <w:r>
        <w:rPr>
          <w:b/>
        </w:rPr>
        <w:tab/>
        <w:t>Framleiðsla á tækjum fyrir framleiðslu og notkun á vetni</w:t>
      </w:r>
    </w:p>
    <w:p w14:paraId="56E7DC29" w14:textId="77777777" w:rsidR="002B5657" w:rsidRDefault="002B5657" w:rsidP="002B5657">
      <w:pPr>
        <w:pStyle w:val="AnnexGrSeq3"/>
        <w:ind w:left="500"/>
        <w:jc w:val="both"/>
      </w:pPr>
      <w:r>
        <w:rPr>
          <w:i/>
        </w:rPr>
        <w:t>Lýsing á starfseminni</w:t>
      </w:r>
    </w:p>
    <w:p w14:paraId="17F5FFCB" w14:textId="77777777" w:rsidR="002B5657" w:rsidRDefault="002B5657" w:rsidP="002B5657">
      <w:pPr>
        <w:pStyle w:val="AnnexNormal"/>
        <w:ind w:left="500"/>
      </w:pPr>
      <w:r>
        <w:t>Framleiðsla á tækjum fyrir framleiðslu og notkun á vetni þar sem vetnið, sem tækin eru framleidd fyrir framleiðsluna á, er í samræmi við kröfuna um að minnka losun gróðurhúsalofttegunda á vistferlinum um 73,4% [sem leiðir til minni losunar gróðurhúsalofttegunda á vistferlinum en sem nemur 3 tCO</w:t>
      </w:r>
      <w:r>
        <w:rPr>
          <w:vertAlign w:val="subscript"/>
        </w:rPr>
        <w:t>2</w:t>
      </w:r>
      <w:r>
        <w:t>e/tH2] og 70% fyrir tilbúið eldsneyti, að stofni til úr vetni, miðað við jarðefnaeldsneytissambera sem nemur 94 g CO</w:t>
      </w:r>
      <w:r>
        <w:rPr>
          <w:vertAlign w:val="subscript"/>
        </w:rPr>
        <w:t>2</w:t>
      </w:r>
      <w:r>
        <w:t>e/MJ, í samræmi við aðferðina sem sett er fram í 2. mgr. 25. gr. og V. viðauka við tilskipun Evrópuþingsins og ráðsins (ESB) 2018/2001.</w:t>
      </w:r>
    </w:p>
    <w:p w14:paraId="5362BBA1" w14:textId="77777777" w:rsidR="002B5657" w:rsidRDefault="002B5657" w:rsidP="002B5657">
      <w:pPr>
        <w:pStyle w:val="AnnexNormal"/>
        <w:ind w:left="500"/>
      </w:pPr>
      <w:r>
        <w:t>Atvinnustarfsemin í þessum flokki gæti tengst nokkrum kóðum atvinnugreinaflokkunar Evrópusambandsins, einkum C25, C27 og C28, í samræmi við atvinnugreinaflokkunina sem komið var á með reglugerð (EB) nr. 1893/2006.</w:t>
      </w:r>
    </w:p>
    <w:p w14:paraId="0DC4E1C3" w14:textId="77777777" w:rsidR="002B5657" w:rsidRDefault="002B5657" w:rsidP="002B5657">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36"/>
        <w:gridCol w:w="5904"/>
      </w:tblGrid>
      <w:tr w:rsidR="002B5657" w14:paraId="3D96FCDF"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5515BA40" w14:textId="77777777" w:rsidR="002B5657" w:rsidRDefault="002B5657" w:rsidP="00A9140F">
            <w:pPr>
              <w:pStyle w:val="AnnexTableCellLeft"/>
            </w:pPr>
            <w:r>
              <w:t>Verulegt framlag til aðlögunar að loftslagsbreytingum</w:t>
            </w:r>
          </w:p>
        </w:tc>
      </w:tr>
      <w:tr w:rsidR="002B5657" w14:paraId="1B1641DA" w14:textId="77777777" w:rsidTr="00A9140F">
        <w:trPr>
          <w:trHeight w:val="360"/>
        </w:trPr>
        <w:tc>
          <w:tcPr>
            <w:tcW w:w="8740" w:type="dxa"/>
            <w:gridSpan w:val="2"/>
            <w:tcBorders>
              <w:bottom w:val="nil"/>
            </w:tcBorders>
            <w:tcMar>
              <w:top w:w="100" w:type="dxa"/>
              <w:left w:w="0" w:type="dxa"/>
              <w:bottom w:w="100" w:type="dxa"/>
              <w:right w:w="60" w:type="dxa"/>
            </w:tcMar>
          </w:tcPr>
          <w:p w14:paraId="646FC5C2" w14:textId="77777777" w:rsidR="002B5657" w:rsidRDefault="002B5657" w:rsidP="00A9140F">
            <w:pPr>
              <w:pStyle w:val="AnnexNumberedText"/>
              <w:tabs>
                <w:tab w:val="left" w:pos="508"/>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F02A002" w14:textId="77777777" w:rsidR="002B5657" w:rsidRDefault="002B5657" w:rsidP="00A9140F">
            <w:pPr>
              <w:pStyle w:val="AnnexNumberedText"/>
              <w:tabs>
                <w:tab w:val="left" w:pos="508"/>
              </w:tabs>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2C14239" w14:textId="77777777" w:rsidR="002B5657" w:rsidRDefault="002B5657" w:rsidP="00A9140F">
            <w:pPr>
              <w:pStyle w:val="AnnexNumberedText"/>
            </w:pPr>
            <w:r>
              <w:t>a)</w:t>
            </w:r>
            <w:r>
              <w:tab/>
              <w:t xml:space="preserve">skimun á starfseminni til að greina hvaða efnislega loftslagsáhætta úr skránni í viðbæti A við þennan viðauka getur </w:t>
            </w:r>
            <w:r>
              <w:lastRenderedPageBreak/>
              <w:t>haft áhrif á árangurinn af atvinnustarfseminni á væntum líftíma hennar,</w:t>
            </w:r>
          </w:p>
        </w:tc>
      </w:tr>
      <w:tr w:rsidR="002B5657" w14:paraId="62EBC7BE" w14:textId="77777777" w:rsidTr="00A9140F">
        <w:trPr>
          <w:trHeight w:val="360"/>
        </w:trPr>
        <w:tc>
          <w:tcPr>
            <w:tcW w:w="8740" w:type="dxa"/>
            <w:gridSpan w:val="2"/>
            <w:tcBorders>
              <w:top w:val="nil"/>
            </w:tcBorders>
            <w:tcMar>
              <w:top w:w="100" w:type="dxa"/>
              <w:left w:w="0" w:type="dxa"/>
              <w:bottom w:w="100" w:type="dxa"/>
              <w:right w:w="60" w:type="dxa"/>
            </w:tcMar>
          </w:tcPr>
          <w:p w14:paraId="3FE90410" w14:textId="77777777" w:rsidR="002B5657" w:rsidRDefault="002B5657" w:rsidP="00A9140F">
            <w:pPr>
              <w:pStyle w:val="AnnexNumberedText"/>
              <w:pageBreakBefore/>
              <w:spacing w:after="130"/>
            </w:pPr>
            <w:r>
              <w:lastRenderedPageBreak/>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694DB8AB" w14:textId="77777777" w:rsidR="002B5657" w:rsidRDefault="002B5657" w:rsidP="00A9140F">
            <w:pPr>
              <w:pStyle w:val="AnnexNumberedText"/>
              <w:spacing w:after="130"/>
            </w:pPr>
            <w:r>
              <w:t>c)</w:t>
            </w:r>
            <w:r>
              <w:tab/>
              <w:t>mat á aðlögunarlausnum sem geta dregið úr greindri efnislegri loftslagsáhættu.</w:t>
            </w:r>
          </w:p>
          <w:p w14:paraId="65B276AC" w14:textId="77777777" w:rsidR="002B5657" w:rsidRDefault="002B5657" w:rsidP="00A9140F">
            <w:pPr>
              <w:pStyle w:val="AnnexTableCellLeft"/>
              <w:spacing w:after="130"/>
            </w:pPr>
            <w:r>
              <w:t xml:space="preserve">Loftslagsáhættu- og veikleikamatið er í réttu hlutfalli við umfang starfseminnar og </w:t>
            </w:r>
            <w:proofErr w:type="spellStart"/>
            <w:r>
              <w:t>væntan</w:t>
            </w:r>
            <w:proofErr w:type="spellEnd"/>
            <w:r>
              <w:t xml:space="preserve"> líftíma hennar þannig að:</w:t>
            </w:r>
          </w:p>
          <w:p w14:paraId="0A7F9CAC" w14:textId="77777777" w:rsidR="002B5657" w:rsidRDefault="002B5657" w:rsidP="00A9140F">
            <w:pPr>
              <w:pStyle w:val="AnnexNumberedText"/>
              <w:spacing w:after="13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CAA3372" w14:textId="77777777" w:rsidR="002B5657" w:rsidRDefault="002B5657" w:rsidP="00A9140F">
            <w:pPr>
              <w:pStyle w:val="AnnexNumberedText"/>
              <w:spacing w:after="13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3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88488C4" w14:textId="77777777" w:rsidR="002B5657" w:rsidRDefault="002B5657" w:rsidP="00A9140F">
            <w:pPr>
              <w:pStyle w:val="AnnexNumberedText"/>
              <w:spacing w:after="13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36"/>
            </w:r>
            <w:r>
              <w:t>), vísindalegt ritrýnt útgefið efni og líkön með opnum aðgangi (</w:t>
            </w:r>
            <w:r>
              <w:rPr>
                <w:rStyle w:val="Tilvsunneanmlsgrein"/>
                <w:sz w:val="18"/>
              </w:rPr>
              <w:footnoteReference w:id="437"/>
            </w:r>
            <w:r>
              <w:t>) eða gegn greiðslu.</w:t>
            </w:r>
          </w:p>
          <w:p w14:paraId="5F7F6D57" w14:textId="77777777" w:rsidR="002B5657" w:rsidRDefault="002B5657" w:rsidP="00A9140F">
            <w:pPr>
              <w:pStyle w:val="AnnexNumberedText"/>
              <w:spacing w:after="130"/>
              <w:ind w:left="279" w:hanging="279"/>
            </w:pPr>
            <w:r>
              <w:t>4.</w:t>
            </w:r>
            <w:r>
              <w:tab/>
              <w:t>Aðlögunarlausnir sem komið er í framkvæmd:</w:t>
            </w:r>
          </w:p>
          <w:p w14:paraId="36928DE7" w14:textId="77777777" w:rsidR="002B5657" w:rsidRDefault="002B5657" w:rsidP="00A9140F">
            <w:pPr>
              <w:pStyle w:val="AnnexNumberedText"/>
              <w:spacing w:after="130"/>
            </w:pPr>
            <w:r>
              <w:t>a)</w:t>
            </w:r>
            <w:r>
              <w:tab/>
              <w:t>hafa ekki neikvæð áhrif á viðleitni til aðlögunar eða viðnám annars fólks, náttúru, menningararfleifðar, eigna og annarrar atvinnustarfsemi gegn efnislegri loftslagsáhættu,</w:t>
            </w:r>
          </w:p>
          <w:p w14:paraId="2F5AB4F4" w14:textId="77777777" w:rsidR="002B5657" w:rsidRDefault="002B5657" w:rsidP="00A9140F">
            <w:pPr>
              <w:pStyle w:val="AnnexNumberedText"/>
              <w:spacing w:after="130"/>
            </w:pPr>
            <w:r>
              <w:t>b)</w:t>
            </w:r>
            <w:r>
              <w:tab/>
              <w:t>eru með náttúrumiðaðar lausnir (</w:t>
            </w:r>
            <w:r>
              <w:rPr>
                <w:rStyle w:val="Tilvsunneanmlsgrein"/>
                <w:sz w:val="18"/>
              </w:rPr>
              <w:footnoteReference w:id="438"/>
            </w:r>
            <w:r>
              <w:t>) í forgangi eða treyst er á bláa eða græna innviði (</w:t>
            </w:r>
            <w:r>
              <w:rPr>
                <w:rStyle w:val="Tilvsunneanmlsgrein"/>
                <w:sz w:val="18"/>
              </w:rPr>
              <w:footnoteReference w:id="439"/>
            </w:r>
            <w:r>
              <w:t>) að því marki sem mögulegt er,</w:t>
            </w:r>
          </w:p>
          <w:p w14:paraId="45DCCCE8" w14:textId="77777777" w:rsidR="002B5657" w:rsidRDefault="002B5657" w:rsidP="00A9140F">
            <w:pPr>
              <w:pStyle w:val="AnnexNumberedText"/>
              <w:spacing w:after="130"/>
            </w:pPr>
            <w:r>
              <w:t>c)</w:t>
            </w:r>
            <w:r>
              <w:tab/>
              <w:t>eru í samræmi við staðbundnar, geirabundnar, svæðisbundnar eða landsbundnar aðlögunarstefnur og -áætlanir,</w:t>
            </w:r>
          </w:p>
          <w:p w14:paraId="42ADB912" w14:textId="77777777" w:rsidR="002B5657" w:rsidRDefault="002B5657" w:rsidP="00A9140F">
            <w:pPr>
              <w:pStyle w:val="AnnexNumberedText"/>
              <w:spacing w:after="13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DA1CABF" w14:textId="77777777" w:rsidR="002B5657" w:rsidRDefault="002B5657" w:rsidP="00A9140F">
            <w:pPr>
              <w:pStyle w:val="AnnexNumberedText"/>
              <w:spacing w:after="13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549FF3D7" w14:textId="77777777" w:rsidTr="00A9140F">
        <w:trPr>
          <w:trHeight w:val="240"/>
        </w:trPr>
        <w:tc>
          <w:tcPr>
            <w:tcW w:w="8740" w:type="dxa"/>
            <w:gridSpan w:val="2"/>
            <w:tcMar>
              <w:top w:w="100" w:type="dxa"/>
              <w:left w:w="0" w:type="dxa"/>
              <w:bottom w:w="100" w:type="dxa"/>
              <w:right w:w="60" w:type="dxa"/>
            </w:tcMar>
          </w:tcPr>
          <w:p w14:paraId="0A5AB35F" w14:textId="77777777" w:rsidR="002B5657" w:rsidRDefault="002B5657" w:rsidP="00A9140F">
            <w:pPr>
              <w:pStyle w:val="AnnexTableCellLeft"/>
            </w:pPr>
            <w:r>
              <w:t>Ekki valda umtalsverðu tjóni</w:t>
            </w:r>
          </w:p>
        </w:tc>
      </w:tr>
      <w:tr w:rsidR="002B5657" w14:paraId="5A448E06" w14:textId="77777777" w:rsidTr="00A9140F">
        <w:trPr>
          <w:trHeight w:val="360"/>
        </w:trPr>
        <w:tc>
          <w:tcPr>
            <w:tcW w:w="2836" w:type="dxa"/>
            <w:tcMar>
              <w:top w:w="100" w:type="dxa"/>
              <w:left w:w="0" w:type="dxa"/>
              <w:bottom w:w="100" w:type="dxa"/>
              <w:right w:w="60" w:type="dxa"/>
            </w:tcMar>
          </w:tcPr>
          <w:p w14:paraId="175A5F04" w14:textId="77777777" w:rsidR="002B5657" w:rsidRDefault="002B5657" w:rsidP="00A9140F">
            <w:pPr>
              <w:pStyle w:val="AnnexNumberedText"/>
              <w:ind w:left="293" w:hanging="293"/>
            </w:pPr>
            <w:r>
              <w:t>1)</w:t>
            </w:r>
            <w:r>
              <w:tab/>
              <w:t>Mildun loftslagsbreytinga</w:t>
            </w:r>
          </w:p>
        </w:tc>
        <w:tc>
          <w:tcPr>
            <w:tcW w:w="5904" w:type="dxa"/>
            <w:tcMar>
              <w:top w:w="100" w:type="dxa"/>
              <w:left w:w="40" w:type="dxa"/>
              <w:bottom w:w="100" w:type="dxa"/>
              <w:right w:w="0" w:type="dxa"/>
            </w:tcMar>
          </w:tcPr>
          <w:p w14:paraId="00FBE31D" w14:textId="77777777" w:rsidR="002B5657" w:rsidRDefault="002B5657" w:rsidP="00A9140F">
            <w:pPr>
              <w:pStyle w:val="AnnexTableCellLeft"/>
            </w:pPr>
            <w:r>
              <w:t>Á ekki við</w:t>
            </w:r>
          </w:p>
        </w:tc>
      </w:tr>
      <w:tr w:rsidR="002B5657" w14:paraId="25E0FCAE" w14:textId="77777777" w:rsidTr="00A9140F">
        <w:trPr>
          <w:trHeight w:val="360"/>
        </w:trPr>
        <w:tc>
          <w:tcPr>
            <w:tcW w:w="2836" w:type="dxa"/>
            <w:tcBorders>
              <w:bottom w:val="single" w:sz="4" w:space="0" w:color="auto"/>
            </w:tcBorders>
            <w:tcMar>
              <w:top w:w="100" w:type="dxa"/>
              <w:left w:w="0" w:type="dxa"/>
              <w:bottom w:w="100" w:type="dxa"/>
              <w:right w:w="60" w:type="dxa"/>
            </w:tcMar>
          </w:tcPr>
          <w:p w14:paraId="130968C1" w14:textId="77777777" w:rsidR="002B5657" w:rsidRDefault="002B5657" w:rsidP="00A9140F">
            <w:pPr>
              <w:pStyle w:val="AnnexNumberedText"/>
              <w:ind w:left="293" w:hanging="293"/>
            </w:pPr>
            <w:r>
              <w:t>3)</w:t>
            </w:r>
            <w:r>
              <w:tab/>
              <w:t>Sjálfbær notkun og verndun vatns- og sjávarauðlinda</w:t>
            </w:r>
          </w:p>
        </w:tc>
        <w:tc>
          <w:tcPr>
            <w:tcW w:w="5904" w:type="dxa"/>
            <w:tcBorders>
              <w:bottom w:val="single" w:sz="4" w:space="0" w:color="auto"/>
            </w:tcBorders>
            <w:tcMar>
              <w:top w:w="100" w:type="dxa"/>
              <w:left w:w="40" w:type="dxa"/>
              <w:bottom w:w="100" w:type="dxa"/>
              <w:right w:w="0" w:type="dxa"/>
            </w:tcMar>
          </w:tcPr>
          <w:p w14:paraId="6B047A9E" w14:textId="77777777" w:rsidR="002B5657" w:rsidRDefault="002B5657" w:rsidP="00A9140F">
            <w:pPr>
              <w:pStyle w:val="AnnexTableCellLeft"/>
            </w:pPr>
            <w:r>
              <w:t>Starfsemin er í samræmi við viðmiðanirnar sem settar eru fram í viðbæti B við þennan viðauka.</w:t>
            </w:r>
          </w:p>
        </w:tc>
      </w:tr>
      <w:tr w:rsidR="002B5657" w14:paraId="419B2209" w14:textId="77777777" w:rsidTr="00A9140F">
        <w:trPr>
          <w:trHeight w:val="360"/>
        </w:trPr>
        <w:tc>
          <w:tcPr>
            <w:tcW w:w="2836" w:type="dxa"/>
            <w:tcBorders>
              <w:bottom w:val="nil"/>
            </w:tcBorders>
            <w:tcMar>
              <w:top w:w="100" w:type="dxa"/>
              <w:left w:w="0" w:type="dxa"/>
              <w:bottom w:w="100" w:type="dxa"/>
              <w:right w:w="60" w:type="dxa"/>
            </w:tcMar>
          </w:tcPr>
          <w:p w14:paraId="434A6DA9" w14:textId="77777777" w:rsidR="002B5657" w:rsidRDefault="002B5657" w:rsidP="00A9140F">
            <w:pPr>
              <w:pStyle w:val="AnnexNumberedText"/>
              <w:ind w:left="293" w:hanging="293"/>
            </w:pPr>
            <w:r>
              <w:t>4)</w:t>
            </w:r>
            <w:r>
              <w:tab/>
              <w:t>Umskipti yfir í hringrásarhagkerfi</w:t>
            </w:r>
          </w:p>
        </w:tc>
        <w:tc>
          <w:tcPr>
            <w:tcW w:w="5904" w:type="dxa"/>
            <w:tcBorders>
              <w:bottom w:val="nil"/>
            </w:tcBorders>
            <w:tcMar>
              <w:top w:w="100" w:type="dxa"/>
              <w:left w:w="40" w:type="dxa"/>
              <w:bottom w:w="100" w:type="dxa"/>
              <w:right w:w="0" w:type="dxa"/>
            </w:tcMar>
          </w:tcPr>
          <w:p w14:paraId="195DCD0E" w14:textId="77777777" w:rsidR="002B5657" w:rsidRDefault="002B5657" w:rsidP="00A9140F">
            <w:pPr>
              <w:pStyle w:val="AnnexTableCellLeft"/>
              <w:spacing w:after="160"/>
            </w:pPr>
            <w:r>
              <w:t>Í starfseminni er lagt mat á tiltækileika og, ef það er gerlegt, tekin upp tækni sem styður:</w:t>
            </w:r>
          </w:p>
          <w:p w14:paraId="3E9051B3" w14:textId="77777777" w:rsidR="002B5657" w:rsidRDefault="002B5657" w:rsidP="00A9140F">
            <w:pPr>
              <w:pStyle w:val="AnnexNumberedText"/>
            </w:pPr>
            <w:r>
              <w:t>a)</w:t>
            </w:r>
            <w:r>
              <w:tab/>
              <w:t>endurnotkun og notkun á endurunnum hráefnum og endurnotuðum íhlutum í framleiðslu á vörum,</w:t>
            </w:r>
          </w:p>
        </w:tc>
      </w:tr>
      <w:tr w:rsidR="002B5657" w14:paraId="23F0200F" w14:textId="77777777" w:rsidTr="00A9140F">
        <w:trPr>
          <w:trHeight w:val="240"/>
        </w:trPr>
        <w:tc>
          <w:tcPr>
            <w:tcW w:w="2836" w:type="dxa"/>
            <w:tcBorders>
              <w:top w:val="single" w:sz="4" w:space="0" w:color="auto"/>
            </w:tcBorders>
            <w:tcMar>
              <w:top w:w="100" w:type="dxa"/>
              <w:left w:w="0" w:type="dxa"/>
              <w:bottom w:w="100" w:type="dxa"/>
              <w:right w:w="60" w:type="dxa"/>
            </w:tcMar>
          </w:tcPr>
          <w:p w14:paraId="77757D38" w14:textId="77777777" w:rsidR="002B5657" w:rsidRDefault="002B5657" w:rsidP="00A9140F">
            <w:pPr>
              <w:pStyle w:val="AnnexTableCellLeft"/>
              <w:pageBreakBefore/>
            </w:pPr>
          </w:p>
        </w:tc>
        <w:tc>
          <w:tcPr>
            <w:tcW w:w="5904" w:type="dxa"/>
            <w:tcBorders>
              <w:top w:val="single" w:sz="4" w:space="0" w:color="auto"/>
            </w:tcBorders>
            <w:tcMar>
              <w:top w:w="100" w:type="dxa"/>
              <w:left w:w="40" w:type="dxa"/>
              <w:bottom w:w="100" w:type="dxa"/>
              <w:right w:w="0" w:type="dxa"/>
            </w:tcMar>
          </w:tcPr>
          <w:p w14:paraId="7151D842" w14:textId="77777777" w:rsidR="002B5657" w:rsidRDefault="002B5657" w:rsidP="00A9140F">
            <w:pPr>
              <w:pStyle w:val="AnnexNumberedText"/>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6BE2532F" w14:textId="77777777" w:rsidR="002B5657" w:rsidRDefault="002B5657" w:rsidP="00A9140F">
            <w:pPr>
              <w:pStyle w:val="AnnexNumberedText"/>
            </w:pPr>
            <w:r>
              <w:t>c)</w:t>
            </w:r>
            <w:r>
              <w:tab/>
              <w:t xml:space="preserve">úrgangsstjórnun þar sem endurvinnsla er sett í forgang fram yfir </w:t>
            </w:r>
            <w:proofErr w:type="spellStart"/>
            <w:r>
              <w:t>förgun</w:t>
            </w:r>
            <w:proofErr w:type="spellEnd"/>
            <w:r>
              <w:t xml:space="preserve"> í framleiðsluferlinu,</w:t>
            </w:r>
          </w:p>
          <w:p w14:paraId="649E31FA" w14:textId="77777777" w:rsidR="002B5657" w:rsidRDefault="002B5657" w:rsidP="00A9140F">
            <w:pPr>
              <w:pStyle w:val="AnnexNumberedText"/>
            </w:pPr>
            <w:r>
              <w:t>d)</w:t>
            </w:r>
            <w:r>
              <w:tab/>
              <w:t>upplýsingar um og rekjanleika efna sem gefa tilefni til áhyggna á öllum vistferli framleiddra vara.</w:t>
            </w:r>
          </w:p>
        </w:tc>
      </w:tr>
      <w:tr w:rsidR="002B5657" w14:paraId="68DEDE63" w14:textId="77777777" w:rsidTr="00A9140F">
        <w:trPr>
          <w:trHeight w:val="360"/>
        </w:trPr>
        <w:tc>
          <w:tcPr>
            <w:tcW w:w="2836" w:type="dxa"/>
            <w:tcMar>
              <w:top w:w="100" w:type="dxa"/>
              <w:left w:w="0" w:type="dxa"/>
              <w:bottom w:w="100" w:type="dxa"/>
              <w:right w:w="60" w:type="dxa"/>
            </w:tcMar>
          </w:tcPr>
          <w:p w14:paraId="4E0AA9ED" w14:textId="77777777" w:rsidR="002B5657" w:rsidRDefault="002B5657" w:rsidP="00A9140F">
            <w:pPr>
              <w:pStyle w:val="AnnexNumberedText"/>
              <w:ind w:left="293" w:hanging="293"/>
            </w:pPr>
            <w:r>
              <w:t>5)</w:t>
            </w:r>
            <w:r>
              <w:tab/>
              <w:t>Mengunarvarnir og eftirlit með mengun</w:t>
            </w:r>
          </w:p>
        </w:tc>
        <w:tc>
          <w:tcPr>
            <w:tcW w:w="5904" w:type="dxa"/>
            <w:tcMar>
              <w:top w:w="100" w:type="dxa"/>
              <w:left w:w="40" w:type="dxa"/>
              <w:bottom w:w="100" w:type="dxa"/>
              <w:right w:w="0" w:type="dxa"/>
            </w:tcMar>
          </w:tcPr>
          <w:p w14:paraId="0A25D812" w14:textId="77777777" w:rsidR="002B5657" w:rsidRDefault="002B5657" w:rsidP="00A9140F">
            <w:pPr>
              <w:pStyle w:val="AnnexTableCellLeft"/>
            </w:pPr>
            <w:r>
              <w:t>Starfsemin er í samræmi við viðmiðanirnar sem settar eru fram í viðbæti C við þennan viðauka.</w:t>
            </w:r>
          </w:p>
        </w:tc>
      </w:tr>
      <w:tr w:rsidR="002B5657" w14:paraId="3DC442B1" w14:textId="77777777" w:rsidTr="00A9140F">
        <w:trPr>
          <w:trHeight w:val="360"/>
        </w:trPr>
        <w:tc>
          <w:tcPr>
            <w:tcW w:w="2836" w:type="dxa"/>
            <w:tcMar>
              <w:top w:w="100" w:type="dxa"/>
              <w:left w:w="0" w:type="dxa"/>
              <w:bottom w:w="100" w:type="dxa"/>
              <w:right w:w="60" w:type="dxa"/>
            </w:tcMar>
          </w:tcPr>
          <w:p w14:paraId="4906707A" w14:textId="77777777" w:rsidR="002B5657" w:rsidRDefault="002B5657" w:rsidP="00A9140F">
            <w:pPr>
              <w:pStyle w:val="AnnexNumberedText"/>
              <w:ind w:left="293" w:hanging="293"/>
            </w:pPr>
            <w:r>
              <w:t>6)</w:t>
            </w:r>
            <w:r>
              <w:tab/>
              <w:t>Vernd og endurheimt líffræðilegrar fjölbreytni og vistkerfa</w:t>
            </w:r>
          </w:p>
        </w:tc>
        <w:tc>
          <w:tcPr>
            <w:tcW w:w="5904" w:type="dxa"/>
            <w:tcMar>
              <w:top w:w="100" w:type="dxa"/>
              <w:left w:w="40" w:type="dxa"/>
              <w:bottom w:w="100" w:type="dxa"/>
              <w:right w:w="0" w:type="dxa"/>
            </w:tcMar>
          </w:tcPr>
          <w:p w14:paraId="1715E378" w14:textId="77777777" w:rsidR="002B5657" w:rsidRDefault="002B5657" w:rsidP="00A9140F">
            <w:pPr>
              <w:pStyle w:val="AnnexTableCellLeft"/>
            </w:pPr>
            <w:r>
              <w:t>Starfsemin er í samræmi við viðmiðanirnar sem settar eru fram í viðbæti D við þennan viðauka.</w:t>
            </w:r>
          </w:p>
        </w:tc>
      </w:tr>
    </w:tbl>
    <w:p w14:paraId="2D3F60CF" w14:textId="77777777" w:rsidR="002B5657" w:rsidRDefault="002B5657" w:rsidP="002B5657">
      <w:pPr>
        <w:pStyle w:val="AnnexNumberedText"/>
        <w:spacing w:before="200" w:after="240"/>
        <w:ind w:left="500" w:hanging="500"/>
      </w:pPr>
      <w:r>
        <w:t>3.3.</w:t>
      </w:r>
      <w:r>
        <w:rPr>
          <w:b/>
        </w:rPr>
        <w:tab/>
        <w:t>Framleiðsla á lágkolefnistækni fyrir flutninga</w:t>
      </w:r>
    </w:p>
    <w:p w14:paraId="7371BD3D" w14:textId="77777777" w:rsidR="002B5657" w:rsidRDefault="002B5657" w:rsidP="002B5657">
      <w:pPr>
        <w:pStyle w:val="AnnexGrSeq3"/>
        <w:spacing w:after="240"/>
        <w:ind w:left="500"/>
        <w:jc w:val="both"/>
      </w:pPr>
      <w:r>
        <w:rPr>
          <w:i/>
        </w:rPr>
        <w:t>Lýsing á starfseminni</w:t>
      </w:r>
    </w:p>
    <w:p w14:paraId="6D75B768" w14:textId="77777777" w:rsidR="002B5657" w:rsidRDefault="002B5657" w:rsidP="002B5657">
      <w:pPr>
        <w:pStyle w:val="AnnexNormal"/>
        <w:spacing w:after="240"/>
        <w:ind w:left="500"/>
      </w:pPr>
      <w:r>
        <w:t>Framleiðsla, viðgerðir, viðhald, endurbætur (</w:t>
      </w:r>
      <w:bookmarkStart w:id="80" w:name="NOTE_439"/>
      <w:r>
        <w:rPr>
          <w:rStyle w:val="Tilvsunneanmlsgrein"/>
          <w:sz w:val="18"/>
        </w:rPr>
        <w:footnoteReference w:id="440"/>
      </w:r>
      <w:bookmarkEnd w:id="80"/>
      <w:r>
        <w:t>), önnur notkun og uppfærsla á ökutækjum til vöruflutninga, járnbrautarvögnum og skipum með litla losun kolefna þar sem tæknin er ein af eftirfarandi:</w:t>
      </w:r>
    </w:p>
    <w:p w14:paraId="580A0080" w14:textId="77777777" w:rsidR="002B5657" w:rsidRDefault="002B5657" w:rsidP="002B5657">
      <w:pPr>
        <w:pStyle w:val="AnnexNumberedText"/>
        <w:spacing w:after="240"/>
        <w:ind w:left="860" w:hanging="360"/>
      </w:pPr>
      <w:r>
        <w:t>a)</w:t>
      </w:r>
      <w:r>
        <w:tab/>
        <w:t>lestir og farþegavagnar eru ekki með neina beina koltvísýringslosun (gegnum útblástursrör),</w:t>
      </w:r>
    </w:p>
    <w:p w14:paraId="12C201C0" w14:textId="77777777" w:rsidR="002B5657" w:rsidRDefault="002B5657" w:rsidP="002B5657">
      <w:pPr>
        <w:pStyle w:val="AnnexNumberedText"/>
        <w:spacing w:after="240"/>
        <w:ind w:left="860" w:hanging="360"/>
      </w:pPr>
      <w:r>
        <w:t>b)</w:t>
      </w:r>
      <w:r>
        <w:tab/>
        <w:t>lestir, farþegavagnar og vagnar sem eru ekki með neina beina koltvísýringslosun gegnum útblástursrör þegar þau eru starfrækt á brautarspori með nauðsynlegum grunnvirkjum og nota hefðbundinn hreyfil þegar slík grunnvirki eru ekki tiltæk (rafmagn-dísilolía),</w:t>
      </w:r>
    </w:p>
    <w:p w14:paraId="37C9CEA9" w14:textId="77777777" w:rsidR="002B5657" w:rsidRDefault="002B5657" w:rsidP="002B5657">
      <w:pPr>
        <w:pStyle w:val="AnnexNumberedText"/>
        <w:spacing w:after="240"/>
        <w:ind w:left="860" w:hanging="360"/>
      </w:pPr>
      <w:r>
        <w:t>c)</w:t>
      </w:r>
      <w:r>
        <w:tab/>
        <w:t>farartæki til farþegaflutninga í þéttbýli, úthverfum og á vegum þar sem bein koltvísýringslosun (gegnum útblástursrör) farartækjanna er núll,</w:t>
      </w:r>
    </w:p>
    <w:p w14:paraId="5409EDCE" w14:textId="77777777" w:rsidR="002B5657" w:rsidRDefault="002B5657" w:rsidP="002B5657">
      <w:pPr>
        <w:pStyle w:val="AnnexNumberedText"/>
        <w:spacing w:after="240"/>
        <w:ind w:left="860" w:hanging="360"/>
      </w:pPr>
      <w:r>
        <w:t>d)</w:t>
      </w:r>
      <w:r>
        <w:tab/>
        <w:t>fram til 31. desember 2025, farartæki í flokkum M2 og M3 (</w:t>
      </w:r>
      <w:bookmarkStart w:id="81" w:name="NOTE_440"/>
      <w:r>
        <w:rPr>
          <w:rStyle w:val="Tilvsunneanmlsgrein"/>
          <w:sz w:val="18"/>
        </w:rPr>
        <w:footnoteReference w:id="441"/>
      </w:r>
      <w:bookmarkEnd w:id="81"/>
      <w:r>
        <w:t>) sem eru með gerð yfirbyggingar í flokki „CA“ (einnar hæðar ökutæki), „CB“ (tveggja hæða ökutæki), „CC“ (einnar hæðar liðskipt ökutæki) eða „CD“ (tveggja hæða liðskipt ökutæki) (</w:t>
      </w:r>
      <w:bookmarkStart w:id="82" w:name="NOTE_441"/>
      <w:r>
        <w:rPr>
          <w:rStyle w:val="Tilvsunneanmlsgrein"/>
          <w:sz w:val="18"/>
        </w:rPr>
        <w:footnoteReference w:id="442"/>
      </w:r>
      <w:bookmarkEnd w:id="82"/>
      <w:r>
        <w:t xml:space="preserve">) og eru í samræmi við nýjasta EURO VI staðalinn, þ.e. bæði kröfurnar í reglugerð (EB) nr. 595/2009 og, eftir að breytingar á þeirri reglugerð öðlast gildi, í þeim breytingagerðum, jafnvel áður en þær koma til framkvæmda, og nýjasta þrep EURO VI </w:t>
      </w:r>
      <w:proofErr w:type="spellStart"/>
      <w:r>
        <w:t>staðalsins</w:t>
      </w:r>
      <w:proofErr w:type="spellEnd"/>
      <w:r>
        <w:t xml:space="preserve"> sem sett er fram í töflu 1 í 9. viðbæti við I. viðauka við reglugerð (ESB) nr. 582/2011 þegar ákvæðin sem gilda um það þrep hafa tekið gildi en hafa ekki </w:t>
      </w:r>
      <w:proofErr w:type="spellStart"/>
      <w:r>
        <w:t>ennþá</w:t>
      </w:r>
      <w:proofErr w:type="spellEnd"/>
      <w:r>
        <w:t xml:space="preserve"> komið til framkvæmda fyrir þessa gerð ökutækis (</w:t>
      </w:r>
      <w:bookmarkStart w:id="83" w:name="NOTE_442"/>
      <w:r>
        <w:rPr>
          <w:rStyle w:val="Tilvsunneanmlsgrein"/>
          <w:sz w:val="18"/>
        </w:rPr>
        <w:footnoteReference w:id="443"/>
      </w:r>
      <w:bookmarkEnd w:id="83"/>
      <w:r>
        <w:t>). Ef slíkur staðall er ekki tiltækur er bein koltvísýringslosun farartækjanna núll,</w:t>
      </w:r>
    </w:p>
    <w:p w14:paraId="1BF4CB75" w14:textId="77777777" w:rsidR="002B5657" w:rsidRDefault="002B5657" w:rsidP="002B5657">
      <w:pPr>
        <w:pStyle w:val="AnnexNumberedText"/>
        <w:spacing w:after="240"/>
        <w:ind w:left="860" w:hanging="360"/>
      </w:pPr>
      <w:r>
        <w:t>e)</w:t>
      </w:r>
      <w:r>
        <w:tab/>
        <w:t xml:space="preserve">ferlitæki einstaklinga þar sem </w:t>
      </w:r>
      <w:proofErr w:type="spellStart"/>
      <w:r>
        <w:t>knúningsaflið</w:t>
      </w:r>
      <w:proofErr w:type="spellEnd"/>
      <w:r>
        <w:t xml:space="preserve"> kemur frá hreyfingu notandans, frá vél með enga losun eða frá samblandi af vél með enga losun og líkamlegri hreyfingu,</w:t>
      </w:r>
    </w:p>
    <w:p w14:paraId="192E1642" w14:textId="77777777" w:rsidR="002B5657" w:rsidRDefault="002B5657" w:rsidP="002B5657">
      <w:pPr>
        <w:pStyle w:val="AnnexNumberedText"/>
        <w:spacing w:after="240"/>
        <w:ind w:left="860" w:hanging="360"/>
      </w:pPr>
      <w:r>
        <w:t>f)</w:t>
      </w:r>
      <w:r>
        <w:tab/>
        <w:t>farartæki í flokki M</w:t>
      </w:r>
      <w:r>
        <w:rPr>
          <w:vertAlign w:val="subscript"/>
        </w:rPr>
        <w:t>1</w:t>
      </w:r>
      <w:r>
        <w:t xml:space="preserve"> og N</w:t>
      </w:r>
      <w:r>
        <w:rPr>
          <w:vertAlign w:val="subscript"/>
        </w:rPr>
        <w:t>1</w:t>
      </w:r>
      <w:r>
        <w:t xml:space="preserve"> sem eru flokkuð sem létt ökutæki (</w:t>
      </w:r>
      <w:bookmarkStart w:id="84" w:name="NOTE_443"/>
      <w:r>
        <w:rPr>
          <w:rStyle w:val="Tilvsunneanmlsgrein"/>
          <w:sz w:val="18"/>
        </w:rPr>
        <w:footnoteReference w:id="444"/>
      </w:r>
      <w:bookmarkEnd w:id="84"/>
      <w:r>
        <w:t>) með:</w:t>
      </w:r>
    </w:p>
    <w:p w14:paraId="181891C9" w14:textId="77777777" w:rsidR="002B5657" w:rsidRDefault="002B5657" w:rsidP="002B5657">
      <w:pPr>
        <w:pStyle w:val="AnnexNumberedText"/>
        <w:spacing w:after="240"/>
        <w:ind w:left="1220" w:hanging="360"/>
      </w:pPr>
      <w:r>
        <w:t>i.</w:t>
      </w:r>
      <w:r>
        <w:tab/>
        <w:t xml:space="preserve">fram til 31. desember 2025: sértæk losun koltvísýrings, eins og skilgreint er í </w:t>
      </w:r>
      <w:proofErr w:type="spellStart"/>
      <w:r>
        <w:t>h-lið</w:t>
      </w:r>
      <w:proofErr w:type="spellEnd"/>
      <w:r>
        <w:t xml:space="preserve"> 1. mgr. 3. gr. reglugerðar (ESB) 2019/631, er minni en 50 g CO</w:t>
      </w:r>
      <w:r>
        <w:rPr>
          <w:vertAlign w:val="subscript"/>
        </w:rPr>
        <w:t>2</w:t>
      </w:r>
      <w:r>
        <w:t>/km (létt ökutæki með litla og enga losun),</w:t>
      </w:r>
    </w:p>
    <w:p w14:paraId="019D7B27" w14:textId="77777777" w:rsidR="002B5657" w:rsidRDefault="002B5657" w:rsidP="002B5657">
      <w:pPr>
        <w:pStyle w:val="AnnexNumberedText"/>
        <w:spacing w:after="240"/>
        <w:ind w:left="1220" w:hanging="360"/>
      </w:pPr>
      <w:r>
        <w:t>ii.</w:t>
      </w:r>
      <w:r>
        <w:tab/>
        <w:t xml:space="preserve">frá 1. janúar 2026: sértæk losun koltvísýrings, eins og skilgreint er í </w:t>
      </w:r>
      <w:proofErr w:type="spellStart"/>
      <w:r>
        <w:t>h-lið</w:t>
      </w:r>
      <w:proofErr w:type="spellEnd"/>
      <w:r>
        <w:t xml:space="preserve"> 1. mgr. 3. gr. reglugerðar (ESB) 2019/631, er núll,</w:t>
      </w:r>
    </w:p>
    <w:p w14:paraId="118A4450" w14:textId="77777777" w:rsidR="002B5657" w:rsidRDefault="002B5657" w:rsidP="002B5657">
      <w:pPr>
        <w:pStyle w:val="AnnexNumberedText"/>
        <w:spacing w:after="0"/>
        <w:ind w:left="860" w:hanging="360"/>
      </w:pPr>
      <w:r>
        <w:lastRenderedPageBreak/>
        <w:t>g)</w:t>
      </w:r>
      <w:r>
        <w:tab/>
        <w:t>farartæki í flokki L (</w:t>
      </w:r>
      <w:bookmarkStart w:id="85" w:name="NOTE_444"/>
      <w:r>
        <w:rPr>
          <w:rStyle w:val="Tilvsunneanmlsgrein"/>
          <w:sz w:val="18"/>
        </w:rPr>
        <w:footnoteReference w:id="445"/>
      </w:r>
      <w:bookmarkEnd w:id="85"/>
      <w:r>
        <w:t>) með koltvísýringslosun gegnum útblástursrör sem er jöfn og 0g CO</w:t>
      </w:r>
      <w:r>
        <w:rPr>
          <w:vertAlign w:val="subscript"/>
        </w:rPr>
        <w:t>2</w:t>
      </w:r>
      <w:r>
        <w:t>e/km, reiknuð út í samræmi við losunarprófunina sem mælt er fyrir um í reglugerð (ESB) 168/2013,</w:t>
      </w:r>
      <w:r>
        <w:br w:type="page"/>
      </w:r>
    </w:p>
    <w:p w14:paraId="006B6CF0" w14:textId="77777777" w:rsidR="002B5657" w:rsidRDefault="002B5657" w:rsidP="002B5657">
      <w:pPr>
        <w:pStyle w:val="AnnexNumberedText"/>
        <w:spacing w:after="280"/>
        <w:ind w:left="800"/>
        <w:rPr>
          <w:szCs w:val="18"/>
        </w:rPr>
      </w:pPr>
      <w:r>
        <w:lastRenderedPageBreak/>
        <w:t>h)</w:t>
      </w:r>
      <w:r>
        <w:tab/>
        <w:t>farartæki í flokkum N2 og N3 og N1, sem eru flokkuð sem þung ökutæki, sem eru ekki ætluð til flutninga á jarðefnaeldsneyti, með tæknilega leyfilegan hámarksmassa með hleðslu að hámarki 7,5 tonn, sem eru „þung ökutæki með engri losun“ eins og skilgreint er í reglugerð (ESB) 2019/1242,</w:t>
      </w:r>
    </w:p>
    <w:p w14:paraId="343ED0D3" w14:textId="77777777" w:rsidR="002B5657" w:rsidRDefault="002B5657" w:rsidP="002B5657">
      <w:pPr>
        <w:pStyle w:val="AnnexNumberedText"/>
        <w:spacing w:after="280"/>
        <w:ind w:left="800"/>
        <w:rPr>
          <w:szCs w:val="18"/>
        </w:rPr>
      </w:pPr>
      <w:r>
        <w:t>i)</w:t>
      </w:r>
      <w:r>
        <w:tab/>
        <w:t>farartæki í flokki N2 og N3, sem eru ekki ætluð til flutninga á jarðefnaeldsneyti, með tæknilega leyfilegan hámarksmassa með hleðslu umfram 7,5 tonn, sem eru „þung ökutæki með engri losun“ eins og skilgreint er í 11. lið 3. gr. reglugerðar (ESB) 2019/1242, eða „þung ökutæki með lítilli losun“ eins og skilgreint er í 12. lið 3. gr. þeirrar reglugerðar,</w:t>
      </w:r>
    </w:p>
    <w:p w14:paraId="68DDEF21" w14:textId="77777777" w:rsidR="002B5657" w:rsidRDefault="002B5657" w:rsidP="002B5657">
      <w:pPr>
        <w:pStyle w:val="AnnexNumberedText"/>
        <w:spacing w:after="280"/>
        <w:ind w:left="800"/>
        <w:rPr>
          <w:szCs w:val="18"/>
        </w:rPr>
      </w:pPr>
      <w:r>
        <w:t>j)</w:t>
      </w:r>
      <w:r>
        <w:tab/>
        <w:t>skip fyrir farþegaflutninga á skipgengum vatnaleiðum sem:</w:t>
      </w:r>
    </w:p>
    <w:p w14:paraId="252BA2BA" w14:textId="77777777" w:rsidR="002B5657" w:rsidRDefault="002B5657" w:rsidP="002B5657">
      <w:pPr>
        <w:pStyle w:val="AnnexNumberedText"/>
        <w:tabs>
          <w:tab w:val="right" w:pos="503"/>
        </w:tabs>
        <w:spacing w:after="280"/>
        <w:ind w:left="1100"/>
        <w:rPr>
          <w:szCs w:val="18"/>
        </w:rPr>
      </w:pPr>
      <w:r>
        <w:t>i.</w:t>
      </w:r>
      <w:r>
        <w:tab/>
        <w:t>eru ekki með neina beina koltvísýringslosun (gegnum útblástursrör),</w:t>
      </w:r>
    </w:p>
    <w:p w14:paraId="160E75F7" w14:textId="77777777" w:rsidR="002B5657" w:rsidRDefault="002B5657" w:rsidP="002B5657">
      <w:pPr>
        <w:pStyle w:val="AnnexNumberedText"/>
        <w:tabs>
          <w:tab w:val="right" w:pos="503"/>
        </w:tabs>
        <w:spacing w:after="280"/>
        <w:ind w:left="1100"/>
        <w:rPr>
          <w:szCs w:val="18"/>
        </w:rPr>
      </w:pPr>
      <w:r>
        <w:t>ii.</w:t>
      </w:r>
      <w:r>
        <w:tab/>
        <w:t xml:space="preserve">fram til 31. desember 2025, eru blendingsskip og </w:t>
      </w:r>
      <w:proofErr w:type="spellStart"/>
      <w:r>
        <w:t>tvíbrennieldsneytisskip</w:t>
      </w:r>
      <w:proofErr w:type="spellEnd"/>
      <w:r>
        <w:t xml:space="preserve"> sem nota a.m.k. 50% af orku sinni frá eldsneyti sem er ekki með neina beina koltvísýringslosun (gegnum útblástursrör) eða frá straumi frá hleðslu fyrir venjulega </w:t>
      </w:r>
      <w:proofErr w:type="spellStart"/>
      <w:r>
        <w:t>starfrækslu</w:t>
      </w:r>
      <w:proofErr w:type="spellEnd"/>
      <w:r>
        <w:t>,</w:t>
      </w:r>
    </w:p>
    <w:p w14:paraId="43D047A4" w14:textId="77777777" w:rsidR="002B5657" w:rsidRDefault="002B5657" w:rsidP="002B5657">
      <w:pPr>
        <w:pStyle w:val="AnnexNumberedText"/>
        <w:spacing w:after="280"/>
        <w:ind w:left="800"/>
        <w:rPr>
          <w:szCs w:val="18"/>
        </w:rPr>
      </w:pPr>
      <w:r>
        <w:t>k)</w:t>
      </w:r>
      <w:r>
        <w:tab/>
        <w:t>skip til vöruflutninga á skipgengum vatnaleiðum, sem eru ekki ætluð til flutninga á jarðefnaeldsneyti, sem:</w:t>
      </w:r>
    </w:p>
    <w:p w14:paraId="28594049" w14:textId="77777777" w:rsidR="002B5657" w:rsidRDefault="002B5657" w:rsidP="002B5657">
      <w:pPr>
        <w:pStyle w:val="AnnexNumberedText"/>
        <w:spacing w:after="280"/>
        <w:ind w:left="1100"/>
        <w:rPr>
          <w:szCs w:val="18"/>
        </w:rPr>
      </w:pPr>
      <w:r>
        <w:t>i.</w:t>
      </w:r>
      <w:r>
        <w:tab/>
        <w:t>eru ekki með neina beina koltvísýringslosun (gegnum útblástursrör),</w:t>
      </w:r>
    </w:p>
    <w:p w14:paraId="030404F8" w14:textId="77777777" w:rsidR="002B5657" w:rsidRDefault="002B5657" w:rsidP="002B5657">
      <w:pPr>
        <w:pStyle w:val="AnnexNumberedText"/>
        <w:spacing w:after="280"/>
        <w:ind w:left="1100"/>
        <w:rPr>
          <w:szCs w:val="18"/>
        </w:rPr>
      </w:pPr>
      <w:r>
        <w:t>ii.</w:t>
      </w:r>
      <w:r>
        <w:tab/>
        <w:t>fram til 31. desember 2025 eru með beina koltvísýringslosun (gegnum útblástursrör) á tonnkílómetra (g CO</w:t>
      </w:r>
      <w:r>
        <w:rPr>
          <w:vertAlign w:val="subscript"/>
        </w:rPr>
        <w:t>2</w:t>
      </w:r>
      <w:r>
        <w:t>/</w:t>
      </w:r>
      <w:proofErr w:type="spellStart"/>
      <w:r>
        <w:t>tkm</w:t>
      </w:r>
      <w:proofErr w:type="spellEnd"/>
      <w:r>
        <w:t xml:space="preserve">), reiknað út (eða áætlað ef um ný skip er að ræða) með því að nota rekstrarlegan </w:t>
      </w:r>
      <w:proofErr w:type="spellStart"/>
      <w:r>
        <w:t>orkunýtnivísi</w:t>
      </w:r>
      <w:proofErr w:type="spellEnd"/>
      <w:r>
        <w:t xml:space="preserve"> </w:t>
      </w:r>
      <w:bookmarkStart w:id="86" w:name="NOTE_445"/>
      <w:r>
        <w:rPr>
          <w:rStyle w:val="Tilvsunneanmlsgrein"/>
          <w:sz w:val="18"/>
          <w:szCs w:val="18"/>
        </w:rPr>
        <w:footnoteReference w:id="446"/>
      </w:r>
      <w:bookmarkEnd w:id="86"/>
      <w:r>
        <w:t>), sem er 50% minni en meðaltal viðmiðunargildis fyrir losun á koltvísýringi sem er skilgreint fyrir þung farartæki (undirhópur ökutækja 5-LH) í samræmi við 11. gr. reglugerðar (ESB) 2019/1242,</w:t>
      </w:r>
    </w:p>
    <w:p w14:paraId="4C3F4668" w14:textId="77777777" w:rsidR="002B5657" w:rsidRDefault="002B5657" w:rsidP="002B5657">
      <w:pPr>
        <w:pStyle w:val="AnnexNumberedText"/>
        <w:spacing w:after="280"/>
        <w:ind w:left="800"/>
        <w:rPr>
          <w:szCs w:val="18"/>
        </w:rPr>
      </w:pPr>
      <w:r>
        <w:t>l)</w:t>
      </w:r>
      <w:r>
        <w:tab/>
        <w:t>skip fyrir millilanda- og strandsiglingar með vörur, skip fyrir hafnarstarfsemi og aukastarfsemi, sem eru ekki ætluð til flutninga á jarðefnaeldsneyti, sem:</w:t>
      </w:r>
    </w:p>
    <w:p w14:paraId="327CD2FC" w14:textId="77777777" w:rsidR="002B5657" w:rsidRDefault="002B5657" w:rsidP="002B5657">
      <w:pPr>
        <w:pStyle w:val="AnnexNumberedText"/>
        <w:spacing w:after="280"/>
        <w:ind w:left="1100"/>
        <w:rPr>
          <w:szCs w:val="18"/>
        </w:rPr>
      </w:pPr>
      <w:r>
        <w:t>i.</w:t>
      </w:r>
      <w:r>
        <w:tab/>
        <w:t>eru ekki með neina beina koltvísýringslosun (gegnum útblástursrör),</w:t>
      </w:r>
    </w:p>
    <w:p w14:paraId="79B6D7CC" w14:textId="77777777" w:rsidR="002B5657" w:rsidRDefault="002B5657" w:rsidP="002B5657">
      <w:pPr>
        <w:pStyle w:val="AnnexNumberedText"/>
        <w:spacing w:after="280"/>
        <w:ind w:left="1100"/>
        <w:rPr>
          <w:szCs w:val="18"/>
        </w:rPr>
      </w:pPr>
      <w:r>
        <w:t>ii.</w:t>
      </w:r>
      <w:r>
        <w:tab/>
        <w:t xml:space="preserve">fram til 31. desember 2025, eru blendingsskip og </w:t>
      </w:r>
      <w:proofErr w:type="spellStart"/>
      <w:r>
        <w:t>tvíbrennieldsneytisskip</w:t>
      </w:r>
      <w:proofErr w:type="spellEnd"/>
      <w:r>
        <w:t xml:space="preserve"> sem fá a.m.k. 25%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p>
    <w:p w14:paraId="7681AD89" w14:textId="77777777" w:rsidR="002B5657" w:rsidRDefault="002B5657" w:rsidP="002B5657">
      <w:pPr>
        <w:pStyle w:val="AnnexNumberedText"/>
        <w:spacing w:after="280"/>
        <w:ind w:left="1100"/>
        <w:rPr>
          <w:szCs w:val="18"/>
        </w:rPr>
      </w:pPr>
      <w:r>
        <w:t>iii.</w:t>
      </w:r>
      <w:r>
        <w:tab/>
        <w:t xml:space="preserve">fram til 31. desember 2025, og einungis þegar hægt er að sýna fram á að skipin séu eingöngu notuð til að starfrækja strandþjónustu og þjónustu á stuttum sjóleiðum sem er ætluð til að stuðla að umskiptum í flutningum á vörum, sem nú eru fluttar á landi, yfir í flutninga á sjó, eru skipin með beina koltvísýringslosun (gegnum útblástursrör), sem er reiknuð út með því nota </w:t>
      </w:r>
      <w:proofErr w:type="spellStart"/>
      <w:r>
        <w:t>orkunýtnivísitölu</w:t>
      </w:r>
      <w:proofErr w:type="spellEnd"/>
      <w:r>
        <w:t xml:space="preserve"> hönnunar (</w:t>
      </w:r>
      <w:bookmarkStart w:id="87" w:name="NOTE_446"/>
      <w:r>
        <w:rPr>
          <w:rStyle w:val="Tilvsunneanmlsgrein"/>
          <w:sz w:val="18"/>
          <w:szCs w:val="18"/>
        </w:rPr>
        <w:footnoteReference w:id="447"/>
      </w:r>
      <w:bookmarkEnd w:id="87"/>
      <w:r>
        <w:t>) frá Alþjóðasiglingamálastofnuninni, sem er 50% lægri en meðaltal viðmiðunargildis fyrir losun á koltvísýringi sem er skilgreint fyrir þung farartæki (undirhópur ökutækja 5-LH) í samræmi við 11. gr. reglugerðar (ESB) 2019/1242,</w:t>
      </w:r>
    </w:p>
    <w:p w14:paraId="67EB477E" w14:textId="77777777" w:rsidR="002B5657" w:rsidRDefault="002B5657" w:rsidP="002B5657">
      <w:pPr>
        <w:pStyle w:val="AnnexNumberedText"/>
        <w:spacing w:after="280"/>
        <w:ind w:left="1100"/>
        <w:rPr>
          <w:szCs w:val="18"/>
        </w:rPr>
      </w:pPr>
      <w:r>
        <w:t>iv.</w:t>
      </w:r>
      <w:r>
        <w:tab/>
        <w:t xml:space="preserve">fram til 31. desember 2025, skipin hafa náð gildi fyrir </w:t>
      </w:r>
      <w:proofErr w:type="spellStart"/>
      <w:r>
        <w:t>orkunýtnivísitölu</w:t>
      </w:r>
      <w:proofErr w:type="spellEnd"/>
      <w:r>
        <w:t xml:space="preserve"> hönnunar sem er 10% undir kröfunum um </w:t>
      </w:r>
      <w:proofErr w:type="spellStart"/>
      <w:r>
        <w:t>orkunýtnivísitölu</w:t>
      </w:r>
      <w:proofErr w:type="spellEnd"/>
      <w:r>
        <w:t xml:space="preserve"> hönnunar sem eru í gildi 1. apríl 2022 (</w:t>
      </w:r>
      <w:bookmarkStart w:id="88" w:name="NOTE_447"/>
      <w:r>
        <w:rPr>
          <w:rStyle w:val="Tilvsunneanmlsgrein"/>
          <w:sz w:val="18"/>
          <w:szCs w:val="18"/>
        </w:rPr>
        <w:footnoteReference w:id="448"/>
      </w:r>
      <w:bookmarkEnd w:id="88"/>
      <w:r>
        <w:t>) ef skipin geta gengið fyrir eldsneyti sem er ekki með neina beina koltvísýringslosun (gegnum útblástursrör) eða eldsneyti frá endurnýjanlegum orkugjöfum (</w:t>
      </w:r>
      <w:bookmarkStart w:id="89" w:name="NOTE_448"/>
      <w:r>
        <w:rPr>
          <w:rStyle w:val="Tilvsunneanmlsgrein"/>
          <w:sz w:val="18"/>
          <w:szCs w:val="18"/>
        </w:rPr>
        <w:footnoteReference w:id="449"/>
      </w:r>
      <w:bookmarkEnd w:id="89"/>
      <w:r>
        <w:t>),</w:t>
      </w:r>
    </w:p>
    <w:p w14:paraId="4822AE2D" w14:textId="77777777" w:rsidR="002B5657" w:rsidRDefault="002B5657" w:rsidP="002B5657">
      <w:pPr>
        <w:pStyle w:val="AnnexNumberedText"/>
        <w:spacing w:after="280"/>
        <w:ind w:left="800"/>
        <w:rPr>
          <w:szCs w:val="18"/>
        </w:rPr>
      </w:pPr>
      <w:r>
        <w:t>m)</w:t>
      </w:r>
      <w:r>
        <w:tab/>
        <w:t>skip til millilanda- og strandsiglinga með farþega, sem ekki eru ætluð til flutninga á jarðefnaeldsneyti, sem:</w:t>
      </w:r>
    </w:p>
    <w:p w14:paraId="7580C26C" w14:textId="77777777" w:rsidR="002B5657" w:rsidRDefault="002B5657" w:rsidP="002B5657">
      <w:pPr>
        <w:pStyle w:val="AnnexNumberedText"/>
        <w:spacing w:after="280"/>
        <w:ind w:left="1100"/>
      </w:pPr>
      <w:r>
        <w:t>i.</w:t>
      </w:r>
      <w:r>
        <w:tab/>
        <w:t>eru ekki með neina beina koltvísýringslosun (gegnum útblástursrör),</w:t>
      </w:r>
    </w:p>
    <w:p w14:paraId="67AF8D69" w14:textId="77777777" w:rsidR="002B5657" w:rsidRDefault="002B5657" w:rsidP="002B5657">
      <w:pPr>
        <w:pStyle w:val="AnnexNumberedText"/>
        <w:spacing w:after="0"/>
        <w:ind w:left="1100"/>
      </w:pPr>
      <w:r>
        <w:lastRenderedPageBreak/>
        <w:t>ii.</w:t>
      </w:r>
      <w:r>
        <w:tab/>
        <w:t xml:space="preserve">fram til 31. desember 2025, blendingsskip og </w:t>
      </w:r>
      <w:proofErr w:type="spellStart"/>
      <w:r>
        <w:t>tvíbrennieldsneytisskip</w:t>
      </w:r>
      <w:proofErr w:type="spellEnd"/>
      <w:r>
        <w:t xml:space="preserve"> fá a.m.k. 50% af orku sinni frá eldsneyti sem er ekki með neina beina koltvísýringslosun (gegnum útblástursrör) eða frá straumi frá hleðslu fyrir venjulega </w:t>
      </w:r>
      <w:proofErr w:type="spellStart"/>
      <w:r>
        <w:t>starfrækslu</w:t>
      </w:r>
      <w:proofErr w:type="spellEnd"/>
      <w:r>
        <w:t xml:space="preserve"> til sjós og í höfnum,</w:t>
      </w:r>
      <w:r>
        <w:br w:type="page"/>
      </w:r>
    </w:p>
    <w:p w14:paraId="54D0EFCD" w14:textId="77777777" w:rsidR="002B5657" w:rsidRDefault="002B5657" w:rsidP="002B5657">
      <w:pPr>
        <w:pStyle w:val="AnnexNumberedText"/>
        <w:tabs>
          <w:tab w:val="right" w:pos="553"/>
        </w:tabs>
        <w:ind w:left="1100"/>
        <w:rPr>
          <w:szCs w:val="18"/>
        </w:rPr>
      </w:pPr>
      <w:r>
        <w:lastRenderedPageBreak/>
        <w:t>iii.</w:t>
      </w:r>
      <w:r>
        <w:tab/>
        <w:t xml:space="preserve">fram til 31. desember 2025, skipin hafa náð gildi fyrir </w:t>
      </w:r>
      <w:proofErr w:type="spellStart"/>
      <w:r>
        <w:t>orkunýtnivísitölu</w:t>
      </w:r>
      <w:proofErr w:type="spellEnd"/>
      <w:r>
        <w:t xml:space="preserve"> hönnunar sem er 10% undir kröfunum um </w:t>
      </w:r>
      <w:proofErr w:type="spellStart"/>
      <w:r>
        <w:t>orkunýtnivísitölu</w:t>
      </w:r>
      <w:proofErr w:type="spellEnd"/>
      <w:r>
        <w:t xml:space="preserve"> hönnunar sem eru í gildi 1. apríl 2022 ef skipin geta gengið fyrir eldsneyti sem er ekki með neina beina koltvísýringslosun (gegnum útblástursrör) eða eldsneyti frá endurnýjanlegum orkugjöfum (</w:t>
      </w:r>
      <w:bookmarkStart w:id="90" w:name="NOTE_449"/>
      <w:r>
        <w:rPr>
          <w:rStyle w:val="Tilvsunneanmlsgrein"/>
          <w:sz w:val="18"/>
          <w:szCs w:val="18"/>
        </w:rPr>
        <w:footnoteReference w:id="450"/>
      </w:r>
      <w:bookmarkEnd w:id="90"/>
      <w:r>
        <w:t>).</w:t>
      </w:r>
    </w:p>
    <w:p w14:paraId="6E8C7292" w14:textId="77777777" w:rsidR="002B5657" w:rsidRDefault="002B5657" w:rsidP="002B5657">
      <w:pPr>
        <w:pStyle w:val="AnnexNormal"/>
        <w:ind w:left="500"/>
      </w:pPr>
      <w:r>
        <w:t>Atvinnustarfsemin í þessum flokki gæti tengst nokkrum kóðum atvinnugreinaflokkunar Evrópusambandsins, einkum C29.1, C30.1, C30.2, C30.9, C33.15 og C33.17, í samræmi við atvinnugreinaflokkunina sem komið var á með reglugerð (EB) nr. 1893/2006.</w:t>
      </w:r>
    </w:p>
    <w:p w14:paraId="1D1448D9" w14:textId="77777777" w:rsidR="002B5657" w:rsidRDefault="002B5657" w:rsidP="002B5657">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56"/>
        <w:gridCol w:w="5784"/>
      </w:tblGrid>
      <w:tr w:rsidR="002B5657" w14:paraId="36C809ED"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2E3B5F69" w14:textId="77777777" w:rsidR="002B5657" w:rsidRDefault="002B5657" w:rsidP="00A9140F">
            <w:pPr>
              <w:pStyle w:val="AnnexTableCellLeft"/>
            </w:pPr>
            <w:r>
              <w:t>Verulegt framlag til aðlögunar að loftslagsbreytingum</w:t>
            </w:r>
          </w:p>
        </w:tc>
      </w:tr>
      <w:tr w:rsidR="002B5657" w14:paraId="6BA5309E" w14:textId="77777777" w:rsidTr="00A9140F">
        <w:trPr>
          <w:trHeight w:val="360"/>
        </w:trPr>
        <w:tc>
          <w:tcPr>
            <w:tcW w:w="8740" w:type="dxa"/>
            <w:gridSpan w:val="2"/>
            <w:tcBorders>
              <w:bottom w:val="nil"/>
            </w:tcBorders>
            <w:tcMar>
              <w:top w:w="100" w:type="dxa"/>
              <w:left w:w="0" w:type="dxa"/>
              <w:bottom w:w="100" w:type="dxa"/>
              <w:right w:w="60" w:type="dxa"/>
            </w:tcMar>
          </w:tcPr>
          <w:p w14:paraId="33318737" w14:textId="77777777" w:rsidR="002B5657" w:rsidRDefault="002B5657" w:rsidP="00A9140F">
            <w:pPr>
              <w:pStyle w:val="AnnexNumberedText"/>
              <w:tabs>
                <w:tab w:val="left" w:pos="508"/>
              </w:tabs>
              <w:spacing w:after="3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0E1D12B7" w14:textId="77777777" w:rsidR="002B5657" w:rsidRDefault="002B5657" w:rsidP="00A9140F">
            <w:pPr>
              <w:pStyle w:val="AnnexNumberedText"/>
              <w:tabs>
                <w:tab w:val="left" w:pos="508"/>
              </w:tabs>
              <w:spacing w:after="3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C639FC5" w14:textId="77777777" w:rsidR="002B5657" w:rsidRDefault="002B5657" w:rsidP="00A9140F">
            <w:pPr>
              <w:pStyle w:val="AnnexNumberedText"/>
              <w:spacing w:after="380"/>
            </w:pPr>
            <w:r>
              <w:t>a)</w:t>
            </w:r>
            <w:r>
              <w:tab/>
              <w:t>skimun á starfseminni til að greina hvaða efnislega loftslagsáhætta úr skránni í viðbæti A við þennan viðauka getur haft áhrif á árangurinn af atvinnustarfseminni á væntum líftíma hennar,</w:t>
            </w:r>
          </w:p>
          <w:p w14:paraId="64F4FF43" w14:textId="77777777" w:rsidR="002B5657" w:rsidRDefault="002B5657" w:rsidP="00A9140F">
            <w:pPr>
              <w:pStyle w:val="AnnexNumberedText"/>
              <w:spacing w:after="3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25F19E1C" w14:textId="77777777" w:rsidR="002B5657" w:rsidRDefault="002B5657" w:rsidP="00A9140F">
            <w:pPr>
              <w:pStyle w:val="AnnexNumberedText"/>
              <w:spacing w:after="380"/>
            </w:pPr>
            <w:r>
              <w:t>c)</w:t>
            </w:r>
            <w:r>
              <w:tab/>
              <w:t>mat á aðlögunarlausnum sem geta dregið úr greindri efnislegri loftslagsáhættu.</w:t>
            </w:r>
          </w:p>
          <w:p w14:paraId="414B59CF" w14:textId="77777777" w:rsidR="002B5657" w:rsidRDefault="002B5657" w:rsidP="00A9140F">
            <w:pPr>
              <w:pStyle w:val="AnnexTableCellLeft"/>
              <w:tabs>
                <w:tab w:val="left" w:pos="508"/>
              </w:tabs>
              <w:spacing w:after="380"/>
            </w:pPr>
            <w:r>
              <w:t xml:space="preserve">Loftslagsáhættu- og veikleikamatið er í réttu hlutfalli við umfang starfseminnar og </w:t>
            </w:r>
            <w:proofErr w:type="spellStart"/>
            <w:r>
              <w:t>væntan</w:t>
            </w:r>
            <w:proofErr w:type="spellEnd"/>
            <w:r>
              <w:t xml:space="preserve"> líftíma hennar þannig að:</w:t>
            </w:r>
          </w:p>
          <w:p w14:paraId="02C1388A" w14:textId="77777777" w:rsidR="002B5657" w:rsidRDefault="002B5657" w:rsidP="00A9140F">
            <w:pPr>
              <w:pStyle w:val="AnnexNumberedText"/>
              <w:spacing w:after="3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9A2AD8B" w14:textId="77777777" w:rsidR="002B5657" w:rsidRDefault="002B5657" w:rsidP="00A9140F">
            <w:pPr>
              <w:pStyle w:val="AnnexNumberedText"/>
              <w:spacing w:after="38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5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0E89C2C" w14:textId="77777777" w:rsidR="002B5657" w:rsidRDefault="002B5657" w:rsidP="00A9140F">
            <w:pPr>
              <w:pStyle w:val="AnnexNumberedText"/>
              <w:tabs>
                <w:tab w:val="left" w:pos="508"/>
              </w:tabs>
              <w:spacing w:after="38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52"/>
            </w:r>
            <w:r>
              <w:t>), vísindalegt ritrýnt útgefið efni og líkön með opnum aðgangi (</w:t>
            </w:r>
            <w:r>
              <w:rPr>
                <w:rStyle w:val="Tilvsunneanmlsgrein"/>
                <w:sz w:val="18"/>
              </w:rPr>
              <w:footnoteReference w:id="453"/>
            </w:r>
            <w:r>
              <w:t>) eða gegn greiðslu.</w:t>
            </w:r>
          </w:p>
          <w:p w14:paraId="76BBF2F6" w14:textId="77777777" w:rsidR="002B5657" w:rsidRDefault="002B5657" w:rsidP="00A9140F">
            <w:pPr>
              <w:pStyle w:val="AnnexNumberedText"/>
              <w:tabs>
                <w:tab w:val="left" w:pos="508"/>
              </w:tabs>
              <w:spacing w:after="380"/>
              <w:ind w:left="0" w:firstLine="0"/>
            </w:pPr>
            <w:r>
              <w:t>4.</w:t>
            </w:r>
            <w:r>
              <w:tab/>
              <w:t>Aðlögunarlausnir sem komið er í framkvæmd:</w:t>
            </w:r>
          </w:p>
          <w:p w14:paraId="2364C34D" w14:textId="77777777" w:rsidR="002B5657" w:rsidRDefault="002B5657" w:rsidP="00A9140F">
            <w:pPr>
              <w:pStyle w:val="AnnexNumberedText"/>
              <w:spacing w:after="0"/>
            </w:pPr>
            <w:r>
              <w:t>a)</w:t>
            </w:r>
            <w:r>
              <w:tab/>
              <w:t>hafa ekki neikvæð áhrif á viðleitni til aðlögunar eða viðnám annars fólks, náttúru, menningararfleifðar, eigna og annarrar atvinnustarfsemi gegn efnislegri loftslagsáhættu,</w:t>
            </w:r>
          </w:p>
        </w:tc>
      </w:tr>
      <w:tr w:rsidR="002B5657" w14:paraId="36293CC6" w14:textId="77777777" w:rsidTr="00A9140F">
        <w:trPr>
          <w:trHeight w:val="360"/>
        </w:trPr>
        <w:tc>
          <w:tcPr>
            <w:tcW w:w="8740" w:type="dxa"/>
            <w:gridSpan w:val="2"/>
            <w:tcBorders>
              <w:top w:val="nil"/>
            </w:tcBorders>
            <w:tcMar>
              <w:top w:w="100" w:type="dxa"/>
              <w:left w:w="0" w:type="dxa"/>
              <w:bottom w:w="100" w:type="dxa"/>
              <w:right w:w="60" w:type="dxa"/>
            </w:tcMar>
          </w:tcPr>
          <w:p w14:paraId="3B4720D3" w14:textId="77777777" w:rsidR="002B5657" w:rsidRDefault="002B5657" w:rsidP="00A9140F">
            <w:pPr>
              <w:pStyle w:val="AnnexNumberedText"/>
              <w:pageBreakBefore/>
            </w:pPr>
            <w:r>
              <w:lastRenderedPageBreak/>
              <w:t>b)</w:t>
            </w:r>
            <w:r>
              <w:tab/>
              <w:t>eru með náttúrumiðaðar lausnir (</w:t>
            </w:r>
            <w:r>
              <w:rPr>
                <w:rStyle w:val="Tilvsunneanmlsgrein"/>
                <w:sz w:val="18"/>
              </w:rPr>
              <w:footnoteReference w:id="454"/>
            </w:r>
            <w:r>
              <w:t>) í forgangi eða treyst er á bláa eða græna innviði (</w:t>
            </w:r>
            <w:r>
              <w:rPr>
                <w:rStyle w:val="Tilvsunneanmlsgrein"/>
                <w:sz w:val="18"/>
              </w:rPr>
              <w:footnoteReference w:id="455"/>
            </w:r>
            <w:r>
              <w:t>) að því marki sem mögulegt er,</w:t>
            </w:r>
          </w:p>
          <w:p w14:paraId="32C30935" w14:textId="77777777" w:rsidR="002B5657" w:rsidRDefault="002B5657" w:rsidP="00A9140F">
            <w:pPr>
              <w:pStyle w:val="AnnexNumberedText"/>
            </w:pPr>
            <w:r>
              <w:t>c)</w:t>
            </w:r>
            <w:r>
              <w:tab/>
              <w:t>eru í samræmi við staðbundnar, geirabundnar, svæðisbundnar eða landsbundnar aðlögunarstefnur og -áætlanir,</w:t>
            </w:r>
          </w:p>
          <w:p w14:paraId="7F4505D3" w14:textId="77777777" w:rsidR="002B5657" w:rsidRDefault="002B5657" w:rsidP="00A9140F">
            <w:pPr>
              <w:pStyle w:val="AnnexNumberedText"/>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5FD6C1C" w14:textId="77777777" w:rsidR="002B5657" w:rsidRDefault="002B5657"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026342A2" w14:textId="77777777" w:rsidTr="00A9140F">
        <w:trPr>
          <w:trHeight w:val="240"/>
        </w:trPr>
        <w:tc>
          <w:tcPr>
            <w:tcW w:w="8740" w:type="dxa"/>
            <w:gridSpan w:val="2"/>
            <w:tcMar>
              <w:top w:w="100" w:type="dxa"/>
              <w:left w:w="0" w:type="dxa"/>
              <w:bottom w:w="100" w:type="dxa"/>
              <w:right w:w="60" w:type="dxa"/>
            </w:tcMar>
          </w:tcPr>
          <w:p w14:paraId="670D4029" w14:textId="77777777" w:rsidR="002B5657" w:rsidRDefault="002B5657" w:rsidP="00A9140F">
            <w:pPr>
              <w:pStyle w:val="AnnexTableCellLeft"/>
            </w:pPr>
            <w:r>
              <w:t>Ekki valda umtalsverðu tjóni</w:t>
            </w:r>
          </w:p>
        </w:tc>
      </w:tr>
      <w:tr w:rsidR="002B5657" w14:paraId="1B94B6D2" w14:textId="77777777" w:rsidTr="00A9140F">
        <w:trPr>
          <w:trHeight w:val="360"/>
        </w:trPr>
        <w:tc>
          <w:tcPr>
            <w:tcW w:w="2956" w:type="dxa"/>
            <w:tcMar>
              <w:top w:w="100" w:type="dxa"/>
              <w:left w:w="0" w:type="dxa"/>
              <w:bottom w:w="100" w:type="dxa"/>
              <w:right w:w="60" w:type="dxa"/>
            </w:tcMar>
          </w:tcPr>
          <w:p w14:paraId="34FFFD3F" w14:textId="77777777" w:rsidR="002B5657" w:rsidRDefault="002B5657" w:rsidP="00A9140F">
            <w:pPr>
              <w:pStyle w:val="AnnexNumberedText"/>
              <w:ind w:left="293" w:hanging="293"/>
            </w:pPr>
            <w:r>
              <w:t>1)</w:t>
            </w:r>
            <w:r>
              <w:tab/>
              <w:t>Mildun loftslagsbreytinga</w:t>
            </w:r>
          </w:p>
        </w:tc>
        <w:tc>
          <w:tcPr>
            <w:tcW w:w="5784" w:type="dxa"/>
            <w:tcMar>
              <w:top w:w="100" w:type="dxa"/>
              <w:left w:w="40" w:type="dxa"/>
              <w:bottom w:w="100" w:type="dxa"/>
              <w:right w:w="0" w:type="dxa"/>
            </w:tcMar>
          </w:tcPr>
          <w:p w14:paraId="5BA31CCC" w14:textId="77777777" w:rsidR="002B5657" w:rsidRDefault="002B5657" w:rsidP="00A9140F">
            <w:pPr>
              <w:pStyle w:val="AnnexTableCellLeft"/>
            </w:pPr>
            <w:r>
              <w:t>Á ekki við</w:t>
            </w:r>
          </w:p>
        </w:tc>
      </w:tr>
      <w:tr w:rsidR="002B5657" w14:paraId="66E41EE2" w14:textId="77777777" w:rsidTr="00A9140F">
        <w:trPr>
          <w:trHeight w:val="360"/>
        </w:trPr>
        <w:tc>
          <w:tcPr>
            <w:tcW w:w="2956" w:type="dxa"/>
            <w:tcMar>
              <w:top w:w="100" w:type="dxa"/>
              <w:left w:w="0" w:type="dxa"/>
              <w:bottom w:w="100" w:type="dxa"/>
              <w:right w:w="60" w:type="dxa"/>
            </w:tcMar>
          </w:tcPr>
          <w:p w14:paraId="333661AB" w14:textId="77777777" w:rsidR="002B5657" w:rsidRDefault="002B5657" w:rsidP="00A9140F">
            <w:pPr>
              <w:pStyle w:val="AnnexNumberedText"/>
              <w:ind w:left="293" w:hanging="293"/>
            </w:pPr>
            <w:r>
              <w:t>3)</w:t>
            </w:r>
            <w:r>
              <w:tab/>
              <w:t>Sjálfbær notkun og verndun vatns- og sjávarauðlinda</w:t>
            </w:r>
          </w:p>
        </w:tc>
        <w:tc>
          <w:tcPr>
            <w:tcW w:w="5784" w:type="dxa"/>
            <w:tcMar>
              <w:top w:w="100" w:type="dxa"/>
              <w:left w:w="40" w:type="dxa"/>
              <w:bottom w:w="100" w:type="dxa"/>
              <w:right w:w="0" w:type="dxa"/>
            </w:tcMar>
          </w:tcPr>
          <w:p w14:paraId="484DAC9F" w14:textId="77777777" w:rsidR="002B5657" w:rsidRDefault="002B5657" w:rsidP="00A9140F">
            <w:pPr>
              <w:pStyle w:val="AnnexTableCellLeft"/>
            </w:pPr>
            <w:r>
              <w:t>Starfsemin er í samræmi við viðmiðanirnar sem settar eru fram í viðbæti B við þennan viðauka.</w:t>
            </w:r>
          </w:p>
        </w:tc>
      </w:tr>
      <w:tr w:rsidR="002B5657" w14:paraId="3CBC8509" w14:textId="77777777" w:rsidTr="00A9140F">
        <w:trPr>
          <w:trHeight w:val="360"/>
        </w:trPr>
        <w:tc>
          <w:tcPr>
            <w:tcW w:w="2956" w:type="dxa"/>
            <w:tcMar>
              <w:top w:w="100" w:type="dxa"/>
              <w:left w:w="0" w:type="dxa"/>
              <w:bottom w:w="100" w:type="dxa"/>
              <w:right w:w="60" w:type="dxa"/>
            </w:tcMar>
          </w:tcPr>
          <w:p w14:paraId="5881BD1C" w14:textId="77777777" w:rsidR="002B5657" w:rsidRDefault="002B5657" w:rsidP="00A9140F">
            <w:pPr>
              <w:pStyle w:val="AnnexNumberedText"/>
              <w:ind w:left="293" w:hanging="293"/>
            </w:pPr>
            <w:r>
              <w:t>4)</w:t>
            </w:r>
            <w:r>
              <w:tab/>
              <w:t>Umskipti yfir í hringrásarhagkerfi</w:t>
            </w:r>
          </w:p>
        </w:tc>
        <w:tc>
          <w:tcPr>
            <w:tcW w:w="5784" w:type="dxa"/>
            <w:tcMar>
              <w:top w:w="100" w:type="dxa"/>
              <w:left w:w="40" w:type="dxa"/>
              <w:bottom w:w="100" w:type="dxa"/>
              <w:right w:w="0" w:type="dxa"/>
            </w:tcMar>
          </w:tcPr>
          <w:p w14:paraId="0440C26D" w14:textId="77777777" w:rsidR="002B5657" w:rsidRDefault="002B5657" w:rsidP="00A9140F">
            <w:pPr>
              <w:pStyle w:val="AnnexTableCellLeft"/>
              <w:spacing w:after="200"/>
            </w:pPr>
            <w:r>
              <w:t>Í starfseminni er lagt mat á tiltækileika og, ef það er gerlegt, tekin upp tækni sem styður:</w:t>
            </w:r>
          </w:p>
          <w:p w14:paraId="436F8E9D" w14:textId="77777777" w:rsidR="002B5657" w:rsidRDefault="002B5657" w:rsidP="00A9140F">
            <w:pPr>
              <w:pStyle w:val="AnnexNumberedText"/>
            </w:pPr>
            <w:r>
              <w:t>a)</w:t>
            </w:r>
            <w:r>
              <w:tab/>
              <w:t>endurnotkun og notkun á endurunnum hráefnum og endurnotuðum íhlutum í framleiðslu á vörum,</w:t>
            </w:r>
          </w:p>
          <w:p w14:paraId="29BEEDA9" w14:textId="77777777" w:rsidR="002B5657" w:rsidRDefault="002B5657" w:rsidP="00A9140F">
            <w:pPr>
              <w:pStyle w:val="AnnexNumberedText"/>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1CB030F5" w14:textId="77777777" w:rsidR="002B5657" w:rsidRDefault="002B5657" w:rsidP="00A9140F">
            <w:pPr>
              <w:pStyle w:val="AnnexNumberedText"/>
            </w:pPr>
            <w:r>
              <w:t>c)</w:t>
            </w:r>
            <w:r>
              <w:tab/>
              <w:t xml:space="preserve">úrgangsstjórnun þar sem endurvinnsla er sett í forgang fram yfir </w:t>
            </w:r>
            <w:proofErr w:type="spellStart"/>
            <w:r>
              <w:t>förgun</w:t>
            </w:r>
            <w:proofErr w:type="spellEnd"/>
            <w:r>
              <w:t xml:space="preserve"> í framleiðsluferlinu,</w:t>
            </w:r>
          </w:p>
          <w:p w14:paraId="2E52E233" w14:textId="77777777" w:rsidR="002B5657" w:rsidRDefault="002B5657" w:rsidP="00A9140F">
            <w:pPr>
              <w:pStyle w:val="AnnexNumberedText"/>
            </w:pPr>
            <w:r>
              <w:t>d)</w:t>
            </w:r>
            <w:r>
              <w:tab/>
              <w:t>upplýsingar um og rekjanleika efna sem gefa tilefni til áhyggna á öllum vistferli framleiddra vara.</w:t>
            </w:r>
          </w:p>
        </w:tc>
      </w:tr>
      <w:tr w:rsidR="002B5657" w14:paraId="7441783C" w14:textId="77777777" w:rsidTr="00A9140F">
        <w:trPr>
          <w:trHeight w:val="360"/>
        </w:trPr>
        <w:tc>
          <w:tcPr>
            <w:tcW w:w="2956" w:type="dxa"/>
            <w:tcMar>
              <w:top w:w="100" w:type="dxa"/>
              <w:left w:w="0" w:type="dxa"/>
              <w:bottom w:w="100" w:type="dxa"/>
              <w:right w:w="60" w:type="dxa"/>
            </w:tcMar>
          </w:tcPr>
          <w:p w14:paraId="27488130" w14:textId="77777777" w:rsidR="002B5657" w:rsidRDefault="002B5657" w:rsidP="00A9140F">
            <w:pPr>
              <w:pStyle w:val="AnnexNumberedText"/>
              <w:ind w:left="293" w:hanging="293"/>
            </w:pPr>
            <w:r>
              <w:t>5)</w:t>
            </w:r>
            <w:r>
              <w:tab/>
              <w:t>Mengunarvarnir og eftirlit með mengun</w:t>
            </w:r>
          </w:p>
        </w:tc>
        <w:tc>
          <w:tcPr>
            <w:tcW w:w="5784" w:type="dxa"/>
            <w:tcMar>
              <w:top w:w="100" w:type="dxa"/>
              <w:left w:w="40" w:type="dxa"/>
              <w:bottom w:w="100" w:type="dxa"/>
              <w:right w:w="0" w:type="dxa"/>
            </w:tcMar>
          </w:tcPr>
          <w:p w14:paraId="2390DCE4" w14:textId="77777777" w:rsidR="002B5657" w:rsidRDefault="002B5657" w:rsidP="00A9140F">
            <w:pPr>
              <w:pStyle w:val="AnnexTableCellLeft"/>
            </w:pPr>
            <w:r>
              <w:t>Starfsemin er í samræmi við viðmiðanirnar sem settar eru fram í viðbæti C við þennan viðauka.</w:t>
            </w:r>
          </w:p>
          <w:p w14:paraId="0776D120" w14:textId="77777777" w:rsidR="002B5657" w:rsidRDefault="002B5657" w:rsidP="00A9140F">
            <w:pPr>
              <w:pStyle w:val="AnnexTableCellLeft"/>
            </w:pPr>
            <w:r>
              <w:t xml:space="preserve">Eftir atvikum, farartæki innihalda ekki blý, kvikasilfur, sexgilt </w:t>
            </w:r>
            <w:proofErr w:type="spellStart"/>
            <w:r>
              <w:t>króm</w:t>
            </w:r>
            <w:proofErr w:type="spellEnd"/>
            <w:r>
              <w:t xml:space="preserve"> og </w:t>
            </w:r>
            <w:proofErr w:type="spellStart"/>
            <w:r>
              <w:t>kadmíum</w:t>
            </w:r>
            <w:proofErr w:type="spellEnd"/>
            <w:r>
              <w:t>, í samræmi við tilskipun 2000/53/EB.</w:t>
            </w:r>
          </w:p>
        </w:tc>
      </w:tr>
      <w:tr w:rsidR="002B5657" w14:paraId="1FA168F5" w14:textId="77777777" w:rsidTr="00A9140F">
        <w:trPr>
          <w:trHeight w:val="360"/>
        </w:trPr>
        <w:tc>
          <w:tcPr>
            <w:tcW w:w="2956" w:type="dxa"/>
            <w:tcMar>
              <w:top w:w="100" w:type="dxa"/>
              <w:left w:w="0" w:type="dxa"/>
              <w:bottom w:w="100" w:type="dxa"/>
              <w:right w:w="60" w:type="dxa"/>
            </w:tcMar>
          </w:tcPr>
          <w:p w14:paraId="0EAE9E2B" w14:textId="77777777" w:rsidR="002B5657" w:rsidRDefault="002B5657" w:rsidP="00A9140F">
            <w:pPr>
              <w:pStyle w:val="AnnexNumberedText"/>
              <w:ind w:left="293" w:hanging="293"/>
            </w:pPr>
            <w:r>
              <w:t>6)</w:t>
            </w:r>
            <w:r>
              <w:tab/>
              <w:t>Vernd og endurheimt líffræðilegrar fjölbreytni og vistkerfa</w:t>
            </w:r>
          </w:p>
        </w:tc>
        <w:tc>
          <w:tcPr>
            <w:tcW w:w="5784" w:type="dxa"/>
            <w:tcMar>
              <w:top w:w="100" w:type="dxa"/>
              <w:left w:w="40" w:type="dxa"/>
              <w:bottom w:w="100" w:type="dxa"/>
              <w:right w:w="0" w:type="dxa"/>
            </w:tcMar>
          </w:tcPr>
          <w:p w14:paraId="5BF6A193" w14:textId="77777777" w:rsidR="002B5657" w:rsidRDefault="002B5657" w:rsidP="00A9140F">
            <w:pPr>
              <w:pStyle w:val="AnnexTableCellLeft"/>
            </w:pPr>
            <w:r>
              <w:t>Starfsemin er í samræmi við viðmiðanirnar sem settar eru fram í viðbæti D við þennan viðauka.</w:t>
            </w:r>
          </w:p>
        </w:tc>
      </w:tr>
    </w:tbl>
    <w:p w14:paraId="0E444FB4" w14:textId="77777777" w:rsidR="002B5657" w:rsidRDefault="002B5657" w:rsidP="002B5657">
      <w:pPr>
        <w:pStyle w:val="AnnexNumberedText"/>
        <w:spacing w:before="200"/>
        <w:ind w:left="500" w:hanging="500"/>
      </w:pPr>
      <w:r>
        <w:t>3.4.</w:t>
      </w:r>
      <w:r>
        <w:rPr>
          <w:b/>
        </w:rPr>
        <w:tab/>
        <w:t>Framleiðsla á rafhlöðum</w:t>
      </w:r>
    </w:p>
    <w:p w14:paraId="6DB277EA" w14:textId="77777777" w:rsidR="002B5657" w:rsidRDefault="002B5657" w:rsidP="002B5657">
      <w:pPr>
        <w:pStyle w:val="AnnexGrSeq3"/>
        <w:ind w:left="500"/>
        <w:jc w:val="both"/>
      </w:pPr>
      <w:r>
        <w:rPr>
          <w:i/>
        </w:rPr>
        <w:t>Lýsing á starfseminni</w:t>
      </w:r>
    </w:p>
    <w:p w14:paraId="72AF4FCE" w14:textId="77777777" w:rsidR="002B5657" w:rsidRDefault="002B5657" w:rsidP="002B5657">
      <w:pPr>
        <w:pStyle w:val="AnnexNormal"/>
        <w:ind w:left="500"/>
      </w:pPr>
      <w:r>
        <w:t xml:space="preserve">Framleiðsla á </w:t>
      </w:r>
      <w:proofErr w:type="spellStart"/>
      <w:r>
        <w:t>endurhlaðanlegum</w:t>
      </w:r>
      <w:proofErr w:type="spellEnd"/>
      <w:r>
        <w:t xml:space="preserve"> rafhlöðum, rafhlöðupökkum og rafgeymum fyrir flutninga, staðbundna orkugeymslu og orkugeymslu utan dreifikerfis og aðra notkun í iðnaði og framleiðsla á tilheyrandi íhlutum (virkir efniviðir í rafhlöður, </w:t>
      </w:r>
      <w:proofErr w:type="spellStart"/>
      <w:r>
        <w:t>rafhlöðusellur</w:t>
      </w:r>
      <w:proofErr w:type="spellEnd"/>
      <w:r>
        <w:t>, hylki og rafeindaíhlutir) sem leiðir til verulegs samdráttar í losun gróðurhúsalofttegunda í flutningum, staðbundinni orkugeymslu og orkugeymslu utan dreifikerfis og annarri notkun í iðnaði.</w:t>
      </w:r>
    </w:p>
    <w:p w14:paraId="4A957F28" w14:textId="77777777" w:rsidR="002B5657" w:rsidRDefault="002B5657" w:rsidP="002B5657">
      <w:pPr>
        <w:pStyle w:val="AnnexNormal"/>
        <w:ind w:left="500"/>
      </w:pPr>
      <w:r>
        <w:t>Endurvinnsla á úr sér gengnum rafhlöðum.</w:t>
      </w:r>
    </w:p>
    <w:p w14:paraId="643BFBF8" w14:textId="77777777" w:rsidR="002B5657" w:rsidRDefault="002B5657" w:rsidP="002B5657">
      <w:pPr>
        <w:pStyle w:val="AnnexNormal"/>
        <w:spacing w:after="0"/>
        <w:ind w:left="500"/>
      </w:pPr>
      <w:r>
        <w:lastRenderedPageBreak/>
        <w:t>Atvinnustarfsemin í þessum flokki gæti tengst kóðum atvinnugreinaflokkunar Evrópusambandsins C27.2 og E38.3.2 í samræmi við atvinnugreinaflokkunina sem komið var á með reglugerð (EB) nr. 1893/2006.</w:t>
      </w:r>
      <w:r>
        <w:br w:type="page"/>
      </w:r>
    </w:p>
    <w:p w14:paraId="6C3E3C26" w14:textId="77777777" w:rsidR="002B5657" w:rsidRDefault="002B5657" w:rsidP="002B5657">
      <w:pPr>
        <w:pStyle w:val="AnnexGrSeq3"/>
        <w:ind w:left="500"/>
        <w:jc w:val="both"/>
      </w:pPr>
      <w:r>
        <w:rPr>
          <w:i/>
        </w:rPr>
        <w:lastRenderedPageBreak/>
        <w:t>Tæknileg matsviðmið</w:t>
      </w:r>
    </w:p>
    <w:tbl>
      <w:tblPr>
        <w:tblStyle w:val="EFTATable"/>
        <w:tblW w:w="8740" w:type="dxa"/>
        <w:tblInd w:w="500" w:type="dxa"/>
        <w:tblLayout w:type="fixed"/>
        <w:tblLook w:val="04A0" w:firstRow="1" w:lastRow="0" w:firstColumn="1" w:lastColumn="0" w:noHBand="0" w:noVBand="1"/>
      </w:tblPr>
      <w:tblGrid>
        <w:gridCol w:w="2836"/>
        <w:gridCol w:w="5904"/>
      </w:tblGrid>
      <w:tr w:rsidR="002B5657" w14:paraId="656ADE27"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2A965C97" w14:textId="77777777" w:rsidR="002B5657" w:rsidRDefault="002B5657" w:rsidP="00A9140F">
            <w:pPr>
              <w:pStyle w:val="AnnexTableCellLeft"/>
            </w:pPr>
            <w:r>
              <w:t>Verulegt framlag til aðlögunar að loftslagsbreytingum</w:t>
            </w:r>
          </w:p>
        </w:tc>
      </w:tr>
      <w:tr w:rsidR="002B5657" w14:paraId="5771CADF" w14:textId="77777777" w:rsidTr="00A9140F">
        <w:trPr>
          <w:trHeight w:val="360"/>
        </w:trPr>
        <w:tc>
          <w:tcPr>
            <w:tcW w:w="8740" w:type="dxa"/>
            <w:gridSpan w:val="2"/>
            <w:tcBorders>
              <w:bottom w:val="nil"/>
            </w:tcBorders>
            <w:tcMar>
              <w:top w:w="100" w:type="dxa"/>
              <w:left w:w="0" w:type="dxa"/>
              <w:bottom w:w="100" w:type="dxa"/>
              <w:right w:w="60" w:type="dxa"/>
            </w:tcMar>
          </w:tcPr>
          <w:p w14:paraId="4FD95B14" w14:textId="77777777" w:rsidR="002B5657" w:rsidRDefault="002B5657" w:rsidP="00A9140F">
            <w:pPr>
              <w:pStyle w:val="AnnexNumberedText"/>
              <w:tabs>
                <w:tab w:val="left" w:pos="508"/>
              </w:tabs>
              <w:spacing w:after="1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087F118" w14:textId="77777777" w:rsidR="002B5657" w:rsidRDefault="002B5657" w:rsidP="00A9140F">
            <w:pPr>
              <w:pStyle w:val="AnnexNumberedText"/>
              <w:tabs>
                <w:tab w:val="left" w:pos="508"/>
              </w:tabs>
              <w:spacing w:after="1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A3915F6" w14:textId="77777777" w:rsidR="002B5657" w:rsidRDefault="002B5657" w:rsidP="00A9140F">
            <w:pPr>
              <w:pStyle w:val="AnnexNumberedText"/>
              <w:spacing w:after="180"/>
            </w:pPr>
            <w:r>
              <w:t>a)</w:t>
            </w:r>
            <w:r>
              <w:tab/>
              <w:t>skimun á starfseminni til að greina hvaða efnislega loftslagsáhætta úr skránni í viðbæti A við þennan viðauka getur haft áhrif á árangurinn af atvinnustarfseminni á væntum líftíma hennar,</w:t>
            </w:r>
          </w:p>
          <w:p w14:paraId="5B0C5BF4" w14:textId="77777777" w:rsidR="002B5657" w:rsidRDefault="002B5657" w:rsidP="00A9140F">
            <w:pPr>
              <w:pStyle w:val="AnnexNumberedText"/>
              <w:spacing w:after="1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04307477" w14:textId="77777777" w:rsidR="002B5657" w:rsidRDefault="002B5657" w:rsidP="00A9140F">
            <w:pPr>
              <w:pStyle w:val="AnnexNumberedText"/>
              <w:spacing w:after="180"/>
            </w:pPr>
            <w:r>
              <w:t>c)</w:t>
            </w:r>
            <w:r>
              <w:tab/>
              <w:t>mat á aðlögunarlausnum sem geta dregið úr greindri efnislegri loftslagsáhættu.</w:t>
            </w:r>
          </w:p>
          <w:p w14:paraId="51F09E05" w14:textId="77777777" w:rsidR="002B5657" w:rsidRDefault="002B5657" w:rsidP="00A9140F">
            <w:pPr>
              <w:pStyle w:val="AnnexTableCellLeft"/>
              <w:spacing w:after="180"/>
            </w:pPr>
            <w:r>
              <w:t xml:space="preserve">Loftslagsáhættu- og veikleikamatið er í réttu hlutfalli við umfang starfseminnar og </w:t>
            </w:r>
            <w:proofErr w:type="spellStart"/>
            <w:r>
              <w:t>væntan</w:t>
            </w:r>
            <w:proofErr w:type="spellEnd"/>
            <w:r>
              <w:t xml:space="preserve"> líftíma hennar þannig að:</w:t>
            </w:r>
          </w:p>
          <w:p w14:paraId="16EB06C7" w14:textId="77777777" w:rsidR="002B5657" w:rsidRDefault="002B5657" w:rsidP="00A9140F">
            <w:pPr>
              <w:pStyle w:val="AnnexNumberedText"/>
              <w:spacing w:after="1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16FB56B" w14:textId="77777777" w:rsidR="002B5657" w:rsidRDefault="002B5657" w:rsidP="00A9140F">
            <w:pPr>
              <w:pStyle w:val="AnnexNumberedText"/>
              <w:spacing w:after="18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5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58F9B65" w14:textId="77777777" w:rsidR="002B5657" w:rsidRDefault="002B5657" w:rsidP="00A9140F">
            <w:pPr>
              <w:pStyle w:val="AnnexNumberedText"/>
              <w:tabs>
                <w:tab w:val="left" w:pos="508"/>
              </w:tabs>
              <w:spacing w:after="18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57"/>
            </w:r>
            <w:r>
              <w:t>), vísindalegt ritrýnt útgefið efni og líkön með opnum aðgangi (</w:t>
            </w:r>
            <w:r>
              <w:rPr>
                <w:rStyle w:val="Tilvsunneanmlsgrein"/>
                <w:sz w:val="18"/>
              </w:rPr>
              <w:footnoteReference w:id="458"/>
            </w:r>
            <w:r>
              <w:t>) eða gegn greiðslu.</w:t>
            </w:r>
          </w:p>
          <w:p w14:paraId="31493D25" w14:textId="77777777" w:rsidR="002B5657" w:rsidRDefault="002B5657" w:rsidP="00A9140F">
            <w:pPr>
              <w:pStyle w:val="AnnexNumberedText"/>
              <w:tabs>
                <w:tab w:val="left" w:pos="508"/>
              </w:tabs>
              <w:spacing w:after="180"/>
              <w:ind w:left="0" w:firstLine="0"/>
            </w:pPr>
            <w:r>
              <w:t>4.</w:t>
            </w:r>
            <w:r>
              <w:tab/>
              <w:t>Aðlögunarlausnir sem komið er í framkvæmd:</w:t>
            </w:r>
          </w:p>
          <w:p w14:paraId="61BB8AE8" w14:textId="77777777" w:rsidR="002B5657" w:rsidRDefault="002B5657" w:rsidP="00A9140F">
            <w:pPr>
              <w:pStyle w:val="AnnexNumberedText"/>
              <w:spacing w:after="180"/>
            </w:pPr>
            <w:r>
              <w:t>a)</w:t>
            </w:r>
            <w:r>
              <w:tab/>
              <w:t>hafa ekki neikvæð áhrif á viðleitni til aðlögunar eða viðnám annars fólks, náttúru, menningararfleifðar, eigna og annarrar atvinnustarfsemi gegn efnislegri loftslagsáhættu,</w:t>
            </w:r>
          </w:p>
          <w:p w14:paraId="72CCD7A5" w14:textId="77777777" w:rsidR="002B5657" w:rsidRDefault="002B5657" w:rsidP="00A9140F">
            <w:pPr>
              <w:pStyle w:val="AnnexNumberedText"/>
              <w:spacing w:after="180"/>
            </w:pPr>
            <w:r>
              <w:t>b)</w:t>
            </w:r>
            <w:r>
              <w:tab/>
              <w:t>eru með náttúrumiðaðar lausnir (</w:t>
            </w:r>
            <w:r>
              <w:rPr>
                <w:rStyle w:val="Tilvsunneanmlsgrein"/>
                <w:sz w:val="18"/>
              </w:rPr>
              <w:footnoteReference w:id="459"/>
            </w:r>
            <w:r>
              <w:t>) í forgangi eða treyst er á bláa eða græna innviði (</w:t>
            </w:r>
            <w:r>
              <w:rPr>
                <w:rStyle w:val="Tilvsunneanmlsgrein"/>
                <w:sz w:val="18"/>
              </w:rPr>
              <w:footnoteReference w:id="460"/>
            </w:r>
            <w:r>
              <w:t>) að því marki sem mögulegt er,</w:t>
            </w:r>
          </w:p>
          <w:p w14:paraId="3779CE53" w14:textId="77777777" w:rsidR="002B5657" w:rsidRDefault="002B5657" w:rsidP="00A9140F">
            <w:pPr>
              <w:pStyle w:val="AnnexNumberedText"/>
              <w:spacing w:after="180"/>
            </w:pPr>
            <w:r>
              <w:t>c)</w:t>
            </w:r>
            <w:r>
              <w:tab/>
              <w:t>eru í samræmi við staðbundnar, geirabundnar, svæðisbundnar eða landsbundnar aðlögunarstefnur og -áætlanir,</w:t>
            </w:r>
          </w:p>
          <w:p w14:paraId="56ED29E1" w14:textId="77777777" w:rsidR="002B5657" w:rsidRDefault="002B5657" w:rsidP="00A9140F">
            <w:pPr>
              <w:pStyle w:val="AnnexNumberedText"/>
              <w:spacing w:after="18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36C93DF" w14:textId="77777777" w:rsidR="002B5657" w:rsidRDefault="002B5657" w:rsidP="00A9140F">
            <w:pPr>
              <w:pStyle w:val="AnnexNumberedText"/>
              <w:spacing w:after="0"/>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2B5657" w14:paraId="3979ABC6"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4380A654" w14:textId="77777777" w:rsidR="002B5657" w:rsidRDefault="002B5657" w:rsidP="00A9140F">
            <w:pPr>
              <w:pStyle w:val="AnnexTableCellLeft"/>
              <w:pageBreakBefore/>
            </w:pPr>
            <w:r>
              <w:lastRenderedPageBreak/>
              <w:t>Ekki valda umtalsverðu tjóni</w:t>
            </w:r>
          </w:p>
        </w:tc>
      </w:tr>
      <w:tr w:rsidR="002B5657" w14:paraId="09585918" w14:textId="77777777" w:rsidTr="00A9140F">
        <w:trPr>
          <w:trHeight w:val="360"/>
        </w:trPr>
        <w:tc>
          <w:tcPr>
            <w:tcW w:w="2836" w:type="dxa"/>
            <w:tcMar>
              <w:top w:w="100" w:type="dxa"/>
              <w:left w:w="0" w:type="dxa"/>
              <w:bottom w:w="100" w:type="dxa"/>
              <w:right w:w="60" w:type="dxa"/>
            </w:tcMar>
          </w:tcPr>
          <w:p w14:paraId="0BBF9ACF" w14:textId="77777777" w:rsidR="002B5657" w:rsidRDefault="002B5657" w:rsidP="00A9140F">
            <w:pPr>
              <w:pStyle w:val="AnnexNumberedText"/>
              <w:ind w:left="293" w:hanging="293"/>
            </w:pPr>
            <w:r>
              <w:t>1)</w:t>
            </w:r>
            <w:r>
              <w:tab/>
              <w:t>Mildun loftslagsbreytinga</w:t>
            </w:r>
          </w:p>
        </w:tc>
        <w:tc>
          <w:tcPr>
            <w:tcW w:w="5904" w:type="dxa"/>
            <w:tcMar>
              <w:top w:w="100" w:type="dxa"/>
              <w:left w:w="40" w:type="dxa"/>
              <w:bottom w:w="100" w:type="dxa"/>
              <w:right w:w="0" w:type="dxa"/>
            </w:tcMar>
          </w:tcPr>
          <w:p w14:paraId="50A29C70" w14:textId="77777777" w:rsidR="002B5657" w:rsidRDefault="002B5657" w:rsidP="00A9140F">
            <w:pPr>
              <w:pStyle w:val="AnnexTableCellLeft"/>
            </w:pPr>
            <w:r>
              <w:t>Á ekki við</w:t>
            </w:r>
          </w:p>
        </w:tc>
      </w:tr>
      <w:tr w:rsidR="002B5657" w14:paraId="608D68D3" w14:textId="77777777" w:rsidTr="00A9140F">
        <w:trPr>
          <w:trHeight w:val="360"/>
        </w:trPr>
        <w:tc>
          <w:tcPr>
            <w:tcW w:w="2836" w:type="dxa"/>
            <w:tcMar>
              <w:top w:w="100" w:type="dxa"/>
              <w:left w:w="0" w:type="dxa"/>
              <w:bottom w:w="100" w:type="dxa"/>
              <w:right w:w="60" w:type="dxa"/>
            </w:tcMar>
          </w:tcPr>
          <w:p w14:paraId="1D5EB07B" w14:textId="77777777" w:rsidR="002B5657" w:rsidRDefault="002B5657" w:rsidP="00A9140F">
            <w:pPr>
              <w:pStyle w:val="AnnexNumberedText"/>
              <w:ind w:left="293" w:hanging="293"/>
            </w:pPr>
            <w:r>
              <w:t>3)</w:t>
            </w:r>
            <w:r>
              <w:tab/>
              <w:t>Sjálfbær notkun og verndun vatns- og sjávarauðlinda</w:t>
            </w:r>
          </w:p>
        </w:tc>
        <w:tc>
          <w:tcPr>
            <w:tcW w:w="5904" w:type="dxa"/>
            <w:tcMar>
              <w:top w:w="100" w:type="dxa"/>
              <w:left w:w="40" w:type="dxa"/>
              <w:bottom w:w="100" w:type="dxa"/>
              <w:right w:w="0" w:type="dxa"/>
            </w:tcMar>
          </w:tcPr>
          <w:p w14:paraId="54A53274" w14:textId="77777777" w:rsidR="002B5657" w:rsidRDefault="002B5657" w:rsidP="00A9140F">
            <w:pPr>
              <w:pStyle w:val="AnnexTableCellLeft"/>
            </w:pPr>
            <w:r>
              <w:t>Starfsemin er í samræmi við viðmiðanirnar sem settar eru fram í viðbæti B við þennan viðauka.</w:t>
            </w:r>
          </w:p>
        </w:tc>
      </w:tr>
      <w:tr w:rsidR="002B5657" w14:paraId="6F5D1BCC" w14:textId="77777777" w:rsidTr="00A9140F">
        <w:trPr>
          <w:trHeight w:val="360"/>
        </w:trPr>
        <w:tc>
          <w:tcPr>
            <w:tcW w:w="2836" w:type="dxa"/>
            <w:tcMar>
              <w:top w:w="100" w:type="dxa"/>
              <w:left w:w="0" w:type="dxa"/>
              <w:bottom w:w="100" w:type="dxa"/>
              <w:right w:w="60" w:type="dxa"/>
            </w:tcMar>
          </w:tcPr>
          <w:p w14:paraId="2BFB5AF1" w14:textId="77777777" w:rsidR="002B5657" w:rsidRDefault="002B5657" w:rsidP="00A9140F">
            <w:pPr>
              <w:pStyle w:val="AnnexNumberedText"/>
              <w:ind w:left="293" w:hanging="293"/>
            </w:pPr>
            <w:r>
              <w:t>4)</w:t>
            </w:r>
            <w:r>
              <w:tab/>
              <w:t>Umskipti yfir í hringrásarhagkerfi</w:t>
            </w:r>
          </w:p>
        </w:tc>
        <w:tc>
          <w:tcPr>
            <w:tcW w:w="5904" w:type="dxa"/>
            <w:tcMar>
              <w:top w:w="100" w:type="dxa"/>
              <w:left w:w="40" w:type="dxa"/>
              <w:bottom w:w="100" w:type="dxa"/>
              <w:right w:w="0" w:type="dxa"/>
            </w:tcMar>
          </w:tcPr>
          <w:p w14:paraId="64DCA5CB" w14:textId="77777777" w:rsidR="002B5657" w:rsidRDefault="002B5657" w:rsidP="00A9140F">
            <w:pPr>
              <w:pStyle w:val="AnnexTableCellLeft"/>
              <w:spacing w:after="240"/>
            </w:pPr>
            <w:r>
              <w:t>Að því er varðar framleiðslu á nýjum rafhlöðum, íhlutum og efni er í starfseminni lagt mat á tiltækileika og, ef það er gerlegt, tekin upp tækni sem styður:</w:t>
            </w:r>
          </w:p>
          <w:p w14:paraId="7FD13934" w14:textId="77777777" w:rsidR="002B5657" w:rsidRDefault="002B5657" w:rsidP="00A9140F">
            <w:pPr>
              <w:pStyle w:val="AnnexNumberedText"/>
            </w:pPr>
            <w:r>
              <w:t>a)</w:t>
            </w:r>
            <w:r>
              <w:tab/>
              <w:t>endurnotkun og notkun á endurunnum hráefnum og endurnotuðum íhlutum í framleiðslu á vörum,</w:t>
            </w:r>
          </w:p>
          <w:p w14:paraId="188C85A4" w14:textId="77777777" w:rsidR="002B5657" w:rsidRDefault="002B5657" w:rsidP="00A9140F">
            <w:pPr>
              <w:pStyle w:val="AnnexNumberedText"/>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61EFA0E5" w14:textId="77777777" w:rsidR="002B5657" w:rsidRDefault="002B5657" w:rsidP="00A9140F">
            <w:pPr>
              <w:pStyle w:val="AnnexNumberedText"/>
            </w:pPr>
            <w:r>
              <w:t>c)</w:t>
            </w:r>
            <w:r>
              <w:tab/>
              <w:t>upplýsingar um og rekjanleika efna sem gefa tilefni til áhyggna á öllum vistferli framleiddra vara.</w:t>
            </w:r>
          </w:p>
          <w:p w14:paraId="40FC537F" w14:textId="77777777" w:rsidR="002B5657" w:rsidRDefault="002B5657" w:rsidP="00A9140F">
            <w:pPr>
              <w:pStyle w:val="AnnexTableCellLeft"/>
              <w:spacing w:after="240"/>
            </w:pPr>
            <w:r>
              <w:t xml:space="preserve">Endurvinnsluferli uppfylla skilyrðin sem sett eru fram í 12. gr. og í B hluta III. viðauka við tilskipun 2006/66/EB, þ.m.t. notkun á nýjustu viðeigandi niðurstöðum um bestu aðgengilegu tækni, um að ná fram þeirri skilvirkni sem tilgreind er fyrir blýrafhlöður, </w:t>
            </w:r>
            <w:proofErr w:type="spellStart"/>
            <w:r>
              <w:t>nikkelkadmíumrafhlöður</w:t>
            </w:r>
            <w:proofErr w:type="spellEnd"/>
            <w:r>
              <w:t xml:space="preserve"> og fyrir önnur </w:t>
            </w:r>
            <w:proofErr w:type="spellStart"/>
            <w:r>
              <w:t>íðefni</w:t>
            </w:r>
            <w:proofErr w:type="spellEnd"/>
            <w:r>
              <w:t>. Með þessum ferlum er endurvinnsla málminnihaldsins tryggð að svo miklu leyti sem er tæknilega mögulegt jafnframt því að komist er hjá óhóflegum kostnaði.</w:t>
            </w:r>
          </w:p>
          <w:p w14:paraId="2B1C14F7" w14:textId="77777777" w:rsidR="002B5657" w:rsidRDefault="002B5657" w:rsidP="00A9140F">
            <w:pPr>
              <w:pStyle w:val="AnnexTableCellLeft"/>
            </w:pPr>
            <w:r>
              <w:t>Eftir atvikum uppfyllir aðstaða til að framkvæma endurvinnsluferli kröfurnar sem mælt er fyrir um í tilskipun 2010/75/ESB.</w:t>
            </w:r>
          </w:p>
        </w:tc>
      </w:tr>
      <w:tr w:rsidR="002B5657" w14:paraId="1F041760" w14:textId="77777777" w:rsidTr="00A9140F">
        <w:trPr>
          <w:trHeight w:val="360"/>
        </w:trPr>
        <w:tc>
          <w:tcPr>
            <w:tcW w:w="2836" w:type="dxa"/>
            <w:tcMar>
              <w:top w:w="100" w:type="dxa"/>
              <w:left w:w="0" w:type="dxa"/>
              <w:bottom w:w="100" w:type="dxa"/>
              <w:right w:w="60" w:type="dxa"/>
            </w:tcMar>
          </w:tcPr>
          <w:p w14:paraId="620059AB" w14:textId="77777777" w:rsidR="002B5657" w:rsidRDefault="002B5657" w:rsidP="00A9140F">
            <w:pPr>
              <w:pStyle w:val="AnnexNumberedText"/>
              <w:ind w:left="293" w:hanging="293"/>
            </w:pPr>
            <w:r>
              <w:t>5)</w:t>
            </w:r>
            <w:r>
              <w:tab/>
              <w:t>Mengunarvarnir og eftirlit með mengun</w:t>
            </w:r>
          </w:p>
        </w:tc>
        <w:tc>
          <w:tcPr>
            <w:tcW w:w="5904" w:type="dxa"/>
            <w:tcMar>
              <w:top w:w="100" w:type="dxa"/>
              <w:left w:w="40" w:type="dxa"/>
              <w:bottom w:w="100" w:type="dxa"/>
              <w:right w:w="0" w:type="dxa"/>
            </w:tcMar>
          </w:tcPr>
          <w:p w14:paraId="427CD900" w14:textId="77777777" w:rsidR="002B5657" w:rsidRDefault="002B5657" w:rsidP="00A9140F">
            <w:pPr>
              <w:pStyle w:val="AnnexTableCellLeft"/>
              <w:spacing w:after="240"/>
            </w:pPr>
            <w:r>
              <w:t>Starfsemin er í samræmi við viðmiðanirnar sem settar eru fram í viðbæti C við þennan viðauka.</w:t>
            </w:r>
          </w:p>
          <w:p w14:paraId="4A9DB3B6" w14:textId="77777777" w:rsidR="002B5657" w:rsidRDefault="002B5657" w:rsidP="00A9140F">
            <w:pPr>
              <w:pStyle w:val="AnnexTableCellLeft"/>
            </w:pPr>
            <w:r>
              <w:t>Rafhlöðurnar eru í samræmi við gildandi reglur um sjálfbærni varðandi setningu rafhlaðna á markað í Sambandinu, þ.m.t. takmarkanir á notkun hættulegra efna í rafhlöður, þ.m.t. reglugerð (EB) nr. 1907/2006 og tilskipun 2006/66/EB.</w:t>
            </w:r>
          </w:p>
        </w:tc>
      </w:tr>
      <w:tr w:rsidR="002B5657" w14:paraId="199F3C4A" w14:textId="77777777" w:rsidTr="00A9140F">
        <w:trPr>
          <w:trHeight w:val="360"/>
        </w:trPr>
        <w:tc>
          <w:tcPr>
            <w:tcW w:w="2836" w:type="dxa"/>
            <w:tcMar>
              <w:top w:w="100" w:type="dxa"/>
              <w:left w:w="0" w:type="dxa"/>
              <w:bottom w:w="100" w:type="dxa"/>
              <w:right w:w="60" w:type="dxa"/>
            </w:tcMar>
          </w:tcPr>
          <w:p w14:paraId="7B017192" w14:textId="77777777" w:rsidR="002B5657" w:rsidRDefault="002B5657" w:rsidP="00A9140F">
            <w:pPr>
              <w:pStyle w:val="AnnexNumberedText"/>
              <w:ind w:left="293" w:hanging="293"/>
            </w:pPr>
            <w:r>
              <w:t>6)</w:t>
            </w:r>
            <w:r>
              <w:tab/>
              <w:t>Vernd og endurheimt líffræðilegrar fjölbreytni og vistkerfa</w:t>
            </w:r>
          </w:p>
        </w:tc>
        <w:tc>
          <w:tcPr>
            <w:tcW w:w="5904" w:type="dxa"/>
            <w:tcMar>
              <w:top w:w="100" w:type="dxa"/>
              <w:left w:w="40" w:type="dxa"/>
              <w:bottom w:w="100" w:type="dxa"/>
              <w:right w:w="0" w:type="dxa"/>
            </w:tcMar>
          </w:tcPr>
          <w:p w14:paraId="016EFAFC" w14:textId="77777777" w:rsidR="002B5657" w:rsidRDefault="002B5657" w:rsidP="00A9140F">
            <w:pPr>
              <w:pStyle w:val="AnnexTableCellLeft"/>
            </w:pPr>
            <w:r>
              <w:t>Starfsemin er í samræmi við viðmiðanirnar sem settar eru fram í viðbæti D við þennan viðauka.</w:t>
            </w:r>
          </w:p>
        </w:tc>
      </w:tr>
    </w:tbl>
    <w:p w14:paraId="0CD892D7" w14:textId="77777777" w:rsidR="002B5657" w:rsidRDefault="002B5657" w:rsidP="002B5657">
      <w:pPr>
        <w:pStyle w:val="AnnexNumberedText"/>
        <w:spacing w:before="200" w:after="160"/>
        <w:ind w:left="500" w:hanging="500"/>
      </w:pPr>
      <w:r>
        <w:t>3.5.</w:t>
      </w:r>
      <w:r>
        <w:rPr>
          <w:b/>
        </w:rPr>
        <w:tab/>
        <w:t xml:space="preserve">Framleiðsla á </w:t>
      </w:r>
      <w:proofErr w:type="spellStart"/>
      <w:r>
        <w:rPr>
          <w:b/>
        </w:rPr>
        <w:t>orkunýtnum</w:t>
      </w:r>
      <w:proofErr w:type="spellEnd"/>
      <w:r>
        <w:rPr>
          <w:b/>
        </w:rPr>
        <w:t xml:space="preserve"> búnaði fyrir byggingar</w:t>
      </w:r>
    </w:p>
    <w:p w14:paraId="6B860AAC" w14:textId="77777777" w:rsidR="002B5657" w:rsidRDefault="002B5657" w:rsidP="002B5657">
      <w:pPr>
        <w:pStyle w:val="AnnexGrSeq3"/>
        <w:spacing w:after="160"/>
        <w:ind w:left="800" w:hanging="300"/>
        <w:jc w:val="both"/>
      </w:pPr>
      <w:r>
        <w:rPr>
          <w:i/>
        </w:rPr>
        <w:t>Lýsing á starfseminni</w:t>
      </w:r>
    </w:p>
    <w:p w14:paraId="10545266" w14:textId="77777777" w:rsidR="002B5657" w:rsidRDefault="002B5657" w:rsidP="002B5657">
      <w:pPr>
        <w:pStyle w:val="AnnexNormal"/>
        <w:spacing w:after="160"/>
        <w:ind w:left="500"/>
      </w:pPr>
      <w:r>
        <w:t xml:space="preserve">Framleiðsla á einni eða fleiri af eftirfarandi vörum fyrir </w:t>
      </w:r>
      <w:proofErr w:type="spellStart"/>
      <w:r>
        <w:t>orkunýtinn</w:t>
      </w:r>
      <w:proofErr w:type="spellEnd"/>
      <w:r>
        <w:t xml:space="preserve"> búnað fyrir byggingar og mikilvægum íhlutum í hann (</w:t>
      </w:r>
      <w:bookmarkStart w:id="91" w:name="NOTE_460"/>
      <w:r>
        <w:rPr>
          <w:rStyle w:val="Tilvsunneanmlsgrein"/>
          <w:sz w:val="18"/>
          <w:szCs w:val="18"/>
        </w:rPr>
        <w:footnoteReference w:id="461"/>
      </w:r>
      <w:bookmarkEnd w:id="91"/>
      <w:r>
        <w:t>):</w:t>
      </w:r>
    </w:p>
    <w:p w14:paraId="0DE9D020" w14:textId="77777777" w:rsidR="002B5657" w:rsidRDefault="002B5657" w:rsidP="002B5657">
      <w:pPr>
        <w:pStyle w:val="AnnexNumberedText"/>
        <w:spacing w:after="160"/>
        <w:ind w:left="800"/>
      </w:pPr>
      <w:r>
        <w:t>a)</w:t>
      </w:r>
      <w:r>
        <w:tab/>
        <w:t>gluggar með U-gildi ≤ 1,0 W/m2K,</w:t>
      </w:r>
    </w:p>
    <w:p w14:paraId="5DE21086" w14:textId="77777777" w:rsidR="002B5657" w:rsidRDefault="002B5657" w:rsidP="002B5657">
      <w:pPr>
        <w:pStyle w:val="AnnexNumberedText"/>
        <w:spacing w:after="160"/>
        <w:ind w:left="800"/>
      </w:pPr>
      <w:r>
        <w:t>b)</w:t>
      </w:r>
      <w:r>
        <w:tab/>
        <w:t>dyr með U-gildi ≤ 1,2 W/m2K,</w:t>
      </w:r>
    </w:p>
    <w:p w14:paraId="44A0C7A9" w14:textId="77777777" w:rsidR="002B5657" w:rsidRDefault="002B5657" w:rsidP="002B5657">
      <w:pPr>
        <w:pStyle w:val="AnnexNumberedText"/>
        <w:spacing w:after="160"/>
        <w:ind w:left="800"/>
      </w:pPr>
      <w:r>
        <w:t>c)</w:t>
      </w:r>
      <w:r>
        <w:tab/>
        <w:t>útveggjakerfi með U-gildi ≤ 0,5 W/m2K,</w:t>
      </w:r>
    </w:p>
    <w:p w14:paraId="67187635" w14:textId="77777777" w:rsidR="002B5657" w:rsidRDefault="002B5657" w:rsidP="002B5657">
      <w:pPr>
        <w:pStyle w:val="AnnexNumberedText"/>
        <w:spacing w:after="160"/>
        <w:ind w:left="800"/>
      </w:pPr>
      <w:r>
        <w:t>d)</w:t>
      </w:r>
      <w:r>
        <w:tab/>
        <w:t>þaklagnakerfi með U-gildi ≤ 0,3 W/m2K,</w:t>
      </w:r>
    </w:p>
    <w:p w14:paraId="307BCAF6" w14:textId="77777777" w:rsidR="002B5657" w:rsidRDefault="002B5657" w:rsidP="002B5657">
      <w:pPr>
        <w:pStyle w:val="AnnexNumberedText"/>
        <w:spacing w:after="160"/>
        <w:ind w:left="800"/>
      </w:pPr>
      <w:r>
        <w:t>e)</w:t>
      </w:r>
      <w:r>
        <w:tab/>
        <w:t xml:space="preserve">einangrunarvörur með </w:t>
      </w:r>
      <w:proofErr w:type="spellStart"/>
      <w:r>
        <w:t>lambda</w:t>
      </w:r>
      <w:proofErr w:type="spellEnd"/>
      <w:r>
        <w:t>-gildi ≤ 0,06 W/</w:t>
      </w:r>
      <w:proofErr w:type="spellStart"/>
      <w:r>
        <w:t>mK</w:t>
      </w:r>
      <w:proofErr w:type="spellEnd"/>
      <w:r>
        <w:t>,</w:t>
      </w:r>
    </w:p>
    <w:p w14:paraId="182614F0" w14:textId="77777777" w:rsidR="002B5657" w:rsidRDefault="002B5657" w:rsidP="002B5657">
      <w:pPr>
        <w:pStyle w:val="AnnexNumberedText"/>
        <w:spacing w:after="0"/>
        <w:ind w:left="800"/>
      </w:pPr>
      <w:r>
        <w:lastRenderedPageBreak/>
        <w:t>f)</w:t>
      </w:r>
      <w:r>
        <w:tab/>
        <w:t xml:space="preserve">heimilistæki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r>
        <w:br w:type="page"/>
      </w:r>
    </w:p>
    <w:p w14:paraId="07FDFF4D" w14:textId="77777777" w:rsidR="002B5657" w:rsidRDefault="002B5657" w:rsidP="002B5657">
      <w:pPr>
        <w:pStyle w:val="AnnexNumberedText"/>
        <w:spacing w:after="240"/>
        <w:ind w:left="800"/>
      </w:pPr>
      <w:r>
        <w:lastRenderedPageBreak/>
        <w:t>g)</w:t>
      </w:r>
      <w:r>
        <w:tab/>
        <w:t xml:space="preserve">ljósgjafar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p>
    <w:p w14:paraId="3637E4B8" w14:textId="77777777" w:rsidR="002B5657" w:rsidRDefault="002B5657" w:rsidP="002B5657">
      <w:pPr>
        <w:pStyle w:val="AnnexNumberedText"/>
        <w:spacing w:after="240"/>
        <w:ind w:left="800"/>
      </w:pPr>
      <w:r>
        <w:t>h)</w:t>
      </w:r>
      <w:r>
        <w:tab/>
      </w:r>
      <w:proofErr w:type="spellStart"/>
      <w:r>
        <w:t>rýmishitunar</w:t>
      </w:r>
      <w:proofErr w:type="spellEnd"/>
      <w:r>
        <w:t xml:space="preserve">- og heitavatnskerfi til heimilisnota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p>
    <w:p w14:paraId="194E4615" w14:textId="77777777" w:rsidR="002B5657" w:rsidRDefault="002B5657" w:rsidP="002B5657">
      <w:pPr>
        <w:pStyle w:val="AnnexNumberedText"/>
        <w:spacing w:after="240"/>
        <w:ind w:left="800"/>
      </w:pPr>
      <w:r>
        <w:t>i)</w:t>
      </w:r>
      <w:r>
        <w:tab/>
        <w:t xml:space="preserve">kæli- og </w:t>
      </w:r>
      <w:proofErr w:type="spellStart"/>
      <w:r>
        <w:t>loftræstikerfi</w:t>
      </w:r>
      <w:proofErr w:type="spellEnd"/>
      <w:r>
        <w:t xml:space="preserve"> sem falla undir tvo hæstu </w:t>
      </w:r>
      <w:proofErr w:type="spellStart"/>
      <w:r>
        <w:t>orkunýtniflokkana</w:t>
      </w:r>
      <w:proofErr w:type="spellEnd"/>
      <w:r>
        <w:t xml:space="preserve"> sem eru í notkun í samræmi við reglugerð Evrópuþingsins og ráðsins (ESB) 2017/1369 og framseldar gerðir sem samþykktar voru samkvæmt þeirri reglugerð,</w:t>
      </w:r>
    </w:p>
    <w:p w14:paraId="6AE341EF" w14:textId="77777777" w:rsidR="002B5657" w:rsidRDefault="002B5657" w:rsidP="002B5657">
      <w:pPr>
        <w:pStyle w:val="AnnexNumberedText"/>
        <w:spacing w:after="240"/>
        <w:ind w:left="800"/>
      </w:pPr>
      <w:r>
        <w:t>j)</w:t>
      </w:r>
      <w:r>
        <w:tab/>
        <w:t>hreyfistýringar og dagsbirtustýringar fyrir lýsingarkerfi,</w:t>
      </w:r>
    </w:p>
    <w:p w14:paraId="2B655168" w14:textId="77777777" w:rsidR="002B5657" w:rsidRDefault="002B5657" w:rsidP="002B5657">
      <w:pPr>
        <w:pStyle w:val="AnnexNumberedText"/>
        <w:spacing w:after="240"/>
        <w:ind w:left="800"/>
      </w:pPr>
      <w:r>
        <w:t>k)</w:t>
      </w:r>
      <w:r>
        <w:tab/>
        <w:t>varmadælur sem eru í samræmi við tæknilegu matsviðmiðin sem sett eru fram í þætti 4.16 í þessum viðauka,</w:t>
      </w:r>
    </w:p>
    <w:p w14:paraId="68F0C5B1" w14:textId="77777777" w:rsidR="002B5657" w:rsidRDefault="002B5657" w:rsidP="002B5657">
      <w:pPr>
        <w:pStyle w:val="AnnexNumberedText"/>
        <w:spacing w:after="240"/>
        <w:ind w:left="800"/>
      </w:pPr>
      <w:r>
        <w:t>l)</w:t>
      </w:r>
      <w:r>
        <w:tab/>
        <w:t>útveggja- og þaklagnaeiningar með sóltjaldi eða sólarstýringu, þ.m.t. þær sem stuðla að gróðurvexti,</w:t>
      </w:r>
    </w:p>
    <w:p w14:paraId="77DCF901" w14:textId="77777777" w:rsidR="002B5657" w:rsidRDefault="002B5657" w:rsidP="002B5657">
      <w:pPr>
        <w:pStyle w:val="AnnexNumberedText"/>
        <w:spacing w:after="240"/>
        <w:ind w:left="800"/>
      </w:pPr>
      <w:r>
        <w:t>m)</w:t>
      </w:r>
      <w:r>
        <w:tab/>
      </w:r>
      <w:proofErr w:type="spellStart"/>
      <w:r>
        <w:t>orkunýtin</w:t>
      </w:r>
      <w:proofErr w:type="spellEnd"/>
      <w:r>
        <w:t xml:space="preserve"> sjálfvirk kerfi og stýrikerfi bygginga fyrir íbúðarhúsnæði og aðrar byggingar en íbúðarhúsnæði,</w:t>
      </w:r>
    </w:p>
    <w:p w14:paraId="7349962B" w14:textId="77777777" w:rsidR="002B5657" w:rsidRDefault="002B5657" w:rsidP="002B5657">
      <w:pPr>
        <w:pStyle w:val="AnnexNumberedText"/>
        <w:spacing w:after="240"/>
        <w:ind w:left="800"/>
      </w:pPr>
      <w:r>
        <w:t>n)</w:t>
      </w:r>
      <w:r>
        <w:tab/>
        <w:t xml:space="preserve">svæðaskiptir </w:t>
      </w:r>
      <w:proofErr w:type="spellStart"/>
      <w:r>
        <w:t>hitastillar</w:t>
      </w:r>
      <w:proofErr w:type="spellEnd"/>
      <w:r>
        <w:t xml:space="preserve"> og tæki fyrir </w:t>
      </w:r>
      <w:proofErr w:type="spellStart"/>
      <w:r>
        <w:t>snjallvöktun</w:t>
      </w:r>
      <w:proofErr w:type="spellEnd"/>
      <w:r>
        <w:t xml:space="preserve"> á helsta rafmagns- eða hitaálagi fyrir byggingar og skynjarabúnaður,</w:t>
      </w:r>
    </w:p>
    <w:p w14:paraId="6912E4BB" w14:textId="77777777" w:rsidR="002B5657" w:rsidRDefault="002B5657" w:rsidP="002B5657">
      <w:pPr>
        <w:pStyle w:val="AnnexNumberedText"/>
        <w:spacing w:after="240"/>
        <w:ind w:left="800"/>
      </w:pPr>
      <w:r>
        <w:t>o)</w:t>
      </w:r>
      <w:r>
        <w:tab/>
        <w:t xml:space="preserve">vörur til hitamælinga og hitastýringa fyrir einstök heimili sem eru tengd við </w:t>
      </w:r>
      <w:proofErr w:type="spellStart"/>
      <w:r>
        <w:t>fjarhitunarkerfi</w:t>
      </w:r>
      <w:proofErr w:type="spellEnd"/>
      <w:r>
        <w:t xml:space="preserve">, fyrir einstakar íbúðir sem eru tengdar við </w:t>
      </w:r>
      <w:proofErr w:type="spellStart"/>
      <w:r>
        <w:t>miðstöðvarhitunarkerfi</w:t>
      </w:r>
      <w:proofErr w:type="spellEnd"/>
      <w:r>
        <w:t xml:space="preserve"> sem þjóna heilli byggingu og fyrir </w:t>
      </w:r>
      <w:proofErr w:type="spellStart"/>
      <w:r>
        <w:t>miðstöðvarhitunarkerfi</w:t>
      </w:r>
      <w:proofErr w:type="spellEnd"/>
      <w:r>
        <w:t>,</w:t>
      </w:r>
    </w:p>
    <w:p w14:paraId="14DDD68B" w14:textId="77777777" w:rsidR="002B5657" w:rsidRDefault="002B5657" w:rsidP="002B5657">
      <w:pPr>
        <w:pStyle w:val="AnnexNumberedText"/>
        <w:spacing w:after="240"/>
        <w:ind w:left="800"/>
      </w:pPr>
      <w:r>
        <w:t>p)</w:t>
      </w:r>
      <w:r>
        <w:tab/>
      </w:r>
      <w:proofErr w:type="spellStart"/>
      <w:r>
        <w:t>fjarhitunarskipta</w:t>
      </w:r>
      <w:proofErr w:type="spellEnd"/>
      <w:r>
        <w:t xml:space="preserve">- og </w:t>
      </w:r>
      <w:proofErr w:type="spellStart"/>
      <w:r>
        <w:t>aðveitustöðvar</w:t>
      </w:r>
      <w:proofErr w:type="spellEnd"/>
      <w:r>
        <w:t xml:space="preserve"> sem falla undir dreifingarstarfsemi fyrir </w:t>
      </w:r>
      <w:proofErr w:type="spellStart"/>
      <w:r>
        <w:t>fjarhitun</w:t>
      </w:r>
      <w:proofErr w:type="spellEnd"/>
      <w:r>
        <w:t>/-kælingu sem sett er fram í þætti 4.15 í þessum viðauka,</w:t>
      </w:r>
    </w:p>
    <w:p w14:paraId="1D7C4899" w14:textId="77777777" w:rsidR="002B5657" w:rsidRDefault="002B5657" w:rsidP="002B5657">
      <w:pPr>
        <w:pStyle w:val="AnnexNumberedText"/>
        <w:spacing w:after="240"/>
        <w:ind w:left="800"/>
      </w:pPr>
      <w:r>
        <w:t>q)</w:t>
      </w:r>
      <w:r>
        <w:tab/>
        <w:t xml:space="preserve">vörur til </w:t>
      </w:r>
      <w:proofErr w:type="spellStart"/>
      <w:r>
        <w:t>snjallvöktunar</w:t>
      </w:r>
      <w:proofErr w:type="spellEnd"/>
      <w:r>
        <w:t xml:space="preserve"> og -stjórnunar hitakerfa og skynjarabúnaður.</w:t>
      </w:r>
    </w:p>
    <w:p w14:paraId="43F9CE9A" w14:textId="77777777" w:rsidR="002B5657" w:rsidRDefault="002B5657" w:rsidP="002B5657">
      <w:pPr>
        <w:pStyle w:val="AnnexNormal"/>
        <w:spacing w:after="240"/>
        <w:ind w:left="500"/>
      </w:pPr>
      <w:r>
        <w:t>Atvinnustarfsemin í þessum flokki gæti tengst nokkrum kóðum atvinnugreinaflokkunar Evrópusambandsins, einkum C16.23, C23.11, C23.20, C23.31, C23.32, C23.43, C.23.61, C25.11, C25.12, C25.21, C25.29, C25.93, C27.31, C27.32, C27.33, C27.40, C27.51, C28.11, C28.12, C28.13, C28.14, í samræmi við atvinnugreinaflokkunina sem komið var á með reglugerð (EB) nr. 1893/2006.</w:t>
      </w:r>
    </w:p>
    <w:p w14:paraId="6177CC8D" w14:textId="77777777" w:rsidR="002B5657" w:rsidRDefault="002B5657" w:rsidP="002B5657">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24"/>
        <w:gridCol w:w="5916"/>
      </w:tblGrid>
      <w:tr w:rsidR="002B5657" w14:paraId="2E8E0FE6"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4BEF188F" w14:textId="77777777" w:rsidR="002B5657" w:rsidRDefault="002B5657" w:rsidP="00A9140F">
            <w:pPr>
              <w:pStyle w:val="AnnexTableCellLeft"/>
            </w:pPr>
            <w:r>
              <w:t>Verulegt framlag til aðlögunar að loftslagsbreytingum</w:t>
            </w:r>
          </w:p>
        </w:tc>
      </w:tr>
      <w:tr w:rsidR="002B5657" w14:paraId="5E6A10FF" w14:textId="77777777" w:rsidTr="00A9140F">
        <w:trPr>
          <w:trHeight w:val="360"/>
        </w:trPr>
        <w:tc>
          <w:tcPr>
            <w:tcW w:w="8740" w:type="dxa"/>
            <w:gridSpan w:val="2"/>
            <w:tcBorders>
              <w:bottom w:val="nil"/>
            </w:tcBorders>
            <w:tcMar>
              <w:top w:w="100" w:type="dxa"/>
              <w:left w:w="0" w:type="dxa"/>
              <w:bottom w:w="100" w:type="dxa"/>
              <w:right w:w="60" w:type="dxa"/>
            </w:tcMar>
          </w:tcPr>
          <w:p w14:paraId="1B04BE41" w14:textId="77777777" w:rsidR="002B5657" w:rsidRDefault="002B5657" w:rsidP="00A9140F">
            <w:pPr>
              <w:pStyle w:val="AnnexNumberedText"/>
              <w:tabs>
                <w:tab w:val="left" w:pos="508"/>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00372F8" w14:textId="77777777" w:rsidR="002B5657" w:rsidRDefault="002B5657" w:rsidP="00A9140F">
            <w:pPr>
              <w:pStyle w:val="AnnexNumberedText"/>
              <w:tabs>
                <w:tab w:val="left" w:pos="508"/>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F5E6624" w14:textId="77777777" w:rsidR="002B5657" w:rsidRDefault="002B5657"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238148F3" w14:textId="77777777" w:rsidR="002B5657" w:rsidRDefault="002B5657" w:rsidP="00A9140F">
            <w:pPr>
              <w:pStyle w:val="AnnexNumberedText"/>
              <w:spacing w:after="24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31D84BE6" w14:textId="77777777" w:rsidR="002B5657" w:rsidRDefault="002B5657" w:rsidP="00A9140F">
            <w:pPr>
              <w:pStyle w:val="AnnexNumberedText"/>
              <w:spacing w:after="240"/>
            </w:pPr>
            <w:r>
              <w:t>c)</w:t>
            </w:r>
            <w:r>
              <w:tab/>
              <w:t>mat á aðlögunarlausnum sem geta dregið úr greindri efnislegri loftslagsáhættu.</w:t>
            </w:r>
          </w:p>
          <w:p w14:paraId="51E4842E" w14:textId="77777777" w:rsidR="002B5657" w:rsidRDefault="002B5657" w:rsidP="00A9140F">
            <w:pPr>
              <w:pStyle w:val="AnnexTableCellLeft"/>
              <w:spacing w:after="240"/>
              <w:ind w:left="279"/>
            </w:pPr>
            <w:r>
              <w:t xml:space="preserve">Loftslagsáhættu- og veikleikamatið er í réttu hlutfalli við umfang starfseminnar og </w:t>
            </w:r>
            <w:proofErr w:type="spellStart"/>
            <w:r>
              <w:t>væntan</w:t>
            </w:r>
            <w:proofErr w:type="spellEnd"/>
            <w:r>
              <w:t xml:space="preserve"> líftíma hennar þannig að:</w:t>
            </w:r>
          </w:p>
          <w:p w14:paraId="46AFB971" w14:textId="77777777" w:rsidR="002B5657" w:rsidRDefault="002B5657" w:rsidP="00A9140F">
            <w:pPr>
              <w:pStyle w:val="AnnexNumberedText"/>
              <w:spacing w:after="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tc>
      </w:tr>
      <w:tr w:rsidR="002B5657" w14:paraId="0D329994" w14:textId="77777777" w:rsidTr="00A9140F">
        <w:trPr>
          <w:trHeight w:val="360"/>
        </w:trPr>
        <w:tc>
          <w:tcPr>
            <w:tcW w:w="8740" w:type="dxa"/>
            <w:gridSpan w:val="2"/>
            <w:tcBorders>
              <w:top w:val="nil"/>
            </w:tcBorders>
            <w:tcMar>
              <w:top w:w="100" w:type="dxa"/>
              <w:left w:w="0" w:type="dxa"/>
              <w:bottom w:w="100" w:type="dxa"/>
              <w:right w:w="60" w:type="dxa"/>
            </w:tcMar>
          </w:tcPr>
          <w:p w14:paraId="261AE486" w14:textId="77777777" w:rsidR="002B5657" w:rsidRDefault="002B5657" w:rsidP="00A9140F">
            <w:pPr>
              <w:pStyle w:val="AnnexNumberedText"/>
              <w:pageBreakBefore/>
              <w:spacing w:after="200"/>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62"/>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0BDB302" w14:textId="77777777" w:rsidR="002B5657" w:rsidRDefault="002B5657" w:rsidP="00A9140F">
            <w:pPr>
              <w:pStyle w:val="AnnexNumberedText"/>
              <w:tabs>
                <w:tab w:val="left" w:pos="508"/>
              </w:tabs>
              <w:spacing w:after="20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63"/>
            </w:r>
            <w:r>
              <w:t>), vísindalegt ritrýnt útgefið efni og líkön með opnum aðgangi (</w:t>
            </w:r>
            <w:r>
              <w:rPr>
                <w:rStyle w:val="Tilvsunneanmlsgrein"/>
                <w:sz w:val="18"/>
              </w:rPr>
              <w:footnoteReference w:id="464"/>
            </w:r>
            <w:r>
              <w:t>) eða gegn greiðslu.</w:t>
            </w:r>
          </w:p>
          <w:p w14:paraId="388934C2" w14:textId="77777777" w:rsidR="002B5657" w:rsidRDefault="002B5657" w:rsidP="00A9140F">
            <w:pPr>
              <w:pStyle w:val="AnnexNumberedText"/>
              <w:tabs>
                <w:tab w:val="left" w:pos="508"/>
              </w:tabs>
              <w:spacing w:after="200"/>
              <w:ind w:left="0" w:firstLine="0"/>
            </w:pPr>
            <w:r>
              <w:t>4.</w:t>
            </w:r>
            <w:r>
              <w:tab/>
              <w:t>Aðlögunarlausnir sem komið er í framkvæmd:</w:t>
            </w:r>
          </w:p>
          <w:p w14:paraId="02B9D903" w14:textId="77777777" w:rsidR="002B5657" w:rsidRDefault="002B5657" w:rsidP="00A9140F">
            <w:pPr>
              <w:pStyle w:val="AnnexNumberedText"/>
              <w:spacing w:after="200"/>
            </w:pPr>
            <w:r>
              <w:t>a)</w:t>
            </w:r>
            <w:r>
              <w:tab/>
              <w:t>hafa ekki neikvæð áhrif á viðleitni til aðlögunar eða viðnám annars fólks, náttúru, menningararfleifðar, eigna og annarrar atvinnustarfsemi gegn efnislegri loftslagsáhættu,</w:t>
            </w:r>
          </w:p>
          <w:p w14:paraId="2EC6F619" w14:textId="77777777" w:rsidR="002B5657" w:rsidRDefault="002B5657" w:rsidP="00A9140F">
            <w:pPr>
              <w:pStyle w:val="AnnexNumberedText"/>
              <w:spacing w:after="200"/>
            </w:pPr>
            <w:r>
              <w:t>b)</w:t>
            </w:r>
            <w:r>
              <w:tab/>
              <w:t>eru með náttúrumiðaðar lausnir (</w:t>
            </w:r>
            <w:r>
              <w:rPr>
                <w:rStyle w:val="Tilvsunneanmlsgrein"/>
                <w:sz w:val="18"/>
              </w:rPr>
              <w:footnoteReference w:id="465"/>
            </w:r>
            <w:r>
              <w:t>) í forgangi eða treyst er á bláa eða græna innviði (</w:t>
            </w:r>
            <w:r>
              <w:rPr>
                <w:rStyle w:val="Tilvsunneanmlsgrein"/>
                <w:sz w:val="18"/>
              </w:rPr>
              <w:footnoteReference w:id="466"/>
            </w:r>
            <w:r>
              <w:t>) að því marki sem mögulegt er,</w:t>
            </w:r>
          </w:p>
          <w:p w14:paraId="21DBE4CB" w14:textId="77777777" w:rsidR="002B5657" w:rsidRDefault="002B5657" w:rsidP="00A9140F">
            <w:pPr>
              <w:pStyle w:val="AnnexNumberedText"/>
              <w:spacing w:after="200"/>
            </w:pPr>
            <w:r>
              <w:t>c)</w:t>
            </w:r>
            <w:r>
              <w:tab/>
              <w:t>eru í samræmi við staðbundnar, geirabundnar, svæðisbundnar eða landsbundnar aðlögunarstefnur og -áætlanir,</w:t>
            </w:r>
          </w:p>
          <w:p w14:paraId="0BE503B6" w14:textId="77777777" w:rsidR="002B5657" w:rsidRDefault="002B5657"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BCC06ED" w14:textId="77777777" w:rsidR="002B5657" w:rsidRDefault="002B5657"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01F6C449" w14:textId="77777777" w:rsidTr="00A9140F">
        <w:trPr>
          <w:trHeight w:val="240"/>
        </w:trPr>
        <w:tc>
          <w:tcPr>
            <w:tcW w:w="8740" w:type="dxa"/>
            <w:gridSpan w:val="2"/>
            <w:tcMar>
              <w:top w:w="100" w:type="dxa"/>
              <w:left w:w="0" w:type="dxa"/>
              <w:bottom w:w="100" w:type="dxa"/>
              <w:right w:w="60" w:type="dxa"/>
            </w:tcMar>
          </w:tcPr>
          <w:p w14:paraId="693A7065" w14:textId="77777777" w:rsidR="002B5657" w:rsidRDefault="002B5657" w:rsidP="00A9140F">
            <w:pPr>
              <w:pStyle w:val="AnnexTableCellLeft"/>
            </w:pPr>
            <w:r>
              <w:t>Ekki valda umtalsverðu tjóni</w:t>
            </w:r>
          </w:p>
        </w:tc>
      </w:tr>
      <w:tr w:rsidR="002B5657" w14:paraId="4060419D" w14:textId="77777777" w:rsidTr="00A9140F">
        <w:trPr>
          <w:trHeight w:val="360"/>
        </w:trPr>
        <w:tc>
          <w:tcPr>
            <w:tcW w:w="2824" w:type="dxa"/>
            <w:tcMar>
              <w:top w:w="100" w:type="dxa"/>
              <w:left w:w="0" w:type="dxa"/>
              <w:bottom w:w="100" w:type="dxa"/>
              <w:right w:w="60" w:type="dxa"/>
            </w:tcMar>
          </w:tcPr>
          <w:p w14:paraId="72D4E614" w14:textId="77777777" w:rsidR="002B5657" w:rsidRDefault="002B5657" w:rsidP="00A9140F">
            <w:pPr>
              <w:pStyle w:val="AnnexNumberedText"/>
            </w:pPr>
            <w:r>
              <w:t>1)</w:t>
            </w:r>
            <w:r>
              <w:tab/>
              <w:t>Mildun loftslagsbreytinga</w:t>
            </w:r>
          </w:p>
        </w:tc>
        <w:tc>
          <w:tcPr>
            <w:tcW w:w="5916" w:type="dxa"/>
            <w:tcMar>
              <w:top w:w="100" w:type="dxa"/>
              <w:left w:w="40" w:type="dxa"/>
              <w:bottom w:w="100" w:type="dxa"/>
              <w:right w:w="0" w:type="dxa"/>
            </w:tcMar>
          </w:tcPr>
          <w:p w14:paraId="6C8B8AFF" w14:textId="77777777" w:rsidR="002B5657" w:rsidRDefault="002B5657" w:rsidP="00A9140F">
            <w:pPr>
              <w:pStyle w:val="AnnexTableCellLeft"/>
            </w:pPr>
            <w:r>
              <w:t>Á ekki við</w:t>
            </w:r>
          </w:p>
        </w:tc>
      </w:tr>
      <w:tr w:rsidR="002B5657" w14:paraId="1A893AD6" w14:textId="77777777" w:rsidTr="00A9140F">
        <w:trPr>
          <w:trHeight w:val="360"/>
        </w:trPr>
        <w:tc>
          <w:tcPr>
            <w:tcW w:w="2824" w:type="dxa"/>
            <w:tcMar>
              <w:top w:w="100" w:type="dxa"/>
              <w:left w:w="0" w:type="dxa"/>
              <w:bottom w:w="100" w:type="dxa"/>
              <w:right w:w="60" w:type="dxa"/>
            </w:tcMar>
          </w:tcPr>
          <w:p w14:paraId="47C1E9F1" w14:textId="77777777" w:rsidR="002B5657" w:rsidRDefault="002B5657" w:rsidP="00A9140F">
            <w:pPr>
              <w:pStyle w:val="AnnexNumberedText"/>
            </w:pPr>
            <w:r>
              <w:t>3)</w:t>
            </w:r>
            <w:r>
              <w:tab/>
              <w:t>Sjálfbær notkun og verndun vatns- og sjávarauðlinda</w:t>
            </w:r>
          </w:p>
        </w:tc>
        <w:tc>
          <w:tcPr>
            <w:tcW w:w="5916" w:type="dxa"/>
            <w:tcMar>
              <w:top w:w="100" w:type="dxa"/>
              <w:left w:w="40" w:type="dxa"/>
              <w:bottom w:w="100" w:type="dxa"/>
              <w:right w:w="0" w:type="dxa"/>
            </w:tcMar>
          </w:tcPr>
          <w:p w14:paraId="7538AE72" w14:textId="77777777" w:rsidR="002B5657" w:rsidRDefault="002B5657" w:rsidP="00A9140F">
            <w:pPr>
              <w:pStyle w:val="AnnexTableCellLeft"/>
            </w:pPr>
            <w:r>
              <w:t>Starfsemin er í samræmi við viðmiðanirnar sem settar eru fram í viðbæti B við þennan viðauka.</w:t>
            </w:r>
          </w:p>
        </w:tc>
      </w:tr>
      <w:tr w:rsidR="002B5657" w14:paraId="4FE694E5" w14:textId="77777777" w:rsidTr="00A9140F">
        <w:trPr>
          <w:trHeight w:val="360"/>
        </w:trPr>
        <w:tc>
          <w:tcPr>
            <w:tcW w:w="2824" w:type="dxa"/>
            <w:tcMar>
              <w:top w:w="100" w:type="dxa"/>
              <w:left w:w="0" w:type="dxa"/>
              <w:bottom w:w="100" w:type="dxa"/>
              <w:right w:w="60" w:type="dxa"/>
            </w:tcMar>
          </w:tcPr>
          <w:p w14:paraId="1DA2DB1E" w14:textId="77777777" w:rsidR="002B5657" w:rsidRDefault="002B5657" w:rsidP="00A9140F">
            <w:pPr>
              <w:pStyle w:val="AnnexNumberedText"/>
            </w:pPr>
            <w:r>
              <w:t>4)</w:t>
            </w:r>
            <w:r>
              <w:tab/>
              <w:t>Umskipti yfir í hringrásarhagkerfi</w:t>
            </w:r>
          </w:p>
        </w:tc>
        <w:tc>
          <w:tcPr>
            <w:tcW w:w="5916" w:type="dxa"/>
            <w:tcMar>
              <w:top w:w="100" w:type="dxa"/>
              <w:left w:w="40" w:type="dxa"/>
              <w:bottom w:w="100" w:type="dxa"/>
              <w:right w:w="0" w:type="dxa"/>
            </w:tcMar>
          </w:tcPr>
          <w:p w14:paraId="0BBCCA4B" w14:textId="77777777" w:rsidR="002B5657" w:rsidRDefault="002B5657" w:rsidP="00A9140F">
            <w:pPr>
              <w:pStyle w:val="AnnexTableCellLeft"/>
              <w:spacing w:after="200"/>
            </w:pPr>
            <w:r>
              <w:t>Í starfseminni er lagt mat á tiltækileika og, ef það er gerlegt, tekin upp tækni sem styður:</w:t>
            </w:r>
          </w:p>
          <w:p w14:paraId="64A96228" w14:textId="77777777" w:rsidR="002B5657" w:rsidRDefault="002B5657" w:rsidP="00A9140F">
            <w:pPr>
              <w:pStyle w:val="AnnexNumberedText"/>
              <w:spacing w:after="200"/>
            </w:pPr>
            <w:r>
              <w:t>a)</w:t>
            </w:r>
            <w:r>
              <w:tab/>
              <w:t>endurnotkun og notkun á endurunnum hráefnum og endurnotuðum íhlutum í framleiðslu á vörum,</w:t>
            </w:r>
          </w:p>
          <w:p w14:paraId="51277A3D" w14:textId="77777777" w:rsidR="002B5657" w:rsidRDefault="002B5657" w:rsidP="00A9140F">
            <w:pPr>
              <w:pStyle w:val="AnnexNumberedText"/>
              <w:spacing w:after="200"/>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72894A9A" w14:textId="77777777" w:rsidR="002B5657" w:rsidRDefault="002B5657" w:rsidP="00A9140F">
            <w:pPr>
              <w:pStyle w:val="AnnexNumberedText"/>
              <w:spacing w:after="200"/>
            </w:pPr>
            <w:r>
              <w:t>c)</w:t>
            </w:r>
            <w:r>
              <w:tab/>
              <w:t xml:space="preserve">úrgangsstjórnun þar sem endurvinnsla er sett í forgang fram yfir </w:t>
            </w:r>
            <w:proofErr w:type="spellStart"/>
            <w:r>
              <w:t>förgun</w:t>
            </w:r>
            <w:proofErr w:type="spellEnd"/>
            <w:r>
              <w:t xml:space="preserve"> í framleiðsluferlinu,</w:t>
            </w:r>
          </w:p>
          <w:p w14:paraId="17FFEAFC" w14:textId="77777777" w:rsidR="002B5657" w:rsidRDefault="002B5657" w:rsidP="00A9140F">
            <w:pPr>
              <w:pStyle w:val="AnnexNumberedText"/>
            </w:pPr>
            <w:r>
              <w:t>d)</w:t>
            </w:r>
            <w:r>
              <w:tab/>
              <w:t>upplýsingar um og rekjanleika efna sem gefa tilefni til áhyggna á öllum vist</w:t>
            </w:r>
            <w:r>
              <w:lastRenderedPageBreak/>
              <w:t>ferli framleiddra vara.</w:t>
            </w:r>
          </w:p>
        </w:tc>
      </w:tr>
      <w:tr w:rsidR="002B5657" w14:paraId="4710D425" w14:textId="77777777" w:rsidTr="00A9140F">
        <w:trPr>
          <w:trHeight w:val="360"/>
        </w:trPr>
        <w:tc>
          <w:tcPr>
            <w:tcW w:w="2824" w:type="dxa"/>
            <w:tcMar>
              <w:top w:w="100" w:type="dxa"/>
              <w:left w:w="0" w:type="dxa"/>
              <w:bottom w:w="100" w:type="dxa"/>
              <w:right w:w="60" w:type="dxa"/>
            </w:tcMar>
          </w:tcPr>
          <w:p w14:paraId="5BEAFCBE" w14:textId="77777777" w:rsidR="002B5657" w:rsidRDefault="002B5657" w:rsidP="00A9140F">
            <w:pPr>
              <w:pStyle w:val="AnnexNumberedText"/>
              <w:pageBreakBefore/>
            </w:pPr>
            <w:r>
              <w:lastRenderedPageBreak/>
              <w:t>5)</w:t>
            </w:r>
            <w:r>
              <w:tab/>
              <w:t>Mengunarvarnir og eftirlit með mengun</w:t>
            </w:r>
          </w:p>
        </w:tc>
        <w:tc>
          <w:tcPr>
            <w:tcW w:w="5916" w:type="dxa"/>
            <w:tcMar>
              <w:top w:w="100" w:type="dxa"/>
              <w:left w:w="40" w:type="dxa"/>
              <w:bottom w:w="100" w:type="dxa"/>
              <w:right w:w="0" w:type="dxa"/>
            </w:tcMar>
          </w:tcPr>
          <w:p w14:paraId="60EEDFE9" w14:textId="77777777" w:rsidR="002B5657" w:rsidRDefault="002B5657" w:rsidP="00A9140F">
            <w:pPr>
              <w:pStyle w:val="AnnexTableCellLeft"/>
            </w:pPr>
            <w:r>
              <w:t>Starfsemin er í samræmi við viðmiðanirnar sem settar eru fram í viðbæti C við þennan viðauka.</w:t>
            </w:r>
          </w:p>
        </w:tc>
      </w:tr>
      <w:tr w:rsidR="002B5657" w14:paraId="3DEEF371" w14:textId="77777777" w:rsidTr="00A9140F">
        <w:trPr>
          <w:trHeight w:val="360"/>
        </w:trPr>
        <w:tc>
          <w:tcPr>
            <w:tcW w:w="2824" w:type="dxa"/>
            <w:tcMar>
              <w:top w:w="100" w:type="dxa"/>
              <w:left w:w="0" w:type="dxa"/>
              <w:bottom w:w="100" w:type="dxa"/>
              <w:right w:w="60" w:type="dxa"/>
            </w:tcMar>
          </w:tcPr>
          <w:p w14:paraId="6BA77BDC" w14:textId="77777777" w:rsidR="002B5657" w:rsidRDefault="002B5657" w:rsidP="00A9140F">
            <w:pPr>
              <w:pStyle w:val="AnnexNumberedText"/>
            </w:pPr>
            <w:r>
              <w:t>6)</w:t>
            </w:r>
            <w:r>
              <w:tab/>
              <w:t>Vernd og endurheimt líffræðilegrar fjölbreytni og vistkerfa</w:t>
            </w:r>
          </w:p>
        </w:tc>
        <w:tc>
          <w:tcPr>
            <w:tcW w:w="5916" w:type="dxa"/>
            <w:tcMar>
              <w:top w:w="100" w:type="dxa"/>
              <w:left w:w="40" w:type="dxa"/>
              <w:bottom w:w="100" w:type="dxa"/>
              <w:right w:w="0" w:type="dxa"/>
            </w:tcMar>
          </w:tcPr>
          <w:p w14:paraId="1347A0C2" w14:textId="77777777" w:rsidR="002B5657" w:rsidRDefault="002B5657" w:rsidP="00A9140F">
            <w:pPr>
              <w:pStyle w:val="AnnexTableCellLeft"/>
            </w:pPr>
            <w:r>
              <w:t>Starfsemin er í samræmi við viðmiðanirnar sem settar eru fram í viðbæti D við þennan viðauka.</w:t>
            </w:r>
          </w:p>
        </w:tc>
      </w:tr>
    </w:tbl>
    <w:p w14:paraId="12FDFC09" w14:textId="77777777" w:rsidR="002B5657" w:rsidRDefault="002B5657" w:rsidP="002B5657">
      <w:pPr>
        <w:pStyle w:val="AnnexNumberedText"/>
        <w:spacing w:before="200" w:after="280"/>
        <w:ind w:left="500" w:hanging="500"/>
      </w:pPr>
      <w:r>
        <w:t>3.6.</w:t>
      </w:r>
      <w:r>
        <w:rPr>
          <w:b/>
        </w:rPr>
        <w:tab/>
        <w:t>Framleiðsla á annarri lágkolefnistækni</w:t>
      </w:r>
    </w:p>
    <w:p w14:paraId="34BAB1C6" w14:textId="77777777" w:rsidR="002B5657" w:rsidRDefault="002B5657" w:rsidP="002B5657">
      <w:pPr>
        <w:pStyle w:val="AnnexGrSeq3"/>
        <w:spacing w:after="280"/>
        <w:ind w:left="500"/>
        <w:jc w:val="both"/>
      </w:pPr>
      <w:r>
        <w:rPr>
          <w:i/>
        </w:rPr>
        <w:t>Lýsing á starfseminni</w:t>
      </w:r>
    </w:p>
    <w:p w14:paraId="7942BDDC" w14:textId="77777777" w:rsidR="002B5657" w:rsidRDefault="002B5657" w:rsidP="002B5657">
      <w:pPr>
        <w:pStyle w:val="AnnexNormal"/>
        <w:spacing w:after="280"/>
        <w:ind w:left="500"/>
      </w:pPr>
      <w:r>
        <w:t>Framleiðsla á tækni sem miðar að verulegum samdrætti í losun gróðurhúsalofttegunda í öðrum greinum atvinnulífsins, ef ekki er fjallað um þessa tækni í þáttum 3.1 til 3.5 í þessum viðauka, og ef sýnt er fram á verulegan samdrátt í losun gróðurhúsalofttegunda á vistferlinum með þessari tækni, samanborið við aðra tækni, vöru eða lausn sem skilar bestum árangri, sem er tiltæk á markaðnum, reiknað út með því að nota tilmæli framkvæmdastjórnarinnar 2013/179/ESB eða ISO 14067:2018 (</w:t>
      </w:r>
      <w:bookmarkStart w:id="92" w:name="NOTE_466"/>
      <w:r>
        <w:rPr>
          <w:rStyle w:val="Tilvsunneanmlsgrein"/>
          <w:sz w:val="18"/>
        </w:rPr>
        <w:footnoteReference w:id="467"/>
      </w:r>
      <w:bookmarkEnd w:id="92"/>
      <w:r>
        <w:t>) eða ISO 14064-1:2018 (</w:t>
      </w:r>
      <w:bookmarkStart w:id="93" w:name="NOTE_467"/>
      <w:r>
        <w:rPr>
          <w:rStyle w:val="Tilvsunneanmlsgrein"/>
          <w:sz w:val="18"/>
        </w:rPr>
        <w:footnoteReference w:id="468"/>
      </w:r>
      <w:bookmarkEnd w:id="93"/>
      <w:r>
        <w:t>) og þar sem óháður þriðji aðili sannprófar magngreinda minnkun á losun gróðurhúsalofttegunda á vistferlinum.</w:t>
      </w:r>
    </w:p>
    <w:p w14:paraId="107AA553" w14:textId="77777777" w:rsidR="002B5657" w:rsidRDefault="002B5657" w:rsidP="002B5657">
      <w:pPr>
        <w:pStyle w:val="AnnexNormal"/>
        <w:spacing w:after="280"/>
        <w:ind w:left="500"/>
      </w:pPr>
      <w:r>
        <w:t>Atvinnustarfsemin í þessum flokki gæti tengst nokkrum kóðum atvinnugreinaflokkunar Evrópusambandsins, einkum C22, C25, C26, C27 og C28 í samræmi við atvinnugreinaflokkunina sem komið var á með reglugerð (EB) nr. 1893/2006.</w:t>
      </w:r>
    </w:p>
    <w:p w14:paraId="4C251321" w14:textId="77777777" w:rsidR="002B5657" w:rsidRDefault="002B5657" w:rsidP="002B5657">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60"/>
        <w:gridCol w:w="5880"/>
      </w:tblGrid>
      <w:tr w:rsidR="002B5657" w14:paraId="6ACB5678"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455BB8BF" w14:textId="77777777" w:rsidR="002B5657" w:rsidRDefault="002B5657" w:rsidP="00A9140F">
            <w:pPr>
              <w:pStyle w:val="AnnexTableCellLeft"/>
            </w:pPr>
            <w:r>
              <w:t>Verulegt framlag til aðlögunar að loftslagsbreytingum</w:t>
            </w:r>
          </w:p>
        </w:tc>
      </w:tr>
      <w:tr w:rsidR="002B5657" w14:paraId="2CB75747" w14:textId="77777777" w:rsidTr="00A9140F">
        <w:trPr>
          <w:trHeight w:val="360"/>
        </w:trPr>
        <w:tc>
          <w:tcPr>
            <w:tcW w:w="8740" w:type="dxa"/>
            <w:gridSpan w:val="2"/>
            <w:tcBorders>
              <w:bottom w:val="nil"/>
            </w:tcBorders>
            <w:tcMar>
              <w:top w:w="100" w:type="dxa"/>
              <w:left w:w="0" w:type="dxa"/>
              <w:bottom w:w="100" w:type="dxa"/>
              <w:right w:w="60" w:type="dxa"/>
            </w:tcMar>
          </w:tcPr>
          <w:p w14:paraId="15C126B1" w14:textId="77777777" w:rsidR="002B5657" w:rsidRDefault="002B5657" w:rsidP="00A9140F">
            <w:pPr>
              <w:pStyle w:val="AnnexNumberedText"/>
              <w:tabs>
                <w:tab w:val="left" w:pos="508"/>
              </w:tabs>
              <w:spacing w:after="2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DF619C3" w14:textId="77777777" w:rsidR="002B5657" w:rsidRDefault="002B5657" w:rsidP="00A9140F">
            <w:pPr>
              <w:pStyle w:val="AnnexNumberedText"/>
              <w:tabs>
                <w:tab w:val="left" w:pos="508"/>
              </w:tabs>
              <w:spacing w:after="2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5470FED" w14:textId="77777777" w:rsidR="002B5657" w:rsidRDefault="002B5657" w:rsidP="00A9140F">
            <w:pPr>
              <w:pStyle w:val="AnnexNumberedText"/>
              <w:spacing w:after="280"/>
            </w:pPr>
            <w:r>
              <w:t>a)</w:t>
            </w:r>
            <w:r>
              <w:tab/>
              <w:t>skimun á starfseminni til að greina hvaða efnislega loftslagsáhætta úr skránni í viðbæti A við þennan viðauka getur haft áhrif á árangurinn af atvinnustarfseminni á væntum líftíma hennar,</w:t>
            </w:r>
          </w:p>
          <w:p w14:paraId="223AD8E2" w14:textId="77777777" w:rsidR="002B5657" w:rsidRDefault="002B5657" w:rsidP="00A9140F">
            <w:pPr>
              <w:pStyle w:val="AnnexNumberedText"/>
              <w:spacing w:after="2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469F0B27" w14:textId="77777777" w:rsidR="002B5657" w:rsidRDefault="002B5657" w:rsidP="00A9140F">
            <w:pPr>
              <w:pStyle w:val="AnnexNumberedText"/>
              <w:spacing w:after="280"/>
            </w:pPr>
            <w:r>
              <w:t>c)</w:t>
            </w:r>
            <w:r>
              <w:tab/>
              <w:t>mat á aðlögunarlausnum sem geta dregið úr greindri efnislegri loftslagsáhættu.</w:t>
            </w:r>
          </w:p>
          <w:p w14:paraId="5E7BA1B8" w14:textId="77777777" w:rsidR="002B5657" w:rsidRDefault="002B5657" w:rsidP="00A9140F">
            <w:pPr>
              <w:pStyle w:val="AnnexTableCellLeft"/>
              <w:spacing w:after="280"/>
            </w:pPr>
            <w:r>
              <w:t xml:space="preserve">Loftslagsáhættu- og veikleikamatið er í réttu hlutfalli við umfang starfseminnar og </w:t>
            </w:r>
            <w:proofErr w:type="spellStart"/>
            <w:r>
              <w:t>væntan</w:t>
            </w:r>
            <w:proofErr w:type="spellEnd"/>
            <w:r>
              <w:t xml:space="preserve"> líftíma hennar þannig að:</w:t>
            </w:r>
          </w:p>
          <w:p w14:paraId="47F805C8" w14:textId="77777777" w:rsidR="002B5657" w:rsidRDefault="002B5657" w:rsidP="00A9140F">
            <w:pPr>
              <w:pStyle w:val="AnnexNumberedText"/>
              <w:spacing w:after="2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1029FC1" w14:textId="77777777" w:rsidR="002B5657" w:rsidRDefault="002B5657"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6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2B5657" w14:paraId="7942A1FD" w14:textId="77777777" w:rsidTr="00A9140F">
        <w:trPr>
          <w:trHeight w:val="360"/>
        </w:trPr>
        <w:tc>
          <w:tcPr>
            <w:tcW w:w="8740" w:type="dxa"/>
            <w:gridSpan w:val="2"/>
            <w:tcBorders>
              <w:top w:val="nil"/>
            </w:tcBorders>
            <w:tcMar>
              <w:top w:w="100" w:type="dxa"/>
              <w:left w:w="0" w:type="dxa"/>
              <w:bottom w:w="100" w:type="dxa"/>
              <w:right w:w="60" w:type="dxa"/>
            </w:tcMar>
          </w:tcPr>
          <w:p w14:paraId="109C000F" w14:textId="77777777" w:rsidR="002B5657" w:rsidRDefault="002B5657" w:rsidP="00A9140F">
            <w:pPr>
              <w:pStyle w:val="AnnexNumberedText"/>
              <w:pageBreakBefore/>
              <w:tabs>
                <w:tab w:val="left" w:pos="508"/>
              </w:tabs>
              <w:spacing w:after="2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470"/>
            </w:r>
            <w:r>
              <w:t>), vísindalegt ritrýnt útgefið efni og líkön með opnum aðgangi (</w:t>
            </w:r>
            <w:r>
              <w:rPr>
                <w:rStyle w:val="Tilvsunneanmlsgrein"/>
                <w:sz w:val="18"/>
                <w:szCs w:val="18"/>
              </w:rPr>
              <w:footnoteReference w:id="471"/>
            </w:r>
            <w:r>
              <w:t>) eða gegn greiðslu.</w:t>
            </w:r>
          </w:p>
          <w:p w14:paraId="4BBAFAF1" w14:textId="77777777" w:rsidR="002B5657" w:rsidRDefault="002B5657" w:rsidP="00A9140F">
            <w:pPr>
              <w:pStyle w:val="AnnexNumberedText"/>
              <w:tabs>
                <w:tab w:val="left" w:pos="508"/>
              </w:tabs>
              <w:spacing w:after="200"/>
              <w:ind w:left="0" w:firstLine="0"/>
              <w:rPr>
                <w:szCs w:val="18"/>
              </w:rPr>
            </w:pPr>
            <w:r>
              <w:t>4.</w:t>
            </w:r>
            <w:r>
              <w:tab/>
              <w:t>Aðlögunarlausnir sem komið er í framkvæmd:</w:t>
            </w:r>
          </w:p>
          <w:p w14:paraId="5F39D1EE" w14:textId="77777777" w:rsidR="002B5657" w:rsidRDefault="002B5657"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48378442" w14:textId="77777777" w:rsidR="002B5657" w:rsidRDefault="002B5657" w:rsidP="00A9140F">
            <w:pPr>
              <w:pStyle w:val="AnnexNumberedText"/>
              <w:spacing w:after="200"/>
              <w:rPr>
                <w:szCs w:val="18"/>
              </w:rPr>
            </w:pPr>
            <w:r>
              <w:t>b)</w:t>
            </w:r>
            <w:r>
              <w:tab/>
              <w:t>eru með náttúrumiðaðar lausnir (</w:t>
            </w:r>
            <w:r>
              <w:rPr>
                <w:rStyle w:val="Tilvsunneanmlsgrein"/>
                <w:sz w:val="18"/>
                <w:szCs w:val="18"/>
              </w:rPr>
              <w:footnoteReference w:id="472"/>
            </w:r>
            <w:r>
              <w:t>) í forgangi eða treyst er á bláa eða græna innviði (</w:t>
            </w:r>
            <w:r>
              <w:rPr>
                <w:rStyle w:val="Tilvsunneanmlsgrein"/>
                <w:sz w:val="18"/>
                <w:szCs w:val="18"/>
              </w:rPr>
              <w:footnoteReference w:id="473"/>
            </w:r>
            <w:r>
              <w:t>) að því marki sem mögulegt er,</w:t>
            </w:r>
          </w:p>
          <w:p w14:paraId="14D9A7EE" w14:textId="77777777" w:rsidR="002B5657" w:rsidRDefault="002B5657" w:rsidP="00A9140F">
            <w:pPr>
              <w:pStyle w:val="AnnexNumberedText"/>
              <w:spacing w:after="200"/>
            </w:pPr>
            <w:r>
              <w:t>c)</w:t>
            </w:r>
            <w:r>
              <w:tab/>
              <w:t>eru í samræmi við staðbundnar, geirabundnar, svæðisbundnar eða landsbundnar aðlögunarstefnur og -áætlanir,</w:t>
            </w:r>
          </w:p>
          <w:p w14:paraId="7D0C01AA" w14:textId="77777777" w:rsidR="002B5657" w:rsidRDefault="002B5657"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0A8DD67" w14:textId="77777777" w:rsidR="002B5657" w:rsidRDefault="002B5657" w:rsidP="00A9140F">
            <w:pPr>
              <w:pStyle w:val="AnnexNumberedText"/>
              <w:spacing w:after="20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1014F9BD" w14:textId="77777777" w:rsidTr="00A9140F">
        <w:trPr>
          <w:trHeight w:val="240"/>
        </w:trPr>
        <w:tc>
          <w:tcPr>
            <w:tcW w:w="8740" w:type="dxa"/>
            <w:gridSpan w:val="2"/>
            <w:tcMar>
              <w:top w:w="100" w:type="dxa"/>
              <w:left w:w="0" w:type="dxa"/>
              <w:bottom w:w="100" w:type="dxa"/>
              <w:right w:w="60" w:type="dxa"/>
            </w:tcMar>
          </w:tcPr>
          <w:p w14:paraId="0C4D647E" w14:textId="77777777" w:rsidR="002B5657" w:rsidRDefault="002B5657" w:rsidP="00A9140F">
            <w:pPr>
              <w:pStyle w:val="AnnexTableCellLeft"/>
            </w:pPr>
            <w:r>
              <w:t>Ekki valda umtalsverðu tjóni</w:t>
            </w:r>
          </w:p>
        </w:tc>
      </w:tr>
      <w:tr w:rsidR="002B5657" w14:paraId="1224B676" w14:textId="77777777" w:rsidTr="00A9140F">
        <w:trPr>
          <w:trHeight w:val="360"/>
        </w:trPr>
        <w:tc>
          <w:tcPr>
            <w:tcW w:w="2860" w:type="dxa"/>
            <w:tcMar>
              <w:top w:w="100" w:type="dxa"/>
              <w:left w:w="0" w:type="dxa"/>
              <w:bottom w:w="100" w:type="dxa"/>
              <w:right w:w="60" w:type="dxa"/>
            </w:tcMar>
          </w:tcPr>
          <w:p w14:paraId="0FBD7179" w14:textId="77777777" w:rsidR="002B5657" w:rsidRDefault="002B5657" w:rsidP="00A9140F">
            <w:pPr>
              <w:pStyle w:val="AnnexNumberedText"/>
            </w:pPr>
            <w:r>
              <w:t>1)</w:t>
            </w:r>
            <w:r>
              <w:tab/>
              <w:t>Mildun loftslagsbreytinga</w:t>
            </w:r>
          </w:p>
        </w:tc>
        <w:tc>
          <w:tcPr>
            <w:tcW w:w="5880" w:type="dxa"/>
            <w:tcMar>
              <w:top w:w="100" w:type="dxa"/>
              <w:left w:w="40" w:type="dxa"/>
              <w:bottom w:w="100" w:type="dxa"/>
              <w:right w:w="0" w:type="dxa"/>
            </w:tcMar>
          </w:tcPr>
          <w:p w14:paraId="71B6F011" w14:textId="77777777" w:rsidR="002B5657" w:rsidRDefault="002B5657" w:rsidP="00A9140F">
            <w:pPr>
              <w:pStyle w:val="AnnexTableCellLeft"/>
            </w:pPr>
            <w:r>
              <w:t>Á ekki við</w:t>
            </w:r>
          </w:p>
        </w:tc>
      </w:tr>
      <w:tr w:rsidR="002B5657" w14:paraId="2F76F17A" w14:textId="77777777" w:rsidTr="00A9140F">
        <w:trPr>
          <w:trHeight w:val="360"/>
        </w:trPr>
        <w:tc>
          <w:tcPr>
            <w:tcW w:w="2860" w:type="dxa"/>
            <w:tcMar>
              <w:top w:w="100" w:type="dxa"/>
              <w:left w:w="0" w:type="dxa"/>
              <w:bottom w:w="100" w:type="dxa"/>
              <w:right w:w="60" w:type="dxa"/>
            </w:tcMar>
          </w:tcPr>
          <w:p w14:paraId="25789121" w14:textId="77777777" w:rsidR="002B5657" w:rsidRDefault="002B5657" w:rsidP="00A9140F">
            <w:pPr>
              <w:pStyle w:val="AnnexNumberedText"/>
            </w:pPr>
            <w:r>
              <w:t>3)</w:t>
            </w:r>
            <w:r>
              <w:tab/>
              <w:t>Sjálfbær notkun og verndun vatns- og sjávarauðlinda</w:t>
            </w:r>
          </w:p>
        </w:tc>
        <w:tc>
          <w:tcPr>
            <w:tcW w:w="5880" w:type="dxa"/>
            <w:tcMar>
              <w:top w:w="100" w:type="dxa"/>
              <w:left w:w="40" w:type="dxa"/>
              <w:bottom w:w="100" w:type="dxa"/>
              <w:right w:w="0" w:type="dxa"/>
            </w:tcMar>
          </w:tcPr>
          <w:p w14:paraId="1D6464AD" w14:textId="77777777" w:rsidR="002B5657" w:rsidRDefault="002B5657" w:rsidP="00A9140F">
            <w:pPr>
              <w:pStyle w:val="AnnexTableCellLeft"/>
            </w:pPr>
            <w:r>
              <w:t>Starfsemin er í samræmi við viðmiðanirnar sem settar eru fram í viðbæti B við þennan viðauka.</w:t>
            </w:r>
          </w:p>
        </w:tc>
      </w:tr>
      <w:tr w:rsidR="002B5657" w14:paraId="2E72D341" w14:textId="77777777" w:rsidTr="00A9140F">
        <w:trPr>
          <w:trHeight w:val="360"/>
        </w:trPr>
        <w:tc>
          <w:tcPr>
            <w:tcW w:w="2860" w:type="dxa"/>
            <w:tcMar>
              <w:top w:w="100" w:type="dxa"/>
              <w:left w:w="0" w:type="dxa"/>
              <w:bottom w:w="100" w:type="dxa"/>
              <w:right w:w="60" w:type="dxa"/>
            </w:tcMar>
          </w:tcPr>
          <w:p w14:paraId="011AAABE" w14:textId="77777777" w:rsidR="002B5657" w:rsidRDefault="002B5657" w:rsidP="00A9140F">
            <w:pPr>
              <w:pStyle w:val="AnnexNumberedText"/>
            </w:pPr>
            <w:r>
              <w:t>4)</w:t>
            </w:r>
            <w:r>
              <w:tab/>
              <w:t>Umskipti yfir í hringrásarhagkerfi</w:t>
            </w:r>
          </w:p>
        </w:tc>
        <w:tc>
          <w:tcPr>
            <w:tcW w:w="5880" w:type="dxa"/>
            <w:tcMar>
              <w:top w:w="100" w:type="dxa"/>
              <w:left w:w="40" w:type="dxa"/>
              <w:bottom w:w="100" w:type="dxa"/>
              <w:right w:w="0" w:type="dxa"/>
            </w:tcMar>
          </w:tcPr>
          <w:p w14:paraId="7714F132" w14:textId="77777777" w:rsidR="002B5657" w:rsidRDefault="002B5657" w:rsidP="00A9140F">
            <w:pPr>
              <w:pStyle w:val="AnnexTableCellLeft"/>
              <w:spacing w:after="240"/>
            </w:pPr>
            <w:r>
              <w:t>Í starfseminni er lagt mat á tiltækileika og, ef það er gerlegt, tekin upp tækni sem styður:</w:t>
            </w:r>
          </w:p>
          <w:p w14:paraId="7975F184" w14:textId="77777777" w:rsidR="002B5657" w:rsidRDefault="002B5657" w:rsidP="00A9140F">
            <w:pPr>
              <w:pStyle w:val="AnnexNumberedText"/>
            </w:pPr>
            <w:r>
              <w:t>a)</w:t>
            </w:r>
            <w:r>
              <w:tab/>
              <w:t>endurnotkun og notkun á endurunnum hráefnum og endurnotuðum íhlutum í framleiðslu á vörum,</w:t>
            </w:r>
          </w:p>
          <w:p w14:paraId="3CBF3EFA" w14:textId="77777777" w:rsidR="002B5657" w:rsidRDefault="002B5657" w:rsidP="00A9140F">
            <w:pPr>
              <w:pStyle w:val="AnnexNumberedText"/>
            </w:pPr>
            <w:r>
              <w:t>b)</w:t>
            </w:r>
            <w:r>
              <w:tab/>
              <w:t xml:space="preserve">hönnun m.t.t. mikillar endingar, </w:t>
            </w:r>
            <w:proofErr w:type="spellStart"/>
            <w:r>
              <w:t>endurvinnanleika</w:t>
            </w:r>
            <w:proofErr w:type="spellEnd"/>
            <w:r>
              <w:t xml:space="preserve">, einfaldrar </w:t>
            </w:r>
            <w:proofErr w:type="spellStart"/>
            <w:r>
              <w:t>sundurhlutunar</w:t>
            </w:r>
            <w:proofErr w:type="spellEnd"/>
            <w:r>
              <w:t xml:space="preserve"> og samþættingar framleiddra vara,</w:t>
            </w:r>
          </w:p>
          <w:p w14:paraId="0FDFD790" w14:textId="77777777" w:rsidR="002B5657" w:rsidRDefault="002B5657" w:rsidP="00A9140F">
            <w:pPr>
              <w:pStyle w:val="AnnexNumberedText"/>
            </w:pPr>
            <w:r>
              <w:t>c)</w:t>
            </w:r>
            <w:r>
              <w:tab/>
              <w:t xml:space="preserve">úrgangsstjórnun þar sem endurvinnsla er sett í forgang fram yfir </w:t>
            </w:r>
            <w:proofErr w:type="spellStart"/>
            <w:r>
              <w:t>förgun</w:t>
            </w:r>
            <w:proofErr w:type="spellEnd"/>
            <w:r>
              <w:t xml:space="preserve"> í framleiðsluferlinu,</w:t>
            </w:r>
          </w:p>
          <w:p w14:paraId="195D6184" w14:textId="77777777" w:rsidR="002B5657" w:rsidRDefault="002B5657" w:rsidP="00A9140F">
            <w:pPr>
              <w:pStyle w:val="AnnexNumberedText"/>
            </w:pPr>
            <w:r>
              <w:t>d)</w:t>
            </w:r>
            <w:r>
              <w:tab/>
              <w:t>upplýsingar um og rekjanleika efna sem gefa tilefni til áhyggna á öllum vistferli framleiddra vara.</w:t>
            </w:r>
          </w:p>
        </w:tc>
      </w:tr>
      <w:tr w:rsidR="002B5657" w14:paraId="25E2EE57" w14:textId="77777777" w:rsidTr="00A9140F">
        <w:trPr>
          <w:trHeight w:val="360"/>
        </w:trPr>
        <w:tc>
          <w:tcPr>
            <w:tcW w:w="2860" w:type="dxa"/>
            <w:tcMar>
              <w:top w:w="100" w:type="dxa"/>
              <w:left w:w="0" w:type="dxa"/>
              <w:bottom w:w="100" w:type="dxa"/>
              <w:right w:w="60" w:type="dxa"/>
            </w:tcMar>
          </w:tcPr>
          <w:p w14:paraId="061F3757" w14:textId="77777777" w:rsidR="002B5657" w:rsidRDefault="002B5657" w:rsidP="00A9140F">
            <w:pPr>
              <w:pStyle w:val="AnnexNumberedText"/>
            </w:pPr>
            <w:r>
              <w:t>5)</w:t>
            </w:r>
            <w:r>
              <w:tab/>
              <w:t>Mengunarvarnir og eftirlit með mengun</w:t>
            </w:r>
          </w:p>
        </w:tc>
        <w:tc>
          <w:tcPr>
            <w:tcW w:w="5880" w:type="dxa"/>
            <w:tcMar>
              <w:top w:w="100" w:type="dxa"/>
              <w:left w:w="40" w:type="dxa"/>
              <w:bottom w:w="100" w:type="dxa"/>
              <w:right w:w="0" w:type="dxa"/>
            </w:tcMar>
          </w:tcPr>
          <w:p w14:paraId="769AA618" w14:textId="77777777" w:rsidR="002B5657" w:rsidRDefault="002B5657" w:rsidP="00A9140F">
            <w:pPr>
              <w:pStyle w:val="AnnexTableCellLeft"/>
            </w:pPr>
            <w:r>
              <w:t>Starfsemin er í samræmi við viðmiðanirnar sem settar eru fram í viðbæti C við þennan viðauka.</w:t>
            </w:r>
          </w:p>
        </w:tc>
      </w:tr>
      <w:tr w:rsidR="002B5657" w14:paraId="5F97F610" w14:textId="77777777" w:rsidTr="00A9140F">
        <w:trPr>
          <w:trHeight w:val="360"/>
        </w:trPr>
        <w:tc>
          <w:tcPr>
            <w:tcW w:w="2860" w:type="dxa"/>
            <w:tcMar>
              <w:top w:w="100" w:type="dxa"/>
              <w:left w:w="0" w:type="dxa"/>
              <w:bottom w:w="100" w:type="dxa"/>
              <w:right w:w="60" w:type="dxa"/>
            </w:tcMar>
          </w:tcPr>
          <w:p w14:paraId="0DDE50C2" w14:textId="77777777" w:rsidR="002B5657" w:rsidRDefault="002B5657" w:rsidP="00A9140F">
            <w:pPr>
              <w:pStyle w:val="AnnexNumberedText"/>
            </w:pPr>
            <w:r>
              <w:lastRenderedPageBreak/>
              <w:t>6)</w:t>
            </w:r>
            <w:r>
              <w:tab/>
              <w:t>Vernd og endurheimt líffræðilegrar fjölbreytni og vistkerfa</w:t>
            </w:r>
          </w:p>
        </w:tc>
        <w:tc>
          <w:tcPr>
            <w:tcW w:w="5880" w:type="dxa"/>
            <w:tcMar>
              <w:top w:w="100" w:type="dxa"/>
              <w:left w:w="40" w:type="dxa"/>
              <w:bottom w:w="100" w:type="dxa"/>
              <w:right w:w="0" w:type="dxa"/>
            </w:tcMar>
          </w:tcPr>
          <w:p w14:paraId="24CCCB17" w14:textId="77777777" w:rsidR="002B5657" w:rsidRDefault="002B5657" w:rsidP="00A9140F">
            <w:pPr>
              <w:pStyle w:val="AnnexTableCellLeft"/>
            </w:pPr>
            <w:r>
              <w:t>Starfsemin er í samræmi við viðmiðanirnar sem settar eru fram í viðbæti D við þennan viðauka.</w:t>
            </w:r>
          </w:p>
        </w:tc>
      </w:tr>
    </w:tbl>
    <w:p w14:paraId="63C7B34E" w14:textId="77777777" w:rsidR="002B5657" w:rsidRDefault="002B5657" w:rsidP="002B5657">
      <w:pPr>
        <w:pStyle w:val="AnnexNumberedText"/>
        <w:ind w:left="500" w:hanging="500"/>
      </w:pPr>
      <w:r>
        <w:t>3.7.</w:t>
      </w:r>
      <w:r>
        <w:rPr>
          <w:b/>
        </w:rPr>
        <w:tab/>
        <w:t xml:space="preserve">Framleiðsla á </w:t>
      </w:r>
      <w:proofErr w:type="spellStart"/>
      <w:r>
        <w:rPr>
          <w:b/>
        </w:rPr>
        <w:t>sementi</w:t>
      </w:r>
      <w:proofErr w:type="spellEnd"/>
    </w:p>
    <w:p w14:paraId="7F369BF6" w14:textId="77777777" w:rsidR="002B5657" w:rsidRDefault="002B5657" w:rsidP="002B5657">
      <w:pPr>
        <w:pStyle w:val="AnnexGrSeq3"/>
        <w:ind w:left="500"/>
        <w:jc w:val="both"/>
      </w:pPr>
      <w:r>
        <w:rPr>
          <w:i/>
        </w:rPr>
        <w:t>Lýsing á starfseminni</w:t>
      </w:r>
    </w:p>
    <w:p w14:paraId="6D0A2A65" w14:textId="77777777" w:rsidR="002B5657" w:rsidRDefault="002B5657" w:rsidP="002B5657">
      <w:pPr>
        <w:pStyle w:val="AnnexNormal"/>
        <w:ind w:left="500"/>
      </w:pPr>
      <w:r>
        <w:t xml:space="preserve">Framleiðsla á </w:t>
      </w:r>
      <w:proofErr w:type="spellStart"/>
      <w:r>
        <w:t>sementsgjalli</w:t>
      </w:r>
      <w:proofErr w:type="spellEnd"/>
      <w:r>
        <w:t xml:space="preserve">, </w:t>
      </w:r>
      <w:proofErr w:type="spellStart"/>
      <w:r>
        <w:t>sementi</w:t>
      </w:r>
      <w:proofErr w:type="spellEnd"/>
      <w:r>
        <w:t xml:space="preserve"> eða annars konar bindiefni.</w:t>
      </w:r>
    </w:p>
    <w:p w14:paraId="3A09529D" w14:textId="77777777" w:rsidR="002B5657" w:rsidRDefault="002B5657" w:rsidP="002B5657">
      <w:pPr>
        <w:pStyle w:val="AnnexNormal"/>
        <w:ind w:left="500"/>
      </w:pPr>
      <w:r>
        <w:t>Atvinnustarfsemin í þessum flokki gæti tengst kóða atvinnugreinaflokkunar Evrópusambandsins C23.51 í samræmi við atvinnugreinaflokkunina sem komið var á með reglugerð (EB) nr. 1893/2006.</w:t>
      </w:r>
    </w:p>
    <w:p w14:paraId="12B3167F" w14:textId="77777777" w:rsidR="002B5657" w:rsidRDefault="002B5657" w:rsidP="002B5657">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60"/>
        <w:gridCol w:w="5880"/>
      </w:tblGrid>
      <w:tr w:rsidR="002B5657" w14:paraId="7D78147C"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B72C838" w14:textId="77777777" w:rsidR="002B5657" w:rsidRDefault="002B5657" w:rsidP="00A9140F">
            <w:pPr>
              <w:pStyle w:val="AnnexTableCellLeft"/>
            </w:pPr>
            <w:r>
              <w:t>Verulegt framlag til aðlögunar að loftslagsbreytingum</w:t>
            </w:r>
          </w:p>
        </w:tc>
      </w:tr>
      <w:tr w:rsidR="002B5657" w14:paraId="58116931" w14:textId="77777777" w:rsidTr="00A9140F">
        <w:trPr>
          <w:trHeight w:val="360"/>
        </w:trPr>
        <w:tc>
          <w:tcPr>
            <w:tcW w:w="8740" w:type="dxa"/>
            <w:gridSpan w:val="2"/>
            <w:tcBorders>
              <w:bottom w:val="nil"/>
            </w:tcBorders>
            <w:tcMar>
              <w:top w:w="100" w:type="dxa"/>
              <w:left w:w="0" w:type="dxa"/>
              <w:bottom w:w="100" w:type="dxa"/>
              <w:right w:w="60" w:type="dxa"/>
            </w:tcMar>
          </w:tcPr>
          <w:p w14:paraId="02B6DAE7" w14:textId="77777777" w:rsidR="002B5657" w:rsidRDefault="002B5657" w:rsidP="00A9140F">
            <w:pPr>
              <w:pStyle w:val="AnnexNumberedText"/>
              <w:tabs>
                <w:tab w:val="left" w:pos="508"/>
              </w:tabs>
              <w:spacing w:after="1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3BF87B27" w14:textId="77777777" w:rsidR="002B5657" w:rsidRDefault="002B5657" w:rsidP="00A9140F">
            <w:pPr>
              <w:pStyle w:val="AnnexNumberedText"/>
              <w:tabs>
                <w:tab w:val="left" w:pos="508"/>
              </w:tabs>
              <w:spacing w:after="1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6995997" w14:textId="77777777" w:rsidR="002B5657" w:rsidRDefault="002B5657" w:rsidP="00A9140F">
            <w:pPr>
              <w:pStyle w:val="AnnexNumberedText"/>
              <w:spacing w:after="140"/>
            </w:pPr>
            <w:r>
              <w:t>a)</w:t>
            </w:r>
            <w:r>
              <w:tab/>
              <w:t>skimun á starfseminni til að greina hvaða efnislega loftslagsáhætta úr skránni í viðbæti A við þennan viðauka getur haft áhrif á árangurinn af atvinnustarfseminni á væntum líftíma hennar,</w:t>
            </w:r>
          </w:p>
          <w:p w14:paraId="040EDF35" w14:textId="77777777" w:rsidR="002B5657" w:rsidRDefault="002B5657" w:rsidP="00A9140F">
            <w:pPr>
              <w:pStyle w:val="AnnexNumberedText"/>
              <w:spacing w:after="14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4995B691" w14:textId="77777777" w:rsidR="002B5657" w:rsidRDefault="002B5657" w:rsidP="00A9140F">
            <w:pPr>
              <w:pStyle w:val="AnnexNumberedText"/>
              <w:spacing w:after="140"/>
            </w:pPr>
            <w:r>
              <w:t>c)</w:t>
            </w:r>
            <w:r>
              <w:tab/>
              <w:t>mat á aðlögunarlausnum sem geta dregið úr greindri efnislegri loftslagsáhættu.</w:t>
            </w:r>
          </w:p>
          <w:p w14:paraId="0F89A901" w14:textId="77777777" w:rsidR="002B5657" w:rsidRDefault="002B5657" w:rsidP="00A9140F">
            <w:pPr>
              <w:pStyle w:val="AnnexTableCellLeft"/>
              <w:spacing w:after="140"/>
            </w:pPr>
            <w:r>
              <w:t xml:space="preserve">Loftslagsáhættu- og veikleikamatið er í réttu hlutfalli við umfang starfseminnar og </w:t>
            </w:r>
            <w:proofErr w:type="spellStart"/>
            <w:r>
              <w:t>væntan</w:t>
            </w:r>
            <w:proofErr w:type="spellEnd"/>
            <w:r>
              <w:t xml:space="preserve"> líftíma hennar þannig að:</w:t>
            </w:r>
          </w:p>
          <w:p w14:paraId="2F25340D" w14:textId="77777777" w:rsidR="002B5657" w:rsidRDefault="002B5657" w:rsidP="00A9140F">
            <w:pPr>
              <w:pStyle w:val="AnnexNumberedText"/>
              <w:spacing w:after="14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14AA267" w14:textId="77777777" w:rsidR="002B5657" w:rsidRDefault="002B5657" w:rsidP="00A9140F">
            <w:pPr>
              <w:pStyle w:val="AnnexNumberedText"/>
              <w:spacing w:after="14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7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7450E6D" w14:textId="77777777" w:rsidR="002B5657" w:rsidRDefault="002B5657" w:rsidP="00A9140F">
            <w:pPr>
              <w:pStyle w:val="AnnexNumberedText"/>
              <w:tabs>
                <w:tab w:val="left" w:pos="508"/>
              </w:tabs>
              <w:spacing w:after="14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75"/>
            </w:r>
            <w:r>
              <w:t>), vísindalegt ritrýnt útgefið efni og líkön með opnum aðgangi (</w:t>
            </w:r>
            <w:r>
              <w:rPr>
                <w:rStyle w:val="Tilvsunneanmlsgrein"/>
                <w:sz w:val="18"/>
              </w:rPr>
              <w:footnoteReference w:id="476"/>
            </w:r>
            <w:r>
              <w:t>) eða gegn greiðslu.</w:t>
            </w:r>
          </w:p>
          <w:p w14:paraId="5F475099" w14:textId="77777777" w:rsidR="002B5657" w:rsidRDefault="002B5657" w:rsidP="00A9140F">
            <w:pPr>
              <w:pStyle w:val="AnnexNumberedText"/>
              <w:tabs>
                <w:tab w:val="left" w:pos="508"/>
              </w:tabs>
              <w:spacing w:after="140"/>
              <w:ind w:left="0" w:firstLine="0"/>
            </w:pPr>
            <w:r>
              <w:t>4.</w:t>
            </w:r>
            <w:r>
              <w:tab/>
              <w:t>Aðlögunarlausnir sem komið er í framkvæmd:</w:t>
            </w:r>
          </w:p>
          <w:p w14:paraId="4DEBF817" w14:textId="77777777" w:rsidR="002B5657" w:rsidRDefault="002B5657" w:rsidP="00A9140F">
            <w:pPr>
              <w:pStyle w:val="AnnexNumberedText"/>
              <w:spacing w:after="140"/>
            </w:pPr>
            <w:r>
              <w:t>a)</w:t>
            </w:r>
            <w:r>
              <w:tab/>
              <w:t>hafa ekki neikvæð áhrif á viðleitni til aðlögunar eða viðnám annars fólks, náttúru, menningararfleifðar, eigna og annarrar atvinnustarfsemi gegn efnislegri loftslagsáhættu,</w:t>
            </w:r>
          </w:p>
          <w:p w14:paraId="70996384" w14:textId="77777777" w:rsidR="002B5657" w:rsidRDefault="002B5657" w:rsidP="00A9140F">
            <w:pPr>
              <w:pStyle w:val="AnnexNumberedText"/>
              <w:spacing w:after="140"/>
            </w:pPr>
            <w:r>
              <w:t>b)</w:t>
            </w:r>
            <w:r>
              <w:tab/>
              <w:t>eru með náttúrumiðaðar lausnir (</w:t>
            </w:r>
            <w:r>
              <w:rPr>
                <w:rStyle w:val="Tilvsunneanmlsgrein"/>
                <w:sz w:val="18"/>
              </w:rPr>
              <w:footnoteReference w:id="477"/>
            </w:r>
            <w:r>
              <w:t>) í forgangi eða treyst er á bláa eða græna innviði (</w:t>
            </w:r>
            <w:r>
              <w:rPr>
                <w:rStyle w:val="Tilvsunneanmlsgrein"/>
                <w:sz w:val="18"/>
              </w:rPr>
              <w:footnoteReference w:id="478"/>
            </w:r>
            <w:r>
              <w:t>) að því marki sem mögulegt er,</w:t>
            </w:r>
          </w:p>
          <w:p w14:paraId="478BC500" w14:textId="77777777" w:rsidR="002B5657" w:rsidRDefault="002B5657" w:rsidP="00A9140F">
            <w:pPr>
              <w:pStyle w:val="AnnexNumberedText"/>
            </w:pPr>
            <w:r>
              <w:lastRenderedPageBreak/>
              <w:t>c)</w:t>
            </w:r>
            <w:r>
              <w:tab/>
              <w:t>eru í samræmi við staðbundnar, geirabundnar, svæðisbundnar eða landsbundnar aðlögunarstefnur og -áætlanir,</w:t>
            </w:r>
          </w:p>
        </w:tc>
      </w:tr>
      <w:tr w:rsidR="002B5657" w14:paraId="04A26558" w14:textId="77777777" w:rsidTr="00A9140F">
        <w:trPr>
          <w:trHeight w:val="360"/>
        </w:trPr>
        <w:tc>
          <w:tcPr>
            <w:tcW w:w="8740" w:type="dxa"/>
            <w:gridSpan w:val="2"/>
            <w:tcBorders>
              <w:top w:val="nil"/>
            </w:tcBorders>
            <w:tcMar>
              <w:top w:w="100" w:type="dxa"/>
              <w:left w:w="0" w:type="dxa"/>
              <w:bottom w:w="100" w:type="dxa"/>
              <w:right w:w="60" w:type="dxa"/>
            </w:tcMar>
          </w:tcPr>
          <w:p w14:paraId="2EFD4EA0" w14:textId="77777777" w:rsidR="002B5657" w:rsidRDefault="002B5657" w:rsidP="00A9140F">
            <w:pPr>
              <w:pStyle w:val="AnnexNumberedText"/>
              <w:pageBreakBefore/>
              <w:spacing w:after="200"/>
            </w:pPr>
            <w:r>
              <w:lastRenderedPageBreak/>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6BE1116" w14:textId="77777777" w:rsidR="002B5657" w:rsidRDefault="002B5657" w:rsidP="00A9140F">
            <w:pPr>
              <w:pStyle w:val="AnnexNumberedText"/>
              <w:pageBreakBefore/>
              <w:spacing w:after="20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2C4A021C" w14:textId="77777777" w:rsidTr="00A9140F">
        <w:trPr>
          <w:trHeight w:val="240"/>
        </w:trPr>
        <w:tc>
          <w:tcPr>
            <w:tcW w:w="8740" w:type="dxa"/>
            <w:gridSpan w:val="2"/>
            <w:tcMar>
              <w:top w:w="100" w:type="dxa"/>
              <w:left w:w="0" w:type="dxa"/>
              <w:bottom w:w="100" w:type="dxa"/>
              <w:right w:w="60" w:type="dxa"/>
            </w:tcMar>
          </w:tcPr>
          <w:p w14:paraId="6516871B" w14:textId="77777777" w:rsidR="002B5657" w:rsidRDefault="002B5657" w:rsidP="00A9140F">
            <w:pPr>
              <w:pStyle w:val="AnnexTableCellLeft"/>
            </w:pPr>
            <w:r>
              <w:t>Ekki valda umtalsverðu tjóni</w:t>
            </w:r>
          </w:p>
        </w:tc>
      </w:tr>
      <w:tr w:rsidR="002B5657" w14:paraId="46708BE3" w14:textId="77777777" w:rsidTr="00A9140F">
        <w:trPr>
          <w:trHeight w:val="360"/>
        </w:trPr>
        <w:tc>
          <w:tcPr>
            <w:tcW w:w="2860" w:type="dxa"/>
            <w:tcMar>
              <w:top w:w="100" w:type="dxa"/>
              <w:left w:w="0" w:type="dxa"/>
              <w:bottom w:w="100" w:type="dxa"/>
              <w:right w:w="60" w:type="dxa"/>
            </w:tcMar>
          </w:tcPr>
          <w:p w14:paraId="2E3FA3D8" w14:textId="77777777" w:rsidR="002B5657" w:rsidRDefault="002B5657" w:rsidP="00A9140F">
            <w:pPr>
              <w:pStyle w:val="AnnexNumberedText"/>
            </w:pPr>
            <w:r>
              <w:t>1)</w:t>
            </w:r>
            <w:r>
              <w:tab/>
              <w:t>Mildun loftslagsbreytinga</w:t>
            </w:r>
          </w:p>
        </w:tc>
        <w:tc>
          <w:tcPr>
            <w:tcW w:w="5880" w:type="dxa"/>
            <w:tcMar>
              <w:top w:w="100" w:type="dxa"/>
              <w:left w:w="40" w:type="dxa"/>
              <w:bottom w:w="100" w:type="dxa"/>
              <w:right w:w="0" w:type="dxa"/>
            </w:tcMar>
          </w:tcPr>
          <w:p w14:paraId="5A7D6DBC" w14:textId="77777777" w:rsidR="002B5657" w:rsidRDefault="002B5657" w:rsidP="00A9140F">
            <w:pPr>
              <w:pStyle w:val="AnnexTableCellLeft"/>
              <w:spacing w:after="200"/>
            </w:pPr>
            <w:r>
              <w:t>Losun gróðurhúsalofttegunda (</w:t>
            </w:r>
            <w:r>
              <w:rPr>
                <w:rStyle w:val="Tilvsunneanmlsgrein"/>
                <w:sz w:val="18"/>
              </w:rPr>
              <w:footnoteReference w:id="479"/>
            </w:r>
            <w:r>
              <w:t xml:space="preserve">) frá </w:t>
            </w:r>
            <w:proofErr w:type="spellStart"/>
            <w:r>
              <w:t>sementsframleiðsluferlum</w:t>
            </w:r>
            <w:proofErr w:type="spellEnd"/>
            <w:r>
              <w:t xml:space="preserve"> er:</w:t>
            </w:r>
          </w:p>
          <w:p w14:paraId="18E79E17" w14:textId="77777777" w:rsidR="002B5657" w:rsidRDefault="002B5657" w:rsidP="00A9140F">
            <w:pPr>
              <w:pStyle w:val="AnnexNumberedText"/>
              <w:spacing w:after="200"/>
            </w:pPr>
            <w:r>
              <w:t>a)</w:t>
            </w:r>
            <w:r>
              <w:tab/>
              <w:t xml:space="preserve">fyrir grátt </w:t>
            </w:r>
            <w:proofErr w:type="spellStart"/>
            <w:r>
              <w:t>sementsgjall</w:t>
            </w:r>
            <w:proofErr w:type="spellEnd"/>
            <w:r>
              <w:t>, minni en 0,816 (</w:t>
            </w:r>
            <w:r>
              <w:rPr>
                <w:rStyle w:val="Tilvsunneanmlsgrein"/>
                <w:sz w:val="18"/>
              </w:rPr>
              <w:footnoteReference w:id="480"/>
            </w:r>
            <w:r>
              <w:t>) tCO</w:t>
            </w:r>
            <w:r>
              <w:rPr>
                <w:vertAlign w:val="subscript"/>
              </w:rPr>
              <w:t>2</w:t>
            </w:r>
            <w:r>
              <w:t xml:space="preserve">e á hvert tonn af gráu </w:t>
            </w:r>
            <w:proofErr w:type="spellStart"/>
            <w:r>
              <w:t>sementsgjalli</w:t>
            </w:r>
            <w:proofErr w:type="spellEnd"/>
            <w:r>
              <w:t>,</w:t>
            </w:r>
          </w:p>
          <w:p w14:paraId="08A89533" w14:textId="77777777" w:rsidR="002B5657" w:rsidRDefault="002B5657" w:rsidP="00A9140F">
            <w:pPr>
              <w:pStyle w:val="AnnexNumberedText"/>
              <w:spacing w:after="200"/>
            </w:pPr>
            <w:r>
              <w:t>b)</w:t>
            </w:r>
            <w:r>
              <w:tab/>
              <w:t xml:space="preserve">fyrir </w:t>
            </w:r>
            <w:proofErr w:type="spellStart"/>
            <w:r>
              <w:t>sement</w:t>
            </w:r>
            <w:proofErr w:type="spellEnd"/>
            <w:r>
              <w:t xml:space="preserve"> úr gráu </w:t>
            </w:r>
            <w:proofErr w:type="spellStart"/>
            <w:r>
              <w:t>gjalli</w:t>
            </w:r>
            <w:proofErr w:type="spellEnd"/>
            <w:r>
              <w:t xml:space="preserve"> eða annars konar </w:t>
            </w:r>
            <w:proofErr w:type="spellStart"/>
            <w:r>
              <w:t>vatnshverft</w:t>
            </w:r>
            <w:proofErr w:type="spellEnd"/>
            <w:r>
              <w:t xml:space="preserve"> bindiefni, minni en 0,530 (</w:t>
            </w:r>
            <w:r>
              <w:rPr>
                <w:rStyle w:val="Tilvsunneanmlsgrein"/>
                <w:sz w:val="18"/>
              </w:rPr>
              <w:footnoteReference w:id="481"/>
            </w:r>
            <w:r>
              <w:t>) tCO</w:t>
            </w:r>
            <w:r>
              <w:rPr>
                <w:vertAlign w:val="subscript"/>
              </w:rPr>
              <w:t>2</w:t>
            </w:r>
            <w:r>
              <w:t xml:space="preserve">e á hvert tonn af </w:t>
            </w:r>
            <w:proofErr w:type="spellStart"/>
            <w:r>
              <w:t>sementi</w:t>
            </w:r>
            <w:proofErr w:type="spellEnd"/>
            <w:r>
              <w:t xml:space="preserve"> eða annars konar bindiefni sem er framleitt.</w:t>
            </w:r>
          </w:p>
        </w:tc>
      </w:tr>
      <w:tr w:rsidR="002B5657" w14:paraId="1BDA53B8" w14:textId="77777777" w:rsidTr="00A9140F">
        <w:trPr>
          <w:trHeight w:val="360"/>
        </w:trPr>
        <w:tc>
          <w:tcPr>
            <w:tcW w:w="2860" w:type="dxa"/>
            <w:tcMar>
              <w:top w:w="100" w:type="dxa"/>
              <w:left w:w="0" w:type="dxa"/>
              <w:bottom w:w="100" w:type="dxa"/>
              <w:right w:w="60" w:type="dxa"/>
            </w:tcMar>
          </w:tcPr>
          <w:p w14:paraId="66B34C71" w14:textId="77777777" w:rsidR="002B5657" w:rsidRDefault="002B5657" w:rsidP="00A9140F">
            <w:pPr>
              <w:pStyle w:val="AnnexNumberedText"/>
            </w:pPr>
            <w:r>
              <w:t>3)</w:t>
            </w:r>
            <w:r>
              <w:tab/>
              <w:t>Sjálfbær notkun og verndun vatns- og sjávarauðlinda</w:t>
            </w:r>
          </w:p>
        </w:tc>
        <w:tc>
          <w:tcPr>
            <w:tcW w:w="5880" w:type="dxa"/>
            <w:tcMar>
              <w:top w:w="100" w:type="dxa"/>
              <w:left w:w="40" w:type="dxa"/>
              <w:bottom w:w="100" w:type="dxa"/>
              <w:right w:w="0" w:type="dxa"/>
            </w:tcMar>
          </w:tcPr>
          <w:p w14:paraId="0788881C" w14:textId="77777777" w:rsidR="002B5657" w:rsidRDefault="002B5657" w:rsidP="00A9140F">
            <w:pPr>
              <w:pStyle w:val="AnnexTableCellLeft"/>
              <w:spacing w:after="240"/>
            </w:pPr>
            <w:r>
              <w:t>Starfsemin er í samræmi við viðmiðanirnar sem settar eru fram í viðbæti B við þennan viðauka.</w:t>
            </w:r>
          </w:p>
        </w:tc>
      </w:tr>
      <w:tr w:rsidR="002B5657" w14:paraId="4111D044" w14:textId="77777777" w:rsidTr="00A9140F">
        <w:trPr>
          <w:trHeight w:val="360"/>
        </w:trPr>
        <w:tc>
          <w:tcPr>
            <w:tcW w:w="2860" w:type="dxa"/>
            <w:tcMar>
              <w:top w:w="100" w:type="dxa"/>
              <w:left w:w="0" w:type="dxa"/>
              <w:bottom w:w="100" w:type="dxa"/>
              <w:right w:w="60" w:type="dxa"/>
            </w:tcMar>
          </w:tcPr>
          <w:p w14:paraId="21CA8081" w14:textId="77777777" w:rsidR="002B5657" w:rsidRDefault="002B5657" w:rsidP="00A9140F">
            <w:pPr>
              <w:pStyle w:val="AnnexNumberedText"/>
            </w:pPr>
            <w:r>
              <w:t>4)</w:t>
            </w:r>
            <w:r>
              <w:tab/>
              <w:t>Umskipti yfir í hringrásarhagkerfi</w:t>
            </w:r>
          </w:p>
        </w:tc>
        <w:tc>
          <w:tcPr>
            <w:tcW w:w="5880" w:type="dxa"/>
            <w:tcMar>
              <w:top w:w="100" w:type="dxa"/>
              <w:left w:w="40" w:type="dxa"/>
              <w:bottom w:w="100" w:type="dxa"/>
              <w:right w:w="0" w:type="dxa"/>
            </w:tcMar>
          </w:tcPr>
          <w:p w14:paraId="70B0935A" w14:textId="77777777" w:rsidR="002B5657" w:rsidRDefault="002B5657" w:rsidP="00A9140F">
            <w:pPr>
              <w:pStyle w:val="AnnexTableCellLeft"/>
              <w:spacing w:after="240"/>
            </w:pPr>
            <w:r>
              <w:t>Á ekki við</w:t>
            </w:r>
          </w:p>
        </w:tc>
      </w:tr>
      <w:tr w:rsidR="002B5657" w14:paraId="789536D0" w14:textId="77777777" w:rsidTr="00A9140F">
        <w:trPr>
          <w:trHeight w:val="360"/>
        </w:trPr>
        <w:tc>
          <w:tcPr>
            <w:tcW w:w="2860" w:type="dxa"/>
            <w:tcMar>
              <w:top w:w="100" w:type="dxa"/>
              <w:left w:w="0" w:type="dxa"/>
              <w:bottom w:w="100" w:type="dxa"/>
              <w:right w:w="60" w:type="dxa"/>
            </w:tcMar>
          </w:tcPr>
          <w:p w14:paraId="636FA22F" w14:textId="77777777" w:rsidR="002B5657" w:rsidRDefault="002B5657" w:rsidP="00A9140F">
            <w:pPr>
              <w:pStyle w:val="AnnexNumberedText"/>
            </w:pPr>
            <w:r>
              <w:t>5)</w:t>
            </w:r>
            <w:r>
              <w:tab/>
              <w:t>Mengunarvarnir og eftirlit með mengun</w:t>
            </w:r>
          </w:p>
        </w:tc>
        <w:tc>
          <w:tcPr>
            <w:tcW w:w="5880" w:type="dxa"/>
            <w:tcMar>
              <w:top w:w="100" w:type="dxa"/>
              <w:left w:w="40" w:type="dxa"/>
              <w:bottom w:w="100" w:type="dxa"/>
              <w:right w:w="0" w:type="dxa"/>
            </w:tcMar>
          </w:tcPr>
          <w:p w14:paraId="4CADCAFA" w14:textId="77777777" w:rsidR="002B5657" w:rsidRDefault="002B5657" w:rsidP="00A9140F">
            <w:pPr>
              <w:pStyle w:val="AnnexTableCellLeft"/>
              <w:spacing w:after="200"/>
            </w:pPr>
            <w:r>
              <w:t>Starfsemin er í samræmi við viðmiðanirnar sem settar eru fram í viðbæti C við þennan viðauka.</w:t>
            </w:r>
          </w:p>
          <w:p w14:paraId="4250B3DC" w14:textId="77777777" w:rsidR="002B5657" w:rsidRDefault="002B5657" w:rsidP="00A9140F">
            <w:pPr>
              <w:pStyle w:val="AnnexTableCellLeft"/>
              <w:spacing w:after="200"/>
            </w:pPr>
            <w:r>
              <w:t xml:space="preserve">Losun fellur innan við eða undir svið losunargilda sem tengjast bestu, aðgengilegu tækni samkvæmt nýjustu viðeigandi niðurstöðum um bestu aðgengilegu tækni, þ.m.t. niðurstöður um bestu aðgengilegu tækni fyrir framleiðslu á </w:t>
            </w:r>
            <w:proofErr w:type="spellStart"/>
            <w:r>
              <w:t>sementi</w:t>
            </w:r>
            <w:proofErr w:type="spellEnd"/>
            <w:r>
              <w:t xml:space="preserve">, </w:t>
            </w:r>
            <w:proofErr w:type="spellStart"/>
            <w:r>
              <w:t>kalki</w:t>
            </w:r>
            <w:proofErr w:type="spellEnd"/>
            <w:r>
              <w:t xml:space="preserve"> og </w:t>
            </w:r>
            <w:proofErr w:type="spellStart"/>
            <w:r>
              <w:t>magnesíumoxíði</w:t>
            </w:r>
            <w:proofErr w:type="spellEnd"/>
            <w:r>
              <w:t xml:space="preserve"> (</w:t>
            </w:r>
            <w:r>
              <w:rPr>
                <w:rStyle w:val="Tilvsunneanmlsgrein"/>
                <w:sz w:val="18"/>
              </w:rPr>
              <w:footnoteReference w:id="482"/>
            </w:r>
            <w:r>
              <w:t>). Engin umtalsverð yfirfærsluáhrif milli umhverfishólfa eiga sér stað (</w:t>
            </w:r>
            <w:r>
              <w:rPr>
                <w:rStyle w:val="Tilvsunneanmlsgrein"/>
                <w:sz w:val="18"/>
              </w:rPr>
              <w:footnoteReference w:id="483"/>
            </w:r>
            <w:r>
              <w:t>).</w:t>
            </w:r>
          </w:p>
          <w:p w14:paraId="2D10CD00" w14:textId="77777777" w:rsidR="002B5657" w:rsidRDefault="002B5657" w:rsidP="00A9140F">
            <w:pPr>
              <w:pStyle w:val="AnnexTableCellLeft"/>
              <w:spacing w:after="200"/>
            </w:pPr>
            <w:r>
              <w:t xml:space="preserve">Að því er varðar framleiðslu á </w:t>
            </w:r>
            <w:proofErr w:type="spellStart"/>
            <w:r>
              <w:t>sementi</w:t>
            </w:r>
            <w:proofErr w:type="spellEnd"/>
            <w:r>
              <w:t xml:space="preserve"> þar sem hættulegur úrgangur er notaður sem óhefðbundið eldsneyti eru ráðstafanir til staðar til að tryggja örugga meðhöndlun á úrgangi.</w:t>
            </w:r>
          </w:p>
        </w:tc>
      </w:tr>
      <w:tr w:rsidR="002B5657" w14:paraId="6387A5F6" w14:textId="77777777" w:rsidTr="00A9140F">
        <w:trPr>
          <w:trHeight w:val="360"/>
        </w:trPr>
        <w:tc>
          <w:tcPr>
            <w:tcW w:w="2860" w:type="dxa"/>
            <w:tcMar>
              <w:top w:w="100" w:type="dxa"/>
              <w:left w:w="0" w:type="dxa"/>
              <w:bottom w:w="100" w:type="dxa"/>
              <w:right w:w="60" w:type="dxa"/>
            </w:tcMar>
          </w:tcPr>
          <w:p w14:paraId="0F64C426" w14:textId="77777777" w:rsidR="002B5657" w:rsidRDefault="002B5657" w:rsidP="00A9140F">
            <w:pPr>
              <w:pStyle w:val="AnnexNumberedText"/>
              <w:ind w:left="293" w:hanging="293"/>
            </w:pPr>
            <w:r>
              <w:t>6)</w:t>
            </w:r>
            <w:r>
              <w:tab/>
              <w:t>Vernd og endurheimt líffræðilegrar fjölbreytni og vistkerfa</w:t>
            </w:r>
          </w:p>
        </w:tc>
        <w:tc>
          <w:tcPr>
            <w:tcW w:w="5880" w:type="dxa"/>
            <w:tcMar>
              <w:top w:w="100" w:type="dxa"/>
              <w:left w:w="40" w:type="dxa"/>
              <w:bottom w:w="100" w:type="dxa"/>
              <w:right w:w="0" w:type="dxa"/>
            </w:tcMar>
          </w:tcPr>
          <w:p w14:paraId="27C59F94" w14:textId="77777777" w:rsidR="002B5657" w:rsidRDefault="002B5657" w:rsidP="00A9140F">
            <w:pPr>
              <w:pStyle w:val="AnnexTableCellLeft"/>
            </w:pPr>
            <w:r>
              <w:t>Starfsemin er í samræmi við viðmiðanirnar sem settar eru fram í viðbæti D við þennan viðauka.</w:t>
            </w:r>
          </w:p>
        </w:tc>
      </w:tr>
    </w:tbl>
    <w:p w14:paraId="65F6CD38" w14:textId="77777777" w:rsidR="002B5657" w:rsidRDefault="002B5657" w:rsidP="002B5657">
      <w:pPr>
        <w:pStyle w:val="AnnexNumberedText"/>
        <w:spacing w:before="200" w:after="160"/>
        <w:ind w:left="504" w:hanging="504"/>
      </w:pPr>
      <w:r>
        <w:t>3.8.</w:t>
      </w:r>
      <w:r>
        <w:rPr>
          <w:b/>
        </w:rPr>
        <w:tab/>
        <w:t>Framleiðsla á áli</w:t>
      </w:r>
    </w:p>
    <w:p w14:paraId="482BCB0A" w14:textId="77777777" w:rsidR="002B5657" w:rsidRDefault="002B5657" w:rsidP="002B5657">
      <w:pPr>
        <w:pStyle w:val="AnnexGrSeq3"/>
        <w:spacing w:after="160"/>
        <w:ind w:left="500"/>
        <w:jc w:val="both"/>
      </w:pPr>
      <w:r>
        <w:rPr>
          <w:i/>
        </w:rPr>
        <w:lastRenderedPageBreak/>
        <w:t>Lýsing á starfseminni</w:t>
      </w:r>
    </w:p>
    <w:p w14:paraId="53191579" w14:textId="77777777" w:rsidR="002B5657" w:rsidRDefault="002B5657" w:rsidP="002B5657">
      <w:pPr>
        <w:pStyle w:val="AnnexNormal"/>
        <w:spacing w:after="160"/>
        <w:ind w:left="500"/>
      </w:pPr>
      <w:r>
        <w:t>Framleiðsla á áli með vinnslu á hrááli (</w:t>
      </w:r>
      <w:proofErr w:type="spellStart"/>
      <w:r>
        <w:t>báxíti</w:t>
      </w:r>
      <w:proofErr w:type="spellEnd"/>
      <w:r>
        <w:t>) eða endurvinnslu á endurunnu áli.</w:t>
      </w:r>
    </w:p>
    <w:p w14:paraId="0459B0CE" w14:textId="77777777" w:rsidR="002B5657" w:rsidRDefault="002B5657" w:rsidP="002B5657">
      <w:pPr>
        <w:pStyle w:val="AnnexNormal"/>
        <w:spacing w:after="0"/>
        <w:ind w:left="500"/>
      </w:pPr>
      <w:r>
        <w:t>Atvinnustarfsemin í þessum flokki gæti tengst kóðum atvinnugreinaflokkunar Evrópusambandsins C24.42 og C24.53 í samræmi við atvinnugreinaflokkunina sem komið var á með reglugerð (EB) nr. 1893/2006.</w:t>
      </w:r>
      <w:r>
        <w:br w:type="page"/>
      </w:r>
    </w:p>
    <w:p w14:paraId="7FE08D3F" w14:textId="77777777" w:rsidR="002B5657" w:rsidRDefault="002B5657" w:rsidP="002B5657">
      <w:pPr>
        <w:pStyle w:val="AnnexGrSeq3"/>
        <w:ind w:left="500"/>
        <w:jc w:val="both"/>
      </w:pPr>
      <w:r>
        <w:rPr>
          <w:i/>
        </w:rPr>
        <w:lastRenderedPageBreak/>
        <w:t>Tæknileg matsviðmið</w:t>
      </w:r>
    </w:p>
    <w:tbl>
      <w:tblPr>
        <w:tblStyle w:val="EFTATable"/>
        <w:tblW w:w="8752" w:type="dxa"/>
        <w:tblInd w:w="500" w:type="dxa"/>
        <w:tblLayout w:type="fixed"/>
        <w:tblLook w:val="04A0" w:firstRow="1" w:lastRow="0" w:firstColumn="1" w:lastColumn="0" w:noHBand="0" w:noVBand="1"/>
      </w:tblPr>
      <w:tblGrid>
        <w:gridCol w:w="2956"/>
        <w:gridCol w:w="5796"/>
      </w:tblGrid>
      <w:tr w:rsidR="002B5657" w14:paraId="2B2851BA" w14:textId="77777777" w:rsidTr="00A9140F">
        <w:trPr>
          <w:trHeight w:val="240"/>
        </w:trPr>
        <w:tc>
          <w:tcPr>
            <w:tcW w:w="8752" w:type="dxa"/>
            <w:gridSpan w:val="2"/>
            <w:tcBorders>
              <w:bottom w:val="single" w:sz="4" w:space="0" w:color="auto"/>
            </w:tcBorders>
            <w:tcMar>
              <w:top w:w="100" w:type="dxa"/>
              <w:left w:w="0" w:type="dxa"/>
              <w:bottom w:w="100" w:type="dxa"/>
              <w:right w:w="60" w:type="dxa"/>
            </w:tcMar>
          </w:tcPr>
          <w:p w14:paraId="6497B5DA" w14:textId="77777777" w:rsidR="002B5657" w:rsidRDefault="002B5657" w:rsidP="00A9140F">
            <w:pPr>
              <w:pStyle w:val="AnnexTableCellLeft"/>
            </w:pPr>
            <w:r>
              <w:t>Verulegt framlag til aðlögunar að loftslagsbreytingum</w:t>
            </w:r>
          </w:p>
        </w:tc>
      </w:tr>
      <w:tr w:rsidR="002B5657" w14:paraId="3954F3DB" w14:textId="77777777" w:rsidTr="00A9140F">
        <w:trPr>
          <w:trHeight w:val="360"/>
        </w:trPr>
        <w:tc>
          <w:tcPr>
            <w:tcW w:w="8752" w:type="dxa"/>
            <w:gridSpan w:val="2"/>
            <w:tcBorders>
              <w:bottom w:val="nil"/>
            </w:tcBorders>
            <w:tcMar>
              <w:top w:w="100" w:type="dxa"/>
              <w:left w:w="0" w:type="dxa"/>
              <w:bottom w:w="100" w:type="dxa"/>
              <w:right w:w="60" w:type="dxa"/>
            </w:tcMar>
          </w:tcPr>
          <w:p w14:paraId="44D404C4" w14:textId="77777777" w:rsidR="002B5657" w:rsidRDefault="002B5657" w:rsidP="00A9140F">
            <w:pPr>
              <w:pStyle w:val="AnnexNumberedText"/>
              <w:tabs>
                <w:tab w:val="left" w:pos="508"/>
              </w:tabs>
              <w:spacing w:after="1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14C7B5E3" w14:textId="77777777" w:rsidR="002B5657" w:rsidRDefault="002B5657" w:rsidP="00A9140F">
            <w:pPr>
              <w:pStyle w:val="AnnexNumberedText"/>
              <w:tabs>
                <w:tab w:val="left" w:pos="508"/>
              </w:tabs>
              <w:spacing w:after="1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C998168" w14:textId="77777777" w:rsidR="002B5657" w:rsidRDefault="002B5657" w:rsidP="00A9140F">
            <w:pPr>
              <w:pStyle w:val="AnnexNumberedText"/>
              <w:spacing w:after="180"/>
            </w:pPr>
            <w:r>
              <w:t>a)</w:t>
            </w:r>
            <w:r>
              <w:tab/>
              <w:t>skimun á starfseminni til að greina hvaða efnislega loftslagsáhætta úr skránni í viðbæti A við þennan viðauka getur haft áhrif á árangurinn af atvinnustarfseminni á væntum líftíma hennar,</w:t>
            </w:r>
          </w:p>
          <w:p w14:paraId="3806589C" w14:textId="77777777" w:rsidR="002B5657" w:rsidRDefault="002B5657" w:rsidP="00A9140F">
            <w:pPr>
              <w:pStyle w:val="AnnexNumberedText"/>
              <w:spacing w:after="1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66822CBD" w14:textId="77777777" w:rsidR="002B5657" w:rsidRDefault="002B5657" w:rsidP="00A9140F">
            <w:pPr>
              <w:pStyle w:val="AnnexNumberedText"/>
              <w:spacing w:after="180"/>
            </w:pPr>
            <w:r>
              <w:t>c)</w:t>
            </w:r>
            <w:r>
              <w:tab/>
              <w:t>mat á aðlögunarlausnum sem geta dregið úr greindri efnislegri loftslagsáhættu.</w:t>
            </w:r>
          </w:p>
          <w:p w14:paraId="2AFB4739" w14:textId="77777777" w:rsidR="002B5657" w:rsidRDefault="002B5657" w:rsidP="00A9140F">
            <w:pPr>
              <w:pStyle w:val="AnnexTableCellLeft"/>
              <w:spacing w:after="180"/>
            </w:pPr>
            <w:r>
              <w:t xml:space="preserve">Loftslagsáhættu- og veikleikamatið er í réttu hlutfalli við umfang starfseminnar og </w:t>
            </w:r>
            <w:proofErr w:type="spellStart"/>
            <w:r>
              <w:t>væntan</w:t>
            </w:r>
            <w:proofErr w:type="spellEnd"/>
            <w:r>
              <w:t xml:space="preserve"> líftíma hennar þannig að:</w:t>
            </w:r>
          </w:p>
          <w:p w14:paraId="04E81327" w14:textId="77777777" w:rsidR="002B5657" w:rsidRDefault="002B5657" w:rsidP="00A9140F">
            <w:pPr>
              <w:pStyle w:val="AnnexNumberedText"/>
              <w:spacing w:after="1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633708B" w14:textId="77777777" w:rsidR="002B5657" w:rsidRDefault="002B5657" w:rsidP="00A9140F">
            <w:pPr>
              <w:pStyle w:val="AnnexNumberedText"/>
              <w:spacing w:after="18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8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E71793D" w14:textId="77777777" w:rsidR="002B5657" w:rsidRDefault="002B5657" w:rsidP="00A9140F">
            <w:pPr>
              <w:pStyle w:val="AnnexNumberedText"/>
              <w:tabs>
                <w:tab w:val="left" w:pos="508"/>
              </w:tabs>
              <w:spacing w:after="18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85"/>
            </w:r>
            <w:r>
              <w:t>), vísindalegt ritrýnt útgefið efni og líkön með opnum aðgangi (</w:t>
            </w:r>
            <w:r>
              <w:rPr>
                <w:rStyle w:val="Tilvsunneanmlsgrein"/>
                <w:sz w:val="18"/>
              </w:rPr>
              <w:footnoteReference w:id="486"/>
            </w:r>
            <w:r>
              <w:t>) eða gegn greiðslu.</w:t>
            </w:r>
          </w:p>
          <w:p w14:paraId="3244CC7D" w14:textId="77777777" w:rsidR="002B5657" w:rsidRDefault="002B5657" w:rsidP="00A9140F">
            <w:pPr>
              <w:pStyle w:val="AnnexNumberedText"/>
              <w:tabs>
                <w:tab w:val="left" w:pos="508"/>
              </w:tabs>
              <w:spacing w:after="180"/>
              <w:ind w:left="0" w:firstLine="0"/>
            </w:pPr>
            <w:r>
              <w:t>4.</w:t>
            </w:r>
            <w:r>
              <w:tab/>
              <w:t>Aðlögunarlausnir sem komið er í framkvæmd:</w:t>
            </w:r>
          </w:p>
          <w:p w14:paraId="14659B26" w14:textId="77777777" w:rsidR="002B5657" w:rsidRDefault="002B5657" w:rsidP="00A9140F">
            <w:pPr>
              <w:pStyle w:val="AnnexNumberedText"/>
              <w:spacing w:after="180"/>
            </w:pPr>
            <w:r>
              <w:t>a)</w:t>
            </w:r>
            <w:r>
              <w:tab/>
              <w:t>hafa ekki neikvæð áhrif á viðleitni til aðlögunar eða viðnám annars fólks, náttúru, menningararfleifðar, eigna og annarrar atvinnustarfsemi gegn efnislegri loftslagsáhættu,</w:t>
            </w:r>
          </w:p>
          <w:p w14:paraId="18FDBC13" w14:textId="77777777" w:rsidR="002B5657" w:rsidRDefault="002B5657" w:rsidP="00A9140F">
            <w:pPr>
              <w:pStyle w:val="AnnexNumberedText"/>
              <w:spacing w:after="180"/>
            </w:pPr>
            <w:r>
              <w:t>b)</w:t>
            </w:r>
            <w:r>
              <w:tab/>
              <w:t>eru með náttúrumiðaðar lausnir (</w:t>
            </w:r>
            <w:r>
              <w:rPr>
                <w:rStyle w:val="Tilvsunneanmlsgrein"/>
                <w:sz w:val="18"/>
              </w:rPr>
              <w:footnoteReference w:id="487"/>
            </w:r>
            <w:r>
              <w:t>) í forgangi eða treyst er á bláa eða græna innviði (</w:t>
            </w:r>
            <w:r>
              <w:rPr>
                <w:rStyle w:val="Tilvsunneanmlsgrein"/>
                <w:sz w:val="18"/>
              </w:rPr>
              <w:footnoteReference w:id="488"/>
            </w:r>
            <w:r>
              <w:t>) að því marki sem mögulegt er,</w:t>
            </w:r>
          </w:p>
          <w:p w14:paraId="5924F261" w14:textId="77777777" w:rsidR="002B5657" w:rsidRDefault="002B5657" w:rsidP="00A9140F">
            <w:pPr>
              <w:pStyle w:val="AnnexNumberedText"/>
              <w:spacing w:after="180"/>
            </w:pPr>
            <w:r>
              <w:t>c)</w:t>
            </w:r>
            <w:r>
              <w:tab/>
              <w:t>eru í samræmi við staðbundnar, geirabundnar, svæðisbundnar eða landsbundnar aðlögunarstefnur og -áætlanir,</w:t>
            </w:r>
          </w:p>
          <w:p w14:paraId="79734608" w14:textId="77777777" w:rsidR="002B5657" w:rsidRDefault="002B5657" w:rsidP="00A9140F">
            <w:pPr>
              <w:pStyle w:val="AnnexNumberedText"/>
              <w:spacing w:after="18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6529618" w14:textId="77777777" w:rsidR="002B5657" w:rsidRDefault="002B5657" w:rsidP="00A9140F">
            <w:pPr>
              <w:pStyle w:val="AnnexNumberedText"/>
              <w:spacing w:after="0"/>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2B5657" w14:paraId="48EA3357" w14:textId="77777777" w:rsidTr="00A9140F">
        <w:trPr>
          <w:trHeight w:val="240"/>
        </w:trPr>
        <w:tc>
          <w:tcPr>
            <w:tcW w:w="8752" w:type="dxa"/>
            <w:gridSpan w:val="2"/>
            <w:tcBorders>
              <w:top w:val="single" w:sz="4" w:space="0" w:color="auto"/>
            </w:tcBorders>
            <w:tcMar>
              <w:top w:w="100" w:type="dxa"/>
              <w:left w:w="0" w:type="dxa"/>
              <w:bottom w:w="100" w:type="dxa"/>
              <w:right w:w="60" w:type="dxa"/>
            </w:tcMar>
          </w:tcPr>
          <w:p w14:paraId="0B1BE9EF" w14:textId="77777777" w:rsidR="002B5657" w:rsidRDefault="002B5657" w:rsidP="00A9140F">
            <w:pPr>
              <w:pStyle w:val="AnnexTableCellLeft"/>
              <w:pageBreakBefore/>
            </w:pPr>
            <w:r>
              <w:lastRenderedPageBreak/>
              <w:t>Ekki valda umtalsverðu tjóni</w:t>
            </w:r>
          </w:p>
        </w:tc>
      </w:tr>
      <w:tr w:rsidR="002B5657" w14:paraId="4EABE0F0" w14:textId="77777777" w:rsidTr="00A9140F">
        <w:trPr>
          <w:trHeight w:val="360"/>
        </w:trPr>
        <w:tc>
          <w:tcPr>
            <w:tcW w:w="2956" w:type="dxa"/>
            <w:tcMar>
              <w:top w:w="100" w:type="dxa"/>
              <w:left w:w="0" w:type="dxa"/>
              <w:bottom w:w="100" w:type="dxa"/>
              <w:right w:w="60" w:type="dxa"/>
            </w:tcMar>
          </w:tcPr>
          <w:p w14:paraId="5BC06F50" w14:textId="77777777" w:rsidR="002B5657" w:rsidRDefault="002B5657" w:rsidP="00A9140F">
            <w:pPr>
              <w:pStyle w:val="AnnexNumberedText"/>
              <w:ind w:left="293" w:hanging="293"/>
            </w:pPr>
            <w:r>
              <w:t>1)</w:t>
            </w:r>
            <w:r>
              <w:tab/>
              <w:t>Mildun loftslagsbreytinga</w:t>
            </w:r>
          </w:p>
        </w:tc>
        <w:tc>
          <w:tcPr>
            <w:tcW w:w="5796" w:type="dxa"/>
            <w:tcMar>
              <w:top w:w="100" w:type="dxa"/>
              <w:left w:w="40" w:type="dxa"/>
              <w:bottom w:w="100" w:type="dxa"/>
              <w:right w:w="0" w:type="dxa"/>
            </w:tcMar>
          </w:tcPr>
          <w:p w14:paraId="007B40AF" w14:textId="77777777" w:rsidR="002B5657" w:rsidRDefault="002B5657" w:rsidP="00A9140F">
            <w:pPr>
              <w:pStyle w:val="AnnexTableCellLeft"/>
              <w:spacing w:after="160"/>
            </w:pPr>
            <w:r>
              <w:t>Með starfseminni er framleitt eitt af eftirfarandi:</w:t>
            </w:r>
          </w:p>
          <w:p w14:paraId="136D2D47" w14:textId="77777777" w:rsidR="002B5657" w:rsidRDefault="002B5657" w:rsidP="00A9140F">
            <w:pPr>
              <w:pStyle w:val="AnnexNumberedText"/>
            </w:pPr>
            <w:r>
              <w:t>a)</w:t>
            </w:r>
            <w:r>
              <w:tab/>
              <w:t>hráál þar sem atvinnustarfsemin er í samræmi við tvær af eftirfarandi viðmiðunum fram til 2025 og við allar eftirfarandi viðmiðanir (</w:t>
            </w:r>
            <w:r>
              <w:rPr>
                <w:rStyle w:val="Tilvsunneanmlsgrein"/>
                <w:sz w:val="18"/>
              </w:rPr>
              <w:footnoteReference w:id="489"/>
            </w:r>
            <w:r>
              <w:t>) eftir 2025:</w:t>
            </w:r>
          </w:p>
          <w:p w14:paraId="5E6EBD02" w14:textId="77777777" w:rsidR="002B5657" w:rsidRDefault="002B5657" w:rsidP="00A9140F">
            <w:pPr>
              <w:pStyle w:val="AnnexNumberedText"/>
              <w:ind w:left="600"/>
            </w:pPr>
            <w:r>
              <w:t>i.</w:t>
            </w:r>
            <w:r>
              <w:tab/>
              <w:t>losun gróðurhúsalofttegunda fer ekki yfir 1,604 (</w:t>
            </w:r>
            <w:r>
              <w:rPr>
                <w:rStyle w:val="Tilvsunneanmlsgrein"/>
                <w:sz w:val="18"/>
              </w:rPr>
              <w:footnoteReference w:id="490"/>
            </w:r>
            <w:r>
              <w:t>) tCO</w:t>
            </w:r>
            <w:r>
              <w:rPr>
                <w:vertAlign w:val="subscript"/>
              </w:rPr>
              <w:t>2</w:t>
            </w:r>
            <w:r>
              <w:t>e á hvert tonn af áli sem framleitt er (</w:t>
            </w:r>
            <w:r>
              <w:rPr>
                <w:rStyle w:val="Tilvsunneanmlsgrein"/>
                <w:sz w:val="18"/>
              </w:rPr>
              <w:footnoteReference w:id="491"/>
            </w:r>
            <w:r>
              <w:t>):</w:t>
            </w:r>
          </w:p>
          <w:p w14:paraId="5955CE41" w14:textId="77777777" w:rsidR="002B5657" w:rsidRDefault="002B5657" w:rsidP="00A9140F">
            <w:pPr>
              <w:pStyle w:val="AnnexNumberedText"/>
              <w:ind w:left="600"/>
            </w:pPr>
            <w:r>
              <w:t>ii.</w:t>
            </w:r>
            <w:r>
              <w:tab/>
              <w:t>óbein losun gróðurhúsalofttegunda fer ekki yfir 270 g CO</w:t>
            </w:r>
            <w:r>
              <w:rPr>
                <w:vertAlign w:val="subscript"/>
              </w:rPr>
              <w:t>2</w:t>
            </w:r>
            <w:r>
              <w:t>e/kWh,</w:t>
            </w:r>
          </w:p>
          <w:p w14:paraId="4BD67193" w14:textId="77777777" w:rsidR="002B5657" w:rsidRDefault="002B5657" w:rsidP="00A9140F">
            <w:pPr>
              <w:pStyle w:val="AnnexNumberedText"/>
              <w:ind w:left="600"/>
            </w:pPr>
            <w:r>
              <w:t>iii.</w:t>
            </w:r>
            <w:r>
              <w:tab/>
              <w:t xml:space="preserve">raforkunotkun í framleiðsluferlinu fer ekki yfir 15,5 </w:t>
            </w:r>
            <w:proofErr w:type="spellStart"/>
            <w:r>
              <w:t>MWh</w:t>
            </w:r>
            <w:proofErr w:type="spellEnd"/>
            <w:r>
              <w:t>/t Al,</w:t>
            </w:r>
          </w:p>
          <w:p w14:paraId="7CCFE5B2" w14:textId="77777777" w:rsidR="002B5657" w:rsidRDefault="002B5657" w:rsidP="00A9140F">
            <w:pPr>
              <w:pStyle w:val="AnnexNumberedText"/>
            </w:pPr>
            <w:r>
              <w:t>b)</w:t>
            </w:r>
            <w:r>
              <w:tab/>
              <w:t>endurunnið ál.</w:t>
            </w:r>
          </w:p>
        </w:tc>
      </w:tr>
      <w:tr w:rsidR="002B5657" w14:paraId="7210D93F" w14:textId="77777777" w:rsidTr="00A9140F">
        <w:trPr>
          <w:trHeight w:val="360"/>
        </w:trPr>
        <w:tc>
          <w:tcPr>
            <w:tcW w:w="2956" w:type="dxa"/>
            <w:tcMar>
              <w:top w:w="100" w:type="dxa"/>
              <w:left w:w="0" w:type="dxa"/>
              <w:bottom w:w="100" w:type="dxa"/>
              <w:right w:w="60" w:type="dxa"/>
            </w:tcMar>
          </w:tcPr>
          <w:p w14:paraId="32E13A05" w14:textId="77777777" w:rsidR="002B5657" w:rsidRDefault="002B5657" w:rsidP="00A9140F">
            <w:pPr>
              <w:pStyle w:val="AnnexNumberedText"/>
              <w:ind w:left="293" w:hanging="293"/>
            </w:pPr>
            <w:r>
              <w:t>3)</w:t>
            </w:r>
            <w:r>
              <w:tab/>
              <w:t>Sjálfbær notkun og verndun vatns- og sjávarauðlinda</w:t>
            </w:r>
          </w:p>
        </w:tc>
        <w:tc>
          <w:tcPr>
            <w:tcW w:w="5796" w:type="dxa"/>
            <w:tcMar>
              <w:top w:w="100" w:type="dxa"/>
              <w:left w:w="40" w:type="dxa"/>
              <w:bottom w:w="100" w:type="dxa"/>
              <w:right w:w="0" w:type="dxa"/>
            </w:tcMar>
          </w:tcPr>
          <w:p w14:paraId="057B9BB3" w14:textId="77777777" w:rsidR="002B5657" w:rsidRDefault="002B5657" w:rsidP="00A9140F">
            <w:pPr>
              <w:pStyle w:val="AnnexTableCellLeft"/>
            </w:pPr>
            <w:r>
              <w:t>Starfsemin er í samræmi við viðmiðanirnar sem settar eru fram í viðbæti B við þennan viðauka.</w:t>
            </w:r>
          </w:p>
        </w:tc>
      </w:tr>
      <w:tr w:rsidR="002B5657" w14:paraId="6188D942" w14:textId="77777777" w:rsidTr="00A9140F">
        <w:trPr>
          <w:trHeight w:val="360"/>
        </w:trPr>
        <w:tc>
          <w:tcPr>
            <w:tcW w:w="2956" w:type="dxa"/>
            <w:tcMar>
              <w:top w:w="100" w:type="dxa"/>
              <w:left w:w="0" w:type="dxa"/>
              <w:bottom w:w="100" w:type="dxa"/>
              <w:right w:w="60" w:type="dxa"/>
            </w:tcMar>
          </w:tcPr>
          <w:p w14:paraId="0B6B4113" w14:textId="77777777" w:rsidR="002B5657" w:rsidRDefault="002B5657" w:rsidP="00A9140F">
            <w:pPr>
              <w:pStyle w:val="AnnexNumberedText"/>
              <w:ind w:left="293" w:hanging="293"/>
            </w:pPr>
            <w:r>
              <w:t>4)</w:t>
            </w:r>
            <w:r>
              <w:tab/>
              <w:t>Umskipti yfir í hringrásarhagkerfi</w:t>
            </w:r>
          </w:p>
        </w:tc>
        <w:tc>
          <w:tcPr>
            <w:tcW w:w="5796" w:type="dxa"/>
            <w:tcMar>
              <w:top w:w="100" w:type="dxa"/>
              <w:left w:w="40" w:type="dxa"/>
              <w:bottom w:w="100" w:type="dxa"/>
              <w:right w:w="0" w:type="dxa"/>
            </w:tcMar>
          </w:tcPr>
          <w:p w14:paraId="2CAC1AB2" w14:textId="77777777" w:rsidR="002B5657" w:rsidRDefault="002B5657" w:rsidP="00A9140F">
            <w:pPr>
              <w:pStyle w:val="AnnexTableCellLeft"/>
            </w:pPr>
            <w:r>
              <w:t>Á ekki við</w:t>
            </w:r>
          </w:p>
        </w:tc>
      </w:tr>
      <w:tr w:rsidR="002B5657" w14:paraId="79C44624" w14:textId="77777777" w:rsidTr="00A9140F">
        <w:trPr>
          <w:trHeight w:val="360"/>
        </w:trPr>
        <w:tc>
          <w:tcPr>
            <w:tcW w:w="2956" w:type="dxa"/>
            <w:tcMar>
              <w:top w:w="100" w:type="dxa"/>
              <w:left w:w="0" w:type="dxa"/>
              <w:bottom w:w="100" w:type="dxa"/>
              <w:right w:w="60" w:type="dxa"/>
            </w:tcMar>
          </w:tcPr>
          <w:p w14:paraId="5A039476" w14:textId="77777777" w:rsidR="002B5657" w:rsidRDefault="002B5657" w:rsidP="00A9140F">
            <w:pPr>
              <w:pStyle w:val="AnnexNumberedText"/>
              <w:ind w:left="293" w:hanging="293"/>
            </w:pPr>
            <w:r>
              <w:t>5)</w:t>
            </w:r>
            <w:r>
              <w:tab/>
              <w:t>Mengunarvarnir og eftirlit með mengun</w:t>
            </w:r>
          </w:p>
        </w:tc>
        <w:tc>
          <w:tcPr>
            <w:tcW w:w="5796" w:type="dxa"/>
            <w:tcMar>
              <w:top w:w="100" w:type="dxa"/>
              <w:left w:w="40" w:type="dxa"/>
              <w:bottom w:w="100" w:type="dxa"/>
              <w:right w:w="0" w:type="dxa"/>
            </w:tcMar>
          </w:tcPr>
          <w:p w14:paraId="56636AC0" w14:textId="77777777" w:rsidR="002B5657" w:rsidRDefault="002B5657" w:rsidP="00A9140F">
            <w:pPr>
              <w:pStyle w:val="AnnexTableCellLeft"/>
              <w:spacing w:after="160"/>
            </w:pPr>
            <w:r>
              <w:t>Starfsemin er í samræmi við viðmiðanirnar sem settar eru fram í viðbæti C við þennan viðauka.</w:t>
            </w:r>
          </w:p>
          <w:p w14:paraId="3F033991" w14:textId="77777777" w:rsidR="002B5657" w:rsidRDefault="002B5657" w:rsidP="00A9140F">
            <w:pPr>
              <w:pStyle w:val="AnnexTableCellLeft"/>
            </w:pPr>
            <w:r>
              <w:t>Losun fellur innan við eða undir svið losunargilda sem tengjast bestu, aðgengilegu tækni samkvæmt nýjustu viðeigandi niðurstöðum um bestu aðgengilegu tækni, þ.m.t. niðurstöður um bestu aðgengilegu tækni fyrir iðnað með járnlausan málm (</w:t>
            </w:r>
            <w:r>
              <w:rPr>
                <w:rStyle w:val="Tilvsunneanmlsgrein"/>
                <w:sz w:val="18"/>
              </w:rPr>
              <w:footnoteReference w:id="492"/>
            </w:r>
            <w:r>
              <w:t>). Engin umtalsverð yfirfærsluáhrif milli umhverfishólfa eiga sér stað.</w:t>
            </w:r>
          </w:p>
        </w:tc>
      </w:tr>
      <w:tr w:rsidR="002B5657" w14:paraId="43D69200" w14:textId="77777777" w:rsidTr="00A9140F">
        <w:trPr>
          <w:trHeight w:val="360"/>
        </w:trPr>
        <w:tc>
          <w:tcPr>
            <w:tcW w:w="2956" w:type="dxa"/>
            <w:tcMar>
              <w:top w:w="100" w:type="dxa"/>
              <w:left w:w="0" w:type="dxa"/>
              <w:bottom w:w="100" w:type="dxa"/>
              <w:right w:w="60" w:type="dxa"/>
            </w:tcMar>
          </w:tcPr>
          <w:p w14:paraId="79C3C471" w14:textId="77777777" w:rsidR="002B5657" w:rsidRDefault="002B5657" w:rsidP="00A9140F">
            <w:pPr>
              <w:pStyle w:val="AnnexNumberedText"/>
              <w:ind w:left="293" w:hanging="293"/>
            </w:pPr>
            <w:r>
              <w:t>6)</w:t>
            </w:r>
            <w:r>
              <w:tab/>
              <w:t>Vernd og endurheimt líffræðilegrar fjölbreytni og vistkerfa</w:t>
            </w:r>
          </w:p>
        </w:tc>
        <w:tc>
          <w:tcPr>
            <w:tcW w:w="5796" w:type="dxa"/>
            <w:tcMar>
              <w:top w:w="100" w:type="dxa"/>
              <w:left w:w="40" w:type="dxa"/>
              <w:bottom w:w="100" w:type="dxa"/>
              <w:right w:w="0" w:type="dxa"/>
            </w:tcMar>
          </w:tcPr>
          <w:p w14:paraId="66541C82" w14:textId="77777777" w:rsidR="002B5657" w:rsidRDefault="002B5657" w:rsidP="00A9140F">
            <w:pPr>
              <w:pStyle w:val="AnnexTableCellLeft"/>
            </w:pPr>
            <w:r>
              <w:t>Starfsemin er í samræmi við viðmiðanirnar sem settar eru fram í viðbæti D við þennan viðauka.</w:t>
            </w:r>
          </w:p>
        </w:tc>
      </w:tr>
    </w:tbl>
    <w:p w14:paraId="19ABDD9F" w14:textId="77777777" w:rsidR="002B5657" w:rsidRDefault="002B5657" w:rsidP="002B5657">
      <w:pPr>
        <w:pStyle w:val="AnnexNumberedText"/>
        <w:spacing w:before="200" w:after="180"/>
        <w:ind w:left="500" w:hanging="500"/>
      </w:pPr>
      <w:r>
        <w:t>3.9.</w:t>
      </w:r>
      <w:r>
        <w:rPr>
          <w:b/>
        </w:rPr>
        <w:tab/>
        <w:t>Framleiðsla á járni og stáli</w:t>
      </w:r>
    </w:p>
    <w:p w14:paraId="7161EB82" w14:textId="77777777" w:rsidR="002B5657" w:rsidRDefault="002B5657" w:rsidP="002B5657">
      <w:pPr>
        <w:pStyle w:val="AnnexGrSeq3"/>
        <w:spacing w:after="180"/>
        <w:ind w:left="500"/>
        <w:jc w:val="both"/>
      </w:pPr>
      <w:r>
        <w:rPr>
          <w:i/>
        </w:rPr>
        <w:t>Lýsing á starfseminni</w:t>
      </w:r>
    </w:p>
    <w:p w14:paraId="5494D6C2" w14:textId="77777777" w:rsidR="002B5657" w:rsidRDefault="002B5657" w:rsidP="002B5657">
      <w:pPr>
        <w:pStyle w:val="AnnexNormal"/>
        <w:spacing w:after="180"/>
        <w:ind w:left="500"/>
      </w:pPr>
      <w:r>
        <w:t>Framleiðsla á járni og stáli.</w:t>
      </w:r>
    </w:p>
    <w:p w14:paraId="6CFFA61E" w14:textId="77777777" w:rsidR="002B5657" w:rsidRDefault="002B5657" w:rsidP="002B5657">
      <w:pPr>
        <w:pStyle w:val="AnnexNormal"/>
        <w:spacing w:after="180"/>
        <w:ind w:left="500"/>
      </w:pPr>
      <w:r>
        <w:t>Atvinnustarfsemin í þessum flokki gæti tengst nokkrum kóðum atvinnugreinaflokkunar Evrópusambandsins, einkum C24.10, C24.20, C24.31, C24.32, C24.33, C24.34, C24.51 og C24.52, í samræmi við atvinnugreinaflokkunina sem komið var á með reglugerð (EB) nr. 1893/2006.</w:t>
      </w:r>
    </w:p>
    <w:p w14:paraId="2694BE57" w14:textId="77777777" w:rsidR="002B5657" w:rsidRDefault="002B5657" w:rsidP="002B5657">
      <w:pPr>
        <w:pStyle w:val="AnnexGrSeq3"/>
        <w:spacing w:after="1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68"/>
        <w:gridCol w:w="5772"/>
      </w:tblGrid>
      <w:tr w:rsidR="002B5657" w14:paraId="28520B92"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356E9BF" w14:textId="77777777" w:rsidR="002B5657" w:rsidRDefault="002B5657" w:rsidP="00A9140F">
            <w:pPr>
              <w:pStyle w:val="AnnexTableCellLeft"/>
            </w:pPr>
            <w:r>
              <w:t>Verulegt framlag til aðlögunar að loftslagsbreytingum</w:t>
            </w:r>
          </w:p>
        </w:tc>
      </w:tr>
      <w:tr w:rsidR="002B5657" w14:paraId="0B681BA4" w14:textId="77777777" w:rsidTr="00A9140F">
        <w:trPr>
          <w:trHeight w:val="360"/>
        </w:trPr>
        <w:tc>
          <w:tcPr>
            <w:tcW w:w="8740" w:type="dxa"/>
            <w:gridSpan w:val="2"/>
            <w:tcBorders>
              <w:bottom w:val="nil"/>
            </w:tcBorders>
            <w:tcMar>
              <w:top w:w="100" w:type="dxa"/>
              <w:left w:w="0" w:type="dxa"/>
              <w:bottom w:w="100" w:type="dxa"/>
              <w:right w:w="60" w:type="dxa"/>
            </w:tcMar>
          </w:tcPr>
          <w:p w14:paraId="6E92A8F1" w14:textId="77777777" w:rsidR="002B5657" w:rsidRDefault="002B5657" w:rsidP="00A9140F">
            <w:pPr>
              <w:pStyle w:val="AnnexNumberedText"/>
              <w:tabs>
                <w:tab w:val="left" w:pos="508"/>
              </w:tabs>
              <w:spacing w:after="0"/>
              <w:ind w:left="0" w:firstLine="0"/>
            </w:pPr>
            <w:r>
              <w:t>1.</w:t>
            </w:r>
            <w:r>
              <w:tab/>
              <w:t xml:space="preserve">Í starfseminni hefur verið komið í framkvæmd efnislegum og óefnislegum lausnum („aðlögunarlausnum“) sem </w:t>
            </w:r>
            <w:r>
              <w:lastRenderedPageBreak/>
              <w:t>draga verulega úr helstu efnislegu loftslagsáhættunum sem hafa mikla þýðingu fyrir þessa starfsemi</w:t>
            </w:r>
          </w:p>
        </w:tc>
      </w:tr>
      <w:tr w:rsidR="002B5657" w14:paraId="1513C96E" w14:textId="77777777" w:rsidTr="00A9140F">
        <w:trPr>
          <w:trHeight w:val="360"/>
        </w:trPr>
        <w:tc>
          <w:tcPr>
            <w:tcW w:w="8740" w:type="dxa"/>
            <w:gridSpan w:val="2"/>
            <w:tcBorders>
              <w:top w:val="nil"/>
              <w:bottom w:val="nil"/>
            </w:tcBorders>
            <w:tcMar>
              <w:top w:w="100" w:type="dxa"/>
              <w:left w:w="0" w:type="dxa"/>
              <w:bottom w:w="100" w:type="dxa"/>
              <w:right w:w="60" w:type="dxa"/>
            </w:tcMar>
          </w:tcPr>
          <w:p w14:paraId="33F9203F" w14:textId="77777777" w:rsidR="002B5657" w:rsidRDefault="002B5657" w:rsidP="00A9140F">
            <w:pPr>
              <w:pStyle w:val="AnnexNumberedText"/>
              <w:pageBreakBefore/>
              <w:tabs>
                <w:tab w:val="left" w:pos="508"/>
              </w:tabs>
              <w:spacing w:after="300"/>
              <w:ind w:left="0" w:firstLine="0"/>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756D72B" w14:textId="77777777" w:rsidR="002B5657" w:rsidRDefault="002B5657" w:rsidP="00A9140F">
            <w:pPr>
              <w:pStyle w:val="AnnexNumberedText"/>
              <w:tabs>
                <w:tab w:val="left" w:pos="508"/>
              </w:tabs>
              <w:spacing w:after="300"/>
            </w:pPr>
            <w:r>
              <w:t>a)</w:t>
            </w:r>
            <w:r>
              <w:tab/>
              <w:t>skimun á starfseminni til að greina hvaða efnislega loftslagsáhætta úr skránni í viðbæti A við þennan viðauka getur haft áhrif á árangurinn af atvinnustarfseminni á væntum líftíma hennar,</w:t>
            </w:r>
          </w:p>
          <w:p w14:paraId="598974FF" w14:textId="77777777" w:rsidR="002B5657" w:rsidRDefault="002B5657" w:rsidP="00A9140F">
            <w:pPr>
              <w:pStyle w:val="AnnexNumberedText"/>
              <w:spacing w:after="30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095A3587" w14:textId="77777777" w:rsidR="002B5657" w:rsidRDefault="002B5657" w:rsidP="00A9140F">
            <w:pPr>
              <w:pStyle w:val="AnnexNumberedText"/>
              <w:spacing w:after="300"/>
            </w:pPr>
            <w:r>
              <w:t>c)</w:t>
            </w:r>
            <w:r>
              <w:tab/>
              <w:t>mat á aðlögunarlausnum sem geta dregið úr greindri efnislegri loftslagsáhættu.</w:t>
            </w:r>
          </w:p>
          <w:p w14:paraId="64C43C2E" w14:textId="77777777" w:rsidR="002B5657" w:rsidRDefault="002B5657" w:rsidP="00A9140F">
            <w:pPr>
              <w:pStyle w:val="AnnexTableCellLeft"/>
              <w:spacing w:after="300"/>
            </w:pPr>
            <w:r>
              <w:t xml:space="preserve">Loftslagsáhættu- og veikleikamatið er í réttu hlutfalli við umfang starfseminnar og </w:t>
            </w:r>
            <w:proofErr w:type="spellStart"/>
            <w:r>
              <w:t>væntan</w:t>
            </w:r>
            <w:proofErr w:type="spellEnd"/>
            <w:r>
              <w:t xml:space="preserve"> líftíma hennar þannig að:</w:t>
            </w:r>
          </w:p>
          <w:p w14:paraId="57459D22" w14:textId="77777777" w:rsidR="002B5657" w:rsidRDefault="002B5657" w:rsidP="00A9140F">
            <w:pPr>
              <w:pStyle w:val="AnnexNumberedText"/>
              <w:spacing w:after="3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4A9F4D3" w14:textId="77777777" w:rsidR="002B5657" w:rsidRDefault="002B5657" w:rsidP="00A9140F">
            <w:pPr>
              <w:pStyle w:val="AnnexNumberedText"/>
              <w:spacing w:after="30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49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7220378" w14:textId="77777777" w:rsidR="002B5657" w:rsidRDefault="002B5657" w:rsidP="00A9140F">
            <w:pPr>
              <w:pStyle w:val="AnnexNumberedText"/>
              <w:tabs>
                <w:tab w:val="left" w:pos="508"/>
              </w:tabs>
              <w:spacing w:after="30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494"/>
            </w:r>
            <w:r>
              <w:t>), vísindalegt ritrýnt útgefið efni og líkön með opnum aðgangi (</w:t>
            </w:r>
            <w:r>
              <w:rPr>
                <w:rStyle w:val="Tilvsunneanmlsgrein"/>
                <w:sz w:val="18"/>
              </w:rPr>
              <w:footnoteReference w:id="495"/>
            </w:r>
            <w:r>
              <w:t>) eða gegn greiðslu.</w:t>
            </w:r>
          </w:p>
          <w:p w14:paraId="5EEBCAA3" w14:textId="77777777" w:rsidR="002B5657" w:rsidRDefault="002B5657" w:rsidP="00A9140F">
            <w:pPr>
              <w:pStyle w:val="AnnexNumberedText"/>
              <w:tabs>
                <w:tab w:val="left" w:pos="508"/>
              </w:tabs>
              <w:spacing w:after="300"/>
              <w:ind w:left="0" w:firstLine="0"/>
            </w:pPr>
            <w:r>
              <w:t>4.</w:t>
            </w:r>
            <w:r>
              <w:tab/>
              <w:t>Aðlögunarlausnir sem komið er í framkvæmd:</w:t>
            </w:r>
          </w:p>
          <w:p w14:paraId="16C9CA53" w14:textId="77777777" w:rsidR="002B5657" w:rsidRDefault="002B5657" w:rsidP="00A9140F">
            <w:pPr>
              <w:pStyle w:val="AnnexNumberedText"/>
              <w:spacing w:after="300"/>
            </w:pPr>
            <w:r>
              <w:t>a)</w:t>
            </w:r>
            <w:r>
              <w:tab/>
              <w:t>hafa ekki neikvæð áhrif á viðleitni til aðlögunar eða viðnám annars fólks, náttúru, menningararfleifðar, eigna og annarrar atvinnustarfsemi gegn efnislegri loftslagsáhættu,</w:t>
            </w:r>
          </w:p>
          <w:p w14:paraId="56639656" w14:textId="77777777" w:rsidR="002B5657" w:rsidRDefault="002B5657" w:rsidP="00A9140F">
            <w:pPr>
              <w:pStyle w:val="AnnexNumberedText"/>
              <w:spacing w:after="300"/>
            </w:pPr>
            <w:r>
              <w:t>b)</w:t>
            </w:r>
            <w:r>
              <w:tab/>
              <w:t>eru með náttúrumiðaðar lausnir (</w:t>
            </w:r>
            <w:r>
              <w:rPr>
                <w:rStyle w:val="Tilvsunneanmlsgrein"/>
                <w:sz w:val="18"/>
              </w:rPr>
              <w:footnoteReference w:id="496"/>
            </w:r>
            <w:r>
              <w:t>) í forgangi eða treyst er á bláa eða græna innviði (</w:t>
            </w:r>
            <w:r>
              <w:rPr>
                <w:rStyle w:val="Tilvsunneanmlsgrein"/>
                <w:sz w:val="18"/>
              </w:rPr>
              <w:footnoteReference w:id="497"/>
            </w:r>
            <w:r>
              <w:t>) að því marki sem mögulegt er,</w:t>
            </w:r>
          </w:p>
          <w:p w14:paraId="458B4652" w14:textId="77777777" w:rsidR="002B5657" w:rsidRDefault="002B5657" w:rsidP="00A9140F">
            <w:pPr>
              <w:pStyle w:val="AnnexNumberedText"/>
              <w:spacing w:after="300"/>
            </w:pPr>
            <w:r>
              <w:t>c)</w:t>
            </w:r>
            <w:r>
              <w:tab/>
              <w:t>eru í samræmi við staðbundnar, geirabundnar, svæðisbundnar eða landsbundnar aðlögunarstefnur og -áætlanir,</w:t>
            </w:r>
          </w:p>
          <w:p w14:paraId="0B1592E8" w14:textId="77777777" w:rsidR="002B5657" w:rsidRDefault="002B5657"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5B17CF6" w14:textId="77777777" w:rsidR="002B5657" w:rsidRDefault="002B5657" w:rsidP="00A9140F">
            <w:pPr>
              <w:pStyle w:val="AnnexNumberedText"/>
              <w:spacing w:after="0"/>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2B5657" w14:paraId="67D64769" w14:textId="77777777" w:rsidTr="00A9140F">
        <w:trPr>
          <w:trHeight w:val="240"/>
        </w:trPr>
        <w:tc>
          <w:tcPr>
            <w:tcW w:w="8740" w:type="dxa"/>
            <w:gridSpan w:val="2"/>
            <w:tcBorders>
              <w:top w:val="nil"/>
            </w:tcBorders>
            <w:tcMar>
              <w:top w:w="100" w:type="dxa"/>
              <w:left w:w="0" w:type="dxa"/>
              <w:bottom w:w="100" w:type="dxa"/>
              <w:right w:w="60" w:type="dxa"/>
            </w:tcMar>
          </w:tcPr>
          <w:p w14:paraId="33232F31" w14:textId="77777777" w:rsidR="002B5657" w:rsidRDefault="002B5657" w:rsidP="00A9140F">
            <w:pPr>
              <w:pStyle w:val="AnnexTableCellLeft"/>
              <w:pageBreakBefore/>
            </w:pPr>
            <w:r>
              <w:lastRenderedPageBreak/>
              <w:t>Ekki valda umtalsverðu tjóni</w:t>
            </w:r>
          </w:p>
        </w:tc>
      </w:tr>
      <w:tr w:rsidR="002B5657" w14:paraId="2DD7455B" w14:textId="77777777" w:rsidTr="00A9140F">
        <w:trPr>
          <w:trHeight w:val="360"/>
        </w:trPr>
        <w:tc>
          <w:tcPr>
            <w:tcW w:w="2968" w:type="dxa"/>
            <w:tcMar>
              <w:top w:w="100" w:type="dxa"/>
              <w:left w:w="0" w:type="dxa"/>
              <w:bottom w:w="100" w:type="dxa"/>
              <w:right w:w="60" w:type="dxa"/>
            </w:tcMar>
          </w:tcPr>
          <w:p w14:paraId="227E7478" w14:textId="77777777" w:rsidR="002B5657" w:rsidRDefault="002B5657" w:rsidP="00A9140F">
            <w:pPr>
              <w:pStyle w:val="AnnexNumberedText"/>
            </w:pPr>
            <w:r>
              <w:t>1)</w:t>
            </w:r>
            <w:r>
              <w:tab/>
              <w:t>Mildun loftslagsbreytinga</w:t>
            </w:r>
          </w:p>
        </w:tc>
        <w:tc>
          <w:tcPr>
            <w:tcW w:w="5772" w:type="dxa"/>
            <w:tcMar>
              <w:top w:w="100" w:type="dxa"/>
              <w:left w:w="40" w:type="dxa"/>
              <w:bottom w:w="100" w:type="dxa"/>
              <w:right w:w="0" w:type="dxa"/>
            </w:tcMar>
          </w:tcPr>
          <w:p w14:paraId="6846D398" w14:textId="77777777" w:rsidR="002B5657" w:rsidRDefault="002B5657" w:rsidP="00A9140F">
            <w:pPr>
              <w:pStyle w:val="AnnexTableCellLeft"/>
              <w:spacing w:after="360"/>
            </w:pPr>
            <w:r>
              <w:t>Með starfseminni er framleitt eitt af eftirfarandi:</w:t>
            </w:r>
          </w:p>
          <w:p w14:paraId="00304A4F" w14:textId="77777777" w:rsidR="002B5657" w:rsidRDefault="002B5657" w:rsidP="00A9140F">
            <w:pPr>
              <w:pStyle w:val="AnnexNumberedText"/>
              <w:spacing w:after="360"/>
            </w:pPr>
            <w:r>
              <w:t>a)</w:t>
            </w:r>
            <w:r>
              <w:tab/>
              <w:t>járn og stál þar sem losun gróðurhúsalofttegunda (</w:t>
            </w:r>
            <w:r>
              <w:rPr>
                <w:rStyle w:val="Tilvsunneanmlsgrein"/>
                <w:sz w:val="18"/>
              </w:rPr>
              <w:footnoteReference w:id="498"/>
            </w:r>
            <w:r>
              <w:t>), lækkuð um magn losunar sem er úthlutað til framleiðslu úrgangslofttegunda í samræmi við a-lið í lið 10.1.5 í VII. viðauka við reglugerð (ESB) 2019/331, fer ekki yfir eftirfarandi gildi fyrir mismunandi þrep í framleiðsluferlinu:</w:t>
            </w:r>
          </w:p>
          <w:p w14:paraId="579F753D" w14:textId="77777777" w:rsidR="002B5657" w:rsidRDefault="002B5657" w:rsidP="00A9140F">
            <w:pPr>
              <w:pStyle w:val="AnnexNumberedText"/>
              <w:spacing w:after="360"/>
              <w:ind w:left="594"/>
            </w:pPr>
            <w:r>
              <w:t>i.</w:t>
            </w:r>
            <w:r>
              <w:tab/>
              <w:t>heitur málmur = 1,443 (</w:t>
            </w:r>
            <w:r>
              <w:rPr>
                <w:rStyle w:val="Tilvsunneanmlsgrein"/>
                <w:sz w:val="18"/>
              </w:rPr>
              <w:footnoteReference w:id="499"/>
            </w:r>
            <w:r>
              <w:t>) tCO</w:t>
            </w:r>
            <w:r>
              <w:rPr>
                <w:vertAlign w:val="subscript"/>
              </w:rPr>
              <w:t>2</w:t>
            </w:r>
            <w:r>
              <w:t>e/t vöru,</w:t>
            </w:r>
          </w:p>
          <w:p w14:paraId="1B619C60" w14:textId="77777777" w:rsidR="002B5657" w:rsidRDefault="002B5657" w:rsidP="00A9140F">
            <w:pPr>
              <w:pStyle w:val="AnnexNumberedText"/>
              <w:spacing w:after="360"/>
              <w:ind w:left="594"/>
            </w:pPr>
            <w:r>
              <w:t>ii.</w:t>
            </w:r>
            <w:r>
              <w:tab/>
              <w:t>glætt málmgrýti = 0,242 (</w:t>
            </w:r>
            <w:r>
              <w:rPr>
                <w:rStyle w:val="Tilvsunneanmlsgrein"/>
                <w:sz w:val="18"/>
              </w:rPr>
              <w:footnoteReference w:id="500"/>
            </w:r>
            <w:r>
              <w:t>) tCO</w:t>
            </w:r>
            <w:r>
              <w:rPr>
                <w:vertAlign w:val="subscript"/>
              </w:rPr>
              <w:t>2</w:t>
            </w:r>
            <w:r>
              <w:t>e/t vöru,</w:t>
            </w:r>
          </w:p>
          <w:p w14:paraId="0AB8D05E" w14:textId="77777777" w:rsidR="002B5657" w:rsidRDefault="002B5657" w:rsidP="00A9140F">
            <w:pPr>
              <w:pStyle w:val="AnnexNumberedText"/>
              <w:spacing w:after="360"/>
              <w:ind w:left="594"/>
            </w:pPr>
            <w:r>
              <w:t>iii.</w:t>
            </w:r>
            <w:r>
              <w:tab/>
              <w:t>koks (að undanskildum brúnkolum) = 0,237 (</w:t>
            </w:r>
            <w:r>
              <w:rPr>
                <w:rStyle w:val="Tilvsunneanmlsgrein"/>
                <w:sz w:val="18"/>
              </w:rPr>
              <w:footnoteReference w:id="501"/>
            </w:r>
            <w:r>
              <w:t>) tCO2e/t vöru,</w:t>
            </w:r>
          </w:p>
          <w:p w14:paraId="6F1E502E" w14:textId="77777777" w:rsidR="002B5657" w:rsidRDefault="002B5657" w:rsidP="00A9140F">
            <w:pPr>
              <w:pStyle w:val="AnnexNumberedText"/>
              <w:spacing w:after="360"/>
              <w:ind w:left="594"/>
            </w:pPr>
            <w:r>
              <w:t>iv.</w:t>
            </w:r>
            <w:r>
              <w:tab/>
              <w:t>járnsteypa = 0,390 (</w:t>
            </w:r>
            <w:r>
              <w:rPr>
                <w:rStyle w:val="Tilvsunneanmlsgrein"/>
                <w:sz w:val="18"/>
              </w:rPr>
              <w:footnoteReference w:id="502"/>
            </w:r>
            <w:r>
              <w:t>) tCO</w:t>
            </w:r>
            <w:r>
              <w:rPr>
                <w:vertAlign w:val="subscript"/>
              </w:rPr>
              <w:t>2</w:t>
            </w:r>
            <w:r>
              <w:t>e/t vöru,</w:t>
            </w:r>
          </w:p>
          <w:p w14:paraId="78F6F117" w14:textId="77777777" w:rsidR="002B5657" w:rsidRDefault="002B5657" w:rsidP="00A9140F">
            <w:pPr>
              <w:pStyle w:val="AnnexNumberedText"/>
              <w:spacing w:after="360"/>
              <w:ind w:left="594"/>
            </w:pPr>
            <w:r>
              <w:t>v.</w:t>
            </w:r>
            <w:r>
              <w:tab/>
              <w:t xml:space="preserve">mikið blandað stál úr </w:t>
            </w:r>
            <w:proofErr w:type="spellStart"/>
            <w:r>
              <w:t>rafknúnum</w:t>
            </w:r>
            <w:proofErr w:type="spellEnd"/>
            <w:r>
              <w:t xml:space="preserve"> ljósbogaofni (EAF) = 0,360 (</w:t>
            </w:r>
            <w:r>
              <w:rPr>
                <w:rStyle w:val="Tilvsunneanmlsgrein"/>
                <w:sz w:val="18"/>
              </w:rPr>
              <w:footnoteReference w:id="503"/>
            </w:r>
            <w:r>
              <w:t>) tCO2e/t vöru,</w:t>
            </w:r>
          </w:p>
          <w:p w14:paraId="348BED47" w14:textId="77777777" w:rsidR="002B5657" w:rsidRDefault="002B5657" w:rsidP="00A9140F">
            <w:pPr>
              <w:pStyle w:val="AnnexNumberedText"/>
              <w:spacing w:after="360"/>
              <w:ind w:left="594"/>
            </w:pPr>
            <w:r>
              <w:t>vi.</w:t>
            </w:r>
            <w:r>
              <w:tab/>
              <w:t xml:space="preserve">kolstál úr </w:t>
            </w:r>
            <w:proofErr w:type="spellStart"/>
            <w:r>
              <w:t>rafknúnum</w:t>
            </w:r>
            <w:proofErr w:type="spellEnd"/>
            <w:r>
              <w:t xml:space="preserve"> ljósbogaofni (EAF) = 0,276 (</w:t>
            </w:r>
            <w:r>
              <w:rPr>
                <w:rStyle w:val="Tilvsunneanmlsgrein"/>
                <w:sz w:val="18"/>
              </w:rPr>
              <w:footnoteReference w:id="504"/>
            </w:r>
            <w:r>
              <w:t>) tCO2e/t vöru,</w:t>
            </w:r>
          </w:p>
          <w:p w14:paraId="771A8240" w14:textId="77777777" w:rsidR="002B5657" w:rsidRDefault="002B5657" w:rsidP="00A9140F">
            <w:pPr>
              <w:pStyle w:val="AnnexNumberedText"/>
              <w:spacing w:after="360"/>
            </w:pPr>
            <w:r>
              <w:t>b)</w:t>
            </w:r>
            <w:r>
              <w:tab/>
              <w:t xml:space="preserve">stál í </w:t>
            </w:r>
            <w:proofErr w:type="spellStart"/>
            <w:r>
              <w:t>rafknúnum</w:t>
            </w:r>
            <w:proofErr w:type="spellEnd"/>
            <w:r>
              <w:t xml:space="preserve"> ljósbogaofnum (EAF) til framleiðslu á kolstáli úr </w:t>
            </w:r>
            <w:proofErr w:type="spellStart"/>
            <w:r>
              <w:t>rafknúnum</w:t>
            </w:r>
            <w:proofErr w:type="spellEnd"/>
            <w:r>
              <w:t xml:space="preserve"> ljósbogaofni eða mikið blandað stál úr </w:t>
            </w:r>
            <w:proofErr w:type="spellStart"/>
            <w:r>
              <w:t>rafknúnum</w:t>
            </w:r>
            <w:proofErr w:type="spellEnd"/>
            <w:r>
              <w:t xml:space="preserve"> ljósbogaofni, eins og skilgreint er í framseldri reglugerð framkvæmdastjórnarinnar (ESB) 2019/331 og þar sem ílag brotamálms úr stáli í hlutfalli við frálag vöru er:</w:t>
            </w:r>
          </w:p>
          <w:p w14:paraId="4F03B9B3" w14:textId="77777777" w:rsidR="002B5657" w:rsidRDefault="002B5657" w:rsidP="00A9140F">
            <w:pPr>
              <w:pStyle w:val="AnnexNumberedText"/>
              <w:spacing w:after="360"/>
              <w:ind w:left="600"/>
            </w:pPr>
            <w:r>
              <w:t>i.</w:t>
            </w:r>
            <w:r>
              <w:tab/>
              <w:t>a.m.k. 70% fyrir framleiðslu á mikið blönduðu stáli,</w:t>
            </w:r>
          </w:p>
          <w:p w14:paraId="5CF7E9F5" w14:textId="77777777" w:rsidR="002B5657" w:rsidRDefault="002B5657" w:rsidP="00A9140F">
            <w:pPr>
              <w:pStyle w:val="AnnexNumberedText"/>
              <w:spacing w:after="200"/>
              <w:ind w:left="600"/>
            </w:pPr>
            <w:r>
              <w:t>ii.</w:t>
            </w:r>
            <w:r>
              <w:tab/>
              <w:t>a.m.k. 90% fyrir framleiðslu á kolstáli.</w:t>
            </w:r>
          </w:p>
        </w:tc>
      </w:tr>
      <w:tr w:rsidR="002B5657" w14:paraId="092EE2CC" w14:textId="77777777" w:rsidTr="00A9140F">
        <w:trPr>
          <w:trHeight w:val="360"/>
        </w:trPr>
        <w:tc>
          <w:tcPr>
            <w:tcW w:w="2968" w:type="dxa"/>
            <w:tcMar>
              <w:top w:w="100" w:type="dxa"/>
              <w:left w:w="0" w:type="dxa"/>
              <w:bottom w:w="100" w:type="dxa"/>
              <w:right w:w="60" w:type="dxa"/>
            </w:tcMar>
          </w:tcPr>
          <w:p w14:paraId="368C765F" w14:textId="77777777" w:rsidR="002B5657" w:rsidRDefault="002B5657" w:rsidP="00A9140F">
            <w:pPr>
              <w:pStyle w:val="AnnexNumberedText"/>
            </w:pPr>
            <w:r>
              <w:t>3)</w:t>
            </w:r>
            <w:r>
              <w:tab/>
              <w:t>Sjálfbær notkun og verndun vatns- og sjávarauðlinda</w:t>
            </w:r>
          </w:p>
        </w:tc>
        <w:tc>
          <w:tcPr>
            <w:tcW w:w="5772" w:type="dxa"/>
            <w:tcMar>
              <w:top w:w="100" w:type="dxa"/>
              <w:left w:w="40" w:type="dxa"/>
              <w:bottom w:w="100" w:type="dxa"/>
              <w:right w:w="0" w:type="dxa"/>
            </w:tcMar>
          </w:tcPr>
          <w:p w14:paraId="45A5EAD6" w14:textId="77777777" w:rsidR="002B5657" w:rsidRDefault="002B5657" w:rsidP="00A9140F">
            <w:pPr>
              <w:pStyle w:val="AnnexTableCellLeft"/>
            </w:pPr>
            <w:r>
              <w:t>Starfsemin er í samræmi við viðmiðanirnar sem settar eru fram í viðbæti B við þennan viðauka.</w:t>
            </w:r>
          </w:p>
        </w:tc>
      </w:tr>
      <w:tr w:rsidR="002B5657" w14:paraId="20962A50" w14:textId="77777777" w:rsidTr="00A9140F">
        <w:trPr>
          <w:trHeight w:val="360"/>
        </w:trPr>
        <w:tc>
          <w:tcPr>
            <w:tcW w:w="2968" w:type="dxa"/>
            <w:tcMar>
              <w:top w:w="100" w:type="dxa"/>
              <w:left w:w="0" w:type="dxa"/>
              <w:bottom w:w="100" w:type="dxa"/>
              <w:right w:w="60" w:type="dxa"/>
            </w:tcMar>
          </w:tcPr>
          <w:p w14:paraId="66BF516C" w14:textId="77777777" w:rsidR="002B5657" w:rsidRDefault="002B5657" w:rsidP="00A9140F">
            <w:pPr>
              <w:pStyle w:val="AnnexNumberedText"/>
            </w:pPr>
            <w:r>
              <w:lastRenderedPageBreak/>
              <w:t>4)</w:t>
            </w:r>
            <w:r>
              <w:tab/>
              <w:t>Umskipti yfir í hringrásarhagkerfi</w:t>
            </w:r>
          </w:p>
        </w:tc>
        <w:tc>
          <w:tcPr>
            <w:tcW w:w="5772" w:type="dxa"/>
            <w:tcMar>
              <w:top w:w="100" w:type="dxa"/>
              <w:left w:w="40" w:type="dxa"/>
              <w:bottom w:w="100" w:type="dxa"/>
              <w:right w:w="0" w:type="dxa"/>
            </w:tcMar>
          </w:tcPr>
          <w:p w14:paraId="54A3879B" w14:textId="77777777" w:rsidR="002B5657" w:rsidRDefault="002B5657" w:rsidP="00A9140F">
            <w:pPr>
              <w:pStyle w:val="AnnexTableCellLeft"/>
            </w:pPr>
            <w:r>
              <w:t>Á ekki við</w:t>
            </w:r>
          </w:p>
        </w:tc>
      </w:tr>
      <w:tr w:rsidR="002B5657" w14:paraId="3C92841D" w14:textId="77777777" w:rsidTr="00A9140F">
        <w:trPr>
          <w:trHeight w:val="360"/>
        </w:trPr>
        <w:tc>
          <w:tcPr>
            <w:tcW w:w="2968" w:type="dxa"/>
            <w:tcMar>
              <w:top w:w="100" w:type="dxa"/>
              <w:left w:w="0" w:type="dxa"/>
              <w:bottom w:w="100" w:type="dxa"/>
              <w:right w:w="60" w:type="dxa"/>
            </w:tcMar>
          </w:tcPr>
          <w:p w14:paraId="3BE21335" w14:textId="77777777" w:rsidR="002B5657" w:rsidRDefault="002B5657" w:rsidP="00A9140F">
            <w:pPr>
              <w:pStyle w:val="AnnexNumberedText"/>
              <w:pageBreakBefore/>
            </w:pPr>
            <w:r>
              <w:lastRenderedPageBreak/>
              <w:t>5)</w:t>
            </w:r>
            <w:r>
              <w:tab/>
              <w:t>Mengunarvarnir og eftirlit með mengun</w:t>
            </w:r>
          </w:p>
        </w:tc>
        <w:tc>
          <w:tcPr>
            <w:tcW w:w="5772" w:type="dxa"/>
            <w:tcMar>
              <w:top w:w="100" w:type="dxa"/>
              <w:left w:w="40" w:type="dxa"/>
              <w:bottom w:w="100" w:type="dxa"/>
              <w:right w:w="0" w:type="dxa"/>
            </w:tcMar>
          </w:tcPr>
          <w:p w14:paraId="6B07B16B" w14:textId="77777777" w:rsidR="002B5657" w:rsidRDefault="002B5657" w:rsidP="00A9140F">
            <w:pPr>
              <w:pStyle w:val="AnnexTableCellLeft"/>
              <w:spacing w:after="240"/>
            </w:pPr>
            <w:r>
              <w:t>Starfsemin er í samræmi við viðmiðanirnar sem settar eru fram í viðbæti C við þennan viðauka.</w:t>
            </w:r>
          </w:p>
          <w:p w14:paraId="212E358F" w14:textId="77777777" w:rsidR="002B5657" w:rsidRDefault="002B5657" w:rsidP="00A9140F">
            <w:pPr>
              <w:pStyle w:val="AnnexTableCellLeft"/>
              <w:spacing w:after="240"/>
            </w:pPr>
            <w:r>
              <w:t>Losun fellur innan við eða undir svið losunargilda sem tengjast bestu, aðgengilegu tækni samkvæmt viðeigandi niðurstöðum um bestu aðgengilegu tækni, þ.m.t. niðurstöður um bestu aðgengilegu tækni fyrir framleiðslu á járni og stáli (</w:t>
            </w:r>
            <w:r>
              <w:rPr>
                <w:rStyle w:val="Tilvsunneanmlsgrein"/>
                <w:sz w:val="18"/>
              </w:rPr>
              <w:footnoteReference w:id="505"/>
            </w:r>
            <w:r>
              <w:t>).</w:t>
            </w:r>
          </w:p>
          <w:p w14:paraId="04C960C8" w14:textId="77777777" w:rsidR="002B5657" w:rsidRDefault="002B5657" w:rsidP="00A9140F">
            <w:pPr>
              <w:pStyle w:val="AnnexTableCellLeft"/>
              <w:spacing w:after="240"/>
            </w:pPr>
            <w:r>
              <w:t>Engin umtalsverð yfirfærsluáhrif milli umhverfishólfa eiga sér stað.</w:t>
            </w:r>
          </w:p>
        </w:tc>
      </w:tr>
      <w:tr w:rsidR="002B5657" w14:paraId="39A50292" w14:textId="77777777" w:rsidTr="00A9140F">
        <w:trPr>
          <w:trHeight w:val="360"/>
        </w:trPr>
        <w:tc>
          <w:tcPr>
            <w:tcW w:w="2968" w:type="dxa"/>
            <w:tcMar>
              <w:top w:w="100" w:type="dxa"/>
              <w:left w:w="0" w:type="dxa"/>
              <w:bottom w:w="100" w:type="dxa"/>
              <w:right w:w="60" w:type="dxa"/>
            </w:tcMar>
          </w:tcPr>
          <w:p w14:paraId="5BE333DC" w14:textId="77777777" w:rsidR="002B5657" w:rsidRDefault="002B5657" w:rsidP="00A9140F">
            <w:pPr>
              <w:pStyle w:val="AnnexNumberedText"/>
            </w:pPr>
            <w:r>
              <w:t>6)</w:t>
            </w:r>
            <w:r>
              <w:tab/>
              <w:t>Vernd og endurheimt líffræðilegrar fjölbreytni og vistkerfa</w:t>
            </w:r>
          </w:p>
        </w:tc>
        <w:tc>
          <w:tcPr>
            <w:tcW w:w="5772" w:type="dxa"/>
            <w:tcMar>
              <w:top w:w="100" w:type="dxa"/>
              <w:left w:w="40" w:type="dxa"/>
              <w:bottom w:w="100" w:type="dxa"/>
              <w:right w:w="0" w:type="dxa"/>
            </w:tcMar>
          </w:tcPr>
          <w:p w14:paraId="36496B45" w14:textId="77777777" w:rsidR="002B5657" w:rsidRDefault="002B5657" w:rsidP="00A9140F">
            <w:pPr>
              <w:pStyle w:val="AnnexTableCellLeft"/>
            </w:pPr>
            <w:r>
              <w:t>Starfsemin er í samræmi við viðmiðanirnar sem settar eru fram í viðbæti D við þennan viðauka.</w:t>
            </w:r>
          </w:p>
        </w:tc>
      </w:tr>
    </w:tbl>
    <w:p w14:paraId="0A605FFA" w14:textId="77777777" w:rsidR="002B5657" w:rsidRDefault="002B5657" w:rsidP="002B5657">
      <w:pPr>
        <w:pStyle w:val="AnnexNumberedText"/>
        <w:spacing w:before="200" w:after="240"/>
        <w:ind w:left="500" w:hanging="500"/>
      </w:pPr>
      <w:r>
        <w:t>3.10.</w:t>
      </w:r>
      <w:r>
        <w:rPr>
          <w:b/>
        </w:rPr>
        <w:tab/>
        <w:t>Framleiðsla á vetni</w:t>
      </w:r>
    </w:p>
    <w:p w14:paraId="2E4EB17E" w14:textId="77777777" w:rsidR="002B5657" w:rsidRDefault="002B5657" w:rsidP="002B5657">
      <w:pPr>
        <w:pStyle w:val="AnnexGrSeq3"/>
        <w:spacing w:after="240"/>
        <w:ind w:left="500"/>
        <w:jc w:val="both"/>
      </w:pPr>
      <w:r>
        <w:rPr>
          <w:i/>
        </w:rPr>
        <w:t>Lýsing á starfseminni</w:t>
      </w:r>
    </w:p>
    <w:p w14:paraId="1BFC070B" w14:textId="77777777" w:rsidR="002B5657" w:rsidRDefault="002B5657" w:rsidP="002B5657">
      <w:pPr>
        <w:pStyle w:val="AnnexNormal"/>
        <w:spacing w:after="240"/>
        <w:ind w:left="500"/>
      </w:pPr>
      <w:r>
        <w:t>Framleiðsla á vetni og tilbúnu eldsneyti að stofni til úr vetni.</w:t>
      </w:r>
    </w:p>
    <w:p w14:paraId="2EA6E36D" w14:textId="77777777" w:rsidR="002B5657" w:rsidRDefault="002B5657" w:rsidP="002B5657">
      <w:pPr>
        <w:pStyle w:val="AnnexNormal"/>
        <w:spacing w:after="240"/>
        <w:ind w:left="500"/>
      </w:pPr>
      <w:r>
        <w:t>Atvinnustarfsemin í þessum flokki gæti tengst kóða atvinnugreinaflokkunar Evrópusambandsins C20.11 í samræmi við atvinnugreinaflokkunina sem komið var á með reglugerð (EB) nr. 1893/2006.</w:t>
      </w:r>
    </w:p>
    <w:p w14:paraId="536F8970" w14:textId="77777777" w:rsidR="002B5657" w:rsidRDefault="002B5657" w:rsidP="002B5657">
      <w:pPr>
        <w:pStyle w:val="AnnexGrSeq3"/>
        <w:spacing w:after="24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72"/>
        <w:gridCol w:w="5868"/>
      </w:tblGrid>
      <w:tr w:rsidR="002B5657" w14:paraId="6F7CD71F"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8F87A68" w14:textId="77777777" w:rsidR="002B5657" w:rsidRDefault="002B5657" w:rsidP="00A9140F">
            <w:pPr>
              <w:pStyle w:val="AnnexTableCellLeft"/>
            </w:pPr>
            <w:r>
              <w:t>Verulegt framlag til aðlögunar að loftslagsbreytingum</w:t>
            </w:r>
          </w:p>
        </w:tc>
      </w:tr>
      <w:tr w:rsidR="002B5657" w14:paraId="5047FC46" w14:textId="77777777" w:rsidTr="00A9140F">
        <w:trPr>
          <w:trHeight w:val="360"/>
        </w:trPr>
        <w:tc>
          <w:tcPr>
            <w:tcW w:w="8740" w:type="dxa"/>
            <w:gridSpan w:val="2"/>
            <w:tcBorders>
              <w:bottom w:val="nil"/>
            </w:tcBorders>
            <w:tcMar>
              <w:top w:w="100" w:type="dxa"/>
              <w:left w:w="0" w:type="dxa"/>
              <w:bottom w:w="100" w:type="dxa"/>
              <w:right w:w="60" w:type="dxa"/>
            </w:tcMar>
          </w:tcPr>
          <w:p w14:paraId="2355BD78" w14:textId="77777777" w:rsidR="002B5657" w:rsidRDefault="002B5657" w:rsidP="00A9140F">
            <w:pPr>
              <w:pStyle w:val="AnnexNumberedText"/>
              <w:tabs>
                <w:tab w:val="left" w:pos="508"/>
              </w:tabs>
              <w:spacing w:after="2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B526C27" w14:textId="77777777" w:rsidR="002B5657" w:rsidRDefault="002B5657" w:rsidP="00A9140F">
            <w:pPr>
              <w:pStyle w:val="AnnexNumberedText"/>
              <w:tabs>
                <w:tab w:val="left" w:pos="508"/>
              </w:tabs>
              <w:spacing w:after="2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40BD98E" w14:textId="77777777" w:rsidR="002B5657" w:rsidRDefault="002B5657" w:rsidP="00A9140F">
            <w:pPr>
              <w:pStyle w:val="AnnexNumberedText"/>
              <w:spacing w:after="280"/>
            </w:pPr>
            <w:r>
              <w:t>a)</w:t>
            </w:r>
            <w:r>
              <w:tab/>
              <w:t>skimun á starfseminni til að greina hvaða efnislega loftslagsáhætta úr skránni í viðbæti A við þennan viðauka getur haft áhrif á árangurinn af atvinnustarfseminni á væntum líftíma hennar,</w:t>
            </w:r>
          </w:p>
          <w:p w14:paraId="25A5D7B5" w14:textId="77777777" w:rsidR="002B5657" w:rsidRDefault="002B5657" w:rsidP="00A9140F">
            <w:pPr>
              <w:pStyle w:val="AnnexNumberedText"/>
              <w:spacing w:after="28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6650FA4B" w14:textId="77777777" w:rsidR="002B5657" w:rsidRDefault="002B5657" w:rsidP="00A9140F">
            <w:pPr>
              <w:pStyle w:val="AnnexNumberedText"/>
              <w:spacing w:after="280"/>
            </w:pPr>
            <w:r>
              <w:t>c)</w:t>
            </w:r>
            <w:r>
              <w:tab/>
              <w:t>mat á aðlögunarlausnum sem geta dregið úr greindri efnislegri loftslagsáhættu.</w:t>
            </w:r>
          </w:p>
          <w:p w14:paraId="4B9EEA49" w14:textId="77777777" w:rsidR="002B5657" w:rsidRDefault="002B5657" w:rsidP="00A9140F">
            <w:pPr>
              <w:pStyle w:val="AnnexTableCellLeft"/>
              <w:tabs>
                <w:tab w:val="left" w:pos="508"/>
              </w:tabs>
              <w:spacing w:after="280"/>
            </w:pPr>
            <w:r>
              <w:t xml:space="preserve">Loftslagsáhættu- og veikleikamatið er í réttu hlutfalli við umfang starfseminnar og </w:t>
            </w:r>
            <w:proofErr w:type="spellStart"/>
            <w:r>
              <w:t>væntan</w:t>
            </w:r>
            <w:proofErr w:type="spellEnd"/>
            <w:r>
              <w:t xml:space="preserve"> líftíma hennar þannig að:</w:t>
            </w:r>
          </w:p>
          <w:p w14:paraId="2A8EC099" w14:textId="77777777" w:rsidR="002B5657" w:rsidRDefault="002B5657" w:rsidP="00A9140F">
            <w:pPr>
              <w:pStyle w:val="AnnexNumberedText"/>
              <w:spacing w:after="2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17F6B66" w14:textId="77777777" w:rsidR="002B5657" w:rsidRDefault="002B5657" w:rsidP="00A9140F">
            <w:pPr>
              <w:pStyle w:val="AnnexNumberedText"/>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0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2B5657" w14:paraId="04B800E7" w14:textId="77777777" w:rsidTr="00A9140F">
        <w:trPr>
          <w:trHeight w:val="360"/>
        </w:trPr>
        <w:tc>
          <w:tcPr>
            <w:tcW w:w="8740" w:type="dxa"/>
            <w:gridSpan w:val="2"/>
            <w:tcBorders>
              <w:top w:val="nil"/>
            </w:tcBorders>
            <w:tcMar>
              <w:top w:w="100" w:type="dxa"/>
              <w:left w:w="0" w:type="dxa"/>
              <w:bottom w:w="100" w:type="dxa"/>
              <w:right w:w="60" w:type="dxa"/>
            </w:tcMar>
          </w:tcPr>
          <w:p w14:paraId="74A5E98F" w14:textId="77777777" w:rsidR="002B5657" w:rsidRDefault="002B5657" w:rsidP="00A9140F">
            <w:pPr>
              <w:pStyle w:val="AnnexNumberedText"/>
              <w:pageBreakBefore/>
              <w:tabs>
                <w:tab w:val="left" w:pos="508"/>
              </w:tabs>
              <w:spacing w:after="3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507"/>
            </w:r>
            <w:r>
              <w:t>), vísindalegt ritrýnt útgefið efni og líkön með opnum aðgangi (</w:t>
            </w:r>
            <w:r>
              <w:rPr>
                <w:rStyle w:val="Tilvsunneanmlsgrein"/>
                <w:sz w:val="18"/>
                <w:szCs w:val="18"/>
              </w:rPr>
              <w:footnoteReference w:id="508"/>
            </w:r>
            <w:r>
              <w:t>) eða gegn greiðslu.</w:t>
            </w:r>
          </w:p>
          <w:p w14:paraId="1BFE14E1" w14:textId="77777777" w:rsidR="002B5657" w:rsidRDefault="002B5657" w:rsidP="00A9140F">
            <w:pPr>
              <w:pStyle w:val="AnnexNumberedText"/>
              <w:tabs>
                <w:tab w:val="left" w:pos="508"/>
              </w:tabs>
              <w:spacing w:after="300"/>
              <w:ind w:left="0" w:firstLine="0"/>
              <w:rPr>
                <w:szCs w:val="18"/>
              </w:rPr>
            </w:pPr>
            <w:r>
              <w:t>4.</w:t>
            </w:r>
            <w:r>
              <w:tab/>
              <w:t>Aðlögunarlausnir sem komið er í framkvæmd:</w:t>
            </w:r>
          </w:p>
          <w:p w14:paraId="7D73AE03" w14:textId="77777777" w:rsidR="002B5657" w:rsidRDefault="002B5657"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59E7A4B8" w14:textId="77777777" w:rsidR="002B5657" w:rsidRDefault="002B5657" w:rsidP="00A9140F">
            <w:pPr>
              <w:pStyle w:val="AnnexNumberedText"/>
              <w:spacing w:after="300"/>
              <w:rPr>
                <w:szCs w:val="18"/>
              </w:rPr>
            </w:pPr>
            <w:r>
              <w:t>b)</w:t>
            </w:r>
            <w:r>
              <w:tab/>
              <w:t>eru með náttúrumiðaðar lausnir (</w:t>
            </w:r>
            <w:r>
              <w:rPr>
                <w:rStyle w:val="Tilvsunneanmlsgrein"/>
                <w:sz w:val="18"/>
                <w:szCs w:val="18"/>
              </w:rPr>
              <w:footnoteReference w:id="509"/>
            </w:r>
            <w:r>
              <w:t>) í forgangi eða treyst er á bláa eða græna innviði (</w:t>
            </w:r>
            <w:r>
              <w:rPr>
                <w:rStyle w:val="Tilvsunneanmlsgrein"/>
                <w:sz w:val="18"/>
                <w:szCs w:val="18"/>
              </w:rPr>
              <w:footnoteReference w:id="510"/>
            </w:r>
            <w:r>
              <w:t>) að því marki sem mögulegt er,</w:t>
            </w:r>
          </w:p>
          <w:p w14:paraId="26A71BF5" w14:textId="77777777" w:rsidR="002B5657" w:rsidRDefault="002B5657" w:rsidP="00A9140F">
            <w:pPr>
              <w:pStyle w:val="AnnexNumberedText"/>
              <w:spacing w:after="300"/>
              <w:rPr>
                <w:szCs w:val="18"/>
              </w:rPr>
            </w:pPr>
            <w:r>
              <w:t>c)</w:t>
            </w:r>
            <w:r>
              <w:tab/>
              <w:t>eru í samræmi við staðbundnar, geirabundnar, svæðisbundnar eða landsbundnar aðlögunarstefnur og -áætlanir,</w:t>
            </w:r>
          </w:p>
          <w:p w14:paraId="73E85C2B" w14:textId="77777777" w:rsidR="002B5657" w:rsidRDefault="002B5657"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424D97B" w14:textId="77777777" w:rsidR="002B5657" w:rsidRDefault="002B5657" w:rsidP="00A9140F">
            <w:pPr>
              <w:pStyle w:val="AnnexNumberedText"/>
              <w:spacing w:after="30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1017A6DB" w14:textId="77777777" w:rsidTr="00A9140F">
        <w:trPr>
          <w:trHeight w:val="240"/>
        </w:trPr>
        <w:tc>
          <w:tcPr>
            <w:tcW w:w="8740" w:type="dxa"/>
            <w:gridSpan w:val="2"/>
            <w:tcMar>
              <w:top w:w="100" w:type="dxa"/>
              <w:left w:w="0" w:type="dxa"/>
              <w:bottom w:w="100" w:type="dxa"/>
              <w:right w:w="60" w:type="dxa"/>
            </w:tcMar>
          </w:tcPr>
          <w:p w14:paraId="220760C2" w14:textId="77777777" w:rsidR="002B5657" w:rsidRDefault="002B5657" w:rsidP="00A9140F">
            <w:pPr>
              <w:pStyle w:val="AnnexTableCellLeft"/>
            </w:pPr>
            <w:r>
              <w:t>Ekki valda umtalsverðu tjóni</w:t>
            </w:r>
          </w:p>
        </w:tc>
      </w:tr>
      <w:tr w:rsidR="002B5657" w14:paraId="340954AA" w14:textId="77777777" w:rsidTr="00A9140F">
        <w:trPr>
          <w:trHeight w:val="360"/>
        </w:trPr>
        <w:tc>
          <w:tcPr>
            <w:tcW w:w="2872" w:type="dxa"/>
            <w:tcMar>
              <w:top w:w="100" w:type="dxa"/>
              <w:left w:w="0" w:type="dxa"/>
              <w:bottom w:w="100" w:type="dxa"/>
              <w:right w:w="60" w:type="dxa"/>
            </w:tcMar>
          </w:tcPr>
          <w:p w14:paraId="7668D1C2" w14:textId="77777777" w:rsidR="002B5657" w:rsidRDefault="002B5657" w:rsidP="00A9140F">
            <w:pPr>
              <w:pStyle w:val="AnnexNumberedText"/>
            </w:pPr>
            <w:r>
              <w:t>1)</w:t>
            </w:r>
            <w:r>
              <w:tab/>
              <w:t>Mildun loftslagsbreytinga</w:t>
            </w:r>
          </w:p>
        </w:tc>
        <w:tc>
          <w:tcPr>
            <w:tcW w:w="5868" w:type="dxa"/>
            <w:tcMar>
              <w:top w:w="100" w:type="dxa"/>
              <w:left w:w="40" w:type="dxa"/>
              <w:bottom w:w="100" w:type="dxa"/>
              <w:right w:w="0" w:type="dxa"/>
            </w:tcMar>
          </w:tcPr>
          <w:p w14:paraId="2E43F424" w14:textId="77777777" w:rsidR="002B5657" w:rsidRDefault="002B5657" w:rsidP="00A9140F">
            <w:pPr>
              <w:pStyle w:val="AnnexTableCellLeft"/>
              <w:spacing w:after="300"/>
            </w:pPr>
            <w:r>
              <w:t>Starfsemin er í samræmi við kröfuna um að minnka losun gróðurhúsalofttegunda á vistferlinum um 70%, miðað við jarðefnaeldsneytissambera sem nemur 94 g CO</w:t>
            </w:r>
            <w:r>
              <w:rPr>
                <w:vertAlign w:val="subscript"/>
              </w:rPr>
              <w:t>2</w:t>
            </w:r>
            <w:r>
              <w:t>e/MJ, eins og sett er fram í 2. mgr. 25. gr. tilskipunar Evrópuþingsins og ráðsins (ESB) 2018/2001 (</w:t>
            </w:r>
            <w:r>
              <w:rPr>
                <w:rStyle w:val="Tilvsunneanmlsgrein"/>
                <w:sz w:val="18"/>
              </w:rPr>
              <w:footnoteReference w:id="511"/>
            </w:r>
            <w:r>
              <w:t>) og V. viðauka við þá tilskipun.</w:t>
            </w:r>
          </w:p>
          <w:p w14:paraId="7FF9DBDF" w14:textId="77777777" w:rsidR="002B5657" w:rsidRDefault="002B5657" w:rsidP="00A9140F">
            <w:pPr>
              <w:pStyle w:val="AnnexTableCellLeft"/>
              <w:spacing w:after="300"/>
            </w:pPr>
            <w:r>
              <w:t>Minnkun á losun gróðurhúsalofttegunda á vistferlinum er reiknuð út með því að nota aðferðina sem um getur í 5. mgr. 28. gr. tilskipunar (ESB) 2018/2001 eða, að öðrum kosti, með því að nota ISO 14067:2018 (</w:t>
            </w:r>
            <w:r>
              <w:rPr>
                <w:rStyle w:val="Tilvsunneanmlsgrein"/>
                <w:sz w:val="18"/>
              </w:rPr>
              <w:footnoteReference w:id="512"/>
            </w:r>
            <w:r>
              <w:t>) eða ISO 14064-1:2018 (</w:t>
            </w:r>
            <w:r>
              <w:rPr>
                <w:rStyle w:val="Tilvsunneanmlsgrein"/>
                <w:sz w:val="18"/>
              </w:rPr>
              <w:footnoteReference w:id="513"/>
            </w:r>
            <w:r>
              <w:t>).</w:t>
            </w:r>
          </w:p>
          <w:p w14:paraId="2F74EF33" w14:textId="77777777" w:rsidR="002B5657" w:rsidRDefault="002B5657" w:rsidP="00A9140F">
            <w:pPr>
              <w:pStyle w:val="AnnexTableCellLeft"/>
              <w:spacing w:after="300"/>
            </w:pPr>
            <w:r>
              <w:t>Magngreind minnkun á losun gróðurhúsalofttegunda á vistferlinum er sannprófuð í samræmi við 30. gr. tilskipunar (ESB) 2018/2001, eftir atvikum, eða af óháðum þriðja aðila.</w:t>
            </w:r>
          </w:p>
        </w:tc>
      </w:tr>
      <w:tr w:rsidR="002B5657" w14:paraId="2B850B5C" w14:textId="77777777" w:rsidTr="00A9140F">
        <w:trPr>
          <w:trHeight w:val="360"/>
        </w:trPr>
        <w:tc>
          <w:tcPr>
            <w:tcW w:w="2872" w:type="dxa"/>
            <w:tcMar>
              <w:top w:w="100" w:type="dxa"/>
              <w:left w:w="0" w:type="dxa"/>
              <w:bottom w:w="100" w:type="dxa"/>
              <w:right w:w="60" w:type="dxa"/>
            </w:tcMar>
          </w:tcPr>
          <w:p w14:paraId="6501CF21" w14:textId="77777777" w:rsidR="002B5657" w:rsidRDefault="002B5657" w:rsidP="00A9140F">
            <w:pPr>
              <w:pStyle w:val="AnnexNumberedText"/>
            </w:pPr>
            <w:r>
              <w:lastRenderedPageBreak/>
              <w:t>3)</w:t>
            </w:r>
            <w:r>
              <w:tab/>
              <w:t>Sjálfbær notkun og verndun vatns- og sjávarauðlinda</w:t>
            </w:r>
          </w:p>
        </w:tc>
        <w:tc>
          <w:tcPr>
            <w:tcW w:w="5868" w:type="dxa"/>
            <w:tcMar>
              <w:top w:w="100" w:type="dxa"/>
              <w:left w:w="40" w:type="dxa"/>
              <w:bottom w:w="100" w:type="dxa"/>
              <w:right w:w="0" w:type="dxa"/>
            </w:tcMar>
          </w:tcPr>
          <w:p w14:paraId="117408DF" w14:textId="77777777" w:rsidR="002B5657" w:rsidRDefault="002B5657" w:rsidP="00A9140F">
            <w:pPr>
              <w:pStyle w:val="AnnexTableCellLeft"/>
            </w:pPr>
            <w:r>
              <w:t>Starfsemin er í samræmi við viðmiðanirnar sem settar eru fram í viðbæti B við þennan viðauka.</w:t>
            </w:r>
          </w:p>
        </w:tc>
      </w:tr>
      <w:tr w:rsidR="002B5657" w14:paraId="283F6139" w14:textId="77777777" w:rsidTr="00A9140F">
        <w:trPr>
          <w:trHeight w:val="360"/>
        </w:trPr>
        <w:tc>
          <w:tcPr>
            <w:tcW w:w="2872" w:type="dxa"/>
            <w:tcMar>
              <w:top w:w="100" w:type="dxa"/>
              <w:left w:w="0" w:type="dxa"/>
              <w:bottom w:w="100" w:type="dxa"/>
              <w:right w:w="60" w:type="dxa"/>
            </w:tcMar>
          </w:tcPr>
          <w:p w14:paraId="2A1192AD" w14:textId="77777777" w:rsidR="002B5657" w:rsidRDefault="002B5657" w:rsidP="00A9140F">
            <w:pPr>
              <w:pStyle w:val="AnnexNumberedText"/>
              <w:pageBreakBefore/>
            </w:pPr>
            <w:r>
              <w:lastRenderedPageBreak/>
              <w:t>4)</w:t>
            </w:r>
            <w:r>
              <w:tab/>
              <w:t>Umskipti yfir í hringrásarhagkerfi</w:t>
            </w:r>
          </w:p>
        </w:tc>
        <w:tc>
          <w:tcPr>
            <w:tcW w:w="5868" w:type="dxa"/>
            <w:tcMar>
              <w:top w:w="100" w:type="dxa"/>
              <w:left w:w="40" w:type="dxa"/>
              <w:bottom w:w="100" w:type="dxa"/>
              <w:right w:w="0" w:type="dxa"/>
            </w:tcMar>
          </w:tcPr>
          <w:p w14:paraId="7F34D0E8" w14:textId="77777777" w:rsidR="002B5657" w:rsidRDefault="002B5657" w:rsidP="00A9140F">
            <w:pPr>
              <w:pStyle w:val="AnnexTableCellLeft"/>
            </w:pPr>
            <w:r>
              <w:t>Á ekki við</w:t>
            </w:r>
          </w:p>
        </w:tc>
      </w:tr>
      <w:tr w:rsidR="002B5657" w14:paraId="1FB1F4A9" w14:textId="77777777" w:rsidTr="00A9140F">
        <w:trPr>
          <w:trHeight w:val="360"/>
        </w:trPr>
        <w:tc>
          <w:tcPr>
            <w:tcW w:w="2872" w:type="dxa"/>
            <w:tcMar>
              <w:top w:w="100" w:type="dxa"/>
              <w:left w:w="0" w:type="dxa"/>
              <w:bottom w:w="100" w:type="dxa"/>
              <w:right w:w="60" w:type="dxa"/>
            </w:tcMar>
          </w:tcPr>
          <w:p w14:paraId="228194CF" w14:textId="77777777" w:rsidR="002B5657" w:rsidRDefault="002B5657" w:rsidP="00A9140F">
            <w:pPr>
              <w:pStyle w:val="AnnexNumberedText"/>
            </w:pPr>
            <w:r>
              <w:t>5)</w:t>
            </w:r>
            <w:r>
              <w:tab/>
              <w:t>Mengunarvarnir og eftirlit með mengun</w:t>
            </w:r>
          </w:p>
        </w:tc>
        <w:tc>
          <w:tcPr>
            <w:tcW w:w="5868" w:type="dxa"/>
            <w:tcMar>
              <w:top w:w="100" w:type="dxa"/>
              <w:left w:w="40" w:type="dxa"/>
              <w:bottom w:w="100" w:type="dxa"/>
              <w:right w:w="0" w:type="dxa"/>
            </w:tcMar>
          </w:tcPr>
          <w:p w14:paraId="60369F84" w14:textId="77777777" w:rsidR="002B5657" w:rsidRDefault="002B5657" w:rsidP="00A9140F">
            <w:pPr>
              <w:pStyle w:val="AnnexTableCellLeft"/>
              <w:spacing w:after="200"/>
            </w:pPr>
            <w:r>
              <w:t>Starfsemin er í samræmi við viðmiðanirnar sem settar eru fram í viðbæti C við þennan viðauka.</w:t>
            </w:r>
          </w:p>
          <w:p w14:paraId="2A926E62" w14:textId="77777777" w:rsidR="002B5657" w:rsidRDefault="002B5657" w:rsidP="00A9140F">
            <w:pPr>
              <w:pStyle w:val="AnnexTableCellLeft"/>
              <w:spacing w:after="200"/>
            </w:pPr>
            <w:r>
              <w:t>Losun fellur innan við eða undir svið losunargilda sem tengjast bestu, aðgengilegu tækni samkvæmt viðeigandi niðurstöðum um bestu aðgengilegu tækni, þ.m.t.:</w:t>
            </w:r>
          </w:p>
          <w:p w14:paraId="4EA180DD" w14:textId="77777777" w:rsidR="002B5657" w:rsidRDefault="002B5657" w:rsidP="00A9140F">
            <w:pPr>
              <w:pStyle w:val="AnnexNumberedText"/>
              <w:spacing w:after="200"/>
            </w:pPr>
            <w:r>
              <w:t>a)</w:t>
            </w:r>
            <w:r>
              <w:tab/>
              <w:t xml:space="preserve">niðurstöður um bestu aðgengilegu tækni fyrir framleiðslu á </w:t>
            </w:r>
            <w:proofErr w:type="spellStart"/>
            <w:r>
              <w:t>klóralkalí</w:t>
            </w:r>
            <w:proofErr w:type="spellEnd"/>
            <w:r>
              <w:t xml:space="preserve"> (</w:t>
            </w:r>
            <w:r>
              <w:rPr>
                <w:rStyle w:val="Tilvsunneanmlsgrein"/>
                <w:sz w:val="18"/>
              </w:rPr>
              <w:footnoteReference w:id="514"/>
            </w:r>
            <w:r>
              <w:t xml:space="preserve">) og niðurstöður um bestu aðgengilegu tækni fyrir sameiginleg hreinsunar- og stjórnunarkerfi fyrir </w:t>
            </w:r>
            <w:proofErr w:type="spellStart"/>
            <w:r>
              <w:t>skólp</w:t>
            </w:r>
            <w:proofErr w:type="spellEnd"/>
            <w:r>
              <w:t xml:space="preserve"> og úrgangsloft í </w:t>
            </w:r>
            <w:proofErr w:type="spellStart"/>
            <w:r>
              <w:t>íðefnageiranum</w:t>
            </w:r>
            <w:proofErr w:type="spellEnd"/>
            <w:r>
              <w:t xml:space="preserve"> (</w:t>
            </w:r>
            <w:r>
              <w:rPr>
                <w:rStyle w:val="Tilvsunneanmlsgrein"/>
                <w:sz w:val="18"/>
              </w:rPr>
              <w:footnoteReference w:id="515"/>
            </w:r>
            <w:r>
              <w:t>).</w:t>
            </w:r>
          </w:p>
          <w:p w14:paraId="24D98144" w14:textId="77777777" w:rsidR="002B5657" w:rsidRDefault="002B5657" w:rsidP="00A9140F">
            <w:pPr>
              <w:pStyle w:val="AnnexNumberedText"/>
              <w:spacing w:after="200"/>
            </w:pPr>
            <w:r>
              <w:t>b)</w:t>
            </w:r>
            <w:r>
              <w:tab/>
              <w:t>niðurstöður um bestu aðgengilegu tækni (BAT) vegna hreinsunar á jarðolíu og gasi (</w:t>
            </w:r>
            <w:r>
              <w:rPr>
                <w:rStyle w:val="Tilvsunneanmlsgrein"/>
                <w:sz w:val="18"/>
              </w:rPr>
              <w:footnoteReference w:id="516"/>
            </w:r>
            <w:r>
              <w:t>).</w:t>
            </w:r>
          </w:p>
          <w:p w14:paraId="4740E585" w14:textId="77777777" w:rsidR="002B5657" w:rsidRDefault="002B5657" w:rsidP="00A9140F">
            <w:pPr>
              <w:pStyle w:val="AnnexTableCellLeft"/>
              <w:spacing w:after="200"/>
            </w:pPr>
            <w:r>
              <w:t>Engin umtalsverð yfirfærsluáhrif milli umhverfishólfa eiga sér stað.</w:t>
            </w:r>
          </w:p>
        </w:tc>
      </w:tr>
      <w:tr w:rsidR="002B5657" w14:paraId="75638D36" w14:textId="77777777" w:rsidTr="00A9140F">
        <w:trPr>
          <w:trHeight w:val="360"/>
        </w:trPr>
        <w:tc>
          <w:tcPr>
            <w:tcW w:w="2872" w:type="dxa"/>
            <w:tcMar>
              <w:top w:w="100" w:type="dxa"/>
              <w:left w:w="0" w:type="dxa"/>
              <w:bottom w:w="100" w:type="dxa"/>
              <w:right w:w="60" w:type="dxa"/>
            </w:tcMar>
          </w:tcPr>
          <w:p w14:paraId="0903CCF7" w14:textId="77777777" w:rsidR="002B5657" w:rsidRDefault="002B5657" w:rsidP="00A9140F">
            <w:pPr>
              <w:pStyle w:val="AnnexNumberedText"/>
            </w:pPr>
            <w:r>
              <w:t>6)</w:t>
            </w:r>
            <w:r>
              <w:tab/>
              <w:t>Vernd og endurheimt líffræðilegrar fjölbreytni og vistkerfa</w:t>
            </w:r>
          </w:p>
        </w:tc>
        <w:tc>
          <w:tcPr>
            <w:tcW w:w="5868" w:type="dxa"/>
            <w:tcMar>
              <w:top w:w="100" w:type="dxa"/>
              <w:left w:w="40" w:type="dxa"/>
              <w:bottom w:w="100" w:type="dxa"/>
              <w:right w:w="0" w:type="dxa"/>
            </w:tcMar>
          </w:tcPr>
          <w:p w14:paraId="71DAE3D6" w14:textId="77777777" w:rsidR="002B5657" w:rsidRDefault="002B5657" w:rsidP="00A9140F">
            <w:pPr>
              <w:pStyle w:val="AnnexTableCellLeft"/>
            </w:pPr>
            <w:r>
              <w:t>Starfsemin er í samræmi við viðmiðanirnar sem settar eru fram í viðbæti D við þennan viðauka.</w:t>
            </w:r>
          </w:p>
        </w:tc>
      </w:tr>
    </w:tbl>
    <w:p w14:paraId="072D5638" w14:textId="77777777" w:rsidR="002B5657" w:rsidRDefault="002B5657" w:rsidP="002B5657">
      <w:pPr>
        <w:pStyle w:val="AnnexNumberedText"/>
        <w:spacing w:before="200" w:after="200"/>
        <w:ind w:left="500" w:hanging="500"/>
      </w:pPr>
      <w:r>
        <w:t>3.11.</w:t>
      </w:r>
      <w:r>
        <w:rPr>
          <w:b/>
        </w:rPr>
        <w:tab/>
        <w:t xml:space="preserve">Framleiðsla á </w:t>
      </w:r>
      <w:proofErr w:type="spellStart"/>
      <w:r>
        <w:rPr>
          <w:b/>
        </w:rPr>
        <w:t>kinroki</w:t>
      </w:r>
      <w:proofErr w:type="spellEnd"/>
    </w:p>
    <w:p w14:paraId="715150B9" w14:textId="77777777" w:rsidR="002B5657" w:rsidRDefault="002B5657" w:rsidP="002B5657">
      <w:pPr>
        <w:pStyle w:val="AnnexGrSeq3"/>
        <w:ind w:left="500"/>
        <w:jc w:val="both"/>
      </w:pPr>
      <w:r>
        <w:rPr>
          <w:i/>
        </w:rPr>
        <w:t>Lýsing á starfseminni</w:t>
      </w:r>
    </w:p>
    <w:p w14:paraId="5792B3C1" w14:textId="77777777" w:rsidR="002B5657" w:rsidRDefault="002B5657" w:rsidP="002B5657">
      <w:pPr>
        <w:pStyle w:val="AnnexNormal"/>
        <w:ind w:left="500"/>
      </w:pPr>
      <w:r>
        <w:t xml:space="preserve">Framleiðsla á </w:t>
      </w:r>
      <w:proofErr w:type="spellStart"/>
      <w:r>
        <w:t>kinroki</w:t>
      </w:r>
      <w:proofErr w:type="spellEnd"/>
      <w:r>
        <w:t>.</w:t>
      </w:r>
    </w:p>
    <w:p w14:paraId="3206D858" w14:textId="77777777" w:rsidR="002B5657" w:rsidRDefault="002B5657" w:rsidP="002B5657">
      <w:pPr>
        <w:pStyle w:val="AnnexNormal"/>
        <w:ind w:left="500"/>
      </w:pPr>
      <w:r>
        <w:t>Atvinnustarfsemin í þessum flokki gæti tengst kóða atvinnugreinaflokkunar Evrópusambandsins C20.13 í samræmi við atvinnugreinaflokkunina sem komið var á með reglugerð (EB) nr. 1893/2006.</w:t>
      </w:r>
    </w:p>
    <w:p w14:paraId="4BA66AA8" w14:textId="77777777" w:rsidR="002B5657" w:rsidRDefault="002B5657" w:rsidP="002B5657">
      <w:pPr>
        <w:pStyle w:val="AnnexGrSeq3"/>
        <w:ind w:left="500"/>
        <w:jc w:val="both"/>
      </w:pPr>
      <w:r>
        <w:rPr>
          <w:i/>
        </w:rPr>
        <w:t>Tæknileg matsviðmið</w:t>
      </w:r>
    </w:p>
    <w:tbl>
      <w:tblPr>
        <w:tblStyle w:val="EFTATable"/>
        <w:tblW w:w="8752" w:type="dxa"/>
        <w:tblInd w:w="500" w:type="dxa"/>
        <w:tblLayout w:type="fixed"/>
        <w:tblLook w:val="04A0" w:firstRow="1" w:lastRow="0" w:firstColumn="1" w:lastColumn="0" w:noHBand="0" w:noVBand="1"/>
      </w:tblPr>
      <w:tblGrid>
        <w:gridCol w:w="2968"/>
        <w:gridCol w:w="5784"/>
      </w:tblGrid>
      <w:tr w:rsidR="002B5657" w14:paraId="72D97B2F" w14:textId="77777777" w:rsidTr="00A9140F">
        <w:trPr>
          <w:trHeight w:val="240"/>
        </w:trPr>
        <w:tc>
          <w:tcPr>
            <w:tcW w:w="8752" w:type="dxa"/>
            <w:gridSpan w:val="2"/>
            <w:tcBorders>
              <w:bottom w:val="single" w:sz="4" w:space="0" w:color="auto"/>
            </w:tcBorders>
            <w:tcMar>
              <w:top w:w="100" w:type="dxa"/>
              <w:left w:w="0" w:type="dxa"/>
              <w:bottom w:w="100" w:type="dxa"/>
              <w:right w:w="60" w:type="dxa"/>
            </w:tcMar>
          </w:tcPr>
          <w:p w14:paraId="4A567BD5" w14:textId="77777777" w:rsidR="002B5657" w:rsidRDefault="002B5657" w:rsidP="00A9140F">
            <w:pPr>
              <w:pStyle w:val="AnnexTableCellLeft"/>
            </w:pPr>
            <w:r>
              <w:t>Verulegt framlag til aðlögunar að loftslagsbreytingum</w:t>
            </w:r>
          </w:p>
        </w:tc>
      </w:tr>
      <w:tr w:rsidR="002B5657" w14:paraId="272856FF" w14:textId="77777777" w:rsidTr="00A9140F">
        <w:trPr>
          <w:trHeight w:val="360"/>
        </w:trPr>
        <w:tc>
          <w:tcPr>
            <w:tcW w:w="8752" w:type="dxa"/>
            <w:gridSpan w:val="2"/>
            <w:tcBorders>
              <w:bottom w:val="nil"/>
            </w:tcBorders>
            <w:tcMar>
              <w:top w:w="100" w:type="dxa"/>
              <w:left w:w="0" w:type="dxa"/>
              <w:bottom w:w="100" w:type="dxa"/>
              <w:right w:w="60" w:type="dxa"/>
            </w:tcMar>
          </w:tcPr>
          <w:p w14:paraId="1C57ADFE" w14:textId="77777777" w:rsidR="002B5657" w:rsidRDefault="002B5657" w:rsidP="00A9140F">
            <w:pPr>
              <w:pStyle w:val="AnnexNumberedText"/>
              <w:tabs>
                <w:tab w:val="left" w:pos="508"/>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ABA9CBF" w14:textId="77777777" w:rsidR="002B5657" w:rsidRDefault="002B5657" w:rsidP="00A9140F">
            <w:pPr>
              <w:pStyle w:val="AnnexNumberedText"/>
              <w:tabs>
                <w:tab w:val="left" w:pos="508"/>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41C436D" w14:textId="77777777" w:rsidR="002B5657" w:rsidRDefault="002B5657"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1B535FA0" w14:textId="77777777" w:rsidR="002B5657" w:rsidRDefault="002B5657" w:rsidP="00A9140F">
            <w:pPr>
              <w:pStyle w:val="AnnexNumberedText"/>
              <w:spacing w:after="200"/>
            </w:pPr>
            <w:r>
              <w:t>b)</w:t>
            </w:r>
            <w:r>
              <w:tab/>
              <w:t>ef metið er að starfsemin sé í áhættu vegna einnar eða fleiri tegunda efnislegrar loftslagsáhættu sem er skráð í viðbæti A við þennan viðauka, loftslagsáhættu- og veikleikamat til að meta hversu mikla þýðingu efnislega loftslagsáhættan hefur fyrir atvinnustarfsemina,</w:t>
            </w:r>
          </w:p>
          <w:p w14:paraId="68884B59" w14:textId="77777777" w:rsidR="002B5657" w:rsidRDefault="002B5657" w:rsidP="00A9140F">
            <w:pPr>
              <w:pStyle w:val="AnnexNumberedText"/>
              <w:spacing w:after="200"/>
            </w:pPr>
            <w:r>
              <w:t>c)</w:t>
            </w:r>
            <w:r>
              <w:tab/>
              <w:t>mat á aðlögunarlausnum sem geta dregið úr greindri efnislegri loftslagsáhættu.</w:t>
            </w:r>
          </w:p>
          <w:p w14:paraId="4FBF8772" w14:textId="77777777" w:rsidR="002B5657" w:rsidRDefault="002B5657" w:rsidP="00A9140F">
            <w:pPr>
              <w:pStyle w:val="AnnexTableCellLeft"/>
              <w:tabs>
                <w:tab w:val="left" w:pos="508"/>
              </w:tabs>
              <w:spacing w:after="200"/>
            </w:pPr>
            <w:r>
              <w:t xml:space="preserve">Loftslagsáhættu- og veikleikamatið er í réttu hlutfalli við umfang starfseminnar og </w:t>
            </w:r>
            <w:proofErr w:type="spellStart"/>
            <w:r>
              <w:t>væntan</w:t>
            </w:r>
            <w:proofErr w:type="spellEnd"/>
            <w:r>
              <w:t xml:space="preserve"> líftíma hennar þannig að:</w:t>
            </w:r>
          </w:p>
          <w:p w14:paraId="01BC12C2" w14:textId="77777777" w:rsidR="002B5657" w:rsidRDefault="002B5657" w:rsidP="00A9140F">
            <w:pPr>
              <w:pStyle w:val="AnnexNumberedText"/>
              <w:spacing w:after="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tc>
      </w:tr>
      <w:tr w:rsidR="002B5657" w14:paraId="2543B2E6" w14:textId="77777777" w:rsidTr="00A9140F">
        <w:trPr>
          <w:trHeight w:val="360"/>
        </w:trPr>
        <w:tc>
          <w:tcPr>
            <w:tcW w:w="8752" w:type="dxa"/>
            <w:gridSpan w:val="2"/>
            <w:tcBorders>
              <w:top w:val="nil"/>
            </w:tcBorders>
            <w:tcMar>
              <w:top w:w="100" w:type="dxa"/>
              <w:left w:w="0" w:type="dxa"/>
              <w:bottom w:w="100" w:type="dxa"/>
              <w:right w:w="60" w:type="dxa"/>
            </w:tcMar>
          </w:tcPr>
          <w:p w14:paraId="519E4928" w14:textId="77777777" w:rsidR="002B5657" w:rsidRDefault="002B5657" w:rsidP="00A9140F">
            <w:pPr>
              <w:pStyle w:val="AnnexNumberedText"/>
              <w:pageBreakBefore/>
              <w:spacing w:after="440"/>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17"/>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069702D" w14:textId="77777777" w:rsidR="002B5657" w:rsidRDefault="002B5657" w:rsidP="00A9140F">
            <w:pPr>
              <w:pStyle w:val="AnnexNumberedText"/>
              <w:tabs>
                <w:tab w:val="left" w:pos="508"/>
              </w:tabs>
              <w:spacing w:after="44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18"/>
            </w:r>
            <w:r>
              <w:t>), vísindalegt ritrýnt útgefið efni og líkön með opnum aðgangi (</w:t>
            </w:r>
            <w:r>
              <w:rPr>
                <w:rStyle w:val="Tilvsunneanmlsgrein"/>
                <w:sz w:val="18"/>
              </w:rPr>
              <w:footnoteReference w:id="519"/>
            </w:r>
            <w:r>
              <w:t>) eða gegn greiðslu.</w:t>
            </w:r>
          </w:p>
          <w:p w14:paraId="280156B9" w14:textId="77777777" w:rsidR="002B5657" w:rsidRDefault="002B5657" w:rsidP="00A9140F">
            <w:pPr>
              <w:pStyle w:val="AnnexNumberedText"/>
              <w:tabs>
                <w:tab w:val="left" w:pos="508"/>
              </w:tabs>
              <w:spacing w:after="440"/>
              <w:ind w:left="0" w:firstLine="0"/>
            </w:pPr>
            <w:r>
              <w:t>4.</w:t>
            </w:r>
            <w:r>
              <w:tab/>
              <w:t>Aðlögunarlausnir sem komið er í framkvæmd:</w:t>
            </w:r>
          </w:p>
          <w:p w14:paraId="5668D205" w14:textId="77777777" w:rsidR="002B5657" w:rsidRDefault="002B5657" w:rsidP="00A9140F">
            <w:pPr>
              <w:pStyle w:val="AnnexNumberedText"/>
              <w:spacing w:after="440"/>
            </w:pPr>
            <w:r>
              <w:t>a)</w:t>
            </w:r>
            <w:r>
              <w:tab/>
              <w:t>hafa ekki neikvæð áhrif á viðleitni til aðlögunar eða viðnám annars fólks, náttúru, menningararfleifðar, eigna og annarrar atvinnustarfsemi gegn efnislegri loftslagsáhættu,</w:t>
            </w:r>
          </w:p>
          <w:p w14:paraId="0E4DE95A" w14:textId="77777777" w:rsidR="002B5657" w:rsidRDefault="002B5657" w:rsidP="00A9140F">
            <w:pPr>
              <w:pStyle w:val="AnnexNumberedText"/>
              <w:spacing w:after="440"/>
            </w:pPr>
            <w:r>
              <w:t>b)</w:t>
            </w:r>
            <w:r>
              <w:tab/>
              <w:t>eru með náttúrumiðaðar lausnir (</w:t>
            </w:r>
            <w:r>
              <w:rPr>
                <w:rStyle w:val="Tilvsunneanmlsgrein"/>
                <w:sz w:val="18"/>
              </w:rPr>
              <w:footnoteReference w:id="520"/>
            </w:r>
            <w:r>
              <w:t>) í forgangi eða treyst er á bláa eða græna innviði (</w:t>
            </w:r>
            <w:r>
              <w:rPr>
                <w:rStyle w:val="Tilvsunneanmlsgrein"/>
                <w:sz w:val="18"/>
              </w:rPr>
              <w:footnoteReference w:id="521"/>
            </w:r>
            <w:r>
              <w:t>) að því marki sem mögulegt er,</w:t>
            </w:r>
          </w:p>
          <w:p w14:paraId="5DFDEBDF" w14:textId="77777777" w:rsidR="002B5657" w:rsidRDefault="002B5657" w:rsidP="00A9140F">
            <w:pPr>
              <w:pStyle w:val="AnnexNumberedText"/>
              <w:spacing w:after="440"/>
            </w:pPr>
            <w:r>
              <w:t>c)</w:t>
            </w:r>
            <w:r>
              <w:tab/>
              <w:t>eru í samræmi við staðbundnar, geirabundnar, svæðisbundnar eða landsbundnar aðlögunarstefnur og -áætlanir,</w:t>
            </w:r>
          </w:p>
          <w:p w14:paraId="714EC378" w14:textId="77777777" w:rsidR="002B5657" w:rsidRDefault="002B5657" w:rsidP="00A9140F">
            <w:pPr>
              <w:pStyle w:val="AnnexNumberedText"/>
              <w:spacing w:after="44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5ADBD4A" w14:textId="77777777" w:rsidR="002B5657" w:rsidRDefault="002B5657" w:rsidP="00A9140F">
            <w:pPr>
              <w:pStyle w:val="AnnexNumberedText"/>
              <w:spacing w:after="44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2B5657" w14:paraId="0ADAAF44" w14:textId="77777777" w:rsidTr="00A9140F">
        <w:trPr>
          <w:trHeight w:val="240"/>
        </w:trPr>
        <w:tc>
          <w:tcPr>
            <w:tcW w:w="8752" w:type="dxa"/>
            <w:gridSpan w:val="2"/>
            <w:tcMar>
              <w:top w:w="100" w:type="dxa"/>
              <w:left w:w="0" w:type="dxa"/>
              <w:bottom w:w="100" w:type="dxa"/>
              <w:right w:w="60" w:type="dxa"/>
            </w:tcMar>
          </w:tcPr>
          <w:p w14:paraId="3132F480" w14:textId="77777777" w:rsidR="002B5657" w:rsidRDefault="002B5657" w:rsidP="00A9140F">
            <w:pPr>
              <w:pStyle w:val="AnnexTableCellLeft"/>
            </w:pPr>
            <w:r>
              <w:t>Ekki valda umtalsverðu tjóni</w:t>
            </w:r>
          </w:p>
        </w:tc>
      </w:tr>
      <w:tr w:rsidR="002B5657" w14:paraId="036BC937" w14:textId="77777777" w:rsidTr="00A9140F">
        <w:trPr>
          <w:trHeight w:val="360"/>
        </w:trPr>
        <w:tc>
          <w:tcPr>
            <w:tcW w:w="2968" w:type="dxa"/>
            <w:tcMar>
              <w:top w:w="100" w:type="dxa"/>
              <w:left w:w="0" w:type="dxa"/>
              <w:bottom w:w="100" w:type="dxa"/>
              <w:right w:w="60" w:type="dxa"/>
            </w:tcMar>
          </w:tcPr>
          <w:p w14:paraId="0282723D" w14:textId="77777777" w:rsidR="002B5657" w:rsidRDefault="002B5657" w:rsidP="00A9140F">
            <w:pPr>
              <w:pStyle w:val="AnnexNumberedText"/>
              <w:ind w:left="293" w:hanging="293"/>
              <w:rPr>
                <w:szCs w:val="18"/>
              </w:rPr>
            </w:pPr>
            <w:r>
              <w:t>1)</w:t>
            </w:r>
            <w:r>
              <w:tab/>
              <w:t>Mildun loftslagsbreytinga</w:t>
            </w:r>
          </w:p>
        </w:tc>
        <w:tc>
          <w:tcPr>
            <w:tcW w:w="5784" w:type="dxa"/>
            <w:tcMar>
              <w:top w:w="100" w:type="dxa"/>
              <w:left w:w="40" w:type="dxa"/>
              <w:bottom w:w="100" w:type="dxa"/>
              <w:right w:w="0" w:type="dxa"/>
            </w:tcMar>
          </w:tcPr>
          <w:p w14:paraId="616539EB" w14:textId="77777777" w:rsidR="002B5657" w:rsidRDefault="002B5657" w:rsidP="00A9140F">
            <w:pPr>
              <w:pStyle w:val="AnnexTableCellLeft"/>
              <w:rPr>
                <w:szCs w:val="18"/>
              </w:rPr>
            </w:pPr>
            <w:r>
              <w:t>Losun gróðurhúsalofttegunda (</w:t>
            </w:r>
            <w:r>
              <w:rPr>
                <w:rStyle w:val="Tilvsunneanmlsgrein"/>
                <w:sz w:val="18"/>
                <w:szCs w:val="18"/>
              </w:rPr>
              <w:footnoteReference w:id="522"/>
            </w:r>
            <w:r>
              <w:t xml:space="preserve">) frá ferlum við framleiðslu á </w:t>
            </w:r>
            <w:proofErr w:type="spellStart"/>
            <w:r>
              <w:t>kinroki</w:t>
            </w:r>
            <w:proofErr w:type="spellEnd"/>
            <w:r>
              <w:t xml:space="preserve"> er minni en 1,615 (</w:t>
            </w:r>
            <w:r>
              <w:rPr>
                <w:rStyle w:val="Tilvsunneanmlsgrein"/>
                <w:sz w:val="18"/>
                <w:szCs w:val="18"/>
              </w:rPr>
              <w:footnoteReference w:id="523"/>
            </w:r>
            <w:r>
              <w:t>) tCO</w:t>
            </w:r>
            <w:r>
              <w:rPr>
                <w:vertAlign w:val="subscript"/>
              </w:rPr>
              <w:t>2</w:t>
            </w:r>
            <w:r>
              <w:t>e á hvert tonn af vöru.</w:t>
            </w:r>
          </w:p>
        </w:tc>
      </w:tr>
      <w:tr w:rsidR="002B5657" w14:paraId="4301CF33" w14:textId="77777777" w:rsidTr="00A9140F">
        <w:trPr>
          <w:trHeight w:val="360"/>
        </w:trPr>
        <w:tc>
          <w:tcPr>
            <w:tcW w:w="2968" w:type="dxa"/>
            <w:tcMar>
              <w:top w:w="100" w:type="dxa"/>
              <w:left w:w="0" w:type="dxa"/>
              <w:bottom w:w="100" w:type="dxa"/>
              <w:right w:w="60" w:type="dxa"/>
            </w:tcMar>
          </w:tcPr>
          <w:p w14:paraId="5912E91E" w14:textId="77777777" w:rsidR="002B5657" w:rsidRDefault="002B5657" w:rsidP="00A9140F">
            <w:pPr>
              <w:pStyle w:val="AnnexNumberedText"/>
              <w:ind w:left="293" w:hanging="293"/>
              <w:rPr>
                <w:szCs w:val="18"/>
              </w:rPr>
            </w:pPr>
            <w:r>
              <w:t>3)</w:t>
            </w:r>
            <w:r>
              <w:tab/>
              <w:t>Sjálfbær notkun og verndun vatns- og sjávarauðlinda</w:t>
            </w:r>
          </w:p>
        </w:tc>
        <w:tc>
          <w:tcPr>
            <w:tcW w:w="5784" w:type="dxa"/>
            <w:tcMar>
              <w:top w:w="100" w:type="dxa"/>
              <w:left w:w="40" w:type="dxa"/>
              <w:bottom w:w="100" w:type="dxa"/>
              <w:right w:w="0" w:type="dxa"/>
            </w:tcMar>
          </w:tcPr>
          <w:p w14:paraId="45860F32" w14:textId="77777777" w:rsidR="002B5657" w:rsidRDefault="002B5657" w:rsidP="00A9140F">
            <w:pPr>
              <w:pStyle w:val="AnnexTableCellLeft"/>
              <w:rPr>
                <w:szCs w:val="18"/>
              </w:rPr>
            </w:pPr>
            <w:r>
              <w:t>Starfsemin er í samræmi við viðmiðanirnar sem settar eru fram í viðbæti B við þennan viðauka.</w:t>
            </w:r>
          </w:p>
        </w:tc>
      </w:tr>
      <w:tr w:rsidR="002B5657" w14:paraId="225385FA" w14:textId="77777777" w:rsidTr="00A9140F">
        <w:trPr>
          <w:trHeight w:val="360"/>
        </w:trPr>
        <w:tc>
          <w:tcPr>
            <w:tcW w:w="2968" w:type="dxa"/>
            <w:tcMar>
              <w:top w:w="100" w:type="dxa"/>
              <w:left w:w="0" w:type="dxa"/>
              <w:bottom w:w="100" w:type="dxa"/>
              <w:right w:w="60" w:type="dxa"/>
            </w:tcMar>
          </w:tcPr>
          <w:p w14:paraId="3776AFCB" w14:textId="77777777" w:rsidR="002B5657" w:rsidRDefault="002B5657" w:rsidP="00A9140F">
            <w:pPr>
              <w:pStyle w:val="AnnexNumberedText"/>
              <w:ind w:left="293" w:hanging="293"/>
              <w:rPr>
                <w:szCs w:val="18"/>
              </w:rPr>
            </w:pPr>
            <w:r>
              <w:lastRenderedPageBreak/>
              <w:t>4)</w:t>
            </w:r>
            <w:r>
              <w:tab/>
              <w:t>Umskipti yfir í hringrásarhagkerfi</w:t>
            </w:r>
          </w:p>
        </w:tc>
        <w:tc>
          <w:tcPr>
            <w:tcW w:w="5784" w:type="dxa"/>
            <w:tcMar>
              <w:top w:w="100" w:type="dxa"/>
              <w:left w:w="40" w:type="dxa"/>
              <w:bottom w:w="100" w:type="dxa"/>
              <w:right w:w="0" w:type="dxa"/>
            </w:tcMar>
          </w:tcPr>
          <w:p w14:paraId="5F42D789" w14:textId="77777777" w:rsidR="002B5657" w:rsidRDefault="002B5657" w:rsidP="00A9140F">
            <w:pPr>
              <w:pStyle w:val="AnnexTableCellLeft"/>
              <w:rPr>
                <w:szCs w:val="18"/>
              </w:rPr>
            </w:pPr>
            <w:r>
              <w:t>Á ekki við</w:t>
            </w:r>
          </w:p>
        </w:tc>
      </w:tr>
      <w:tr w:rsidR="002B5657" w14:paraId="6C298846" w14:textId="77777777" w:rsidTr="00A9140F">
        <w:trPr>
          <w:trHeight w:val="360"/>
        </w:trPr>
        <w:tc>
          <w:tcPr>
            <w:tcW w:w="2968" w:type="dxa"/>
            <w:tcMar>
              <w:top w:w="100" w:type="dxa"/>
              <w:left w:w="0" w:type="dxa"/>
              <w:bottom w:w="100" w:type="dxa"/>
              <w:right w:w="60" w:type="dxa"/>
            </w:tcMar>
          </w:tcPr>
          <w:p w14:paraId="79478E2D" w14:textId="77777777" w:rsidR="002B5657" w:rsidRDefault="002B5657" w:rsidP="00A9140F">
            <w:pPr>
              <w:pStyle w:val="AnnexNumberedText"/>
              <w:pageBreakBefore/>
              <w:ind w:left="293" w:hanging="293"/>
            </w:pPr>
            <w:r>
              <w:lastRenderedPageBreak/>
              <w:t>5)</w:t>
            </w:r>
            <w:r>
              <w:tab/>
              <w:t>Mengunarvarnir og eftirlit með mengun</w:t>
            </w:r>
          </w:p>
        </w:tc>
        <w:tc>
          <w:tcPr>
            <w:tcW w:w="5784" w:type="dxa"/>
            <w:tcMar>
              <w:top w:w="100" w:type="dxa"/>
              <w:left w:w="40" w:type="dxa"/>
              <w:bottom w:w="100" w:type="dxa"/>
              <w:right w:w="0" w:type="dxa"/>
            </w:tcMar>
          </w:tcPr>
          <w:p w14:paraId="492643B1" w14:textId="77777777" w:rsidR="002B5657" w:rsidRDefault="002B5657" w:rsidP="00A9140F">
            <w:pPr>
              <w:pStyle w:val="AnnexTableCellLeft"/>
              <w:spacing w:after="200"/>
            </w:pPr>
            <w:r>
              <w:t>Starfsemin er í samræmi við viðmiðanirnar sem settar eru fram í viðbæti C við þennan viðauka.</w:t>
            </w:r>
          </w:p>
          <w:p w14:paraId="5BFFB424" w14:textId="77777777" w:rsidR="002B5657" w:rsidRDefault="002B5657" w:rsidP="00A9140F">
            <w:pPr>
              <w:pStyle w:val="AnnexTableCellLeft"/>
              <w:spacing w:after="200"/>
            </w:pPr>
            <w:r>
              <w:t>Losun fellur innan við eða undir svið losunargilda sem tengjast bestu, aðgengilegu tækni samkvæmt nýjustu viðeigandi niðurstöðum um bestu aðgengilegu tækni, þ.m.t.:</w:t>
            </w:r>
          </w:p>
          <w:p w14:paraId="7BAEB6EB" w14:textId="77777777" w:rsidR="002B5657" w:rsidRDefault="002B5657" w:rsidP="00A9140F">
            <w:pPr>
              <w:pStyle w:val="AnnexNumberedText"/>
              <w:spacing w:after="200"/>
            </w:pPr>
            <w:r>
              <w:t>a)</w:t>
            </w:r>
            <w:r>
              <w:tab/>
              <w:t xml:space="preserve">tilvísunarskjal um bestu, aðgengilegu tækni fyrir mikið magn af ólífrænum </w:t>
            </w:r>
            <w:proofErr w:type="spellStart"/>
            <w:r>
              <w:t>íðefnum</w:t>
            </w:r>
            <w:proofErr w:type="spellEnd"/>
            <w:r>
              <w:t xml:space="preserve"> – föst efni og önnur efni (</w:t>
            </w:r>
            <w:r>
              <w:rPr>
                <w:rStyle w:val="Tilvsunneanmlsgrein"/>
                <w:sz w:val="18"/>
              </w:rPr>
              <w:footnoteReference w:id="524"/>
            </w:r>
            <w:r>
              <w:t>),</w:t>
            </w:r>
          </w:p>
          <w:p w14:paraId="78AC6083" w14:textId="77777777" w:rsidR="002B5657" w:rsidRDefault="002B5657" w:rsidP="00A9140F">
            <w:pPr>
              <w:pStyle w:val="AnnexNumberedText"/>
              <w:spacing w:after="200"/>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rPr>
              <w:footnoteReference w:id="525"/>
            </w:r>
            <w:r>
              <w:t>).</w:t>
            </w:r>
          </w:p>
          <w:p w14:paraId="07FF6745" w14:textId="77777777" w:rsidR="002B5657" w:rsidRDefault="002B5657" w:rsidP="00A9140F">
            <w:pPr>
              <w:pStyle w:val="AnnexTableCellLeft"/>
              <w:spacing w:after="200"/>
            </w:pPr>
            <w:r>
              <w:t>Engin umtalsverð yfirfærsluáhrif milli umhverfishólfa eiga sér stað.</w:t>
            </w:r>
          </w:p>
        </w:tc>
      </w:tr>
      <w:tr w:rsidR="002B5657" w14:paraId="74E87201" w14:textId="77777777" w:rsidTr="00A9140F">
        <w:trPr>
          <w:trHeight w:val="360"/>
        </w:trPr>
        <w:tc>
          <w:tcPr>
            <w:tcW w:w="2968" w:type="dxa"/>
            <w:tcMar>
              <w:top w:w="100" w:type="dxa"/>
              <w:left w:w="0" w:type="dxa"/>
              <w:bottom w:w="100" w:type="dxa"/>
              <w:right w:w="60" w:type="dxa"/>
            </w:tcMar>
          </w:tcPr>
          <w:p w14:paraId="105DC6D7" w14:textId="77777777" w:rsidR="002B5657" w:rsidRDefault="002B5657" w:rsidP="00A9140F">
            <w:pPr>
              <w:pStyle w:val="AnnexNumberedText"/>
              <w:ind w:left="293" w:hanging="293"/>
            </w:pPr>
            <w:r>
              <w:t>6)</w:t>
            </w:r>
            <w:r>
              <w:tab/>
              <w:t>Vernd og endurheimt líffræðilegrar fjölbreytni og vistkerfa</w:t>
            </w:r>
          </w:p>
        </w:tc>
        <w:tc>
          <w:tcPr>
            <w:tcW w:w="5784" w:type="dxa"/>
            <w:tcMar>
              <w:top w:w="100" w:type="dxa"/>
              <w:left w:w="40" w:type="dxa"/>
              <w:bottom w:w="100" w:type="dxa"/>
              <w:right w:w="0" w:type="dxa"/>
            </w:tcMar>
          </w:tcPr>
          <w:p w14:paraId="78A1DEAC" w14:textId="77777777" w:rsidR="002B5657" w:rsidRDefault="002B5657" w:rsidP="00A9140F">
            <w:pPr>
              <w:pStyle w:val="AnnexTableCellLeft"/>
            </w:pPr>
            <w:r>
              <w:t>Starfsemin er í samræmi við viðmiðanirnar sem settar eru fram í viðbæti D við þennan viðauka.</w:t>
            </w:r>
          </w:p>
        </w:tc>
      </w:tr>
    </w:tbl>
    <w:p w14:paraId="146A8494" w14:textId="77777777" w:rsidR="002B5657" w:rsidRDefault="002B5657" w:rsidP="002B5657">
      <w:pPr>
        <w:pStyle w:val="AnnexNumberedText"/>
        <w:spacing w:before="200" w:after="200"/>
        <w:ind w:left="500" w:hanging="500"/>
      </w:pPr>
    </w:p>
    <w:p w14:paraId="02670EAA" w14:textId="77777777" w:rsidR="006D7A4B" w:rsidRDefault="006D7A4B" w:rsidP="006D7A4B">
      <w:pPr>
        <w:pStyle w:val="AnnexNumberedText"/>
        <w:spacing w:before="200" w:after="200"/>
        <w:ind w:left="500" w:hanging="500"/>
      </w:pPr>
      <w:r>
        <w:t>3.12.</w:t>
      </w:r>
      <w:r>
        <w:rPr>
          <w:b/>
        </w:rPr>
        <w:tab/>
        <w:t xml:space="preserve">Framleiðsla á </w:t>
      </w:r>
      <w:proofErr w:type="spellStart"/>
      <w:r>
        <w:rPr>
          <w:b/>
        </w:rPr>
        <w:t>sóda</w:t>
      </w:r>
      <w:proofErr w:type="spellEnd"/>
    </w:p>
    <w:p w14:paraId="46AA4256" w14:textId="77777777" w:rsidR="006D7A4B" w:rsidRDefault="006D7A4B" w:rsidP="006D7A4B">
      <w:pPr>
        <w:pStyle w:val="AnnexGrSeq3"/>
        <w:ind w:left="500"/>
        <w:jc w:val="both"/>
      </w:pPr>
      <w:r>
        <w:rPr>
          <w:i/>
        </w:rPr>
        <w:t>Lýsing á starfseminni</w:t>
      </w:r>
    </w:p>
    <w:p w14:paraId="0CBFA807" w14:textId="77777777" w:rsidR="006D7A4B" w:rsidRDefault="006D7A4B" w:rsidP="006D7A4B">
      <w:pPr>
        <w:pStyle w:val="AnnexNormal"/>
        <w:ind w:left="500"/>
      </w:pPr>
      <w:r>
        <w:t xml:space="preserve">Framleiðsla á </w:t>
      </w:r>
      <w:proofErr w:type="spellStart"/>
      <w:r>
        <w:t>dínatríumkarbónati</w:t>
      </w:r>
      <w:proofErr w:type="spellEnd"/>
      <w:r>
        <w:t xml:space="preserve"> (</w:t>
      </w:r>
      <w:proofErr w:type="spellStart"/>
      <w:r>
        <w:t>sóda</w:t>
      </w:r>
      <w:proofErr w:type="spellEnd"/>
      <w:r>
        <w:t xml:space="preserve">, </w:t>
      </w:r>
      <w:proofErr w:type="spellStart"/>
      <w:r>
        <w:t>natríumkarbónat</w:t>
      </w:r>
      <w:proofErr w:type="spellEnd"/>
      <w:r>
        <w:t xml:space="preserve">, kolsýra, </w:t>
      </w:r>
      <w:proofErr w:type="spellStart"/>
      <w:r>
        <w:t>dínatríumsalt</w:t>
      </w:r>
      <w:proofErr w:type="spellEnd"/>
      <w:r>
        <w:t>).</w:t>
      </w:r>
    </w:p>
    <w:p w14:paraId="2F9DC34D" w14:textId="77777777" w:rsidR="006D7A4B" w:rsidRDefault="006D7A4B" w:rsidP="006D7A4B">
      <w:pPr>
        <w:pStyle w:val="AnnexNormal"/>
        <w:ind w:left="500"/>
      </w:pPr>
      <w:r>
        <w:t>Atvinnustarfsemin í þessum flokki gæti tengst kóða atvinnugreinaflokkunar Evrópusambandsins C20.13 í samræmi við atvinnugreinaflokkunina sem komið var á með reglugerð (EB) nr. 1893/2006.</w:t>
      </w:r>
    </w:p>
    <w:p w14:paraId="525A21A3" w14:textId="77777777" w:rsidR="006D7A4B" w:rsidRDefault="006D7A4B" w:rsidP="006D7A4B">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36"/>
        <w:gridCol w:w="5904"/>
      </w:tblGrid>
      <w:tr w:rsidR="006D7A4B" w14:paraId="50DD4EEC"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66C93AB0" w14:textId="77777777" w:rsidR="006D7A4B" w:rsidRDefault="006D7A4B" w:rsidP="00A9140F">
            <w:pPr>
              <w:pStyle w:val="AnnexTableCellLeft"/>
            </w:pPr>
            <w:r>
              <w:t>Verulegt framlag til aðlögunar að loftslagsbreytingum</w:t>
            </w:r>
          </w:p>
        </w:tc>
      </w:tr>
      <w:tr w:rsidR="006D7A4B" w14:paraId="57071FD0" w14:textId="77777777" w:rsidTr="00A9140F">
        <w:trPr>
          <w:trHeight w:val="360"/>
        </w:trPr>
        <w:tc>
          <w:tcPr>
            <w:tcW w:w="8740" w:type="dxa"/>
            <w:gridSpan w:val="2"/>
            <w:tcBorders>
              <w:bottom w:val="nil"/>
            </w:tcBorders>
            <w:tcMar>
              <w:top w:w="100" w:type="dxa"/>
              <w:left w:w="0" w:type="dxa"/>
              <w:bottom w:w="100" w:type="dxa"/>
              <w:right w:w="60" w:type="dxa"/>
            </w:tcMar>
          </w:tcPr>
          <w:p w14:paraId="55299D88" w14:textId="77777777" w:rsidR="006D7A4B" w:rsidRDefault="006D7A4B" w:rsidP="00A9140F">
            <w:pPr>
              <w:pStyle w:val="AnnexNumberedText"/>
              <w:tabs>
                <w:tab w:val="left" w:pos="508"/>
              </w:tabs>
              <w:spacing w:after="16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388D5687" w14:textId="77777777" w:rsidR="006D7A4B" w:rsidRDefault="006D7A4B" w:rsidP="00A9140F">
            <w:pPr>
              <w:pStyle w:val="AnnexNumberedText"/>
              <w:tabs>
                <w:tab w:val="left" w:pos="508"/>
              </w:tabs>
              <w:spacing w:after="16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13D5701" w14:textId="77777777" w:rsidR="006D7A4B" w:rsidRDefault="006D7A4B" w:rsidP="00A9140F">
            <w:pPr>
              <w:pStyle w:val="AnnexNumberedText"/>
              <w:spacing w:after="160"/>
            </w:pPr>
            <w:r>
              <w:t>a)</w:t>
            </w:r>
            <w:r>
              <w:tab/>
              <w:t>skimun á starfseminni til að greina hvaða efnislega loftslagsáhætta úr skránni í viðbæti A við þennan viðauka getur haft áhrif á árangurinn af atvinnustarfseminni á væntum líftíma hennar,</w:t>
            </w:r>
          </w:p>
          <w:p w14:paraId="493F92A9" w14:textId="77777777" w:rsidR="006D7A4B" w:rsidRDefault="006D7A4B" w:rsidP="00A9140F">
            <w:pPr>
              <w:pStyle w:val="AnnexNumberedText"/>
              <w:spacing w:after="16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6EA3A4F" w14:textId="77777777" w:rsidR="006D7A4B" w:rsidRDefault="006D7A4B" w:rsidP="00A9140F">
            <w:pPr>
              <w:pStyle w:val="AnnexNumberedText"/>
              <w:spacing w:after="160"/>
            </w:pPr>
            <w:r>
              <w:t>c)</w:t>
            </w:r>
            <w:r>
              <w:tab/>
              <w:t>mat á aðlögunarlausnum sem geta dregið úr greindri efnislegri loftslagsáhættu.</w:t>
            </w:r>
          </w:p>
          <w:p w14:paraId="02CBA52C" w14:textId="77777777" w:rsidR="006D7A4B" w:rsidRDefault="006D7A4B" w:rsidP="00A9140F">
            <w:pPr>
              <w:pStyle w:val="AnnexTableCellLeft"/>
              <w:spacing w:after="160"/>
            </w:pPr>
            <w:r>
              <w:t xml:space="preserve">Loftslagsáhættu- og veikleikamatið er í réttu hlutfalli við umfang starfseminnar og </w:t>
            </w:r>
            <w:proofErr w:type="spellStart"/>
            <w:r>
              <w:t>væntan</w:t>
            </w:r>
            <w:proofErr w:type="spellEnd"/>
            <w:r>
              <w:t xml:space="preserve"> líftíma hennar þannig að:</w:t>
            </w:r>
          </w:p>
          <w:p w14:paraId="598C2C80" w14:textId="77777777" w:rsidR="006D7A4B" w:rsidRDefault="006D7A4B" w:rsidP="00A9140F">
            <w:pPr>
              <w:pStyle w:val="AnnexNumberedText"/>
              <w:spacing w:after="16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1940816" w14:textId="77777777" w:rsidR="006D7A4B" w:rsidRDefault="006D7A4B"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26"/>
            </w:r>
            <w:r>
              <w:t xml:space="preserve">) sem eru í samræmi við </w:t>
            </w:r>
            <w:proofErr w:type="spellStart"/>
            <w:r>
              <w:t>væntan</w:t>
            </w:r>
            <w:proofErr w:type="spellEnd"/>
            <w:r>
              <w:t xml:space="preserve"> líftíma starfseminnar, </w:t>
            </w:r>
            <w:r>
              <w:lastRenderedPageBreak/>
              <w:t>þ.m.t. að minnsta kosti 10 til 30 ára loftslagsframreikningssviðsmyndir fyrir meiri háttar fjárfestingar.</w:t>
            </w:r>
          </w:p>
        </w:tc>
      </w:tr>
      <w:tr w:rsidR="006D7A4B" w14:paraId="59600B99" w14:textId="77777777" w:rsidTr="00A9140F">
        <w:trPr>
          <w:trHeight w:val="360"/>
        </w:trPr>
        <w:tc>
          <w:tcPr>
            <w:tcW w:w="8740" w:type="dxa"/>
            <w:gridSpan w:val="2"/>
            <w:tcBorders>
              <w:top w:val="nil"/>
            </w:tcBorders>
            <w:tcMar>
              <w:top w:w="100" w:type="dxa"/>
              <w:left w:w="0" w:type="dxa"/>
              <w:bottom w:w="100" w:type="dxa"/>
              <w:right w:w="60" w:type="dxa"/>
            </w:tcMar>
          </w:tcPr>
          <w:p w14:paraId="475C5716" w14:textId="77777777" w:rsidR="006D7A4B" w:rsidRDefault="006D7A4B" w:rsidP="00A9140F">
            <w:pPr>
              <w:pStyle w:val="AnnexNumberedText"/>
              <w:pageBreakBefore/>
              <w:tabs>
                <w:tab w:val="left" w:pos="508"/>
              </w:tabs>
              <w:spacing w:after="280"/>
              <w:ind w:left="0" w:firstLine="0"/>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27"/>
            </w:r>
            <w:r>
              <w:t>), vísindalegt ritrýnt útgefið efni og líkön með opnum aðgangi (</w:t>
            </w:r>
            <w:r>
              <w:rPr>
                <w:rStyle w:val="Tilvsunneanmlsgrein"/>
                <w:sz w:val="18"/>
              </w:rPr>
              <w:footnoteReference w:id="528"/>
            </w:r>
            <w:r>
              <w:t>) eða gegn greiðslu.</w:t>
            </w:r>
          </w:p>
          <w:p w14:paraId="3C85CFBE" w14:textId="77777777" w:rsidR="006D7A4B" w:rsidRDefault="006D7A4B" w:rsidP="00A9140F">
            <w:pPr>
              <w:pStyle w:val="AnnexNumberedText"/>
              <w:tabs>
                <w:tab w:val="left" w:pos="508"/>
              </w:tabs>
              <w:spacing w:after="280"/>
              <w:ind w:left="0" w:firstLine="0"/>
            </w:pPr>
            <w:r>
              <w:t>4.</w:t>
            </w:r>
            <w:r>
              <w:tab/>
              <w:t>Aðlögunarlausnir sem komið er í framkvæmd:</w:t>
            </w:r>
          </w:p>
          <w:p w14:paraId="747F8350" w14:textId="77777777" w:rsidR="006D7A4B" w:rsidRDefault="006D7A4B" w:rsidP="00A9140F">
            <w:pPr>
              <w:pStyle w:val="AnnexNumberedText"/>
              <w:spacing w:after="280"/>
            </w:pPr>
            <w:r>
              <w:t>a)</w:t>
            </w:r>
            <w:r>
              <w:tab/>
              <w:t>hafa ekki neikvæð áhrif á viðleitni til aðlögunar eða viðnám annars fólks, náttúru, menningararfleifðar, eigna og annarrar atvinnustarfsemi gegn efnislegri loftslagsáhættu,</w:t>
            </w:r>
          </w:p>
          <w:p w14:paraId="5ADD855A" w14:textId="77777777" w:rsidR="006D7A4B" w:rsidRDefault="006D7A4B" w:rsidP="00A9140F">
            <w:pPr>
              <w:pStyle w:val="AnnexNumberedText"/>
              <w:spacing w:after="280"/>
            </w:pPr>
            <w:r>
              <w:t>b)</w:t>
            </w:r>
            <w:r>
              <w:tab/>
              <w:t>eru með náttúrumiðaðar lausnir (</w:t>
            </w:r>
            <w:r>
              <w:rPr>
                <w:rStyle w:val="Tilvsunneanmlsgrein"/>
                <w:sz w:val="18"/>
              </w:rPr>
              <w:footnoteReference w:id="529"/>
            </w:r>
            <w:r>
              <w:t>) í forgangi eða treyst er á bláa eða græna innviði (</w:t>
            </w:r>
            <w:r>
              <w:rPr>
                <w:rStyle w:val="Tilvsunneanmlsgrein"/>
                <w:sz w:val="18"/>
              </w:rPr>
              <w:footnoteReference w:id="530"/>
            </w:r>
            <w:r>
              <w:t>) að því marki sem mögulegt er,</w:t>
            </w:r>
          </w:p>
          <w:p w14:paraId="7F51C01B" w14:textId="77777777" w:rsidR="006D7A4B" w:rsidRDefault="006D7A4B" w:rsidP="00A9140F">
            <w:pPr>
              <w:pStyle w:val="AnnexNumberedText"/>
              <w:spacing w:after="280"/>
            </w:pPr>
            <w:r>
              <w:t>c)</w:t>
            </w:r>
            <w:r>
              <w:tab/>
              <w:t>eru í samræmi við staðbundnar, geirabundnar, svæðisbundnar eða landsbundnar aðlögunarstefnur og -áætlanir,</w:t>
            </w:r>
          </w:p>
          <w:p w14:paraId="7E43DA05" w14:textId="77777777" w:rsidR="006D7A4B" w:rsidRDefault="006D7A4B" w:rsidP="00A9140F">
            <w:pPr>
              <w:pStyle w:val="AnnexNumberedText"/>
              <w:spacing w:after="28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0C0FE8BB" w14:textId="77777777" w:rsidR="006D7A4B" w:rsidRDefault="006D7A4B" w:rsidP="00A9140F">
            <w:pPr>
              <w:pStyle w:val="AnnexNumberedText"/>
              <w:spacing w:after="28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12FF6E73" w14:textId="77777777" w:rsidTr="00A9140F">
        <w:trPr>
          <w:trHeight w:val="240"/>
        </w:trPr>
        <w:tc>
          <w:tcPr>
            <w:tcW w:w="8740" w:type="dxa"/>
            <w:gridSpan w:val="2"/>
            <w:tcMar>
              <w:top w:w="100" w:type="dxa"/>
              <w:left w:w="0" w:type="dxa"/>
              <w:bottom w:w="100" w:type="dxa"/>
              <w:right w:w="60" w:type="dxa"/>
            </w:tcMar>
          </w:tcPr>
          <w:p w14:paraId="54A9D93A" w14:textId="77777777" w:rsidR="006D7A4B" w:rsidRDefault="006D7A4B" w:rsidP="00A9140F">
            <w:pPr>
              <w:pStyle w:val="AnnexTableCellLeft"/>
            </w:pPr>
            <w:r>
              <w:t>Ekki valda umtalsverðu tjóni</w:t>
            </w:r>
          </w:p>
        </w:tc>
      </w:tr>
      <w:tr w:rsidR="006D7A4B" w14:paraId="30F7EA90" w14:textId="77777777" w:rsidTr="00A9140F">
        <w:trPr>
          <w:trHeight w:val="360"/>
        </w:trPr>
        <w:tc>
          <w:tcPr>
            <w:tcW w:w="2836" w:type="dxa"/>
            <w:tcMar>
              <w:top w:w="100" w:type="dxa"/>
              <w:left w:w="0" w:type="dxa"/>
              <w:bottom w:w="100" w:type="dxa"/>
              <w:right w:w="60" w:type="dxa"/>
            </w:tcMar>
          </w:tcPr>
          <w:p w14:paraId="6C3CE63A" w14:textId="77777777" w:rsidR="006D7A4B" w:rsidRDefault="006D7A4B" w:rsidP="00A9140F">
            <w:pPr>
              <w:pStyle w:val="AnnexNumberedText"/>
              <w:ind w:left="293" w:hanging="293"/>
            </w:pPr>
            <w:r>
              <w:t>1)</w:t>
            </w:r>
            <w:r>
              <w:tab/>
              <w:t>Mildun loftslagsbreytinga</w:t>
            </w:r>
          </w:p>
        </w:tc>
        <w:tc>
          <w:tcPr>
            <w:tcW w:w="5904" w:type="dxa"/>
            <w:tcMar>
              <w:top w:w="100" w:type="dxa"/>
              <w:left w:w="40" w:type="dxa"/>
              <w:bottom w:w="100" w:type="dxa"/>
              <w:right w:w="0" w:type="dxa"/>
            </w:tcMar>
          </w:tcPr>
          <w:p w14:paraId="77591E9A" w14:textId="77777777" w:rsidR="006D7A4B" w:rsidRDefault="006D7A4B" w:rsidP="00A9140F">
            <w:pPr>
              <w:pStyle w:val="AnnexTableCellLeft"/>
            </w:pPr>
            <w:r>
              <w:t>Losun gróðurhúsalofttegunda (</w:t>
            </w:r>
            <w:r>
              <w:rPr>
                <w:rStyle w:val="Tilvsunneanmlsgrein"/>
                <w:sz w:val="18"/>
              </w:rPr>
              <w:footnoteReference w:id="531"/>
            </w:r>
            <w:r>
              <w:t xml:space="preserve">) frá ferlum við framleiðslu á </w:t>
            </w:r>
            <w:proofErr w:type="spellStart"/>
            <w:r>
              <w:t>sóda</w:t>
            </w:r>
            <w:proofErr w:type="spellEnd"/>
            <w:r>
              <w:t xml:space="preserve"> er minni en 0,866 (</w:t>
            </w:r>
            <w:r>
              <w:rPr>
                <w:rStyle w:val="Tilvsunneanmlsgrein"/>
                <w:sz w:val="18"/>
              </w:rPr>
              <w:footnoteReference w:id="532"/>
            </w:r>
            <w:r>
              <w:t>) tCO</w:t>
            </w:r>
            <w:r>
              <w:rPr>
                <w:vertAlign w:val="subscript"/>
              </w:rPr>
              <w:t>2</w:t>
            </w:r>
            <w:r>
              <w:t>e á hvert tonn af vöru.</w:t>
            </w:r>
          </w:p>
        </w:tc>
      </w:tr>
      <w:tr w:rsidR="006D7A4B" w14:paraId="3C0A0E0F" w14:textId="77777777" w:rsidTr="00A9140F">
        <w:trPr>
          <w:trHeight w:val="360"/>
        </w:trPr>
        <w:tc>
          <w:tcPr>
            <w:tcW w:w="2836" w:type="dxa"/>
            <w:tcMar>
              <w:top w:w="100" w:type="dxa"/>
              <w:left w:w="0" w:type="dxa"/>
              <w:bottom w:w="100" w:type="dxa"/>
              <w:right w:w="60" w:type="dxa"/>
            </w:tcMar>
          </w:tcPr>
          <w:p w14:paraId="31EE7074" w14:textId="77777777" w:rsidR="006D7A4B" w:rsidRDefault="006D7A4B" w:rsidP="00A9140F">
            <w:pPr>
              <w:pStyle w:val="AnnexNumberedText"/>
              <w:ind w:left="293" w:hanging="293"/>
            </w:pPr>
            <w:r>
              <w:t>3)</w:t>
            </w:r>
            <w:r>
              <w:tab/>
              <w:t>Sjálfbær notkun og verndun vatns- og sjávarauðlinda</w:t>
            </w:r>
          </w:p>
        </w:tc>
        <w:tc>
          <w:tcPr>
            <w:tcW w:w="5904" w:type="dxa"/>
            <w:tcMar>
              <w:top w:w="100" w:type="dxa"/>
              <w:left w:w="40" w:type="dxa"/>
              <w:bottom w:w="100" w:type="dxa"/>
              <w:right w:w="0" w:type="dxa"/>
            </w:tcMar>
          </w:tcPr>
          <w:p w14:paraId="235CD953" w14:textId="77777777" w:rsidR="006D7A4B" w:rsidRDefault="006D7A4B" w:rsidP="00A9140F">
            <w:pPr>
              <w:pStyle w:val="AnnexTableCellLeft"/>
            </w:pPr>
            <w:r>
              <w:t>Starfsemin er í samræmi við viðmiðanirnar sem settar eru fram í viðbæti B við þennan viðauka.</w:t>
            </w:r>
          </w:p>
        </w:tc>
      </w:tr>
      <w:tr w:rsidR="006D7A4B" w14:paraId="749178BC" w14:textId="77777777" w:rsidTr="00A9140F">
        <w:trPr>
          <w:trHeight w:val="360"/>
        </w:trPr>
        <w:tc>
          <w:tcPr>
            <w:tcW w:w="2836" w:type="dxa"/>
            <w:tcBorders>
              <w:bottom w:val="single" w:sz="4" w:space="0" w:color="auto"/>
            </w:tcBorders>
            <w:tcMar>
              <w:top w:w="100" w:type="dxa"/>
              <w:left w:w="0" w:type="dxa"/>
              <w:bottom w:w="100" w:type="dxa"/>
              <w:right w:w="60" w:type="dxa"/>
            </w:tcMar>
          </w:tcPr>
          <w:p w14:paraId="68CA252C" w14:textId="77777777" w:rsidR="006D7A4B" w:rsidRDefault="006D7A4B" w:rsidP="00A9140F">
            <w:pPr>
              <w:pStyle w:val="AnnexNumberedText"/>
              <w:ind w:left="293" w:hanging="293"/>
            </w:pPr>
            <w:r>
              <w:t>4)</w:t>
            </w:r>
            <w:r>
              <w:tab/>
              <w:t>Umskipti yfir í hringrásarhagkerfi</w:t>
            </w:r>
          </w:p>
        </w:tc>
        <w:tc>
          <w:tcPr>
            <w:tcW w:w="5904" w:type="dxa"/>
            <w:tcBorders>
              <w:bottom w:val="single" w:sz="4" w:space="0" w:color="auto"/>
            </w:tcBorders>
            <w:tcMar>
              <w:top w:w="100" w:type="dxa"/>
              <w:left w:w="40" w:type="dxa"/>
              <w:bottom w:w="100" w:type="dxa"/>
              <w:right w:w="0" w:type="dxa"/>
            </w:tcMar>
          </w:tcPr>
          <w:p w14:paraId="2E00ED04" w14:textId="77777777" w:rsidR="006D7A4B" w:rsidRDefault="006D7A4B" w:rsidP="00A9140F">
            <w:pPr>
              <w:pStyle w:val="AnnexTableCellLeft"/>
            </w:pPr>
            <w:r>
              <w:t>Á ekki við</w:t>
            </w:r>
          </w:p>
        </w:tc>
      </w:tr>
      <w:tr w:rsidR="006D7A4B" w14:paraId="4426040F" w14:textId="77777777" w:rsidTr="00A9140F">
        <w:trPr>
          <w:trHeight w:val="360"/>
        </w:trPr>
        <w:tc>
          <w:tcPr>
            <w:tcW w:w="2836" w:type="dxa"/>
            <w:tcBorders>
              <w:bottom w:val="nil"/>
            </w:tcBorders>
            <w:tcMar>
              <w:top w:w="100" w:type="dxa"/>
              <w:left w:w="0" w:type="dxa"/>
              <w:bottom w:w="100" w:type="dxa"/>
              <w:right w:w="60" w:type="dxa"/>
            </w:tcMar>
          </w:tcPr>
          <w:p w14:paraId="0BD1ACAD" w14:textId="77777777" w:rsidR="006D7A4B" w:rsidRDefault="006D7A4B" w:rsidP="00A9140F">
            <w:pPr>
              <w:pStyle w:val="AnnexNumberedText"/>
              <w:ind w:left="293" w:hanging="293"/>
            </w:pPr>
            <w:r>
              <w:t>5)</w:t>
            </w:r>
            <w:r>
              <w:tab/>
              <w:t>Mengunarvarnir og eftirlit með mengun</w:t>
            </w:r>
          </w:p>
        </w:tc>
        <w:tc>
          <w:tcPr>
            <w:tcW w:w="5904" w:type="dxa"/>
            <w:tcBorders>
              <w:bottom w:val="nil"/>
            </w:tcBorders>
            <w:tcMar>
              <w:top w:w="100" w:type="dxa"/>
              <w:left w:w="40" w:type="dxa"/>
              <w:bottom w:w="100" w:type="dxa"/>
              <w:right w:w="0" w:type="dxa"/>
            </w:tcMar>
          </w:tcPr>
          <w:p w14:paraId="05DA1D60" w14:textId="77777777" w:rsidR="006D7A4B" w:rsidRDefault="006D7A4B" w:rsidP="00A9140F">
            <w:pPr>
              <w:pStyle w:val="AnnexTableCellLeft"/>
              <w:spacing w:after="280"/>
            </w:pPr>
            <w:r>
              <w:t>Starfsemin er í samræmi við viðmiðanirnar sem settar eru fram í viðbæti C við þennan viðauka.</w:t>
            </w:r>
          </w:p>
          <w:p w14:paraId="1BA5AC04" w14:textId="77777777" w:rsidR="006D7A4B" w:rsidRDefault="006D7A4B" w:rsidP="00A9140F">
            <w:pPr>
              <w:pStyle w:val="AnnexTableCellLeft"/>
              <w:spacing w:after="280"/>
            </w:pPr>
            <w:r>
              <w:t>Losun fellur innan við eða undir svið losunargilda sem tengjast bestu aðgengilegu tækni samkvæmt nýjustu viðeigandi niðurstöðum um bestu aðgengilegu tækni, þ.m.t.:</w:t>
            </w:r>
          </w:p>
          <w:p w14:paraId="3DC4DB83" w14:textId="77777777" w:rsidR="006D7A4B" w:rsidRDefault="006D7A4B" w:rsidP="00A9140F">
            <w:pPr>
              <w:pStyle w:val="AnnexNumberedText"/>
              <w:spacing w:after="0"/>
              <w:ind w:left="283" w:hanging="283"/>
            </w:pPr>
            <w:r>
              <w:t>a)</w:t>
            </w:r>
            <w:r>
              <w:tab/>
              <w:t xml:space="preserve">tilvísunarskjal um bestu aðgengilegu tækni fyrir mikið magn af ólífrænum </w:t>
            </w:r>
            <w:proofErr w:type="spellStart"/>
            <w:r>
              <w:lastRenderedPageBreak/>
              <w:t>íðefnum</w:t>
            </w:r>
            <w:proofErr w:type="spellEnd"/>
            <w:r>
              <w:t xml:space="preserve"> – föst efni og önnur efni (</w:t>
            </w:r>
            <w:r>
              <w:rPr>
                <w:rStyle w:val="Tilvsunneanmlsgrein"/>
                <w:sz w:val="18"/>
              </w:rPr>
              <w:footnoteReference w:id="533"/>
            </w:r>
            <w:r>
              <w:t>),</w:t>
            </w:r>
          </w:p>
        </w:tc>
      </w:tr>
      <w:tr w:rsidR="006D7A4B" w14:paraId="32ED9D9A" w14:textId="77777777" w:rsidTr="00A9140F">
        <w:trPr>
          <w:trHeight w:val="240"/>
        </w:trPr>
        <w:tc>
          <w:tcPr>
            <w:tcW w:w="2836" w:type="dxa"/>
            <w:tcBorders>
              <w:top w:val="single" w:sz="4" w:space="0" w:color="auto"/>
            </w:tcBorders>
            <w:tcMar>
              <w:top w:w="100" w:type="dxa"/>
              <w:left w:w="0" w:type="dxa"/>
              <w:bottom w:w="100" w:type="dxa"/>
              <w:right w:w="60" w:type="dxa"/>
            </w:tcMar>
          </w:tcPr>
          <w:p w14:paraId="01769AA1" w14:textId="77777777" w:rsidR="006D7A4B" w:rsidRDefault="006D7A4B" w:rsidP="00A9140F">
            <w:pPr>
              <w:pStyle w:val="AnnexTableCellLeft"/>
              <w:pageBreakBefore/>
            </w:pPr>
          </w:p>
        </w:tc>
        <w:tc>
          <w:tcPr>
            <w:tcW w:w="5904" w:type="dxa"/>
            <w:tcBorders>
              <w:top w:val="single" w:sz="4" w:space="0" w:color="auto"/>
            </w:tcBorders>
            <w:tcMar>
              <w:top w:w="100" w:type="dxa"/>
              <w:left w:w="40" w:type="dxa"/>
              <w:bottom w:w="100" w:type="dxa"/>
              <w:right w:w="0" w:type="dxa"/>
            </w:tcMar>
          </w:tcPr>
          <w:p w14:paraId="3E16CA89" w14:textId="77777777" w:rsidR="006D7A4B" w:rsidRDefault="006D7A4B" w:rsidP="00A9140F">
            <w:pPr>
              <w:pStyle w:val="AnnexNumberedText"/>
              <w:ind w:left="293" w:hanging="293"/>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rPr>
              <w:footnoteReference w:id="534"/>
            </w:r>
            <w:r>
              <w:t>).</w:t>
            </w:r>
          </w:p>
          <w:p w14:paraId="0B64BE85" w14:textId="77777777" w:rsidR="006D7A4B" w:rsidRDefault="006D7A4B" w:rsidP="00A9140F">
            <w:pPr>
              <w:pStyle w:val="AnnexTableCellLeft"/>
            </w:pPr>
            <w:r>
              <w:t>Engin umtalsverð yfirfærsluáhrif milli umhverfishólfa eiga sér stað.</w:t>
            </w:r>
          </w:p>
        </w:tc>
      </w:tr>
      <w:tr w:rsidR="006D7A4B" w14:paraId="0FAE7EFE" w14:textId="77777777" w:rsidTr="00A9140F">
        <w:trPr>
          <w:trHeight w:val="360"/>
        </w:trPr>
        <w:tc>
          <w:tcPr>
            <w:tcW w:w="2836" w:type="dxa"/>
            <w:tcMar>
              <w:top w:w="100" w:type="dxa"/>
              <w:left w:w="0" w:type="dxa"/>
              <w:bottom w:w="100" w:type="dxa"/>
              <w:right w:w="60" w:type="dxa"/>
            </w:tcMar>
          </w:tcPr>
          <w:p w14:paraId="60C3FA01" w14:textId="77777777" w:rsidR="006D7A4B" w:rsidRDefault="006D7A4B" w:rsidP="00A9140F">
            <w:pPr>
              <w:pStyle w:val="AnnexNumberedText"/>
              <w:ind w:left="293" w:hanging="293"/>
            </w:pPr>
            <w:r>
              <w:t>6)</w:t>
            </w:r>
            <w:r>
              <w:tab/>
              <w:t>Vernd og endurheimt líffræðilegrar fjölbreytni og vistkerfa</w:t>
            </w:r>
          </w:p>
        </w:tc>
        <w:tc>
          <w:tcPr>
            <w:tcW w:w="5904" w:type="dxa"/>
            <w:tcMar>
              <w:top w:w="100" w:type="dxa"/>
              <w:left w:w="40" w:type="dxa"/>
              <w:bottom w:w="100" w:type="dxa"/>
              <w:right w:w="0" w:type="dxa"/>
            </w:tcMar>
          </w:tcPr>
          <w:p w14:paraId="595AE921" w14:textId="77777777" w:rsidR="006D7A4B" w:rsidRDefault="006D7A4B" w:rsidP="00A9140F">
            <w:pPr>
              <w:pStyle w:val="AnnexTableCellLeft"/>
            </w:pPr>
            <w:r>
              <w:t>Starfsemin er í samræmi við viðmiðanirnar sem settar eru fram í viðbæti D við þennan viðauka.</w:t>
            </w:r>
          </w:p>
        </w:tc>
      </w:tr>
    </w:tbl>
    <w:p w14:paraId="344A8E3F" w14:textId="77777777" w:rsidR="006D7A4B" w:rsidRDefault="006D7A4B" w:rsidP="006D7A4B">
      <w:pPr>
        <w:pStyle w:val="AnnexNumberedText"/>
        <w:spacing w:before="200" w:after="200"/>
        <w:ind w:left="500" w:hanging="500"/>
      </w:pPr>
      <w:r>
        <w:t>3.13.</w:t>
      </w:r>
      <w:r>
        <w:rPr>
          <w:b/>
        </w:rPr>
        <w:tab/>
        <w:t xml:space="preserve">Framleiðsla á </w:t>
      </w:r>
      <w:proofErr w:type="spellStart"/>
      <w:r>
        <w:rPr>
          <w:b/>
        </w:rPr>
        <w:t>klór</w:t>
      </w:r>
      <w:proofErr w:type="spellEnd"/>
    </w:p>
    <w:p w14:paraId="2B3FD4AA" w14:textId="77777777" w:rsidR="006D7A4B" w:rsidRDefault="006D7A4B" w:rsidP="006D7A4B">
      <w:pPr>
        <w:pStyle w:val="AnnexGrSeq3"/>
        <w:ind w:left="500"/>
        <w:jc w:val="both"/>
      </w:pPr>
      <w:r>
        <w:rPr>
          <w:i/>
        </w:rPr>
        <w:t>Lýsing á starfseminni</w:t>
      </w:r>
    </w:p>
    <w:p w14:paraId="4ACE4610" w14:textId="77777777" w:rsidR="006D7A4B" w:rsidRDefault="006D7A4B" w:rsidP="006D7A4B">
      <w:pPr>
        <w:pStyle w:val="AnnexNormal"/>
        <w:ind w:left="500"/>
      </w:pPr>
      <w:r>
        <w:t xml:space="preserve">Framleiðsla á </w:t>
      </w:r>
      <w:proofErr w:type="spellStart"/>
      <w:r>
        <w:t>klór</w:t>
      </w:r>
      <w:proofErr w:type="spellEnd"/>
      <w:r>
        <w:t>.</w:t>
      </w:r>
    </w:p>
    <w:p w14:paraId="6662B884" w14:textId="77777777" w:rsidR="006D7A4B" w:rsidRDefault="006D7A4B" w:rsidP="006D7A4B">
      <w:pPr>
        <w:pStyle w:val="AnnexNormal"/>
        <w:ind w:left="500"/>
      </w:pPr>
      <w:r>
        <w:t>Atvinnustarfsemin í þessum flokki gæti tengst kóða atvinnugreinaflokkunar Evrópusambandsins C20.13 í samræmi við atvinnugreinaflokkunina sem komið var á með reglugerð (EB) nr. 1893/2006.</w:t>
      </w:r>
    </w:p>
    <w:p w14:paraId="744D7E96" w14:textId="77777777" w:rsidR="006D7A4B" w:rsidRDefault="006D7A4B" w:rsidP="006D7A4B">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80"/>
        <w:gridCol w:w="5760"/>
      </w:tblGrid>
      <w:tr w:rsidR="006D7A4B" w14:paraId="40A3856A"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5BFE2A24" w14:textId="77777777" w:rsidR="006D7A4B" w:rsidRDefault="006D7A4B" w:rsidP="00A9140F">
            <w:pPr>
              <w:pStyle w:val="AnnexTableCellLeft"/>
            </w:pPr>
            <w:r>
              <w:t>Verulegt framlag til aðlögunar að loftslagsbreytingum</w:t>
            </w:r>
          </w:p>
        </w:tc>
      </w:tr>
      <w:tr w:rsidR="006D7A4B" w14:paraId="4BA31897" w14:textId="77777777" w:rsidTr="00A9140F">
        <w:trPr>
          <w:trHeight w:val="360"/>
        </w:trPr>
        <w:tc>
          <w:tcPr>
            <w:tcW w:w="8740" w:type="dxa"/>
            <w:gridSpan w:val="2"/>
            <w:tcBorders>
              <w:bottom w:val="nil"/>
            </w:tcBorders>
            <w:tcMar>
              <w:top w:w="100" w:type="dxa"/>
              <w:left w:w="0" w:type="dxa"/>
              <w:bottom w:w="100" w:type="dxa"/>
              <w:right w:w="60" w:type="dxa"/>
            </w:tcMar>
          </w:tcPr>
          <w:p w14:paraId="5C420148" w14:textId="77777777" w:rsidR="006D7A4B" w:rsidRDefault="006D7A4B" w:rsidP="00A9140F">
            <w:pPr>
              <w:pStyle w:val="AnnexNumberedText"/>
              <w:tabs>
                <w:tab w:val="left" w:pos="508"/>
              </w:tabs>
              <w:spacing w:after="26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B3815D3" w14:textId="77777777" w:rsidR="006D7A4B" w:rsidRDefault="006D7A4B" w:rsidP="00A9140F">
            <w:pPr>
              <w:pStyle w:val="AnnexNumberedText"/>
              <w:tabs>
                <w:tab w:val="left" w:pos="508"/>
              </w:tabs>
              <w:spacing w:after="26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1AA245B" w14:textId="77777777" w:rsidR="006D7A4B" w:rsidRDefault="006D7A4B" w:rsidP="00A9140F">
            <w:pPr>
              <w:pStyle w:val="AnnexNumberedText"/>
              <w:spacing w:after="260"/>
            </w:pPr>
            <w:r>
              <w:t>a)</w:t>
            </w:r>
            <w:r>
              <w:tab/>
              <w:t>skimun á starfseminni til að greina hvaða efnislega loftslagsáhætta úr skránni í viðbæti A við þennan viðauka getur haft áhrif á árangurinn af atvinnustarfseminni á væntum líftíma hennar,</w:t>
            </w:r>
          </w:p>
          <w:p w14:paraId="574195B1" w14:textId="77777777" w:rsidR="006D7A4B" w:rsidRDefault="006D7A4B" w:rsidP="00A9140F">
            <w:pPr>
              <w:pStyle w:val="AnnexNumberedText"/>
              <w:spacing w:after="26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0A1890F4" w14:textId="77777777" w:rsidR="006D7A4B" w:rsidRDefault="006D7A4B" w:rsidP="00A9140F">
            <w:pPr>
              <w:pStyle w:val="AnnexNumberedText"/>
              <w:spacing w:after="260"/>
            </w:pPr>
            <w:r>
              <w:t>c)</w:t>
            </w:r>
            <w:r>
              <w:tab/>
              <w:t>mat á aðlögunarlausnum sem geta dregið úr greindri efnislegri loftslagsáhættu.</w:t>
            </w:r>
          </w:p>
          <w:p w14:paraId="6B7D9876" w14:textId="77777777" w:rsidR="006D7A4B" w:rsidRDefault="006D7A4B" w:rsidP="00A9140F">
            <w:pPr>
              <w:pStyle w:val="AnnexTableCellLeft"/>
              <w:spacing w:after="260"/>
            </w:pPr>
            <w:r>
              <w:t xml:space="preserve">Loftslagsáhættu- og veikleikamatið er í réttu hlutfalli við umfang starfseminnar og </w:t>
            </w:r>
            <w:proofErr w:type="spellStart"/>
            <w:r>
              <w:t>væntan</w:t>
            </w:r>
            <w:proofErr w:type="spellEnd"/>
            <w:r>
              <w:t xml:space="preserve"> líftíma hennar þannig að:</w:t>
            </w:r>
          </w:p>
          <w:p w14:paraId="4C4ECD12" w14:textId="77777777" w:rsidR="006D7A4B" w:rsidRDefault="006D7A4B" w:rsidP="00A9140F">
            <w:pPr>
              <w:pStyle w:val="AnnexNumberedText"/>
              <w:spacing w:after="26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61DFC17" w14:textId="77777777" w:rsidR="006D7A4B" w:rsidRDefault="006D7A4B" w:rsidP="00A9140F">
            <w:pPr>
              <w:pStyle w:val="AnnexNumberedText"/>
              <w:spacing w:after="26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3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75CBBF2" w14:textId="77777777" w:rsidR="006D7A4B" w:rsidRDefault="006D7A4B" w:rsidP="00A9140F">
            <w:pPr>
              <w:pStyle w:val="AnnexNumberedText"/>
              <w:tabs>
                <w:tab w:val="left" w:pos="508"/>
              </w:tabs>
              <w:spacing w:after="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36"/>
            </w:r>
            <w:r>
              <w:t>), vísindalegt ritrýnt útgefið efni og líkön með opnum aðgangi (</w:t>
            </w:r>
            <w:r>
              <w:rPr>
                <w:rStyle w:val="Tilvsunneanmlsgrein"/>
                <w:sz w:val="18"/>
              </w:rPr>
              <w:footnoteReference w:id="537"/>
            </w:r>
            <w:r>
              <w:t>) eða gegn greiðslu.</w:t>
            </w:r>
          </w:p>
        </w:tc>
      </w:tr>
      <w:tr w:rsidR="006D7A4B" w14:paraId="03052293" w14:textId="77777777" w:rsidTr="00A9140F">
        <w:trPr>
          <w:trHeight w:val="360"/>
        </w:trPr>
        <w:tc>
          <w:tcPr>
            <w:tcW w:w="8740" w:type="dxa"/>
            <w:gridSpan w:val="2"/>
            <w:tcBorders>
              <w:top w:val="nil"/>
            </w:tcBorders>
            <w:tcMar>
              <w:top w:w="100" w:type="dxa"/>
              <w:left w:w="0" w:type="dxa"/>
              <w:bottom w:w="100" w:type="dxa"/>
              <w:right w:w="60" w:type="dxa"/>
            </w:tcMar>
          </w:tcPr>
          <w:p w14:paraId="4AF3455A" w14:textId="77777777" w:rsidR="006D7A4B" w:rsidRDefault="006D7A4B" w:rsidP="00A9140F">
            <w:pPr>
              <w:pStyle w:val="AnnexNumberedText"/>
              <w:pageBreakBefore/>
              <w:tabs>
                <w:tab w:val="left" w:pos="508"/>
              </w:tabs>
              <w:spacing w:after="240"/>
              <w:ind w:left="0" w:firstLine="0"/>
            </w:pPr>
            <w:r>
              <w:lastRenderedPageBreak/>
              <w:t>4.</w:t>
            </w:r>
            <w:r>
              <w:tab/>
              <w:t>Aðlögunarlausnir sem komið er í framkvæmd:</w:t>
            </w:r>
          </w:p>
          <w:p w14:paraId="71B86822" w14:textId="77777777" w:rsidR="006D7A4B" w:rsidRDefault="006D7A4B" w:rsidP="00A9140F">
            <w:pPr>
              <w:pStyle w:val="AnnexNumberedText"/>
              <w:spacing w:after="240"/>
            </w:pPr>
            <w:r>
              <w:t>a)</w:t>
            </w:r>
            <w:r>
              <w:tab/>
              <w:t>hafa ekki neikvæð áhrif á viðleitni til aðlögunar eða viðnám annars fólks, náttúru, menningararfleifðar, eigna og annarrar atvinnustarfsemi gegn efnislegri loftslagsáhættu,</w:t>
            </w:r>
          </w:p>
          <w:p w14:paraId="4A7FC368" w14:textId="77777777" w:rsidR="006D7A4B" w:rsidRDefault="006D7A4B" w:rsidP="00A9140F">
            <w:pPr>
              <w:pStyle w:val="AnnexNumberedText"/>
              <w:spacing w:after="240"/>
            </w:pPr>
            <w:r>
              <w:t>b)</w:t>
            </w:r>
            <w:r>
              <w:tab/>
              <w:t>eru með náttúrumiðaðar lausnir (</w:t>
            </w:r>
            <w:r>
              <w:rPr>
                <w:rStyle w:val="Tilvsunneanmlsgrein"/>
                <w:sz w:val="18"/>
              </w:rPr>
              <w:footnoteReference w:id="538"/>
            </w:r>
            <w:r>
              <w:t>) í forgangi eða treyst er á bláa eða græna innviði (</w:t>
            </w:r>
            <w:r>
              <w:rPr>
                <w:rStyle w:val="Tilvsunneanmlsgrein"/>
                <w:sz w:val="18"/>
              </w:rPr>
              <w:footnoteReference w:id="539"/>
            </w:r>
            <w:r>
              <w:t>) að því marki sem mögulegt er,</w:t>
            </w:r>
          </w:p>
          <w:p w14:paraId="22784BB8" w14:textId="77777777" w:rsidR="006D7A4B" w:rsidRDefault="006D7A4B" w:rsidP="00A9140F">
            <w:pPr>
              <w:pStyle w:val="AnnexNumberedText"/>
              <w:spacing w:after="260"/>
            </w:pPr>
            <w:r>
              <w:t>c)</w:t>
            </w:r>
            <w:r>
              <w:tab/>
              <w:t>eru í samræmi við staðbundnar, geirabundnar, svæðisbundnar eða landsbundnar aðlögunarstefnur og -áætlanir,</w:t>
            </w:r>
          </w:p>
          <w:p w14:paraId="7BFD8AA3" w14:textId="77777777" w:rsidR="006D7A4B" w:rsidRDefault="006D7A4B" w:rsidP="00A9140F">
            <w:pPr>
              <w:pStyle w:val="AnnexNumberedText"/>
              <w:spacing w:after="26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8BC8347" w14:textId="77777777" w:rsidR="006D7A4B" w:rsidRDefault="006D7A4B" w:rsidP="00A9140F">
            <w:pPr>
              <w:pStyle w:val="AnnexNumberedText"/>
              <w:spacing w:after="26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31449BD" w14:textId="77777777" w:rsidTr="00A9140F">
        <w:trPr>
          <w:trHeight w:val="240"/>
        </w:trPr>
        <w:tc>
          <w:tcPr>
            <w:tcW w:w="8740" w:type="dxa"/>
            <w:gridSpan w:val="2"/>
            <w:tcMar>
              <w:top w:w="100" w:type="dxa"/>
              <w:left w:w="0" w:type="dxa"/>
              <w:bottom w:w="100" w:type="dxa"/>
              <w:right w:w="60" w:type="dxa"/>
            </w:tcMar>
          </w:tcPr>
          <w:p w14:paraId="770C0477" w14:textId="77777777" w:rsidR="006D7A4B" w:rsidRDefault="006D7A4B" w:rsidP="00A9140F">
            <w:pPr>
              <w:pStyle w:val="AnnexTableCellLeft"/>
            </w:pPr>
            <w:r>
              <w:t>Ekki valda umtalsverðu tjóni</w:t>
            </w:r>
          </w:p>
        </w:tc>
      </w:tr>
      <w:tr w:rsidR="006D7A4B" w14:paraId="49D7770B" w14:textId="77777777" w:rsidTr="00A9140F">
        <w:trPr>
          <w:trHeight w:val="360"/>
        </w:trPr>
        <w:tc>
          <w:tcPr>
            <w:tcW w:w="2980" w:type="dxa"/>
            <w:tcMar>
              <w:top w:w="100" w:type="dxa"/>
              <w:left w:w="0" w:type="dxa"/>
              <w:bottom w:w="100" w:type="dxa"/>
              <w:right w:w="60" w:type="dxa"/>
            </w:tcMar>
          </w:tcPr>
          <w:p w14:paraId="5C5D8F7B" w14:textId="77777777" w:rsidR="006D7A4B" w:rsidRDefault="006D7A4B" w:rsidP="00A9140F">
            <w:pPr>
              <w:pStyle w:val="AnnexNumberedText"/>
              <w:ind w:left="293" w:hanging="293"/>
            </w:pPr>
            <w:r>
              <w:t>1)</w:t>
            </w:r>
            <w:r>
              <w:tab/>
              <w:t>Mildun loftslagsbreytinga</w:t>
            </w:r>
          </w:p>
        </w:tc>
        <w:tc>
          <w:tcPr>
            <w:tcW w:w="5760" w:type="dxa"/>
            <w:tcMar>
              <w:top w:w="100" w:type="dxa"/>
              <w:left w:w="40" w:type="dxa"/>
              <w:bottom w:w="100" w:type="dxa"/>
              <w:right w:w="0" w:type="dxa"/>
            </w:tcMar>
          </w:tcPr>
          <w:p w14:paraId="0C5647E4" w14:textId="77777777" w:rsidR="006D7A4B" w:rsidRDefault="006D7A4B" w:rsidP="00A9140F">
            <w:pPr>
              <w:pStyle w:val="AnnexTableCellLeft"/>
              <w:spacing w:after="260"/>
            </w:pPr>
            <w:r>
              <w:t xml:space="preserve">Raforkunotkun fyrir </w:t>
            </w:r>
            <w:proofErr w:type="spellStart"/>
            <w:r>
              <w:t>rafgreiningu</w:t>
            </w:r>
            <w:proofErr w:type="spellEnd"/>
            <w:r>
              <w:t xml:space="preserve"> og </w:t>
            </w:r>
            <w:proofErr w:type="spellStart"/>
            <w:r>
              <w:t>klórmeðhöndlun</w:t>
            </w:r>
            <w:proofErr w:type="spellEnd"/>
            <w:r>
              <w:t xml:space="preserve"> er jöfn eða minni en 2.45 </w:t>
            </w:r>
            <w:proofErr w:type="spellStart"/>
            <w:r>
              <w:t>MWh</w:t>
            </w:r>
            <w:proofErr w:type="spellEnd"/>
            <w:r>
              <w:t xml:space="preserve"> á hvert tonn af </w:t>
            </w:r>
            <w:proofErr w:type="spellStart"/>
            <w:r>
              <w:t>klór</w:t>
            </w:r>
            <w:proofErr w:type="spellEnd"/>
            <w:r>
              <w:t>.</w:t>
            </w:r>
          </w:p>
          <w:p w14:paraId="6510A003" w14:textId="77777777" w:rsidR="006D7A4B" w:rsidRDefault="006D7A4B" w:rsidP="00A9140F">
            <w:pPr>
              <w:pStyle w:val="AnnexTableCellLeft"/>
            </w:pPr>
            <w:r>
              <w:t xml:space="preserve">Bein meðallosun gróðurhúsalofttegunda frá raforku sem er notuð vegna </w:t>
            </w:r>
            <w:proofErr w:type="spellStart"/>
            <w:r>
              <w:t>klórframleiðslu</w:t>
            </w:r>
            <w:proofErr w:type="spellEnd"/>
            <w:r>
              <w:t xml:space="preserve"> er jöfn eða minni en 270 g CO</w:t>
            </w:r>
            <w:r>
              <w:rPr>
                <w:vertAlign w:val="subscript"/>
              </w:rPr>
              <w:t>2</w:t>
            </w:r>
            <w:r>
              <w:t>e/kWh.</w:t>
            </w:r>
          </w:p>
        </w:tc>
      </w:tr>
      <w:tr w:rsidR="006D7A4B" w14:paraId="41E4979F" w14:textId="77777777" w:rsidTr="00A9140F">
        <w:trPr>
          <w:trHeight w:val="360"/>
        </w:trPr>
        <w:tc>
          <w:tcPr>
            <w:tcW w:w="2980" w:type="dxa"/>
            <w:tcMar>
              <w:top w:w="100" w:type="dxa"/>
              <w:left w:w="0" w:type="dxa"/>
              <w:bottom w:w="100" w:type="dxa"/>
              <w:right w:w="60" w:type="dxa"/>
            </w:tcMar>
          </w:tcPr>
          <w:p w14:paraId="69FEC6AC" w14:textId="77777777" w:rsidR="006D7A4B" w:rsidRDefault="006D7A4B" w:rsidP="00A9140F">
            <w:pPr>
              <w:pStyle w:val="AnnexNumberedText"/>
              <w:ind w:left="293" w:hanging="293"/>
            </w:pPr>
            <w:r>
              <w:t>3)</w:t>
            </w:r>
            <w:r>
              <w:tab/>
              <w:t>Sjálfbær notkun og verndun vatns- og sjávarauðlinda</w:t>
            </w:r>
          </w:p>
        </w:tc>
        <w:tc>
          <w:tcPr>
            <w:tcW w:w="5760" w:type="dxa"/>
            <w:tcMar>
              <w:top w:w="100" w:type="dxa"/>
              <w:left w:w="40" w:type="dxa"/>
              <w:bottom w:w="100" w:type="dxa"/>
              <w:right w:w="0" w:type="dxa"/>
            </w:tcMar>
          </w:tcPr>
          <w:p w14:paraId="6E18A0FA" w14:textId="77777777" w:rsidR="006D7A4B" w:rsidRDefault="006D7A4B" w:rsidP="00A9140F">
            <w:pPr>
              <w:pStyle w:val="AnnexTableCellLeft"/>
            </w:pPr>
            <w:r>
              <w:t>Starfsemin er í samræmi við viðmiðanirnar sem settar eru fram í viðbæti B við þennan viðauka.</w:t>
            </w:r>
          </w:p>
        </w:tc>
      </w:tr>
      <w:tr w:rsidR="006D7A4B" w14:paraId="003BCA62" w14:textId="77777777" w:rsidTr="00A9140F">
        <w:trPr>
          <w:trHeight w:val="360"/>
        </w:trPr>
        <w:tc>
          <w:tcPr>
            <w:tcW w:w="2980" w:type="dxa"/>
            <w:tcMar>
              <w:top w:w="100" w:type="dxa"/>
              <w:left w:w="0" w:type="dxa"/>
              <w:bottom w:w="100" w:type="dxa"/>
              <w:right w:w="60" w:type="dxa"/>
            </w:tcMar>
          </w:tcPr>
          <w:p w14:paraId="799991E3" w14:textId="77777777" w:rsidR="006D7A4B" w:rsidRDefault="006D7A4B" w:rsidP="00A9140F">
            <w:pPr>
              <w:pStyle w:val="AnnexNumberedText"/>
              <w:ind w:left="293" w:hanging="293"/>
            </w:pPr>
            <w:r>
              <w:t>4)</w:t>
            </w:r>
            <w:r>
              <w:tab/>
              <w:t>Umskipti yfir í hringrásarhagkerfi</w:t>
            </w:r>
          </w:p>
        </w:tc>
        <w:tc>
          <w:tcPr>
            <w:tcW w:w="5760" w:type="dxa"/>
            <w:tcMar>
              <w:top w:w="100" w:type="dxa"/>
              <w:left w:w="40" w:type="dxa"/>
              <w:bottom w:w="100" w:type="dxa"/>
              <w:right w:w="0" w:type="dxa"/>
            </w:tcMar>
          </w:tcPr>
          <w:p w14:paraId="137EBD95" w14:textId="77777777" w:rsidR="006D7A4B" w:rsidRDefault="006D7A4B" w:rsidP="00A9140F">
            <w:pPr>
              <w:pStyle w:val="AnnexTableCellLeft"/>
            </w:pPr>
            <w:r>
              <w:t>Á ekki við</w:t>
            </w:r>
          </w:p>
        </w:tc>
      </w:tr>
      <w:tr w:rsidR="006D7A4B" w14:paraId="1A70C826" w14:textId="77777777" w:rsidTr="00A9140F">
        <w:trPr>
          <w:trHeight w:val="360"/>
        </w:trPr>
        <w:tc>
          <w:tcPr>
            <w:tcW w:w="2980" w:type="dxa"/>
            <w:tcMar>
              <w:top w:w="100" w:type="dxa"/>
              <w:left w:w="0" w:type="dxa"/>
              <w:bottom w:w="100" w:type="dxa"/>
              <w:right w:w="60" w:type="dxa"/>
            </w:tcMar>
          </w:tcPr>
          <w:p w14:paraId="10CFCF7F" w14:textId="77777777" w:rsidR="006D7A4B" w:rsidRDefault="006D7A4B" w:rsidP="00A9140F">
            <w:pPr>
              <w:pStyle w:val="AnnexNumberedText"/>
              <w:ind w:left="293" w:hanging="293"/>
            </w:pPr>
            <w:r>
              <w:t>5)</w:t>
            </w:r>
            <w:r>
              <w:tab/>
              <w:t>Mengunarvarnir og eftirlit með mengun</w:t>
            </w:r>
          </w:p>
        </w:tc>
        <w:tc>
          <w:tcPr>
            <w:tcW w:w="5760" w:type="dxa"/>
            <w:tcMar>
              <w:top w:w="100" w:type="dxa"/>
              <w:left w:w="40" w:type="dxa"/>
              <w:bottom w:w="100" w:type="dxa"/>
              <w:right w:w="0" w:type="dxa"/>
            </w:tcMar>
          </w:tcPr>
          <w:p w14:paraId="0F57EFF7" w14:textId="77777777" w:rsidR="006D7A4B" w:rsidRDefault="006D7A4B" w:rsidP="00A9140F">
            <w:pPr>
              <w:pStyle w:val="AnnexTableCellLeft"/>
              <w:spacing w:after="260"/>
              <w:rPr>
                <w:szCs w:val="18"/>
              </w:rPr>
            </w:pPr>
            <w:r>
              <w:t>Starfsemin er í samræmi við viðmiðanirnar sem settar eru fram í viðbæti C við þennan viðauka.</w:t>
            </w:r>
          </w:p>
          <w:p w14:paraId="3B9D9ABF" w14:textId="77777777" w:rsidR="006D7A4B" w:rsidRDefault="006D7A4B" w:rsidP="00A9140F">
            <w:pPr>
              <w:pStyle w:val="AnnexTableCellLeft"/>
              <w:spacing w:after="260"/>
              <w:rPr>
                <w:szCs w:val="18"/>
              </w:rPr>
            </w:pPr>
            <w:r>
              <w:t>Losun fellur innan við eða undir svið losunargilda sem tengjast bestu aðgengilegu tækni samkvæmt nýjustu viðeigandi niðurstöðum um bestu aðgengilegu tækni, þ.m.t.:</w:t>
            </w:r>
          </w:p>
          <w:p w14:paraId="28467061" w14:textId="77777777" w:rsidR="006D7A4B" w:rsidRDefault="006D7A4B" w:rsidP="00A9140F">
            <w:pPr>
              <w:pStyle w:val="AnnexNumberedText"/>
              <w:spacing w:after="260"/>
              <w:rPr>
                <w:szCs w:val="18"/>
              </w:rPr>
            </w:pPr>
            <w:r>
              <w:t>a)</w:t>
            </w:r>
            <w:r>
              <w:tab/>
              <w:t xml:space="preserve">niðurstöður um bestu aðgengilegu tækni vegna </w:t>
            </w:r>
            <w:proofErr w:type="spellStart"/>
            <w:r>
              <w:t>klóralkalíframleiðslu</w:t>
            </w:r>
            <w:proofErr w:type="spellEnd"/>
            <w:r>
              <w:t xml:space="preserve"> (</w:t>
            </w:r>
            <w:r>
              <w:rPr>
                <w:rStyle w:val="Tilvsunneanmlsgrein"/>
                <w:sz w:val="18"/>
                <w:szCs w:val="18"/>
              </w:rPr>
              <w:footnoteReference w:id="540"/>
            </w:r>
            <w:r>
              <w:t>),</w:t>
            </w:r>
          </w:p>
          <w:p w14:paraId="315200DF" w14:textId="77777777" w:rsidR="006D7A4B" w:rsidRDefault="006D7A4B" w:rsidP="00A9140F">
            <w:pPr>
              <w:pStyle w:val="AnnexNumberedText"/>
              <w:spacing w:after="260"/>
              <w:rPr>
                <w:szCs w:val="18"/>
              </w:rPr>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szCs w:val="18"/>
              </w:rPr>
              <w:footnoteReference w:id="541"/>
            </w:r>
            <w:r>
              <w:t>).</w:t>
            </w:r>
          </w:p>
          <w:p w14:paraId="31F8375D" w14:textId="77777777" w:rsidR="006D7A4B" w:rsidRDefault="006D7A4B" w:rsidP="00A9140F">
            <w:pPr>
              <w:pStyle w:val="AnnexTableCellLeft"/>
              <w:spacing w:after="260"/>
            </w:pPr>
            <w:r>
              <w:t>Engin umtalsverð yfirfærsluáhrif milli umhverfishólfa eiga sér stað.</w:t>
            </w:r>
          </w:p>
        </w:tc>
      </w:tr>
      <w:tr w:rsidR="006D7A4B" w14:paraId="1EE0CC42" w14:textId="77777777" w:rsidTr="00A9140F">
        <w:trPr>
          <w:trHeight w:val="360"/>
        </w:trPr>
        <w:tc>
          <w:tcPr>
            <w:tcW w:w="2980" w:type="dxa"/>
            <w:tcMar>
              <w:top w:w="100" w:type="dxa"/>
              <w:left w:w="0" w:type="dxa"/>
              <w:bottom w:w="100" w:type="dxa"/>
              <w:right w:w="60" w:type="dxa"/>
            </w:tcMar>
          </w:tcPr>
          <w:p w14:paraId="73BB19B7" w14:textId="77777777" w:rsidR="006D7A4B" w:rsidRDefault="006D7A4B" w:rsidP="00A9140F">
            <w:pPr>
              <w:pStyle w:val="AnnexNumberedText"/>
              <w:ind w:left="293" w:hanging="293"/>
            </w:pPr>
            <w:r>
              <w:t>6)</w:t>
            </w:r>
            <w:r>
              <w:tab/>
              <w:t xml:space="preserve">Vernd og endurheimt líffræðilegrar </w:t>
            </w:r>
            <w:r>
              <w:lastRenderedPageBreak/>
              <w:t>fjölbreytni og vistkerfa</w:t>
            </w:r>
          </w:p>
        </w:tc>
        <w:tc>
          <w:tcPr>
            <w:tcW w:w="5760" w:type="dxa"/>
            <w:tcMar>
              <w:top w:w="100" w:type="dxa"/>
              <w:left w:w="40" w:type="dxa"/>
              <w:bottom w:w="100" w:type="dxa"/>
              <w:right w:w="0" w:type="dxa"/>
            </w:tcMar>
          </w:tcPr>
          <w:p w14:paraId="6BD67F5C" w14:textId="77777777" w:rsidR="006D7A4B" w:rsidRDefault="006D7A4B" w:rsidP="00A9140F">
            <w:pPr>
              <w:pStyle w:val="AnnexTableCellLeft"/>
            </w:pPr>
            <w:r>
              <w:lastRenderedPageBreak/>
              <w:t xml:space="preserve">Starfsemin er í samræmi við viðmiðanirnar sem settar eru fram í viðbæti C við </w:t>
            </w:r>
            <w:r>
              <w:lastRenderedPageBreak/>
              <w:t>þennan viðauka.</w:t>
            </w:r>
          </w:p>
        </w:tc>
      </w:tr>
    </w:tbl>
    <w:p w14:paraId="3108BFBE" w14:textId="77777777" w:rsidR="006D7A4B" w:rsidRDefault="006D7A4B" w:rsidP="006D7A4B">
      <w:pPr>
        <w:shd w:val="clear" w:color="auto" w:fill="auto"/>
        <w:spacing w:line="0" w:lineRule="auto"/>
        <w:jc w:val="left"/>
        <w:rPr>
          <w:color w:val="auto"/>
          <w14:ligatures w14:val="standard"/>
        </w:rPr>
      </w:pPr>
      <w:r>
        <w:lastRenderedPageBreak/>
        <w:br w:type="page"/>
      </w:r>
    </w:p>
    <w:p w14:paraId="37B0A59B" w14:textId="77777777" w:rsidR="006D7A4B" w:rsidRDefault="006D7A4B" w:rsidP="006D7A4B">
      <w:pPr>
        <w:pStyle w:val="AnnexNumberedText"/>
        <w:spacing w:after="200"/>
        <w:ind w:left="500" w:hanging="500"/>
      </w:pPr>
      <w:r>
        <w:lastRenderedPageBreak/>
        <w:t>3.14.</w:t>
      </w:r>
      <w:r>
        <w:rPr>
          <w:b/>
        </w:rPr>
        <w:tab/>
        <w:t>Framleiðsla á lífrænum grunnefnum</w:t>
      </w:r>
    </w:p>
    <w:p w14:paraId="0ECDED06" w14:textId="77777777" w:rsidR="006D7A4B" w:rsidRDefault="006D7A4B" w:rsidP="006D7A4B">
      <w:pPr>
        <w:pStyle w:val="AnnexGrSeq3"/>
        <w:ind w:left="800" w:hanging="300"/>
        <w:jc w:val="both"/>
      </w:pPr>
      <w:r>
        <w:rPr>
          <w:i/>
        </w:rPr>
        <w:t>Lýsing á starfseminni</w:t>
      </w:r>
    </w:p>
    <w:p w14:paraId="0D0ABE1F" w14:textId="77777777" w:rsidR="006D7A4B" w:rsidRDefault="006D7A4B" w:rsidP="006D7A4B">
      <w:pPr>
        <w:pStyle w:val="AnnexNormal"/>
        <w:ind w:left="800" w:hanging="300"/>
      </w:pPr>
      <w:r>
        <w:t>Framleiðsla á:</w:t>
      </w:r>
    </w:p>
    <w:p w14:paraId="702C74EA" w14:textId="77777777" w:rsidR="006D7A4B" w:rsidRDefault="006D7A4B" w:rsidP="006D7A4B">
      <w:pPr>
        <w:pStyle w:val="AnnexNumberedText"/>
        <w:spacing w:after="200"/>
        <w:ind w:left="800"/>
      </w:pPr>
      <w:r>
        <w:t>a)</w:t>
      </w:r>
      <w:r>
        <w:tab/>
      </w:r>
      <w:proofErr w:type="spellStart"/>
      <w:r>
        <w:t>hágæðaíðefnum</w:t>
      </w:r>
      <w:proofErr w:type="spellEnd"/>
      <w:r>
        <w:t>:</w:t>
      </w:r>
    </w:p>
    <w:p w14:paraId="748E240C" w14:textId="77777777" w:rsidR="006D7A4B" w:rsidRDefault="006D7A4B" w:rsidP="006D7A4B">
      <w:pPr>
        <w:pStyle w:val="AnnexNumberedText"/>
        <w:spacing w:after="200"/>
        <w:ind w:left="1160" w:hanging="360"/>
      </w:pPr>
      <w:r>
        <w:t>i.</w:t>
      </w:r>
      <w:r>
        <w:tab/>
      </w:r>
      <w:proofErr w:type="spellStart"/>
      <w:r>
        <w:t>asetýlen</w:t>
      </w:r>
      <w:proofErr w:type="spellEnd"/>
      <w:r>
        <w:t>,</w:t>
      </w:r>
    </w:p>
    <w:p w14:paraId="0C09E80F" w14:textId="77777777" w:rsidR="006D7A4B" w:rsidRDefault="006D7A4B" w:rsidP="006D7A4B">
      <w:pPr>
        <w:pStyle w:val="AnnexNumberedText"/>
        <w:spacing w:after="200"/>
        <w:ind w:left="1160" w:hanging="360"/>
      </w:pPr>
      <w:r>
        <w:t>ii.</w:t>
      </w:r>
      <w:r>
        <w:tab/>
      </w:r>
      <w:proofErr w:type="spellStart"/>
      <w:r>
        <w:t>etýlen</w:t>
      </w:r>
      <w:proofErr w:type="spellEnd"/>
      <w:r>
        <w:t>,</w:t>
      </w:r>
    </w:p>
    <w:p w14:paraId="73183920" w14:textId="77777777" w:rsidR="006D7A4B" w:rsidRDefault="006D7A4B" w:rsidP="006D7A4B">
      <w:pPr>
        <w:pStyle w:val="AnnexNumberedText"/>
        <w:spacing w:after="200"/>
        <w:ind w:left="1160" w:hanging="360"/>
      </w:pPr>
      <w:r>
        <w:t>iii.</w:t>
      </w:r>
      <w:r>
        <w:tab/>
      </w:r>
      <w:proofErr w:type="spellStart"/>
      <w:r>
        <w:t>própýlen</w:t>
      </w:r>
      <w:proofErr w:type="spellEnd"/>
      <w:r>
        <w:t>,</w:t>
      </w:r>
    </w:p>
    <w:p w14:paraId="03546AE1" w14:textId="77777777" w:rsidR="006D7A4B" w:rsidRDefault="006D7A4B" w:rsidP="006D7A4B">
      <w:pPr>
        <w:pStyle w:val="AnnexNumberedText"/>
        <w:spacing w:after="200"/>
        <w:ind w:left="1160" w:hanging="360"/>
      </w:pPr>
      <w:r>
        <w:t>iv.</w:t>
      </w:r>
      <w:r>
        <w:tab/>
      </w:r>
      <w:proofErr w:type="spellStart"/>
      <w:r>
        <w:t>bútadíen</w:t>
      </w:r>
      <w:proofErr w:type="spellEnd"/>
      <w:r>
        <w:t>.</w:t>
      </w:r>
    </w:p>
    <w:p w14:paraId="5894DCBB" w14:textId="77777777" w:rsidR="006D7A4B" w:rsidRDefault="006D7A4B" w:rsidP="006D7A4B">
      <w:pPr>
        <w:pStyle w:val="AnnexNumberedText"/>
        <w:spacing w:after="200"/>
        <w:ind w:left="800"/>
      </w:pPr>
      <w:r>
        <w:t>b)</w:t>
      </w:r>
      <w:r>
        <w:tab/>
      </w:r>
      <w:proofErr w:type="spellStart"/>
      <w:r>
        <w:t>arómötum</w:t>
      </w:r>
      <w:proofErr w:type="spellEnd"/>
      <w:r>
        <w:t>:</w:t>
      </w:r>
    </w:p>
    <w:p w14:paraId="61E4C51B" w14:textId="77777777" w:rsidR="006D7A4B" w:rsidRDefault="006D7A4B" w:rsidP="006D7A4B">
      <w:pPr>
        <w:pStyle w:val="AnnexNumberedText"/>
        <w:spacing w:after="200"/>
        <w:ind w:left="1160" w:hanging="360"/>
      </w:pPr>
      <w:r>
        <w:t>i.</w:t>
      </w:r>
      <w:r>
        <w:tab/>
        <w:t xml:space="preserve">blönduð </w:t>
      </w:r>
      <w:proofErr w:type="spellStart"/>
      <w:r>
        <w:t>alkýlbensen</w:t>
      </w:r>
      <w:proofErr w:type="spellEnd"/>
      <w:r>
        <w:t xml:space="preserve">, blönduð </w:t>
      </w:r>
      <w:proofErr w:type="spellStart"/>
      <w:r>
        <w:t>alkýlnaftalín</w:t>
      </w:r>
      <w:proofErr w:type="spellEnd"/>
      <w:r>
        <w:t xml:space="preserve"> önnur en í nr. 2707 eða nr. 2902,</w:t>
      </w:r>
    </w:p>
    <w:p w14:paraId="206A7F1E" w14:textId="77777777" w:rsidR="006D7A4B" w:rsidRDefault="006D7A4B" w:rsidP="006D7A4B">
      <w:pPr>
        <w:pStyle w:val="AnnexNumberedText"/>
        <w:spacing w:after="200"/>
        <w:ind w:left="1160" w:hanging="360"/>
      </w:pPr>
      <w:r>
        <w:t>ii.</w:t>
      </w:r>
      <w:r>
        <w:tab/>
      </w:r>
      <w:proofErr w:type="spellStart"/>
      <w:r>
        <w:t>sýklóhexan</w:t>
      </w:r>
      <w:proofErr w:type="spellEnd"/>
      <w:r>
        <w:t>,</w:t>
      </w:r>
    </w:p>
    <w:p w14:paraId="309B615D" w14:textId="77777777" w:rsidR="006D7A4B" w:rsidRDefault="006D7A4B" w:rsidP="006D7A4B">
      <w:pPr>
        <w:pStyle w:val="AnnexNumberedText"/>
        <w:spacing w:after="200"/>
        <w:ind w:left="1160" w:hanging="360"/>
      </w:pPr>
      <w:r>
        <w:t>iii.</w:t>
      </w:r>
      <w:r>
        <w:tab/>
        <w:t>bensen,</w:t>
      </w:r>
    </w:p>
    <w:p w14:paraId="53F300DB" w14:textId="77777777" w:rsidR="006D7A4B" w:rsidRDefault="006D7A4B" w:rsidP="006D7A4B">
      <w:pPr>
        <w:pStyle w:val="AnnexNumberedText"/>
        <w:spacing w:after="200"/>
        <w:ind w:left="1160" w:hanging="360"/>
      </w:pPr>
      <w:r>
        <w:t>iv.</w:t>
      </w:r>
      <w:r>
        <w:tab/>
      </w:r>
      <w:proofErr w:type="spellStart"/>
      <w:r>
        <w:t>tólúen</w:t>
      </w:r>
      <w:proofErr w:type="spellEnd"/>
      <w:r>
        <w:t>,</w:t>
      </w:r>
    </w:p>
    <w:p w14:paraId="2C74A3C2" w14:textId="77777777" w:rsidR="006D7A4B" w:rsidRDefault="006D7A4B" w:rsidP="006D7A4B">
      <w:pPr>
        <w:pStyle w:val="AnnexNumberedText"/>
        <w:spacing w:after="200"/>
        <w:ind w:left="1160" w:hanging="360"/>
      </w:pPr>
      <w:r>
        <w:t>v.</w:t>
      </w:r>
      <w:r>
        <w:tab/>
        <w:t>o-</w:t>
      </w:r>
      <w:proofErr w:type="spellStart"/>
      <w:r>
        <w:t>xýlen</w:t>
      </w:r>
      <w:proofErr w:type="spellEnd"/>
      <w:r>
        <w:t>,</w:t>
      </w:r>
    </w:p>
    <w:p w14:paraId="11BB06EC" w14:textId="77777777" w:rsidR="006D7A4B" w:rsidRDefault="006D7A4B" w:rsidP="006D7A4B">
      <w:pPr>
        <w:pStyle w:val="AnnexNumberedText"/>
        <w:spacing w:after="200"/>
        <w:ind w:left="1160" w:hanging="360"/>
      </w:pPr>
      <w:r>
        <w:t>vi.</w:t>
      </w:r>
      <w:r>
        <w:tab/>
        <w:t>p-</w:t>
      </w:r>
      <w:proofErr w:type="spellStart"/>
      <w:r>
        <w:t>xýlen</w:t>
      </w:r>
      <w:proofErr w:type="spellEnd"/>
      <w:r>
        <w:t>,</w:t>
      </w:r>
    </w:p>
    <w:p w14:paraId="4F053D1D" w14:textId="77777777" w:rsidR="006D7A4B" w:rsidRDefault="006D7A4B" w:rsidP="006D7A4B">
      <w:pPr>
        <w:pStyle w:val="AnnexNumberedText"/>
        <w:spacing w:after="200"/>
        <w:ind w:left="1160" w:hanging="360"/>
      </w:pPr>
      <w:r>
        <w:t>vii.</w:t>
      </w:r>
      <w:r>
        <w:tab/>
        <w:t>m-</w:t>
      </w:r>
      <w:proofErr w:type="spellStart"/>
      <w:r>
        <w:t>xýlen</w:t>
      </w:r>
      <w:proofErr w:type="spellEnd"/>
      <w:r>
        <w:t xml:space="preserve"> og blandaðar hverfur </w:t>
      </w:r>
      <w:proofErr w:type="spellStart"/>
      <w:r>
        <w:t>xýlens</w:t>
      </w:r>
      <w:proofErr w:type="spellEnd"/>
      <w:r>
        <w:t>,</w:t>
      </w:r>
    </w:p>
    <w:p w14:paraId="17064FEA" w14:textId="77777777" w:rsidR="006D7A4B" w:rsidRDefault="006D7A4B" w:rsidP="006D7A4B">
      <w:pPr>
        <w:pStyle w:val="AnnexNumberedText"/>
        <w:spacing w:after="200"/>
        <w:ind w:left="1160" w:hanging="360"/>
      </w:pPr>
      <w:r>
        <w:t>viii.</w:t>
      </w:r>
      <w:r>
        <w:tab/>
      </w:r>
      <w:proofErr w:type="spellStart"/>
      <w:r>
        <w:t>etýlbensen</w:t>
      </w:r>
      <w:proofErr w:type="spellEnd"/>
      <w:r>
        <w:t>,</w:t>
      </w:r>
    </w:p>
    <w:p w14:paraId="68347755" w14:textId="77777777" w:rsidR="006D7A4B" w:rsidRDefault="006D7A4B" w:rsidP="006D7A4B">
      <w:pPr>
        <w:pStyle w:val="AnnexNumberedText"/>
        <w:spacing w:after="200"/>
        <w:ind w:left="1160" w:hanging="360"/>
      </w:pPr>
      <w:r>
        <w:t>ix.</w:t>
      </w:r>
      <w:r>
        <w:tab/>
      </w:r>
      <w:proofErr w:type="spellStart"/>
      <w:r>
        <w:t>kúmól</w:t>
      </w:r>
      <w:proofErr w:type="spellEnd"/>
      <w:r>
        <w:t>,</w:t>
      </w:r>
    </w:p>
    <w:p w14:paraId="3FD2E1FA" w14:textId="77777777" w:rsidR="006D7A4B" w:rsidRDefault="006D7A4B" w:rsidP="006D7A4B">
      <w:pPr>
        <w:pStyle w:val="AnnexNumberedText"/>
        <w:spacing w:after="200"/>
        <w:ind w:left="1160" w:hanging="360"/>
      </w:pPr>
      <w:r>
        <w:t>x.</w:t>
      </w:r>
      <w:r>
        <w:tab/>
      </w:r>
      <w:proofErr w:type="spellStart"/>
      <w:r>
        <w:t>bífenýl</w:t>
      </w:r>
      <w:proofErr w:type="spellEnd"/>
      <w:r>
        <w:t xml:space="preserve">, </w:t>
      </w:r>
      <w:proofErr w:type="spellStart"/>
      <w:r>
        <w:t>terfenýl</w:t>
      </w:r>
      <w:proofErr w:type="spellEnd"/>
      <w:r>
        <w:t xml:space="preserve">, </w:t>
      </w:r>
      <w:proofErr w:type="spellStart"/>
      <w:r>
        <w:t>vínýltólúen</w:t>
      </w:r>
      <w:proofErr w:type="spellEnd"/>
      <w:r>
        <w:t xml:space="preserve">, önnur hringuð vetniskolefni að undanskildum </w:t>
      </w:r>
      <w:proofErr w:type="spellStart"/>
      <w:r>
        <w:t>sýklönum</w:t>
      </w:r>
      <w:proofErr w:type="spellEnd"/>
      <w:r>
        <w:t xml:space="preserve">, </w:t>
      </w:r>
      <w:proofErr w:type="spellStart"/>
      <w:r>
        <w:t>sýklen</w:t>
      </w:r>
      <w:proofErr w:type="spellEnd"/>
      <w:r>
        <w:t xml:space="preserve">, </w:t>
      </w:r>
      <w:proofErr w:type="spellStart"/>
      <w:r>
        <w:t>sýklóterpen</w:t>
      </w:r>
      <w:proofErr w:type="spellEnd"/>
      <w:r>
        <w:t xml:space="preserve">, bensen, </w:t>
      </w:r>
      <w:proofErr w:type="spellStart"/>
      <w:r>
        <w:t>tólúen</w:t>
      </w:r>
      <w:proofErr w:type="spellEnd"/>
      <w:r>
        <w:t xml:space="preserve">, </w:t>
      </w:r>
      <w:proofErr w:type="spellStart"/>
      <w:r>
        <w:t>xýlen</w:t>
      </w:r>
      <w:proofErr w:type="spellEnd"/>
      <w:r>
        <w:t xml:space="preserve">, </w:t>
      </w:r>
      <w:proofErr w:type="spellStart"/>
      <w:r>
        <w:t>stýren</w:t>
      </w:r>
      <w:proofErr w:type="spellEnd"/>
      <w:r>
        <w:t xml:space="preserve">, </w:t>
      </w:r>
      <w:proofErr w:type="spellStart"/>
      <w:r>
        <w:t>etýlbensen</w:t>
      </w:r>
      <w:proofErr w:type="spellEnd"/>
      <w:r>
        <w:t xml:space="preserve">, </w:t>
      </w:r>
      <w:proofErr w:type="spellStart"/>
      <w:r>
        <w:t>kúmól</w:t>
      </w:r>
      <w:proofErr w:type="spellEnd"/>
      <w:r>
        <w:t xml:space="preserve">, </w:t>
      </w:r>
      <w:proofErr w:type="spellStart"/>
      <w:r>
        <w:t>naftalín</w:t>
      </w:r>
      <w:proofErr w:type="spellEnd"/>
      <w:r>
        <w:t xml:space="preserve">, </w:t>
      </w:r>
      <w:proofErr w:type="spellStart"/>
      <w:r>
        <w:t>antrasen</w:t>
      </w:r>
      <w:proofErr w:type="spellEnd"/>
      <w:r>
        <w:t>,</w:t>
      </w:r>
    </w:p>
    <w:p w14:paraId="18341574" w14:textId="77777777" w:rsidR="006D7A4B" w:rsidRDefault="006D7A4B" w:rsidP="006D7A4B">
      <w:pPr>
        <w:pStyle w:val="AnnexNumberedText"/>
        <w:spacing w:after="200"/>
        <w:ind w:left="1160" w:hanging="360"/>
      </w:pPr>
      <w:r>
        <w:t>xi.</w:t>
      </w:r>
      <w:r>
        <w:tab/>
        <w:t xml:space="preserve">bensól (bensen), </w:t>
      </w:r>
      <w:proofErr w:type="spellStart"/>
      <w:r>
        <w:t>tólúól</w:t>
      </w:r>
      <w:proofErr w:type="spellEnd"/>
      <w:r>
        <w:t xml:space="preserve"> (</w:t>
      </w:r>
      <w:proofErr w:type="spellStart"/>
      <w:r>
        <w:t>tólúen</w:t>
      </w:r>
      <w:proofErr w:type="spellEnd"/>
      <w:r>
        <w:t xml:space="preserve">) og </w:t>
      </w:r>
      <w:proofErr w:type="spellStart"/>
      <w:r>
        <w:t>xýlól</w:t>
      </w:r>
      <w:proofErr w:type="spellEnd"/>
      <w:r>
        <w:t xml:space="preserve"> (</w:t>
      </w:r>
      <w:proofErr w:type="spellStart"/>
      <w:r>
        <w:t>xýlen</w:t>
      </w:r>
      <w:proofErr w:type="spellEnd"/>
      <w:r>
        <w:t>),</w:t>
      </w:r>
    </w:p>
    <w:p w14:paraId="2127D09E" w14:textId="77777777" w:rsidR="006D7A4B" w:rsidRDefault="006D7A4B" w:rsidP="006D7A4B">
      <w:pPr>
        <w:pStyle w:val="AnnexNumberedText"/>
        <w:spacing w:after="200"/>
        <w:ind w:left="1160" w:hanging="360"/>
      </w:pPr>
      <w:r>
        <w:t>xii.</w:t>
      </w:r>
      <w:r>
        <w:tab/>
      </w:r>
      <w:proofErr w:type="spellStart"/>
      <w:r>
        <w:t>naftalín</w:t>
      </w:r>
      <w:proofErr w:type="spellEnd"/>
      <w:r>
        <w:t xml:space="preserve"> og aðrar </w:t>
      </w:r>
      <w:proofErr w:type="spellStart"/>
      <w:r>
        <w:t>arómatískar</w:t>
      </w:r>
      <w:proofErr w:type="spellEnd"/>
      <w:r>
        <w:t xml:space="preserve"> vetniskolefnablöndur (að undanskildu bensóli, </w:t>
      </w:r>
      <w:proofErr w:type="spellStart"/>
      <w:r>
        <w:t>tólúóli</w:t>
      </w:r>
      <w:proofErr w:type="spellEnd"/>
      <w:r>
        <w:t xml:space="preserve">, </w:t>
      </w:r>
      <w:proofErr w:type="spellStart"/>
      <w:r>
        <w:t>xýlóli</w:t>
      </w:r>
      <w:proofErr w:type="spellEnd"/>
      <w:r>
        <w:t>).</w:t>
      </w:r>
    </w:p>
    <w:p w14:paraId="0F7B1033" w14:textId="77777777" w:rsidR="006D7A4B" w:rsidRDefault="006D7A4B" w:rsidP="006D7A4B">
      <w:pPr>
        <w:pStyle w:val="AnnexNumberedText"/>
        <w:spacing w:after="200"/>
        <w:ind w:left="800"/>
      </w:pPr>
      <w:r>
        <w:t>c)</w:t>
      </w:r>
      <w:r>
        <w:tab/>
      </w:r>
      <w:proofErr w:type="spellStart"/>
      <w:r>
        <w:t>vínýlklóríði</w:t>
      </w:r>
      <w:proofErr w:type="spellEnd"/>
      <w:r>
        <w:t>,</w:t>
      </w:r>
    </w:p>
    <w:p w14:paraId="7F291CFC" w14:textId="77777777" w:rsidR="006D7A4B" w:rsidRDefault="006D7A4B" w:rsidP="006D7A4B">
      <w:pPr>
        <w:pStyle w:val="AnnexNumberedText"/>
        <w:spacing w:after="200"/>
        <w:ind w:left="800"/>
      </w:pPr>
      <w:r>
        <w:t>d)</w:t>
      </w:r>
      <w:r>
        <w:tab/>
      </w:r>
      <w:proofErr w:type="spellStart"/>
      <w:r>
        <w:t>stýreni</w:t>
      </w:r>
      <w:proofErr w:type="spellEnd"/>
      <w:r>
        <w:t>,</w:t>
      </w:r>
    </w:p>
    <w:p w14:paraId="6749F30B" w14:textId="77777777" w:rsidR="006D7A4B" w:rsidRDefault="006D7A4B" w:rsidP="006D7A4B">
      <w:pPr>
        <w:pStyle w:val="AnnexNumberedText"/>
        <w:spacing w:after="200"/>
        <w:ind w:left="800"/>
      </w:pPr>
      <w:r>
        <w:t>e)</w:t>
      </w:r>
      <w:r>
        <w:tab/>
      </w:r>
      <w:proofErr w:type="spellStart"/>
      <w:r>
        <w:t>etýlenoxíði</w:t>
      </w:r>
      <w:proofErr w:type="spellEnd"/>
      <w:r>
        <w:t>,</w:t>
      </w:r>
    </w:p>
    <w:p w14:paraId="1AFDE4CF" w14:textId="77777777" w:rsidR="006D7A4B" w:rsidRDefault="006D7A4B" w:rsidP="006D7A4B">
      <w:pPr>
        <w:pStyle w:val="AnnexNumberedText"/>
        <w:spacing w:after="200"/>
        <w:ind w:left="800"/>
      </w:pPr>
      <w:r>
        <w:t>f)</w:t>
      </w:r>
      <w:r>
        <w:tab/>
      </w:r>
      <w:proofErr w:type="spellStart"/>
      <w:r>
        <w:t>mónóetýlenglýkóli</w:t>
      </w:r>
      <w:proofErr w:type="spellEnd"/>
      <w:r>
        <w:t>,</w:t>
      </w:r>
    </w:p>
    <w:p w14:paraId="193F9DB0" w14:textId="77777777" w:rsidR="006D7A4B" w:rsidRDefault="006D7A4B" w:rsidP="006D7A4B">
      <w:pPr>
        <w:pStyle w:val="AnnexNumberedText"/>
        <w:spacing w:after="200"/>
        <w:ind w:left="800"/>
      </w:pPr>
      <w:r>
        <w:t>g)</w:t>
      </w:r>
      <w:r>
        <w:tab/>
      </w:r>
      <w:proofErr w:type="spellStart"/>
      <w:r>
        <w:t>adipínsýru</w:t>
      </w:r>
      <w:proofErr w:type="spellEnd"/>
      <w:r>
        <w:t>.</w:t>
      </w:r>
    </w:p>
    <w:p w14:paraId="38911D2A" w14:textId="77777777" w:rsidR="006D7A4B" w:rsidRDefault="006D7A4B" w:rsidP="006D7A4B">
      <w:pPr>
        <w:pStyle w:val="AnnexNormal"/>
        <w:ind w:left="500"/>
      </w:pPr>
      <w:r>
        <w:t>Atvinnustarfsemin í þessum flokki gæti tengst kóða atvinnugreinaflokkunar Evrópusambandsins C20.14 í samræmi við atvinnugreinaflokkunina sem komið var á með reglugerð (EB) nr. 1893/2006.</w:t>
      </w:r>
    </w:p>
    <w:p w14:paraId="32189EE3" w14:textId="77777777" w:rsidR="006D7A4B" w:rsidRDefault="006D7A4B" w:rsidP="006D7A4B">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60"/>
        <w:gridCol w:w="5880"/>
      </w:tblGrid>
      <w:tr w:rsidR="006D7A4B" w14:paraId="538EBBB2"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75944101" w14:textId="77777777" w:rsidR="006D7A4B" w:rsidRDefault="006D7A4B" w:rsidP="00A9140F">
            <w:pPr>
              <w:pStyle w:val="AnnexTableCellLeft"/>
            </w:pPr>
            <w:r>
              <w:t>Verulegt framlag til aðlögunar að loftslagsbreytingum</w:t>
            </w:r>
          </w:p>
        </w:tc>
      </w:tr>
      <w:tr w:rsidR="006D7A4B" w14:paraId="5AA177F1" w14:textId="77777777" w:rsidTr="00A9140F">
        <w:trPr>
          <w:trHeight w:val="360"/>
        </w:trPr>
        <w:tc>
          <w:tcPr>
            <w:tcW w:w="8740" w:type="dxa"/>
            <w:gridSpan w:val="2"/>
            <w:tcBorders>
              <w:bottom w:val="nil"/>
            </w:tcBorders>
            <w:tcMar>
              <w:top w:w="100" w:type="dxa"/>
              <w:left w:w="0" w:type="dxa"/>
              <w:bottom w:w="100" w:type="dxa"/>
              <w:right w:w="60" w:type="dxa"/>
            </w:tcMar>
          </w:tcPr>
          <w:p w14:paraId="25C39114" w14:textId="77777777" w:rsidR="006D7A4B" w:rsidRDefault="006D7A4B" w:rsidP="00A9140F">
            <w:pPr>
              <w:pStyle w:val="AnnexNumberedText"/>
              <w:tabs>
                <w:tab w:val="left" w:pos="508"/>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tc>
      </w:tr>
      <w:tr w:rsidR="006D7A4B" w14:paraId="2BFECE49" w14:textId="77777777" w:rsidTr="00A9140F">
        <w:trPr>
          <w:trHeight w:val="360"/>
        </w:trPr>
        <w:tc>
          <w:tcPr>
            <w:tcW w:w="8740" w:type="dxa"/>
            <w:gridSpan w:val="2"/>
            <w:tcBorders>
              <w:top w:val="nil"/>
              <w:bottom w:val="nil"/>
            </w:tcBorders>
            <w:tcMar>
              <w:top w:w="100" w:type="dxa"/>
              <w:left w:w="0" w:type="dxa"/>
              <w:bottom w:w="100" w:type="dxa"/>
              <w:right w:w="60" w:type="dxa"/>
            </w:tcMar>
          </w:tcPr>
          <w:p w14:paraId="7F8343EB" w14:textId="77777777" w:rsidR="006D7A4B" w:rsidRDefault="006D7A4B" w:rsidP="00A9140F">
            <w:pPr>
              <w:pStyle w:val="AnnexNumberedText"/>
              <w:pageBreakBefore/>
              <w:tabs>
                <w:tab w:val="left" w:pos="508"/>
              </w:tabs>
              <w:spacing w:after="300"/>
              <w:ind w:left="0" w:firstLine="0"/>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9D199BC" w14:textId="77777777" w:rsidR="006D7A4B" w:rsidRDefault="006D7A4B" w:rsidP="00A9140F">
            <w:pPr>
              <w:pStyle w:val="AnnexNumberedText"/>
              <w:spacing w:after="300"/>
            </w:pPr>
            <w:r>
              <w:t>a)</w:t>
            </w:r>
            <w:r>
              <w:tab/>
              <w:t>skimun á starfseminni til að greina hvaða efnislega loftslagsáhætta úr skránni í viðbæti A við þennan viðauka getur haft áhrif á árangurinn af atvinnustarfseminni á væntum líftíma hennar,</w:t>
            </w:r>
          </w:p>
          <w:p w14:paraId="2903BBCE" w14:textId="77777777" w:rsidR="006D7A4B" w:rsidRDefault="006D7A4B" w:rsidP="00A9140F">
            <w:pPr>
              <w:pStyle w:val="AnnexNumberedText"/>
              <w:spacing w:after="3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0F48A701" w14:textId="77777777" w:rsidR="006D7A4B" w:rsidRDefault="006D7A4B" w:rsidP="00A9140F">
            <w:pPr>
              <w:pStyle w:val="AnnexNumberedText"/>
              <w:spacing w:after="300"/>
            </w:pPr>
            <w:r>
              <w:t>c)</w:t>
            </w:r>
            <w:r>
              <w:tab/>
              <w:t>mat á aðlögunarlausnum sem geta dregið úr greindri efnislegri loftslagsáhættu.</w:t>
            </w:r>
          </w:p>
          <w:p w14:paraId="713B8AAE" w14:textId="77777777" w:rsidR="006D7A4B" w:rsidRDefault="006D7A4B" w:rsidP="00A9140F">
            <w:pPr>
              <w:pStyle w:val="AnnexTableCellLeft"/>
              <w:spacing w:after="300"/>
              <w:ind w:left="279"/>
            </w:pPr>
            <w:r>
              <w:t xml:space="preserve">Loftslagsáhættu- og veikleikamatið er í réttu hlutfalli við umfang starfseminnar og </w:t>
            </w:r>
            <w:proofErr w:type="spellStart"/>
            <w:r>
              <w:t>væntan</w:t>
            </w:r>
            <w:proofErr w:type="spellEnd"/>
            <w:r>
              <w:t xml:space="preserve"> líftíma hennar þannig að:</w:t>
            </w:r>
          </w:p>
          <w:p w14:paraId="144433B1" w14:textId="77777777" w:rsidR="006D7A4B" w:rsidRDefault="006D7A4B" w:rsidP="00A9140F">
            <w:pPr>
              <w:pStyle w:val="AnnexNumberedText"/>
              <w:spacing w:after="3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77FD828" w14:textId="77777777" w:rsidR="006D7A4B" w:rsidRDefault="006D7A4B" w:rsidP="00A9140F">
            <w:pPr>
              <w:pStyle w:val="AnnexNumberedText"/>
              <w:spacing w:after="30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42"/>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E943B9E" w14:textId="77777777" w:rsidR="006D7A4B" w:rsidRDefault="006D7A4B" w:rsidP="00A9140F">
            <w:pPr>
              <w:pStyle w:val="AnnexNumberedText"/>
              <w:tabs>
                <w:tab w:val="left" w:pos="508"/>
              </w:tabs>
              <w:spacing w:after="30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43"/>
            </w:r>
            <w:r>
              <w:t>), vísindalegt ritrýnt útgefið efni og líkön með opnum aðgangi (</w:t>
            </w:r>
            <w:r>
              <w:rPr>
                <w:rStyle w:val="Tilvsunneanmlsgrein"/>
                <w:sz w:val="18"/>
              </w:rPr>
              <w:footnoteReference w:id="544"/>
            </w:r>
            <w:r>
              <w:t>) eða gegn greiðslu.</w:t>
            </w:r>
          </w:p>
          <w:p w14:paraId="37BFE202" w14:textId="77777777" w:rsidR="006D7A4B" w:rsidRDefault="006D7A4B" w:rsidP="00A9140F">
            <w:pPr>
              <w:pStyle w:val="AnnexNumberedText"/>
              <w:tabs>
                <w:tab w:val="left" w:pos="508"/>
              </w:tabs>
              <w:spacing w:after="300"/>
              <w:ind w:left="0" w:firstLine="0"/>
            </w:pPr>
            <w:r>
              <w:t>4.</w:t>
            </w:r>
            <w:r>
              <w:tab/>
              <w:t>Aðlögunarlausnir sem komið er í framkvæmd:</w:t>
            </w:r>
          </w:p>
          <w:p w14:paraId="574E36C0" w14:textId="77777777" w:rsidR="006D7A4B" w:rsidRDefault="006D7A4B" w:rsidP="00A9140F">
            <w:pPr>
              <w:pStyle w:val="AnnexNumberedText"/>
              <w:spacing w:after="300"/>
            </w:pPr>
            <w:r>
              <w:t>a)</w:t>
            </w:r>
            <w:r>
              <w:tab/>
              <w:t>hafa ekki neikvæð áhrif á viðleitni til aðlögunar eða viðnám annars fólks, náttúru, menningararfleifðar, eigna og annarrar atvinnustarfsemi gegn efnislegri loftslagsáhættu,</w:t>
            </w:r>
          </w:p>
          <w:p w14:paraId="6E973D49" w14:textId="77777777" w:rsidR="006D7A4B" w:rsidRDefault="006D7A4B" w:rsidP="00A9140F">
            <w:pPr>
              <w:pStyle w:val="AnnexNumberedText"/>
              <w:spacing w:after="300"/>
            </w:pPr>
            <w:r>
              <w:t>b)</w:t>
            </w:r>
            <w:r>
              <w:tab/>
              <w:t>eru með náttúrumiðaðar lausnir (</w:t>
            </w:r>
            <w:r>
              <w:rPr>
                <w:rStyle w:val="Tilvsunneanmlsgrein"/>
                <w:sz w:val="18"/>
              </w:rPr>
              <w:footnoteReference w:id="545"/>
            </w:r>
            <w:r>
              <w:t>) í forgangi eða treyst er á bláa eða græna innviði (</w:t>
            </w:r>
            <w:r>
              <w:rPr>
                <w:rStyle w:val="Tilvsunneanmlsgrein"/>
                <w:sz w:val="18"/>
              </w:rPr>
              <w:footnoteReference w:id="546"/>
            </w:r>
            <w:r>
              <w:t>) að því marki sem mögulegt er,</w:t>
            </w:r>
          </w:p>
          <w:p w14:paraId="3B171C0C" w14:textId="77777777" w:rsidR="006D7A4B" w:rsidRDefault="006D7A4B" w:rsidP="00A9140F">
            <w:pPr>
              <w:pStyle w:val="AnnexNumberedText"/>
              <w:spacing w:after="300"/>
            </w:pPr>
            <w:r>
              <w:t>c)</w:t>
            </w:r>
            <w:r>
              <w:tab/>
              <w:t>eru í samræmi við staðbundnar, geirabundnar, svæðisbundnar eða landsbundnar aðlögunarstefnur og -áætlanir,</w:t>
            </w:r>
          </w:p>
          <w:p w14:paraId="009BBC06" w14:textId="77777777" w:rsidR="006D7A4B" w:rsidRDefault="006D7A4B"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188E67A" w14:textId="77777777" w:rsidR="006D7A4B" w:rsidRDefault="006D7A4B" w:rsidP="00A9140F">
            <w:pPr>
              <w:pStyle w:val="AnnexNumberedText"/>
              <w:spacing w:after="0"/>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6D7A4B" w14:paraId="50C1F611"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693C7E30" w14:textId="77777777" w:rsidR="006D7A4B" w:rsidRDefault="006D7A4B" w:rsidP="00A9140F">
            <w:pPr>
              <w:pStyle w:val="AnnexTableCellLeft"/>
              <w:pageBreakBefore/>
            </w:pPr>
            <w:r>
              <w:lastRenderedPageBreak/>
              <w:t>Ekki valda umtalsverðu tjóni</w:t>
            </w:r>
          </w:p>
        </w:tc>
      </w:tr>
      <w:tr w:rsidR="006D7A4B" w14:paraId="516F1EB3" w14:textId="77777777" w:rsidTr="00A9140F">
        <w:trPr>
          <w:trHeight w:val="360"/>
        </w:trPr>
        <w:tc>
          <w:tcPr>
            <w:tcW w:w="2860" w:type="dxa"/>
            <w:tcMar>
              <w:top w:w="100" w:type="dxa"/>
              <w:left w:w="0" w:type="dxa"/>
              <w:bottom w:w="100" w:type="dxa"/>
              <w:right w:w="60" w:type="dxa"/>
            </w:tcMar>
          </w:tcPr>
          <w:p w14:paraId="3C09C2F7" w14:textId="77777777" w:rsidR="006D7A4B" w:rsidRDefault="006D7A4B" w:rsidP="00A9140F">
            <w:pPr>
              <w:pStyle w:val="AnnexNumberedText"/>
            </w:pPr>
            <w:r>
              <w:t>1)</w:t>
            </w:r>
            <w:r>
              <w:tab/>
              <w:t>Mildun loftslagsbreytinga</w:t>
            </w:r>
          </w:p>
        </w:tc>
        <w:tc>
          <w:tcPr>
            <w:tcW w:w="5880" w:type="dxa"/>
            <w:tcMar>
              <w:top w:w="100" w:type="dxa"/>
              <w:left w:w="40" w:type="dxa"/>
              <w:bottom w:w="100" w:type="dxa"/>
              <w:right w:w="0" w:type="dxa"/>
            </w:tcMar>
          </w:tcPr>
          <w:p w14:paraId="5D8960EF" w14:textId="77777777" w:rsidR="006D7A4B" w:rsidRDefault="006D7A4B" w:rsidP="00A9140F">
            <w:pPr>
              <w:pStyle w:val="AnnexTableCellLeft"/>
              <w:spacing w:after="130"/>
            </w:pPr>
            <w:r>
              <w:t>losun gróðurhúsalofttegunda (</w:t>
            </w:r>
            <w:r>
              <w:rPr>
                <w:rStyle w:val="Tilvsunneanmlsgrein"/>
                <w:sz w:val="18"/>
              </w:rPr>
              <w:footnoteReference w:id="547"/>
            </w:r>
            <w:r>
              <w:t>) frá ferlum við framleiðslu á lífrænum grunnefnum er minni en:</w:t>
            </w:r>
          </w:p>
          <w:p w14:paraId="7A589D8B" w14:textId="77777777" w:rsidR="006D7A4B" w:rsidRDefault="006D7A4B" w:rsidP="00A9140F">
            <w:pPr>
              <w:pStyle w:val="AnnexNumberedText"/>
              <w:spacing w:after="130"/>
              <w:ind w:left="293" w:hanging="293"/>
            </w:pPr>
            <w:r>
              <w:t>a)</w:t>
            </w:r>
            <w:r>
              <w:tab/>
              <w:t xml:space="preserve">fyrir </w:t>
            </w:r>
            <w:proofErr w:type="spellStart"/>
            <w:r>
              <w:t>hágæðaíðefni</w:t>
            </w:r>
            <w:proofErr w:type="spellEnd"/>
            <w:r>
              <w:t>: 0,851 (</w:t>
            </w:r>
            <w:r>
              <w:rPr>
                <w:rStyle w:val="Tilvsunneanmlsgrein"/>
                <w:sz w:val="18"/>
              </w:rPr>
              <w:footnoteReference w:id="548"/>
            </w:r>
            <w:r>
              <w:t>) tCO</w:t>
            </w:r>
            <w:r>
              <w:rPr>
                <w:vertAlign w:val="subscript"/>
              </w:rPr>
              <w:t>2</w:t>
            </w:r>
            <w:r>
              <w:t xml:space="preserve">e/t af </w:t>
            </w:r>
            <w:proofErr w:type="spellStart"/>
            <w:r>
              <w:t>hágæðaíðefnum</w:t>
            </w:r>
            <w:proofErr w:type="spellEnd"/>
            <w:r>
              <w:t>,</w:t>
            </w:r>
          </w:p>
          <w:p w14:paraId="34A0CCD7" w14:textId="77777777" w:rsidR="006D7A4B" w:rsidRDefault="006D7A4B" w:rsidP="00A9140F">
            <w:pPr>
              <w:pStyle w:val="AnnexNumberedText"/>
              <w:spacing w:after="130"/>
              <w:ind w:left="293" w:hanging="293"/>
            </w:pPr>
            <w:r>
              <w:t>b)</w:t>
            </w:r>
            <w:r>
              <w:tab/>
              <w:t xml:space="preserve">fyrir </w:t>
            </w:r>
            <w:proofErr w:type="spellStart"/>
            <w:r>
              <w:t>arómöt</w:t>
            </w:r>
            <w:proofErr w:type="spellEnd"/>
            <w:r>
              <w:t>: 0,0300 (</w:t>
            </w:r>
            <w:r>
              <w:rPr>
                <w:rStyle w:val="Tilvsunneanmlsgrein"/>
                <w:sz w:val="18"/>
              </w:rPr>
              <w:footnoteReference w:id="549"/>
            </w:r>
            <w:r>
              <w:t>) tCO</w:t>
            </w:r>
            <w:r>
              <w:rPr>
                <w:vertAlign w:val="subscript"/>
              </w:rPr>
              <w:t>2</w:t>
            </w:r>
            <w:r>
              <w:t>e/t af flóknu vegnu gegnumstreymi,</w:t>
            </w:r>
          </w:p>
          <w:p w14:paraId="17DF2AF3" w14:textId="77777777" w:rsidR="006D7A4B" w:rsidRDefault="006D7A4B" w:rsidP="00A9140F">
            <w:pPr>
              <w:pStyle w:val="AnnexNumberedText"/>
              <w:spacing w:after="130"/>
              <w:ind w:left="293" w:hanging="293"/>
            </w:pPr>
            <w:r>
              <w:t>c)</w:t>
            </w:r>
            <w:r>
              <w:tab/>
              <w:t xml:space="preserve">fyrir </w:t>
            </w:r>
            <w:proofErr w:type="spellStart"/>
            <w:r>
              <w:t>vínýlklóríð</w:t>
            </w:r>
            <w:proofErr w:type="spellEnd"/>
            <w:r>
              <w:t>: [0,268 (</w:t>
            </w:r>
            <w:r>
              <w:rPr>
                <w:rStyle w:val="Tilvsunneanmlsgrein"/>
                <w:sz w:val="18"/>
              </w:rPr>
              <w:footnoteReference w:id="550"/>
            </w:r>
            <w:r>
              <w:t>)] tCO</w:t>
            </w:r>
            <w:r>
              <w:rPr>
                <w:vertAlign w:val="subscript"/>
              </w:rPr>
              <w:t>2</w:t>
            </w:r>
            <w:r>
              <w:t xml:space="preserve">e/t af </w:t>
            </w:r>
            <w:proofErr w:type="spellStart"/>
            <w:r>
              <w:t>vínýlklóríði</w:t>
            </w:r>
            <w:proofErr w:type="spellEnd"/>
            <w:r>
              <w:t>,</w:t>
            </w:r>
          </w:p>
          <w:p w14:paraId="677F73C2" w14:textId="77777777" w:rsidR="006D7A4B" w:rsidRDefault="006D7A4B" w:rsidP="00A9140F">
            <w:pPr>
              <w:pStyle w:val="AnnexNumberedText"/>
              <w:spacing w:after="130"/>
              <w:ind w:left="293" w:hanging="293"/>
            </w:pPr>
            <w:r>
              <w:t>d)</w:t>
            </w:r>
            <w:r>
              <w:tab/>
              <w:t xml:space="preserve">fyrir </w:t>
            </w:r>
            <w:proofErr w:type="spellStart"/>
            <w:r>
              <w:t>stýren</w:t>
            </w:r>
            <w:proofErr w:type="spellEnd"/>
            <w:r>
              <w:t>: 0,564 (</w:t>
            </w:r>
            <w:r>
              <w:rPr>
                <w:rStyle w:val="Tilvsunneanmlsgrein"/>
                <w:sz w:val="18"/>
              </w:rPr>
              <w:footnoteReference w:id="551"/>
            </w:r>
            <w:r>
              <w:t>) tCO</w:t>
            </w:r>
            <w:r>
              <w:rPr>
                <w:vertAlign w:val="subscript"/>
              </w:rPr>
              <w:t>2</w:t>
            </w:r>
            <w:r>
              <w:t xml:space="preserve">e/t af </w:t>
            </w:r>
            <w:proofErr w:type="spellStart"/>
            <w:r>
              <w:t>stýreni</w:t>
            </w:r>
            <w:proofErr w:type="spellEnd"/>
            <w:r>
              <w:t>,</w:t>
            </w:r>
          </w:p>
          <w:p w14:paraId="1F88BE42" w14:textId="77777777" w:rsidR="006D7A4B" w:rsidRDefault="006D7A4B" w:rsidP="00A9140F">
            <w:pPr>
              <w:pStyle w:val="AnnexNumberedText"/>
              <w:spacing w:after="130"/>
              <w:ind w:left="293" w:hanging="293"/>
            </w:pPr>
            <w:r>
              <w:t>e)</w:t>
            </w:r>
            <w:r>
              <w:tab/>
              <w:t xml:space="preserve">fyrir </w:t>
            </w:r>
            <w:proofErr w:type="spellStart"/>
            <w:r>
              <w:t>etýlenoxíð</w:t>
            </w:r>
            <w:proofErr w:type="spellEnd"/>
            <w:r>
              <w:t>/</w:t>
            </w:r>
            <w:proofErr w:type="spellStart"/>
            <w:r>
              <w:t>etýlenglýkól</w:t>
            </w:r>
            <w:proofErr w:type="spellEnd"/>
            <w:r>
              <w:t>: 0,489 (</w:t>
            </w:r>
            <w:r>
              <w:rPr>
                <w:rStyle w:val="Tilvsunneanmlsgrein"/>
                <w:sz w:val="18"/>
              </w:rPr>
              <w:footnoteReference w:id="552"/>
            </w:r>
            <w:r>
              <w:t>) tCO</w:t>
            </w:r>
            <w:r>
              <w:rPr>
                <w:vertAlign w:val="subscript"/>
              </w:rPr>
              <w:t>2</w:t>
            </w:r>
            <w:r>
              <w:t xml:space="preserve">e/t af </w:t>
            </w:r>
            <w:proofErr w:type="spellStart"/>
            <w:r>
              <w:t>etýlenoxíði</w:t>
            </w:r>
            <w:proofErr w:type="spellEnd"/>
            <w:r>
              <w:t>/-</w:t>
            </w:r>
            <w:proofErr w:type="spellStart"/>
            <w:r>
              <w:t>glýkóli</w:t>
            </w:r>
            <w:proofErr w:type="spellEnd"/>
            <w:r>
              <w:t>,</w:t>
            </w:r>
          </w:p>
          <w:p w14:paraId="5BF7A937" w14:textId="77777777" w:rsidR="006D7A4B" w:rsidRDefault="006D7A4B" w:rsidP="00A9140F">
            <w:pPr>
              <w:pStyle w:val="AnnexNumberedText"/>
              <w:spacing w:after="130"/>
              <w:ind w:left="293" w:hanging="293"/>
            </w:pPr>
            <w:r>
              <w:t>f)</w:t>
            </w:r>
            <w:r>
              <w:tab/>
              <w:t xml:space="preserve">fyrir </w:t>
            </w:r>
            <w:proofErr w:type="spellStart"/>
            <w:r>
              <w:t>adipínsýru</w:t>
            </w:r>
            <w:proofErr w:type="spellEnd"/>
            <w:r>
              <w:t>: 0,76 (</w:t>
            </w:r>
            <w:r>
              <w:rPr>
                <w:rStyle w:val="Tilvsunneanmlsgrein"/>
                <w:sz w:val="18"/>
              </w:rPr>
              <w:footnoteReference w:id="553"/>
            </w:r>
            <w:r>
              <w:t>) tCO</w:t>
            </w:r>
            <w:r>
              <w:rPr>
                <w:vertAlign w:val="subscript"/>
              </w:rPr>
              <w:t>2</w:t>
            </w:r>
            <w:r>
              <w:t xml:space="preserve">e/t af </w:t>
            </w:r>
            <w:proofErr w:type="spellStart"/>
            <w:r>
              <w:t>adipínsýru</w:t>
            </w:r>
            <w:proofErr w:type="spellEnd"/>
            <w:r>
              <w:t>.</w:t>
            </w:r>
          </w:p>
          <w:p w14:paraId="47238882" w14:textId="77777777" w:rsidR="006D7A4B" w:rsidRDefault="006D7A4B" w:rsidP="00A9140F">
            <w:pPr>
              <w:pStyle w:val="AnnexTableCellLeft"/>
              <w:spacing w:after="130"/>
            </w:pPr>
            <w:r>
              <w:t xml:space="preserve">Ef lífræn </w:t>
            </w:r>
            <w:proofErr w:type="spellStart"/>
            <w:r>
              <w:t>íðefni</w:t>
            </w:r>
            <w:proofErr w:type="spellEnd"/>
            <w:r>
              <w:t xml:space="preserve"> sem falla undir gildissviðið eru framleidd, að öllu leyti eða að hluta til, úr endurnýjanlegu hráefni er losun gróðurhúsalofttegunda á vistferli framleiddu </w:t>
            </w:r>
            <w:proofErr w:type="spellStart"/>
            <w:r>
              <w:t>íðefnanna</w:t>
            </w:r>
            <w:proofErr w:type="spellEnd"/>
            <w:r>
              <w:t xml:space="preserve">, sem eru framleidd að öllu leyti eða að hluta til úr endurnýjanlegu hráefni, minni en losun gróðurhúsalofttegunda á vistferli samsvarandi </w:t>
            </w:r>
            <w:proofErr w:type="spellStart"/>
            <w:r>
              <w:t>íðefna</w:t>
            </w:r>
            <w:proofErr w:type="spellEnd"/>
            <w:r>
              <w:t xml:space="preserve"> sem eru framleidd úr hráefni úr jarðefnaeldsneyti.</w:t>
            </w:r>
          </w:p>
          <w:p w14:paraId="3938C1C9" w14:textId="77777777" w:rsidR="006D7A4B" w:rsidRDefault="006D7A4B" w:rsidP="00A9140F">
            <w:pPr>
              <w:pStyle w:val="AnnexTableCellLeft"/>
            </w:pPr>
            <w:r>
              <w:t>Lífmassi úr landbúnaði sem er notaður til að framleiða lífræn grunnefni í frumgerðum er í samræmi við viðmiðanirnar sem mælt er fyrir um í 2. til 5. mgr. 29. gr. tilskipunar (ESB) 2018/2001. Lífmassi úr skógi sem er notaður til að framleiða lífræn grunnefni er í samræmi við viðmiðanirnar sem mælt er fyrir um í 6. og 7. mgr. 29. gr. þeirrar tilskipunar.</w:t>
            </w:r>
          </w:p>
        </w:tc>
      </w:tr>
      <w:tr w:rsidR="006D7A4B" w14:paraId="0FED80D4" w14:textId="77777777" w:rsidTr="00A9140F">
        <w:trPr>
          <w:trHeight w:val="360"/>
        </w:trPr>
        <w:tc>
          <w:tcPr>
            <w:tcW w:w="2860" w:type="dxa"/>
            <w:tcMar>
              <w:top w:w="100" w:type="dxa"/>
              <w:left w:w="0" w:type="dxa"/>
              <w:bottom w:w="100" w:type="dxa"/>
              <w:right w:w="60" w:type="dxa"/>
            </w:tcMar>
          </w:tcPr>
          <w:p w14:paraId="2EF99B56" w14:textId="77777777" w:rsidR="006D7A4B" w:rsidRDefault="006D7A4B" w:rsidP="00A9140F">
            <w:pPr>
              <w:pStyle w:val="AnnexNumberedText"/>
            </w:pPr>
            <w:r>
              <w:t>3)</w:t>
            </w:r>
            <w:r>
              <w:tab/>
              <w:t>Sjálfbær notkun og verndun vatns- og sjávarauðlinda</w:t>
            </w:r>
          </w:p>
        </w:tc>
        <w:tc>
          <w:tcPr>
            <w:tcW w:w="5880" w:type="dxa"/>
            <w:tcMar>
              <w:top w:w="100" w:type="dxa"/>
              <w:left w:w="40" w:type="dxa"/>
              <w:bottom w:w="100" w:type="dxa"/>
              <w:right w:w="0" w:type="dxa"/>
            </w:tcMar>
          </w:tcPr>
          <w:p w14:paraId="38C8F1B5" w14:textId="77777777" w:rsidR="006D7A4B" w:rsidRDefault="006D7A4B" w:rsidP="00A9140F">
            <w:pPr>
              <w:pStyle w:val="AnnexTableCellLeft"/>
            </w:pPr>
            <w:r>
              <w:t>Starfsemin er í samræmi við viðmiðanirnar sem settar eru fram í viðbæti B við þennan viðauka.</w:t>
            </w:r>
          </w:p>
        </w:tc>
      </w:tr>
      <w:tr w:rsidR="006D7A4B" w14:paraId="484B7CF5" w14:textId="77777777" w:rsidTr="00A9140F">
        <w:trPr>
          <w:trHeight w:val="360"/>
        </w:trPr>
        <w:tc>
          <w:tcPr>
            <w:tcW w:w="2860" w:type="dxa"/>
            <w:tcBorders>
              <w:bottom w:val="single" w:sz="4" w:space="0" w:color="auto"/>
            </w:tcBorders>
            <w:tcMar>
              <w:top w:w="100" w:type="dxa"/>
              <w:left w:w="0" w:type="dxa"/>
              <w:bottom w:w="100" w:type="dxa"/>
              <w:right w:w="60" w:type="dxa"/>
            </w:tcMar>
          </w:tcPr>
          <w:p w14:paraId="2573F0DA" w14:textId="77777777" w:rsidR="006D7A4B" w:rsidRDefault="006D7A4B" w:rsidP="00A9140F">
            <w:pPr>
              <w:pStyle w:val="AnnexNumberedText"/>
            </w:pPr>
            <w:r>
              <w:t>4)</w:t>
            </w:r>
            <w:r>
              <w:tab/>
              <w:t>Umskipti yfir í hringrásarhagkerfi</w:t>
            </w:r>
          </w:p>
        </w:tc>
        <w:tc>
          <w:tcPr>
            <w:tcW w:w="5880" w:type="dxa"/>
            <w:tcBorders>
              <w:bottom w:val="single" w:sz="4" w:space="0" w:color="auto"/>
            </w:tcBorders>
            <w:tcMar>
              <w:top w:w="100" w:type="dxa"/>
              <w:left w:w="40" w:type="dxa"/>
              <w:bottom w:w="100" w:type="dxa"/>
              <w:right w:w="0" w:type="dxa"/>
            </w:tcMar>
          </w:tcPr>
          <w:p w14:paraId="6BEB98A2" w14:textId="77777777" w:rsidR="006D7A4B" w:rsidRDefault="006D7A4B" w:rsidP="00A9140F">
            <w:pPr>
              <w:pStyle w:val="AnnexTableCellLeft"/>
            </w:pPr>
            <w:r>
              <w:t>Á ekki við</w:t>
            </w:r>
          </w:p>
        </w:tc>
      </w:tr>
      <w:tr w:rsidR="006D7A4B" w14:paraId="418462F4" w14:textId="77777777" w:rsidTr="00A9140F">
        <w:trPr>
          <w:trHeight w:val="360"/>
        </w:trPr>
        <w:tc>
          <w:tcPr>
            <w:tcW w:w="2860" w:type="dxa"/>
            <w:tcBorders>
              <w:bottom w:val="nil"/>
            </w:tcBorders>
            <w:tcMar>
              <w:top w:w="100" w:type="dxa"/>
              <w:left w:w="0" w:type="dxa"/>
              <w:bottom w:w="100" w:type="dxa"/>
              <w:right w:w="60" w:type="dxa"/>
            </w:tcMar>
          </w:tcPr>
          <w:p w14:paraId="13059175" w14:textId="77777777" w:rsidR="006D7A4B" w:rsidRDefault="006D7A4B" w:rsidP="00A9140F">
            <w:pPr>
              <w:pStyle w:val="AnnexNumberedText"/>
            </w:pPr>
            <w:r>
              <w:t>5)</w:t>
            </w:r>
            <w:r>
              <w:tab/>
              <w:t>Mengunarvarnir og eftirlit með mengun</w:t>
            </w:r>
          </w:p>
        </w:tc>
        <w:tc>
          <w:tcPr>
            <w:tcW w:w="5880" w:type="dxa"/>
            <w:tcBorders>
              <w:bottom w:val="nil"/>
            </w:tcBorders>
            <w:tcMar>
              <w:top w:w="100" w:type="dxa"/>
              <w:left w:w="40" w:type="dxa"/>
              <w:bottom w:w="100" w:type="dxa"/>
              <w:right w:w="0" w:type="dxa"/>
            </w:tcMar>
          </w:tcPr>
          <w:p w14:paraId="57A9EFCC" w14:textId="77777777" w:rsidR="006D7A4B" w:rsidRDefault="006D7A4B" w:rsidP="00A9140F">
            <w:pPr>
              <w:pStyle w:val="AnnexTableCellLeft"/>
              <w:spacing w:after="80"/>
            </w:pPr>
            <w:r>
              <w:t>Starfsemin er í samræmi við viðmiðanirnar sem settar eru fram í viðbæti C við þennan viðauka.</w:t>
            </w:r>
          </w:p>
          <w:p w14:paraId="2D614B17" w14:textId="77777777" w:rsidR="006D7A4B" w:rsidRDefault="006D7A4B" w:rsidP="00A9140F">
            <w:pPr>
              <w:pStyle w:val="AnnexTableCellLeft"/>
              <w:spacing w:after="80"/>
            </w:pPr>
            <w:r>
              <w:t>Losun fellur innan við eða undir svið losunargilda sem tengjast bestu aðgengilegu tækni samkvæmt viðeigandi niðurstöðum um bestu aðgengilegu tækni, þ.m.t.:</w:t>
            </w:r>
          </w:p>
          <w:p w14:paraId="088A6D01" w14:textId="77777777" w:rsidR="006D7A4B" w:rsidRDefault="006D7A4B" w:rsidP="00A9140F">
            <w:pPr>
              <w:pStyle w:val="AnnexNumberedText"/>
              <w:spacing w:after="0"/>
              <w:ind w:left="283" w:hanging="283"/>
            </w:pPr>
            <w:r>
              <w:t>a)</w:t>
            </w:r>
            <w:r>
              <w:tab/>
              <w:t xml:space="preserve">niðurstöður um bestu aðgengilegu tækni vegna framleiðslu á lífrænum </w:t>
            </w:r>
            <w:proofErr w:type="spellStart"/>
            <w:r>
              <w:t>íðefnum</w:t>
            </w:r>
            <w:proofErr w:type="spellEnd"/>
            <w:r>
              <w:t xml:space="preserve"> í miklu magni (</w:t>
            </w:r>
            <w:r>
              <w:rPr>
                <w:rStyle w:val="Tilvsunneanmlsgrein"/>
                <w:sz w:val="18"/>
              </w:rPr>
              <w:footnoteReference w:id="554"/>
            </w:r>
            <w:r>
              <w:t>),</w:t>
            </w:r>
          </w:p>
        </w:tc>
      </w:tr>
      <w:tr w:rsidR="006D7A4B" w14:paraId="58D836FF" w14:textId="77777777" w:rsidTr="00A9140F">
        <w:trPr>
          <w:trHeight w:val="240"/>
        </w:trPr>
        <w:tc>
          <w:tcPr>
            <w:tcW w:w="2860" w:type="dxa"/>
            <w:tcBorders>
              <w:top w:val="single" w:sz="4" w:space="0" w:color="auto"/>
            </w:tcBorders>
            <w:tcMar>
              <w:top w:w="100" w:type="dxa"/>
              <w:left w:w="0" w:type="dxa"/>
              <w:bottom w:w="100" w:type="dxa"/>
              <w:right w:w="60" w:type="dxa"/>
            </w:tcMar>
          </w:tcPr>
          <w:p w14:paraId="0ED50F33" w14:textId="77777777" w:rsidR="006D7A4B" w:rsidRDefault="006D7A4B" w:rsidP="00A9140F">
            <w:pPr>
              <w:pStyle w:val="AnnexTableCellLeft"/>
              <w:pageBreakBefore/>
              <w:ind w:left="300" w:hanging="300"/>
            </w:pPr>
          </w:p>
        </w:tc>
        <w:tc>
          <w:tcPr>
            <w:tcW w:w="5880" w:type="dxa"/>
            <w:tcBorders>
              <w:top w:val="single" w:sz="4" w:space="0" w:color="auto"/>
            </w:tcBorders>
            <w:tcMar>
              <w:top w:w="100" w:type="dxa"/>
              <w:left w:w="40" w:type="dxa"/>
              <w:bottom w:w="100" w:type="dxa"/>
              <w:right w:w="0" w:type="dxa"/>
            </w:tcMar>
          </w:tcPr>
          <w:p w14:paraId="1EB4C1DD" w14:textId="77777777" w:rsidR="006D7A4B" w:rsidRDefault="006D7A4B" w:rsidP="00A9140F">
            <w:pPr>
              <w:pStyle w:val="AnnexNumberedText"/>
              <w:ind w:left="293" w:hanging="293"/>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rPr>
              <w:footnoteReference w:id="555"/>
            </w:r>
            <w:r>
              <w:t>).</w:t>
            </w:r>
          </w:p>
          <w:p w14:paraId="177E06D1" w14:textId="77777777" w:rsidR="006D7A4B" w:rsidRDefault="006D7A4B" w:rsidP="00A9140F">
            <w:pPr>
              <w:pStyle w:val="AnnexTableCellLeft"/>
            </w:pPr>
            <w:r>
              <w:t>Engin umtalsverð yfirfærsluáhrif milli umhverfishólfa eiga sér stað.</w:t>
            </w:r>
          </w:p>
        </w:tc>
      </w:tr>
      <w:tr w:rsidR="006D7A4B" w14:paraId="4AC2BE6B" w14:textId="77777777" w:rsidTr="00A9140F">
        <w:trPr>
          <w:trHeight w:val="360"/>
        </w:trPr>
        <w:tc>
          <w:tcPr>
            <w:tcW w:w="2860" w:type="dxa"/>
            <w:tcMar>
              <w:top w:w="100" w:type="dxa"/>
              <w:left w:w="0" w:type="dxa"/>
              <w:bottom w:w="100" w:type="dxa"/>
              <w:right w:w="60" w:type="dxa"/>
            </w:tcMar>
          </w:tcPr>
          <w:p w14:paraId="79C2C1E1" w14:textId="77777777" w:rsidR="006D7A4B" w:rsidRDefault="006D7A4B" w:rsidP="00A9140F">
            <w:pPr>
              <w:pStyle w:val="AnnexNumberedText"/>
            </w:pPr>
            <w:r>
              <w:t>6)</w:t>
            </w:r>
            <w:r>
              <w:tab/>
              <w:t>Vernd og endurheimt líffræðilegrar fjölbreytni og vistkerfa</w:t>
            </w:r>
          </w:p>
        </w:tc>
        <w:tc>
          <w:tcPr>
            <w:tcW w:w="5880" w:type="dxa"/>
            <w:tcMar>
              <w:top w:w="100" w:type="dxa"/>
              <w:left w:w="40" w:type="dxa"/>
              <w:bottom w:w="100" w:type="dxa"/>
              <w:right w:w="0" w:type="dxa"/>
            </w:tcMar>
          </w:tcPr>
          <w:p w14:paraId="3F94CE7F" w14:textId="77777777" w:rsidR="006D7A4B" w:rsidRDefault="006D7A4B" w:rsidP="00A9140F">
            <w:pPr>
              <w:pStyle w:val="AnnexTableCellLeft"/>
            </w:pPr>
            <w:r>
              <w:t>Starfsemin er í samræmi við viðmiðanirnar sem settar eru fram í viðbæti D við þennan viðauka.</w:t>
            </w:r>
          </w:p>
        </w:tc>
      </w:tr>
    </w:tbl>
    <w:p w14:paraId="2C0FF85F" w14:textId="77777777" w:rsidR="006D7A4B" w:rsidRDefault="006D7A4B" w:rsidP="006D7A4B">
      <w:pPr>
        <w:pStyle w:val="AnnexNumberedText"/>
        <w:spacing w:before="200" w:after="400"/>
        <w:ind w:left="500" w:hanging="500"/>
      </w:pPr>
      <w:r>
        <w:t>3.15.</w:t>
      </w:r>
      <w:r>
        <w:rPr>
          <w:b/>
        </w:rPr>
        <w:tab/>
        <w:t xml:space="preserve">Framleiðsla á vatnsfríu </w:t>
      </w:r>
      <w:proofErr w:type="spellStart"/>
      <w:r>
        <w:rPr>
          <w:b/>
        </w:rPr>
        <w:t>ammoníaki</w:t>
      </w:r>
      <w:proofErr w:type="spellEnd"/>
    </w:p>
    <w:p w14:paraId="7BB824C2" w14:textId="77777777" w:rsidR="006D7A4B" w:rsidRDefault="006D7A4B" w:rsidP="006D7A4B">
      <w:pPr>
        <w:pStyle w:val="AnnexGrSeq3"/>
        <w:spacing w:after="400"/>
        <w:ind w:left="500"/>
        <w:jc w:val="both"/>
      </w:pPr>
      <w:r>
        <w:rPr>
          <w:i/>
        </w:rPr>
        <w:t>Lýsing á starfseminni</w:t>
      </w:r>
    </w:p>
    <w:p w14:paraId="626714EB" w14:textId="77777777" w:rsidR="006D7A4B" w:rsidRDefault="006D7A4B" w:rsidP="006D7A4B">
      <w:pPr>
        <w:pStyle w:val="AnnexNormal"/>
        <w:spacing w:after="400"/>
        <w:ind w:left="500"/>
      </w:pPr>
      <w:r>
        <w:t xml:space="preserve">Framleiðsla á vatnsfríu </w:t>
      </w:r>
      <w:proofErr w:type="spellStart"/>
      <w:r>
        <w:t>ammoníaki</w:t>
      </w:r>
      <w:proofErr w:type="spellEnd"/>
      <w:r>
        <w:t>.</w:t>
      </w:r>
    </w:p>
    <w:p w14:paraId="279A71AF" w14:textId="77777777" w:rsidR="006D7A4B" w:rsidRDefault="006D7A4B" w:rsidP="006D7A4B">
      <w:pPr>
        <w:pStyle w:val="AnnexNormal"/>
        <w:spacing w:after="400"/>
        <w:ind w:left="500"/>
      </w:pPr>
      <w:r>
        <w:t>Atvinnustarfsemin í þessum flokki gæti tengst kóða atvinnugreinaflokkunar Evrópusambandsins C20.15 í samræmi við atvinnugreinaflokkunina sem komið var á með reglugerð (EB) nr. 1893/2006.</w:t>
      </w:r>
    </w:p>
    <w:p w14:paraId="6B081925" w14:textId="77777777" w:rsidR="006D7A4B" w:rsidRDefault="006D7A4B" w:rsidP="006D7A4B">
      <w:pPr>
        <w:pStyle w:val="AnnexGrSeq3"/>
        <w:spacing w:after="40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08"/>
        <w:gridCol w:w="5832"/>
      </w:tblGrid>
      <w:tr w:rsidR="006D7A4B" w14:paraId="578C22C8"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0B980BA" w14:textId="77777777" w:rsidR="006D7A4B" w:rsidRDefault="006D7A4B" w:rsidP="00A9140F">
            <w:pPr>
              <w:pStyle w:val="AnnexTableCellLeft"/>
            </w:pPr>
            <w:r>
              <w:t>Verulegt framlag til aðlögunar að loftslagsbreytingum</w:t>
            </w:r>
          </w:p>
        </w:tc>
      </w:tr>
      <w:tr w:rsidR="006D7A4B" w14:paraId="5391A4F1" w14:textId="77777777" w:rsidTr="00A9140F">
        <w:trPr>
          <w:trHeight w:val="360"/>
        </w:trPr>
        <w:tc>
          <w:tcPr>
            <w:tcW w:w="8740" w:type="dxa"/>
            <w:gridSpan w:val="2"/>
            <w:tcBorders>
              <w:bottom w:val="nil"/>
            </w:tcBorders>
            <w:tcMar>
              <w:top w:w="100" w:type="dxa"/>
              <w:left w:w="0" w:type="dxa"/>
              <w:bottom w:w="100" w:type="dxa"/>
              <w:right w:w="60" w:type="dxa"/>
            </w:tcMar>
          </w:tcPr>
          <w:p w14:paraId="361F29E0" w14:textId="77777777" w:rsidR="006D7A4B" w:rsidRDefault="006D7A4B" w:rsidP="00A9140F">
            <w:pPr>
              <w:pStyle w:val="AnnexNumberedText"/>
              <w:tabs>
                <w:tab w:val="left" w:pos="508"/>
              </w:tabs>
              <w:spacing w:after="4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4963A55" w14:textId="77777777" w:rsidR="006D7A4B" w:rsidRDefault="006D7A4B" w:rsidP="00A9140F">
            <w:pPr>
              <w:pStyle w:val="AnnexNumberedText"/>
              <w:tabs>
                <w:tab w:val="left" w:pos="508"/>
              </w:tabs>
              <w:spacing w:after="4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248C56A" w14:textId="77777777" w:rsidR="006D7A4B" w:rsidRDefault="006D7A4B" w:rsidP="00A9140F">
            <w:pPr>
              <w:pStyle w:val="AnnexNumberedText"/>
              <w:spacing w:after="400"/>
            </w:pPr>
            <w:r>
              <w:t>a)</w:t>
            </w:r>
            <w:r>
              <w:tab/>
              <w:t>skimun á starfseminni til að greina hvaða efnislega loftslagsáhætta úr skránni í viðbæti A við þennan viðauka getur haft áhrif á árangurinn af atvinnustarfseminni á væntum líftíma hennar,</w:t>
            </w:r>
          </w:p>
          <w:p w14:paraId="6CCA5AFB" w14:textId="77777777" w:rsidR="006D7A4B" w:rsidRDefault="006D7A4B" w:rsidP="00A9140F">
            <w:pPr>
              <w:pStyle w:val="AnnexNumberedText"/>
              <w:spacing w:after="4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A11498B" w14:textId="77777777" w:rsidR="006D7A4B" w:rsidRDefault="006D7A4B" w:rsidP="00A9140F">
            <w:pPr>
              <w:pStyle w:val="AnnexNumberedText"/>
              <w:spacing w:after="400"/>
            </w:pPr>
            <w:r>
              <w:t>c)</w:t>
            </w:r>
            <w:r>
              <w:tab/>
              <w:t>mat á aðlögunarlausnum sem geta dregið úr greindri efnislegri loftslagsáhættu.</w:t>
            </w:r>
          </w:p>
          <w:p w14:paraId="743F24CC" w14:textId="77777777" w:rsidR="006D7A4B" w:rsidRDefault="006D7A4B" w:rsidP="00A9140F">
            <w:pPr>
              <w:pStyle w:val="AnnexTableCellLeft"/>
              <w:tabs>
                <w:tab w:val="left" w:pos="508"/>
              </w:tabs>
              <w:spacing w:after="400"/>
            </w:pPr>
            <w:r>
              <w:t xml:space="preserve">Loftslagsáhættu- og veikleikamatið er í réttu hlutfalli við umfang starfseminnar og </w:t>
            </w:r>
            <w:proofErr w:type="spellStart"/>
            <w:r>
              <w:t>væntan</w:t>
            </w:r>
            <w:proofErr w:type="spellEnd"/>
            <w:r>
              <w:t xml:space="preserve"> líftíma hennar þannig að:</w:t>
            </w:r>
          </w:p>
          <w:p w14:paraId="35739501" w14:textId="77777777" w:rsidR="006D7A4B" w:rsidRDefault="006D7A4B" w:rsidP="00A9140F">
            <w:pPr>
              <w:pStyle w:val="AnnexNumberedText"/>
              <w:spacing w:after="4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E281A9C" w14:textId="77777777" w:rsidR="006D7A4B" w:rsidRDefault="006D7A4B"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5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0E618B20" w14:textId="77777777" w:rsidTr="00A9140F">
        <w:trPr>
          <w:trHeight w:val="360"/>
        </w:trPr>
        <w:tc>
          <w:tcPr>
            <w:tcW w:w="8740" w:type="dxa"/>
            <w:gridSpan w:val="2"/>
            <w:tcBorders>
              <w:top w:val="nil"/>
            </w:tcBorders>
            <w:tcMar>
              <w:top w:w="100" w:type="dxa"/>
              <w:left w:w="0" w:type="dxa"/>
              <w:bottom w:w="100" w:type="dxa"/>
              <w:right w:w="60" w:type="dxa"/>
            </w:tcMar>
          </w:tcPr>
          <w:p w14:paraId="15719C54" w14:textId="77777777" w:rsidR="006D7A4B" w:rsidRDefault="006D7A4B" w:rsidP="00A9140F">
            <w:pPr>
              <w:pStyle w:val="AnnexNumberedText"/>
              <w:pageBreakBefore/>
              <w:tabs>
                <w:tab w:val="left" w:pos="508"/>
              </w:tabs>
              <w:ind w:left="0" w:firstLine="0"/>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57"/>
            </w:r>
            <w:r>
              <w:t>), vísindalegt ritrýnt útgefið efni og líkön með opnum aðgangi (</w:t>
            </w:r>
            <w:r>
              <w:rPr>
                <w:rStyle w:val="Tilvsunneanmlsgrein"/>
                <w:sz w:val="18"/>
              </w:rPr>
              <w:footnoteReference w:id="558"/>
            </w:r>
            <w:r>
              <w:t>) eða gegn greiðslu.</w:t>
            </w:r>
          </w:p>
          <w:p w14:paraId="4286EFC6" w14:textId="77777777" w:rsidR="006D7A4B" w:rsidRDefault="006D7A4B" w:rsidP="00A9140F">
            <w:pPr>
              <w:pStyle w:val="AnnexNumberedText"/>
              <w:tabs>
                <w:tab w:val="left" w:pos="508"/>
              </w:tabs>
              <w:ind w:left="0" w:firstLine="0"/>
            </w:pPr>
            <w:r>
              <w:t>4.</w:t>
            </w:r>
            <w:r>
              <w:tab/>
              <w:t>Aðlögunarlausnir sem komið er í framkvæmd:</w:t>
            </w:r>
          </w:p>
          <w:p w14:paraId="4DA94DAE" w14:textId="77777777" w:rsidR="006D7A4B" w:rsidRDefault="006D7A4B" w:rsidP="00A9140F">
            <w:pPr>
              <w:pStyle w:val="AnnexNumberedText"/>
            </w:pPr>
            <w:r>
              <w:t>a)</w:t>
            </w:r>
            <w:r>
              <w:tab/>
              <w:t>hafa ekki neikvæð áhrif á viðleitni til aðlögunar eða viðnám annars fólks, náttúru, menningararfleifðar, eigna og annarrar atvinnustarfsemi gegn efnislegri loftslagsáhættu,</w:t>
            </w:r>
          </w:p>
          <w:p w14:paraId="7315E260" w14:textId="77777777" w:rsidR="006D7A4B" w:rsidRDefault="006D7A4B" w:rsidP="00A9140F">
            <w:pPr>
              <w:pStyle w:val="AnnexNumberedText"/>
            </w:pPr>
            <w:r>
              <w:t>b)</w:t>
            </w:r>
            <w:r>
              <w:tab/>
              <w:t>eru með náttúrumiðaðar lausnir (</w:t>
            </w:r>
            <w:r>
              <w:rPr>
                <w:rStyle w:val="Tilvsunneanmlsgrein"/>
                <w:sz w:val="18"/>
              </w:rPr>
              <w:footnoteReference w:id="559"/>
            </w:r>
            <w:r>
              <w:t>) í forgangi eða treyst er á bláa eða græna innviði (</w:t>
            </w:r>
            <w:r>
              <w:rPr>
                <w:rStyle w:val="Tilvsunneanmlsgrein"/>
                <w:sz w:val="18"/>
              </w:rPr>
              <w:footnoteReference w:id="560"/>
            </w:r>
            <w:r>
              <w:t>) að því marki sem mögulegt er,</w:t>
            </w:r>
          </w:p>
          <w:p w14:paraId="299A78BC" w14:textId="77777777" w:rsidR="006D7A4B" w:rsidRDefault="006D7A4B" w:rsidP="00A9140F">
            <w:pPr>
              <w:pStyle w:val="AnnexNumberedText"/>
            </w:pPr>
            <w:r>
              <w:t>c)</w:t>
            </w:r>
            <w:r>
              <w:tab/>
              <w:t>eru í samræmi við staðbundnar, geirabundnar, svæðisbundnar eða landsbundnar aðlögunarstefnur og -áætlanir,</w:t>
            </w:r>
          </w:p>
          <w:p w14:paraId="26168184" w14:textId="77777777" w:rsidR="006D7A4B" w:rsidRDefault="006D7A4B" w:rsidP="00A9140F">
            <w:pPr>
              <w:pStyle w:val="AnnexNumberedText"/>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87367CA" w14:textId="77777777" w:rsidR="006D7A4B" w:rsidRDefault="006D7A4B"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C4A1F52" w14:textId="77777777" w:rsidTr="00A9140F">
        <w:trPr>
          <w:trHeight w:val="240"/>
        </w:trPr>
        <w:tc>
          <w:tcPr>
            <w:tcW w:w="8740" w:type="dxa"/>
            <w:gridSpan w:val="2"/>
            <w:tcMar>
              <w:top w:w="100" w:type="dxa"/>
              <w:left w:w="0" w:type="dxa"/>
              <w:bottom w:w="100" w:type="dxa"/>
              <w:right w:w="60" w:type="dxa"/>
            </w:tcMar>
          </w:tcPr>
          <w:p w14:paraId="4F22FCD4" w14:textId="77777777" w:rsidR="006D7A4B" w:rsidRDefault="006D7A4B" w:rsidP="00A9140F">
            <w:pPr>
              <w:pStyle w:val="AnnexTableCellLeft"/>
            </w:pPr>
            <w:r>
              <w:t>Ekki valda umtalsverðu tjóni</w:t>
            </w:r>
          </w:p>
        </w:tc>
      </w:tr>
      <w:tr w:rsidR="006D7A4B" w14:paraId="63D43628" w14:textId="77777777" w:rsidTr="00A9140F">
        <w:trPr>
          <w:trHeight w:val="360"/>
        </w:trPr>
        <w:tc>
          <w:tcPr>
            <w:tcW w:w="2908" w:type="dxa"/>
            <w:tcMar>
              <w:top w:w="100" w:type="dxa"/>
              <w:left w:w="0" w:type="dxa"/>
              <w:bottom w:w="100" w:type="dxa"/>
              <w:right w:w="60" w:type="dxa"/>
            </w:tcMar>
          </w:tcPr>
          <w:p w14:paraId="12A03926" w14:textId="77777777" w:rsidR="006D7A4B" w:rsidRDefault="006D7A4B" w:rsidP="00A9140F">
            <w:pPr>
              <w:pStyle w:val="AnnexNumberedText"/>
              <w:ind w:left="293" w:hanging="293"/>
            </w:pPr>
            <w:r>
              <w:t>1)</w:t>
            </w:r>
            <w:r>
              <w:tab/>
              <w:t>Mildun loftslagsbreytinga</w:t>
            </w:r>
          </w:p>
        </w:tc>
        <w:tc>
          <w:tcPr>
            <w:tcW w:w="5832" w:type="dxa"/>
            <w:tcMar>
              <w:top w:w="100" w:type="dxa"/>
              <w:left w:w="40" w:type="dxa"/>
              <w:bottom w:w="100" w:type="dxa"/>
              <w:right w:w="0" w:type="dxa"/>
            </w:tcMar>
          </w:tcPr>
          <w:p w14:paraId="27BD2EAA" w14:textId="77777777" w:rsidR="006D7A4B" w:rsidRDefault="006D7A4B" w:rsidP="00A9140F">
            <w:pPr>
              <w:pStyle w:val="AnnexTableCellLeft"/>
              <w:spacing w:after="240"/>
            </w:pPr>
            <w:r>
              <w:t>Starfsemin er í samræmi við eina af eftirfarandi viðmiðunum:</w:t>
            </w:r>
          </w:p>
          <w:p w14:paraId="1FB3EAA7" w14:textId="77777777" w:rsidR="006D7A4B" w:rsidRDefault="006D7A4B" w:rsidP="00A9140F">
            <w:pPr>
              <w:pStyle w:val="AnnexNumberedText"/>
              <w:ind w:left="293" w:hanging="293"/>
            </w:pPr>
            <w:r>
              <w:t>a)</w:t>
            </w:r>
            <w:r>
              <w:tab/>
              <w:t xml:space="preserve">losun gróðurhúsalofttegunda við framleiðslu á vatnsfríu </w:t>
            </w:r>
            <w:proofErr w:type="spellStart"/>
            <w:r>
              <w:t>ammoníaki</w:t>
            </w:r>
            <w:proofErr w:type="spellEnd"/>
            <w:r>
              <w:t xml:space="preserve"> (</w:t>
            </w:r>
            <w:r>
              <w:rPr>
                <w:rStyle w:val="Tilvsunneanmlsgrein"/>
                <w:sz w:val="18"/>
              </w:rPr>
              <w:footnoteReference w:id="561"/>
            </w:r>
            <w:r>
              <w:t>) er minni en 1,948 (</w:t>
            </w:r>
            <w:r>
              <w:rPr>
                <w:rStyle w:val="Tilvsunneanmlsgrein"/>
                <w:sz w:val="18"/>
              </w:rPr>
              <w:footnoteReference w:id="562"/>
            </w:r>
            <w:r>
              <w:t>) tCO</w:t>
            </w:r>
            <w:r>
              <w:rPr>
                <w:vertAlign w:val="subscript"/>
              </w:rPr>
              <w:t>2</w:t>
            </w:r>
            <w:r>
              <w:t xml:space="preserve">e á hvert tonn af vatnsfríu </w:t>
            </w:r>
            <w:proofErr w:type="spellStart"/>
            <w:r>
              <w:t>ammoníaki</w:t>
            </w:r>
            <w:proofErr w:type="spellEnd"/>
            <w:r>
              <w:t>,</w:t>
            </w:r>
          </w:p>
          <w:p w14:paraId="543DD9AA" w14:textId="77777777" w:rsidR="006D7A4B" w:rsidRDefault="006D7A4B" w:rsidP="00A9140F">
            <w:pPr>
              <w:pStyle w:val="AnnexNumberedText"/>
              <w:ind w:left="293" w:hanging="293"/>
            </w:pPr>
            <w:r>
              <w:t>b)</w:t>
            </w:r>
            <w:r>
              <w:tab/>
            </w:r>
            <w:proofErr w:type="spellStart"/>
            <w:r>
              <w:t>ammoníak</w:t>
            </w:r>
            <w:proofErr w:type="spellEnd"/>
            <w:r>
              <w:t xml:space="preserve"> er endurheimt úr </w:t>
            </w:r>
            <w:proofErr w:type="spellStart"/>
            <w:r>
              <w:t>skólpi</w:t>
            </w:r>
            <w:proofErr w:type="spellEnd"/>
            <w:r>
              <w:t>.</w:t>
            </w:r>
          </w:p>
        </w:tc>
      </w:tr>
      <w:tr w:rsidR="006D7A4B" w14:paraId="0019434B" w14:textId="77777777" w:rsidTr="00A9140F">
        <w:trPr>
          <w:trHeight w:val="360"/>
        </w:trPr>
        <w:tc>
          <w:tcPr>
            <w:tcW w:w="2908" w:type="dxa"/>
            <w:tcMar>
              <w:top w:w="100" w:type="dxa"/>
              <w:left w:w="0" w:type="dxa"/>
              <w:bottom w:w="100" w:type="dxa"/>
              <w:right w:w="60" w:type="dxa"/>
            </w:tcMar>
          </w:tcPr>
          <w:p w14:paraId="5F2E8FD8" w14:textId="77777777" w:rsidR="006D7A4B" w:rsidRDefault="006D7A4B" w:rsidP="00A9140F">
            <w:pPr>
              <w:pStyle w:val="AnnexNumberedText"/>
              <w:ind w:left="293" w:hanging="293"/>
            </w:pPr>
            <w:r>
              <w:t>3)</w:t>
            </w:r>
            <w:r>
              <w:tab/>
              <w:t>Sjálfbær notkun og verndun vatns- og sjávarauðlinda</w:t>
            </w:r>
          </w:p>
        </w:tc>
        <w:tc>
          <w:tcPr>
            <w:tcW w:w="5832" w:type="dxa"/>
            <w:tcMar>
              <w:top w:w="100" w:type="dxa"/>
              <w:left w:w="40" w:type="dxa"/>
              <w:bottom w:w="100" w:type="dxa"/>
              <w:right w:w="0" w:type="dxa"/>
            </w:tcMar>
          </w:tcPr>
          <w:p w14:paraId="18514037" w14:textId="77777777" w:rsidR="006D7A4B" w:rsidRDefault="006D7A4B" w:rsidP="00A9140F">
            <w:pPr>
              <w:pStyle w:val="AnnexTableCellLeft"/>
            </w:pPr>
            <w:r>
              <w:t>Starfsemin er í samræmi við viðmiðanirnar sem settar eru fram í viðbæti B við þennan viðauka.</w:t>
            </w:r>
          </w:p>
        </w:tc>
      </w:tr>
      <w:tr w:rsidR="006D7A4B" w14:paraId="55B038C8" w14:textId="77777777" w:rsidTr="00A9140F">
        <w:trPr>
          <w:trHeight w:val="360"/>
        </w:trPr>
        <w:tc>
          <w:tcPr>
            <w:tcW w:w="2908" w:type="dxa"/>
            <w:tcBorders>
              <w:bottom w:val="single" w:sz="4" w:space="0" w:color="auto"/>
            </w:tcBorders>
            <w:tcMar>
              <w:top w:w="100" w:type="dxa"/>
              <w:left w:w="0" w:type="dxa"/>
              <w:bottom w:w="100" w:type="dxa"/>
              <w:right w:w="60" w:type="dxa"/>
            </w:tcMar>
          </w:tcPr>
          <w:p w14:paraId="64374865" w14:textId="77777777" w:rsidR="006D7A4B" w:rsidRDefault="006D7A4B" w:rsidP="00A9140F">
            <w:pPr>
              <w:pStyle w:val="AnnexNumberedText"/>
              <w:ind w:left="293" w:hanging="293"/>
            </w:pPr>
            <w:r>
              <w:t>4)</w:t>
            </w:r>
            <w:r>
              <w:tab/>
              <w:t>Umskipti yfir í hringrásarhagkerfi</w:t>
            </w:r>
          </w:p>
        </w:tc>
        <w:tc>
          <w:tcPr>
            <w:tcW w:w="5832" w:type="dxa"/>
            <w:tcBorders>
              <w:bottom w:val="single" w:sz="4" w:space="0" w:color="auto"/>
            </w:tcBorders>
            <w:tcMar>
              <w:top w:w="100" w:type="dxa"/>
              <w:left w:w="40" w:type="dxa"/>
              <w:bottom w:w="100" w:type="dxa"/>
              <w:right w:w="0" w:type="dxa"/>
            </w:tcMar>
          </w:tcPr>
          <w:p w14:paraId="37E134B8" w14:textId="77777777" w:rsidR="006D7A4B" w:rsidRDefault="006D7A4B" w:rsidP="00A9140F">
            <w:pPr>
              <w:pStyle w:val="AnnexTableCellLeft"/>
            </w:pPr>
            <w:r>
              <w:t>Á ekki við</w:t>
            </w:r>
          </w:p>
        </w:tc>
      </w:tr>
      <w:tr w:rsidR="006D7A4B" w14:paraId="3B5EABBC" w14:textId="77777777" w:rsidTr="00A9140F">
        <w:trPr>
          <w:trHeight w:val="360"/>
        </w:trPr>
        <w:tc>
          <w:tcPr>
            <w:tcW w:w="2908" w:type="dxa"/>
            <w:tcBorders>
              <w:bottom w:val="nil"/>
            </w:tcBorders>
            <w:tcMar>
              <w:top w:w="100" w:type="dxa"/>
              <w:left w:w="0" w:type="dxa"/>
              <w:bottom w:w="100" w:type="dxa"/>
              <w:right w:w="60" w:type="dxa"/>
            </w:tcMar>
          </w:tcPr>
          <w:p w14:paraId="647F2480" w14:textId="77777777" w:rsidR="006D7A4B" w:rsidRDefault="006D7A4B" w:rsidP="00A9140F">
            <w:pPr>
              <w:pStyle w:val="AnnexNumberedText"/>
              <w:ind w:left="293" w:hanging="293"/>
            </w:pPr>
            <w:r>
              <w:t>5)</w:t>
            </w:r>
            <w:r>
              <w:tab/>
              <w:t>Mengunarvarnir og eftirlit með mengun</w:t>
            </w:r>
          </w:p>
        </w:tc>
        <w:tc>
          <w:tcPr>
            <w:tcW w:w="5832" w:type="dxa"/>
            <w:tcBorders>
              <w:bottom w:val="nil"/>
            </w:tcBorders>
            <w:tcMar>
              <w:top w:w="100" w:type="dxa"/>
              <w:left w:w="40" w:type="dxa"/>
              <w:bottom w:w="100" w:type="dxa"/>
              <w:right w:w="0" w:type="dxa"/>
            </w:tcMar>
          </w:tcPr>
          <w:p w14:paraId="7CA82627" w14:textId="77777777" w:rsidR="006D7A4B" w:rsidRDefault="006D7A4B" w:rsidP="00A9140F">
            <w:pPr>
              <w:pStyle w:val="AnnexTableCellLeft"/>
              <w:spacing w:after="240"/>
            </w:pPr>
            <w:r>
              <w:t>Starfsemin er í samræmi við viðmiðanirnar sem settar eru fram í viðbæti C við þennan viðauka.</w:t>
            </w:r>
          </w:p>
          <w:p w14:paraId="59CC9656" w14:textId="77777777" w:rsidR="006D7A4B" w:rsidRDefault="006D7A4B" w:rsidP="00A9140F">
            <w:pPr>
              <w:pStyle w:val="AnnexTableCellLeft"/>
              <w:spacing w:after="240"/>
            </w:pPr>
            <w:r>
              <w:t>Losun fellur innan við eða undir svið losunargilda sem tengjast bestu aðgengilegu tækni samkvæmt nýjustu viðeigandi niðurstöðum um bestu aðgengilegu tækni, þ.m.t.:</w:t>
            </w:r>
          </w:p>
          <w:p w14:paraId="18B037F0" w14:textId="77777777" w:rsidR="006D7A4B" w:rsidRDefault="006D7A4B" w:rsidP="00A9140F">
            <w:pPr>
              <w:pStyle w:val="AnnexNumberedText"/>
              <w:spacing w:after="0"/>
              <w:ind w:left="283" w:hanging="283"/>
            </w:pPr>
            <w:r>
              <w:t>a)</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w:t>
            </w:r>
            <w:r>
              <w:rPr>
                <w:rStyle w:val="Tilvsunneanmlsgrein"/>
                <w:sz w:val="18"/>
              </w:rPr>
              <w:footnoteReference w:id="563"/>
            </w:r>
            <w:r>
              <w:t>),</w:t>
            </w:r>
          </w:p>
        </w:tc>
      </w:tr>
      <w:tr w:rsidR="006D7A4B" w14:paraId="40651960" w14:textId="77777777" w:rsidTr="00A9140F">
        <w:trPr>
          <w:trHeight w:val="240"/>
        </w:trPr>
        <w:tc>
          <w:tcPr>
            <w:tcW w:w="2908" w:type="dxa"/>
            <w:tcBorders>
              <w:top w:val="single" w:sz="4" w:space="0" w:color="auto"/>
            </w:tcBorders>
            <w:tcMar>
              <w:top w:w="100" w:type="dxa"/>
              <w:left w:w="0" w:type="dxa"/>
              <w:bottom w:w="100" w:type="dxa"/>
              <w:right w:w="60" w:type="dxa"/>
            </w:tcMar>
          </w:tcPr>
          <w:p w14:paraId="39EF11F4" w14:textId="77777777" w:rsidR="006D7A4B" w:rsidRDefault="006D7A4B" w:rsidP="00A9140F">
            <w:pPr>
              <w:pStyle w:val="AnnexTableCellLeft"/>
              <w:pageBreakBefore/>
            </w:pPr>
          </w:p>
        </w:tc>
        <w:tc>
          <w:tcPr>
            <w:tcW w:w="5832" w:type="dxa"/>
            <w:tcBorders>
              <w:top w:val="single" w:sz="4" w:space="0" w:color="auto"/>
            </w:tcBorders>
            <w:tcMar>
              <w:top w:w="100" w:type="dxa"/>
              <w:left w:w="40" w:type="dxa"/>
              <w:bottom w:w="100" w:type="dxa"/>
              <w:right w:w="0" w:type="dxa"/>
            </w:tcMar>
          </w:tcPr>
          <w:p w14:paraId="2390A27F" w14:textId="77777777" w:rsidR="006D7A4B" w:rsidRDefault="006D7A4B" w:rsidP="00A9140F">
            <w:pPr>
              <w:pStyle w:val="AnnexNumberedText"/>
              <w:spacing w:after="200"/>
              <w:ind w:left="293" w:hanging="293"/>
              <w:rPr>
                <w:szCs w:val="18"/>
              </w:rPr>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szCs w:val="18"/>
              </w:rPr>
              <w:footnoteReference w:id="564"/>
            </w:r>
            <w:r>
              <w:t>).</w:t>
            </w:r>
          </w:p>
          <w:p w14:paraId="7EB6A857" w14:textId="77777777" w:rsidR="006D7A4B" w:rsidRDefault="006D7A4B" w:rsidP="00A9140F">
            <w:pPr>
              <w:pStyle w:val="AnnexTableCellLeft"/>
              <w:rPr>
                <w:szCs w:val="18"/>
              </w:rPr>
            </w:pPr>
            <w:r>
              <w:t>Engin umtalsverð yfirfærsluáhrif milli umhverfishólfa eiga sér stað.</w:t>
            </w:r>
          </w:p>
        </w:tc>
      </w:tr>
      <w:tr w:rsidR="006D7A4B" w14:paraId="3CC8F120" w14:textId="77777777" w:rsidTr="00A9140F">
        <w:trPr>
          <w:trHeight w:val="360"/>
        </w:trPr>
        <w:tc>
          <w:tcPr>
            <w:tcW w:w="2908" w:type="dxa"/>
            <w:tcMar>
              <w:top w:w="100" w:type="dxa"/>
              <w:left w:w="0" w:type="dxa"/>
              <w:bottom w:w="100" w:type="dxa"/>
              <w:right w:w="60" w:type="dxa"/>
            </w:tcMar>
          </w:tcPr>
          <w:p w14:paraId="018B56D0" w14:textId="77777777" w:rsidR="006D7A4B" w:rsidRDefault="006D7A4B" w:rsidP="00A9140F">
            <w:pPr>
              <w:pStyle w:val="AnnexNumberedText"/>
              <w:ind w:left="293" w:hanging="293"/>
            </w:pPr>
            <w:r>
              <w:t>6)</w:t>
            </w:r>
            <w:r>
              <w:tab/>
              <w:t>Vernd og endurheimt líffræðilegrar fjölbreytni og vistkerfa</w:t>
            </w:r>
          </w:p>
        </w:tc>
        <w:tc>
          <w:tcPr>
            <w:tcW w:w="5832" w:type="dxa"/>
            <w:tcMar>
              <w:top w:w="100" w:type="dxa"/>
              <w:left w:w="40" w:type="dxa"/>
              <w:bottom w:w="100" w:type="dxa"/>
              <w:right w:w="0" w:type="dxa"/>
            </w:tcMar>
          </w:tcPr>
          <w:p w14:paraId="598E225B" w14:textId="77777777" w:rsidR="006D7A4B" w:rsidRDefault="006D7A4B" w:rsidP="00A9140F">
            <w:pPr>
              <w:pStyle w:val="AnnexTableCellLeft"/>
              <w:rPr>
                <w:szCs w:val="18"/>
              </w:rPr>
            </w:pPr>
            <w:r>
              <w:t>Starfsemin er í samræmi við viðmiðanirnar sem settar eru fram í viðbæti D við þennan viðauka.</w:t>
            </w:r>
          </w:p>
        </w:tc>
      </w:tr>
    </w:tbl>
    <w:p w14:paraId="03D7256E" w14:textId="77777777" w:rsidR="006D7A4B" w:rsidRDefault="006D7A4B" w:rsidP="006D7A4B">
      <w:pPr>
        <w:pStyle w:val="AnnexNumberedText"/>
        <w:spacing w:before="200" w:after="360"/>
        <w:ind w:left="500" w:hanging="500"/>
      </w:pPr>
      <w:r>
        <w:t>3.16.</w:t>
      </w:r>
      <w:r>
        <w:rPr>
          <w:b/>
        </w:rPr>
        <w:tab/>
        <w:t>Framleiðsla á saltpéturssýru</w:t>
      </w:r>
    </w:p>
    <w:p w14:paraId="6FC3A767" w14:textId="77777777" w:rsidR="006D7A4B" w:rsidRDefault="006D7A4B" w:rsidP="006D7A4B">
      <w:pPr>
        <w:pStyle w:val="AnnexGrSeq3"/>
        <w:spacing w:after="360"/>
        <w:ind w:left="500"/>
        <w:jc w:val="both"/>
      </w:pPr>
      <w:r>
        <w:rPr>
          <w:i/>
        </w:rPr>
        <w:t>Lýsing á starfseminni</w:t>
      </w:r>
    </w:p>
    <w:p w14:paraId="3FFA0E55" w14:textId="77777777" w:rsidR="006D7A4B" w:rsidRDefault="006D7A4B" w:rsidP="006D7A4B">
      <w:pPr>
        <w:pStyle w:val="AnnexNormal"/>
        <w:spacing w:after="360"/>
        <w:ind w:left="500"/>
      </w:pPr>
      <w:r>
        <w:t>Framleiðsla á saltpéturssýru.</w:t>
      </w:r>
    </w:p>
    <w:p w14:paraId="7704ACB7" w14:textId="77777777" w:rsidR="006D7A4B" w:rsidRDefault="006D7A4B" w:rsidP="006D7A4B">
      <w:pPr>
        <w:pStyle w:val="AnnexNormal"/>
        <w:spacing w:after="360"/>
        <w:ind w:left="500"/>
      </w:pPr>
      <w:r>
        <w:t>Atvinnustarfsemin í þessum flokki gæti tengst kóða atvinnugreinaflokkunar Evrópusambandsins C20.15 í samræmi við atvinnugreinaflokkunina sem komið var á með reglugerð (EB) nr. 1893/2006.</w:t>
      </w:r>
    </w:p>
    <w:p w14:paraId="0962E085" w14:textId="77777777" w:rsidR="006D7A4B" w:rsidRDefault="006D7A4B" w:rsidP="006D7A4B">
      <w:pPr>
        <w:pStyle w:val="AnnexGrSeq3"/>
        <w:spacing w:after="3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96"/>
        <w:gridCol w:w="5844"/>
      </w:tblGrid>
      <w:tr w:rsidR="006D7A4B" w14:paraId="4BE21AEF"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14C017E" w14:textId="77777777" w:rsidR="006D7A4B" w:rsidRDefault="006D7A4B" w:rsidP="00A9140F">
            <w:pPr>
              <w:pStyle w:val="AnnexTableCellLeft"/>
            </w:pPr>
            <w:r>
              <w:t>Verulegt framlag til aðlögunar að loftslagsbreytingum</w:t>
            </w:r>
          </w:p>
        </w:tc>
      </w:tr>
      <w:tr w:rsidR="006D7A4B" w14:paraId="4A72E381" w14:textId="77777777" w:rsidTr="00A9140F">
        <w:trPr>
          <w:trHeight w:val="360"/>
        </w:trPr>
        <w:tc>
          <w:tcPr>
            <w:tcW w:w="8740" w:type="dxa"/>
            <w:gridSpan w:val="2"/>
            <w:tcBorders>
              <w:bottom w:val="nil"/>
            </w:tcBorders>
            <w:tcMar>
              <w:top w:w="100" w:type="dxa"/>
              <w:left w:w="0" w:type="dxa"/>
              <w:bottom w:w="100" w:type="dxa"/>
              <w:right w:w="60" w:type="dxa"/>
            </w:tcMar>
          </w:tcPr>
          <w:p w14:paraId="3C302CB3" w14:textId="77777777" w:rsidR="006D7A4B" w:rsidRDefault="006D7A4B" w:rsidP="00A9140F">
            <w:pPr>
              <w:pStyle w:val="AnnexNumberedText"/>
              <w:tabs>
                <w:tab w:val="left" w:pos="508"/>
              </w:tabs>
              <w:spacing w:after="36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1F2F9BC2" w14:textId="77777777" w:rsidR="006D7A4B" w:rsidRDefault="006D7A4B" w:rsidP="00A9140F">
            <w:pPr>
              <w:pStyle w:val="AnnexNumberedText"/>
              <w:tabs>
                <w:tab w:val="left" w:pos="508"/>
              </w:tabs>
              <w:spacing w:after="36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07714F5" w14:textId="77777777" w:rsidR="006D7A4B" w:rsidRDefault="006D7A4B" w:rsidP="00A9140F">
            <w:pPr>
              <w:pStyle w:val="AnnexNumberedText"/>
              <w:spacing w:after="360"/>
            </w:pPr>
            <w:r>
              <w:t>a)</w:t>
            </w:r>
            <w:r>
              <w:tab/>
              <w:t>skimun á starfseminni til að greina hvaða efnislega loftslagsáhætta úr skránni í viðbæti A við þennan viðauka getur haft áhrif á árangurinn af atvinnustarfseminni á væntum líftíma hennar,</w:t>
            </w:r>
          </w:p>
          <w:p w14:paraId="736BA64F" w14:textId="77777777" w:rsidR="006D7A4B" w:rsidRDefault="006D7A4B" w:rsidP="00A9140F">
            <w:pPr>
              <w:pStyle w:val="AnnexNumberedText"/>
              <w:spacing w:after="36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03D82475" w14:textId="77777777" w:rsidR="006D7A4B" w:rsidRDefault="006D7A4B" w:rsidP="00A9140F">
            <w:pPr>
              <w:pStyle w:val="AnnexNumberedText"/>
              <w:spacing w:after="360"/>
            </w:pPr>
            <w:r>
              <w:t>c)</w:t>
            </w:r>
            <w:r>
              <w:tab/>
              <w:t>mat á aðlögunarlausnum sem geta dregið úr greindri efnislegri loftslagsáhættu.</w:t>
            </w:r>
          </w:p>
          <w:p w14:paraId="15FB4FFC" w14:textId="77777777" w:rsidR="006D7A4B" w:rsidRDefault="006D7A4B" w:rsidP="00A9140F">
            <w:pPr>
              <w:pStyle w:val="AnnexTableCellLeft"/>
              <w:spacing w:after="360"/>
            </w:pPr>
            <w:r>
              <w:t xml:space="preserve">Loftslagsáhættu- og veikleikamatið er í réttu hlutfalli við umfang starfseminnar og </w:t>
            </w:r>
            <w:proofErr w:type="spellStart"/>
            <w:r>
              <w:t>væntan</w:t>
            </w:r>
            <w:proofErr w:type="spellEnd"/>
            <w:r>
              <w:t xml:space="preserve"> líftíma hennar þannig að:</w:t>
            </w:r>
          </w:p>
          <w:p w14:paraId="653821DA" w14:textId="77777777" w:rsidR="006D7A4B" w:rsidRDefault="006D7A4B" w:rsidP="00A9140F">
            <w:pPr>
              <w:pStyle w:val="AnnexNumberedText"/>
              <w:spacing w:after="3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577A7F3" w14:textId="77777777" w:rsidR="006D7A4B" w:rsidRDefault="006D7A4B"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56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3D491372" w14:textId="77777777" w:rsidTr="00A9140F">
        <w:trPr>
          <w:trHeight w:val="360"/>
        </w:trPr>
        <w:tc>
          <w:tcPr>
            <w:tcW w:w="8740" w:type="dxa"/>
            <w:gridSpan w:val="2"/>
            <w:tcBorders>
              <w:top w:val="nil"/>
            </w:tcBorders>
            <w:tcMar>
              <w:top w:w="100" w:type="dxa"/>
              <w:left w:w="0" w:type="dxa"/>
              <w:bottom w:w="100" w:type="dxa"/>
              <w:right w:w="60" w:type="dxa"/>
            </w:tcMar>
          </w:tcPr>
          <w:p w14:paraId="348E979E" w14:textId="77777777" w:rsidR="006D7A4B" w:rsidRDefault="006D7A4B" w:rsidP="00A9140F">
            <w:pPr>
              <w:pStyle w:val="AnnexNumberedText"/>
              <w:pageBreakBefore/>
              <w:tabs>
                <w:tab w:val="left" w:pos="508"/>
              </w:tabs>
              <w:spacing w:after="24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566"/>
            </w:r>
            <w:r>
              <w:t>), vísindalegt ritrýnt útgefið efni og líkön með opnum aðgangi (</w:t>
            </w:r>
            <w:r>
              <w:rPr>
                <w:rStyle w:val="Tilvsunneanmlsgrein"/>
                <w:sz w:val="18"/>
                <w:szCs w:val="18"/>
              </w:rPr>
              <w:footnoteReference w:id="567"/>
            </w:r>
            <w:r>
              <w:t>) eða gegn greiðslu.</w:t>
            </w:r>
          </w:p>
          <w:p w14:paraId="5D5B5460" w14:textId="77777777" w:rsidR="006D7A4B" w:rsidRDefault="006D7A4B" w:rsidP="00A9140F">
            <w:pPr>
              <w:pStyle w:val="AnnexNumberedText"/>
              <w:tabs>
                <w:tab w:val="left" w:pos="508"/>
              </w:tabs>
              <w:spacing w:after="240"/>
              <w:ind w:left="0" w:firstLine="0"/>
              <w:rPr>
                <w:szCs w:val="18"/>
              </w:rPr>
            </w:pPr>
            <w:r>
              <w:t>4.</w:t>
            </w:r>
            <w:r>
              <w:tab/>
              <w:t>Aðlögunarlausnir sem komið er í framkvæmd:</w:t>
            </w:r>
          </w:p>
          <w:p w14:paraId="13C0C7C3"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65BC31FE"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568"/>
            </w:r>
            <w:r>
              <w:t>) í forgangi eða treyst er á bláa eða græna innviði (</w:t>
            </w:r>
            <w:r>
              <w:rPr>
                <w:rStyle w:val="Tilvsunneanmlsgrein"/>
                <w:sz w:val="18"/>
                <w:szCs w:val="18"/>
              </w:rPr>
              <w:footnoteReference w:id="569"/>
            </w:r>
            <w:r>
              <w:t>) að því marki sem mögulegt er,</w:t>
            </w:r>
          </w:p>
          <w:p w14:paraId="7FD6D947" w14:textId="77777777" w:rsidR="006D7A4B" w:rsidRDefault="006D7A4B" w:rsidP="00A9140F">
            <w:pPr>
              <w:pStyle w:val="AnnexNumberedText"/>
              <w:spacing w:after="240"/>
              <w:rPr>
                <w:szCs w:val="18"/>
              </w:rPr>
            </w:pPr>
            <w:r>
              <w:t>c)</w:t>
            </w:r>
            <w:r>
              <w:tab/>
              <w:t>eru í samræmi við staðbundnar, geirabundnar, svæðisbundnar eða landsbundnar aðlögunarstefnur og -áætlanir,</w:t>
            </w:r>
          </w:p>
          <w:p w14:paraId="705A6A3B" w14:textId="77777777" w:rsidR="006D7A4B" w:rsidRDefault="006D7A4B" w:rsidP="00A9140F">
            <w:pPr>
              <w:pStyle w:val="AnnexNumberedText"/>
              <w:spacing w:after="24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7AA59EF" w14:textId="77777777" w:rsidR="006D7A4B" w:rsidRDefault="006D7A4B" w:rsidP="00A9140F">
            <w:pPr>
              <w:pStyle w:val="AnnexNumberedText"/>
              <w:spacing w:after="24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358FE7D" w14:textId="77777777" w:rsidTr="00A9140F">
        <w:trPr>
          <w:trHeight w:val="240"/>
        </w:trPr>
        <w:tc>
          <w:tcPr>
            <w:tcW w:w="8740" w:type="dxa"/>
            <w:gridSpan w:val="2"/>
            <w:tcMar>
              <w:top w:w="100" w:type="dxa"/>
              <w:left w:w="0" w:type="dxa"/>
              <w:bottom w:w="100" w:type="dxa"/>
              <w:right w:w="60" w:type="dxa"/>
            </w:tcMar>
          </w:tcPr>
          <w:p w14:paraId="377BCC4A" w14:textId="77777777" w:rsidR="006D7A4B" w:rsidRDefault="006D7A4B" w:rsidP="00A9140F">
            <w:pPr>
              <w:pStyle w:val="AnnexTableCellLeft"/>
            </w:pPr>
            <w:r>
              <w:t>Ekki valda umtalsverðu tjóni</w:t>
            </w:r>
          </w:p>
        </w:tc>
      </w:tr>
      <w:tr w:rsidR="006D7A4B" w14:paraId="4EB27CB0" w14:textId="77777777" w:rsidTr="00A9140F">
        <w:trPr>
          <w:trHeight w:val="360"/>
        </w:trPr>
        <w:tc>
          <w:tcPr>
            <w:tcW w:w="2896" w:type="dxa"/>
            <w:tcMar>
              <w:top w:w="100" w:type="dxa"/>
              <w:left w:w="0" w:type="dxa"/>
              <w:bottom w:w="100" w:type="dxa"/>
              <w:right w:w="60" w:type="dxa"/>
            </w:tcMar>
          </w:tcPr>
          <w:p w14:paraId="2827BF74" w14:textId="77777777" w:rsidR="006D7A4B" w:rsidRDefault="006D7A4B" w:rsidP="00A9140F">
            <w:pPr>
              <w:pStyle w:val="AnnexNumberedText"/>
            </w:pPr>
            <w:r>
              <w:t>1)</w:t>
            </w:r>
            <w:r>
              <w:tab/>
              <w:t>Mildun loftslagsbreytinga</w:t>
            </w:r>
          </w:p>
        </w:tc>
        <w:tc>
          <w:tcPr>
            <w:tcW w:w="5844" w:type="dxa"/>
            <w:tcMar>
              <w:top w:w="100" w:type="dxa"/>
              <w:left w:w="40" w:type="dxa"/>
              <w:bottom w:w="100" w:type="dxa"/>
              <w:right w:w="0" w:type="dxa"/>
            </w:tcMar>
          </w:tcPr>
          <w:p w14:paraId="17E887E8" w14:textId="77777777" w:rsidR="006D7A4B" w:rsidRDefault="006D7A4B" w:rsidP="00A9140F">
            <w:pPr>
              <w:pStyle w:val="AnnexTableCellLeft"/>
              <w:rPr>
                <w:szCs w:val="18"/>
              </w:rPr>
            </w:pPr>
            <w:r>
              <w:t>Losun gróðurhúsalofttegunda (</w:t>
            </w:r>
            <w:r>
              <w:rPr>
                <w:rStyle w:val="Tilvsunneanmlsgrein"/>
                <w:sz w:val="18"/>
                <w:szCs w:val="18"/>
              </w:rPr>
              <w:footnoteReference w:id="570"/>
            </w:r>
            <w:r>
              <w:t>) frá framleiðslu á saltpéturssýru er minni en 0,184 (</w:t>
            </w:r>
            <w:r>
              <w:rPr>
                <w:rStyle w:val="Tilvsunneanmlsgrein"/>
                <w:sz w:val="18"/>
                <w:szCs w:val="18"/>
              </w:rPr>
              <w:footnoteReference w:id="571"/>
            </w:r>
            <w:r>
              <w:t>) tCO</w:t>
            </w:r>
            <w:r>
              <w:rPr>
                <w:vertAlign w:val="subscript"/>
              </w:rPr>
              <w:t>2</w:t>
            </w:r>
            <w:r>
              <w:t>e á hvert tonn af saltpéturssýru.</w:t>
            </w:r>
          </w:p>
        </w:tc>
      </w:tr>
      <w:tr w:rsidR="006D7A4B" w14:paraId="2891F8F8" w14:textId="77777777" w:rsidTr="00A9140F">
        <w:trPr>
          <w:trHeight w:val="360"/>
        </w:trPr>
        <w:tc>
          <w:tcPr>
            <w:tcW w:w="2896" w:type="dxa"/>
            <w:tcMar>
              <w:top w:w="100" w:type="dxa"/>
              <w:left w:w="0" w:type="dxa"/>
              <w:bottom w:w="100" w:type="dxa"/>
              <w:right w:w="60" w:type="dxa"/>
            </w:tcMar>
          </w:tcPr>
          <w:p w14:paraId="306648A0" w14:textId="77777777" w:rsidR="006D7A4B" w:rsidRDefault="006D7A4B" w:rsidP="00A9140F">
            <w:pPr>
              <w:pStyle w:val="AnnexNumberedText"/>
            </w:pPr>
            <w:r>
              <w:t>3)</w:t>
            </w:r>
            <w:r>
              <w:tab/>
              <w:t>Sjálfbær notkun og verndun vatns- og sjávarauðlinda</w:t>
            </w:r>
          </w:p>
        </w:tc>
        <w:tc>
          <w:tcPr>
            <w:tcW w:w="5844" w:type="dxa"/>
            <w:tcMar>
              <w:top w:w="100" w:type="dxa"/>
              <w:left w:w="40" w:type="dxa"/>
              <w:bottom w:w="100" w:type="dxa"/>
              <w:right w:w="0" w:type="dxa"/>
            </w:tcMar>
          </w:tcPr>
          <w:p w14:paraId="5EFCF00D"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7AB8A0AE" w14:textId="77777777" w:rsidTr="00A9140F">
        <w:trPr>
          <w:trHeight w:val="360"/>
        </w:trPr>
        <w:tc>
          <w:tcPr>
            <w:tcW w:w="2896" w:type="dxa"/>
            <w:tcBorders>
              <w:bottom w:val="single" w:sz="4" w:space="0" w:color="auto"/>
            </w:tcBorders>
            <w:tcMar>
              <w:top w:w="100" w:type="dxa"/>
              <w:left w:w="0" w:type="dxa"/>
              <w:bottom w:w="100" w:type="dxa"/>
              <w:right w:w="60" w:type="dxa"/>
            </w:tcMar>
          </w:tcPr>
          <w:p w14:paraId="0308F832" w14:textId="77777777" w:rsidR="006D7A4B" w:rsidRDefault="006D7A4B" w:rsidP="00A9140F">
            <w:pPr>
              <w:pStyle w:val="AnnexNumberedText"/>
            </w:pPr>
            <w:r>
              <w:t>4)</w:t>
            </w:r>
            <w:r>
              <w:tab/>
              <w:t>Umskipti yfir í hringrásarhagkerfi</w:t>
            </w:r>
          </w:p>
        </w:tc>
        <w:tc>
          <w:tcPr>
            <w:tcW w:w="5844" w:type="dxa"/>
            <w:tcBorders>
              <w:bottom w:val="single" w:sz="4" w:space="0" w:color="auto"/>
            </w:tcBorders>
            <w:tcMar>
              <w:top w:w="100" w:type="dxa"/>
              <w:left w:w="40" w:type="dxa"/>
              <w:bottom w:w="100" w:type="dxa"/>
              <w:right w:w="0" w:type="dxa"/>
            </w:tcMar>
          </w:tcPr>
          <w:p w14:paraId="0A264F30" w14:textId="77777777" w:rsidR="006D7A4B" w:rsidRDefault="006D7A4B" w:rsidP="00A9140F">
            <w:pPr>
              <w:pStyle w:val="AnnexTableCellLeft"/>
              <w:rPr>
                <w:szCs w:val="18"/>
              </w:rPr>
            </w:pPr>
            <w:r>
              <w:t>Á ekki við</w:t>
            </w:r>
          </w:p>
        </w:tc>
      </w:tr>
      <w:tr w:rsidR="006D7A4B" w14:paraId="73033261" w14:textId="77777777" w:rsidTr="00A9140F">
        <w:trPr>
          <w:trHeight w:val="360"/>
        </w:trPr>
        <w:tc>
          <w:tcPr>
            <w:tcW w:w="2896" w:type="dxa"/>
            <w:tcBorders>
              <w:bottom w:val="nil"/>
            </w:tcBorders>
            <w:tcMar>
              <w:top w:w="100" w:type="dxa"/>
              <w:left w:w="0" w:type="dxa"/>
              <w:bottom w:w="100" w:type="dxa"/>
              <w:right w:w="60" w:type="dxa"/>
            </w:tcMar>
          </w:tcPr>
          <w:p w14:paraId="17F9258C" w14:textId="77777777" w:rsidR="006D7A4B" w:rsidRDefault="006D7A4B" w:rsidP="00A9140F">
            <w:pPr>
              <w:pStyle w:val="AnnexNumberedText"/>
            </w:pPr>
            <w:r>
              <w:t>5)</w:t>
            </w:r>
            <w:r>
              <w:tab/>
              <w:t>Mengunarvarnir og eftirlit með mengun</w:t>
            </w:r>
          </w:p>
        </w:tc>
        <w:tc>
          <w:tcPr>
            <w:tcW w:w="5844" w:type="dxa"/>
            <w:tcBorders>
              <w:bottom w:val="nil"/>
            </w:tcBorders>
            <w:tcMar>
              <w:top w:w="100" w:type="dxa"/>
              <w:left w:w="40" w:type="dxa"/>
              <w:bottom w:w="100" w:type="dxa"/>
              <w:right w:w="0" w:type="dxa"/>
            </w:tcMar>
          </w:tcPr>
          <w:p w14:paraId="4C22173E" w14:textId="77777777" w:rsidR="006D7A4B" w:rsidRDefault="006D7A4B" w:rsidP="00A9140F">
            <w:pPr>
              <w:pStyle w:val="AnnexTableCellLeft"/>
              <w:spacing w:after="200"/>
              <w:rPr>
                <w:szCs w:val="18"/>
              </w:rPr>
            </w:pPr>
            <w:r>
              <w:t>Starfsemin er í samræmi við viðmiðanirnar sem settar eru fram í viðbæti C við þennan viðauka.</w:t>
            </w:r>
          </w:p>
          <w:p w14:paraId="52E285E1" w14:textId="77777777" w:rsidR="006D7A4B" w:rsidRDefault="006D7A4B" w:rsidP="00A9140F">
            <w:pPr>
              <w:pStyle w:val="AnnexTableCellLeft"/>
              <w:spacing w:after="200"/>
              <w:rPr>
                <w:szCs w:val="18"/>
              </w:rPr>
            </w:pPr>
            <w:r>
              <w:t>Losun fellur innan við eða undir svið losunargilda sem tengjast bestu aðgengilegu tækni samkvæmt nýjustu viðeigandi niðurstöðum um bestu aðgengilegu tækni, þ.m.t.:</w:t>
            </w:r>
          </w:p>
          <w:p w14:paraId="5736F934" w14:textId="77777777" w:rsidR="006D7A4B" w:rsidRDefault="006D7A4B" w:rsidP="00A9140F">
            <w:pPr>
              <w:pStyle w:val="AnnexNumberedText"/>
              <w:ind w:left="283" w:hanging="283"/>
              <w:rPr>
                <w:szCs w:val="18"/>
              </w:rPr>
            </w:pPr>
            <w:r>
              <w:t>a)</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w:t>
            </w:r>
            <w:r>
              <w:rPr>
                <w:rStyle w:val="Tilvsunneanmlsgrein"/>
                <w:sz w:val="18"/>
                <w:szCs w:val="18"/>
              </w:rPr>
              <w:footnoteReference w:id="572"/>
            </w:r>
            <w:r>
              <w:t>),</w:t>
            </w:r>
          </w:p>
        </w:tc>
      </w:tr>
      <w:tr w:rsidR="006D7A4B" w14:paraId="5511BFCE" w14:textId="77777777" w:rsidTr="00A9140F">
        <w:trPr>
          <w:trHeight w:val="240"/>
        </w:trPr>
        <w:tc>
          <w:tcPr>
            <w:tcW w:w="2896" w:type="dxa"/>
            <w:tcBorders>
              <w:top w:val="single" w:sz="4" w:space="0" w:color="auto"/>
            </w:tcBorders>
            <w:tcMar>
              <w:top w:w="100" w:type="dxa"/>
              <w:left w:w="0" w:type="dxa"/>
              <w:bottom w:w="100" w:type="dxa"/>
              <w:right w:w="60" w:type="dxa"/>
            </w:tcMar>
          </w:tcPr>
          <w:p w14:paraId="5CB0A20E" w14:textId="77777777" w:rsidR="006D7A4B" w:rsidRDefault="006D7A4B" w:rsidP="00A9140F">
            <w:pPr>
              <w:pStyle w:val="AnnexTableCellLeft"/>
              <w:pageBreakBefore/>
              <w:ind w:left="300" w:hanging="300"/>
            </w:pPr>
          </w:p>
        </w:tc>
        <w:tc>
          <w:tcPr>
            <w:tcW w:w="5844" w:type="dxa"/>
            <w:tcBorders>
              <w:top w:val="single" w:sz="4" w:space="0" w:color="auto"/>
            </w:tcBorders>
            <w:tcMar>
              <w:top w:w="100" w:type="dxa"/>
              <w:left w:w="40" w:type="dxa"/>
              <w:bottom w:w="100" w:type="dxa"/>
              <w:right w:w="0" w:type="dxa"/>
            </w:tcMar>
          </w:tcPr>
          <w:p w14:paraId="7F45E5CC" w14:textId="77777777" w:rsidR="006D7A4B" w:rsidRDefault="006D7A4B" w:rsidP="00A9140F">
            <w:pPr>
              <w:pStyle w:val="AnnexNumberedText"/>
              <w:ind w:left="293" w:hanging="293"/>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rPr>
              <w:footnoteReference w:id="573"/>
            </w:r>
            <w:r>
              <w:t>).</w:t>
            </w:r>
          </w:p>
          <w:p w14:paraId="378DC6D6" w14:textId="77777777" w:rsidR="006D7A4B" w:rsidRDefault="006D7A4B" w:rsidP="00A9140F">
            <w:pPr>
              <w:pStyle w:val="AnnexTableCellLeft"/>
            </w:pPr>
            <w:r>
              <w:t>Engin umtalsverð yfirfærsluáhrif milli umhverfishólfa eiga sér stað.</w:t>
            </w:r>
          </w:p>
        </w:tc>
      </w:tr>
      <w:tr w:rsidR="006D7A4B" w14:paraId="54C61DC2" w14:textId="77777777" w:rsidTr="00A9140F">
        <w:trPr>
          <w:trHeight w:val="360"/>
        </w:trPr>
        <w:tc>
          <w:tcPr>
            <w:tcW w:w="2896" w:type="dxa"/>
            <w:tcMar>
              <w:top w:w="100" w:type="dxa"/>
              <w:left w:w="0" w:type="dxa"/>
              <w:bottom w:w="100" w:type="dxa"/>
              <w:right w:w="60" w:type="dxa"/>
            </w:tcMar>
          </w:tcPr>
          <w:p w14:paraId="24F8274A" w14:textId="77777777" w:rsidR="006D7A4B" w:rsidRDefault="006D7A4B" w:rsidP="00A9140F">
            <w:pPr>
              <w:pStyle w:val="AnnexNumberedText"/>
            </w:pPr>
            <w:r>
              <w:t>6)</w:t>
            </w:r>
            <w:r>
              <w:tab/>
              <w:t>Vernd og endurheimt líffræðilegrar fjölbreytni og vistkerfa</w:t>
            </w:r>
          </w:p>
        </w:tc>
        <w:tc>
          <w:tcPr>
            <w:tcW w:w="5844" w:type="dxa"/>
            <w:tcMar>
              <w:top w:w="100" w:type="dxa"/>
              <w:left w:w="40" w:type="dxa"/>
              <w:bottom w:w="100" w:type="dxa"/>
              <w:right w:w="0" w:type="dxa"/>
            </w:tcMar>
          </w:tcPr>
          <w:p w14:paraId="5F081979" w14:textId="77777777" w:rsidR="006D7A4B" w:rsidRDefault="006D7A4B" w:rsidP="00A9140F">
            <w:pPr>
              <w:pStyle w:val="AnnexTableCellLeft"/>
            </w:pPr>
            <w:r>
              <w:t>Starfsemin er í samræmi við viðmiðanirnar sem settar eru fram í viðbæti D við þennan viðauka.</w:t>
            </w:r>
          </w:p>
        </w:tc>
      </w:tr>
    </w:tbl>
    <w:p w14:paraId="4F707D68" w14:textId="77777777" w:rsidR="006D7A4B" w:rsidRDefault="006D7A4B" w:rsidP="006D7A4B">
      <w:pPr>
        <w:pStyle w:val="AnnexNumberedText"/>
        <w:spacing w:before="200"/>
        <w:ind w:left="500" w:hanging="500"/>
      </w:pPr>
      <w:r>
        <w:t>3.17.</w:t>
      </w:r>
      <w:r>
        <w:rPr>
          <w:b/>
        </w:rPr>
        <w:tab/>
        <w:t>Framleiðsla á plasthráefni</w:t>
      </w:r>
    </w:p>
    <w:p w14:paraId="2987E822" w14:textId="77777777" w:rsidR="006D7A4B" w:rsidRDefault="006D7A4B" w:rsidP="006D7A4B">
      <w:pPr>
        <w:pStyle w:val="AnnexGrSeq3"/>
        <w:ind w:left="500"/>
        <w:jc w:val="both"/>
      </w:pPr>
      <w:r>
        <w:rPr>
          <w:i/>
        </w:rPr>
        <w:t>Lýsing á starfseminni</w:t>
      </w:r>
    </w:p>
    <w:p w14:paraId="5DE122A9" w14:textId="77777777" w:rsidR="006D7A4B" w:rsidRDefault="006D7A4B" w:rsidP="006D7A4B">
      <w:pPr>
        <w:pStyle w:val="AnnexNormal"/>
        <w:ind w:left="500"/>
      </w:pPr>
      <w:r>
        <w:t xml:space="preserve">Framleiðsla á </w:t>
      </w:r>
      <w:proofErr w:type="spellStart"/>
      <w:r>
        <w:t>resíni</w:t>
      </w:r>
      <w:proofErr w:type="spellEnd"/>
      <w:r>
        <w:t xml:space="preserve">, plastefnum og </w:t>
      </w:r>
      <w:proofErr w:type="spellStart"/>
      <w:r>
        <w:t>ósúlfuðum</w:t>
      </w:r>
      <w:proofErr w:type="spellEnd"/>
      <w:r>
        <w:t xml:space="preserve"> hitadeigum teygjuefnum, samsetning og blöndun á </w:t>
      </w:r>
      <w:proofErr w:type="spellStart"/>
      <w:r>
        <w:t>resíni</w:t>
      </w:r>
      <w:proofErr w:type="spellEnd"/>
      <w:r>
        <w:t xml:space="preserve"> eftir pöntun, sem og raðframleiðsla á </w:t>
      </w:r>
      <w:proofErr w:type="spellStart"/>
      <w:r>
        <w:t>gerviresíni</w:t>
      </w:r>
      <w:proofErr w:type="spellEnd"/>
      <w:r>
        <w:t>.</w:t>
      </w:r>
    </w:p>
    <w:p w14:paraId="20FBA415" w14:textId="77777777" w:rsidR="006D7A4B" w:rsidRDefault="006D7A4B" w:rsidP="006D7A4B">
      <w:pPr>
        <w:pStyle w:val="AnnexNormal"/>
        <w:ind w:left="500"/>
      </w:pPr>
      <w:r>
        <w:t>Atvinnustarfsemin í þessum flokki gæti tengst kóða atvinnugreinaflokkunar Evrópusambandsins C20.16 í samræmi við atvinnugreinaflokkunina sem komið var á með reglugerð (EB) nr. 1893/2006.</w:t>
      </w:r>
    </w:p>
    <w:p w14:paraId="70D288AD" w14:textId="77777777" w:rsidR="006D7A4B" w:rsidRDefault="006D7A4B" w:rsidP="006D7A4B">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84"/>
        <w:gridCol w:w="5856"/>
      </w:tblGrid>
      <w:tr w:rsidR="006D7A4B" w14:paraId="38F65DFD"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57D246E3" w14:textId="77777777" w:rsidR="006D7A4B" w:rsidRDefault="006D7A4B" w:rsidP="00A9140F">
            <w:pPr>
              <w:pStyle w:val="AnnexTableCellLeft"/>
            </w:pPr>
            <w:r>
              <w:t>Verulegt framlag til aðlögunar að loftslagsbreytingum</w:t>
            </w:r>
          </w:p>
        </w:tc>
      </w:tr>
      <w:tr w:rsidR="006D7A4B" w14:paraId="0A5EEAA2" w14:textId="77777777" w:rsidTr="00A9140F">
        <w:trPr>
          <w:trHeight w:val="360"/>
        </w:trPr>
        <w:tc>
          <w:tcPr>
            <w:tcW w:w="8740" w:type="dxa"/>
            <w:gridSpan w:val="2"/>
            <w:tcBorders>
              <w:bottom w:val="nil"/>
            </w:tcBorders>
            <w:tcMar>
              <w:top w:w="100" w:type="dxa"/>
              <w:left w:w="0" w:type="dxa"/>
              <w:bottom w:w="100" w:type="dxa"/>
              <w:right w:w="60" w:type="dxa"/>
            </w:tcMar>
          </w:tcPr>
          <w:p w14:paraId="5E807F7C" w14:textId="77777777" w:rsidR="006D7A4B" w:rsidRDefault="006D7A4B" w:rsidP="00A9140F">
            <w:pPr>
              <w:pStyle w:val="AnnexNumberedText"/>
              <w:tabs>
                <w:tab w:val="left" w:pos="508"/>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02A7AA51" w14:textId="77777777" w:rsidR="006D7A4B" w:rsidRDefault="006D7A4B" w:rsidP="00A9140F">
            <w:pPr>
              <w:pStyle w:val="AnnexNumberedText"/>
              <w:tabs>
                <w:tab w:val="left" w:pos="508"/>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53D98F9" w14:textId="77777777" w:rsidR="006D7A4B" w:rsidRDefault="006D7A4B"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57228776" w14:textId="77777777" w:rsidR="006D7A4B" w:rsidRDefault="006D7A4B" w:rsidP="00A9140F">
            <w:pPr>
              <w:pStyle w:val="AnnexNumberedText"/>
              <w:spacing w:after="2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2B3A623" w14:textId="77777777" w:rsidR="006D7A4B" w:rsidRDefault="006D7A4B" w:rsidP="00A9140F">
            <w:pPr>
              <w:pStyle w:val="AnnexNumberedText"/>
              <w:spacing w:after="240"/>
            </w:pPr>
            <w:r>
              <w:t>c)</w:t>
            </w:r>
            <w:r>
              <w:tab/>
              <w:t>mat á aðlögunarlausnum sem geta dregið úr greindri efnislegri loftslagsáhættu.</w:t>
            </w:r>
          </w:p>
          <w:p w14:paraId="20F9789D" w14:textId="77777777" w:rsidR="006D7A4B" w:rsidRDefault="006D7A4B" w:rsidP="00A9140F">
            <w:pPr>
              <w:pStyle w:val="AnnexTableCellLeft"/>
              <w:spacing w:after="240"/>
            </w:pPr>
            <w:r>
              <w:t xml:space="preserve">Loftslagsáhættu- og veikleikamatið er í réttu hlutfalli við umfang starfseminnar og </w:t>
            </w:r>
            <w:proofErr w:type="spellStart"/>
            <w:r>
              <w:t>væntan</w:t>
            </w:r>
            <w:proofErr w:type="spellEnd"/>
            <w:r>
              <w:t xml:space="preserve"> líftíma hennar þannig að:</w:t>
            </w:r>
          </w:p>
          <w:p w14:paraId="1D94E818" w14:textId="77777777" w:rsidR="006D7A4B" w:rsidRDefault="006D7A4B" w:rsidP="00A9140F">
            <w:pPr>
              <w:pStyle w:val="AnnexNumberedText"/>
              <w:spacing w:after="24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4989803" w14:textId="77777777" w:rsidR="006D7A4B" w:rsidRDefault="006D7A4B" w:rsidP="00A9140F">
            <w:pPr>
              <w:pStyle w:val="AnnexNumberedText"/>
              <w:spacing w:after="24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7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D0CAD3E" w14:textId="77777777" w:rsidR="006D7A4B" w:rsidRDefault="006D7A4B" w:rsidP="00A9140F">
            <w:pPr>
              <w:pStyle w:val="AnnexNumberedText"/>
              <w:tabs>
                <w:tab w:val="left" w:pos="508"/>
              </w:tabs>
              <w:spacing w:after="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75"/>
            </w:r>
            <w:r>
              <w:t>), vísindalegt ritrýnt útgefið efni og líkön með opnum aðgangi (</w:t>
            </w:r>
            <w:r>
              <w:rPr>
                <w:rStyle w:val="Tilvsunneanmlsgrein"/>
                <w:sz w:val="18"/>
              </w:rPr>
              <w:footnoteReference w:id="576"/>
            </w:r>
            <w:r>
              <w:t>) eða gegn greiðslu.</w:t>
            </w:r>
          </w:p>
        </w:tc>
      </w:tr>
      <w:tr w:rsidR="006D7A4B" w14:paraId="50BCA1A1" w14:textId="77777777" w:rsidTr="00A9140F">
        <w:trPr>
          <w:trHeight w:val="360"/>
        </w:trPr>
        <w:tc>
          <w:tcPr>
            <w:tcW w:w="8740" w:type="dxa"/>
            <w:gridSpan w:val="2"/>
            <w:tcBorders>
              <w:top w:val="nil"/>
            </w:tcBorders>
            <w:tcMar>
              <w:top w:w="100" w:type="dxa"/>
              <w:left w:w="0" w:type="dxa"/>
              <w:bottom w:w="100" w:type="dxa"/>
              <w:right w:w="60" w:type="dxa"/>
            </w:tcMar>
          </w:tcPr>
          <w:p w14:paraId="765C0AC9" w14:textId="77777777" w:rsidR="006D7A4B" w:rsidRDefault="006D7A4B" w:rsidP="00A9140F">
            <w:pPr>
              <w:pStyle w:val="AnnexNumberedText"/>
              <w:pageBreakBefore/>
              <w:tabs>
                <w:tab w:val="left" w:pos="508"/>
              </w:tabs>
              <w:spacing w:after="360"/>
              <w:ind w:left="0" w:firstLine="0"/>
            </w:pPr>
            <w:r>
              <w:lastRenderedPageBreak/>
              <w:t>4.</w:t>
            </w:r>
            <w:r>
              <w:tab/>
              <w:t>Aðlögunarlausnir sem komið er í framkvæmd:</w:t>
            </w:r>
          </w:p>
          <w:p w14:paraId="4416BB3A" w14:textId="77777777" w:rsidR="006D7A4B" w:rsidRDefault="006D7A4B" w:rsidP="00A9140F">
            <w:pPr>
              <w:pStyle w:val="AnnexNumberedText"/>
              <w:spacing w:after="360"/>
            </w:pPr>
            <w:r>
              <w:t>a)</w:t>
            </w:r>
            <w:r>
              <w:tab/>
              <w:t>hafa ekki neikvæð áhrif á viðleitni til aðlögunar eða viðnám annars fólks, náttúru, menningararfleifðar, eigna og annarrar atvinnustarfsemi gegn efnislegri loftslagsáhættu,</w:t>
            </w:r>
          </w:p>
          <w:p w14:paraId="371983CD" w14:textId="77777777" w:rsidR="006D7A4B" w:rsidRDefault="006D7A4B" w:rsidP="00A9140F">
            <w:pPr>
              <w:pStyle w:val="AnnexNumberedText"/>
              <w:spacing w:after="360"/>
            </w:pPr>
            <w:r>
              <w:t>b)</w:t>
            </w:r>
            <w:r>
              <w:tab/>
              <w:t>eru með náttúrumiðaðar lausnir (</w:t>
            </w:r>
            <w:r>
              <w:rPr>
                <w:rStyle w:val="Tilvsunneanmlsgrein"/>
                <w:sz w:val="18"/>
                <w:szCs w:val="18"/>
              </w:rPr>
              <w:footnoteReference w:id="577"/>
            </w:r>
            <w:r>
              <w:t>) í forgangi eða treyst er á bláa eða græna innviði (</w:t>
            </w:r>
            <w:r>
              <w:rPr>
                <w:rStyle w:val="Tilvsunneanmlsgrein"/>
                <w:sz w:val="18"/>
                <w:szCs w:val="18"/>
              </w:rPr>
              <w:footnoteReference w:id="578"/>
            </w:r>
            <w:r>
              <w:t>) að því marki sem mögulegt er,</w:t>
            </w:r>
          </w:p>
          <w:p w14:paraId="68E2203E" w14:textId="77777777" w:rsidR="006D7A4B" w:rsidRDefault="006D7A4B" w:rsidP="00A9140F">
            <w:pPr>
              <w:pStyle w:val="AnnexNumberedText"/>
              <w:spacing w:after="360"/>
            </w:pPr>
            <w:r>
              <w:t>c)</w:t>
            </w:r>
            <w:r>
              <w:tab/>
              <w:t>eru í samræmi við staðbundnar, geirabundnar, svæðisbundnar eða landsbundnar aðlögunarstefnur og -áætlanir,</w:t>
            </w:r>
          </w:p>
          <w:p w14:paraId="45FBE362" w14:textId="77777777" w:rsidR="006D7A4B" w:rsidRDefault="006D7A4B" w:rsidP="00A9140F">
            <w:pPr>
              <w:pStyle w:val="AnnexNumberedText"/>
              <w:spacing w:after="36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B4EFFEA" w14:textId="77777777" w:rsidR="006D7A4B" w:rsidRDefault="006D7A4B" w:rsidP="00A9140F">
            <w:pPr>
              <w:pStyle w:val="AnnexNumberedText"/>
              <w:spacing w:after="36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39203442"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6F916D6F" w14:textId="77777777" w:rsidR="006D7A4B" w:rsidRDefault="006D7A4B" w:rsidP="00A9140F">
            <w:pPr>
              <w:pStyle w:val="AnnexTableCellLeft"/>
            </w:pPr>
            <w:r>
              <w:t>Ekki valda umtalsverðu tjóni</w:t>
            </w:r>
          </w:p>
        </w:tc>
      </w:tr>
      <w:tr w:rsidR="006D7A4B" w14:paraId="5F693F42" w14:textId="77777777" w:rsidTr="00A9140F">
        <w:trPr>
          <w:trHeight w:val="360"/>
        </w:trPr>
        <w:tc>
          <w:tcPr>
            <w:tcW w:w="2884" w:type="dxa"/>
            <w:tcBorders>
              <w:bottom w:val="nil"/>
            </w:tcBorders>
            <w:tcMar>
              <w:top w:w="100" w:type="dxa"/>
              <w:left w:w="0" w:type="dxa"/>
              <w:bottom w:w="100" w:type="dxa"/>
              <w:right w:w="60" w:type="dxa"/>
            </w:tcMar>
          </w:tcPr>
          <w:p w14:paraId="2381A869" w14:textId="77777777" w:rsidR="006D7A4B" w:rsidRDefault="006D7A4B" w:rsidP="00A9140F">
            <w:pPr>
              <w:pStyle w:val="AnnexNumberedText"/>
            </w:pPr>
            <w:r>
              <w:t>1)</w:t>
            </w:r>
            <w:r>
              <w:tab/>
              <w:t>Mildun loftslagsbreytinga</w:t>
            </w:r>
          </w:p>
        </w:tc>
        <w:tc>
          <w:tcPr>
            <w:tcW w:w="5856" w:type="dxa"/>
            <w:tcBorders>
              <w:bottom w:val="nil"/>
            </w:tcBorders>
            <w:tcMar>
              <w:top w:w="100" w:type="dxa"/>
              <w:left w:w="40" w:type="dxa"/>
              <w:bottom w:w="100" w:type="dxa"/>
              <w:right w:w="0" w:type="dxa"/>
            </w:tcMar>
          </w:tcPr>
          <w:p w14:paraId="40269538" w14:textId="77777777" w:rsidR="006D7A4B" w:rsidRDefault="006D7A4B" w:rsidP="00A9140F">
            <w:pPr>
              <w:pStyle w:val="AnnexTableCellLeft"/>
              <w:spacing w:after="400"/>
            </w:pPr>
            <w:r>
              <w:t>Plasthráefnið er eitt af eftirfarandi:</w:t>
            </w:r>
          </w:p>
          <w:p w14:paraId="23374D5A" w14:textId="77777777" w:rsidR="006D7A4B" w:rsidRDefault="006D7A4B" w:rsidP="00A9140F">
            <w:pPr>
              <w:pStyle w:val="AnnexNumberedText"/>
              <w:spacing w:after="400"/>
              <w:ind w:left="293" w:hanging="293"/>
            </w:pPr>
            <w:r>
              <w:t>a)</w:t>
            </w:r>
            <w:r>
              <w:tab/>
              <w:t>að öllu leyti framleitt með vélrænni endurvinnslu á plastúrgangi,</w:t>
            </w:r>
          </w:p>
          <w:p w14:paraId="1B9F3E87" w14:textId="77777777" w:rsidR="006D7A4B" w:rsidRDefault="006D7A4B" w:rsidP="00A9140F">
            <w:pPr>
              <w:pStyle w:val="AnnexNumberedText"/>
              <w:spacing w:after="400"/>
              <w:ind w:left="293" w:hanging="293"/>
            </w:pPr>
            <w:r>
              <w:t>b)</w:t>
            </w:r>
            <w:r>
              <w:tab/>
              <w:t xml:space="preserve">ef vélræn endurvinnsla er ekki möguleg, að öllu leyti framleitt með efnafræðilegri endurvinnslu á plastúrgangi þar sem losun gróðurhúsalofttegunda á vistferli framleidda plastsins, að undanskildum öllum </w:t>
            </w:r>
            <w:proofErr w:type="spellStart"/>
            <w:r>
              <w:t>útreiknuðum</w:t>
            </w:r>
            <w:proofErr w:type="spellEnd"/>
            <w:r>
              <w:t xml:space="preserve"> inneignum frá framleiðslu eldsneytis, er minni en losun gróðurhúsalofttegunda á vistferli samsvarandi plasthráefnis sem er framleitt úr hráefni úr jarðefnaeldsneyti. Losun gróðurhúsalofttegunda á vistferlinum er reiknuð út með því að nota tilmæli 2013/179/ESB eða, að öðrum kosti, með því að nota ISO 14067:2018 (</w:t>
            </w:r>
            <w:r>
              <w:rPr>
                <w:rStyle w:val="Tilvsunneanmlsgrein"/>
                <w:sz w:val="18"/>
              </w:rPr>
              <w:footnoteReference w:id="579"/>
            </w:r>
            <w:r>
              <w:t>) eða ISO 14064-1:2018 (</w:t>
            </w:r>
            <w:r>
              <w:rPr>
                <w:rStyle w:val="Tilvsunneanmlsgrein"/>
                <w:sz w:val="18"/>
              </w:rPr>
              <w:footnoteReference w:id="580"/>
            </w:r>
            <w:r>
              <w:t>). Óháður þriðji aðili sannprófar magngreinda losun gróðurhúsalofttegunda á vistferlinum.</w:t>
            </w:r>
          </w:p>
          <w:p w14:paraId="472E89CC" w14:textId="77777777" w:rsidR="006D7A4B" w:rsidRDefault="006D7A4B" w:rsidP="00A9140F">
            <w:pPr>
              <w:pStyle w:val="AnnexNumberedText"/>
              <w:spacing w:after="0"/>
              <w:ind w:left="293" w:hanging="293"/>
            </w:pPr>
            <w:r>
              <w:t>c)</w:t>
            </w:r>
            <w:r>
              <w:tab/>
              <w:t>unnið að öllu leyti eða að hluta til úr endurnýjanlegu hráefni (</w:t>
            </w:r>
            <w:r>
              <w:rPr>
                <w:rStyle w:val="Tilvsunneanmlsgrein"/>
                <w:sz w:val="18"/>
              </w:rPr>
              <w:footnoteReference w:id="581"/>
            </w:r>
            <w:r>
              <w:t xml:space="preserve">) þar sem losun gróðurhúsalofttegunda á vistferli framleidda plasthráefnisins, sem er framleitt að öllu leyti eða að hluta til úr endurnýjanlegu hráefni, er minni en losun gróðurhúsalofttegunda á vistferli samsvarandi plasthráefnis sem er framleitt úr hráefni úr jarðefnaeldsneyti. Losun gróðurhúsalofttegunda á vistferlinum er reiknuð út með því að nota tilmæli 2013/179/ESB eða, að öðrum kosti, með því að nota ISO 14067:2018 () eða ISO 14064-1:2018. </w:t>
            </w:r>
            <w:r>
              <w:lastRenderedPageBreak/>
              <w:t>Óháður þriðji aðili sannprófar magngreinda losun gróðurhúsalofttegunda á vistferlinum.</w:t>
            </w:r>
          </w:p>
        </w:tc>
      </w:tr>
      <w:tr w:rsidR="006D7A4B" w14:paraId="13B1DF14" w14:textId="77777777" w:rsidTr="00A9140F">
        <w:trPr>
          <w:trHeight w:val="240"/>
        </w:trPr>
        <w:tc>
          <w:tcPr>
            <w:tcW w:w="2884" w:type="dxa"/>
            <w:tcBorders>
              <w:top w:val="single" w:sz="4" w:space="0" w:color="auto"/>
            </w:tcBorders>
            <w:tcMar>
              <w:top w:w="100" w:type="dxa"/>
              <w:left w:w="0" w:type="dxa"/>
              <w:bottom w:w="100" w:type="dxa"/>
              <w:right w:w="60" w:type="dxa"/>
            </w:tcMar>
          </w:tcPr>
          <w:p w14:paraId="63ACB33F" w14:textId="77777777" w:rsidR="006D7A4B" w:rsidRDefault="006D7A4B" w:rsidP="00A9140F">
            <w:pPr>
              <w:pStyle w:val="AnnexTableCellLeft"/>
              <w:pageBreakBefore/>
              <w:ind w:left="300" w:hanging="300"/>
            </w:pPr>
          </w:p>
        </w:tc>
        <w:tc>
          <w:tcPr>
            <w:tcW w:w="5856" w:type="dxa"/>
            <w:tcBorders>
              <w:top w:val="single" w:sz="4" w:space="0" w:color="auto"/>
            </w:tcBorders>
            <w:tcMar>
              <w:top w:w="100" w:type="dxa"/>
              <w:left w:w="40" w:type="dxa"/>
              <w:bottom w:w="100" w:type="dxa"/>
              <w:right w:w="0" w:type="dxa"/>
            </w:tcMar>
          </w:tcPr>
          <w:p w14:paraId="736563C8" w14:textId="77777777" w:rsidR="006D7A4B" w:rsidRDefault="006D7A4B" w:rsidP="00A9140F">
            <w:pPr>
              <w:pStyle w:val="AnnexTableCellLeft"/>
            </w:pPr>
            <w:r>
              <w:t>Lífmassi úr landbúnaði sem er notaður til að framleiða plasthráefni er í samræmi við viðmiðanirnar sem mælt er fyrir um í 2. til 5. mgr. 29. gr. tilskipunar (ESB) 2018/2001. Lífmassi úr skógi sem er notaður til að framleiða plasthráefni er í samræmi við viðmiðanirnar sem mælt er fyrir um í 6. og 7. mgr. 29. gr. þeirrar tilskipunar.</w:t>
            </w:r>
          </w:p>
        </w:tc>
      </w:tr>
      <w:tr w:rsidR="006D7A4B" w14:paraId="49DF075E" w14:textId="77777777" w:rsidTr="00A9140F">
        <w:trPr>
          <w:trHeight w:val="360"/>
        </w:trPr>
        <w:tc>
          <w:tcPr>
            <w:tcW w:w="2884" w:type="dxa"/>
            <w:tcMar>
              <w:top w:w="100" w:type="dxa"/>
              <w:left w:w="0" w:type="dxa"/>
              <w:bottom w:w="100" w:type="dxa"/>
              <w:right w:w="60" w:type="dxa"/>
            </w:tcMar>
          </w:tcPr>
          <w:p w14:paraId="29C7B9A4" w14:textId="77777777" w:rsidR="006D7A4B" w:rsidRDefault="006D7A4B" w:rsidP="00A9140F">
            <w:pPr>
              <w:pStyle w:val="AnnexNumberedText"/>
            </w:pPr>
            <w:r>
              <w:t>3)</w:t>
            </w:r>
            <w:r>
              <w:tab/>
              <w:t>Sjálfbær notkun og verndun vatns- og sjávarauðlinda</w:t>
            </w:r>
          </w:p>
        </w:tc>
        <w:tc>
          <w:tcPr>
            <w:tcW w:w="5856" w:type="dxa"/>
            <w:tcMar>
              <w:top w:w="100" w:type="dxa"/>
              <w:left w:w="40" w:type="dxa"/>
              <w:bottom w:w="100" w:type="dxa"/>
              <w:right w:w="0" w:type="dxa"/>
            </w:tcMar>
          </w:tcPr>
          <w:p w14:paraId="6E2984F8" w14:textId="77777777" w:rsidR="006D7A4B" w:rsidRDefault="006D7A4B" w:rsidP="00A9140F">
            <w:pPr>
              <w:pStyle w:val="AnnexTableCellLeft"/>
            </w:pPr>
            <w:r>
              <w:t>Starfsemin er í samræmi við viðmiðanirnar sem settar eru fram í viðbæti B við þennan viðauka.</w:t>
            </w:r>
          </w:p>
        </w:tc>
      </w:tr>
      <w:tr w:rsidR="006D7A4B" w14:paraId="1CE6BEEE" w14:textId="77777777" w:rsidTr="00A9140F">
        <w:trPr>
          <w:trHeight w:val="360"/>
        </w:trPr>
        <w:tc>
          <w:tcPr>
            <w:tcW w:w="2884" w:type="dxa"/>
            <w:tcMar>
              <w:top w:w="100" w:type="dxa"/>
              <w:left w:w="0" w:type="dxa"/>
              <w:bottom w:w="100" w:type="dxa"/>
              <w:right w:w="60" w:type="dxa"/>
            </w:tcMar>
          </w:tcPr>
          <w:p w14:paraId="0C2A82EF" w14:textId="77777777" w:rsidR="006D7A4B" w:rsidRDefault="006D7A4B" w:rsidP="00A9140F">
            <w:pPr>
              <w:pStyle w:val="AnnexNumberedText"/>
            </w:pPr>
            <w:r>
              <w:t>4)</w:t>
            </w:r>
            <w:r>
              <w:tab/>
              <w:t>Umskipti yfir í hringrásarhagkerfi</w:t>
            </w:r>
          </w:p>
        </w:tc>
        <w:tc>
          <w:tcPr>
            <w:tcW w:w="5856" w:type="dxa"/>
            <w:tcMar>
              <w:top w:w="100" w:type="dxa"/>
              <w:left w:w="40" w:type="dxa"/>
              <w:bottom w:w="100" w:type="dxa"/>
              <w:right w:w="0" w:type="dxa"/>
            </w:tcMar>
          </w:tcPr>
          <w:p w14:paraId="55EDBFDF" w14:textId="77777777" w:rsidR="006D7A4B" w:rsidRDefault="006D7A4B" w:rsidP="00A9140F">
            <w:pPr>
              <w:pStyle w:val="AnnexTableCellLeft"/>
            </w:pPr>
            <w:r>
              <w:t>Á ekki við</w:t>
            </w:r>
          </w:p>
        </w:tc>
      </w:tr>
      <w:tr w:rsidR="006D7A4B" w14:paraId="0C84449C" w14:textId="77777777" w:rsidTr="00A9140F">
        <w:trPr>
          <w:trHeight w:val="360"/>
        </w:trPr>
        <w:tc>
          <w:tcPr>
            <w:tcW w:w="2884" w:type="dxa"/>
            <w:tcMar>
              <w:top w:w="100" w:type="dxa"/>
              <w:left w:w="0" w:type="dxa"/>
              <w:bottom w:w="100" w:type="dxa"/>
              <w:right w:w="60" w:type="dxa"/>
            </w:tcMar>
          </w:tcPr>
          <w:p w14:paraId="5B378009" w14:textId="77777777" w:rsidR="006D7A4B" w:rsidRDefault="006D7A4B" w:rsidP="00A9140F">
            <w:pPr>
              <w:pStyle w:val="AnnexNumberedText"/>
            </w:pPr>
            <w:r>
              <w:t>5)</w:t>
            </w:r>
            <w:r>
              <w:tab/>
              <w:t>Mengunarvarnir og eftirlit með mengun</w:t>
            </w:r>
          </w:p>
        </w:tc>
        <w:tc>
          <w:tcPr>
            <w:tcW w:w="5856" w:type="dxa"/>
            <w:tcMar>
              <w:top w:w="100" w:type="dxa"/>
              <w:left w:w="40" w:type="dxa"/>
              <w:bottom w:w="100" w:type="dxa"/>
              <w:right w:w="0" w:type="dxa"/>
            </w:tcMar>
          </w:tcPr>
          <w:p w14:paraId="7B37AF5C" w14:textId="77777777" w:rsidR="006D7A4B" w:rsidRDefault="006D7A4B" w:rsidP="00A9140F">
            <w:pPr>
              <w:pStyle w:val="AnnexTableCellLeft"/>
              <w:spacing w:after="200"/>
            </w:pPr>
            <w:r>
              <w:t>Starfsemin er í samræmi við viðmiðanirnar sem settar eru fram í viðbæti C við þennan viðauka.</w:t>
            </w:r>
          </w:p>
          <w:p w14:paraId="224F5150" w14:textId="77777777" w:rsidR="006D7A4B" w:rsidRDefault="006D7A4B" w:rsidP="00A9140F">
            <w:pPr>
              <w:pStyle w:val="AnnexTableCellLeft"/>
              <w:spacing w:after="200"/>
            </w:pPr>
            <w:r>
              <w:t>Losun fellur innan við eða undir svið losunargilda sem tengjast bestu aðgengilegu tækni samkvæmt viðeigandi niðurstöðum um bestu aðgengilegu tækni, þ.m.t.:</w:t>
            </w:r>
          </w:p>
          <w:p w14:paraId="57EF2B53" w14:textId="77777777" w:rsidR="006D7A4B" w:rsidRDefault="006D7A4B" w:rsidP="00A9140F">
            <w:pPr>
              <w:pStyle w:val="AnnexNumberedText"/>
              <w:spacing w:after="200"/>
              <w:ind w:left="293" w:hanging="293"/>
            </w:pPr>
            <w:r>
              <w:t>a)</w:t>
            </w:r>
            <w:r>
              <w:tab/>
              <w:t>Tilvísunarskjal um bestu aðgengilegu tækni fyrir framleiðslu á fjölliðum (</w:t>
            </w:r>
            <w:r>
              <w:rPr>
                <w:rStyle w:val="Tilvsunneanmlsgrein"/>
                <w:sz w:val="18"/>
              </w:rPr>
              <w:footnoteReference w:id="582"/>
            </w:r>
            <w:r>
              <w:t>),</w:t>
            </w:r>
          </w:p>
          <w:p w14:paraId="0D5DF103" w14:textId="77777777" w:rsidR="006D7A4B" w:rsidRDefault="006D7A4B" w:rsidP="00A9140F">
            <w:pPr>
              <w:pStyle w:val="AnnexNumberedText"/>
              <w:spacing w:after="200"/>
              <w:ind w:left="293" w:hanging="293"/>
            </w:pPr>
            <w:r>
              <w:t>b)</w:t>
            </w:r>
            <w:r>
              <w:tab/>
              <w:t xml:space="preserve">niðurstöður um bestu aðgengilegu tækni (BAT)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r>
              <w:rPr>
                <w:rStyle w:val="Tilvsunneanmlsgrein"/>
                <w:sz w:val="18"/>
              </w:rPr>
              <w:footnoteReference w:id="583"/>
            </w:r>
            <w:r>
              <w:t>).</w:t>
            </w:r>
          </w:p>
          <w:p w14:paraId="67F3BC1B" w14:textId="77777777" w:rsidR="006D7A4B" w:rsidRDefault="006D7A4B" w:rsidP="00A9140F">
            <w:pPr>
              <w:pStyle w:val="AnnexTableCellLeft"/>
              <w:spacing w:after="200"/>
            </w:pPr>
            <w:r>
              <w:t>Engin umtalsverð yfirfærsluáhrif milli umhverfishólfa eiga sér stað.</w:t>
            </w:r>
          </w:p>
        </w:tc>
      </w:tr>
      <w:tr w:rsidR="006D7A4B" w14:paraId="51C92724" w14:textId="77777777" w:rsidTr="00A9140F">
        <w:trPr>
          <w:trHeight w:val="360"/>
        </w:trPr>
        <w:tc>
          <w:tcPr>
            <w:tcW w:w="2884" w:type="dxa"/>
            <w:tcMar>
              <w:top w:w="100" w:type="dxa"/>
              <w:left w:w="0" w:type="dxa"/>
              <w:bottom w:w="100" w:type="dxa"/>
              <w:right w:w="60" w:type="dxa"/>
            </w:tcMar>
          </w:tcPr>
          <w:p w14:paraId="4948BE42" w14:textId="77777777" w:rsidR="006D7A4B" w:rsidRDefault="006D7A4B" w:rsidP="00A9140F">
            <w:pPr>
              <w:pStyle w:val="AnnexNumberedText"/>
            </w:pPr>
            <w:r>
              <w:t>6)</w:t>
            </w:r>
            <w:r>
              <w:tab/>
              <w:t>Vernd og endurheimt líffræðilegrar fjölbreytni og vistkerfa</w:t>
            </w:r>
          </w:p>
        </w:tc>
        <w:tc>
          <w:tcPr>
            <w:tcW w:w="5856" w:type="dxa"/>
            <w:tcMar>
              <w:top w:w="100" w:type="dxa"/>
              <w:left w:w="40" w:type="dxa"/>
              <w:bottom w:w="100" w:type="dxa"/>
              <w:right w:w="0" w:type="dxa"/>
            </w:tcMar>
          </w:tcPr>
          <w:p w14:paraId="06B7BC8D" w14:textId="77777777" w:rsidR="006D7A4B" w:rsidRDefault="006D7A4B" w:rsidP="00A9140F">
            <w:pPr>
              <w:pStyle w:val="AnnexTableCellLeft"/>
            </w:pPr>
            <w:r>
              <w:t>Starfsemin er í samræmi við viðmiðanirnar sem settar eru fram í viðbæti D við þennan viðauka.</w:t>
            </w:r>
          </w:p>
        </w:tc>
      </w:tr>
    </w:tbl>
    <w:p w14:paraId="2CEF7994" w14:textId="77777777" w:rsidR="006D7A4B" w:rsidRDefault="006D7A4B" w:rsidP="006D7A4B">
      <w:pPr>
        <w:pStyle w:val="AnnexNumberedText"/>
        <w:spacing w:before="200" w:after="160"/>
        <w:ind w:left="500" w:hanging="500"/>
      </w:pPr>
      <w:r>
        <w:t>4.</w:t>
      </w:r>
      <w:r>
        <w:tab/>
        <w:t>ORKA</w:t>
      </w:r>
    </w:p>
    <w:p w14:paraId="7A17F303" w14:textId="77777777" w:rsidR="006D7A4B" w:rsidRDefault="006D7A4B" w:rsidP="006D7A4B">
      <w:pPr>
        <w:pStyle w:val="AnnexNumberedText"/>
        <w:spacing w:after="160"/>
        <w:ind w:left="500" w:hanging="500"/>
      </w:pPr>
      <w:r>
        <w:t>4.1.</w:t>
      </w:r>
      <w:r>
        <w:rPr>
          <w:b/>
        </w:rPr>
        <w:tab/>
        <w:t>Raforkuframleiðsla með notkun sólarraforkutækni</w:t>
      </w:r>
    </w:p>
    <w:p w14:paraId="03D2A88A" w14:textId="77777777" w:rsidR="006D7A4B" w:rsidRDefault="006D7A4B" w:rsidP="006D7A4B">
      <w:pPr>
        <w:pStyle w:val="AnnexGrSeq3"/>
        <w:spacing w:after="160"/>
        <w:ind w:left="500"/>
        <w:jc w:val="both"/>
      </w:pPr>
      <w:r>
        <w:rPr>
          <w:i/>
        </w:rPr>
        <w:t>Lýsing á starfseminni</w:t>
      </w:r>
    </w:p>
    <w:p w14:paraId="43985FB8" w14:textId="77777777" w:rsidR="006D7A4B" w:rsidRDefault="006D7A4B" w:rsidP="006D7A4B">
      <w:pPr>
        <w:pStyle w:val="AnnexNormal"/>
        <w:spacing w:after="160"/>
        <w:ind w:left="500"/>
      </w:pPr>
      <w:r>
        <w:t>Bygging eða rekstur raforkuframleiðslustöðva sem framleiða raforku með notkun sólarraforkutækni.</w:t>
      </w:r>
    </w:p>
    <w:p w14:paraId="479CE86A" w14:textId="77777777" w:rsidR="006D7A4B" w:rsidRDefault="006D7A4B" w:rsidP="006D7A4B">
      <w:pPr>
        <w:pStyle w:val="AnnexNormal"/>
        <w:spacing w:after="160"/>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698D0ACA" w14:textId="77777777" w:rsidR="006D7A4B" w:rsidRDefault="006D7A4B" w:rsidP="006D7A4B">
      <w:pPr>
        <w:pStyle w:val="AnnexNormal"/>
        <w:spacing w:after="160"/>
        <w:ind w:left="500"/>
      </w:pPr>
      <w:r>
        <w:t>Atvinnustarfsemin í þessum flokki gæti tengst nokkrum kóðum atvinnugreinaflokkunar Evrópusambandsins, einkum D35.11 og F42.22, í samræmi við atvinnugreinaflokkunina sem komið var á með reglugerð (EB) nr. 1893/2006.</w:t>
      </w:r>
    </w:p>
    <w:p w14:paraId="62E3D0E1" w14:textId="77777777" w:rsidR="006D7A4B" w:rsidRDefault="006D7A4B" w:rsidP="006D7A4B">
      <w:pPr>
        <w:pStyle w:val="AnnexGrSeq3"/>
        <w:spacing w:after="16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96"/>
        <w:gridCol w:w="5844"/>
      </w:tblGrid>
      <w:tr w:rsidR="006D7A4B" w14:paraId="6E51CAC6"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58D13E59" w14:textId="77777777" w:rsidR="006D7A4B" w:rsidRDefault="006D7A4B" w:rsidP="00A9140F">
            <w:pPr>
              <w:pStyle w:val="AnnexTableCellLeft"/>
            </w:pPr>
            <w:r>
              <w:t>Verulegt framlag til aðlögunar að loftslagsbreytingum</w:t>
            </w:r>
          </w:p>
        </w:tc>
      </w:tr>
      <w:tr w:rsidR="006D7A4B" w14:paraId="19E380FD" w14:textId="77777777" w:rsidTr="00A9140F">
        <w:trPr>
          <w:trHeight w:val="360"/>
        </w:trPr>
        <w:tc>
          <w:tcPr>
            <w:tcW w:w="8740" w:type="dxa"/>
            <w:gridSpan w:val="2"/>
            <w:tcBorders>
              <w:bottom w:val="nil"/>
            </w:tcBorders>
            <w:tcMar>
              <w:top w:w="100" w:type="dxa"/>
              <w:left w:w="0" w:type="dxa"/>
              <w:bottom w:w="100" w:type="dxa"/>
              <w:right w:w="60" w:type="dxa"/>
            </w:tcMar>
          </w:tcPr>
          <w:p w14:paraId="52DD0417" w14:textId="77777777" w:rsidR="006D7A4B" w:rsidRDefault="006D7A4B" w:rsidP="00A9140F">
            <w:pPr>
              <w:pStyle w:val="AnnexNumberedText"/>
              <w:tabs>
                <w:tab w:val="left" w:pos="508"/>
              </w:tabs>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03F2D16F" w14:textId="77777777" w:rsidR="006D7A4B" w:rsidRDefault="006D7A4B" w:rsidP="00A9140F">
            <w:pPr>
              <w:pStyle w:val="AnnexNumberedText"/>
              <w:tabs>
                <w:tab w:val="left" w:pos="508"/>
              </w:tabs>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5593218" w14:textId="77777777" w:rsidR="006D7A4B" w:rsidRDefault="006D7A4B" w:rsidP="00A9140F">
            <w:pPr>
              <w:pStyle w:val="AnnexNumberedText"/>
            </w:pPr>
            <w:r>
              <w:t>a)</w:t>
            </w:r>
            <w:r>
              <w:tab/>
              <w:t xml:space="preserve">skimun á starfseminni til að greina hvaða efnislega loftslagsáhætta úr skránni í viðbæti A við þennan viðauka getur </w:t>
            </w:r>
            <w:r>
              <w:lastRenderedPageBreak/>
              <w:t>haft áhrif á árangurinn af atvinnustarfseminni á væntum líftíma hennar,</w:t>
            </w:r>
          </w:p>
        </w:tc>
      </w:tr>
      <w:tr w:rsidR="006D7A4B" w14:paraId="3F50293A" w14:textId="77777777" w:rsidTr="00A9140F">
        <w:trPr>
          <w:trHeight w:val="360"/>
        </w:trPr>
        <w:tc>
          <w:tcPr>
            <w:tcW w:w="8740" w:type="dxa"/>
            <w:gridSpan w:val="2"/>
            <w:tcBorders>
              <w:top w:val="nil"/>
            </w:tcBorders>
            <w:tcMar>
              <w:top w:w="100" w:type="dxa"/>
              <w:left w:w="0" w:type="dxa"/>
              <w:bottom w:w="100" w:type="dxa"/>
              <w:right w:w="60" w:type="dxa"/>
            </w:tcMar>
          </w:tcPr>
          <w:p w14:paraId="47D81B36" w14:textId="77777777" w:rsidR="006D7A4B" w:rsidRDefault="006D7A4B" w:rsidP="00A9140F">
            <w:pPr>
              <w:pStyle w:val="AnnexNumberedText"/>
              <w:pageBreakBefore/>
              <w:spacing w:after="280"/>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898D463" w14:textId="77777777" w:rsidR="006D7A4B" w:rsidRDefault="006D7A4B" w:rsidP="00A9140F">
            <w:pPr>
              <w:pStyle w:val="AnnexNumberedText"/>
              <w:spacing w:after="280"/>
            </w:pPr>
            <w:r>
              <w:t>c)</w:t>
            </w:r>
            <w:r>
              <w:tab/>
              <w:t>mat á aðlögunarlausnum sem geta dregið úr greindri efnislegri loftslagsáhættu.</w:t>
            </w:r>
          </w:p>
          <w:p w14:paraId="2A18B7C7" w14:textId="77777777" w:rsidR="006D7A4B" w:rsidRDefault="006D7A4B" w:rsidP="00A9140F">
            <w:pPr>
              <w:pStyle w:val="AnnexTableCellLeft"/>
              <w:spacing w:after="280"/>
            </w:pPr>
            <w:r>
              <w:t xml:space="preserve">Loftslagsáhættu- og veikleikamatið er í réttu hlutfalli við umfang starfseminnar og </w:t>
            </w:r>
            <w:proofErr w:type="spellStart"/>
            <w:r>
              <w:t>væntan</w:t>
            </w:r>
            <w:proofErr w:type="spellEnd"/>
            <w:r>
              <w:t xml:space="preserve"> líftíma hennar þannig að:</w:t>
            </w:r>
          </w:p>
          <w:p w14:paraId="114F10A8" w14:textId="77777777" w:rsidR="006D7A4B" w:rsidRDefault="006D7A4B" w:rsidP="00A9140F">
            <w:pPr>
              <w:pStyle w:val="AnnexNumberedText"/>
              <w:spacing w:after="2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13EBBD3" w14:textId="77777777" w:rsidR="006D7A4B" w:rsidRDefault="006D7A4B" w:rsidP="00A9140F">
            <w:pPr>
              <w:pStyle w:val="AnnexNumberedText"/>
              <w:spacing w:after="28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8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EB8495E" w14:textId="77777777" w:rsidR="006D7A4B" w:rsidRDefault="006D7A4B" w:rsidP="00A9140F">
            <w:pPr>
              <w:pStyle w:val="AnnexNumberedText"/>
              <w:tabs>
                <w:tab w:val="left" w:pos="508"/>
              </w:tabs>
              <w:spacing w:after="28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585"/>
            </w:r>
            <w:r>
              <w:t>), vísindalegt ritrýnt útgefið efni og líkön með opnum aðgangi (</w:t>
            </w:r>
            <w:r>
              <w:rPr>
                <w:rStyle w:val="Tilvsunneanmlsgrein"/>
                <w:sz w:val="18"/>
                <w:szCs w:val="18"/>
              </w:rPr>
              <w:footnoteReference w:id="586"/>
            </w:r>
            <w:r>
              <w:t>) eða gegn greiðslu.</w:t>
            </w:r>
          </w:p>
          <w:p w14:paraId="7EE3926E" w14:textId="77777777" w:rsidR="006D7A4B" w:rsidRDefault="006D7A4B" w:rsidP="00A9140F">
            <w:pPr>
              <w:pStyle w:val="AnnexNumberedText"/>
              <w:tabs>
                <w:tab w:val="left" w:pos="508"/>
              </w:tabs>
              <w:spacing w:after="280"/>
              <w:ind w:left="0" w:firstLine="0"/>
            </w:pPr>
            <w:r>
              <w:t>4.</w:t>
            </w:r>
            <w:r>
              <w:tab/>
              <w:t>Aðlögunarlausnir sem komið er í framkvæmd:</w:t>
            </w:r>
          </w:p>
          <w:p w14:paraId="7B758CC1" w14:textId="77777777" w:rsidR="006D7A4B" w:rsidRDefault="006D7A4B" w:rsidP="00A9140F">
            <w:pPr>
              <w:pStyle w:val="AnnexNumberedText"/>
              <w:spacing w:after="280"/>
            </w:pPr>
            <w:r>
              <w:t>a)</w:t>
            </w:r>
            <w:r>
              <w:tab/>
              <w:t>hafa ekki neikvæð áhrif á viðleitni til aðlögunar eða viðnám annars fólks, náttúru, menningararfleifðar, eigna og annarrar atvinnustarfsemi gegn efnislegri loftslagsáhættu,</w:t>
            </w:r>
          </w:p>
          <w:p w14:paraId="67A5BF9F" w14:textId="77777777" w:rsidR="006D7A4B" w:rsidRDefault="006D7A4B" w:rsidP="00A9140F">
            <w:pPr>
              <w:pStyle w:val="AnnexNumberedText"/>
              <w:spacing w:after="280"/>
            </w:pPr>
            <w:r>
              <w:t>b)</w:t>
            </w:r>
            <w:r>
              <w:tab/>
              <w:t>eru með náttúrumiðaðar lausnir (</w:t>
            </w:r>
            <w:r>
              <w:rPr>
                <w:rStyle w:val="Tilvsunneanmlsgrein"/>
                <w:sz w:val="18"/>
              </w:rPr>
              <w:footnoteReference w:id="587"/>
            </w:r>
            <w:r>
              <w:t>) í forgangi eða treyst er á bláa eða græna innviði (</w:t>
            </w:r>
            <w:r>
              <w:rPr>
                <w:rStyle w:val="Tilvsunneanmlsgrein"/>
                <w:sz w:val="18"/>
              </w:rPr>
              <w:footnoteReference w:id="588"/>
            </w:r>
            <w:r>
              <w:t>) að því marki sem mögulegt er,</w:t>
            </w:r>
          </w:p>
          <w:p w14:paraId="5CB52C2C" w14:textId="77777777" w:rsidR="006D7A4B" w:rsidRDefault="006D7A4B" w:rsidP="00A9140F">
            <w:pPr>
              <w:pStyle w:val="AnnexNumberedText"/>
              <w:spacing w:after="280"/>
            </w:pPr>
            <w:r>
              <w:t>c)</w:t>
            </w:r>
            <w:r>
              <w:tab/>
              <w:t>eru í samræmi við staðbundnar, geirabundnar, svæðisbundnar eða landsbundnar aðlögunarstefnur og -áætlanir,</w:t>
            </w:r>
          </w:p>
          <w:p w14:paraId="2D6C8607" w14:textId="77777777" w:rsidR="006D7A4B" w:rsidRDefault="006D7A4B" w:rsidP="00A9140F">
            <w:pPr>
              <w:pStyle w:val="AnnexNumberedText"/>
              <w:spacing w:after="28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75E7F8E" w14:textId="77777777" w:rsidR="006D7A4B" w:rsidRDefault="006D7A4B"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1ED99926" w14:textId="77777777" w:rsidTr="00A9140F">
        <w:trPr>
          <w:trHeight w:val="240"/>
        </w:trPr>
        <w:tc>
          <w:tcPr>
            <w:tcW w:w="8740" w:type="dxa"/>
            <w:gridSpan w:val="2"/>
            <w:tcMar>
              <w:top w:w="100" w:type="dxa"/>
              <w:left w:w="0" w:type="dxa"/>
              <w:bottom w:w="100" w:type="dxa"/>
              <w:right w:w="60" w:type="dxa"/>
            </w:tcMar>
          </w:tcPr>
          <w:p w14:paraId="014A6A38" w14:textId="77777777" w:rsidR="006D7A4B" w:rsidRDefault="006D7A4B" w:rsidP="00A9140F">
            <w:pPr>
              <w:pStyle w:val="AnnexTableCellLeft"/>
            </w:pPr>
            <w:r>
              <w:t>Ekki valda umtalsverðu tjóni</w:t>
            </w:r>
          </w:p>
        </w:tc>
      </w:tr>
      <w:tr w:rsidR="006D7A4B" w14:paraId="74B9B706" w14:textId="77777777" w:rsidTr="00A9140F">
        <w:trPr>
          <w:trHeight w:val="360"/>
        </w:trPr>
        <w:tc>
          <w:tcPr>
            <w:tcW w:w="2896" w:type="dxa"/>
            <w:tcMar>
              <w:top w:w="100" w:type="dxa"/>
              <w:left w:w="0" w:type="dxa"/>
              <w:bottom w:w="100" w:type="dxa"/>
              <w:right w:w="60" w:type="dxa"/>
            </w:tcMar>
          </w:tcPr>
          <w:p w14:paraId="1CD50021" w14:textId="77777777" w:rsidR="006D7A4B" w:rsidRDefault="006D7A4B" w:rsidP="00A9140F">
            <w:pPr>
              <w:pStyle w:val="AnnexNumberedText"/>
            </w:pPr>
            <w:r>
              <w:t>1)</w:t>
            </w:r>
            <w:r>
              <w:tab/>
              <w:t>Mildun loftslagsbreytinga</w:t>
            </w:r>
          </w:p>
        </w:tc>
        <w:tc>
          <w:tcPr>
            <w:tcW w:w="5844" w:type="dxa"/>
            <w:tcMar>
              <w:top w:w="100" w:type="dxa"/>
              <w:left w:w="40" w:type="dxa"/>
              <w:bottom w:w="100" w:type="dxa"/>
              <w:right w:w="0" w:type="dxa"/>
            </w:tcMar>
          </w:tcPr>
          <w:p w14:paraId="3272AF3E" w14:textId="77777777" w:rsidR="006D7A4B" w:rsidRDefault="006D7A4B" w:rsidP="00A9140F">
            <w:pPr>
              <w:pStyle w:val="AnnexTableCellLeft"/>
            </w:pPr>
            <w:r>
              <w:t>Á ekki við</w:t>
            </w:r>
          </w:p>
        </w:tc>
      </w:tr>
      <w:tr w:rsidR="006D7A4B" w14:paraId="63DF7F70" w14:textId="77777777" w:rsidTr="00A9140F">
        <w:trPr>
          <w:trHeight w:val="360"/>
        </w:trPr>
        <w:tc>
          <w:tcPr>
            <w:tcW w:w="2896" w:type="dxa"/>
            <w:tcMar>
              <w:top w:w="100" w:type="dxa"/>
              <w:left w:w="0" w:type="dxa"/>
              <w:bottom w:w="100" w:type="dxa"/>
              <w:right w:w="60" w:type="dxa"/>
            </w:tcMar>
          </w:tcPr>
          <w:p w14:paraId="13AF4D0B" w14:textId="77777777" w:rsidR="006D7A4B" w:rsidRDefault="006D7A4B" w:rsidP="00A9140F">
            <w:pPr>
              <w:pStyle w:val="AnnexNumberedText"/>
            </w:pPr>
            <w:r>
              <w:t>3)</w:t>
            </w:r>
            <w:r>
              <w:tab/>
              <w:t>Sjálfbær notkun og verndun vatns- og sjávarauðlinda</w:t>
            </w:r>
          </w:p>
        </w:tc>
        <w:tc>
          <w:tcPr>
            <w:tcW w:w="5844" w:type="dxa"/>
            <w:tcMar>
              <w:top w:w="100" w:type="dxa"/>
              <w:left w:w="40" w:type="dxa"/>
              <w:bottom w:w="100" w:type="dxa"/>
              <w:right w:w="0" w:type="dxa"/>
            </w:tcMar>
          </w:tcPr>
          <w:p w14:paraId="472B516C" w14:textId="77777777" w:rsidR="006D7A4B" w:rsidRDefault="006D7A4B" w:rsidP="00A9140F">
            <w:pPr>
              <w:pStyle w:val="AnnexTableCellLeft"/>
            </w:pPr>
            <w:r>
              <w:t>Á ekki við</w:t>
            </w:r>
          </w:p>
        </w:tc>
      </w:tr>
      <w:tr w:rsidR="006D7A4B" w14:paraId="2FB58B51" w14:textId="77777777" w:rsidTr="00A9140F">
        <w:trPr>
          <w:trHeight w:val="360"/>
        </w:trPr>
        <w:tc>
          <w:tcPr>
            <w:tcW w:w="2896" w:type="dxa"/>
            <w:tcMar>
              <w:top w:w="100" w:type="dxa"/>
              <w:left w:w="0" w:type="dxa"/>
              <w:bottom w:w="100" w:type="dxa"/>
              <w:right w:w="60" w:type="dxa"/>
            </w:tcMar>
          </w:tcPr>
          <w:p w14:paraId="1028D869" w14:textId="77777777" w:rsidR="006D7A4B" w:rsidRDefault="006D7A4B" w:rsidP="00A9140F">
            <w:pPr>
              <w:pStyle w:val="AnnexNumberedText"/>
              <w:pageBreakBefore/>
            </w:pPr>
            <w:r>
              <w:lastRenderedPageBreak/>
              <w:t>4)</w:t>
            </w:r>
            <w:r>
              <w:tab/>
              <w:t>Umskipti yfir í hringrásarhagkerfi</w:t>
            </w:r>
          </w:p>
        </w:tc>
        <w:tc>
          <w:tcPr>
            <w:tcW w:w="5844" w:type="dxa"/>
            <w:tcMar>
              <w:top w:w="100" w:type="dxa"/>
              <w:left w:w="40" w:type="dxa"/>
              <w:bottom w:w="100" w:type="dxa"/>
              <w:right w:w="0" w:type="dxa"/>
            </w:tcMar>
          </w:tcPr>
          <w:p w14:paraId="0A02FD21" w14:textId="77777777" w:rsidR="006D7A4B" w:rsidRDefault="006D7A4B"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1195D369" w14:textId="77777777" w:rsidTr="00A9140F">
        <w:trPr>
          <w:trHeight w:val="360"/>
        </w:trPr>
        <w:tc>
          <w:tcPr>
            <w:tcW w:w="2896" w:type="dxa"/>
            <w:tcMar>
              <w:top w:w="100" w:type="dxa"/>
              <w:left w:w="0" w:type="dxa"/>
              <w:bottom w:w="100" w:type="dxa"/>
              <w:right w:w="60" w:type="dxa"/>
            </w:tcMar>
          </w:tcPr>
          <w:p w14:paraId="62AE8255" w14:textId="77777777" w:rsidR="006D7A4B" w:rsidRDefault="006D7A4B" w:rsidP="00A9140F">
            <w:pPr>
              <w:pStyle w:val="AnnexNumberedText"/>
            </w:pPr>
            <w:r>
              <w:t>5)</w:t>
            </w:r>
            <w:r>
              <w:tab/>
              <w:t>Mengunarvarnir og eftirlit með mengun</w:t>
            </w:r>
          </w:p>
        </w:tc>
        <w:tc>
          <w:tcPr>
            <w:tcW w:w="5844" w:type="dxa"/>
            <w:tcMar>
              <w:top w:w="100" w:type="dxa"/>
              <w:left w:w="40" w:type="dxa"/>
              <w:bottom w:w="100" w:type="dxa"/>
              <w:right w:w="0" w:type="dxa"/>
            </w:tcMar>
          </w:tcPr>
          <w:p w14:paraId="5BCAE3E6" w14:textId="77777777" w:rsidR="006D7A4B" w:rsidRDefault="006D7A4B" w:rsidP="00A9140F">
            <w:pPr>
              <w:pStyle w:val="AnnexTableCellLeft"/>
            </w:pPr>
            <w:r>
              <w:t>Á ekki við</w:t>
            </w:r>
          </w:p>
        </w:tc>
      </w:tr>
      <w:tr w:rsidR="006D7A4B" w14:paraId="7EBA1B60" w14:textId="77777777" w:rsidTr="00A9140F">
        <w:trPr>
          <w:trHeight w:val="360"/>
        </w:trPr>
        <w:tc>
          <w:tcPr>
            <w:tcW w:w="2896" w:type="dxa"/>
            <w:tcMar>
              <w:top w:w="100" w:type="dxa"/>
              <w:left w:w="0" w:type="dxa"/>
              <w:bottom w:w="100" w:type="dxa"/>
              <w:right w:w="60" w:type="dxa"/>
            </w:tcMar>
          </w:tcPr>
          <w:p w14:paraId="3BDC295A" w14:textId="77777777" w:rsidR="006D7A4B" w:rsidRDefault="006D7A4B" w:rsidP="00A9140F">
            <w:pPr>
              <w:pStyle w:val="AnnexNumberedText"/>
            </w:pPr>
            <w:r>
              <w:t>6)</w:t>
            </w:r>
            <w:r>
              <w:tab/>
              <w:t>Vernd og endurheimt líffræðilegrar fjölbreytni og vistkerfa</w:t>
            </w:r>
          </w:p>
        </w:tc>
        <w:tc>
          <w:tcPr>
            <w:tcW w:w="5844" w:type="dxa"/>
            <w:tcMar>
              <w:top w:w="100" w:type="dxa"/>
              <w:left w:w="40" w:type="dxa"/>
              <w:bottom w:w="100" w:type="dxa"/>
              <w:right w:w="0" w:type="dxa"/>
            </w:tcMar>
          </w:tcPr>
          <w:p w14:paraId="082B431B" w14:textId="77777777" w:rsidR="006D7A4B" w:rsidRDefault="006D7A4B" w:rsidP="00A9140F">
            <w:pPr>
              <w:pStyle w:val="AnnexTableCellLeft"/>
            </w:pPr>
            <w:r>
              <w:t>Starfsemin er í samræmi við viðmiðanirnar sem settar eru fram í viðbæti D við þennan viðauka.</w:t>
            </w:r>
          </w:p>
        </w:tc>
      </w:tr>
    </w:tbl>
    <w:p w14:paraId="44B93766" w14:textId="77777777" w:rsidR="006D7A4B" w:rsidRDefault="006D7A4B" w:rsidP="006D7A4B">
      <w:pPr>
        <w:pStyle w:val="AnnexNumberedText"/>
        <w:spacing w:before="200" w:after="200"/>
        <w:ind w:left="500" w:hanging="500"/>
      </w:pPr>
      <w:r>
        <w:t>4.2.</w:t>
      </w:r>
      <w:r>
        <w:rPr>
          <w:b/>
        </w:rPr>
        <w:tab/>
        <w:t>Raforkuframleiðsla með notkun þjappaðrar sólarorkutækni (CSP)</w:t>
      </w:r>
    </w:p>
    <w:p w14:paraId="108F11E9" w14:textId="77777777" w:rsidR="006D7A4B" w:rsidRDefault="006D7A4B" w:rsidP="006D7A4B">
      <w:pPr>
        <w:pStyle w:val="AnnexGrSeq3"/>
        <w:ind w:left="500"/>
        <w:jc w:val="both"/>
      </w:pPr>
      <w:r>
        <w:rPr>
          <w:i/>
        </w:rPr>
        <w:t>Lýsing á starfseminni</w:t>
      </w:r>
    </w:p>
    <w:p w14:paraId="5BAEC08E" w14:textId="77777777" w:rsidR="006D7A4B" w:rsidRDefault="006D7A4B" w:rsidP="006D7A4B">
      <w:pPr>
        <w:pStyle w:val="AnnexNormal"/>
        <w:ind w:left="500"/>
      </w:pPr>
      <w:r>
        <w:t>Bygging eða rekstur raforkuframleiðslustöðva sem framleiða raforku með notkun þjappaðrar sólarorkutækni (CSP).</w:t>
      </w:r>
    </w:p>
    <w:p w14:paraId="5A1DE82B" w14:textId="77777777" w:rsidR="006D7A4B" w:rsidRDefault="006D7A4B" w:rsidP="006D7A4B">
      <w:pPr>
        <w:pStyle w:val="AnnexNormal"/>
        <w:ind w:left="500"/>
      </w:pPr>
      <w:r>
        <w:t>Atvinnustarfsemin í þessum flokki gæti tengst nokkrum kóðum atvinnugreinaflokkunar Evrópusambandsins, einkum D35.11 og F42.22, í samræmi við atvinnugreinaflokkunina sem komið var á með reglugerð (EB) nr. 1893/2006.</w:t>
      </w:r>
    </w:p>
    <w:p w14:paraId="486098A1" w14:textId="77777777" w:rsidR="006D7A4B" w:rsidRDefault="006D7A4B" w:rsidP="006D7A4B">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3040"/>
        <w:gridCol w:w="5700"/>
      </w:tblGrid>
      <w:tr w:rsidR="006D7A4B" w14:paraId="028AFCFB"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3CCC3E9E" w14:textId="77777777" w:rsidR="006D7A4B" w:rsidRDefault="006D7A4B" w:rsidP="00A9140F">
            <w:pPr>
              <w:pStyle w:val="AnnexTableCellLeft"/>
            </w:pPr>
            <w:r>
              <w:t>Verulegt framlag til aðlögunar að loftslagsbreytingum</w:t>
            </w:r>
          </w:p>
        </w:tc>
      </w:tr>
      <w:tr w:rsidR="006D7A4B" w14:paraId="7193481E" w14:textId="77777777" w:rsidTr="00A9140F">
        <w:trPr>
          <w:trHeight w:val="360"/>
        </w:trPr>
        <w:tc>
          <w:tcPr>
            <w:tcW w:w="8740" w:type="dxa"/>
            <w:gridSpan w:val="2"/>
            <w:tcBorders>
              <w:bottom w:val="nil"/>
            </w:tcBorders>
            <w:tcMar>
              <w:top w:w="100" w:type="dxa"/>
              <w:left w:w="0" w:type="dxa"/>
              <w:bottom w:w="100" w:type="dxa"/>
              <w:right w:w="60" w:type="dxa"/>
            </w:tcMar>
          </w:tcPr>
          <w:p w14:paraId="2917EAE6" w14:textId="77777777" w:rsidR="006D7A4B" w:rsidRDefault="006D7A4B" w:rsidP="00A9140F">
            <w:pPr>
              <w:pStyle w:val="AnnexNumberedText"/>
              <w:tabs>
                <w:tab w:val="left" w:pos="508"/>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159B3880" w14:textId="77777777" w:rsidR="006D7A4B" w:rsidRDefault="006D7A4B" w:rsidP="00A9140F">
            <w:pPr>
              <w:pStyle w:val="AnnexNumberedText"/>
              <w:tabs>
                <w:tab w:val="left" w:pos="508"/>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ED340CA" w14:textId="77777777" w:rsidR="006D7A4B" w:rsidRDefault="006D7A4B"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096991BA" w14:textId="77777777" w:rsidR="006D7A4B" w:rsidRDefault="006D7A4B" w:rsidP="00A9140F">
            <w:pPr>
              <w:pStyle w:val="AnnexNumberedText"/>
              <w:spacing w:after="2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208484A" w14:textId="77777777" w:rsidR="006D7A4B" w:rsidRDefault="006D7A4B" w:rsidP="00A9140F">
            <w:pPr>
              <w:pStyle w:val="AnnexNumberedText"/>
              <w:spacing w:after="200"/>
            </w:pPr>
            <w:r>
              <w:t>c)</w:t>
            </w:r>
            <w:r>
              <w:tab/>
              <w:t>mat á aðlögunarlausnum sem geta dregið úr greindri efnislegri loftslagsáhættu.</w:t>
            </w:r>
          </w:p>
          <w:p w14:paraId="02CA0FCF" w14:textId="77777777" w:rsidR="006D7A4B" w:rsidRDefault="006D7A4B" w:rsidP="00A9140F">
            <w:pPr>
              <w:pStyle w:val="AnnexTableCellLeft"/>
              <w:spacing w:after="200"/>
            </w:pPr>
            <w:r>
              <w:t xml:space="preserve">Loftslagsáhættu- og veikleikamatið er í réttu hlutfalli við umfang starfseminnar og </w:t>
            </w:r>
            <w:proofErr w:type="spellStart"/>
            <w:r>
              <w:t>væntan</w:t>
            </w:r>
            <w:proofErr w:type="spellEnd"/>
            <w:r>
              <w:t xml:space="preserve"> líftíma hennar þannig að:</w:t>
            </w:r>
          </w:p>
          <w:p w14:paraId="1CCD3245" w14:textId="77777777" w:rsidR="006D7A4B" w:rsidRDefault="006D7A4B" w:rsidP="00A9140F">
            <w:pPr>
              <w:pStyle w:val="AnnexNumberedText"/>
              <w:spacing w:after="2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70E5225" w14:textId="77777777" w:rsidR="006D7A4B" w:rsidRDefault="006D7A4B" w:rsidP="00A9140F">
            <w:pPr>
              <w:pStyle w:val="AnnexNumberedText"/>
              <w:spacing w:after="20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8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B720E16" w14:textId="77777777" w:rsidR="006D7A4B" w:rsidRDefault="006D7A4B" w:rsidP="00A9140F">
            <w:pPr>
              <w:pStyle w:val="AnnexNumberedText"/>
              <w:tabs>
                <w:tab w:val="left" w:pos="508"/>
              </w:tabs>
              <w:spacing w:after="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90"/>
            </w:r>
            <w:r>
              <w:t>), vísindalegt ritrýnt útgefið efni og líkön með opnum aðgangi (</w:t>
            </w:r>
            <w:r>
              <w:rPr>
                <w:rStyle w:val="Tilvsunneanmlsgrein"/>
                <w:sz w:val="18"/>
              </w:rPr>
              <w:footnoteReference w:id="591"/>
            </w:r>
            <w:r>
              <w:t>) eða gegn greiðslu.</w:t>
            </w:r>
          </w:p>
        </w:tc>
      </w:tr>
      <w:tr w:rsidR="006D7A4B" w14:paraId="371887F9" w14:textId="77777777" w:rsidTr="00A9140F">
        <w:trPr>
          <w:trHeight w:val="360"/>
        </w:trPr>
        <w:tc>
          <w:tcPr>
            <w:tcW w:w="8740" w:type="dxa"/>
            <w:gridSpan w:val="2"/>
            <w:tcBorders>
              <w:top w:val="nil"/>
            </w:tcBorders>
            <w:tcMar>
              <w:top w:w="100" w:type="dxa"/>
              <w:left w:w="0" w:type="dxa"/>
              <w:bottom w:w="100" w:type="dxa"/>
              <w:right w:w="60" w:type="dxa"/>
            </w:tcMar>
          </w:tcPr>
          <w:p w14:paraId="3A4296D8" w14:textId="77777777" w:rsidR="006D7A4B" w:rsidRDefault="006D7A4B" w:rsidP="00A9140F">
            <w:pPr>
              <w:pStyle w:val="AnnexNumberedText"/>
              <w:pageBreakBefore/>
              <w:tabs>
                <w:tab w:val="left" w:pos="508"/>
              </w:tabs>
              <w:ind w:left="0" w:firstLine="0"/>
            </w:pPr>
            <w:r>
              <w:lastRenderedPageBreak/>
              <w:t>4.</w:t>
            </w:r>
            <w:r>
              <w:tab/>
              <w:t>Aðlögunarlausnir sem komið er í framkvæmd:</w:t>
            </w:r>
          </w:p>
          <w:p w14:paraId="27A19E55" w14:textId="77777777" w:rsidR="006D7A4B" w:rsidRDefault="006D7A4B" w:rsidP="00A9140F">
            <w:pPr>
              <w:pStyle w:val="AnnexNumberedText"/>
            </w:pPr>
            <w:r>
              <w:t>a)</w:t>
            </w:r>
            <w:r>
              <w:tab/>
              <w:t>hafa ekki neikvæð áhrif á viðleitni til aðlögunar eða viðnám annars fólks, náttúru, menningararfleifðar, eigna og annarrar atvinnustarfsemi gegn efnislegri loftslagsáhættu,</w:t>
            </w:r>
          </w:p>
          <w:p w14:paraId="7E43EFC0" w14:textId="77777777" w:rsidR="006D7A4B" w:rsidRDefault="006D7A4B" w:rsidP="00A9140F">
            <w:pPr>
              <w:pStyle w:val="AnnexNumberedText"/>
            </w:pPr>
            <w:r>
              <w:t>b)</w:t>
            </w:r>
            <w:r>
              <w:tab/>
              <w:t>eru með náttúrumiðaðar lausnir (</w:t>
            </w:r>
            <w:r>
              <w:rPr>
                <w:rStyle w:val="Tilvsunneanmlsgrein"/>
                <w:sz w:val="18"/>
              </w:rPr>
              <w:footnoteReference w:id="592"/>
            </w:r>
            <w:r>
              <w:t>) í forgangi eða treyst er á bláa eða græna innviði (</w:t>
            </w:r>
            <w:r>
              <w:rPr>
                <w:rStyle w:val="Tilvsunneanmlsgrein"/>
                <w:sz w:val="18"/>
              </w:rPr>
              <w:footnoteReference w:id="593"/>
            </w:r>
            <w:r>
              <w:t>) að því marki sem mögulegt er,</w:t>
            </w:r>
          </w:p>
          <w:p w14:paraId="0F51A6E4" w14:textId="77777777" w:rsidR="006D7A4B" w:rsidRDefault="006D7A4B" w:rsidP="00A9140F">
            <w:pPr>
              <w:pStyle w:val="AnnexNumberedText"/>
            </w:pPr>
            <w:r>
              <w:t>c)</w:t>
            </w:r>
            <w:r>
              <w:tab/>
              <w:t>eru í samræmi við staðbundnar, geirabundnar, svæðisbundnar eða landsbundnar aðlögunarstefnur og -áætlanir,</w:t>
            </w:r>
          </w:p>
          <w:p w14:paraId="4A7C4255" w14:textId="77777777" w:rsidR="006D7A4B" w:rsidRDefault="006D7A4B" w:rsidP="00A9140F">
            <w:pPr>
              <w:pStyle w:val="AnnexNumberedText"/>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C0997FD" w14:textId="77777777" w:rsidR="006D7A4B" w:rsidRDefault="006D7A4B"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2FF32DE" w14:textId="77777777" w:rsidTr="00A9140F">
        <w:trPr>
          <w:trHeight w:val="240"/>
        </w:trPr>
        <w:tc>
          <w:tcPr>
            <w:tcW w:w="8740" w:type="dxa"/>
            <w:gridSpan w:val="2"/>
            <w:tcMar>
              <w:top w:w="100" w:type="dxa"/>
              <w:left w:w="0" w:type="dxa"/>
              <w:bottom w:w="100" w:type="dxa"/>
              <w:right w:w="60" w:type="dxa"/>
            </w:tcMar>
          </w:tcPr>
          <w:p w14:paraId="432524BD" w14:textId="77777777" w:rsidR="006D7A4B" w:rsidRDefault="006D7A4B" w:rsidP="00A9140F">
            <w:pPr>
              <w:pStyle w:val="AnnexTableCellLeft"/>
            </w:pPr>
            <w:r>
              <w:t>Ekki valda umtalsverðu tjóni</w:t>
            </w:r>
          </w:p>
        </w:tc>
      </w:tr>
      <w:tr w:rsidR="006D7A4B" w14:paraId="20CC9034" w14:textId="77777777" w:rsidTr="00A9140F">
        <w:trPr>
          <w:trHeight w:val="360"/>
        </w:trPr>
        <w:tc>
          <w:tcPr>
            <w:tcW w:w="3040" w:type="dxa"/>
            <w:tcMar>
              <w:top w:w="100" w:type="dxa"/>
              <w:left w:w="0" w:type="dxa"/>
              <w:bottom w:w="100" w:type="dxa"/>
              <w:right w:w="60" w:type="dxa"/>
            </w:tcMar>
          </w:tcPr>
          <w:p w14:paraId="134F17B6" w14:textId="77777777" w:rsidR="006D7A4B" w:rsidRDefault="006D7A4B" w:rsidP="00A9140F">
            <w:pPr>
              <w:pStyle w:val="AnnexNumberedText"/>
              <w:ind w:left="293" w:hanging="293"/>
            </w:pPr>
            <w:r>
              <w:t>1)</w:t>
            </w:r>
            <w:r>
              <w:tab/>
              <w:t>Mildun loftslagsbreytinga</w:t>
            </w:r>
          </w:p>
        </w:tc>
        <w:tc>
          <w:tcPr>
            <w:tcW w:w="5700" w:type="dxa"/>
            <w:tcMar>
              <w:top w:w="100" w:type="dxa"/>
              <w:left w:w="40" w:type="dxa"/>
              <w:bottom w:w="100" w:type="dxa"/>
              <w:right w:w="0" w:type="dxa"/>
            </w:tcMar>
          </w:tcPr>
          <w:p w14:paraId="5C4D6946" w14:textId="77777777" w:rsidR="006D7A4B" w:rsidRDefault="006D7A4B" w:rsidP="00A9140F">
            <w:pPr>
              <w:pStyle w:val="AnnexTableCellLeft"/>
            </w:pPr>
            <w:r>
              <w:t>Á ekki við</w:t>
            </w:r>
          </w:p>
        </w:tc>
      </w:tr>
      <w:tr w:rsidR="006D7A4B" w14:paraId="516BE6E2" w14:textId="77777777" w:rsidTr="00A9140F">
        <w:trPr>
          <w:trHeight w:val="360"/>
        </w:trPr>
        <w:tc>
          <w:tcPr>
            <w:tcW w:w="3040" w:type="dxa"/>
            <w:tcMar>
              <w:top w:w="100" w:type="dxa"/>
              <w:left w:w="0" w:type="dxa"/>
              <w:bottom w:w="100" w:type="dxa"/>
              <w:right w:w="60" w:type="dxa"/>
            </w:tcMar>
          </w:tcPr>
          <w:p w14:paraId="62C4D256" w14:textId="77777777" w:rsidR="006D7A4B" w:rsidRDefault="006D7A4B" w:rsidP="00A9140F">
            <w:pPr>
              <w:pStyle w:val="AnnexNumberedText"/>
              <w:ind w:left="293" w:hanging="293"/>
            </w:pPr>
            <w:r>
              <w:t>3)</w:t>
            </w:r>
            <w:r>
              <w:tab/>
              <w:t>Sjálfbær notkun og verndun vatns- og sjávarauðlinda</w:t>
            </w:r>
          </w:p>
        </w:tc>
        <w:tc>
          <w:tcPr>
            <w:tcW w:w="5700" w:type="dxa"/>
            <w:tcMar>
              <w:top w:w="100" w:type="dxa"/>
              <w:left w:w="40" w:type="dxa"/>
              <w:bottom w:w="100" w:type="dxa"/>
              <w:right w:w="0" w:type="dxa"/>
            </w:tcMar>
          </w:tcPr>
          <w:p w14:paraId="33C616F8" w14:textId="77777777" w:rsidR="006D7A4B" w:rsidRDefault="006D7A4B" w:rsidP="00A9140F">
            <w:pPr>
              <w:pStyle w:val="AnnexTableCellLeft"/>
            </w:pPr>
            <w:r>
              <w:t>Starfsemin er í samræmi við viðmiðanirnar sem settar eru fram í viðbæti B við þennan viðauka.</w:t>
            </w:r>
          </w:p>
        </w:tc>
      </w:tr>
      <w:tr w:rsidR="006D7A4B" w14:paraId="742BE411" w14:textId="77777777" w:rsidTr="00A9140F">
        <w:trPr>
          <w:trHeight w:val="360"/>
        </w:trPr>
        <w:tc>
          <w:tcPr>
            <w:tcW w:w="3040" w:type="dxa"/>
            <w:tcMar>
              <w:top w:w="100" w:type="dxa"/>
              <w:left w:w="0" w:type="dxa"/>
              <w:bottom w:w="100" w:type="dxa"/>
              <w:right w:w="60" w:type="dxa"/>
            </w:tcMar>
          </w:tcPr>
          <w:p w14:paraId="33854E2F" w14:textId="77777777" w:rsidR="006D7A4B" w:rsidRDefault="006D7A4B" w:rsidP="00A9140F">
            <w:pPr>
              <w:pStyle w:val="AnnexNumberedText"/>
              <w:ind w:left="293" w:hanging="293"/>
            </w:pPr>
            <w:r>
              <w:t>4)</w:t>
            </w:r>
            <w:r>
              <w:tab/>
              <w:t>Umskipti yfir í hringrásarhagkerfi</w:t>
            </w:r>
          </w:p>
        </w:tc>
        <w:tc>
          <w:tcPr>
            <w:tcW w:w="5700" w:type="dxa"/>
            <w:tcMar>
              <w:top w:w="100" w:type="dxa"/>
              <w:left w:w="40" w:type="dxa"/>
              <w:bottom w:w="100" w:type="dxa"/>
              <w:right w:w="0" w:type="dxa"/>
            </w:tcMar>
          </w:tcPr>
          <w:p w14:paraId="1C153200" w14:textId="77777777" w:rsidR="006D7A4B" w:rsidRDefault="006D7A4B"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45DF3091" w14:textId="77777777" w:rsidTr="00A9140F">
        <w:trPr>
          <w:trHeight w:val="360"/>
        </w:trPr>
        <w:tc>
          <w:tcPr>
            <w:tcW w:w="3040" w:type="dxa"/>
            <w:tcMar>
              <w:top w:w="100" w:type="dxa"/>
              <w:left w:w="0" w:type="dxa"/>
              <w:bottom w:w="100" w:type="dxa"/>
              <w:right w:w="60" w:type="dxa"/>
            </w:tcMar>
          </w:tcPr>
          <w:p w14:paraId="52D9579C" w14:textId="77777777" w:rsidR="006D7A4B" w:rsidRDefault="006D7A4B" w:rsidP="00A9140F">
            <w:pPr>
              <w:pStyle w:val="AnnexNumberedText"/>
              <w:ind w:left="293" w:hanging="293"/>
            </w:pPr>
            <w:r>
              <w:t>5)</w:t>
            </w:r>
            <w:r>
              <w:tab/>
              <w:t>Mengunarvarnir og eftirlit með mengun</w:t>
            </w:r>
          </w:p>
        </w:tc>
        <w:tc>
          <w:tcPr>
            <w:tcW w:w="5700" w:type="dxa"/>
            <w:tcMar>
              <w:top w:w="100" w:type="dxa"/>
              <w:left w:w="40" w:type="dxa"/>
              <w:bottom w:w="100" w:type="dxa"/>
              <w:right w:w="0" w:type="dxa"/>
            </w:tcMar>
          </w:tcPr>
          <w:p w14:paraId="7702EA30" w14:textId="77777777" w:rsidR="006D7A4B" w:rsidRDefault="006D7A4B" w:rsidP="00A9140F">
            <w:pPr>
              <w:pStyle w:val="AnnexTableCellLeft"/>
            </w:pPr>
            <w:r>
              <w:t>Á ekki við</w:t>
            </w:r>
          </w:p>
        </w:tc>
      </w:tr>
      <w:tr w:rsidR="006D7A4B" w14:paraId="29615946" w14:textId="77777777" w:rsidTr="00A9140F">
        <w:trPr>
          <w:trHeight w:val="360"/>
        </w:trPr>
        <w:tc>
          <w:tcPr>
            <w:tcW w:w="3040" w:type="dxa"/>
            <w:tcMar>
              <w:top w:w="100" w:type="dxa"/>
              <w:left w:w="0" w:type="dxa"/>
              <w:bottom w:w="100" w:type="dxa"/>
              <w:right w:w="60" w:type="dxa"/>
            </w:tcMar>
          </w:tcPr>
          <w:p w14:paraId="1E5711B4" w14:textId="77777777" w:rsidR="006D7A4B" w:rsidRDefault="006D7A4B" w:rsidP="00A9140F">
            <w:pPr>
              <w:pStyle w:val="AnnexNumberedText"/>
              <w:ind w:left="293" w:hanging="293"/>
            </w:pPr>
            <w:r>
              <w:t>6)</w:t>
            </w:r>
            <w:r>
              <w:tab/>
              <w:t>Vernd og endurheimt líffræðilegrar fjölbreytni og vistkerfa</w:t>
            </w:r>
          </w:p>
        </w:tc>
        <w:tc>
          <w:tcPr>
            <w:tcW w:w="5700" w:type="dxa"/>
            <w:tcMar>
              <w:top w:w="100" w:type="dxa"/>
              <w:left w:w="40" w:type="dxa"/>
              <w:bottom w:w="100" w:type="dxa"/>
              <w:right w:w="0" w:type="dxa"/>
            </w:tcMar>
          </w:tcPr>
          <w:p w14:paraId="0D4EF6DE" w14:textId="77777777" w:rsidR="006D7A4B" w:rsidRDefault="006D7A4B" w:rsidP="00A9140F">
            <w:pPr>
              <w:pStyle w:val="AnnexTableCellLeft"/>
            </w:pPr>
            <w:r>
              <w:t>Starfsemin er í samræmi við viðmiðanirnar sem settar eru fram í viðbæti D við þennan viðauka.</w:t>
            </w:r>
          </w:p>
        </w:tc>
      </w:tr>
    </w:tbl>
    <w:p w14:paraId="16AA95DE" w14:textId="77777777" w:rsidR="006D7A4B" w:rsidRDefault="006D7A4B" w:rsidP="006D7A4B">
      <w:pPr>
        <w:pStyle w:val="AnnexNumberedText"/>
        <w:spacing w:before="200" w:after="280"/>
        <w:ind w:left="500" w:hanging="500"/>
      </w:pPr>
      <w:r>
        <w:t>4.3.</w:t>
      </w:r>
      <w:r>
        <w:rPr>
          <w:b/>
        </w:rPr>
        <w:tab/>
        <w:t>Raforkuframleiðsla úr vindorku</w:t>
      </w:r>
    </w:p>
    <w:p w14:paraId="29442B69" w14:textId="77777777" w:rsidR="006D7A4B" w:rsidRDefault="006D7A4B" w:rsidP="006D7A4B">
      <w:pPr>
        <w:pStyle w:val="AnnexGrSeq3"/>
        <w:spacing w:after="280"/>
        <w:ind w:left="500"/>
        <w:jc w:val="both"/>
      </w:pPr>
      <w:r>
        <w:rPr>
          <w:i/>
        </w:rPr>
        <w:t>Lýsing á starfseminni</w:t>
      </w:r>
    </w:p>
    <w:p w14:paraId="374212BE" w14:textId="77777777" w:rsidR="006D7A4B" w:rsidRDefault="006D7A4B" w:rsidP="006D7A4B">
      <w:pPr>
        <w:pStyle w:val="AnnexNormal"/>
        <w:spacing w:after="280"/>
        <w:ind w:left="500"/>
      </w:pPr>
      <w:r>
        <w:t>Bygging eða rekstur raforkuframleiðslustöðva sem framleiða raforku úr vindorku.</w:t>
      </w:r>
    </w:p>
    <w:p w14:paraId="7CD5D451" w14:textId="77777777" w:rsidR="006D7A4B" w:rsidRDefault="006D7A4B" w:rsidP="006D7A4B">
      <w:pPr>
        <w:pStyle w:val="AnnexNormal"/>
        <w:spacing w:after="280"/>
        <w:ind w:left="500"/>
      </w:pPr>
      <w:r>
        <w:t>Ef atvinnustarfsemi er óaðskiljanlegur hluti af „Uppsetning, viðhald og viðgerðir á tækni á sviði endurnýjanlegrar orku“, eins og um getur í þætti 7.6 í þessum viðauka, gilda tæknilegu matsviðmiðin sem tilgreind eru í þætti 7.6.</w:t>
      </w:r>
    </w:p>
    <w:p w14:paraId="323F2AB4" w14:textId="77777777" w:rsidR="006D7A4B" w:rsidRDefault="006D7A4B" w:rsidP="006D7A4B">
      <w:pPr>
        <w:pStyle w:val="AnnexNormal"/>
        <w:spacing w:after="280"/>
        <w:ind w:left="500"/>
      </w:pPr>
      <w:r>
        <w:t>Atvinnustarfsemin í þessum flokki gæti tengst nokkrum kóðum atvinnugreinaflokkunar Evrópusambandsins, einkum D35.11 og F42.22, í samræmi við atvinnugreinaflokkunina sem komið var á með reglugerð (EB) nr. 1893/2006.</w:t>
      </w:r>
    </w:p>
    <w:p w14:paraId="3C55F7DC" w14:textId="77777777" w:rsidR="006D7A4B" w:rsidRDefault="006D7A4B" w:rsidP="006D7A4B">
      <w:pPr>
        <w:pStyle w:val="AnnexGrSeq3"/>
        <w:spacing w:after="280"/>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968"/>
        <w:gridCol w:w="5772"/>
      </w:tblGrid>
      <w:tr w:rsidR="006D7A4B" w14:paraId="654AA20E"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49127CCD" w14:textId="77777777" w:rsidR="006D7A4B" w:rsidRDefault="006D7A4B" w:rsidP="00A9140F">
            <w:pPr>
              <w:pStyle w:val="AnnexTableCellLeft"/>
            </w:pPr>
            <w:r>
              <w:t>Verulegt framlag til aðlögunar að loftslagsbreytingum</w:t>
            </w:r>
          </w:p>
        </w:tc>
      </w:tr>
      <w:tr w:rsidR="006D7A4B" w14:paraId="2BBC9839" w14:textId="77777777" w:rsidTr="00A9140F">
        <w:trPr>
          <w:trHeight w:val="360"/>
        </w:trPr>
        <w:tc>
          <w:tcPr>
            <w:tcW w:w="8740" w:type="dxa"/>
            <w:gridSpan w:val="2"/>
            <w:tcBorders>
              <w:bottom w:val="nil"/>
            </w:tcBorders>
            <w:tcMar>
              <w:top w:w="100" w:type="dxa"/>
              <w:left w:w="0" w:type="dxa"/>
              <w:bottom w:w="100" w:type="dxa"/>
              <w:right w:w="60" w:type="dxa"/>
            </w:tcMar>
          </w:tcPr>
          <w:p w14:paraId="7B37EE44" w14:textId="77777777" w:rsidR="006D7A4B" w:rsidRDefault="006D7A4B" w:rsidP="00A9140F">
            <w:pPr>
              <w:pStyle w:val="AnnexNumberedText"/>
              <w:spacing w:after="0"/>
              <w:ind w:left="279" w:hanging="279"/>
            </w:pPr>
            <w:r>
              <w:lastRenderedPageBreak/>
              <w:t>1.</w:t>
            </w:r>
            <w:r>
              <w:tab/>
              <w:t>Í starfseminni hefur verið komið í framkvæmd efnislegum og óefnislegum lausnum („aðlögunarlausnum“) sem draga verulega úr helstu efnislegu loftslagsáhættunum sem hafa mikla þýðingu fyrir þessa starfsemi.</w:t>
            </w:r>
          </w:p>
        </w:tc>
      </w:tr>
      <w:tr w:rsidR="006D7A4B" w14:paraId="0139C496" w14:textId="77777777" w:rsidTr="00A9140F">
        <w:trPr>
          <w:trHeight w:val="360"/>
        </w:trPr>
        <w:tc>
          <w:tcPr>
            <w:tcW w:w="8740" w:type="dxa"/>
            <w:gridSpan w:val="2"/>
            <w:tcBorders>
              <w:top w:val="nil"/>
              <w:bottom w:val="nil"/>
            </w:tcBorders>
            <w:tcMar>
              <w:top w:w="100" w:type="dxa"/>
              <w:left w:w="0" w:type="dxa"/>
              <w:bottom w:w="100" w:type="dxa"/>
              <w:right w:w="60" w:type="dxa"/>
            </w:tcMar>
          </w:tcPr>
          <w:p w14:paraId="7D287D5F" w14:textId="77777777" w:rsidR="006D7A4B" w:rsidRDefault="006D7A4B" w:rsidP="00A9140F">
            <w:pPr>
              <w:pStyle w:val="AnnexNumberedText"/>
              <w:pageBreakBefore/>
              <w:tabs>
                <w:tab w:val="left" w:pos="508"/>
              </w:tabs>
              <w:spacing w:after="300"/>
              <w:ind w:left="0" w:firstLine="0"/>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55EAE55" w14:textId="77777777" w:rsidR="006D7A4B" w:rsidRDefault="006D7A4B" w:rsidP="00A9140F">
            <w:pPr>
              <w:pStyle w:val="AnnexNumberedText"/>
              <w:spacing w:after="300"/>
            </w:pPr>
            <w:r>
              <w:t>a)</w:t>
            </w:r>
            <w:r>
              <w:tab/>
              <w:t>skimun á starfseminni til að greina hvaða efnislega loftslagsáhætta úr skránni í viðbæti A við þennan viðauka getur haft áhrif á árangurinn af atvinnustarfseminni á væntum líftíma hennar,</w:t>
            </w:r>
          </w:p>
          <w:p w14:paraId="6C52C06D" w14:textId="77777777" w:rsidR="006D7A4B" w:rsidRDefault="006D7A4B" w:rsidP="00A9140F">
            <w:pPr>
              <w:pStyle w:val="AnnexNumberedText"/>
              <w:spacing w:after="3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DAD15BA" w14:textId="77777777" w:rsidR="006D7A4B" w:rsidRDefault="006D7A4B" w:rsidP="00A9140F">
            <w:pPr>
              <w:pStyle w:val="AnnexNumberedText"/>
              <w:spacing w:after="300"/>
            </w:pPr>
            <w:r>
              <w:t>c)</w:t>
            </w:r>
            <w:r>
              <w:tab/>
              <w:t>mat á aðlögunarlausnum sem geta dregið úr greindri efnislegri loftslagsáhættu.</w:t>
            </w:r>
          </w:p>
          <w:p w14:paraId="34274B6D" w14:textId="77777777" w:rsidR="006D7A4B" w:rsidRDefault="006D7A4B" w:rsidP="00A9140F">
            <w:pPr>
              <w:pStyle w:val="AnnexTableCellLeft"/>
              <w:spacing w:after="300"/>
            </w:pPr>
            <w:r>
              <w:t xml:space="preserve">Loftslagsáhættu- og veikleikamatið er í réttu hlutfalli við umfang starfseminnar og </w:t>
            </w:r>
            <w:proofErr w:type="spellStart"/>
            <w:r>
              <w:t>væntan</w:t>
            </w:r>
            <w:proofErr w:type="spellEnd"/>
            <w:r>
              <w:t xml:space="preserve"> líftíma hennar þannig að:</w:t>
            </w:r>
          </w:p>
          <w:p w14:paraId="628559AE" w14:textId="77777777" w:rsidR="006D7A4B" w:rsidRDefault="006D7A4B" w:rsidP="00A9140F">
            <w:pPr>
              <w:pStyle w:val="AnnexNumberedText"/>
              <w:spacing w:after="3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0CE542F" w14:textId="77777777" w:rsidR="006D7A4B" w:rsidRDefault="006D7A4B" w:rsidP="00A9140F">
            <w:pPr>
              <w:pStyle w:val="AnnexNumberedText"/>
              <w:spacing w:after="30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59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6805F18" w14:textId="77777777" w:rsidR="006D7A4B" w:rsidRDefault="006D7A4B" w:rsidP="00A9140F">
            <w:pPr>
              <w:pStyle w:val="AnnexNumberedText"/>
              <w:tabs>
                <w:tab w:val="left" w:pos="508"/>
              </w:tabs>
              <w:spacing w:after="30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595"/>
            </w:r>
            <w:r>
              <w:t>), vísindalegt ritrýnt útgefið efni og líkön með opnum aðgangi (</w:t>
            </w:r>
            <w:r>
              <w:rPr>
                <w:rStyle w:val="Tilvsunneanmlsgrein"/>
                <w:sz w:val="18"/>
              </w:rPr>
              <w:footnoteReference w:id="596"/>
            </w:r>
            <w:r>
              <w:t>) eða gegn greiðslu.</w:t>
            </w:r>
          </w:p>
          <w:p w14:paraId="35CD1B9F" w14:textId="77777777" w:rsidR="006D7A4B" w:rsidRDefault="006D7A4B" w:rsidP="00A9140F">
            <w:pPr>
              <w:pStyle w:val="AnnexNumberedText"/>
              <w:tabs>
                <w:tab w:val="left" w:pos="508"/>
              </w:tabs>
              <w:spacing w:after="300"/>
              <w:ind w:left="0" w:firstLine="0"/>
            </w:pPr>
            <w:r>
              <w:t>4.</w:t>
            </w:r>
            <w:r>
              <w:tab/>
              <w:t>Aðlögunarlausnir sem komið er í framkvæmd:</w:t>
            </w:r>
          </w:p>
          <w:p w14:paraId="18A97F00" w14:textId="77777777" w:rsidR="006D7A4B" w:rsidRDefault="006D7A4B" w:rsidP="00A9140F">
            <w:pPr>
              <w:pStyle w:val="AnnexNumberedText"/>
              <w:spacing w:after="300"/>
            </w:pPr>
            <w:r>
              <w:t>a)</w:t>
            </w:r>
            <w:r>
              <w:tab/>
              <w:t>hafa ekki neikvæð áhrif á viðleitni til aðlögunar eða viðnám annars fólks, náttúru, menningararfleifðar, eigna og annarrar atvinnustarfsemi gegn efnislegri loftslagsáhættu,</w:t>
            </w:r>
          </w:p>
          <w:p w14:paraId="3979ED7B" w14:textId="77777777" w:rsidR="006D7A4B" w:rsidRDefault="006D7A4B" w:rsidP="00A9140F">
            <w:pPr>
              <w:pStyle w:val="AnnexNumberedText"/>
              <w:spacing w:after="300"/>
            </w:pPr>
            <w:r>
              <w:t>b)</w:t>
            </w:r>
            <w:r>
              <w:tab/>
              <w:t>eru með náttúrumiðaðar lausnir (</w:t>
            </w:r>
            <w:r>
              <w:rPr>
                <w:rStyle w:val="Tilvsunneanmlsgrein"/>
                <w:sz w:val="18"/>
              </w:rPr>
              <w:footnoteReference w:id="597"/>
            </w:r>
            <w:r>
              <w:t>) í forgangi eða treyst er á bláa eða græna innviði (</w:t>
            </w:r>
            <w:r>
              <w:rPr>
                <w:rStyle w:val="Tilvsunneanmlsgrein"/>
                <w:sz w:val="18"/>
              </w:rPr>
              <w:footnoteReference w:id="598"/>
            </w:r>
            <w:r>
              <w:t>) að því marki sem mögulegt er,</w:t>
            </w:r>
          </w:p>
          <w:p w14:paraId="1598504B" w14:textId="77777777" w:rsidR="006D7A4B" w:rsidRDefault="006D7A4B" w:rsidP="00A9140F">
            <w:pPr>
              <w:pStyle w:val="AnnexNumberedText"/>
              <w:spacing w:after="300"/>
            </w:pPr>
            <w:r>
              <w:t>c)</w:t>
            </w:r>
            <w:r>
              <w:tab/>
              <w:t>eru í samræmi við staðbundnar, geirabundnar, svæðisbundnar eða landsbundnar aðlögunarstefnur og -áætlanir,</w:t>
            </w:r>
          </w:p>
          <w:p w14:paraId="0F4D011A" w14:textId="77777777" w:rsidR="006D7A4B" w:rsidRDefault="006D7A4B"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82FEA3C" w14:textId="77777777" w:rsidR="006D7A4B" w:rsidRDefault="006D7A4B" w:rsidP="00A9140F">
            <w:pPr>
              <w:pStyle w:val="AnnexNumberedText"/>
              <w:spacing w:after="0"/>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6D7A4B" w14:paraId="06408995" w14:textId="77777777" w:rsidTr="00A9140F">
        <w:trPr>
          <w:trHeight w:val="240"/>
        </w:trPr>
        <w:tc>
          <w:tcPr>
            <w:tcW w:w="8740" w:type="dxa"/>
            <w:gridSpan w:val="2"/>
            <w:tcBorders>
              <w:top w:val="single" w:sz="4" w:space="0" w:color="auto"/>
            </w:tcBorders>
            <w:tcMar>
              <w:top w:w="100" w:type="dxa"/>
              <w:left w:w="0" w:type="dxa"/>
              <w:bottom w:w="100" w:type="dxa"/>
              <w:right w:w="60" w:type="dxa"/>
            </w:tcMar>
          </w:tcPr>
          <w:p w14:paraId="2037583B" w14:textId="77777777" w:rsidR="006D7A4B" w:rsidRDefault="006D7A4B" w:rsidP="00A9140F">
            <w:pPr>
              <w:pStyle w:val="AnnexTableCellLeft"/>
              <w:pageBreakBefore/>
            </w:pPr>
            <w:r>
              <w:lastRenderedPageBreak/>
              <w:t>Ekki valda umtalsverðu tjóni</w:t>
            </w:r>
          </w:p>
        </w:tc>
      </w:tr>
      <w:tr w:rsidR="006D7A4B" w14:paraId="72813273" w14:textId="77777777" w:rsidTr="00A9140F">
        <w:trPr>
          <w:trHeight w:val="360"/>
        </w:trPr>
        <w:tc>
          <w:tcPr>
            <w:tcW w:w="2968" w:type="dxa"/>
            <w:tcMar>
              <w:top w:w="100" w:type="dxa"/>
              <w:left w:w="0" w:type="dxa"/>
              <w:bottom w:w="100" w:type="dxa"/>
              <w:right w:w="60" w:type="dxa"/>
            </w:tcMar>
          </w:tcPr>
          <w:p w14:paraId="74EAD64E" w14:textId="77777777" w:rsidR="006D7A4B" w:rsidRDefault="006D7A4B" w:rsidP="00A9140F">
            <w:pPr>
              <w:pStyle w:val="AnnexNumberedText"/>
              <w:ind w:left="293" w:hanging="293"/>
            </w:pPr>
            <w:r>
              <w:t>1)</w:t>
            </w:r>
            <w:r>
              <w:tab/>
              <w:t>Mildun loftslagsbreytinga</w:t>
            </w:r>
          </w:p>
        </w:tc>
        <w:tc>
          <w:tcPr>
            <w:tcW w:w="5772" w:type="dxa"/>
            <w:tcMar>
              <w:top w:w="100" w:type="dxa"/>
              <w:left w:w="40" w:type="dxa"/>
              <w:bottom w:w="100" w:type="dxa"/>
              <w:right w:w="0" w:type="dxa"/>
            </w:tcMar>
          </w:tcPr>
          <w:p w14:paraId="702C673B" w14:textId="77777777" w:rsidR="006D7A4B" w:rsidRDefault="006D7A4B" w:rsidP="00A9140F">
            <w:pPr>
              <w:pStyle w:val="AnnexTableCellLeft"/>
            </w:pPr>
            <w:r>
              <w:t>Á ekki við</w:t>
            </w:r>
          </w:p>
        </w:tc>
      </w:tr>
      <w:tr w:rsidR="006D7A4B" w14:paraId="45017EBF" w14:textId="77777777" w:rsidTr="00A9140F">
        <w:trPr>
          <w:trHeight w:val="360"/>
        </w:trPr>
        <w:tc>
          <w:tcPr>
            <w:tcW w:w="2968" w:type="dxa"/>
            <w:tcMar>
              <w:top w:w="100" w:type="dxa"/>
              <w:left w:w="0" w:type="dxa"/>
              <w:bottom w:w="100" w:type="dxa"/>
              <w:right w:w="60" w:type="dxa"/>
            </w:tcMar>
          </w:tcPr>
          <w:p w14:paraId="617954E5" w14:textId="77777777" w:rsidR="006D7A4B" w:rsidRDefault="006D7A4B" w:rsidP="00A9140F">
            <w:pPr>
              <w:pStyle w:val="AnnexNumberedText"/>
              <w:ind w:left="293" w:hanging="293"/>
            </w:pPr>
            <w:r>
              <w:t>3)</w:t>
            </w:r>
            <w:r>
              <w:tab/>
              <w:t>Sjálfbær notkun og verndun vatns- og sjávarauðlinda</w:t>
            </w:r>
          </w:p>
        </w:tc>
        <w:tc>
          <w:tcPr>
            <w:tcW w:w="5772" w:type="dxa"/>
            <w:tcMar>
              <w:top w:w="100" w:type="dxa"/>
              <w:left w:w="40" w:type="dxa"/>
              <w:bottom w:w="100" w:type="dxa"/>
              <w:right w:w="0" w:type="dxa"/>
            </w:tcMar>
          </w:tcPr>
          <w:p w14:paraId="06BABD6C" w14:textId="77777777" w:rsidR="006D7A4B" w:rsidRDefault="006D7A4B" w:rsidP="00A9140F">
            <w:pPr>
              <w:pStyle w:val="AnnexTableCellLeft"/>
            </w:pPr>
            <w:r>
              <w:t>Ef um er að ræða byggingu fyrir vindorku á hafi úti hindrar starfsemin ekki að góð umhverfisleg staða náist, eins og sett er fram í tilskipun 2008/56/EB, sem kallar á að viðeigandi ráðstafanir séu gerðar til að koma í veg fyrir eða draga úr áhrifum í tengslum við lýsingu 11 í þeirri tilskipun (Hávaði/Orka), sem mælt er fyrir um í I. viðauka við þá tilskipun, og eins og sett er fram í ákvörðun (ESB) 2017/848 í tengslum við viðkomandi viðmiðanir og aðferðafræðilega staðla fyrir þá lýsingu.</w:t>
            </w:r>
          </w:p>
        </w:tc>
      </w:tr>
      <w:tr w:rsidR="006D7A4B" w14:paraId="58CAF313" w14:textId="77777777" w:rsidTr="00A9140F">
        <w:trPr>
          <w:trHeight w:val="360"/>
        </w:trPr>
        <w:tc>
          <w:tcPr>
            <w:tcW w:w="2968" w:type="dxa"/>
            <w:tcMar>
              <w:top w:w="100" w:type="dxa"/>
              <w:left w:w="0" w:type="dxa"/>
              <w:bottom w:w="100" w:type="dxa"/>
              <w:right w:w="60" w:type="dxa"/>
            </w:tcMar>
          </w:tcPr>
          <w:p w14:paraId="65684D29" w14:textId="77777777" w:rsidR="006D7A4B" w:rsidRDefault="006D7A4B" w:rsidP="00A9140F">
            <w:pPr>
              <w:pStyle w:val="AnnexNumberedText"/>
              <w:ind w:left="293" w:hanging="293"/>
            </w:pPr>
            <w:r>
              <w:t>4)</w:t>
            </w:r>
            <w:r>
              <w:tab/>
              <w:t>Umskipti yfir í hringrásarhagkerfi</w:t>
            </w:r>
          </w:p>
        </w:tc>
        <w:tc>
          <w:tcPr>
            <w:tcW w:w="5772" w:type="dxa"/>
            <w:tcMar>
              <w:top w:w="100" w:type="dxa"/>
              <w:left w:w="40" w:type="dxa"/>
              <w:bottom w:w="100" w:type="dxa"/>
              <w:right w:w="0" w:type="dxa"/>
            </w:tcMar>
          </w:tcPr>
          <w:p w14:paraId="6D650DAF" w14:textId="77777777" w:rsidR="006D7A4B" w:rsidRDefault="006D7A4B"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094C1C58" w14:textId="77777777" w:rsidTr="00A9140F">
        <w:trPr>
          <w:trHeight w:val="360"/>
        </w:trPr>
        <w:tc>
          <w:tcPr>
            <w:tcW w:w="2968" w:type="dxa"/>
            <w:tcMar>
              <w:top w:w="100" w:type="dxa"/>
              <w:left w:w="0" w:type="dxa"/>
              <w:bottom w:w="100" w:type="dxa"/>
              <w:right w:w="60" w:type="dxa"/>
            </w:tcMar>
          </w:tcPr>
          <w:p w14:paraId="7CDC0D85" w14:textId="77777777" w:rsidR="006D7A4B" w:rsidRDefault="006D7A4B" w:rsidP="00A9140F">
            <w:pPr>
              <w:pStyle w:val="AnnexNumberedText"/>
              <w:ind w:left="293" w:hanging="293"/>
            </w:pPr>
            <w:r>
              <w:t>5)</w:t>
            </w:r>
            <w:r>
              <w:tab/>
              <w:t>Mengunarvarnir og eftirlit með mengun</w:t>
            </w:r>
          </w:p>
        </w:tc>
        <w:tc>
          <w:tcPr>
            <w:tcW w:w="5772" w:type="dxa"/>
            <w:tcMar>
              <w:top w:w="100" w:type="dxa"/>
              <w:left w:w="40" w:type="dxa"/>
              <w:bottom w:w="100" w:type="dxa"/>
              <w:right w:w="0" w:type="dxa"/>
            </w:tcMar>
          </w:tcPr>
          <w:p w14:paraId="20FF9D8E" w14:textId="77777777" w:rsidR="006D7A4B" w:rsidRDefault="006D7A4B" w:rsidP="00A9140F">
            <w:pPr>
              <w:pStyle w:val="AnnexTableCellLeft"/>
            </w:pPr>
            <w:r>
              <w:t>Á ekki við</w:t>
            </w:r>
          </w:p>
        </w:tc>
      </w:tr>
      <w:tr w:rsidR="006D7A4B" w14:paraId="3A96A351" w14:textId="77777777" w:rsidTr="00A9140F">
        <w:trPr>
          <w:trHeight w:val="360"/>
        </w:trPr>
        <w:tc>
          <w:tcPr>
            <w:tcW w:w="2968" w:type="dxa"/>
            <w:tcMar>
              <w:top w:w="100" w:type="dxa"/>
              <w:left w:w="0" w:type="dxa"/>
              <w:bottom w:w="100" w:type="dxa"/>
              <w:right w:w="60" w:type="dxa"/>
            </w:tcMar>
          </w:tcPr>
          <w:p w14:paraId="47E80195" w14:textId="77777777" w:rsidR="006D7A4B" w:rsidRDefault="006D7A4B" w:rsidP="00A9140F">
            <w:pPr>
              <w:pStyle w:val="AnnexNumberedText"/>
              <w:ind w:left="293" w:hanging="293"/>
            </w:pPr>
            <w:r>
              <w:t>6)</w:t>
            </w:r>
            <w:r>
              <w:tab/>
              <w:t>Vernd og endurheimt líffræðilegrar fjölbreytni og vistkerfa</w:t>
            </w:r>
          </w:p>
        </w:tc>
        <w:tc>
          <w:tcPr>
            <w:tcW w:w="5772" w:type="dxa"/>
            <w:tcMar>
              <w:top w:w="100" w:type="dxa"/>
              <w:left w:w="40" w:type="dxa"/>
              <w:bottom w:w="100" w:type="dxa"/>
              <w:right w:w="0" w:type="dxa"/>
            </w:tcMar>
          </w:tcPr>
          <w:p w14:paraId="2A919203" w14:textId="77777777" w:rsidR="006D7A4B" w:rsidRDefault="006D7A4B" w:rsidP="00A9140F">
            <w:pPr>
              <w:pStyle w:val="AnnexTableCellLeft"/>
              <w:spacing w:after="240"/>
            </w:pPr>
            <w:r>
              <w:t>Starfsemin er í samræmi við viðmiðanirnar sem settar eru fram í viðbæti D við þennan viðauka. (</w:t>
            </w:r>
            <w:r>
              <w:rPr>
                <w:rStyle w:val="Tilvsunneanmlsgrein"/>
                <w:sz w:val="18"/>
              </w:rPr>
              <w:footnoteReference w:id="599"/>
            </w:r>
            <w:r>
              <w:t>).</w:t>
            </w:r>
          </w:p>
          <w:p w14:paraId="2D9B519C" w14:textId="77777777" w:rsidR="006D7A4B" w:rsidRDefault="006D7A4B" w:rsidP="00A9140F">
            <w:pPr>
              <w:pStyle w:val="AnnexTableCellLeft"/>
            </w:pPr>
            <w:r>
              <w:t>Ef um er að ræða vindorku á hafi úti hindrar starfsemin ekki að góð umhverfisleg staða náist, eins og sett er fram í tilskipun 2008/56/EB, sem kallar á að viðeigandi ráðstafanir séu gerðar til að koma í veg fyrir eða milda áhrif í tengslum við lýsingu 1 í þeirri tilskipun (líffræðileg fjölbreytni) og lýsingu 6 (heilleiki hafsbotns), sem mælt er fyrir um í I. viðauka við þá tilskipun, og eins og sett er fram í ákvörðun (ESB) 2017/848 í tengslum við viðkomandi viðmiðanir og aðferðafræðilega staðla fyrir þær lýsingar.</w:t>
            </w:r>
          </w:p>
        </w:tc>
      </w:tr>
    </w:tbl>
    <w:p w14:paraId="40042581" w14:textId="77777777" w:rsidR="006D7A4B" w:rsidRDefault="006D7A4B" w:rsidP="006D7A4B">
      <w:pPr>
        <w:pStyle w:val="AnnexNumberedText"/>
        <w:spacing w:before="200"/>
        <w:ind w:left="500" w:hanging="500"/>
      </w:pPr>
      <w:r>
        <w:t>4.4.</w:t>
      </w:r>
      <w:r>
        <w:rPr>
          <w:b/>
        </w:rPr>
        <w:tab/>
        <w:t>Raforkuframleiðsla úr sjávarorkutækni</w:t>
      </w:r>
    </w:p>
    <w:p w14:paraId="7A1F9FD9" w14:textId="77777777" w:rsidR="006D7A4B" w:rsidRDefault="006D7A4B" w:rsidP="006D7A4B">
      <w:pPr>
        <w:pStyle w:val="AnnexGrSeq3"/>
        <w:ind w:left="500"/>
        <w:jc w:val="both"/>
      </w:pPr>
      <w:r>
        <w:rPr>
          <w:i/>
        </w:rPr>
        <w:t>Lýsing á starfseminni</w:t>
      </w:r>
    </w:p>
    <w:p w14:paraId="2A444DCE" w14:textId="77777777" w:rsidR="006D7A4B" w:rsidRDefault="006D7A4B" w:rsidP="006D7A4B">
      <w:pPr>
        <w:pStyle w:val="AnnexNormal"/>
        <w:ind w:left="500"/>
      </w:pPr>
      <w:r>
        <w:t>Bygging eða rekstur raforkuframleiðslustöðva sem framleiða raforku úr sjávarorku.</w:t>
      </w:r>
    </w:p>
    <w:p w14:paraId="1969A8FC" w14:textId="77777777" w:rsidR="006D7A4B" w:rsidRDefault="006D7A4B" w:rsidP="006D7A4B">
      <w:pPr>
        <w:pStyle w:val="AnnexNormal"/>
        <w:ind w:left="500"/>
      </w:pPr>
      <w:r>
        <w:t>Atvinnustarfsemin í þessum flokki gæti tengst nokkrum kóðum atvinnugreinaflokkunar Evrópusambandsins, einkum D35.11 og F42.22, í samræmi við atvinnugreinaflokkunina sem komið var á með reglugerð (EB) nr. 1893/2006.</w:t>
      </w:r>
    </w:p>
    <w:p w14:paraId="05849A86" w14:textId="77777777" w:rsidR="006D7A4B" w:rsidRDefault="006D7A4B" w:rsidP="006D7A4B">
      <w:pPr>
        <w:pStyle w:val="AnnexGrSeq3"/>
        <w:ind w:left="500"/>
        <w:jc w:val="both"/>
      </w:pPr>
      <w:r>
        <w:rPr>
          <w:i/>
        </w:rPr>
        <w:t>Tæknileg matsviðmið</w:t>
      </w:r>
    </w:p>
    <w:tbl>
      <w:tblPr>
        <w:tblStyle w:val="EFTATable"/>
        <w:tblW w:w="8740" w:type="dxa"/>
        <w:tblInd w:w="500" w:type="dxa"/>
        <w:tblLayout w:type="fixed"/>
        <w:tblLook w:val="04A0" w:firstRow="1" w:lastRow="0" w:firstColumn="1" w:lastColumn="0" w:noHBand="0" w:noVBand="1"/>
      </w:tblPr>
      <w:tblGrid>
        <w:gridCol w:w="2896"/>
        <w:gridCol w:w="5844"/>
      </w:tblGrid>
      <w:tr w:rsidR="006D7A4B" w14:paraId="770F8475" w14:textId="77777777" w:rsidTr="00A9140F">
        <w:trPr>
          <w:trHeight w:val="240"/>
        </w:trPr>
        <w:tc>
          <w:tcPr>
            <w:tcW w:w="8740" w:type="dxa"/>
            <w:gridSpan w:val="2"/>
            <w:tcBorders>
              <w:bottom w:val="single" w:sz="4" w:space="0" w:color="auto"/>
            </w:tcBorders>
            <w:tcMar>
              <w:top w:w="100" w:type="dxa"/>
              <w:left w:w="0" w:type="dxa"/>
              <w:bottom w:w="100" w:type="dxa"/>
              <w:right w:w="60" w:type="dxa"/>
            </w:tcMar>
          </w:tcPr>
          <w:p w14:paraId="4B28CB63" w14:textId="77777777" w:rsidR="006D7A4B" w:rsidRDefault="006D7A4B" w:rsidP="00A9140F">
            <w:pPr>
              <w:pStyle w:val="AnnexTableCellLeft"/>
            </w:pPr>
            <w:r>
              <w:t>Verulegt framlag til aðlögunar að loftslagsbreytingum</w:t>
            </w:r>
          </w:p>
        </w:tc>
      </w:tr>
      <w:tr w:rsidR="006D7A4B" w14:paraId="0872DE3F" w14:textId="77777777" w:rsidTr="00A9140F">
        <w:trPr>
          <w:trHeight w:val="360"/>
        </w:trPr>
        <w:tc>
          <w:tcPr>
            <w:tcW w:w="8740" w:type="dxa"/>
            <w:gridSpan w:val="2"/>
            <w:tcBorders>
              <w:bottom w:val="nil"/>
            </w:tcBorders>
            <w:tcMar>
              <w:top w:w="100" w:type="dxa"/>
              <w:left w:w="0" w:type="dxa"/>
              <w:bottom w:w="100" w:type="dxa"/>
              <w:right w:w="60" w:type="dxa"/>
            </w:tcMar>
          </w:tcPr>
          <w:p w14:paraId="29596122" w14:textId="77777777" w:rsidR="006D7A4B" w:rsidRDefault="006D7A4B" w:rsidP="00A9140F">
            <w:pPr>
              <w:pStyle w:val="AnnexNumberedText"/>
              <w:tabs>
                <w:tab w:val="left" w:pos="508"/>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4F02D17" w14:textId="77777777" w:rsidR="006D7A4B" w:rsidRDefault="006D7A4B" w:rsidP="00A9140F">
            <w:pPr>
              <w:pStyle w:val="AnnexNumberedText"/>
              <w:tabs>
                <w:tab w:val="left" w:pos="508"/>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CFEC017" w14:textId="77777777" w:rsidR="006D7A4B" w:rsidRDefault="006D7A4B"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041C3269" w14:textId="77777777" w:rsidR="006D7A4B" w:rsidRDefault="006D7A4B" w:rsidP="00A9140F">
            <w:pPr>
              <w:pStyle w:val="AnnexNumberedText"/>
              <w:spacing w:after="240"/>
            </w:pPr>
            <w:r>
              <w:t>b)</w:t>
            </w:r>
            <w:r>
              <w:tab/>
              <w:t xml:space="preserve">ef metið er að starfsemin sé í áhættu vegna einnar eða fleiri efnislegrar loftslagsáhættu sem er skráð í viðbæti A við </w:t>
            </w:r>
            <w:r>
              <w:lastRenderedPageBreak/>
              <w:t>þennan viðauka, loftslagsáhættu- og veikleikamat til að meta hversu mikla þýðingu efnislega loftslagsáhættan hefur fyrir atvinnustarfsemina,</w:t>
            </w:r>
          </w:p>
          <w:p w14:paraId="48C6A9F4" w14:textId="77777777" w:rsidR="006D7A4B" w:rsidRDefault="006D7A4B" w:rsidP="00A9140F">
            <w:pPr>
              <w:pStyle w:val="AnnexNumberedText"/>
            </w:pPr>
            <w:r>
              <w:t>c)</w:t>
            </w:r>
            <w:r>
              <w:tab/>
              <w:t>mat á aðlögunarlausnum sem geta dregið úr greindri efnislegri loftslagsáhættu.</w:t>
            </w:r>
          </w:p>
        </w:tc>
      </w:tr>
      <w:tr w:rsidR="006D7A4B" w14:paraId="5A420F26" w14:textId="77777777" w:rsidTr="00A9140F">
        <w:trPr>
          <w:trHeight w:val="360"/>
        </w:trPr>
        <w:tc>
          <w:tcPr>
            <w:tcW w:w="8740" w:type="dxa"/>
            <w:gridSpan w:val="2"/>
            <w:tcBorders>
              <w:top w:val="nil"/>
            </w:tcBorders>
            <w:tcMar>
              <w:top w:w="100" w:type="dxa"/>
              <w:left w:w="0" w:type="dxa"/>
              <w:bottom w:w="100" w:type="dxa"/>
              <w:right w:w="60" w:type="dxa"/>
            </w:tcMar>
          </w:tcPr>
          <w:p w14:paraId="39C4B9E1" w14:textId="77777777" w:rsidR="006D7A4B" w:rsidRDefault="006D7A4B" w:rsidP="00A9140F">
            <w:pPr>
              <w:pStyle w:val="AnnexTableCellLeft"/>
              <w:pageBreakBefore/>
              <w:spacing w:after="320"/>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4B1BBFE9" w14:textId="77777777" w:rsidR="006D7A4B" w:rsidRDefault="006D7A4B" w:rsidP="00A9140F">
            <w:pPr>
              <w:pStyle w:val="AnnexNumberedText"/>
              <w:spacing w:after="32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29E18F4" w14:textId="77777777" w:rsidR="006D7A4B" w:rsidRDefault="006D7A4B" w:rsidP="00A9140F">
            <w:pPr>
              <w:pStyle w:val="AnnexNumberedText"/>
              <w:spacing w:after="320"/>
            </w:pPr>
            <w:r>
              <w:t>b)</w:t>
            </w:r>
            <w:r>
              <w:tab/>
              <w:t>mat á allri annarri starfsemi er framkvæmt með því að nota nýjasta loftslagsframreikninginn með mestu fáanlegu upplausninni þvert á fyrirliggjandi framtíðarsviðsmyndir (</w:t>
            </w:r>
            <w:r>
              <w:rPr>
                <w:rStyle w:val="Tilvsunneanmlsgrein"/>
                <w:sz w:val="18"/>
              </w:rPr>
              <w:footnoteReference w:id="60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62FEAD0" w14:textId="77777777" w:rsidR="006D7A4B" w:rsidRDefault="006D7A4B" w:rsidP="00A9140F">
            <w:pPr>
              <w:pStyle w:val="AnnexNumberedText"/>
              <w:tabs>
                <w:tab w:val="left" w:pos="508"/>
              </w:tabs>
              <w:spacing w:after="32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rPr>
              <w:footnoteReference w:id="601"/>
            </w:r>
            <w:r>
              <w:t>), vísindalegt ritrýnt útgefið efni og líkön með opnum aðgangi (</w:t>
            </w:r>
            <w:r>
              <w:rPr>
                <w:rStyle w:val="Tilvsunneanmlsgrein"/>
                <w:sz w:val="18"/>
              </w:rPr>
              <w:footnoteReference w:id="602"/>
            </w:r>
            <w:r>
              <w:t>) eða gegn greiðslu.</w:t>
            </w:r>
          </w:p>
          <w:p w14:paraId="774FDA72" w14:textId="77777777" w:rsidR="006D7A4B" w:rsidRDefault="006D7A4B" w:rsidP="00A9140F">
            <w:pPr>
              <w:pStyle w:val="AnnexNumberedText"/>
              <w:tabs>
                <w:tab w:val="left" w:pos="508"/>
              </w:tabs>
              <w:spacing w:after="320"/>
              <w:ind w:left="0" w:firstLine="0"/>
            </w:pPr>
            <w:r>
              <w:t>4.</w:t>
            </w:r>
            <w:r>
              <w:tab/>
              <w:t>Aðlögunarlausnir sem komið er í framkvæmd:</w:t>
            </w:r>
          </w:p>
          <w:p w14:paraId="4D7C30AE" w14:textId="77777777" w:rsidR="006D7A4B" w:rsidRDefault="006D7A4B" w:rsidP="00A9140F">
            <w:pPr>
              <w:pStyle w:val="AnnexNumberedText"/>
              <w:spacing w:after="320"/>
            </w:pPr>
            <w:r>
              <w:t>a)</w:t>
            </w:r>
            <w:r>
              <w:tab/>
              <w:t>hafa ekki neikvæð áhrif á viðleitni til aðlögunar eða viðnám annars fólks, náttúru, menningararfleifðar, eigna og annarrar atvinnustarfsemi gegn efnislegri loftslagsáhættu,</w:t>
            </w:r>
          </w:p>
          <w:p w14:paraId="306455B5" w14:textId="77777777" w:rsidR="006D7A4B" w:rsidRDefault="006D7A4B" w:rsidP="00A9140F">
            <w:pPr>
              <w:pStyle w:val="AnnexNumberedText"/>
              <w:spacing w:after="320"/>
            </w:pPr>
            <w:r>
              <w:t>b)</w:t>
            </w:r>
            <w:r>
              <w:tab/>
              <w:t>eru með náttúrumiðaðar lausnir (</w:t>
            </w:r>
            <w:r>
              <w:rPr>
                <w:rStyle w:val="Tilvsunneanmlsgrein"/>
                <w:sz w:val="18"/>
              </w:rPr>
              <w:footnoteReference w:id="603"/>
            </w:r>
            <w:r>
              <w:t>) í forgangi eða treyst er á bláa eða græna innviði (</w:t>
            </w:r>
            <w:r>
              <w:rPr>
                <w:rStyle w:val="Tilvsunneanmlsgrein"/>
                <w:sz w:val="18"/>
              </w:rPr>
              <w:footnoteReference w:id="604"/>
            </w:r>
            <w:r>
              <w:t>) að því marki sem mögulegt er,</w:t>
            </w:r>
          </w:p>
          <w:p w14:paraId="1438DA12" w14:textId="77777777" w:rsidR="006D7A4B" w:rsidRDefault="006D7A4B" w:rsidP="00A9140F">
            <w:pPr>
              <w:pStyle w:val="AnnexNumberedText"/>
              <w:spacing w:after="320"/>
            </w:pPr>
            <w:r>
              <w:t>c)</w:t>
            </w:r>
            <w:r>
              <w:tab/>
              <w:t>eru í samræmi við staðbundnar, geirabundnar, svæðisbundnar eða landsbundnar aðlögunarstefnur og -áætlanir,</w:t>
            </w:r>
          </w:p>
          <w:p w14:paraId="6412ABCB" w14:textId="77777777" w:rsidR="006D7A4B" w:rsidRDefault="006D7A4B" w:rsidP="00A9140F">
            <w:pPr>
              <w:pStyle w:val="AnnexNumberedText"/>
              <w:spacing w:after="32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B5580FC" w14:textId="77777777" w:rsidR="006D7A4B" w:rsidRDefault="006D7A4B" w:rsidP="00A9140F">
            <w:pPr>
              <w:pStyle w:val="AnnexNumberedText"/>
              <w:spacing w:after="32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70A1F62" w14:textId="77777777" w:rsidTr="00A9140F">
        <w:trPr>
          <w:trHeight w:val="240"/>
        </w:trPr>
        <w:tc>
          <w:tcPr>
            <w:tcW w:w="8740" w:type="dxa"/>
            <w:gridSpan w:val="2"/>
            <w:tcMar>
              <w:top w:w="100" w:type="dxa"/>
              <w:left w:w="0" w:type="dxa"/>
              <w:bottom w:w="100" w:type="dxa"/>
              <w:right w:w="60" w:type="dxa"/>
            </w:tcMar>
          </w:tcPr>
          <w:p w14:paraId="334C0936" w14:textId="77777777" w:rsidR="006D7A4B" w:rsidRDefault="006D7A4B" w:rsidP="00A9140F">
            <w:pPr>
              <w:pStyle w:val="AnnexTableCellLeft"/>
            </w:pPr>
            <w:r>
              <w:t>Ekki valda umtalsverðu tjóni</w:t>
            </w:r>
          </w:p>
        </w:tc>
      </w:tr>
      <w:tr w:rsidR="006D7A4B" w14:paraId="5A8A356F" w14:textId="77777777" w:rsidTr="00A9140F">
        <w:trPr>
          <w:trHeight w:val="360"/>
        </w:trPr>
        <w:tc>
          <w:tcPr>
            <w:tcW w:w="2896" w:type="dxa"/>
            <w:tcMar>
              <w:top w:w="100" w:type="dxa"/>
              <w:left w:w="0" w:type="dxa"/>
              <w:bottom w:w="100" w:type="dxa"/>
              <w:right w:w="60" w:type="dxa"/>
            </w:tcMar>
          </w:tcPr>
          <w:p w14:paraId="2A62A002" w14:textId="77777777" w:rsidR="006D7A4B" w:rsidRDefault="006D7A4B" w:rsidP="00A9140F">
            <w:pPr>
              <w:pStyle w:val="AnnexNumberedText"/>
              <w:ind w:left="293" w:hanging="293"/>
            </w:pPr>
            <w:r>
              <w:t>1)</w:t>
            </w:r>
            <w:r>
              <w:tab/>
              <w:t>Mildun loftslagsbreytinga</w:t>
            </w:r>
          </w:p>
        </w:tc>
        <w:tc>
          <w:tcPr>
            <w:tcW w:w="5844" w:type="dxa"/>
            <w:tcMar>
              <w:top w:w="100" w:type="dxa"/>
              <w:left w:w="40" w:type="dxa"/>
              <w:bottom w:w="100" w:type="dxa"/>
              <w:right w:w="0" w:type="dxa"/>
            </w:tcMar>
          </w:tcPr>
          <w:p w14:paraId="24A1496A" w14:textId="77777777" w:rsidR="006D7A4B" w:rsidRDefault="006D7A4B" w:rsidP="00A9140F">
            <w:pPr>
              <w:pStyle w:val="AnnexTableCellLeft"/>
            </w:pPr>
            <w:r>
              <w:t>Á ekki við</w:t>
            </w:r>
          </w:p>
        </w:tc>
      </w:tr>
      <w:tr w:rsidR="006D7A4B" w14:paraId="19E33A1B" w14:textId="77777777" w:rsidTr="00A9140F">
        <w:trPr>
          <w:trHeight w:val="360"/>
        </w:trPr>
        <w:tc>
          <w:tcPr>
            <w:tcW w:w="2896" w:type="dxa"/>
            <w:tcMar>
              <w:top w:w="100" w:type="dxa"/>
              <w:left w:w="0" w:type="dxa"/>
              <w:bottom w:w="100" w:type="dxa"/>
              <w:right w:w="60" w:type="dxa"/>
            </w:tcMar>
          </w:tcPr>
          <w:p w14:paraId="0330B992" w14:textId="77777777" w:rsidR="006D7A4B" w:rsidRDefault="006D7A4B" w:rsidP="00A9140F">
            <w:pPr>
              <w:pStyle w:val="AnnexNumberedText"/>
              <w:ind w:left="293" w:hanging="293"/>
            </w:pPr>
            <w:r>
              <w:t>3)</w:t>
            </w:r>
            <w:r>
              <w:tab/>
              <w:t>Sjálfbær notkun og verndun vatns- og sjávarauðlinda</w:t>
            </w:r>
          </w:p>
        </w:tc>
        <w:tc>
          <w:tcPr>
            <w:tcW w:w="5844" w:type="dxa"/>
            <w:tcMar>
              <w:top w:w="100" w:type="dxa"/>
              <w:left w:w="40" w:type="dxa"/>
              <w:bottom w:w="100" w:type="dxa"/>
              <w:right w:w="0" w:type="dxa"/>
            </w:tcMar>
          </w:tcPr>
          <w:p w14:paraId="7F4BCC22" w14:textId="77777777" w:rsidR="006D7A4B" w:rsidRDefault="006D7A4B" w:rsidP="00A9140F">
            <w:pPr>
              <w:pStyle w:val="AnnexTableCellLeft"/>
            </w:pPr>
            <w:r>
              <w:t>Starfsemin hindrar ekki að góð umhverfisleg staða náist, eins og sett er fram í tilskipun 2008/56/EB, sem kallar á að viðeigandi ráðstafanir séu gerðar til að koma í veg fyrir eða milda áhrif í tengslum við lýsingu 11 í þeirri tilskipun (Hávaði/Orka), sem mælt er fyrir um í I. viðauka við þá tilskipun, og eins og sett er fram í ákvörðun (ESB) 2017/848 í tengslum við viðkomandi viðmiðanir og aðferðafræðilega staðla fyrir þá lýsingu.</w:t>
            </w:r>
          </w:p>
        </w:tc>
      </w:tr>
      <w:tr w:rsidR="006D7A4B" w14:paraId="04365DD1" w14:textId="77777777" w:rsidTr="00A9140F">
        <w:trPr>
          <w:trHeight w:val="360"/>
        </w:trPr>
        <w:tc>
          <w:tcPr>
            <w:tcW w:w="2896" w:type="dxa"/>
            <w:tcMar>
              <w:top w:w="100" w:type="dxa"/>
              <w:left w:w="0" w:type="dxa"/>
              <w:bottom w:w="100" w:type="dxa"/>
              <w:right w:w="60" w:type="dxa"/>
            </w:tcMar>
          </w:tcPr>
          <w:p w14:paraId="3D38CAB1" w14:textId="77777777" w:rsidR="006D7A4B" w:rsidRDefault="006D7A4B" w:rsidP="00A9140F">
            <w:pPr>
              <w:pStyle w:val="AnnexNumberedText"/>
              <w:pageBreakBefore/>
              <w:ind w:left="293" w:hanging="293"/>
            </w:pPr>
            <w:r>
              <w:lastRenderedPageBreak/>
              <w:t>4)</w:t>
            </w:r>
            <w:r>
              <w:tab/>
              <w:t>Umskipti yfir í hringrásarhagkerfi</w:t>
            </w:r>
          </w:p>
        </w:tc>
        <w:tc>
          <w:tcPr>
            <w:tcW w:w="5844" w:type="dxa"/>
            <w:tcMar>
              <w:top w:w="100" w:type="dxa"/>
              <w:left w:w="40" w:type="dxa"/>
              <w:bottom w:w="100" w:type="dxa"/>
              <w:right w:w="0" w:type="dxa"/>
            </w:tcMar>
          </w:tcPr>
          <w:p w14:paraId="46C4BA92" w14:textId="77777777" w:rsidR="006D7A4B" w:rsidRDefault="006D7A4B"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2A1E51D2" w14:textId="77777777" w:rsidTr="00A9140F">
        <w:trPr>
          <w:trHeight w:val="360"/>
        </w:trPr>
        <w:tc>
          <w:tcPr>
            <w:tcW w:w="2896" w:type="dxa"/>
            <w:tcMar>
              <w:top w:w="100" w:type="dxa"/>
              <w:left w:w="0" w:type="dxa"/>
              <w:bottom w:w="100" w:type="dxa"/>
              <w:right w:w="60" w:type="dxa"/>
            </w:tcMar>
          </w:tcPr>
          <w:p w14:paraId="34B9C82F" w14:textId="77777777" w:rsidR="006D7A4B" w:rsidRDefault="006D7A4B" w:rsidP="00A9140F">
            <w:pPr>
              <w:pStyle w:val="AnnexNumberedText"/>
              <w:ind w:left="293" w:hanging="293"/>
            </w:pPr>
            <w:r>
              <w:t>5)</w:t>
            </w:r>
            <w:r>
              <w:tab/>
              <w:t>Mengunarvarnir og eftirlit með mengun</w:t>
            </w:r>
          </w:p>
        </w:tc>
        <w:tc>
          <w:tcPr>
            <w:tcW w:w="5844" w:type="dxa"/>
            <w:tcMar>
              <w:top w:w="100" w:type="dxa"/>
              <w:left w:w="40" w:type="dxa"/>
              <w:bottom w:w="100" w:type="dxa"/>
              <w:right w:w="0" w:type="dxa"/>
            </w:tcMar>
          </w:tcPr>
          <w:p w14:paraId="564181D3" w14:textId="77777777" w:rsidR="006D7A4B" w:rsidRDefault="006D7A4B" w:rsidP="00A9140F">
            <w:pPr>
              <w:pStyle w:val="AnnexTableCellLeft"/>
            </w:pPr>
            <w:r>
              <w:t xml:space="preserve">Ráðstafanir eru til staðar til að lágmarka eiturhrif frá gróðurhindrandi málningu og </w:t>
            </w:r>
            <w:proofErr w:type="spellStart"/>
            <w:r>
              <w:t>sæfiefnum</w:t>
            </w:r>
            <w:proofErr w:type="spellEnd"/>
            <w:r>
              <w:t xml:space="preserve">, eins og mælt er fyrir um í reglugerð (ESB) nr. 528/2012 þar sem </w:t>
            </w:r>
            <w:proofErr w:type="spellStart"/>
            <w:r>
              <w:t>alþjóðasamningnurinn</w:t>
            </w:r>
            <w:proofErr w:type="spellEnd"/>
            <w:r>
              <w:t xml:space="preserve"> um eftirlit með skaðlegum, gróðurhindrandi efnum og/eða búnaði á skipum, sem var samþykktur 5. október 2001, er tekinn upp í lög Sambandsins.</w:t>
            </w:r>
          </w:p>
        </w:tc>
      </w:tr>
      <w:tr w:rsidR="006D7A4B" w14:paraId="3174938F" w14:textId="77777777" w:rsidTr="00A9140F">
        <w:trPr>
          <w:trHeight w:val="360"/>
        </w:trPr>
        <w:tc>
          <w:tcPr>
            <w:tcW w:w="2896" w:type="dxa"/>
            <w:tcMar>
              <w:top w:w="100" w:type="dxa"/>
              <w:left w:w="0" w:type="dxa"/>
              <w:bottom w:w="100" w:type="dxa"/>
              <w:right w:w="60" w:type="dxa"/>
            </w:tcMar>
          </w:tcPr>
          <w:p w14:paraId="6835BAC8" w14:textId="77777777" w:rsidR="006D7A4B" w:rsidRDefault="006D7A4B" w:rsidP="00A9140F">
            <w:pPr>
              <w:pStyle w:val="AnnexNumberedText"/>
              <w:ind w:left="293" w:hanging="293"/>
            </w:pPr>
            <w:r>
              <w:t>6)</w:t>
            </w:r>
            <w:r>
              <w:tab/>
              <w:t>Vernd og endurheimt líffræðilegrar fjölbreytni og vistkerfa</w:t>
            </w:r>
          </w:p>
        </w:tc>
        <w:tc>
          <w:tcPr>
            <w:tcW w:w="5844" w:type="dxa"/>
            <w:tcMar>
              <w:top w:w="100" w:type="dxa"/>
              <w:left w:w="40" w:type="dxa"/>
              <w:bottom w:w="100" w:type="dxa"/>
              <w:right w:w="0" w:type="dxa"/>
            </w:tcMar>
          </w:tcPr>
          <w:p w14:paraId="704B6E29" w14:textId="77777777" w:rsidR="006D7A4B" w:rsidRDefault="006D7A4B" w:rsidP="00A9140F">
            <w:pPr>
              <w:pStyle w:val="AnnexTableCellLeft"/>
            </w:pPr>
            <w:r>
              <w:t>Starfsemin er í samræmi við viðmiðanirnar sem settar eru fram í viðbæti D við þennan viðauka.</w:t>
            </w:r>
          </w:p>
          <w:p w14:paraId="18CDFD21" w14:textId="77777777" w:rsidR="006D7A4B" w:rsidRDefault="006D7A4B" w:rsidP="00A9140F">
            <w:pPr>
              <w:pStyle w:val="AnnexTableCellLeft"/>
            </w:pPr>
            <w:r>
              <w:t>Starfsemin hindrar ekki að góð umhverfisleg staða náist, eins og sett er fram í tilskipun 2008/56/EB, sem kallar á að viðeigandi ráðstafanir séu gerðar til að koma í veg fyrir eða milda áhrif í tengslum við lýsingu 1 í þeirri tilskipun (líffræðileg fjölbreytni), sem mælt er fyrir um í I. viðauka við þá tilskipun, og eins og sett er fram í ákvörðun (ESB) 2017/848 í tengslum við viðkomandi viðmiðanir og aðferðafræðilega staðla fyrir þá lýsingu.</w:t>
            </w:r>
          </w:p>
        </w:tc>
      </w:tr>
    </w:tbl>
    <w:p w14:paraId="604DB41B" w14:textId="77777777" w:rsidR="006D7A4B" w:rsidRDefault="006D7A4B" w:rsidP="006D7A4B">
      <w:pPr>
        <w:pStyle w:val="AnnexNumberedText"/>
        <w:spacing w:before="200" w:after="200"/>
        <w:ind w:left="504" w:hanging="504"/>
        <w:rPr>
          <w:szCs w:val="18"/>
        </w:rPr>
      </w:pPr>
      <w:r>
        <w:t>4.5.</w:t>
      </w:r>
      <w:r>
        <w:rPr>
          <w:b/>
        </w:rPr>
        <w:tab/>
        <w:t>Raforkuframleiðsla úr vatnsorku</w:t>
      </w:r>
    </w:p>
    <w:p w14:paraId="200363E0" w14:textId="77777777" w:rsidR="006D7A4B" w:rsidRDefault="006D7A4B" w:rsidP="006D7A4B">
      <w:pPr>
        <w:pStyle w:val="AnnexGrSeq3"/>
        <w:spacing w:after="120"/>
        <w:ind w:left="504"/>
        <w:jc w:val="both"/>
        <w:rPr>
          <w:szCs w:val="18"/>
        </w:rPr>
      </w:pPr>
      <w:r>
        <w:rPr>
          <w:i/>
        </w:rPr>
        <w:t>Lýsing á starfseminni</w:t>
      </w:r>
    </w:p>
    <w:p w14:paraId="3D1B49B7" w14:textId="77777777" w:rsidR="006D7A4B" w:rsidRDefault="006D7A4B" w:rsidP="006D7A4B">
      <w:pPr>
        <w:pStyle w:val="AnnexNormal"/>
        <w:ind w:left="504"/>
        <w:rPr>
          <w:szCs w:val="18"/>
        </w:rPr>
      </w:pPr>
      <w:r>
        <w:t>Bygging eða rekstur raforkuframleiðslustöðva sem framleiða raforku úr vatnsorku.</w:t>
      </w:r>
    </w:p>
    <w:p w14:paraId="5AE7B3F1" w14:textId="77777777" w:rsidR="006D7A4B" w:rsidRDefault="006D7A4B" w:rsidP="006D7A4B">
      <w:pPr>
        <w:pStyle w:val="AnnexNormal"/>
        <w:ind w:left="504"/>
        <w:rPr>
          <w:szCs w:val="18"/>
        </w:rPr>
      </w:pPr>
      <w:r>
        <w:t>Atvinnustarfsemin í þessum flokki gæti tengst nokkrum kóðum atvinnugreinaflokkunar Evrópusambandsins, einkum D35.11 og F42.22, í samræmi við atvinnugreinaflokkunina sem komið var á með reglugerð (EB) nr. 1893/2006.</w:t>
      </w:r>
    </w:p>
    <w:p w14:paraId="05EF02D0"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6D7A4B" w14:paraId="1B2084F1" w14:textId="77777777" w:rsidTr="00A9140F">
        <w:trPr>
          <w:trHeight w:val="280"/>
        </w:trPr>
        <w:tc>
          <w:tcPr>
            <w:tcW w:w="8736" w:type="dxa"/>
            <w:gridSpan w:val="2"/>
            <w:tcBorders>
              <w:bottom w:val="single" w:sz="4" w:space="0" w:color="auto"/>
            </w:tcBorders>
            <w:tcMar>
              <w:left w:w="0" w:type="dxa"/>
              <w:right w:w="60" w:type="dxa"/>
            </w:tcMar>
          </w:tcPr>
          <w:p w14:paraId="3D4BAC5F" w14:textId="77777777" w:rsidR="006D7A4B" w:rsidRDefault="006D7A4B" w:rsidP="00A9140F">
            <w:pPr>
              <w:pStyle w:val="AnnexTableCellLeft"/>
              <w:spacing w:before="40" w:after="40"/>
              <w:rPr>
                <w:szCs w:val="18"/>
              </w:rPr>
            </w:pPr>
            <w:r>
              <w:t>Verulegt framlag til aðlögunar að loftslagsbreytingum</w:t>
            </w:r>
          </w:p>
        </w:tc>
      </w:tr>
      <w:tr w:rsidR="006D7A4B" w14:paraId="489C2165" w14:textId="77777777" w:rsidTr="00A9140F">
        <w:trPr>
          <w:trHeight w:val="360"/>
        </w:trPr>
        <w:tc>
          <w:tcPr>
            <w:tcW w:w="8736" w:type="dxa"/>
            <w:gridSpan w:val="2"/>
            <w:tcBorders>
              <w:bottom w:val="nil"/>
            </w:tcBorders>
            <w:tcMar>
              <w:left w:w="0" w:type="dxa"/>
              <w:right w:w="60" w:type="dxa"/>
            </w:tcMar>
          </w:tcPr>
          <w:p w14:paraId="4998CF84" w14:textId="77777777" w:rsidR="006D7A4B" w:rsidRDefault="006D7A4B" w:rsidP="00A9140F">
            <w:pPr>
              <w:pStyle w:val="AnnexNumberedText"/>
              <w:tabs>
                <w:tab w:val="left" w:pos="396"/>
              </w:tabs>
              <w:spacing w:before="60"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065DDD1D" w14:textId="77777777" w:rsidR="006D7A4B" w:rsidRDefault="006D7A4B"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9F85310" w14:textId="77777777" w:rsidR="006D7A4B" w:rsidRDefault="006D7A4B"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6976920" w14:textId="77777777" w:rsidR="006D7A4B" w:rsidRDefault="006D7A4B"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9A8C213" w14:textId="77777777" w:rsidR="006D7A4B" w:rsidRDefault="006D7A4B" w:rsidP="00A9140F">
            <w:pPr>
              <w:pStyle w:val="AnnexNumberedText"/>
              <w:spacing w:after="200"/>
              <w:rPr>
                <w:szCs w:val="18"/>
              </w:rPr>
            </w:pPr>
            <w:r>
              <w:t>c)</w:t>
            </w:r>
            <w:r>
              <w:tab/>
              <w:t>mat á aðlögunarlausnum sem geta dregið úr greindri efnislegri loftslagsáhættu.</w:t>
            </w:r>
          </w:p>
          <w:p w14:paraId="7A2A1762" w14:textId="77777777" w:rsidR="006D7A4B" w:rsidRDefault="006D7A4B"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BD00B8E" w14:textId="77777777" w:rsidR="006D7A4B" w:rsidRDefault="006D7A4B"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758114A" w14:textId="77777777" w:rsidR="006D7A4B" w:rsidRDefault="006D7A4B" w:rsidP="00A9140F">
            <w:pPr>
              <w:pStyle w:val="AnnexNumberedText"/>
              <w:spacing w:after="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0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3E076163" w14:textId="77777777" w:rsidTr="00A9140F">
        <w:trPr>
          <w:trHeight w:val="360"/>
        </w:trPr>
        <w:tc>
          <w:tcPr>
            <w:tcW w:w="8736" w:type="dxa"/>
            <w:gridSpan w:val="2"/>
            <w:tcBorders>
              <w:top w:val="nil"/>
            </w:tcBorders>
            <w:tcMar>
              <w:left w:w="0" w:type="dxa"/>
              <w:right w:w="60" w:type="dxa"/>
            </w:tcMar>
          </w:tcPr>
          <w:p w14:paraId="28B9ED8B" w14:textId="77777777" w:rsidR="006D7A4B" w:rsidRDefault="006D7A4B" w:rsidP="00A9140F">
            <w:pPr>
              <w:pStyle w:val="AnnexNumberedText"/>
              <w:pageBreakBefore/>
              <w:tabs>
                <w:tab w:val="left" w:pos="396"/>
              </w:tabs>
              <w:spacing w:after="4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06"/>
            </w:r>
            <w:r>
              <w:t>), vísindalegt ritrýnt útgefið efni og líkön með opnum aðgangi (</w:t>
            </w:r>
            <w:r>
              <w:rPr>
                <w:rStyle w:val="Tilvsunneanmlsgrein"/>
                <w:sz w:val="18"/>
                <w:szCs w:val="18"/>
              </w:rPr>
              <w:footnoteReference w:id="607"/>
            </w:r>
            <w:r>
              <w:t>) eða gegn greiðslu.</w:t>
            </w:r>
          </w:p>
          <w:p w14:paraId="7FDABCC4" w14:textId="77777777" w:rsidR="006D7A4B" w:rsidRDefault="006D7A4B" w:rsidP="00A9140F">
            <w:pPr>
              <w:pStyle w:val="AnnexNumberedText"/>
              <w:tabs>
                <w:tab w:val="left" w:pos="396"/>
              </w:tabs>
              <w:spacing w:after="400"/>
              <w:ind w:left="0" w:firstLine="0"/>
              <w:rPr>
                <w:szCs w:val="18"/>
              </w:rPr>
            </w:pPr>
            <w:r>
              <w:t>4.</w:t>
            </w:r>
            <w:r>
              <w:tab/>
              <w:t>Aðlögunarlausnir sem komið er í framkvæmd:</w:t>
            </w:r>
          </w:p>
          <w:p w14:paraId="0588B227"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68273AE3"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608"/>
            </w:r>
            <w:r>
              <w:t>) í forgangi eða treyst er á bláa eða græna innviði (</w:t>
            </w:r>
            <w:r>
              <w:rPr>
                <w:rStyle w:val="Tilvsunneanmlsgrein"/>
                <w:sz w:val="18"/>
                <w:szCs w:val="18"/>
              </w:rPr>
              <w:footnoteReference w:id="609"/>
            </w:r>
            <w:r>
              <w:t>) að því marki sem mögulegt er,</w:t>
            </w:r>
          </w:p>
          <w:p w14:paraId="440B038F"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759470C5"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AB71E04"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122FB3F5" w14:textId="77777777" w:rsidTr="00A9140F">
        <w:tc>
          <w:tcPr>
            <w:tcW w:w="8736" w:type="dxa"/>
            <w:gridSpan w:val="2"/>
            <w:tcMar>
              <w:top w:w="100" w:type="dxa"/>
              <w:left w:w="0" w:type="dxa"/>
              <w:bottom w:w="100" w:type="dxa"/>
              <w:right w:w="60" w:type="dxa"/>
            </w:tcMar>
          </w:tcPr>
          <w:p w14:paraId="3C2FD5F4" w14:textId="77777777" w:rsidR="006D7A4B" w:rsidRDefault="006D7A4B" w:rsidP="00A9140F">
            <w:pPr>
              <w:pStyle w:val="AnnexTableCellLeft"/>
              <w:rPr>
                <w:szCs w:val="18"/>
              </w:rPr>
            </w:pPr>
            <w:r>
              <w:t>Ekki valda umtalsverðu tjóni</w:t>
            </w:r>
          </w:p>
        </w:tc>
      </w:tr>
      <w:tr w:rsidR="006D7A4B" w14:paraId="76DAED55" w14:textId="77777777" w:rsidTr="00A9140F">
        <w:tc>
          <w:tcPr>
            <w:tcW w:w="2988" w:type="dxa"/>
            <w:tcBorders>
              <w:bottom w:val="single" w:sz="4" w:space="0" w:color="auto"/>
            </w:tcBorders>
            <w:tcMar>
              <w:top w:w="100" w:type="dxa"/>
              <w:left w:w="0" w:type="dxa"/>
              <w:bottom w:w="100" w:type="dxa"/>
              <w:right w:w="60" w:type="dxa"/>
            </w:tcMar>
          </w:tcPr>
          <w:p w14:paraId="4B1767F7" w14:textId="77777777" w:rsidR="006D7A4B" w:rsidRDefault="006D7A4B" w:rsidP="00A9140F">
            <w:pPr>
              <w:pStyle w:val="AnnexNumberedText"/>
              <w:spacing w:after="0"/>
              <w:ind w:left="293" w:hanging="293"/>
              <w:rPr>
                <w:szCs w:val="18"/>
              </w:rPr>
            </w:pPr>
            <w:r>
              <w:t>1)</w:t>
            </w:r>
            <w:r>
              <w:tab/>
              <w:t>Mildun loftslagsbreytinga</w:t>
            </w:r>
          </w:p>
        </w:tc>
        <w:tc>
          <w:tcPr>
            <w:tcW w:w="5748" w:type="dxa"/>
            <w:tcBorders>
              <w:bottom w:val="single" w:sz="4" w:space="0" w:color="auto"/>
            </w:tcBorders>
            <w:tcMar>
              <w:top w:w="100" w:type="dxa"/>
              <w:left w:w="60" w:type="dxa"/>
              <w:bottom w:w="100" w:type="dxa"/>
              <w:right w:w="0" w:type="dxa"/>
            </w:tcMar>
          </w:tcPr>
          <w:p w14:paraId="5BFC3DC7" w14:textId="77777777" w:rsidR="006D7A4B" w:rsidRDefault="006D7A4B" w:rsidP="00A9140F">
            <w:pPr>
              <w:pStyle w:val="AnnexTableCellLeft"/>
              <w:rPr>
                <w:szCs w:val="18"/>
              </w:rPr>
            </w:pPr>
            <w:r>
              <w:t>Bein losun á gróðurhúsalofttegundum í starfseminni er minni en 270 g CO</w:t>
            </w:r>
            <w:r>
              <w:rPr>
                <w:vertAlign w:val="subscript"/>
              </w:rPr>
              <w:t>2</w:t>
            </w:r>
            <w:r>
              <w:t>e/kWh.</w:t>
            </w:r>
          </w:p>
        </w:tc>
      </w:tr>
      <w:tr w:rsidR="006D7A4B" w14:paraId="21D69857" w14:textId="77777777" w:rsidTr="00A9140F">
        <w:tc>
          <w:tcPr>
            <w:tcW w:w="2988" w:type="dxa"/>
            <w:tcBorders>
              <w:bottom w:val="nil"/>
            </w:tcBorders>
            <w:tcMar>
              <w:top w:w="100" w:type="dxa"/>
              <w:left w:w="0" w:type="dxa"/>
              <w:bottom w:w="100" w:type="dxa"/>
              <w:right w:w="60" w:type="dxa"/>
            </w:tcMar>
          </w:tcPr>
          <w:p w14:paraId="47CFC140"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48" w:type="dxa"/>
            <w:tcBorders>
              <w:bottom w:val="nil"/>
            </w:tcBorders>
            <w:tcMar>
              <w:top w:w="100" w:type="dxa"/>
              <w:left w:w="60" w:type="dxa"/>
              <w:bottom w:w="100" w:type="dxa"/>
              <w:right w:w="0" w:type="dxa"/>
            </w:tcMar>
          </w:tcPr>
          <w:p w14:paraId="08359955" w14:textId="77777777" w:rsidR="006D7A4B" w:rsidRDefault="006D7A4B" w:rsidP="00A9140F">
            <w:pPr>
              <w:pStyle w:val="AnnexNumberedText"/>
              <w:tabs>
                <w:tab w:val="left" w:pos="396"/>
              </w:tabs>
              <w:spacing w:after="200"/>
              <w:ind w:left="0" w:firstLine="0"/>
              <w:rPr>
                <w:szCs w:val="18"/>
              </w:rPr>
            </w:pPr>
            <w:r>
              <w:t>1.</w:t>
            </w:r>
            <w:r>
              <w:tab/>
              <w:t>Starfsemin er í samræmi við ákvæðin í tilskipun 2000/60/EB, einkum við allar kröfurnar sem mælt er fyrir um í 4. gr. tilskipunarinnar.</w:t>
            </w:r>
          </w:p>
          <w:p w14:paraId="0B4806A2" w14:textId="77777777" w:rsidR="006D7A4B" w:rsidRDefault="006D7A4B" w:rsidP="00A9140F">
            <w:pPr>
              <w:pStyle w:val="AnnexNumberedText"/>
              <w:tabs>
                <w:tab w:val="left" w:pos="396"/>
              </w:tabs>
              <w:spacing w:after="200"/>
              <w:ind w:left="0" w:firstLine="0"/>
              <w:rPr>
                <w:szCs w:val="18"/>
              </w:rPr>
            </w:pPr>
            <w:r>
              <w:t>2.</w:t>
            </w:r>
            <w:r>
              <w:tab/>
              <w:t>Að því er varðar rekstur á vatnsaflsstöðvum sem fyrir eru, þ.m.t. endurbótastarfsemi til að auka möguleikann á endurnýjanlegri orku eða orkugeymslu, er starfsemin í samræmi við eftirfarandi viðmiðanir:</w:t>
            </w:r>
          </w:p>
          <w:p w14:paraId="65332388" w14:textId="77777777" w:rsidR="006D7A4B" w:rsidRDefault="006D7A4B" w:rsidP="00A9140F">
            <w:pPr>
              <w:pStyle w:val="AnnexNumberedText"/>
              <w:tabs>
                <w:tab w:val="left" w:pos="396"/>
              </w:tabs>
              <w:spacing w:after="200"/>
              <w:ind w:left="0" w:firstLine="0"/>
              <w:rPr>
                <w:szCs w:val="18"/>
              </w:rPr>
            </w:pPr>
            <w:r>
              <w:t>2.1.</w:t>
            </w:r>
            <w:r>
              <w:tab/>
              <w:t xml:space="preserve">Í samræmi við tilskipun 2000/60/EB og einkum 4. og 11. gr. þeirrar tilskipunar hefur öllum </w:t>
            </w:r>
            <w:proofErr w:type="spellStart"/>
            <w:r>
              <w:t>mildunarráðstöfunum</w:t>
            </w:r>
            <w:proofErr w:type="spellEnd"/>
            <w:r>
              <w:t>, sem eru tæknilega mögulegar og vistfræðilega viðeigandi, verið komið í framkvæmd til að draga úr neikvæðum áhrifum á vatn sem og á vernduð búsvæði og tegundir sem eru háðar vatni með beinum hætti.</w:t>
            </w:r>
          </w:p>
          <w:p w14:paraId="75E6F876" w14:textId="77777777" w:rsidR="006D7A4B" w:rsidRDefault="006D7A4B" w:rsidP="00A9140F">
            <w:pPr>
              <w:pStyle w:val="AnnexNumberedText"/>
              <w:tabs>
                <w:tab w:val="left" w:pos="396"/>
              </w:tabs>
              <w:spacing w:after="200"/>
              <w:ind w:left="0" w:firstLine="0"/>
              <w:rPr>
                <w:szCs w:val="18"/>
              </w:rPr>
            </w:pPr>
            <w:r>
              <w:t>2.2.</w:t>
            </w:r>
            <w:r>
              <w:tab/>
              <w:t xml:space="preserve">Ráðstafanir fela í sér, þar sem við á og með hliðsjón af vistkerfum sem eru til staðar frá náttúrunnar hendi í </w:t>
            </w:r>
            <w:proofErr w:type="spellStart"/>
            <w:r>
              <w:t>vatnshlotum</w:t>
            </w:r>
            <w:proofErr w:type="spellEnd"/>
            <w:r>
              <w:t xml:space="preserve"> sem verða fyrir áhrifum:</w:t>
            </w:r>
          </w:p>
          <w:p w14:paraId="38D6C1D3" w14:textId="77777777" w:rsidR="006D7A4B" w:rsidRDefault="006D7A4B" w:rsidP="00A9140F">
            <w:pPr>
              <w:pStyle w:val="AnnexNumberedText"/>
              <w:spacing w:after="0"/>
              <w:rPr>
                <w:szCs w:val="18"/>
              </w:rPr>
            </w:pPr>
            <w:r>
              <w:t>a)</w:t>
            </w:r>
            <w:r>
              <w:tab/>
              <w:t xml:space="preserve">ráðstafanir til að tryggja fiskgöngur með og á móti straumi (s.s. fiskvænir </w:t>
            </w:r>
            <w:r>
              <w:lastRenderedPageBreak/>
              <w:t xml:space="preserve">hverflar, leiðakerfi fyrir fiska, fullvirkir fiskvegir sem byggjast á nýjustu tækni, ráðstafanir til að stöðva eða lágmarka starfsemi og losanir á fiskgöngu- og </w:t>
            </w:r>
            <w:proofErr w:type="spellStart"/>
            <w:r>
              <w:t>hrygningartímabilum</w:t>
            </w:r>
            <w:proofErr w:type="spellEnd"/>
            <w:r>
              <w:t>),</w:t>
            </w:r>
          </w:p>
        </w:tc>
      </w:tr>
      <w:tr w:rsidR="006D7A4B" w14:paraId="117411CE" w14:textId="77777777" w:rsidTr="00A9140F">
        <w:tc>
          <w:tcPr>
            <w:tcW w:w="2988" w:type="dxa"/>
            <w:tcBorders>
              <w:top w:val="single" w:sz="4" w:space="0" w:color="auto"/>
              <w:bottom w:val="nil"/>
            </w:tcBorders>
            <w:tcMar>
              <w:top w:w="100" w:type="dxa"/>
              <w:left w:w="0" w:type="dxa"/>
              <w:bottom w:w="100" w:type="dxa"/>
              <w:right w:w="60" w:type="dxa"/>
            </w:tcMar>
          </w:tcPr>
          <w:p w14:paraId="409F0F88" w14:textId="77777777" w:rsidR="006D7A4B" w:rsidRDefault="006D7A4B" w:rsidP="00A9140F">
            <w:pPr>
              <w:pStyle w:val="AnnexTableCellLeft"/>
              <w:pageBreakBefore/>
              <w:rPr>
                <w:szCs w:val="18"/>
              </w:rPr>
            </w:pPr>
          </w:p>
        </w:tc>
        <w:tc>
          <w:tcPr>
            <w:tcW w:w="5748" w:type="dxa"/>
            <w:tcBorders>
              <w:top w:val="single" w:sz="4" w:space="0" w:color="auto"/>
              <w:bottom w:val="nil"/>
            </w:tcBorders>
            <w:tcMar>
              <w:top w:w="100" w:type="dxa"/>
              <w:left w:w="60" w:type="dxa"/>
              <w:bottom w:w="100" w:type="dxa"/>
              <w:right w:w="0" w:type="dxa"/>
            </w:tcMar>
          </w:tcPr>
          <w:p w14:paraId="3123AAA6" w14:textId="77777777" w:rsidR="006D7A4B" w:rsidRDefault="006D7A4B" w:rsidP="00A9140F">
            <w:pPr>
              <w:pStyle w:val="AnnexNumberedText"/>
              <w:spacing w:after="400"/>
              <w:rPr>
                <w:szCs w:val="18"/>
              </w:rPr>
            </w:pPr>
            <w:r>
              <w:t>b)</w:t>
            </w:r>
            <w:r>
              <w:tab/>
              <w:t>ráðstafanir til að tryggja vistfræðilegt lágmarksflæði (þ.m.t. að milda aðgerðir sem valda örum breytileika til skamms tíma í flæði eða toppum í vatnsflæði) og setflæði,</w:t>
            </w:r>
          </w:p>
          <w:p w14:paraId="40567EC4" w14:textId="77777777" w:rsidR="006D7A4B" w:rsidRDefault="006D7A4B" w:rsidP="00A9140F">
            <w:pPr>
              <w:pStyle w:val="AnnexNumberedText"/>
              <w:spacing w:after="400"/>
              <w:rPr>
                <w:szCs w:val="18"/>
              </w:rPr>
            </w:pPr>
            <w:r>
              <w:t>c)</w:t>
            </w:r>
            <w:r>
              <w:tab/>
              <w:t>ráðstafanir til að vernda eða efla búsvæði.</w:t>
            </w:r>
          </w:p>
          <w:p w14:paraId="514A0496" w14:textId="77777777" w:rsidR="006D7A4B" w:rsidRDefault="006D7A4B" w:rsidP="00A9140F">
            <w:pPr>
              <w:pStyle w:val="AnnexNumberedText"/>
              <w:tabs>
                <w:tab w:val="left" w:pos="396"/>
              </w:tabs>
              <w:spacing w:after="400"/>
              <w:ind w:left="0" w:firstLine="0"/>
              <w:rPr>
                <w:szCs w:val="18"/>
              </w:rPr>
            </w:pPr>
            <w:r>
              <w:t>2.3.</w:t>
            </w:r>
            <w:r>
              <w:tab/>
              <w:t>Skilvirkni þessara ráðstafana er vöktuð í tengslum við heimild eða leyfi þar sem tilgreind eru skilyrði sem miða að því að ná góðri stöðu eða getu vatnshlotsins sem verður fyrir áhrifum.</w:t>
            </w:r>
          </w:p>
          <w:p w14:paraId="1F9ED11A" w14:textId="77777777" w:rsidR="006D7A4B" w:rsidRDefault="006D7A4B" w:rsidP="00A9140F">
            <w:pPr>
              <w:pStyle w:val="AnnexNumberedText"/>
              <w:tabs>
                <w:tab w:val="left" w:pos="396"/>
              </w:tabs>
              <w:spacing w:after="400"/>
              <w:ind w:left="0" w:firstLine="0"/>
              <w:rPr>
                <w:szCs w:val="18"/>
              </w:rPr>
            </w:pPr>
            <w:r>
              <w:t>3.</w:t>
            </w:r>
            <w:r>
              <w:tab/>
              <w:t>Að því er varðar byggingu nýrrar vatnsaflsstöðvar er starfsemin í samræmi við eftirfarandi viðmiðanir:</w:t>
            </w:r>
          </w:p>
          <w:p w14:paraId="2AC8876C" w14:textId="77777777" w:rsidR="006D7A4B" w:rsidRDefault="006D7A4B" w:rsidP="00A9140F">
            <w:pPr>
              <w:pStyle w:val="AnnexNumberedText"/>
              <w:tabs>
                <w:tab w:val="left" w:pos="396"/>
              </w:tabs>
              <w:spacing w:after="400"/>
              <w:ind w:left="0" w:firstLine="0"/>
              <w:rPr>
                <w:szCs w:val="18"/>
              </w:rPr>
            </w:pPr>
            <w:r>
              <w:t>3.1.</w:t>
            </w:r>
            <w:r>
              <w:tab/>
              <w:t xml:space="preserve">Í samræmi við 4. gr. tilskipunar 2000/60/EB og einkum 7. mgr. þeirrar greinar er unnið mat á áhrifunum af verkefninu áður en byggt er til að meta öll möguleg áhrif þess á stöðu </w:t>
            </w:r>
            <w:proofErr w:type="spellStart"/>
            <w:r>
              <w:t>vatnshlota</w:t>
            </w:r>
            <w:proofErr w:type="spellEnd"/>
            <w:r>
              <w:t xml:space="preserve"> innan sama vatnasviðs og á vernduð búsvæði og tegundir sem eru háðar vatni með beinum hætti, einkum að teknu tilliti til sérstakra gönguslóða (e. </w:t>
            </w:r>
            <w:proofErr w:type="spellStart"/>
            <w:r>
              <w:rPr>
                <w:i/>
                <w:iCs/>
              </w:rPr>
              <w:t>migration</w:t>
            </w:r>
            <w:proofErr w:type="spellEnd"/>
            <w:r>
              <w:rPr>
                <w:i/>
                <w:iCs/>
              </w:rPr>
              <w:t xml:space="preserve"> </w:t>
            </w:r>
            <w:proofErr w:type="spellStart"/>
            <w:r>
              <w:rPr>
                <w:i/>
                <w:iCs/>
              </w:rPr>
              <w:t>corridor</w:t>
            </w:r>
            <w:proofErr w:type="spellEnd"/>
            <w:r>
              <w:t>), áa sem flæða frjálst eða vistkerfa nálægt óröskuðum aðstæðum.</w:t>
            </w:r>
          </w:p>
          <w:p w14:paraId="69FFFDD1" w14:textId="77777777" w:rsidR="006D7A4B" w:rsidRDefault="006D7A4B" w:rsidP="00A9140F">
            <w:pPr>
              <w:pStyle w:val="AnnexTableCellLeft"/>
              <w:spacing w:after="400"/>
              <w:rPr>
                <w:szCs w:val="18"/>
              </w:rPr>
            </w:pPr>
            <w:r>
              <w:t>Matið er byggt á nýlegum, yfirgripsmiklum og nákvæmum gögnum, þ.m.t. vöktunargögn um líffræðilega gæðaþætti sem eru sérstaklega næmir fyrir vatnsformfræðilegum breytingum og um stöðu vatnshlotsins sem búist er við sem afleiðing af nýju starfseminni í samanburði við þá sem fyrir er.</w:t>
            </w:r>
          </w:p>
          <w:p w14:paraId="1CB934FD" w14:textId="77777777" w:rsidR="006D7A4B" w:rsidRDefault="006D7A4B" w:rsidP="00A9140F">
            <w:pPr>
              <w:pStyle w:val="AnnexTableCellLeft"/>
              <w:spacing w:after="400"/>
              <w:rPr>
                <w:szCs w:val="18"/>
              </w:rPr>
            </w:pPr>
            <w:r>
              <w:t>Einkum eru metin uppsöfnuð áhrif af þessu nýja verkefni með öðrum grunnvirkjum sem fyrir eru eða fyrirhuguð á vatnasviðinu.</w:t>
            </w:r>
          </w:p>
          <w:p w14:paraId="08327D45" w14:textId="77777777" w:rsidR="006D7A4B" w:rsidRDefault="006D7A4B" w:rsidP="00A9140F">
            <w:pPr>
              <w:pStyle w:val="AnnexNumberedText"/>
              <w:tabs>
                <w:tab w:val="left" w:pos="396"/>
              </w:tabs>
              <w:spacing w:after="400"/>
              <w:ind w:left="0" w:firstLine="0"/>
              <w:rPr>
                <w:szCs w:val="18"/>
              </w:rPr>
            </w:pPr>
            <w:r>
              <w:t>3.2.</w:t>
            </w:r>
            <w:r>
              <w:tab/>
              <w:t>Á grundvelli þessa mats á áhrifum hefur verið ákvarðað að stöðin sé skipulögð þannig, með hönnun og staðsetningu og með mildandi ráðstöfunum, að hún uppfylli eina af eftirfarandi kröfum:</w:t>
            </w:r>
          </w:p>
          <w:p w14:paraId="13FC6BC1" w14:textId="77777777" w:rsidR="006D7A4B" w:rsidRDefault="006D7A4B" w:rsidP="00A9140F">
            <w:pPr>
              <w:pStyle w:val="AnnexNumberedText"/>
              <w:spacing w:after="400"/>
              <w:rPr>
                <w:szCs w:val="18"/>
              </w:rPr>
            </w:pPr>
            <w:r>
              <w:t>a)</w:t>
            </w:r>
            <w:r>
              <w:tab/>
              <w:t>stöðin hefur ekki í för með sér neina hnignun né stofnar því í hættu að ná góðri stöðu eða getu fyrir hið sérstaka vatnshlot sem hún tengist,</w:t>
            </w:r>
          </w:p>
          <w:p w14:paraId="55BE7A9E" w14:textId="77777777" w:rsidR="006D7A4B" w:rsidRDefault="006D7A4B" w:rsidP="00A9140F">
            <w:pPr>
              <w:pStyle w:val="AnnexNumberedText"/>
              <w:spacing w:after="400"/>
              <w:rPr>
                <w:szCs w:val="18"/>
              </w:rPr>
            </w:pPr>
            <w:r>
              <w:t>b)</w:t>
            </w:r>
            <w:r>
              <w:tab/>
              <w:t>ef áhætta er á að stöðin valdi hnignun eða stofni því í hættu að góð staða/geta náist fyrir hið sérstaka vatnshlot sem hún tengist er slík hnignun ekki umtalsverð og er rökstudd með ítarlegu kostnaðar- og ábatamati þar sem sýnt er fram á hvort tveggja af eftirfarandi:</w:t>
            </w:r>
          </w:p>
          <w:p w14:paraId="0772DF63" w14:textId="77777777" w:rsidR="006D7A4B" w:rsidRDefault="006D7A4B" w:rsidP="00A9140F">
            <w:pPr>
              <w:pStyle w:val="AnnexNumberedText"/>
              <w:spacing w:after="400"/>
              <w:ind w:left="600"/>
              <w:rPr>
                <w:szCs w:val="18"/>
              </w:rPr>
            </w:pPr>
            <w:r>
              <w:t>i.</w:t>
            </w:r>
            <w:r>
              <w:tab/>
              <w:t>ástæðurnar fyrir brýnum almannahagsmunum eða þá staðreynd að ávinningurinn sem búist er við af fyrirhugaðri vatnsaflsstöð vegur þyngra en sá kostnaður fyrir umhverfið og samfélagið sem hlýst af versnandi ástandi vatnsins,</w:t>
            </w:r>
          </w:p>
          <w:p w14:paraId="5CF0803A" w14:textId="77777777" w:rsidR="006D7A4B" w:rsidRDefault="006D7A4B" w:rsidP="00A9140F">
            <w:pPr>
              <w:pStyle w:val="AnnexNumberedText"/>
              <w:spacing w:after="0"/>
              <w:ind w:left="600"/>
              <w:rPr>
                <w:szCs w:val="18"/>
              </w:rPr>
            </w:pPr>
            <w:r>
              <w:t>ii.</w:t>
            </w:r>
            <w:r>
              <w:tab/>
              <w:t xml:space="preserve">þá staðreynd að ekki er unnt að ná fram, af ástæðum sem varða tæknilegan </w:t>
            </w:r>
            <w:proofErr w:type="spellStart"/>
            <w:r>
              <w:t>framkvæmanleika</w:t>
            </w:r>
            <w:proofErr w:type="spellEnd"/>
            <w:r>
              <w:t xml:space="preserve"> eða óhóflegan kostnað, brýnum almannahagsmunum eða ávinningnum sem búist er við af stöðinni með öðrum aðferðum sem myndu leiða til betri </w:t>
            </w:r>
            <w:proofErr w:type="spellStart"/>
            <w:r>
              <w:t>umhverfislegrar</w:t>
            </w:r>
            <w:proofErr w:type="spellEnd"/>
            <w:r>
              <w:t xml:space="preserve"> niðurstöðu (s.s. með því að endurnýja vatnsaflsstöðvar sem fyrir eru eða með því að nota tækni sem raskar ekki samfellu árinnar).</w:t>
            </w:r>
          </w:p>
        </w:tc>
      </w:tr>
      <w:tr w:rsidR="006D7A4B" w14:paraId="13C92EE1" w14:textId="77777777" w:rsidTr="00A9140F">
        <w:tc>
          <w:tcPr>
            <w:tcW w:w="2988" w:type="dxa"/>
            <w:tcBorders>
              <w:top w:val="single" w:sz="4" w:space="0" w:color="auto"/>
            </w:tcBorders>
            <w:tcMar>
              <w:top w:w="100" w:type="dxa"/>
              <w:left w:w="0" w:type="dxa"/>
              <w:bottom w:w="100" w:type="dxa"/>
              <w:right w:w="60" w:type="dxa"/>
            </w:tcMar>
          </w:tcPr>
          <w:p w14:paraId="2CDBD26B" w14:textId="77777777" w:rsidR="006D7A4B" w:rsidRDefault="006D7A4B" w:rsidP="00A9140F">
            <w:pPr>
              <w:pStyle w:val="AnnexTableCellLeft"/>
              <w:pageBreakBefore/>
              <w:rPr>
                <w:szCs w:val="18"/>
              </w:rPr>
            </w:pPr>
          </w:p>
        </w:tc>
        <w:tc>
          <w:tcPr>
            <w:tcW w:w="5748" w:type="dxa"/>
            <w:tcBorders>
              <w:top w:val="single" w:sz="4" w:space="0" w:color="auto"/>
            </w:tcBorders>
            <w:tcMar>
              <w:top w:w="100" w:type="dxa"/>
              <w:left w:w="60" w:type="dxa"/>
              <w:bottom w:w="100" w:type="dxa"/>
              <w:right w:w="0" w:type="dxa"/>
            </w:tcMar>
          </w:tcPr>
          <w:p w14:paraId="082430C3" w14:textId="77777777" w:rsidR="006D7A4B" w:rsidRDefault="006D7A4B" w:rsidP="00A9140F">
            <w:pPr>
              <w:pStyle w:val="AnnexNumberedText"/>
              <w:tabs>
                <w:tab w:val="left" w:pos="396"/>
              </w:tabs>
              <w:spacing w:after="400"/>
              <w:ind w:left="0" w:firstLine="0"/>
              <w:rPr>
                <w:szCs w:val="18"/>
              </w:rPr>
            </w:pPr>
            <w:r>
              <w:t>3.3.</w:t>
            </w:r>
            <w:r>
              <w:tab/>
              <w:t xml:space="preserve">Öllum </w:t>
            </w:r>
            <w:proofErr w:type="spellStart"/>
            <w:r>
              <w:t>mildunarráðstöfunum</w:t>
            </w:r>
            <w:proofErr w:type="spellEnd"/>
            <w:r>
              <w:t>, sem eru tæknilega mögulegar og vistfræðilega viðeigandi, hefur verið komið í framkvæmd til að draga úr neikvæðum áhrifum á vatn sem og á vernduð búsvæði og tegundir sem eru háðar vatni með beinum hætti.</w:t>
            </w:r>
          </w:p>
          <w:p w14:paraId="6F6F4CCE" w14:textId="77777777" w:rsidR="006D7A4B" w:rsidRDefault="006D7A4B" w:rsidP="00A9140F">
            <w:pPr>
              <w:pStyle w:val="AnnexTableCellLeft"/>
              <w:spacing w:after="400"/>
              <w:rPr>
                <w:szCs w:val="18"/>
              </w:rPr>
            </w:pPr>
            <w:proofErr w:type="spellStart"/>
            <w:r>
              <w:t>Mildunarráðstafanir</w:t>
            </w:r>
            <w:proofErr w:type="spellEnd"/>
            <w:r>
              <w:t xml:space="preserve"> fela í sér, þar sem við á og með hliðsjón af vistkerfum sem eru til staðar frá náttúrunnar hendi í </w:t>
            </w:r>
            <w:proofErr w:type="spellStart"/>
            <w:r>
              <w:t>vatnshlotum</w:t>
            </w:r>
            <w:proofErr w:type="spellEnd"/>
            <w:r>
              <w:t xml:space="preserve"> sem verða fyrir áhrifum:</w:t>
            </w:r>
          </w:p>
          <w:p w14:paraId="1BE25BDF" w14:textId="77777777" w:rsidR="006D7A4B" w:rsidRDefault="006D7A4B" w:rsidP="00A9140F">
            <w:pPr>
              <w:pStyle w:val="AnnexNumberedText"/>
              <w:spacing w:after="400"/>
              <w:rPr>
                <w:szCs w:val="18"/>
              </w:rPr>
            </w:pPr>
            <w:r>
              <w:t>a)</w:t>
            </w:r>
            <w:r>
              <w:tab/>
              <w:t xml:space="preserve">ráðstafanir til að tryggja fiskgöngur með og á móti straumi (s.s. fiskvænir hverflar, leiðakerfi fyrir fiska, fullvirkir fiskvegir sem byggjast á nýjustu tækni, ráðstafanir til að stöðva eða lágmarka starfsemi og losanir á fiskgöngu- og </w:t>
            </w:r>
            <w:proofErr w:type="spellStart"/>
            <w:r>
              <w:t>hrygningartímabilum</w:t>
            </w:r>
            <w:proofErr w:type="spellEnd"/>
            <w:r>
              <w:t>)</w:t>
            </w:r>
          </w:p>
          <w:p w14:paraId="55EB362E" w14:textId="77777777" w:rsidR="006D7A4B" w:rsidRDefault="006D7A4B" w:rsidP="00A9140F">
            <w:pPr>
              <w:pStyle w:val="AnnexNumberedText"/>
              <w:spacing w:after="400"/>
              <w:rPr>
                <w:szCs w:val="18"/>
              </w:rPr>
            </w:pPr>
            <w:r>
              <w:t>b)</w:t>
            </w:r>
            <w:r>
              <w:tab/>
              <w:t>ráðstafanir til að tryggja vistfræðilegt lágmarksflæði (þ.m.t. að milda aðgerðir sem valda örum breytileika til skamms tíma í flæði eða toppum í vatnsflæði) og setflæði,</w:t>
            </w:r>
          </w:p>
          <w:p w14:paraId="3B8A5715" w14:textId="77777777" w:rsidR="006D7A4B" w:rsidRDefault="006D7A4B" w:rsidP="00A9140F">
            <w:pPr>
              <w:pStyle w:val="AnnexNumberedText"/>
              <w:spacing w:after="800"/>
              <w:rPr>
                <w:szCs w:val="18"/>
              </w:rPr>
            </w:pPr>
            <w:r>
              <w:t>c)</w:t>
            </w:r>
            <w:r>
              <w:tab/>
              <w:t>ráðstafanir til að vernda eða efla búsvæði.</w:t>
            </w:r>
          </w:p>
          <w:p w14:paraId="453B8856" w14:textId="77777777" w:rsidR="006D7A4B" w:rsidRDefault="006D7A4B" w:rsidP="00A9140F">
            <w:pPr>
              <w:pStyle w:val="AnnexTableCellLeft"/>
              <w:spacing w:after="400"/>
              <w:rPr>
                <w:szCs w:val="18"/>
              </w:rPr>
            </w:pPr>
            <w:r>
              <w:t>Skilvirkni þessara ráðstafana er vöktuð í tengslum við heimild eða leyfi þar sem tilgreind eru skilyrði sem miða að því að ná góðri stöðu eða getu vatnshlotsins sem verður fyrir áhrifum.</w:t>
            </w:r>
          </w:p>
          <w:p w14:paraId="17EA1E91" w14:textId="77777777" w:rsidR="006D7A4B" w:rsidRDefault="006D7A4B" w:rsidP="00A9140F">
            <w:pPr>
              <w:pStyle w:val="AnnexNumberedText"/>
              <w:tabs>
                <w:tab w:val="left" w:pos="396"/>
              </w:tabs>
              <w:spacing w:after="400"/>
              <w:ind w:left="0" w:firstLine="0"/>
              <w:rPr>
                <w:szCs w:val="18"/>
              </w:rPr>
            </w:pPr>
            <w:r>
              <w:t>3.4.</w:t>
            </w:r>
            <w:r>
              <w:tab/>
              <w:t xml:space="preserve">Stöðin stofnar því ekki í varanlega hættu að ná góðri stöðu/getu í neinu af </w:t>
            </w:r>
            <w:proofErr w:type="spellStart"/>
            <w:r>
              <w:t>vatnshlotunum</w:t>
            </w:r>
            <w:proofErr w:type="spellEnd"/>
            <w:r>
              <w:t xml:space="preserve"> á sama vatnasviðaumdæminu.</w:t>
            </w:r>
          </w:p>
          <w:p w14:paraId="0BA3538E" w14:textId="77777777" w:rsidR="006D7A4B" w:rsidRDefault="006D7A4B" w:rsidP="00A9140F">
            <w:pPr>
              <w:pStyle w:val="AnnexNumberedText"/>
              <w:tabs>
                <w:tab w:val="left" w:pos="396"/>
              </w:tabs>
              <w:spacing w:after="0"/>
              <w:ind w:left="0" w:firstLine="0"/>
              <w:rPr>
                <w:szCs w:val="18"/>
              </w:rPr>
            </w:pPr>
            <w:r>
              <w:t>3.5.</w:t>
            </w:r>
            <w:r>
              <w:tab/>
              <w:t>Í viðbót við mildandi ráðstafanirnar sem um getur hér að framan og ef við á er mótvægisaðgerðum komið í framkvæmd til að tryggja að verkefnið auki ekki á uppskiptingu vatnasviða á sama vatnasviðaumdæminu. Þessu er náð fram með því að koma aftur á samfellu innan sama vatnasviðaumdæmisins að því marki að það vegi upp á móti röskun á samfellu sem fyrirhuguð vatnsaflsstöð kann að valda. Mótvægisaðgerðir hefjast áður en verkefninu er hrint í framkvæmd.</w:t>
            </w:r>
          </w:p>
        </w:tc>
      </w:tr>
      <w:tr w:rsidR="006D7A4B" w14:paraId="62E0F895" w14:textId="77777777" w:rsidTr="00A9140F">
        <w:tc>
          <w:tcPr>
            <w:tcW w:w="2988" w:type="dxa"/>
            <w:tcMar>
              <w:top w:w="100" w:type="dxa"/>
              <w:left w:w="0" w:type="dxa"/>
              <w:bottom w:w="100" w:type="dxa"/>
              <w:right w:w="60" w:type="dxa"/>
            </w:tcMar>
          </w:tcPr>
          <w:p w14:paraId="28181B5F" w14:textId="77777777" w:rsidR="006D7A4B" w:rsidRDefault="006D7A4B" w:rsidP="00A9140F">
            <w:pPr>
              <w:pStyle w:val="AnnexNumberedText"/>
              <w:spacing w:after="0"/>
              <w:ind w:left="293" w:hanging="293"/>
              <w:rPr>
                <w:szCs w:val="18"/>
              </w:rPr>
            </w:pPr>
            <w:r>
              <w:t>4)</w:t>
            </w:r>
            <w:r>
              <w:tab/>
              <w:t>Umskipti yfir í hringrásarhagkerfi</w:t>
            </w:r>
          </w:p>
        </w:tc>
        <w:tc>
          <w:tcPr>
            <w:tcW w:w="5748" w:type="dxa"/>
            <w:tcMar>
              <w:top w:w="100" w:type="dxa"/>
              <w:left w:w="60" w:type="dxa"/>
              <w:bottom w:w="100" w:type="dxa"/>
              <w:right w:w="0" w:type="dxa"/>
            </w:tcMar>
          </w:tcPr>
          <w:p w14:paraId="3FDED6BD" w14:textId="77777777" w:rsidR="006D7A4B" w:rsidRDefault="006D7A4B" w:rsidP="00A9140F">
            <w:pPr>
              <w:pStyle w:val="AnnexTableCellLeft"/>
              <w:rPr>
                <w:szCs w:val="18"/>
              </w:rPr>
            </w:pPr>
            <w:r>
              <w:t>Á ekki við</w:t>
            </w:r>
          </w:p>
        </w:tc>
      </w:tr>
      <w:tr w:rsidR="006D7A4B" w14:paraId="2F50B64C" w14:textId="77777777" w:rsidTr="00A9140F">
        <w:tc>
          <w:tcPr>
            <w:tcW w:w="2988" w:type="dxa"/>
            <w:tcMar>
              <w:top w:w="100" w:type="dxa"/>
              <w:left w:w="0" w:type="dxa"/>
              <w:bottom w:w="100" w:type="dxa"/>
              <w:right w:w="60" w:type="dxa"/>
            </w:tcMar>
          </w:tcPr>
          <w:p w14:paraId="6BAD69DB" w14:textId="77777777" w:rsidR="006D7A4B" w:rsidRDefault="006D7A4B" w:rsidP="00A9140F">
            <w:pPr>
              <w:pStyle w:val="AnnexNumberedText"/>
              <w:spacing w:after="0"/>
              <w:ind w:left="293" w:hanging="293"/>
              <w:rPr>
                <w:szCs w:val="18"/>
              </w:rPr>
            </w:pPr>
            <w:r>
              <w:t>5)</w:t>
            </w:r>
            <w:r>
              <w:tab/>
              <w:t>Mengunarvarnir og eftirlit með mengun</w:t>
            </w:r>
          </w:p>
        </w:tc>
        <w:tc>
          <w:tcPr>
            <w:tcW w:w="5748" w:type="dxa"/>
            <w:tcMar>
              <w:top w:w="100" w:type="dxa"/>
              <w:left w:w="60" w:type="dxa"/>
              <w:bottom w:w="100" w:type="dxa"/>
              <w:right w:w="0" w:type="dxa"/>
            </w:tcMar>
          </w:tcPr>
          <w:p w14:paraId="76C2EED1" w14:textId="77777777" w:rsidR="006D7A4B" w:rsidRDefault="006D7A4B" w:rsidP="00A9140F">
            <w:pPr>
              <w:pStyle w:val="AnnexTableCellLeft"/>
              <w:rPr>
                <w:szCs w:val="18"/>
              </w:rPr>
            </w:pPr>
            <w:r>
              <w:t>Á ekki við</w:t>
            </w:r>
          </w:p>
        </w:tc>
      </w:tr>
      <w:tr w:rsidR="006D7A4B" w14:paraId="3BA1C5E1" w14:textId="77777777" w:rsidTr="00A9140F">
        <w:tc>
          <w:tcPr>
            <w:tcW w:w="2988" w:type="dxa"/>
            <w:tcMar>
              <w:top w:w="100" w:type="dxa"/>
              <w:left w:w="0" w:type="dxa"/>
              <w:bottom w:w="100" w:type="dxa"/>
              <w:right w:w="60" w:type="dxa"/>
            </w:tcMar>
          </w:tcPr>
          <w:p w14:paraId="466E4A84"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48" w:type="dxa"/>
            <w:tcMar>
              <w:top w:w="100" w:type="dxa"/>
              <w:left w:w="60" w:type="dxa"/>
              <w:bottom w:w="100" w:type="dxa"/>
              <w:right w:w="0" w:type="dxa"/>
            </w:tcMar>
          </w:tcPr>
          <w:p w14:paraId="102D79AE" w14:textId="77777777" w:rsidR="006D7A4B" w:rsidRDefault="006D7A4B" w:rsidP="00A9140F">
            <w:pPr>
              <w:pStyle w:val="AnnexTableCellLeft"/>
              <w:rPr>
                <w:szCs w:val="18"/>
              </w:rPr>
            </w:pPr>
            <w:r>
              <w:t>Starfsemin er í samræmi við viðmiðanirnar sem settar eru fram í viðbæti D við þennan viðauka. (</w:t>
            </w:r>
            <w:r>
              <w:rPr>
                <w:rStyle w:val="Tilvsunneanmlsgrein"/>
                <w:sz w:val="18"/>
                <w:szCs w:val="18"/>
              </w:rPr>
              <w:footnoteReference w:id="610"/>
            </w:r>
            <w:r>
              <w:t>).</w:t>
            </w:r>
          </w:p>
        </w:tc>
      </w:tr>
    </w:tbl>
    <w:p w14:paraId="48310F05" w14:textId="77777777" w:rsidR="006D7A4B" w:rsidRDefault="006D7A4B" w:rsidP="006D7A4B">
      <w:pPr>
        <w:pStyle w:val="AnnexNumberedText"/>
        <w:spacing w:before="200"/>
        <w:ind w:left="504" w:hanging="504"/>
        <w:rPr>
          <w:szCs w:val="18"/>
        </w:rPr>
      </w:pPr>
      <w:r>
        <w:t>4.6.</w:t>
      </w:r>
      <w:r>
        <w:rPr>
          <w:b/>
        </w:rPr>
        <w:tab/>
        <w:t>Raforkuframleiðsla úr jarðvarmaorku</w:t>
      </w:r>
    </w:p>
    <w:p w14:paraId="1D1A1B32" w14:textId="77777777" w:rsidR="006D7A4B" w:rsidRDefault="006D7A4B" w:rsidP="006D7A4B">
      <w:pPr>
        <w:pStyle w:val="AnnexGrSeq3"/>
        <w:spacing w:after="120"/>
        <w:ind w:left="504"/>
        <w:jc w:val="both"/>
        <w:rPr>
          <w:szCs w:val="18"/>
        </w:rPr>
      </w:pPr>
      <w:r>
        <w:rPr>
          <w:i/>
        </w:rPr>
        <w:t>Lýsing á starfseminni</w:t>
      </w:r>
    </w:p>
    <w:p w14:paraId="0D92019E" w14:textId="77777777" w:rsidR="006D7A4B" w:rsidRDefault="006D7A4B" w:rsidP="006D7A4B">
      <w:pPr>
        <w:pStyle w:val="AnnexNormal"/>
        <w:spacing w:after="600"/>
        <w:ind w:left="504"/>
        <w:rPr>
          <w:szCs w:val="18"/>
        </w:rPr>
      </w:pPr>
      <w:r>
        <w:t>Bygging eða rekstur raforkuframleiðslustöðva sem framleiða raforku úr jarðvarmaorku.</w:t>
      </w:r>
    </w:p>
    <w:p w14:paraId="3554C392" w14:textId="77777777" w:rsidR="006D7A4B" w:rsidRDefault="006D7A4B" w:rsidP="006D7A4B">
      <w:pPr>
        <w:pStyle w:val="AnnexNormal"/>
        <w:spacing w:after="0"/>
        <w:ind w:left="504"/>
        <w:rPr>
          <w:szCs w:val="18"/>
        </w:rPr>
      </w:pPr>
      <w:r>
        <w:lastRenderedPageBreak/>
        <w:t>Atvinnustarfsemin í þessum flokki gæti tengst nokkrum kóðum atvinnugreinaflokkunar Evrópusambandsins, einkum D35.11 og F42.22, í samræmi við atvinnugreinaflokkunina sem komið var á með reglugerð (EB) nr. 1893/2006.</w:t>
      </w:r>
      <w:r>
        <w:br w:type="page"/>
      </w:r>
    </w:p>
    <w:p w14:paraId="0FDF8239" w14:textId="77777777" w:rsidR="006D7A4B" w:rsidRDefault="006D7A4B" w:rsidP="006D7A4B">
      <w:pPr>
        <w:pStyle w:val="AnnexGrSeq3"/>
        <w:ind w:left="504"/>
        <w:jc w:val="both"/>
        <w:rPr>
          <w:szCs w:val="18"/>
        </w:rPr>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6D7A4B" w14:paraId="0F73C064" w14:textId="77777777" w:rsidTr="00A9140F">
        <w:trPr>
          <w:trHeight w:val="280"/>
        </w:trPr>
        <w:tc>
          <w:tcPr>
            <w:tcW w:w="8736" w:type="dxa"/>
            <w:gridSpan w:val="2"/>
            <w:tcBorders>
              <w:bottom w:val="single" w:sz="4" w:space="0" w:color="auto"/>
            </w:tcBorders>
            <w:tcMar>
              <w:left w:w="0" w:type="dxa"/>
              <w:right w:w="60" w:type="dxa"/>
            </w:tcMar>
          </w:tcPr>
          <w:p w14:paraId="0C937171" w14:textId="77777777" w:rsidR="006D7A4B" w:rsidRDefault="006D7A4B" w:rsidP="00A9140F">
            <w:pPr>
              <w:pStyle w:val="AnnexTableCellLeft"/>
              <w:spacing w:before="40" w:after="40"/>
              <w:rPr>
                <w:szCs w:val="18"/>
              </w:rPr>
            </w:pPr>
            <w:r>
              <w:t>Verulegt framlag til aðlögunar að loftslagsbreytingum</w:t>
            </w:r>
          </w:p>
        </w:tc>
      </w:tr>
      <w:tr w:rsidR="006D7A4B" w14:paraId="63F3558C" w14:textId="77777777" w:rsidTr="00A9140F">
        <w:trPr>
          <w:trHeight w:val="360"/>
        </w:trPr>
        <w:tc>
          <w:tcPr>
            <w:tcW w:w="8736" w:type="dxa"/>
            <w:gridSpan w:val="2"/>
            <w:tcBorders>
              <w:bottom w:val="nil"/>
            </w:tcBorders>
            <w:tcMar>
              <w:left w:w="0" w:type="dxa"/>
              <w:right w:w="60" w:type="dxa"/>
            </w:tcMar>
          </w:tcPr>
          <w:p w14:paraId="66A8629D" w14:textId="77777777" w:rsidR="006D7A4B" w:rsidRDefault="006D7A4B" w:rsidP="00A9140F">
            <w:pPr>
              <w:pStyle w:val="AnnexNumberedText"/>
              <w:tabs>
                <w:tab w:val="left" w:pos="396"/>
              </w:tabs>
              <w:spacing w:before="60" w:after="3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64DC1A44" w14:textId="77777777" w:rsidR="006D7A4B" w:rsidRDefault="006D7A4B" w:rsidP="00A9140F">
            <w:pPr>
              <w:pStyle w:val="AnnexNumberedText"/>
              <w:tabs>
                <w:tab w:val="left" w:pos="396"/>
              </w:tabs>
              <w:spacing w:after="3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AE89EDB" w14:textId="77777777" w:rsidR="006D7A4B" w:rsidRDefault="006D7A4B" w:rsidP="00A9140F">
            <w:pPr>
              <w:pStyle w:val="AnnexNumberedText"/>
              <w:spacing w:after="3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792336EF" w14:textId="77777777" w:rsidR="006D7A4B" w:rsidRDefault="006D7A4B" w:rsidP="00A9140F">
            <w:pPr>
              <w:pStyle w:val="AnnexNumberedText"/>
              <w:spacing w:after="3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56FF66EF" w14:textId="77777777" w:rsidR="006D7A4B" w:rsidRDefault="006D7A4B" w:rsidP="00A9140F">
            <w:pPr>
              <w:pStyle w:val="AnnexNumberedText"/>
              <w:spacing w:after="300"/>
              <w:rPr>
                <w:szCs w:val="18"/>
              </w:rPr>
            </w:pPr>
            <w:r>
              <w:t>c)</w:t>
            </w:r>
            <w:r>
              <w:tab/>
              <w:t>mat á aðlögunarlausnum sem geta dregið úr greindri efnislegri loftslagsáhættu.</w:t>
            </w:r>
          </w:p>
          <w:p w14:paraId="1F1CBF42" w14:textId="77777777" w:rsidR="006D7A4B" w:rsidRDefault="006D7A4B" w:rsidP="00A9140F">
            <w:pPr>
              <w:pStyle w:val="AnnexTableCellLeft"/>
              <w:spacing w:after="3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2CE2180D" w14:textId="77777777" w:rsidR="006D7A4B" w:rsidRDefault="006D7A4B" w:rsidP="00A9140F">
            <w:pPr>
              <w:pStyle w:val="AnnexNumberedText"/>
              <w:spacing w:after="3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8C172BA" w14:textId="77777777" w:rsidR="006D7A4B" w:rsidRDefault="006D7A4B"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1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05B38C4" w14:textId="77777777" w:rsidR="006D7A4B" w:rsidRDefault="006D7A4B" w:rsidP="00A9140F">
            <w:pPr>
              <w:pStyle w:val="AnnexNumberedText"/>
              <w:tabs>
                <w:tab w:val="left" w:pos="396"/>
              </w:tabs>
              <w:spacing w:after="3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12"/>
            </w:r>
            <w:r>
              <w:t>), vísindalegt ritrýnt útgefið efni og líkön með opnum aðgangi (</w:t>
            </w:r>
            <w:r>
              <w:rPr>
                <w:rStyle w:val="Tilvsunneanmlsgrein"/>
                <w:sz w:val="18"/>
                <w:szCs w:val="18"/>
              </w:rPr>
              <w:footnoteReference w:id="613"/>
            </w:r>
            <w:r>
              <w:t>) eða gegn greiðslu.</w:t>
            </w:r>
          </w:p>
          <w:p w14:paraId="369D7FF6"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5342C227" w14:textId="77777777" w:rsidR="006D7A4B" w:rsidRDefault="006D7A4B"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431F3E71" w14:textId="77777777" w:rsidR="006D7A4B" w:rsidRDefault="006D7A4B" w:rsidP="00A9140F">
            <w:pPr>
              <w:pStyle w:val="AnnexNumberedText"/>
              <w:spacing w:after="300"/>
              <w:rPr>
                <w:szCs w:val="18"/>
              </w:rPr>
            </w:pPr>
            <w:r>
              <w:t>b)</w:t>
            </w:r>
            <w:r>
              <w:tab/>
              <w:t>eru með náttúrumiðaðar lausnir (</w:t>
            </w:r>
            <w:r>
              <w:rPr>
                <w:rStyle w:val="Tilvsunneanmlsgrein"/>
                <w:sz w:val="18"/>
                <w:szCs w:val="18"/>
              </w:rPr>
              <w:footnoteReference w:id="614"/>
            </w:r>
            <w:r>
              <w:t>) í forgangi eða treyst er á bláa eða græna innviði (</w:t>
            </w:r>
            <w:r>
              <w:rPr>
                <w:rStyle w:val="Tilvsunneanmlsgrein"/>
                <w:sz w:val="18"/>
                <w:szCs w:val="18"/>
              </w:rPr>
              <w:footnoteReference w:id="615"/>
            </w:r>
            <w:r>
              <w:t>) að því marki sem mögulegt er,</w:t>
            </w:r>
          </w:p>
          <w:p w14:paraId="20AB3A96" w14:textId="77777777" w:rsidR="006D7A4B" w:rsidRDefault="006D7A4B" w:rsidP="00A9140F">
            <w:pPr>
              <w:pStyle w:val="AnnexNumberedText"/>
              <w:spacing w:after="0"/>
              <w:rPr>
                <w:szCs w:val="18"/>
              </w:rPr>
            </w:pPr>
            <w:r>
              <w:t>c)</w:t>
            </w:r>
            <w:r>
              <w:tab/>
              <w:t>eru í samræmi við staðbundnar, geirabundnar, svæðisbundnar eða landsbundnar aðlögunarstefnur og -áætlanir,</w:t>
            </w:r>
          </w:p>
        </w:tc>
      </w:tr>
      <w:tr w:rsidR="006D7A4B" w14:paraId="632975D7" w14:textId="77777777" w:rsidTr="00A9140F">
        <w:trPr>
          <w:trHeight w:val="360"/>
        </w:trPr>
        <w:tc>
          <w:tcPr>
            <w:tcW w:w="8736" w:type="dxa"/>
            <w:gridSpan w:val="2"/>
            <w:tcBorders>
              <w:top w:val="nil"/>
            </w:tcBorders>
            <w:tcMar>
              <w:left w:w="0" w:type="dxa"/>
              <w:right w:w="60" w:type="dxa"/>
            </w:tcMar>
          </w:tcPr>
          <w:p w14:paraId="0925B986" w14:textId="77777777" w:rsidR="006D7A4B" w:rsidRDefault="006D7A4B" w:rsidP="00A9140F">
            <w:pPr>
              <w:pStyle w:val="AnnexNumberedText"/>
              <w:pageBreakBefore/>
              <w:spacing w:after="400"/>
              <w:rPr>
                <w:szCs w:val="18"/>
              </w:rPr>
            </w:pPr>
            <w:r>
              <w:lastRenderedPageBreak/>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074AFF1B"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E2392A7" w14:textId="77777777" w:rsidTr="00A9140F">
        <w:tc>
          <w:tcPr>
            <w:tcW w:w="8736" w:type="dxa"/>
            <w:gridSpan w:val="2"/>
            <w:tcMar>
              <w:top w:w="100" w:type="dxa"/>
              <w:left w:w="0" w:type="dxa"/>
              <w:bottom w:w="100" w:type="dxa"/>
              <w:right w:w="60" w:type="dxa"/>
            </w:tcMar>
          </w:tcPr>
          <w:p w14:paraId="489A9A70" w14:textId="77777777" w:rsidR="006D7A4B" w:rsidRDefault="006D7A4B" w:rsidP="00A9140F">
            <w:pPr>
              <w:pStyle w:val="AnnexTableCellLeft"/>
              <w:rPr>
                <w:szCs w:val="18"/>
              </w:rPr>
            </w:pPr>
            <w:r>
              <w:t>Ekki valda umtalsverðu tjóni</w:t>
            </w:r>
          </w:p>
        </w:tc>
      </w:tr>
      <w:tr w:rsidR="006D7A4B" w14:paraId="35BCA50A" w14:textId="77777777" w:rsidTr="00A9140F">
        <w:tc>
          <w:tcPr>
            <w:tcW w:w="2952" w:type="dxa"/>
            <w:tcMar>
              <w:top w:w="100" w:type="dxa"/>
              <w:left w:w="0" w:type="dxa"/>
              <w:bottom w:w="100" w:type="dxa"/>
              <w:right w:w="60" w:type="dxa"/>
            </w:tcMar>
          </w:tcPr>
          <w:p w14:paraId="65BDF3F2" w14:textId="77777777" w:rsidR="006D7A4B" w:rsidRDefault="006D7A4B" w:rsidP="00A9140F">
            <w:pPr>
              <w:pStyle w:val="AnnexNumberedText"/>
              <w:spacing w:after="0"/>
              <w:ind w:left="293" w:hanging="293"/>
              <w:rPr>
                <w:szCs w:val="18"/>
              </w:rPr>
            </w:pPr>
            <w:r>
              <w:t>1)</w:t>
            </w:r>
            <w:r>
              <w:tab/>
              <w:t>Mildun loftslagsbreytinga</w:t>
            </w:r>
          </w:p>
        </w:tc>
        <w:tc>
          <w:tcPr>
            <w:tcW w:w="5784" w:type="dxa"/>
            <w:tcMar>
              <w:top w:w="100" w:type="dxa"/>
              <w:left w:w="60" w:type="dxa"/>
              <w:bottom w:w="100" w:type="dxa"/>
              <w:right w:w="0" w:type="dxa"/>
            </w:tcMar>
          </w:tcPr>
          <w:p w14:paraId="43447EAE" w14:textId="77777777" w:rsidR="006D7A4B" w:rsidRDefault="006D7A4B" w:rsidP="00A9140F">
            <w:pPr>
              <w:pStyle w:val="AnnexTableCellLeft"/>
              <w:rPr>
                <w:szCs w:val="18"/>
              </w:rPr>
            </w:pPr>
            <w:r>
              <w:t>Bein losun á gróðurhúsalofttegundum í starfseminni er minni en 270 g CO</w:t>
            </w:r>
            <w:r>
              <w:rPr>
                <w:vertAlign w:val="subscript"/>
              </w:rPr>
              <w:t>2</w:t>
            </w:r>
            <w:r>
              <w:t>e/kWh.</w:t>
            </w:r>
          </w:p>
        </w:tc>
      </w:tr>
      <w:tr w:rsidR="006D7A4B" w14:paraId="15B74CF1" w14:textId="77777777" w:rsidTr="00A9140F">
        <w:tc>
          <w:tcPr>
            <w:tcW w:w="2952" w:type="dxa"/>
            <w:tcMar>
              <w:top w:w="100" w:type="dxa"/>
              <w:left w:w="0" w:type="dxa"/>
              <w:bottom w:w="100" w:type="dxa"/>
              <w:right w:w="60" w:type="dxa"/>
            </w:tcMar>
          </w:tcPr>
          <w:p w14:paraId="21144395"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84" w:type="dxa"/>
            <w:tcMar>
              <w:top w:w="100" w:type="dxa"/>
              <w:left w:w="60" w:type="dxa"/>
              <w:bottom w:w="100" w:type="dxa"/>
              <w:right w:w="0" w:type="dxa"/>
            </w:tcMar>
          </w:tcPr>
          <w:p w14:paraId="21716187"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3653B7A2" w14:textId="77777777" w:rsidTr="00A9140F">
        <w:tc>
          <w:tcPr>
            <w:tcW w:w="2952" w:type="dxa"/>
            <w:tcMar>
              <w:top w:w="100" w:type="dxa"/>
              <w:left w:w="0" w:type="dxa"/>
              <w:bottom w:w="100" w:type="dxa"/>
              <w:right w:w="60" w:type="dxa"/>
            </w:tcMar>
          </w:tcPr>
          <w:p w14:paraId="340F654F" w14:textId="77777777" w:rsidR="006D7A4B" w:rsidRDefault="006D7A4B" w:rsidP="00A9140F">
            <w:pPr>
              <w:pStyle w:val="AnnexNumberedText"/>
              <w:spacing w:after="0"/>
              <w:ind w:left="293" w:hanging="293"/>
              <w:rPr>
                <w:szCs w:val="18"/>
              </w:rPr>
            </w:pPr>
            <w:r>
              <w:t>4)</w:t>
            </w:r>
            <w:r>
              <w:tab/>
              <w:t>Umskipti yfir í hringrásarhagkerfi</w:t>
            </w:r>
          </w:p>
        </w:tc>
        <w:tc>
          <w:tcPr>
            <w:tcW w:w="5784" w:type="dxa"/>
            <w:tcMar>
              <w:top w:w="100" w:type="dxa"/>
              <w:left w:w="60" w:type="dxa"/>
              <w:bottom w:w="100" w:type="dxa"/>
              <w:right w:w="0" w:type="dxa"/>
            </w:tcMar>
          </w:tcPr>
          <w:p w14:paraId="4DAE6489" w14:textId="77777777" w:rsidR="006D7A4B" w:rsidRDefault="006D7A4B" w:rsidP="00A9140F">
            <w:pPr>
              <w:pStyle w:val="AnnexTableCellLeft"/>
              <w:rPr>
                <w:szCs w:val="18"/>
              </w:rPr>
            </w:pPr>
            <w:r>
              <w:t>Á ekki við</w:t>
            </w:r>
          </w:p>
        </w:tc>
      </w:tr>
      <w:tr w:rsidR="006D7A4B" w14:paraId="24521D20" w14:textId="77777777" w:rsidTr="00A9140F">
        <w:tc>
          <w:tcPr>
            <w:tcW w:w="2952" w:type="dxa"/>
            <w:tcMar>
              <w:top w:w="100" w:type="dxa"/>
              <w:left w:w="0" w:type="dxa"/>
              <w:bottom w:w="100" w:type="dxa"/>
              <w:right w:w="60" w:type="dxa"/>
            </w:tcMar>
          </w:tcPr>
          <w:p w14:paraId="44B88FDA" w14:textId="77777777" w:rsidR="006D7A4B" w:rsidRDefault="006D7A4B" w:rsidP="00A9140F">
            <w:pPr>
              <w:pStyle w:val="AnnexNumberedText"/>
              <w:spacing w:after="0"/>
              <w:ind w:left="293" w:hanging="293"/>
              <w:rPr>
                <w:szCs w:val="18"/>
              </w:rPr>
            </w:pPr>
            <w:r>
              <w:t>5)</w:t>
            </w:r>
            <w:r>
              <w:tab/>
              <w:t>Mengunarvarnir og eftirlit með mengun</w:t>
            </w:r>
          </w:p>
        </w:tc>
        <w:tc>
          <w:tcPr>
            <w:tcW w:w="5784" w:type="dxa"/>
            <w:tcMar>
              <w:top w:w="100" w:type="dxa"/>
              <w:left w:w="60" w:type="dxa"/>
              <w:bottom w:w="100" w:type="dxa"/>
              <w:right w:w="0" w:type="dxa"/>
            </w:tcMar>
          </w:tcPr>
          <w:p w14:paraId="77737B67" w14:textId="77777777" w:rsidR="006D7A4B" w:rsidRDefault="006D7A4B" w:rsidP="00A9140F">
            <w:pPr>
              <w:pStyle w:val="AnnexTableCellLeft"/>
              <w:rPr>
                <w:szCs w:val="18"/>
              </w:rPr>
            </w:pPr>
            <w:r>
              <w:t>Að því er varðar rekstur jarðvarmaorkukerfa með háu vermi eru fullnægjandi hreinsunarkerfi til staðar til að draga úr losun í því skyni að hindra ekki að viðmiðunarmörk fyrir loftgæði náist, sem sett eru fram í tilskipun 2004/107/EB og tilskipun 2008/50/EB.</w:t>
            </w:r>
          </w:p>
        </w:tc>
      </w:tr>
      <w:tr w:rsidR="006D7A4B" w14:paraId="111132B2" w14:textId="77777777" w:rsidTr="00A9140F">
        <w:tc>
          <w:tcPr>
            <w:tcW w:w="2952" w:type="dxa"/>
            <w:tcMar>
              <w:top w:w="100" w:type="dxa"/>
              <w:left w:w="0" w:type="dxa"/>
              <w:bottom w:w="100" w:type="dxa"/>
              <w:right w:w="60" w:type="dxa"/>
            </w:tcMar>
          </w:tcPr>
          <w:p w14:paraId="7D340E17"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84" w:type="dxa"/>
            <w:tcMar>
              <w:top w:w="100" w:type="dxa"/>
              <w:left w:w="60" w:type="dxa"/>
              <w:bottom w:w="100" w:type="dxa"/>
              <w:right w:w="0" w:type="dxa"/>
            </w:tcMar>
          </w:tcPr>
          <w:p w14:paraId="510D94C5" w14:textId="77777777" w:rsidR="006D7A4B" w:rsidRDefault="006D7A4B" w:rsidP="00A9140F">
            <w:pPr>
              <w:pStyle w:val="AnnexTableCellLeft"/>
              <w:rPr>
                <w:szCs w:val="18"/>
              </w:rPr>
            </w:pPr>
            <w:r>
              <w:t>Starfsemin er í samræmi við viðmiðanirnar sem settar eru fram í viðbæti D við þennan viðauka.</w:t>
            </w:r>
          </w:p>
        </w:tc>
      </w:tr>
    </w:tbl>
    <w:p w14:paraId="5BD28412" w14:textId="77777777" w:rsidR="006D7A4B" w:rsidRDefault="006D7A4B" w:rsidP="006D7A4B">
      <w:pPr>
        <w:pStyle w:val="AnnexNumberedText"/>
        <w:spacing w:before="120"/>
        <w:ind w:left="504" w:hanging="504"/>
        <w:rPr>
          <w:szCs w:val="18"/>
        </w:rPr>
      </w:pPr>
      <w:r>
        <w:t>4.7.</w:t>
      </w:r>
      <w:r>
        <w:rPr>
          <w:b/>
        </w:rPr>
        <w:tab/>
        <w:t>Raforkuframleiðsla úr endurnýjanlegu loftkenndu eldsneyti sem er ekki jarðefnaeldsneyti og fljótandi eldsneyti</w:t>
      </w:r>
    </w:p>
    <w:p w14:paraId="3621833A" w14:textId="77777777" w:rsidR="006D7A4B" w:rsidRDefault="006D7A4B" w:rsidP="006D7A4B">
      <w:pPr>
        <w:pStyle w:val="AnnexGrSeq3"/>
        <w:spacing w:after="120"/>
        <w:ind w:left="504"/>
        <w:jc w:val="both"/>
        <w:rPr>
          <w:szCs w:val="18"/>
        </w:rPr>
      </w:pPr>
      <w:r>
        <w:rPr>
          <w:i/>
        </w:rPr>
        <w:t>Lýsing á starfseminni</w:t>
      </w:r>
    </w:p>
    <w:p w14:paraId="3EB415FF" w14:textId="77777777" w:rsidR="006D7A4B" w:rsidRDefault="006D7A4B" w:rsidP="006D7A4B">
      <w:pPr>
        <w:pStyle w:val="AnnexNormal"/>
        <w:spacing w:after="500"/>
        <w:ind w:left="504"/>
        <w:rPr>
          <w:szCs w:val="18"/>
        </w:rPr>
      </w:pPr>
      <w:r>
        <w:t>Bygging eða rekstur raforkuframleiðslustöðva sem framleiða raforku með notkun loftkennds og fljótandi eldsneytis af endurnýjanlegum uppruna. Þessi starfsemi nær ekki yfir framleiðslu á raforku þar sem einungis er notað lífgas og fljótandi lífeldsneyti (sjá þátt 4.8 í þessum viðauka).</w:t>
      </w:r>
    </w:p>
    <w:p w14:paraId="1DBCADE2" w14:textId="77777777" w:rsidR="006D7A4B" w:rsidRDefault="006D7A4B" w:rsidP="006D7A4B">
      <w:pPr>
        <w:pStyle w:val="AnnexNormal"/>
        <w:spacing w:after="500"/>
        <w:ind w:left="504"/>
        <w:rPr>
          <w:szCs w:val="18"/>
        </w:rPr>
      </w:pPr>
      <w:r>
        <w:t>Atvinnustarfsemin í þessum flokki gæti tengst nokkrum kóðum atvinnugreinaflokkunar Evrópusambandsins, einkum D35.11 og F42.22, í samræmi við atvinnugreinaflokkunina sem komið var á með reglugerð (EB) nr. 1893/2006.</w:t>
      </w:r>
    </w:p>
    <w:p w14:paraId="6A676D33"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880"/>
        <w:gridCol w:w="5856"/>
      </w:tblGrid>
      <w:tr w:rsidR="006D7A4B" w14:paraId="36C2F940" w14:textId="77777777" w:rsidTr="00A9140F">
        <w:trPr>
          <w:trHeight w:val="280"/>
        </w:trPr>
        <w:tc>
          <w:tcPr>
            <w:tcW w:w="8736" w:type="dxa"/>
            <w:gridSpan w:val="2"/>
            <w:tcBorders>
              <w:bottom w:val="single" w:sz="4" w:space="0" w:color="auto"/>
            </w:tcBorders>
            <w:tcMar>
              <w:left w:w="0" w:type="dxa"/>
              <w:right w:w="60" w:type="dxa"/>
            </w:tcMar>
          </w:tcPr>
          <w:p w14:paraId="1CD51CEA" w14:textId="77777777" w:rsidR="006D7A4B" w:rsidRDefault="006D7A4B" w:rsidP="00A9140F">
            <w:pPr>
              <w:pStyle w:val="AnnexTableCellLeft"/>
              <w:spacing w:before="40" w:after="40"/>
              <w:rPr>
                <w:szCs w:val="18"/>
              </w:rPr>
            </w:pPr>
            <w:r>
              <w:t>Verulegt framlag til aðlögunar að loftslagsbreytingum</w:t>
            </w:r>
          </w:p>
        </w:tc>
      </w:tr>
      <w:tr w:rsidR="006D7A4B" w14:paraId="5E0820B9" w14:textId="77777777" w:rsidTr="00A9140F">
        <w:trPr>
          <w:trHeight w:val="360"/>
        </w:trPr>
        <w:tc>
          <w:tcPr>
            <w:tcW w:w="8736" w:type="dxa"/>
            <w:gridSpan w:val="2"/>
            <w:tcBorders>
              <w:bottom w:val="nil"/>
            </w:tcBorders>
            <w:tcMar>
              <w:left w:w="0" w:type="dxa"/>
              <w:right w:w="60" w:type="dxa"/>
            </w:tcMar>
          </w:tcPr>
          <w:p w14:paraId="70E0E796" w14:textId="77777777" w:rsidR="006D7A4B" w:rsidRDefault="006D7A4B" w:rsidP="00A9140F">
            <w:pPr>
              <w:pStyle w:val="AnnexNumberedText"/>
              <w:tabs>
                <w:tab w:val="left" w:pos="396"/>
              </w:tabs>
              <w:spacing w:before="60" w:after="5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F214F70" w14:textId="77777777" w:rsidR="006D7A4B" w:rsidRDefault="006D7A4B" w:rsidP="00A9140F">
            <w:pPr>
              <w:pStyle w:val="AnnexNumberedText"/>
              <w:tabs>
                <w:tab w:val="left" w:pos="396"/>
              </w:tabs>
              <w:spacing w:after="5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BF175E5" w14:textId="77777777" w:rsidR="006D7A4B" w:rsidRDefault="006D7A4B" w:rsidP="00A9140F">
            <w:pPr>
              <w:pStyle w:val="AnnexNumberedText"/>
              <w:spacing w:after="5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944B5EC" w14:textId="77777777" w:rsidR="006D7A4B" w:rsidRDefault="006D7A4B" w:rsidP="00A9140F">
            <w:pPr>
              <w:pStyle w:val="AnnexNumberedText"/>
              <w:spacing w:after="5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C03EF82" w14:textId="77777777" w:rsidR="006D7A4B" w:rsidRDefault="006D7A4B" w:rsidP="00A9140F">
            <w:pPr>
              <w:pStyle w:val="AnnexNumberedText"/>
              <w:spacing w:after="0"/>
              <w:rPr>
                <w:szCs w:val="18"/>
              </w:rPr>
            </w:pPr>
            <w:r>
              <w:lastRenderedPageBreak/>
              <w:t>c)</w:t>
            </w:r>
            <w:r>
              <w:tab/>
              <w:t>mat á aðlögunarlausnum sem geta dregið úr greindri efnislegri loftslagsáhættu.</w:t>
            </w:r>
          </w:p>
        </w:tc>
      </w:tr>
      <w:tr w:rsidR="006D7A4B" w14:paraId="5C7E1583" w14:textId="77777777" w:rsidTr="00A9140F">
        <w:trPr>
          <w:trHeight w:val="360"/>
        </w:trPr>
        <w:tc>
          <w:tcPr>
            <w:tcW w:w="8736" w:type="dxa"/>
            <w:gridSpan w:val="2"/>
            <w:tcBorders>
              <w:top w:val="nil"/>
            </w:tcBorders>
            <w:tcMar>
              <w:left w:w="0" w:type="dxa"/>
              <w:right w:w="60" w:type="dxa"/>
            </w:tcMar>
          </w:tcPr>
          <w:p w14:paraId="78DC3285" w14:textId="77777777" w:rsidR="006D7A4B" w:rsidRDefault="006D7A4B" w:rsidP="00A9140F">
            <w:pPr>
              <w:pStyle w:val="AnnexTableCellLeft"/>
              <w:pageBreakBefore/>
              <w:spacing w:after="400"/>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328B05F0" w14:textId="77777777" w:rsidR="006D7A4B" w:rsidRDefault="006D7A4B" w:rsidP="00A9140F">
            <w:pPr>
              <w:pStyle w:val="AnnexNumberedText"/>
              <w:spacing w:after="4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A6F9823" w14:textId="77777777" w:rsidR="006D7A4B" w:rsidRDefault="006D7A4B" w:rsidP="00A9140F">
            <w:pPr>
              <w:pStyle w:val="AnnexNumberedText"/>
              <w:spacing w:after="4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1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62C4949" w14:textId="77777777" w:rsidR="006D7A4B" w:rsidRDefault="006D7A4B" w:rsidP="00A9140F">
            <w:pPr>
              <w:pStyle w:val="AnnexNumberedText"/>
              <w:tabs>
                <w:tab w:val="left" w:pos="396"/>
              </w:tabs>
              <w:spacing w:after="4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17"/>
            </w:r>
            <w:r>
              <w:t>), vísindalegt ritrýnt útgefið efni og líkön með opnum aðgangi (</w:t>
            </w:r>
            <w:r>
              <w:rPr>
                <w:rStyle w:val="Tilvsunneanmlsgrein"/>
                <w:sz w:val="18"/>
                <w:szCs w:val="18"/>
              </w:rPr>
              <w:footnoteReference w:id="618"/>
            </w:r>
            <w:r>
              <w:t>) eða gegn greiðslu.</w:t>
            </w:r>
          </w:p>
          <w:p w14:paraId="2C0455CE" w14:textId="77777777" w:rsidR="006D7A4B" w:rsidRDefault="006D7A4B" w:rsidP="00A9140F">
            <w:pPr>
              <w:pStyle w:val="AnnexNumberedText"/>
              <w:tabs>
                <w:tab w:val="left" w:pos="396"/>
              </w:tabs>
              <w:spacing w:after="400"/>
              <w:ind w:left="0" w:firstLine="0"/>
              <w:rPr>
                <w:szCs w:val="18"/>
              </w:rPr>
            </w:pPr>
            <w:r>
              <w:t>4.</w:t>
            </w:r>
            <w:r>
              <w:tab/>
              <w:t>Aðlögunarlausnir sem komið er í framkvæmd:</w:t>
            </w:r>
          </w:p>
          <w:p w14:paraId="3D5C82F9"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21195AB5"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619"/>
            </w:r>
            <w:r>
              <w:t>) í forgangi eða treyst er á bláa eða græna innviði (</w:t>
            </w:r>
            <w:r>
              <w:rPr>
                <w:rStyle w:val="Tilvsunneanmlsgrein"/>
                <w:sz w:val="18"/>
                <w:szCs w:val="18"/>
              </w:rPr>
              <w:footnoteReference w:id="620"/>
            </w:r>
            <w:r>
              <w:t>) að því marki sem mögulegt er,</w:t>
            </w:r>
          </w:p>
          <w:p w14:paraId="64B999D5"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3F4F768B"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6837721"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9E77FE6" w14:textId="77777777" w:rsidTr="00A9140F">
        <w:tc>
          <w:tcPr>
            <w:tcW w:w="8736" w:type="dxa"/>
            <w:gridSpan w:val="2"/>
            <w:tcMar>
              <w:top w:w="100" w:type="dxa"/>
              <w:left w:w="0" w:type="dxa"/>
              <w:bottom w:w="100" w:type="dxa"/>
              <w:right w:w="60" w:type="dxa"/>
            </w:tcMar>
          </w:tcPr>
          <w:p w14:paraId="6C0C2B56" w14:textId="77777777" w:rsidR="006D7A4B" w:rsidRDefault="006D7A4B" w:rsidP="00A9140F">
            <w:pPr>
              <w:pStyle w:val="AnnexTableCellLeft"/>
              <w:rPr>
                <w:szCs w:val="18"/>
              </w:rPr>
            </w:pPr>
            <w:r>
              <w:t>Ekki valda umtalsverðu tjóni</w:t>
            </w:r>
          </w:p>
        </w:tc>
      </w:tr>
      <w:tr w:rsidR="006D7A4B" w14:paraId="5FB59AD2" w14:textId="77777777" w:rsidTr="00A9140F">
        <w:tc>
          <w:tcPr>
            <w:tcW w:w="2880" w:type="dxa"/>
            <w:tcMar>
              <w:top w:w="100" w:type="dxa"/>
              <w:left w:w="0" w:type="dxa"/>
              <w:bottom w:w="100" w:type="dxa"/>
              <w:right w:w="60" w:type="dxa"/>
            </w:tcMar>
          </w:tcPr>
          <w:p w14:paraId="3122658F" w14:textId="77777777" w:rsidR="006D7A4B" w:rsidRDefault="006D7A4B" w:rsidP="00A9140F">
            <w:pPr>
              <w:pStyle w:val="AnnexNumberedText"/>
              <w:spacing w:after="0"/>
              <w:ind w:left="293" w:hanging="293"/>
              <w:rPr>
                <w:szCs w:val="18"/>
              </w:rPr>
            </w:pPr>
            <w:r>
              <w:t>1)</w:t>
            </w:r>
            <w:r>
              <w:tab/>
              <w:t>Mildun loftslagsbreytinga</w:t>
            </w:r>
          </w:p>
        </w:tc>
        <w:tc>
          <w:tcPr>
            <w:tcW w:w="5856" w:type="dxa"/>
            <w:tcMar>
              <w:top w:w="100" w:type="dxa"/>
              <w:left w:w="60" w:type="dxa"/>
              <w:bottom w:w="100" w:type="dxa"/>
              <w:right w:w="0" w:type="dxa"/>
            </w:tcMar>
          </w:tcPr>
          <w:p w14:paraId="0F9EF1F9" w14:textId="77777777" w:rsidR="006D7A4B" w:rsidRDefault="006D7A4B" w:rsidP="00A9140F">
            <w:pPr>
              <w:pStyle w:val="AnnexTableCellLeft"/>
              <w:rPr>
                <w:szCs w:val="18"/>
              </w:rPr>
            </w:pPr>
            <w:r>
              <w:t>Bein losun á gróðurhúsalofttegundum í starfseminni er minni en 270 g CO</w:t>
            </w:r>
            <w:r>
              <w:rPr>
                <w:vertAlign w:val="subscript"/>
              </w:rPr>
              <w:t>2</w:t>
            </w:r>
            <w:r>
              <w:t>e/kWh.</w:t>
            </w:r>
          </w:p>
        </w:tc>
      </w:tr>
      <w:tr w:rsidR="006D7A4B" w14:paraId="6A4A2308" w14:textId="77777777" w:rsidTr="00A9140F">
        <w:tc>
          <w:tcPr>
            <w:tcW w:w="2880" w:type="dxa"/>
            <w:tcMar>
              <w:top w:w="100" w:type="dxa"/>
              <w:left w:w="0" w:type="dxa"/>
              <w:bottom w:w="100" w:type="dxa"/>
              <w:right w:w="60" w:type="dxa"/>
            </w:tcMar>
          </w:tcPr>
          <w:p w14:paraId="5501616D"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56" w:type="dxa"/>
            <w:tcMar>
              <w:top w:w="100" w:type="dxa"/>
              <w:left w:w="60" w:type="dxa"/>
              <w:bottom w:w="100" w:type="dxa"/>
              <w:right w:w="0" w:type="dxa"/>
            </w:tcMar>
          </w:tcPr>
          <w:p w14:paraId="31036518"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412E73F9" w14:textId="77777777" w:rsidTr="00A9140F">
        <w:tc>
          <w:tcPr>
            <w:tcW w:w="2880" w:type="dxa"/>
            <w:tcMar>
              <w:top w:w="100" w:type="dxa"/>
              <w:left w:w="0" w:type="dxa"/>
              <w:bottom w:w="100" w:type="dxa"/>
              <w:right w:w="60" w:type="dxa"/>
            </w:tcMar>
          </w:tcPr>
          <w:p w14:paraId="392ED787" w14:textId="77777777" w:rsidR="006D7A4B" w:rsidRDefault="006D7A4B" w:rsidP="00A9140F">
            <w:pPr>
              <w:pStyle w:val="AnnexNumberedText"/>
              <w:spacing w:after="0"/>
              <w:ind w:left="293" w:hanging="293"/>
              <w:rPr>
                <w:szCs w:val="18"/>
              </w:rPr>
            </w:pPr>
            <w:r>
              <w:t>4)</w:t>
            </w:r>
            <w:r>
              <w:tab/>
              <w:t>Umskipti yfir í hringrásarhagkerfi</w:t>
            </w:r>
          </w:p>
        </w:tc>
        <w:tc>
          <w:tcPr>
            <w:tcW w:w="5856" w:type="dxa"/>
            <w:tcMar>
              <w:top w:w="100" w:type="dxa"/>
              <w:left w:w="60" w:type="dxa"/>
              <w:bottom w:w="100" w:type="dxa"/>
              <w:right w:w="0" w:type="dxa"/>
            </w:tcMar>
          </w:tcPr>
          <w:p w14:paraId="550F25EA" w14:textId="77777777" w:rsidR="006D7A4B" w:rsidRDefault="006D7A4B" w:rsidP="00A9140F">
            <w:pPr>
              <w:pStyle w:val="AnnexTableCellLeft"/>
              <w:rPr>
                <w:szCs w:val="18"/>
              </w:rPr>
            </w:pPr>
            <w:r>
              <w:t>Á ekki við</w:t>
            </w:r>
          </w:p>
        </w:tc>
      </w:tr>
      <w:tr w:rsidR="006D7A4B" w14:paraId="14107EAD" w14:textId="77777777" w:rsidTr="00A9140F">
        <w:tc>
          <w:tcPr>
            <w:tcW w:w="2880" w:type="dxa"/>
            <w:tcMar>
              <w:top w:w="100" w:type="dxa"/>
              <w:left w:w="0" w:type="dxa"/>
              <w:bottom w:w="100" w:type="dxa"/>
              <w:right w:w="60" w:type="dxa"/>
            </w:tcMar>
          </w:tcPr>
          <w:p w14:paraId="2E23FBDD" w14:textId="77777777" w:rsidR="006D7A4B" w:rsidRDefault="006D7A4B" w:rsidP="00A9140F">
            <w:pPr>
              <w:pStyle w:val="AnnexNumberedText"/>
              <w:pageBreakBefore/>
              <w:spacing w:after="0"/>
              <w:ind w:left="293" w:hanging="293"/>
              <w:rPr>
                <w:szCs w:val="18"/>
              </w:rPr>
            </w:pPr>
            <w:r>
              <w:lastRenderedPageBreak/>
              <w:t>5)</w:t>
            </w:r>
            <w:r>
              <w:tab/>
              <w:t>Mengunarvarnir og eftirlit með mengun</w:t>
            </w:r>
          </w:p>
        </w:tc>
        <w:tc>
          <w:tcPr>
            <w:tcW w:w="5856" w:type="dxa"/>
            <w:tcMar>
              <w:top w:w="100" w:type="dxa"/>
              <w:left w:w="60" w:type="dxa"/>
              <w:bottom w:w="100" w:type="dxa"/>
              <w:right w:w="0" w:type="dxa"/>
            </w:tcMar>
          </w:tcPr>
          <w:p w14:paraId="3582100C" w14:textId="77777777" w:rsidR="006D7A4B" w:rsidRDefault="006D7A4B" w:rsidP="00A9140F">
            <w:pPr>
              <w:pStyle w:val="AnnexTableCellLeft"/>
              <w:spacing w:after="300"/>
              <w:rPr>
                <w:szCs w:val="18"/>
              </w:rPr>
            </w:pPr>
            <w:r>
              <w:t>Losun fellur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621"/>
            </w:r>
            <w:r>
              <w:t>). Engin umtalsverð yfirfærsluáhrif milli umhverfishólfa eiga sér stað.</w:t>
            </w:r>
          </w:p>
          <w:p w14:paraId="59AE7021" w14:textId="77777777" w:rsidR="006D7A4B" w:rsidRDefault="006D7A4B" w:rsidP="00A9140F">
            <w:pPr>
              <w:pStyle w:val="AnnexTableCellLeft"/>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tc>
      </w:tr>
      <w:tr w:rsidR="006D7A4B" w14:paraId="184D2E73" w14:textId="77777777" w:rsidTr="00A9140F">
        <w:tc>
          <w:tcPr>
            <w:tcW w:w="2880" w:type="dxa"/>
            <w:tcMar>
              <w:top w:w="100" w:type="dxa"/>
              <w:left w:w="0" w:type="dxa"/>
              <w:bottom w:w="100" w:type="dxa"/>
              <w:right w:w="60" w:type="dxa"/>
            </w:tcMar>
          </w:tcPr>
          <w:p w14:paraId="57D880C6"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856" w:type="dxa"/>
            <w:tcMar>
              <w:top w:w="100" w:type="dxa"/>
              <w:left w:w="60" w:type="dxa"/>
              <w:bottom w:w="100" w:type="dxa"/>
              <w:right w:w="0" w:type="dxa"/>
            </w:tcMar>
          </w:tcPr>
          <w:p w14:paraId="27D1022D" w14:textId="77777777" w:rsidR="006D7A4B" w:rsidRDefault="006D7A4B" w:rsidP="00A9140F">
            <w:pPr>
              <w:pStyle w:val="AnnexTableCellLeft"/>
              <w:rPr>
                <w:szCs w:val="18"/>
              </w:rPr>
            </w:pPr>
            <w:r>
              <w:t>Starfsemin er í samræmi við viðmiðanirnar sem settar eru fram í viðbæti D við þennan viðauka.</w:t>
            </w:r>
          </w:p>
        </w:tc>
      </w:tr>
    </w:tbl>
    <w:p w14:paraId="63FBAACC" w14:textId="77777777" w:rsidR="006D7A4B" w:rsidRDefault="006D7A4B" w:rsidP="006D7A4B">
      <w:pPr>
        <w:pStyle w:val="AnnexNumberedText"/>
        <w:spacing w:before="60"/>
        <w:ind w:left="504" w:hanging="504"/>
        <w:rPr>
          <w:szCs w:val="18"/>
        </w:rPr>
      </w:pPr>
      <w:r>
        <w:t>4.8.</w:t>
      </w:r>
      <w:r>
        <w:rPr>
          <w:b/>
        </w:rPr>
        <w:tab/>
        <w:t>Raforkuframleiðsla úr líforku</w:t>
      </w:r>
    </w:p>
    <w:p w14:paraId="48D436B7" w14:textId="77777777" w:rsidR="006D7A4B" w:rsidRDefault="006D7A4B" w:rsidP="006D7A4B">
      <w:pPr>
        <w:pStyle w:val="AnnexGrSeq3"/>
        <w:spacing w:after="120"/>
        <w:ind w:left="504"/>
        <w:jc w:val="both"/>
        <w:rPr>
          <w:szCs w:val="18"/>
        </w:rPr>
      </w:pPr>
      <w:r>
        <w:rPr>
          <w:i/>
        </w:rPr>
        <w:t>Lýsing á starfseminni</w:t>
      </w:r>
    </w:p>
    <w:p w14:paraId="1043E5D2" w14:textId="77777777" w:rsidR="006D7A4B" w:rsidRDefault="006D7A4B" w:rsidP="006D7A4B">
      <w:pPr>
        <w:pStyle w:val="AnnexNormal"/>
        <w:spacing w:after="300"/>
        <w:ind w:left="504"/>
        <w:rPr>
          <w:szCs w:val="18"/>
        </w:rPr>
      </w:pPr>
      <w:r>
        <w:t>Bygging og rekstur raforkuframleiðslustöðva sem framleiða raforku eingöngu úr lífmassa, lífgasi eða fljótandi lífeldsneyti, að undanskilinni raforkuframleiðslu úr blöndu af endurnýjanlegu eldsneyti með lífgasi eða fljótandi lífeldsneyti (sjá þátt 4.7 í þessum viðauka).</w:t>
      </w:r>
    </w:p>
    <w:p w14:paraId="17D46CE1" w14:textId="77777777" w:rsidR="006D7A4B" w:rsidRDefault="006D7A4B" w:rsidP="006D7A4B">
      <w:pPr>
        <w:pStyle w:val="AnnexNormal"/>
        <w:spacing w:after="300"/>
        <w:ind w:left="504"/>
        <w:rPr>
          <w:szCs w:val="18"/>
        </w:rPr>
      </w:pPr>
      <w:r>
        <w:t>Atvinnustarfsemin í þessum flokki gæti tengst kóða atvinnugreinaflokkunar Evrópusambandsins D35.11 í samræmi við atvinnugreinaflokkunina sem komið var á með reglugerð (EB) nr. 1893/2006.</w:t>
      </w:r>
    </w:p>
    <w:p w14:paraId="4B61A112"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ook w:val="04A0" w:firstRow="1" w:lastRow="0" w:firstColumn="1" w:lastColumn="0" w:noHBand="0" w:noVBand="1"/>
      </w:tblPr>
      <w:tblGrid>
        <w:gridCol w:w="2904"/>
        <w:gridCol w:w="5832"/>
      </w:tblGrid>
      <w:tr w:rsidR="006D7A4B" w14:paraId="206F8706" w14:textId="77777777" w:rsidTr="00A9140F">
        <w:trPr>
          <w:trHeight w:val="280"/>
        </w:trPr>
        <w:tc>
          <w:tcPr>
            <w:tcW w:w="8736" w:type="dxa"/>
            <w:gridSpan w:val="2"/>
            <w:tcBorders>
              <w:bottom w:val="single" w:sz="4" w:space="0" w:color="auto"/>
            </w:tcBorders>
            <w:tcMar>
              <w:left w:w="0" w:type="dxa"/>
              <w:right w:w="60" w:type="dxa"/>
            </w:tcMar>
          </w:tcPr>
          <w:p w14:paraId="7B6D0541" w14:textId="77777777" w:rsidR="006D7A4B" w:rsidRDefault="006D7A4B" w:rsidP="00A9140F">
            <w:pPr>
              <w:pStyle w:val="AnnexTableCellLeft"/>
              <w:spacing w:before="40" w:after="40"/>
              <w:rPr>
                <w:szCs w:val="18"/>
              </w:rPr>
            </w:pPr>
            <w:r>
              <w:t>Verulegt framlag til aðlögunar að loftslagsbreytingum</w:t>
            </w:r>
          </w:p>
        </w:tc>
      </w:tr>
      <w:tr w:rsidR="006D7A4B" w14:paraId="7FFB043C" w14:textId="77777777" w:rsidTr="00A9140F">
        <w:trPr>
          <w:trHeight w:val="360"/>
        </w:trPr>
        <w:tc>
          <w:tcPr>
            <w:tcW w:w="8736" w:type="dxa"/>
            <w:gridSpan w:val="2"/>
            <w:tcBorders>
              <w:bottom w:val="nil"/>
            </w:tcBorders>
            <w:tcMar>
              <w:left w:w="0" w:type="dxa"/>
              <w:right w:w="60" w:type="dxa"/>
            </w:tcMar>
          </w:tcPr>
          <w:p w14:paraId="719BC71F" w14:textId="77777777" w:rsidR="006D7A4B" w:rsidRDefault="006D7A4B" w:rsidP="00A9140F">
            <w:pPr>
              <w:pStyle w:val="AnnexNumberedText"/>
              <w:tabs>
                <w:tab w:val="left" w:pos="396"/>
              </w:tabs>
              <w:spacing w:before="60"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0032D738" w14:textId="77777777" w:rsidR="006D7A4B" w:rsidRDefault="006D7A4B"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97722A3" w14:textId="77777777" w:rsidR="006D7A4B" w:rsidRDefault="006D7A4B"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A788FE6" w14:textId="77777777" w:rsidR="006D7A4B" w:rsidRDefault="006D7A4B"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E3533C2" w14:textId="77777777" w:rsidR="006D7A4B" w:rsidRDefault="006D7A4B" w:rsidP="00A9140F">
            <w:pPr>
              <w:pStyle w:val="AnnexNumberedText"/>
              <w:spacing w:after="200"/>
              <w:rPr>
                <w:szCs w:val="18"/>
              </w:rPr>
            </w:pPr>
            <w:r>
              <w:t>c)</w:t>
            </w:r>
            <w:r>
              <w:tab/>
              <w:t>mat á aðlögunarlausnum sem geta dregið úr greindri efnislegri loftslagsáhættu.</w:t>
            </w:r>
          </w:p>
          <w:p w14:paraId="0A0F8514" w14:textId="77777777" w:rsidR="006D7A4B" w:rsidRDefault="006D7A4B"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1070FD73" w14:textId="77777777" w:rsidR="006D7A4B" w:rsidRDefault="006D7A4B"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9B7EC8F" w14:textId="77777777" w:rsidR="006D7A4B" w:rsidRDefault="006D7A4B" w:rsidP="00A9140F">
            <w:pPr>
              <w:pStyle w:val="AnnexNumberedText"/>
              <w:spacing w:after="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22"/>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1CC3A7FE" w14:textId="77777777" w:rsidTr="00A9140F">
        <w:trPr>
          <w:trHeight w:val="360"/>
        </w:trPr>
        <w:tc>
          <w:tcPr>
            <w:tcW w:w="8736" w:type="dxa"/>
            <w:gridSpan w:val="2"/>
            <w:tcBorders>
              <w:top w:val="nil"/>
            </w:tcBorders>
            <w:tcMar>
              <w:left w:w="0" w:type="dxa"/>
              <w:right w:w="60" w:type="dxa"/>
            </w:tcMar>
          </w:tcPr>
          <w:p w14:paraId="5BDE6D47" w14:textId="77777777" w:rsidR="006D7A4B" w:rsidRDefault="006D7A4B" w:rsidP="00A9140F">
            <w:pPr>
              <w:pStyle w:val="AnnexNumberedText"/>
              <w:pageBreakBefore/>
              <w:tabs>
                <w:tab w:val="left" w:pos="396"/>
              </w:tabs>
              <w:spacing w:after="4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23"/>
            </w:r>
            <w:r>
              <w:t>), vísindalegt ritrýnt útgefið efni og líkön með opnum aðgangi (</w:t>
            </w:r>
            <w:r>
              <w:rPr>
                <w:rStyle w:val="Tilvsunneanmlsgrein"/>
                <w:sz w:val="18"/>
                <w:szCs w:val="18"/>
              </w:rPr>
              <w:footnoteReference w:id="624"/>
            </w:r>
            <w:r>
              <w:t>) eða gegn greiðslu.</w:t>
            </w:r>
          </w:p>
          <w:p w14:paraId="7F1323D1" w14:textId="77777777" w:rsidR="006D7A4B" w:rsidRDefault="006D7A4B" w:rsidP="00A9140F">
            <w:pPr>
              <w:pStyle w:val="AnnexNumberedText"/>
              <w:tabs>
                <w:tab w:val="left" w:pos="396"/>
              </w:tabs>
              <w:spacing w:after="400"/>
              <w:ind w:left="0" w:firstLine="0"/>
              <w:rPr>
                <w:szCs w:val="18"/>
              </w:rPr>
            </w:pPr>
            <w:r>
              <w:t>4.</w:t>
            </w:r>
            <w:r>
              <w:tab/>
              <w:t>Aðlögunarlausnir sem komið er í framkvæmd:</w:t>
            </w:r>
          </w:p>
          <w:p w14:paraId="1C51FFC4"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10CDB8FB"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625"/>
            </w:r>
            <w:r>
              <w:t>) í forgangi eða treyst er á bláa eða græna innviði (</w:t>
            </w:r>
            <w:r>
              <w:rPr>
                <w:rStyle w:val="Tilvsunneanmlsgrein"/>
                <w:sz w:val="18"/>
                <w:szCs w:val="18"/>
              </w:rPr>
              <w:footnoteReference w:id="626"/>
            </w:r>
            <w:r>
              <w:t>) að því marki sem mögulegt er,</w:t>
            </w:r>
          </w:p>
          <w:p w14:paraId="3F3E2031"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4D65DBAE"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7A980EB"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67E2D09" w14:textId="77777777" w:rsidTr="00A9140F">
        <w:tc>
          <w:tcPr>
            <w:tcW w:w="8736" w:type="dxa"/>
            <w:gridSpan w:val="2"/>
            <w:tcMar>
              <w:top w:w="100" w:type="dxa"/>
              <w:left w:w="0" w:type="dxa"/>
              <w:bottom w:w="100" w:type="dxa"/>
              <w:right w:w="60" w:type="dxa"/>
            </w:tcMar>
          </w:tcPr>
          <w:p w14:paraId="19106EFA" w14:textId="77777777" w:rsidR="006D7A4B" w:rsidRDefault="006D7A4B" w:rsidP="00A9140F">
            <w:pPr>
              <w:pStyle w:val="AnnexTableCellLeft"/>
              <w:rPr>
                <w:szCs w:val="18"/>
              </w:rPr>
            </w:pPr>
            <w:r>
              <w:t>Ekki valda umtalsverðu tjóni</w:t>
            </w:r>
          </w:p>
        </w:tc>
      </w:tr>
      <w:tr w:rsidR="006D7A4B" w14:paraId="7F307F8D" w14:textId="77777777" w:rsidTr="00A9140F">
        <w:tc>
          <w:tcPr>
            <w:tcW w:w="2904" w:type="dxa"/>
            <w:tcMar>
              <w:top w:w="100" w:type="dxa"/>
              <w:left w:w="0" w:type="dxa"/>
              <w:bottom w:w="100" w:type="dxa"/>
              <w:right w:w="60" w:type="dxa"/>
            </w:tcMar>
          </w:tcPr>
          <w:p w14:paraId="51927F4C" w14:textId="77777777" w:rsidR="006D7A4B" w:rsidRDefault="006D7A4B" w:rsidP="00A9140F">
            <w:pPr>
              <w:pStyle w:val="AnnexNumberedText"/>
              <w:spacing w:after="0"/>
              <w:ind w:left="293" w:hanging="293"/>
              <w:rPr>
                <w:szCs w:val="18"/>
              </w:rPr>
            </w:pPr>
            <w:r>
              <w:t>2)</w:t>
            </w:r>
            <w:r>
              <w:tab/>
              <w:t>Mildun loftslagsbreytinga</w:t>
            </w:r>
          </w:p>
        </w:tc>
        <w:tc>
          <w:tcPr>
            <w:tcW w:w="5832" w:type="dxa"/>
            <w:tcMar>
              <w:top w:w="100" w:type="dxa"/>
              <w:left w:w="60" w:type="dxa"/>
              <w:bottom w:w="100" w:type="dxa"/>
              <w:right w:w="0" w:type="dxa"/>
            </w:tcMar>
          </w:tcPr>
          <w:p w14:paraId="7C2A55F5" w14:textId="77777777" w:rsidR="006D7A4B" w:rsidRDefault="006D7A4B" w:rsidP="00A9140F">
            <w:pPr>
              <w:pStyle w:val="AnnexTableCellLeft"/>
              <w:rPr>
                <w:szCs w:val="18"/>
              </w:rPr>
            </w:pPr>
            <w:r>
              <w:t>Starfsemin uppfyllir kröfur sem varða sjálfbærni, minnkun á losun gróðurhúsalofttegunda og skilvirkni sem mælt er fyrir um í 29. gr. tilskipunar 2018/2001.</w:t>
            </w:r>
          </w:p>
        </w:tc>
      </w:tr>
      <w:tr w:rsidR="006D7A4B" w14:paraId="58353D94" w14:textId="77777777" w:rsidTr="00A9140F">
        <w:tc>
          <w:tcPr>
            <w:tcW w:w="2904" w:type="dxa"/>
            <w:tcMar>
              <w:top w:w="100" w:type="dxa"/>
              <w:left w:w="0" w:type="dxa"/>
              <w:bottom w:w="100" w:type="dxa"/>
              <w:right w:w="60" w:type="dxa"/>
            </w:tcMar>
          </w:tcPr>
          <w:p w14:paraId="029A45A1"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32" w:type="dxa"/>
            <w:tcMar>
              <w:top w:w="100" w:type="dxa"/>
              <w:left w:w="60" w:type="dxa"/>
              <w:bottom w:w="100" w:type="dxa"/>
              <w:right w:w="0" w:type="dxa"/>
            </w:tcMar>
          </w:tcPr>
          <w:p w14:paraId="736DD946"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793FC61C" w14:textId="77777777" w:rsidTr="00A9140F">
        <w:tc>
          <w:tcPr>
            <w:tcW w:w="2904" w:type="dxa"/>
            <w:tcBorders>
              <w:bottom w:val="single" w:sz="4" w:space="0" w:color="auto"/>
            </w:tcBorders>
            <w:tcMar>
              <w:top w:w="100" w:type="dxa"/>
              <w:left w:w="0" w:type="dxa"/>
              <w:bottom w:w="100" w:type="dxa"/>
              <w:right w:w="60" w:type="dxa"/>
            </w:tcMar>
          </w:tcPr>
          <w:p w14:paraId="0D883DF2" w14:textId="77777777" w:rsidR="006D7A4B" w:rsidRDefault="006D7A4B" w:rsidP="00A9140F">
            <w:pPr>
              <w:pStyle w:val="AnnexNumberedText"/>
              <w:spacing w:after="0"/>
              <w:ind w:left="293" w:hanging="293"/>
              <w:rPr>
                <w:szCs w:val="18"/>
              </w:rPr>
            </w:pPr>
            <w:r>
              <w:t>4)</w:t>
            </w:r>
            <w:r>
              <w:tab/>
              <w:t>Umskipti yfir í hringrásarhagkerfi</w:t>
            </w:r>
          </w:p>
        </w:tc>
        <w:tc>
          <w:tcPr>
            <w:tcW w:w="5832" w:type="dxa"/>
            <w:tcBorders>
              <w:bottom w:val="single" w:sz="4" w:space="0" w:color="auto"/>
            </w:tcBorders>
            <w:tcMar>
              <w:top w:w="100" w:type="dxa"/>
              <w:left w:w="60" w:type="dxa"/>
              <w:bottom w:w="100" w:type="dxa"/>
              <w:right w:w="0" w:type="dxa"/>
            </w:tcMar>
          </w:tcPr>
          <w:p w14:paraId="3EBD24F6" w14:textId="77777777" w:rsidR="006D7A4B" w:rsidRDefault="006D7A4B" w:rsidP="00A9140F">
            <w:pPr>
              <w:pStyle w:val="AnnexTableCellLeft"/>
              <w:rPr>
                <w:szCs w:val="18"/>
              </w:rPr>
            </w:pPr>
            <w:r>
              <w:t>Á ekki við</w:t>
            </w:r>
          </w:p>
        </w:tc>
      </w:tr>
      <w:tr w:rsidR="006D7A4B" w14:paraId="239D0D97" w14:textId="77777777" w:rsidTr="00A9140F">
        <w:tc>
          <w:tcPr>
            <w:tcW w:w="2904" w:type="dxa"/>
            <w:tcBorders>
              <w:bottom w:val="nil"/>
            </w:tcBorders>
            <w:tcMar>
              <w:top w:w="100" w:type="dxa"/>
              <w:left w:w="0" w:type="dxa"/>
              <w:bottom w:w="100" w:type="dxa"/>
              <w:right w:w="60" w:type="dxa"/>
            </w:tcMar>
          </w:tcPr>
          <w:p w14:paraId="1EA00AB9" w14:textId="77777777" w:rsidR="006D7A4B" w:rsidRDefault="006D7A4B" w:rsidP="00A9140F">
            <w:pPr>
              <w:pStyle w:val="AnnexNumberedText"/>
              <w:spacing w:after="0"/>
              <w:ind w:left="293" w:hanging="293"/>
              <w:rPr>
                <w:szCs w:val="18"/>
              </w:rPr>
            </w:pPr>
            <w:r>
              <w:t>5)</w:t>
            </w:r>
            <w:r>
              <w:tab/>
              <w:t>Mengunarvarnir og eftirlit með mengun</w:t>
            </w:r>
          </w:p>
        </w:tc>
        <w:tc>
          <w:tcPr>
            <w:tcW w:w="5832" w:type="dxa"/>
            <w:tcBorders>
              <w:bottom w:val="nil"/>
            </w:tcBorders>
            <w:tcMar>
              <w:top w:w="100" w:type="dxa"/>
              <w:left w:w="60" w:type="dxa"/>
              <w:bottom w:w="100" w:type="dxa"/>
              <w:right w:w="0" w:type="dxa"/>
            </w:tcMar>
          </w:tcPr>
          <w:p w14:paraId="7CC81A12" w14:textId="77777777" w:rsidR="006D7A4B" w:rsidRDefault="006D7A4B" w:rsidP="00A9140F">
            <w:pPr>
              <w:pStyle w:val="AnnexTableCellLeft"/>
              <w:rPr>
                <w:szCs w:val="18"/>
              </w:rPr>
            </w:pPr>
            <w:r>
              <w:t>Að því er varðar stöðvar sem falla undir gildissvið tilskipunar Evrópuþingsins og ráðsins 2010/75/ESB (</w:t>
            </w:r>
            <w:r>
              <w:rPr>
                <w:rStyle w:val="Tilvsunneanmlsgrein"/>
                <w:sz w:val="18"/>
                <w:szCs w:val="18"/>
              </w:rPr>
              <w:footnoteReference w:id="627"/>
            </w:r>
            <w:r>
              <w:t>) fellur losun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628"/>
            </w:r>
            <w:r>
              <w:t>). Engin umtalsverð yfirfærsluáhrif milli umhverfishólfa eiga sér stað.</w:t>
            </w:r>
          </w:p>
        </w:tc>
      </w:tr>
      <w:tr w:rsidR="006D7A4B" w14:paraId="1DC96D8E" w14:textId="77777777" w:rsidTr="00A9140F">
        <w:tc>
          <w:tcPr>
            <w:tcW w:w="2904" w:type="dxa"/>
            <w:tcBorders>
              <w:top w:val="single" w:sz="4" w:space="0" w:color="auto"/>
            </w:tcBorders>
            <w:tcMar>
              <w:top w:w="100" w:type="dxa"/>
              <w:left w:w="0" w:type="dxa"/>
              <w:bottom w:w="100" w:type="dxa"/>
              <w:right w:w="60" w:type="dxa"/>
            </w:tcMar>
          </w:tcPr>
          <w:p w14:paraId="5B1F26CE" w14:textId="77777777" w:rsidR="006D7A4B" w:rsidRDefault="006D7A4B" w:rsidP="00A9140F">
            <w:pPr>
              <w:pStyle w:val="AnnexTableCellLeft"/>
              <w:pageBreakBefore/>
              <w:rPr>
                <w:szCs w:val="18"/>
              </w:rPr>
            </w:pPr>
          </w:p>
        </w:tc>
        <w:tc>
          <w:tcPr>
            <w:tcW w:w="5832" w:type="dxa"/>
            <w:tcBorders>
              <w:top w:val="single" w:sz="4" w:space="0" w:color="auto"/>
            </w:tcBorders>
            <w:tcMar>
              <w:top w:w="100" w:type="dxa"/>
              <w:left w:w="60" w:type="dxa"/>
              <w:bottom w:w="100" w:type="dxa"/>
              <w:right w:w="0" w:type="dxa"/>
            </w:tcMar>
          </w:tcPr>
          <w:p w14:paraId="55209B94" w14:textId="77777777" w:rsidR="006D7A4B" w:rsidRDefault="006D7A4B" w:rsidP="00A9140F">
            <w:pPr>
              <w:pStyle w:val="AnnexTableCellLeft"/>
              <w:spacing w:after="300"/>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 Að því er varðar stöðvar á svæðum eða hlutum svæða sem uppfylla ekki viðmiðunarmörkin fyrir loftgæði, sem mælt er fyrir um í tilskipun 2008/50/EB, eru gerðar ráðstafanir til að draga úr losun, að teknu tilliti til niðurstaða upplýsingaskiptanna (</w:t>
            </w:r>
            <w:r>
              <w:rPr>
                <w:rStyle w:val="Tilvsunneanmlsgrein"/>
                <w:sz w:val="18"/>
                <w:szCs w:val="18"/>
              </w:rPr>
              <w:footnoteReference w:id="629"/>
            </w:r>
            <w:r>
              <w:t>) sem framkvæmdastjórnin birtir í samræmi við 9. og 10. mgr. 6. gr. tilskipunar (ESB) 2015/2193.</w:t>
            </w:r>
          </w:p>
          <w:p w14:paraId="5EFD6870" w14:textId="77777777" w:rsidR="006D7A4B" w:rsidRDefault="006D7A4B" w:rsidP="00A9140F">
            <w:pPr>
              <w:pStyle w:val="AnnexTableCellLeft"/>
              <w:spacing w:after="300"/>
              <w:rPr>
                <w:szCs w:val="18"/>
              </w:rPr>
            </w:pPr>
            <w:r>
              <w:t xml:space="preserve">Að því er varðar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í II. viðauka við reglugerð (ESB) 2019/1009 eða landsbundnar reglur um áburð eða jarðvegsbæta til notkunar í landbúnaði.</w:t>
            </w:r>
          </w:p>
          <w:p w14:paraId="3A9C6B34" w14:textId="77777777" w:rsidR="006D7A4B" w:rsidRDefault="006D7A4B" w:rsidP="00A9140F">
            <w:pPr>
              <w:pStyle w:val="AnnexTableCellLeft"/>
              <w:rPr>
                <w:szCs w:val="18"/>
              </w:rPr>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630"/>
            </w:r>
            <w:r>
              <w:t>). Engin umtalsverð yfirfærsluáhrif milli umhverfishólfa eiga sér stað.</w:t>
            </w:r>
          </w:p>
        </w:tc>
      </w:tr>
      <w:tr w:rsidR="006D7A4B" w14:paraId="60EB2A3B" w14:textId="77777777" w:rsidTr="00A9140F">
        <w:tc>
          <w:tcPr>
            <w:tcW w:w="2904" w:type="dxa"/>
            <w:tcMar>
              <w:top w:w="100" w:type="dxa"/>
              <w:left w:w="0" w:type="dxa"/>
              <w:bottom w:w="100" w:type="dxa"/>
              <w:right w:w="60" w:type="dxa"/>
            </w:tcMar>
          </w:tcPr>
          <w:p w14:paraId="537C94E3"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832" w:type="dxa"/>
            <w:tcMar>
              <w:top w:w="100" w:type="dxa"/>
              <w:left w:w="60" w:type="dxa"/>
              <w:bottom w:w="100" w:type="dxa"/>
              <w:right w:w="0" w:type="dxa"/>
            </w:tcMar>
          </w:tcPr>
          <w:p w14:paraId="6D689A0F" w14:textId="77777777" w:rsidR="006D7A4B" w:rsidRDefault="006D7A4B" w:rsidP="00A9140F">
            <w:pPr>
              <w:pStyle w:val="AnnexTableCellLeft"/>
              <w:rPr>
                <w:szCs w:val="18"/>
              </w:rPr>
            </w:pPr>
            <w:r>
              <w:t>Starfsemin er í samræmi við viðmiðanirnar sem settar eru fram í viðbæti D við þennan viðauka.</w:t>
            </w:r>
          </w:p>
        </w:tc>
      </w:tr>
    </w:tbl>
    <w:p w14:paraId="38C01225" w14:textId="77777777" w:rsidR="006D7A4B" w:rsidRDefault="006D7A4B" w:rsidP="006D7A4B">
      <w:pPr>
        <w:pStyle w:val="AnnexNumberedText"/>
        <w:spacing w:before="60"/>
        <w:ind w:left="504" w:hanging="504"/>
        <w:rPr>
          <w:szCs w:val="18"/>
        </w:rPr>
      </w:pPr>
      <w:r>
        <w:t>4.9.</w:t>
      </w:r>
      <w:r>
        <w:rPr>
          <w:b/>
        </w:rPr>
        <w:tab/>
        <w:t>Flutningur og dreifing á raforku</w:t>
      </w:r>
    </w:p>
    <w:p w14:paraId="3B84E0D2" w14:textId="77777777" w:rsidR="006D7A4B" w:rsidRDefault="006D7A4B" w:rsidP="006D7A4B">
      <w:pPr>
        <w:pStyle w:val="AnnexGrSeq3"/>
        <w:spacing w:after="120"/>
        <w:ind w:left="504"/>
        <w:jc w:val="both"/>
        <w:rPr>
          <w:szCs w:val="18"/>
        </w:rPr>
      </w:pPr>
      <w:r>
        <w:rPr>
          <w:i/>
        </w:rPr>
        <w:t>Lýsing á starfseminni</w:t>
      </w:r>
    </w:p>
    <w:p w14:paraId="73B1A7C9" w14:textId="77777777" w:rsidR="006D7A4B" w:rsidRDefault="006D7A4B" w:rsidP="006D7A4B">
      <w:pPr>
        <w:pStyle w:val="AnnexNormal"/>
        <w:spacing w:after="700"/>
        <w:ind w:left="504"/>
        <w:rPr>
          <w:szCs w:val="18"/>
        </w:rPr>
      </w:pPr>
      <w:r>
        <w:t xml:space="preserve">Uppbygging og </w:t>
      </w:r>
      <w:proofErr w:type="spellStart"/>
      <w:r>
        <w:t>starfræksla</w:t>
      </w:r>
      <w:proofErr w:type="spellEnd"/>
      <w:r>
        <w:t xml:space="preserve"> flutningskerfa sem flytja raforku um samtengt kerfi fyrir mjög háa spennu og háspennu.</w:t>
      </w:r>
    </w:p>
    <w:p w14:paraId="017EBF83" w14:textId="77777777" w:rsidR="006D7A4B" w:rsidRDefault="006D7A4B" w:rsidP="006D7A4B">
      <w:pPr>
        <w:pStyle w:val="AnnexNormal"/>
        <w:spacing w:after="700"/>
        <w:ind w:left="504"/>
        <w:rPr>
          <w:szCs w:val="18"/>
        </w:rPr>
      </w:pPr>
      <w:r>
        <w:t xml:space="preserve">Uppbygging og </w:t>
      </w:r>
      <w:proofErr w:type="spellStart"/>
      <w:r>
        <w:t>starfræksla</w:t>
      </w:r>
      <w:proofErr w:type="spellEnd"/>
      <w:r>
        <w:t xml:space="preserve"> dreifikerfa sem flytja raforkuna um háspennu-, </w:t>
      </w:r>
      <w:proofErr w:type="spellStart"/>
      <w:r>
        <w:t>millispennu</w:t>
      </w:r>
      <w:proofErr w:type="spellEnd"/>
      <w:r>
        <w:t>- eða lágspennudreifikerfi.</w:t>
      </w:r>
    </w:p>
    <w:p w14:paraId="7685B0DF" w14:textId="77777777" w:rsidR="006D7A4B" w:rsidRDefault="006D7A4B" w:rsidP="006D7A4B">
      <w:pPr>
        <w:pStyle w:val="AnnexNormal"/>
        <w:spacing w:after="700"/>
        <w:ind w:left="504"/>
        <w:rPr>
          <w:szCs w:val="18"/>
        </w:rPr>
      </w:pPr>
      <w:r>
        <w:t>Atvinnustarfsemin í þessum flokki gæti tengst nokkrum kóðum atvinnugreinaflokkunar Evrópusambandsins, einkum D35.12 og D35.13, í samræmi við atvinnugreinaflokkunina sem komið var á með reglugerð (EB) nr. 1893/2006.</w:t>
      </w:r>
    </w:p>
    <w:p w14:paraId="01DF4245"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76"/>
        <w:gridCol w:w="5760"/>
      </w:tblGrid>
      <w:tr w:rsidR="006D7A4B" w14:paraId="65B6B48D" w14:textId="77777777" w:rsidTr="00A9140F">
        <w:trPr>
          <w:trHeight w:val="280"/>
        </w:trPr>
        <w:tc>
          <w:tcPr>
            <w:tcW w:w="8736" w:type="dxa"/>
            <w:gridSpan w:val="2"/>
            <w:tcBorders>
              <w:bottom w:val="single" w:sz="4" w:space="0" w:color="auto"/>
            </w:tcBorders>
            <w:tcMar>
              <w:left w:w="0" w:type="dxa"/>
              <w:right w:w="60" w:type="dxa"/>
            </w:tcMar>
          </w:tcPr>
          <w:p w14:paraId="6CFDF541" w14:textId="77777777" w:rsidR="006D7A4B" w:rsidRDefault="006D7A4B" w:rsidP="00A9140F">
            <w:pPr>
              <w:pStyle w:val="AnnexTableCellLeft"/>
              <w:spacing w:before="40" w:after="40"/>
              <w:rPr>
                <w:szCs w:val="18"/>
              </w:rPr>
            </w:pPr>
            <w:r>
              <w:t>Verulegt framlag til aðlögunar að loftslagsbreytingum</w:t>
            </w:r>
          </w:p>
        </w:tc>
      </w:tr>
      <w:tr w:rsidR="006D7A4B" w14:paraId="0FE6591F" w14:textId="77777777" w:rsidTr="00A9140F">
        <w:trPr>
          <w:trHeight w:val="360"/>
        </w:trPr>
        <w:tc>
          <w:tcPr>
            <w:tcW w:w="8736" w:type="dxa"/>
            <w:gridSpan w:val="2"/>
            <w:tcBorders>
              <w:bottom w:val="nil"/>
            </w:tcBorders>
            <w:tcMar>
              <w:left w:w="0" w:type="dxa"/>
              <w:right w:w="60" w:type="dxa"/>
            </w:tcMar>
          </w:tcPr>
          <w:p w14:paraId="2D397265" w14:textId="77777777" w:rsidR="006D7A4B" w:rsidRDefault="006D7A4B" w:rsidP="00A9140F">
            <w:pPr>
              <w:pStyle w:val="AnnexNumberedText"/>
              <w:tabs>
                <w:tab w:val="left" w:pos="396"/>
              </w:tabs>
              <w:spacing w:before="60" w:after="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tc>
      </w:tr>
      <w:tr w:rsidR="006D7A4B" w14:paraId="034811FA" w14:textId="77777777" w:rsidTr="00A9140F">
        <w:trPr>
          <w:trHeight w:val="360"/>
        </w:trPr>
        <w:tc>
          <w:tcPr>
            <w:tcW w:w="8736" w:type="dxa"/>
            <w:gridSpan w:val="2"/>
            <w:tcBorders>
              <w:top w:val="nil"/>
              <w:bottom w:val="nil"/>
            </w:tcBorders>
            <w:tcMar>
              <w:left w:w="0" w:type="dxa"/>
              <w:right w:w="60" w:type="dxa"/>
            </w:tcMar>
          </w:tcPr>
          <w:p w14:paraId="12F5B83B" w14:textId="77777777" w:rsidR="006D7A4B" w:rsidRDefault="006D7A4B" w:rsidP="00A9140F">
            <w:pPr>
              <w:pStyle w:val="AnnexNumberedText"/>
              <w:pageBreakBefore/>
              <w:tabs>
                <w:tab w:val="left" w:pos="396"/>
              </w:tabs>
              <w:spacing w:after="300"/>
              <w:ind w:left="0" w:firstLine="0"/>
              <w:rPr>
                <w:szCs w:val="18"/>
              </w:rPr>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7A96B39" w14:textId="77777777" w:rsidR="006D7A4B" w:rsidRDefault="006D7A4B" w:rsidP="00A9140F">
            <w:pPr>
              <w:pStyle w:val="AnnexNumberedText"/>
              <w:spacing w:after="3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98367F6" w14:textId="77777777" w:rsidR="006D7A4B" w:rsidRDefault="006D7A4B" w:rsidP="00A9140F">
            <w:pPr>
              <w:pStyle w:val="AnnexNumberedText"/>
              <w:spacing w:after="3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013824C2" w14:textId="77777777" w:rsidR="006D7A4B" w:rsidRDefault="006D7A4B" w:rsidP="00A9140F">
            <w:pPr>
              <w:pStyle w:val="AnnexNumberedText"/>
              <w:spacing w:after="300"/>
              <w:rPr>
                <w:szCs w:val="18"/>
              </w:rPr>
            </w:pPr>
            <w:r>
              <w:t>c)</w:t>
            </w:r>
            <w:r>
              <w:tab/>
              <w:t>mat á aðlögunarlausnum sem geta dregið úr greindri efnislegri loftslagsáhættu.</w:t>
            </w:r>
          </w:p>
          <w:p w14:paraId="61E6D887" w14:textId="77777777" w:rsidR="006D7A4B" w:rsidRDefault="006D7A4B" w:rsidP="00A9140F">
            <w:pPr>
              <w:pStyle w:val="AnnexTableCellLeft"/>
              <w:spacing w:after="3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700D99C5" w14:textId="77777777" w:rsidR="006D7A4B" w:rsidRDefault="006D7A4B" w:rsidP="00A9140F">
            <w:pPr>
              <w:pStyle w:val="AnnexNumberedText"/>
              <w:spacing w:after="3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4D100FE" w14:textId="77777777" w:rsidR="006D7A4B" w:rsidRDefault="006D7A4B"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3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11FF5CC" w14:textId="77777777" w:rsidR="006D7A4B" w:rsidRDefault="006D7A4B" w:rsidP="00A9140F">
            <w:pPr>
              <w:pStyle w:val="AnnexNumberedText"/>
              <w:tabs>
                <w:tab w:val="left" w:pos="396"/>
              </w:tabs>
              <w:spacing w:after="3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32"/>
            </w:r>
            <w:r>
              <w:t>), vísindalegt ritrýnt útgefið efni og líkön með opnum aðgangi (</w:t>
            </w:r>
            <w:r>
              <w:rPr>
                <w:rStyle w:val="Tilvsunneanmlsgrein"/>
                <w:sz w:val="18"/>
                <w:szCs w:val="18"/>
              </w:rPr>
              <w:footnoteReference w:id="633"/>
            </w:r>
            <w:r>
              <w:t>) eða gegn greiðslu.</w:t>
            </w:r>
          </w:p>
          <w:p w14:paraId="72259808"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27464DBD" w14:textId="77777777" w:rsidR="006D7A4B" w:rsidRDefault="006D7A4B"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4F21159D" w14:textId="77777777" w:rsidR="006D7A4B" w:rsidRDefault="006D7A4B" w:rsidP="00A9140F">
            <w:pPr>
              <w:pStyle w:val="AnnexNumberedText"/>
              <w:spacing w:after="300"/>
              <w:rPr>
                <w:szCs w:val="18"/>
              </w:rPr>
            </w:pPr>
            <w:r>
              <w:t>b)</w:t>
            </w:r>
            <w:r>
              <w:tab/>
              <w:t>eru með náttúrumiðaðar lausnir (</w:t>
            </w:r>
            <w:r>
              <w:rPr>
                <w:rStyle w:val="Tilvsunneanmlsgrein"/>
                <w:sz w:val="18"/>
                <w:szCs w:val="18"/>
              </w:rPr>
              <w:footnoteReference w:id="634"/>
            </w:r>
            <w:r>
              <w:t>) í forgangi eða treyst er á bláa eða græna innviði (</w:t>
            </w:r>
            <w:r>
              <w:rPr>
                <w:rStyle w:val="Tilvsunneanmlsgrein"/>
                <w:sz w:val="18"/>
                <w:szCs w:val="18"/>
              </w:rPr>
              <w:footnoteReference w:id="635"/>
            </w:r>
            <w:r>
              <w:t>) að því marki sem mögulegt er,</w:t>
            </w:r>
          </w:p>
          <w:p w14:paraId="43470C97"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17BACD8E"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46C8C1C" w14:textId="77777777" w:rsidR="006D7A4B" w:rsidRDefault="006D7A4B" w:rsidP="00A9140F">
            <w:pPr>
              <w:pStyle w:val="AnnexNumberedText"/>
              <w:spacing w:after="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2DB70DF" w14:textId="77777777" w:rsidTr="00A9140F">
        <w:tc>
          <w:tcPr>
            <w:tcW w:w="8736" w:type="dxa"/>
            <w:gridSpan w:val="2"/>
            <w:tcBorders>
              <w:top w:val="single" w:sz="4" w:space="0" w:color="auto"/>
            </w:tcBorders>
            <w:tcMar>
              <w:top w:w="200" w:type="dxa"/>
              <w:left w:w="0" w:type="dxa"/>
              <w:bottom w:w="200" w:type="dxa"/>
              <w:right w:w="60" w:type="dxa"/>
            </w:tcMar>
          </w:tcPr>
          <w:p w14:paraId="7EE64469" w14:textId="77777777" w:rsidR="006D7A4B" w:rsidRDefault="006D7A4B" w:rsidP="00A9140F">
            <w:pPr>
              <w:pStyle w:val="AnnexTableCellLeft"/>
              <w:pageBreakBefore/>
              <w:rPr>
                <w:szCs w:val="18"/>
              </w:rPr>
            </w:pPr>
            <w:r>
              <w:lastRenderedPageBreak/>
              <w:t>Ekki valda umtalsverðu tjóni</w:t>
            </w:r>
          </w:p>
        </w:tc>
      </w:tr>
      <w:tr w:rsidR="006D7A4B" w14:paraId="3D648D15" w14:textId="77777777" w:rsidTr="00A9140F">
        <w:tc>
          <w:tcPr>
            <w:tcW w:w="2976" w:type="dxa"/>
            <w:tcMar>
              <w:top w:w="200" w:type="dxa"/>
              <w:left w:w="0" w:type="dxa"/>
              <w:bottom w:w="200" w:type="dxa"/>
              <w:right w:w="60" w:type="dxa"/>
            </w:tcMar>
          </w:tcPr>
          <w:p w14:paraId="17860E2E" w14:textId="77777777" w:rsidR="006D7A4B" w:rsidRDefault="006D7A4B" w:rsidP="00A9140F">
            <w:pPr>
              <w:pStyle w:val="AnnexNumberedText"/>
              <w:spacing w:after="0"/>
              <w:ind w:left="293" w:hanging="293"/>
              <w:rPr>
                <w:szCs w:val="18"/>
              </w:rPr>
            </w:pPr>
            <w:r>
              <w:t>1)</w:t>
            </w:r>
            <w:r>
              <w:tab/>
              <w:t>Mildun loftslagsbreytinga</w:t>
            </w:r>
          </w:p>
        </w:tc>
        <w:tc>
          <w:tcPr>
            <w:tcW w:w="5760" w:type="dxa"/>
            <w:tcMar>
              <w:top w:w="200" w:type="dxa"/>
              <w:left w:w="60" w:type="dxa"/>
              <w:bottom w:w="200" w:type="dxa"/>
              <w:right w:w="0" w:type="dxa"/>
            </w:tcMar>
          </w:tcPr>
          <w:p w14:paraId="0CDAB529" w14:textId="77777777" w:rsidR="006D7A4B" w:rsidRDefault="006D7A4B" w:rsidP="00A9140F">
            <w:pPr>
              <w:pStyle w:val="AnnexTableCellLeft"/>
              <w:rPr>
                <w:szCs w:val="18"/>
              </w:rPr>
            </w:pPr>
            <w:r>
              <w:t>Grunnvirkið er ekki ætlað til að koma á beinni tengingu eða útvíkka fyrirliggjandi beina tengingu til orkuframleiðslustöðvar þar sem bein losun gróðurhúsalofttegunda fer yfir 270 g CO</w:t>
            </w:r>
            <w:r>
              <w:rPr>
                <w:vertAlign w:val="subscript"/>
              </w:rPr>
              <w:t>2</w:t>
            </w:r>
            <w:r>
              <w:t>e/kWh.</w:t>
            </w:r>
          </w:p>
        </w:tc>
      </w:tr>
      <w:tr w:rsidR="006D7A4B" w14:paraId="61601133" w14:textId="77777777" w:rsidTr="00A9140F">
        <w:tc>
          <w:tcPr>
            <w:tcW w:w="2976" w:type="dxa"/>
            <w:tcMar>
              <w:top w:w="200" w:type="dxa"/>
              <w:left w:w="0" w:type="dxa"/>
              <w:bottom w:w="200" w:type="dxa"/>
              <w:right w:w="60" w:type="dxa"/>
            </w:tcMar>
          </w:tcPr>
          <w:p w14:paraId="55853864"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60" w:type="dxa"/>
            <w:tcMar>
              <w:top w:w="200" w:type="dxa"/>
              <w:left w:w="60" w:type="dxa"/>
              <w:bottom w:w="200" w:type="dxa"/>
              <w:right w:w="0" w:type="dxa"/>
            </w:tcMar>
          </w:tcPr>
          <w:p w14:paraId="72D14564" w14:textId="77777777" w:rsidR="006D7A4B" w:rsidRDefault="006D7A4B" w:rsidP="00A9140F">
            <w:pPr>
              <w:pStyle w:val="AnnexTableCellLeft"/>
              <w:rPr>
                <w:szCs w:val="18"/>
              </w:rPr>
            </w:pPr>
            <w:r>
              <w:t>Á ekki við</w:t>
            </w:r>
          </w:p>
        </w:tc>
      </w:tr>
      <w:tr w:rsidR="006D7A4B" w14:paraId="70531930" w14:textId="77777777" w:rsidTr="00A9140F">
        <w:tc>
          <w:tcPr>
            <w:tcW w:w="2976" w:type="dxa"/>
            <w:tcMar>
              <w:top w:w="200" w:type="dxa"/>
              <w:left w:w="0" w:type="dxa"/>
              <w:bottom w:w="200" w:type="dxa"/>
              <w:right w:w="60" w:type="dxa"/>
            </w:tcMar>
          </w:tcPr>
          <w:p w14:paraId="3D80C5BE" w14:textId="77777777" w:rsidR="006D7A4B" w:rsidRDefault="006D7A4B" w:rsidP="00A9140F">
            <w:pPr>
              <w:pStyle w:val="AnnexNumberedText"/>
              <w:spacing w:after="0"/>
              <w:ind w:left="293" w:hanging="293"/>
              <w:rPr>
                <w:szCs w:val="18"/>
              </w:rPr>
            </w:pPr>
            <w:r>
              <w:t>4)</w:t>
            </w:r>
            <w:r>
              <w:tab/>
              <w:t>Umskipti yfir í hringrásarhagkerfi</w:t>
            </w:r>
          </w:p>
        </w:tc>
        <w:tc>
          <w:tcPr>
            <w:tcW w:w="5760" w:type="dxa"/>
            <w:tcMar>
              <w:top w:w="200" w:type="dxa"/>
              <w:left w:w="60" w:type="dxa"/>
              <w:bottom w:w="200" w:type="dxa"/>
              <w:right w:w="0" w:type="dxa"/>
            </w:tcMar>
          </w:tcPr>
          <w:p w14:paraId="102ED94D" w14:textId="77777777" w:rsidR="006D7A4B" w:rsidRDefault="006D7A4B" w:rsidP="00A9140F">
            <w:pPr>
              <w:pStyle w:val="AnnexTableCellLeft"/>
              <w:rPr>
                <w:szCs w:val="18"/>
              </w:rPr>
            </w:pPr>
            <w:r>
              <w:t>Úrgangsstjórnunaráætlun er til staðar og tryggir hámarksendurnotkun eða endurvinnslu við lok vistferilsins í samræmi við úrgangsmetakerfið, þ.m.t. með samningsbundnu samkomulagi við samstarfsaðila um meðhöndlun úrgangs, endurspeglast í fjárhagslegum spám eða opinberum skjölum um verkefnið.</w:t>
            </w:r>
          </w:p>
        </w:tc>
      </w:tr>
      <w:tr w:rsidR="006D7A4B" w14:paraId="21F7D361" w14:textId="77777777" w:rsidTr="00A9140F">
        <w:tc>
          <w:tcPr>
            <w:tcW w:w="2976" w:type="dxa"/>
            <w:tcMar>
              <w:top w:w="200" w:type="dxa"/>
              <w:left w:w="0" w:type="dxa"/>
              <w:bottom w:w="200" w:type="dxa"/>
              <w:right w:w="60" w:type="dxa"/>
            </w:tcMar>
          </w:tcPr>
          <w:p w14:paraId="3EFA4BCF" w14:textId="77777777" w:rsidR="006D7A4B" w:rsidRDefault="006D7A4B" w:rsidP="00A9140F">
            <w:pPr>
              <w:pStyle w:val="AnnexNumberedText"/>
              <w:spacing w:after="0"/>
              <w:ind w:left="293" w:hanging="293"/>
              <w:rPr>
                <w:szCs w:val="18"/>
              </w:rPr>
            </w:pPr>
            <w:r>
              <w:t>5)</w:t>
            </w:r>
            <w:r>
              <w:tab/>
              <w:t>Mengunarvarnir og eftirlit með mengun</w:t>
            </w:r>
          </w:p>
        </w:tc>
        <w:tc>
          <w:tcPr>
            <w:tcW w:w="5760" w:type="dxa"/>
            <w:tcMar>
              <w:top w:w="200" w:type="dxa"/>
              <w:left w:w="60" w:type="dxa"/>
              <w:bottom w:w="200" w:type="dxa"/>
              <w:right w:w="0" w:type="dxa"/>
            </w:tcMar>
          </w:tcPr>
          <w:p w14:paraId="233B2A54" w14:textId="77777777" w:rsidR="006D7A4B" w:rsidRDefault="006D7A4B" w:rsidP="00A9140F">
            <w:pPr>
              <w:pStyle w:val="AnnexTableCellLeft"/>
              <w:spacing w:after="200"/>
              <w:rPr>
                <w:szCs w:val="18"/>
              </w:rPr>
            </w:pPr>
            <w:r>
              <w:t>Háspennulínur ofanjarðar:</w:t>
            </w:r>
          </w:p>
          <w:p w14:paraId="2FD3A219" w14:textId="77777777" w:rsidR="006D7A4B" w:rsidRDefault="006D7A4B" w:rsidP="00A9140F">
            <w:pPr>
              <w:pStyle w:val="AnnexNumberedText"/>
              <w:spacing w:after="200"/>
              <w:ind w:left="293" w:hanging="293"/>
              <w:rPr>
                <w:szCs w:val="18"/>
              </w:rPr>
            </w:pPr>
            <w:r>
              <w:t>a)</w:t>
            </w:r>
            <w:r>
              <w:tab/>
              <w:t>að því er varðar starfsemi á byggingarsvæði fylgir starfsemin meginreglunum í almennum leiðbeiningum Alþjóðalánastofnunarinnar um umhverfi, heilbrigði og öryggi (</w:t>
            </w:r>
            <w:r>
              <w:rPr>
                <w:rStyle w:val="Tilvsunneanmlsgrein"/>
                <w:sz w:val="18"/>
                <w:szCs w:val="18"/>
              </w:rPr>
              <w:footnoteReference w:id="636"/>
            </w:r>
            <w:r>
              <w:t>),</w:t>
            </w:r>
          </w:p>
          <w:p w14:paraId="64FE5ACB" w14:textId="77777777" w:rsidR="006D7A4B" w:rsidRDefault="006D7A4B" w:rsidP="00A9140F">
            <w:pPr>
              <w:pStyle w:val="AnnexNumberedText"/>
              <w:spacing w:after="200"/>
              <w:ind w:left="293" w:hanging="293"/>
              <w:rPr>
                <w:szCs w:val="18"/>
              </w:rPr>
            </w:pPr>
            <w:r>
              <w:t>b)</w:t>
            </w:r>
            <w:r>
              <w:tab/>
              <w:t xml:space="preserve">starfsemin tekur mið af gildandi stöðlum og reglugerðum um að takmarka áhrif </w:t>
            </w:r>
            <w:proofErr w:type="spellStart"/>
            <w:r>
              <w:t>rafsegulgeislunar</w:t>
            </w:r>
            <w:proofErr w:type="spellEnd"/>
            <w:r>
              <w:t xml:space="preserve"> á heilbrigði manna, þ.m.t. fyrir starfsemi sem er stunduð í Sambandinu, tilmælum framkvæmdastjórnarinnar um takmörkun á </w:t>
            </w:r>
            <w:proofErr w:type="spellStart"/>
            <w:r>
              <w:t>váhrifum</w:t>
            </w:r>
            <w:proofErr w:type="spellEnd"/>
            <w:r>
              <w:t xml:space="preserve"> sem almenningur verður fyrir af völdum </w:t>
            </w:r>
            <w:proofErr w:type="spellStart"/>
            <w:r>
              <w:t>rafsegulsviðs</w:t>
            </w:r>
            <w:proofErr w:type="spellEnd"/>
            <w:r>
              <w:t xml:space="preserve"> (0 </w:t>
            </w:r>
            <w:proofErr w:type="spellStart"/>
            <w:r>
              <w:t>Hz</w:t>
            </w:r>
            <w:proofErr w:type="spellEnd"/>
            <w:r>
              <w:t xml:space="preserve"> til 300 </w:t>
            </w:r>
            <w:proofErr w:type="spellStart"/>
            <w:r>
              <w:t>Ghz</w:t>
            </w:r>
            <w:proofErr w:type="spellEnd"/>
            <w:r>
              <w:t>) (</w:t>
            </w:r>
            <w:r>
              <w:rPr>
                <w:rStyle w:val="Tilvsunneanmlsgrein"/>
                <w:sz w:val="18"/>
                <w:szCs w:val="18"/>
              </w:rPr>
              <w:footnoteReference w:id="637"/>
            </w:r>
            <w:r>
              <w:t>) og um starfsemi sem er stunduð í þriðju löndum, viðmiðunarreglur Alþjóðaráðsins um varnir gegn ójónandi geislun (ICNIRP) frá 1998 (</w:t>
            </w:r>
            <w:r>
              <w:rPr>
                <w:rStyle w:val="Tilvsunneanmlsgrein"/>
                <w:sz w:val="18"/>
                <w:szCs w:val="18"/>
              </w:rPr>
              <w:footnoteReference w:id="638"/>
            </w:r>
            <w:r>
              <w:t>).</w:t>
            </w:r>
          </w:p>
          <w:p w14:paraId="0CEE030D" w14:textId="77777777" w:rsidR="006D7A4B" w:rsidRDefault="006D7A4B" w:rsidP="00A9140F">
            <w:pPr>
              <w:pStyle w:val="AnnexTableCellLeft"/>
              <w:rPr>
                <w:szCs w:val="18"/>
              </w:rPr>
            </w:pPr>
            <w:r>
              <w:t xml:space="preserve">Í starfseminni eru ekki notuð </w:t>
            </w:r>
            <w:proofErr w:type="spellStart"/>
            <w:r>
              <w:t>fjölklóruð</w:t>
            </w:r>
            <w:proofErr w:type="spellEnd"/>
            <w:r>
              <w:t xml:space="preserve"> </w:t>
            </w:r>
            <w:proofErr w:type="spellStart"/>
            <w:r>
              <w:t>bífenýl</w:t>
            </w:r>
            <w:proofErr w:type="spellEnd"/>
            <w:r>
              <w:t>.</w:t>
            </w:r>
          </w:p>
        </w:tc>
      </w:tr>
      <w:tr w:rsidR="006D7A4B" w14:paraId="3119819E" w14:textId="77777777" w:rsidTr="00A9140F">
        <w:tc>
          <w:tcPr>
            <w:tcW w:w="2976" w:type="dxa"/>
            <w:tcMar>
              <w:top w:w="200" w:type="dxa"/>
              <w:left w:w="0" w:type="dxa"/>
              <w:bottom w:w="200" w:type="dxa"/>
              <w:right w:w="60" w:type="dxa"/>
            </w:tcMar>
          </w:tcPr>
          <w:p w14:paraId="3B74F8EB"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60" w:type="dxa"/>
            <w:tcMar>
              <w:top w:w="200" w:type="dxa"/>
              <w:left w:w="60" w:type="dxa"/>
              <w:bottom w:w="200" w:type="dxa"/>
              <w:right w:w="0" w:type="dxa"/>
            </w:tcMar>
          </w:tcPr>
          <w:p w14:paraId="117E308E" w14:textId="77777777" w:rsidR="006D7A4B" w:rsidRDefault="006D7A4B" w:rsidP="00A9140F">
            <w:pPr>
              <w:pStyle w:val="AnnexTableCellLeft"/>
              <w:rPr>
                <w:szCs w:val="18"/>
              </w:rPr>
            </w:pPr>
            <w:r>
              <w:t>Starfsemin er í samræmi við viðmiðanirnar sem settar eru fram í viðbæti D við þennan viðauka. (</w:t>
            </w:r>
            <w:r>
              <w:rPr>
                <w:rStyle w:val="Tilvsunneanmlsgrein"/>
                <w:sz w:val="18"/>
                <w:szCs w:val="18"/>
              </w:rPr>
              <w:footnoteReference w:id="639"/>
            </w:r>
            <w:r>
              <w:t>).</w:t>
            </w:r>
          </w:p>
        </w:tc>
      </w:tr>
    </w:tbl>
    <w:p w14:paraId="3A8E4F8F" w14:textId="77777777" w:rsidR="006D7A4B" w:rsidRDefault="006D7A4B" w:rsidP="006D7A4B">
      <w:pPr>
        <w:pStyle w:val="AnnexNumberedText"/>
        <w:spacing w:before="60"/>
        <w:ind w:left="504" w:hanging="504"/>
        <w:rPr>
          <w:szCs w:val="18"/>
        </w:rPr>
      </w:pPr>
      <w:r>
        <w:t>4.10.</w:t>
      </w:r>
      <w:r>
        <w:rPr>
          <w:b/>
        </w:rPr>
        <w:tab/>
        <w:t>Geymsla á raforku</w:t>
      </w:r>
    </w:p>
    <w:p w14:paraId="008EED88" w14:textId="77777777" w:rsidR="006D7A4B" w:rsidRDefault="006D7A4B" w:rsidP="006D7A4B">
      <w:pPr>
        <w:pStyle w:val="AnnexGrSeq3"/>
        <w:spacing w:after="60"/>
        <w:ind w:left="504"/>
        <w:jc w:val="both"/>
        <w:rPr>
          <w:szCs w:val="18"/>
        </w:rPr>
      </w:pPr>
      <w:r>
        <w:rPr>
          <w:i/>
        </w:rPr>
        <w:t>Lýsing á starfseminni</w:t>
      </w:r>
    </w:p>
    <w:p w14:paraId="063B1FF3" w14:textId="77777777" w:rsidR="006D7A4B" w:rsidRDefault="006D7A4B" w:rsidP="006D7A4B">
      <w:pPr>
        <w:pStyle w:val="AnnexNormal"/>
        <w:spacing w:after="500"/>
        <w:ind w:left="504"/>
        <w:rPr>
          <w:szCs w:val="18"/>
        </w:rPr>
      </w:pPr>
      <w:r>
        <w:t xml:space="preserve">Bygging og rekstur stöðva sem geyma raforku og skila henni síðar í formi raforku. Starfsemin nær yfir </w:t>
      </w:r>
      <w:proofErr w:type="spellStart"/>
      <w:r>
        <w:t>dælimiðlunarvatnsorku</w:t>
      </w:r>
      <w:proofErr w:type="spellEnd"/>
      <w:r>
        <w:t>.</w:t>
      </w:r>
    </w:p>
    <w:p w14:paraId="254560D5" w14:textId="77777777" w:rsidR="006D7A4B" w:rsidRDefault="006D7A4B" w:rsidP="006D7A4B">
      <w:pPr>
        <w:pStyle w:val="AnnexNormal"/>
        <w:spacing w:after="500"/>
        <w:ind w:left="504"/>
        <w:rPr>
          <w:szCs w:val="18"/>
        </w:rPr>
      </w:pPr>
      <w:r>
        <w:t>Ef atvinnustarfsemi er óaðskiljanlegur hluti af „Uppsetning, viðhald og viðgerðir á tækni á sviði endurnýjanlegrar orku“, eins og um getur í þætti 7.6 í þessum viðauka, gilda tæknilegu matsviðmiðin sem tilgreind eru í þætti 7.6.</w:t>
      </w:r>
    </w:p>
    <w:p w14:paraId="71A08926" w14:textId="77777777" w:rsidR="006D7A4B" w:rsidRDefault="006D7A4B" w:rsidP="006D7A4B">
      <w:pPr>
        <w:pStyle w:val="AnnexNormal"/>
        <w:ind w:left="504"/>
        <w:rPr>
          <w:szCs w:val="18"/>
        </w:rPr>
      </w:pPr>
      <w:r>
        <w:lastRenderedPageBreak/>
        <w:t>Atvinnustarfsemin í þessum flokki er ekki með sérstakan kóða atvinnugreinaflokkunar Evrópusambandsins, eins og um getur í atvinnugreinaflokkuninni sem komið var á með reglugerð (EB) nr. 1893/2006.</w:t>
      </w:r>
      <w:r>
        <w:br w:type="page"/>
      </w:r>
    </w:p>
    <w:p w14:paraId="36BA7971" w14:textId="77777777" w:rsidR="006D7A4B" w:rsidRDefault="006D7A4B" w:rsidP="006D7A4B">
      <w:pPr>
        <w:pStyle w:val="AnnexGrSeq3"/>
        <w:ind w:left="504"/>
        <w:jc w:val="both"/>
        <w:rPr>
          <w:szCs w:val="18"/>
        </w:rPr>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6D7A4B" w14:paraId="4C8858D3" w14:textId="77777777" w:rsidTr="00A9140F">
        <w:trPr>
          <w:trHeight w:val="280"/>
        </w:trPr>
        <w:tc>
          <w:tcPr>
            <w:tcW w:w="8736" w:type="dxa"/>
            <w:gridSpan w:val="2"/>
            <w:tcBorders>
              <w:bottom w:val="single" w:sz="4" w:space="0" w:color="auto"/>
            </w:tcBorders>
            <w:tcMar>
              <w:left w:w="0" w:type="dxa"/>
              <w:right w:w="60" w:type="dxa"/>
            </w:tcMar>
          </w:tcPr>
          <w:p w14:paraId="2AD1C53C" w14:textId="77777777" w:rsidR="006D7A4B" w:rsidRDefault="006D7A4B" w:rsidP="00A9140F">
            <w:pPr>
              <w:pStyle w:val="AnnexTableCellLeft"/>
              <w:spacing w:before="40" w:after="40"/>
              <w:rPr>
                <w:szCs w:val="18"/>
              </w:rPr>
            </w:pPr>
            <w:r>
              <w:t>Verulegt framlag til aðlögunar að loftslagsbreytingum</w:t>
            </w:r>
          </w:p>
        </w:tc>
      </w:tr>
      <w:tr w:rsidR="006D7A4B" w14:paraId="7CD83B0E" w14:textId="77777777" w:rsidTr="00A9140F">
        <w:trPr>
          <w:trHeight w:val="360"/>
        </w:trPr>
        <w:tc>
          <w:tcPr>
            <w:tcW w:w="8736" w:type="dxa"/>
            <w:gridSpan w:val="2"/>
            <w:tcBorders>
              <w:bottom w:val="nil"/>
            </w:tcBorders>
            <w:tcMar>
              <w:left w:w="0" w:type="dxa"/>
              <w:right w:w="60" w:type="dxa"/>
            </w:tcMar>
          </w:tcPr>
          <w:p w14:paraId="25C4822D" w14:textId="77777777" w:rsidR="006D7A4B" w:rsidRDefault="006D7A4B" w:rsidP="00A9140F">
            <w:pPr>
              <w:pStyle w:val="AnnexNumberedText"/>
              <w:tabs>
                <w:tab w:val="left" w:pos="396"/>
              </w:tabs>
              <w:spacing w:before="60" w:after="24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EC2C4EC" w14:textId="77777777" w:rsidR="006D7A4B" w:rsidRDefault="006D7A4B" w:rsidP="00A9140F">
            <w:pPr>
              <w:pStyle w:val="AnnexNumberedText"/>
              <w:tabs>
                <w:tab w:val="left" w:pos="396"/>
              </w:tabs>
              <w:spacing w:after="24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1098401" w14:textId="77777777" w:rsidR="006D7A4B" w:rsidRDefault="006D7A4B" w:rsidP="00A9140F">
            <w:pPr>
              <w:pStyle w:val="AnnexNumberedText"/>
              <w:spacing w:after="2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519CDFD" w14:textId="77777777" w:rsidR="006D7A4B" w:rsidRDefault="006D7A4B" w:rsidP="00A9140F">
            <w:pPr>
              <w:pStyle w:val="AnnexNumberedText"/>
              <w:spacing w:after="2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A004285" w14:textId="77777777" w:rsidR="006D7A4B" w:rsidRDefault="006D7A4B" w:rsidP="00A9140F">
            <w:pPr>
              <w:pStyle w:val="AnnexNumberedText"/>
              <w:spacing w:after="240"/>
              <w:rPr>
                <w:szCs w:val="18"/>
              </w:rPr>
            </w:pPr>
            <w:r>
              <w:t>c)</w:t>
            </w:r>
            <w:r>
              <w:tab/>
              <w:t>mat á aðlögunarlausnum sem geta dregið úr greindri efnislegri loftslagsáhættu.</w:t>
            </w:r>
          </w:p>
          <w:p w14:paraId="3704B977" w14:textId="77777777" w:rsidR="006D7A4B" w:rsidRDefault="006D7A4B" w:rsidP="00A9140F">
            <w:pPr>
              <w:pStyle w:val="AnnexTableCellLeft"/>
              <w:spacing w:after="2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4B4BD934" w14:textId="77777777" w:rsidR="006D7A4B" w:rsidRDefault="006D7A4B" w:rsidP="00A9140F">
            <w:pPr>
              <w:pStyle w:val="AnnexNumberedText"/>
              <w:spacing w:after="2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7D88AF7" w14:textId="77777777" w:rsidR="006D7A4B" w:rsidRDefault="006D7A4B" w:rsidP="00A9140F">
            <w:pPr>
              <w:pStyle w:val="AnnexNumberedText"/>
              <w:spacing w:after="2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4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957EEDD" w14:textId="77777777" w:rsidR="006D7A4B" w:rsidRDefault="006D7A4B" w:rsidP="00A9140F">
            <w:pPr>
              <w:pStyle w:val="AnnexNumberedText"/>
              <w:tabs>
                <w:tab w:val="left" w:pos="396"/>
              </w:tabs>
              <w:spacing w:after="2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41"/>
            </w:r>
            <w:r>
              <w:t>), vísindalegt ritrýnt útgefið efni og líkön með opnum aðgangi (</w:t>
            </w:r>
            <w:r>
              <w:rPr>
                <w:rStyle w:val="Tilvsunneanmlsgrein"/>
                <w:sz w:val="18"/>
                <w:szCs w:val="18"/>
              </w:rPr>
              <w:footnoteReference w:id="642"/>
            </w:r>
            <w:r>
              <w:t>) eða gegn greiðslu.</w:t>
            </w:r>
          </w:p>
          <w:p w14:paraId="0D73528E" w14:textId="77777777" w:rsidR="006D7A4B" w:rsidRDefault="006D7A4B" w:rsidP="00A9140F">
            <w:pPr>
              <w:pStyle w:val="AnnexNumberedText"/>
              <w:tabs>
                <w:tab w:val="left" w:pos="396"/>
              </w:tabs>
              <w:spacing w:after="240"/>
              <w:ind w:left="0" w:firstLine="0"/>
              <w:rPr>
                <w:szCs w:val="18"/>
              </w:rPr>
            </w:pPr>
            <w:r>
              <w:t>4.</w:t>
            </w:r>
            <w:r>
              <w:tab/>
              <w:t>Aðlögunarlausnir sem komið er í framkvæmd:</w:t>
            </w:r>
          </w:p>
          <w:p w14:paraId="1C32C2E4"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626B6C3C"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643"/>
            </w:r>
            <w:r>
              <w:t>) í forgangi eða treyst er á bláa eða græna innviði (</w:t>
            </w:r>
            <w:r>
              <w:rPr>
                <w:rStyle w:val="Tilvsunneanmlsgrein"/>
                <w:sz w:val="18"/>
                <w:szCs w:val="18"/>
              </w:rPr>
              <w:footnoteReference w:id="644"/>
            </w:r>
            <w:r>
              <w:t>) að því marki sem mögulegt er,</w:t>
            </w:r>
          </w:p>
          <w:p w14:paraId="4E24179B" w14:textId="77777777" w:rsidR="006D7A4B" w:rsidRDefault="006D7A4B" w:rsidP="00A9140F">
            <w:pPr>
              <w:pStyle w:val="AnnexNumberedText"/>
              <w:spacing w:after="240"/>
              <w:rPr>
                <w:szCs w:val="18"/>
              </w:rPr>
            </w:pPr>
            <w:r>
              <w:t>c)</w:t>
            </w:r>
            <w:r>
              <w:tab/>
              <w:t>eru í samræmi við staðbundnar, geirabundnar, svæðisbundnar eða landsbundnar aðlögunarstefnur og -áætlanir,</w:t>
            </w:r>
          </w:p>
          <w:p w14:paraId="59AA7F08" w14:textId="77777777" w:rsidR="006D7A4B" w:rsidRDefault="006D7A4B" w:rsidP="00A9140F">
            <w:pPr>
              <w:pStyle w:val="AnnexNumberedText"/>
              <w:spacing w:after="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tc>
      </w:tr>
      <w:tr w:rsidR="006D7A4B" w14:paraId="5CDB8267" w14:textId="77777777" w:rsidTr="00A9140F">
        <w:trPr>
          <w:trHeight w:val="360"/>
        </w:trPr>
        <w:tc>
          <w:tcPr>
            <w:tcW w:w="8736" w:type="dxa"/>
            <w:gridSpan w:val="2"/>
            <w:tcBorders>
              <w:top w:val="nil"/>
            </w:tcBorders>
            <w:tcMar>
              <w:left w:w="0" w:type="dxa"/>
              <w:right w:w="60" w:type="dxa"/>
            </w:tcMar>
          </w:tcPr>
          <w:p w14:paraId="0E5E9089" w14:textId="77777777" w:rsidR="006D7A4B" w:rsidRDefault="006D7A4B" w:rsidP="00A9140F">
            <w:pPr>
              <w:pStyle w:val="AnnexNumberedText"/>
              <w:pageBreakBefore/>
              <w:rPr>
                <w:szCs w:val="18"/>
              </w:rPr>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1E8E953E" w14:textId="77777777" w:rsidTr="00A9140F">
        <w:tc>
          <w:tcPr>
            <w:tcW w:w="8736" w:type="dxa"/>
            <w:gridSpan w:val="2"/>
            <w:tcMar>
              <w:top w:w="100" w:type="dxa"/>
              <w:left w:w="0" w:type="dxa"/>
              <w:bottom w:w="100" w:type="dxa"/>
              <w:right w:w="60" w:type="dxa"/>
            </w:tcMar>
          </w:tcPr>
          <w:p w14:paraId="6C2690D1" w14:textId="77777777" w:rsidR="006D7A4B" w:rsidRDefault="006D7A4B" w:rsidP="00A9140F">
            <w:pPr>
              <w:pStyle w:val="AnnexTableCellLeft"/>
              <w:rPr>
                <w:szCs w:val="18"/>
              </w:rPr>
            </w:pPr>
            <w:r>
              <w:t>Ekki valda umtalsverðu tjóni</w:t>
            </w:r>
          </w:p>
        </w:tc>
      </w:tr>
      <w:tr w:rsidR="006D7A4B" w14:paraId="41D3B542" w14:textId="77777777" w:rsidTr="00A9140F">
        <w:tc>
          <w:tcPr>
            <w:tcW w:w="2940" w:type="dxa"/>
            <w:tcMar>
              <w:top w:w="100" w:type="dxa"/>
              <w:left w:w="0" w:type="dxa"/>
              <w:bottom w:w="100" w:type="dxa"/>
              <w:right w:w="60" w:type="dxa"/>
            </w:tcMar>
          </w:tcPr>
          <w:p w14:paraId="5F0033FA" w14:textId="77777777" w:rsidR="006D7A4B" w:rsidRDefault="006D7A4B" w:rsidP="00A9140F">
            <w:pPr>
              <w:pStyle w:val="AnnexNumberedText"/>
              <w:spacing w:after="0"/>
              <w:ind w:left="293" w:hanging="293"/>
              <w:rPr>
                <w:szCs w:val="18"/>
              </w:rPr>
            </w:pPr>
            <w:r>
              <w:t>1)</w:t>
            </w:r>
            <w:r>
              <w:tab/>
              <w:t>Mildun loftslagsbreytinga</w:t>
            </w:r>
          </w:p>
        </w:tc>
        <w:tc>
          <w:tcPr>
            <w:tcW w:w="5796" w:type="dxa"/>
            <w:tcMar>
              <w:top w:w="100" w:type="dxa"/>
              <w:left w:w="60" w:type="dxa"/>
              <w:bottom w:w="100" w:type="dxa"/>
              <w:right w:w="0" w:type="dxa"/>
            </w:tcMar>
          </w:tcPr>
          <w:p w14:paraId="25D6F076" w14:textId="77777777" w:rsidR="006D7A4B" w:rsidRDefault="006D7A4B" w:rsidP="00A9140F">
            <w:pPr>
              <w:pStyle w:val="AnnexTableCellLeft"/>
              <w:rPr>
                <w:szCs w:val="18"/>
              </w:rPr>
            </w:pPr>
            <w:r>
              <w:t>Á ekki við</w:t>
            </w:r>
          </w:p>
        </w:tc>
      </w:tr>
      <w:tr w:rsidR="006D7A4B" w14:paraId="45BB1A5D" w14:textId="77777777" w:rsidTr="00A9140F">
        <w:tc>
          <w:tcPr>
            <w:tcW w:w="2940" w:type="dxa"/>
            <w:tcMar>
              <w:top w:w="100" w:type="dxa"/>
              <w:left w:w="0" w:type="dxa"/>
              <w:bottom w:w="100" w:type="dxa"/>
              <w:right w:w="60" w:type="dxa"/>
            </w:tcMar>
          </w:tcPr>
          <w:p w14:paraId="71DD8F5F"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96" w:type="dxa"/>
            <w:tcMar>
              <w:top w:w="100" w:type="dxa"/>
              <w:left w:w="60" w:type="dxa"/>
              <w:bottom w:w="100" w:type="dxa"/>
              <w:right w:w="0" w:type="dxa"/>
            </w:tcMar>
          </w:tcPr>
          <w:p w14:paraId="5BD22D04" w14:textId="77777777" w:rsidR="006D7A4B" w:rsidRDefault="006D7A4B" w:rsidP="00A9140F">
            <w:pPr>
              <w:pStyle w:val="AnnexTableCellLeft"/>
              <w:spacing w:after="200"/>
              <w:rPr>
                <w:szCs w:val="18"/>
              </w:rPr>
            </w:pPr>
            <w:r>
              <w:t xml:space="preserve">Að því er varðar </w:t>
            </w:r>
            <w:proofErr w:type="spellStart"/>
            <w:r>
              <w:t>dælimiðlunarvatnsorku</w:t>
            </w:r>
            <w:proofErr w:type="spellEnd"/>
            <w:r>
              <w:t xml:space="preserve"> sem ekki er tengd vatnasviði ár er starfsemin í samræmi við viðmiðanirnar sem settar eru fram í viðbæti B við þennan viðauka.</w:t>
            </w:r>
          </w:p>
          <w:p w14:paraId="2915D5E2" w14:textId="77777777" w:rsidR="006D7A4B" w:rsidRDefault="006D7A4B" w:rsidP="00A9140F">
            <w:pPr>
              <w:pStyle w:val="AnnexTableCellLeft"/>
              <w:rPr>
                <w:szCs w:val="18"/>
              </w:rPr>
            </w:pPr>
            <w:r>
              <w:t xml:space="preserve">Að því er varðar </w:t>
            </w:r>
            <w:proofErr w:type="spellStart"/>
            <w:r>
              <w:t>dælimiðlunarvatnsorku</w:t>
            </w:r>
            <w:proofErr w:type="spellEnd"/>
            <w:r>
              <w:t xml:space="preserve"> sem er tengd vatnasviði ár er starfsemin í samræmi við viðmiðanirnar fyrir „ekki valda umtalsverðu tjóni“ fyrir sjálfbæra notkun og verndun vatns- og sjávarauðlinda sem eru tilgreindar í þætti 4.5 (Raforkuframleiðsla úr vatnsorku).</w:t>
            </w:r>
          </w:p>
        </w:tc>
      </w:tr>
      <w:tr w:rsidR="006D7A4B" w14:paraId="779DF428" w14:textId="77777777" w:rsidTr="00A9140F">
        <w:tc>
          <w:tcPr>
            <w:tcW w:w="2940" w:type="dxa"/>
            <w:tcMar>
              <w:top w:w="100" w:type="dxa"/>
              <w:left w:w="0" w:type="dxa"/>
              <w:bottom w:w="100" w:type="dxa"/>
              <w:right w:w="60" w:type="dxa"/>
            </w:tcMar>
          </w:tcPr>
          <w:p w14:paraId="35EF44C4" w14:textId="77777777" w:rsidR="006D7A4B" w:rsidRDefault="006D7A4B" w:rsidP="00A9140F">
            <w:pPr>
              <w:pStyle w:val="AnnexNumberedText"/>
              <w:spacing w:after="0"/>
              <w:ind w:left="293" w:hanging="293"/>
              <w:rPr>
                <w:szCs w:val="18"/>
              </w:rPr>
            </w:pPr>
            <w:r>
              <w:t>4)</w:t>
            </w:r>
            <w:r>
              <w:tab/>
              <w:t>Umskipti yfir í hringrásarhagkerfi</w:t>
            </w:r>
          </w:p>
        </w:tc>
        <w:tc>
          <w:tcPr>
            <w:tcW w:w="5796" w:type="dxa"/>
            <w:tcMar>
              <w:top w:w="100" w:type="dxa"/>
              <w:left w:w="60" w:type="dxa"/>
              <w:bottom w:w="100" w:type="dxa"/>
              <w:right w:w="0" w:type="dxa"/>
            </w:tcMar>
          </w:tcPr>
          <w:p w14:paraId="372DEB05" w14:textId="77777777" w:rsidR="006D7A4B" w:rsidRDefault="006D7A4B" w:rsidP="00A9140F">
            <w:pPr>
              <w:pStyle w:val="AnnexTableCellLeft"/>
              <w:rPr>
                <w:szCs w:val="18"/>
              </w:rPr>
            </w:pPr>
            <w:r>
              <w:t>Úrgangsstjórnunaráætlun er til staðar og tryggir hámarksendurnotkun eða endurvinnslu við lok vistferilsins í samræmi við úrgangsmetakerfið, þ.m.t. með samningsbundnu samkomulagi við samstarfsaðila um meðhöndlun úrgangs, endurspeglast í fjárhagslegum spám eða opinberum skjölum um verkefnið.</w:t>
            </w:r>
          </w:p>
        </w:tc>
      </w:tr>
      <w:tr w:rsidR="006D7A4B" w14:paraId="23214A76" w14:textId="77777777" w:rsidTr="00A9140F">
        <w:tc>
          <w:tcPr>
            <w:tcW w:w="2940" w:type="dxa"/>
            <w:tcMar>
              <w:top w:w="100" w:type="dxa"/>
              <w:left w:w="0" w:type="dxa"/>
              <w:bottom w:w="100" w:type="dxa"/>
              <w:right w:w="60" w:type="dxa"/>
            </w:tcMar>
          </w:tcPr>
          <w:p w14:paraId="01AC9E77" w14:textId="77777777" w:rsidR="006D7A4B" w:rsidRDefault="006D7A4B" w:rsidP="00A9140F">
            <w:pPr>
              <w:pStyle w:val="AnnexNumberedText"/>
              <w:spacing w:after="0"/>
              <w:ind w:left="293" w:hanging="293"/>
              <w:rPr>
                <w:szCs w:val="18"/>
              </w:rPr>
            </w:pPr>
            <w:r>
              <w:t>5)</w:t>
            </w:r>
            <w:r>
              <w:tab/>
              <w:t>Mengunarvarnir og eftirlit með mengun</w:t>
            </w:r>
          </w:p>
        </w:tc>
        <w:tc>
          <w:tcPr>
            <w:tcW w:w="5796" w:type="dxa"/>
            <w:tcMar>
              <w:top w:w="100" w:type="dxa"/>
              <w:left w:w="60" w:type="dxa"/>
              <w:bottom w:w="100" w:type="dxa"/>
              <w:right w:w="0" w:type="dxa"/>
            </w:tcMar>
          </w:tcPr>
          <w:p w14:paraId="5647FF7D" w14:textId="77777777" w:rsidR="006D7A4B" w:rsidRDefault="006D7A4B" w:rsidP="00A9140F">
            <w:pPr>
              <w:pStyle w:val="AnnexTableCellLeft"/>
              <w:rPr>
                <w:szCs w:val="18"/>
              </w:rPr>
            </w:pPr>
            <w:r>
              <w:t>Á ekki við</w:t>
            </w:r>
          </w:p>
        </w:tc>
      </w:tr>
      <w:tr w:rsidR="006D7A4B" w14:paraId="3666728F" w14:textId="77777777" w:rsidTr="00A9140F">
        <w:tc>
          <w:tcPr>
            <w:tcW w:w="2940" w:type="dxa"/>
            <w:tcMar>
              <w:top w:w="100" w:type="dxa"/>
              <w:left w:w="0" w:type="dxa"/>
              <w:bottom w:w="100" w:type="dxa"/>
              <w:right w:w="60" w:type="dxa"/>
            </w:tcMar>
          </w:tcPr>
          <w:p w14:paraId="4F32587F"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96" w:type="dxa"/>
            <w:tcMar>
              <w:top w:w="100" w:type="dxa"/>
              <w:left w:w="60" w:type="dxa"/>
              <w:bottom w:w="100" w:type="dxa"/>
              <w:right w:w="0" w:type="dxa"/>
            </w:tcMar>
          </w:tcPr>
          <w:p w14:paraId="5979F2DA" w14:textId="77777777" w:rsidR="006D7A4B" w:rsidRDefault="006D7A4B" w:rsidP="00A9140F">
            <w:pPr>
              <w:pStyle w:val="AnnexTableCellLeft"/>
              <w:rPr>
                <w:szCs w:val="18"/>
              </w:rPr>
            </w:pPr>
            <w:r>
              <w:t>Starfsemin er í samræmi við viðmiðanirnar sem settar eru fram í viðbæti D við þennan viðauka.</w:t>
            </w:r>
          </w:p>
        </w:tc>
      </w:tr>
    </w:tbl>
    <w:p w14:paraId="134597DE" w14:textId="77777777" w:rsidR="006D7A4B" w:rsidRDefault="006D7A4B" w:rsidP="006D7A4B">
      <w:pPr>
        <w:pStyle w:val="AnnexNumberedText"/>
        <w:spacing w:before="60"/>
        <w:ind w:left="504" w:hanging="504"/>
        <w:rPr>
          <w:szCs w:val="18"/>
        </w:rPr>
      </w:pPr>
      <w:r>
        <w:t>4.11.</w:t>
      </w:r>
      <w:r>
        <w:rPr>
          <w:b/>
        </w:rPr>
        <w:tab/>
        <w:t>Geymsla á varmaorku</w:t>
      </w:r>
    </w:p>
    <w:p w14:paraId="6FDFD0CC" w14:textId="77777777" w:rsidR="006D7A4B" w:rsidRDefault="006D7A4B" w:rsidP="006D7A4B">
      <w:pPr>
        <w:pStyle w:val="AnnexGrSeq3"/>
        <w:spacing w:after="120"/>
        <w:ind w:left="504"/>
        <w:jc w:val="both"/>
        <w:rPr>
          <w:szCs w:val="18"/>
        </w:rPr>
      </w:pPr>
      <w:r>
        <w:rPr>
          <w:i/>
        </w:rPr>
        <w:t>Lýsing á starfseminni</w:t>
      </w:r>
    </w:p>
    <w:p w14:paraId="785A284E" w14:textId="77777777" w:rsidR="006D7A4B" w:rsidRDefault="006D7A4B" w:rsidP="006D7A4B">
      <w:pPr>
        <w:pStyle w:val="AnnexNormal"/>
        <w:spacing w:after="400"/>
        <w:ind w:left="504"/>
        <w:rPr>
          <w:szCs w:val="18"/>
        </w:rPr>
      </w:pPr>
      <w:r>
        <w:t>Bygging og rekstur stöðva sem geyma varmaorku og skila henni síðar í formi varmaorku eða annars orkugjafa.</w:t>
      </w:r>
    </w:p>
    <w:p w14:paraId="35C91E77" w14:textId="77777777" w:rsidR="006D7A4B" w:rsidRDefault="006D7A4B" w:rsidP="006D7A4B">
      <w:pPr>
        <w:pStyle w:val="AnnexNormal"/>
        <w:spacing w:after="400"/>
        <w:ind w:left="504"/>
        <w:rPr>
          <w:szCs w:val="18"/>
        </w:rPr>
      </w:pPr>
      <w:r>
        <w:t>Ef atvinnustarfsemi er óaðskiljanlegur hluti af „Uppsetning, viðhald og viðgerðir á tækni á sviði endurnýjanlegrar orku“, eins og um getur í þætti 7.6 í þessum viðauka, gilda tæknilegu matsviðmiðin sem tilgreind eru í þætti 7.6.</w:t>
      </w:r>
    </w:p>
    <w:p w14:paraId="7FA284E2" w14:textId="77777777" w:rsidR="006D7A4B" w:rsidRDefault="006D7A4B" w:rsidP="006D7A4B">
      <w:pPr>
        <w:pStyle w:val="AnnexNormal"/>
        <w:spacing w:after="400"/>
        <w:ind w:left="504"/>
        <w:rPr>
          <w:szCs w:val="18"/>
        </w:rPr>
      </w:pPr>
      <w:r>
        <w:t>Atvinnustarfsemin í þessum flokki er ekki með sérstakan kóða atvinnugreinaflokkunar Evrópusambandsins, eins og um getur í atvinnugreinaflokkuninni sem komið var á með reglugerð (EB) nr. 1893/2006.</w:t>
      </w:r>
    </w:p>
    <w:p w14:paraId="18D0C126"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6D7A4B" w14:paraId="464848E5" w14:textId="77777777" w:rsidTr="00A9140F">
        <w:trPr>
          <w:trHeight w:val="280"/>
        </w:trPr>
        <w:tc>
          <w:tcPr>
            <w:tcW w:w="8736" w:type="dxa"/>
            <w:gridSpan w:val="2"/>
            <w:tcBorders>
              <w:bottom w:val="single" w:sz="4" w:space="0" w:color="auto"/>
            </w:tcBorders>
            <w:tcMar>
              <w:left w:w="0" w:type="dxa"/>
              <w:right w:w="60" w:type="dxa"/>
            </w:tcMar>
          </w:tcPr>
          <w:p w14:paraId="1B8E89C7" w14:textId="77777777" w:rsidR="006D7A4B" w:rsidRDefault="006D7A4B" w:rsidP="00A9140F">
            <w:pPr>
              <w:pStyle w:val="AnnexTableCellLeft"/>
              <w:spacing w:before="40" w:after="40"/>
              <w:rPr>
                <w:szCs w:val="18"/>
              </w:rPr>
            </w:pPr>
            <w:r>
              <w:t>Verulegt framlag til aðlögunar að loftslagsbreytingum</w:t>
            </w:r>
          </w:p>
        </w:tc>
      </w:tr>
      <w:tr w:rsidR="006D7A4B" w14:paraId="14F4A1A0" w14:textId="77777777" w:rsidTr="00A9140F">
        <w:trPr>
          <w:trHeight w:val="360"/>
        </w:trPr>
        <w:tc>
          <w:tcPr>
            <w:tcW w:w="8736" w:type="dxa"/>
            <w:gridSpan w:val="2"/>
            <w:tcBorders>
              <w:bottom w:val="nil"/>
            </w:tcBorders>
            <w:tcMar>
              <w:left w:w="0" w:type="dxa"/>
              <w:right w:w="60" w:type="dxa"/>
            </w:tcMar>
          </w:tcPr>
          <w:p w14:paraId="5E215C78" w14:textId="77777777" w:rsidR="006D7A4B" w:rsidRDefault="006D7A4B" w:rsidP="00A9140F">
            <w:pPr>
              <w:pStyle w:val="AnnexNumberedText"/>
              <w:tabs>
                <w:tab w:val="left" w:pos="396"/>
              </w:tabs>
              <w:spacing w:before="60"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40E55B49" w14:textId="77777777" w:rsidR="006D7A4B" w:rsidRDefault="006D7A4B"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9EBC461" w14:textId="77777777" w:rsidR="006D7A4B" w:rsidRDefault="006D7A4B"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4D9944F" w14:textId="77777777" w:rsidR="006D7A4B" w:rsidRDefault="006D7A4B"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A1B50B9" w14:textId="77777777" w:rsidR="006D7A4B" w:rsidRDefault="006D7A4B" w:rsidP="00A9140F">
            <w:pPr>
              <w:pStyle w:val="AnnexNumberedText"/>
              <w:spacing w:after="0"/>
              <w:rPr>
                <w:szCs w:val="18"/>
              </w:rPr>
            </w:pPr>
            <w:r>
              <w:t>c)</w:t>
            </w:r>
            <w:r>
              <w:tab/>
              <w:t>mat á aðlögunarlausnum sem geta dregið úr greindri efnislegri loftslagsáhættu.</w:t>
            </w:r>
          </w:p>
        </w:tc>
      </w:tr>
      <w:tr w:rsidR="006D7A4B" w14:paraId="26A5BF35" w14:textId="77777777" w:rsidTr="00A9140F">
        <w:trPr>
          <w:trHeight w:val="360"/>
        </w:trPr>
        <w:tc>
          <w:tcPr>
            <w:tcW w:w="8736" w:type="dxa"/>
            <w:gridSpan w:val="2"/>
            <w:tcBorders>
              <w:top w:val="nil"/>
            </w:tcBorders>
            <w:tcMar>
              <w:left w:w="0" w:type="dxa"/>
              <w:right w:w="60" w:type="dxa"/>
            </w:tcMar>
          </w:tcPr>
          <w:p w14:paraId="07E9377E" w14:textId="77777777" w:rsidR="006D7A4B" w:rsidRDefault="006D7A4B" w:rsidP="00A9140F">
            <w:pPr>
              <w:pStyle w:val="AnnexTableCellLeft"/>
              <w:pageBreakBefore/>
              <w:spacing w:after="300"/>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19029160" w14:textId="77777777" w:rsidR="006D7A4B" w:rsidRDefault="006D7A4B" w:rsidP="00A9140F">
            <w:pPr>
              <w:pStyle w:val="AnnexNumberedText"/>
              <w:spacing w:after="3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28FD6FC" w14:textId="77777777" w:rsidR="006D7A4B" w:rsidRDefault="006D7A4B"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4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337437C" w14:textId="77777777" w:rsidR="006D7A4B" w:rsidRDefault="006D7A4B" w:rsidP="00A9140F">
            <w:pPr>
              <w:pStyle w:val="AnnexNumberedText"/>
              <w:tabs>
                <w:tab w:val="left" w:pos="396"/>
              </w:tabs>
              <w:spacing w:after="3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46"/>
            </w:r>
            <w:r>
              <w:t>), vísindalegt ritrýnt útgefið efni og líkön með opnum aðgangi (</w:t>
            </w:r>
            <w:r>
              <w:rPr>
                <w:rStyle w:val="Tilvsunneanmlsgrein"/>
                <w:sz w:val="18"/>
                <w:szCs w:val="18"/>
              </w:rPr>
              <w:footnoteReference w:id="647"/>
            </w:r>
            <w:r>
              <w:t>) eða gegn greiðslu.</w:t>
            </w:r>
          </w:p>
          <w:p w14:paraId="6A24BFE4"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1EE2717C" w14:textId="77777777" w:rsidR="006D7A4B" w:rsidRDefault="006D7A4B"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70286BD9" w14:textId="77777777" w:rsidR="006D7A4B" w:rsidRDefault="006D7A4B" w:rsidP="00A9140F">
            <w:pPr>
              <w:pStyle w:val="AnnexNumberedText"/>
              <w:spacing w:after="300"/>
              <w:rPr>
                <w:szCs w:val="18"/>
              </w:rPr>
            </w:pPr>
            <w:r>
              <w:t>b)</w:t>
            </w:r>
            <w:r>
              <w:tab/>
              <w:t>eru með náttúrumiðaðar lausnir (</w:t>
            </w:r>
            <w:r>
              <w:rPr>
                <w:rStyle w:val="Tilvsunneanmlsgrein"/>
                <w:sz w:val="18"/>
                <w:szCs w:val="18"/>
              </w:rPr>
              <w:footnoteReference w:id="648"/>
            </w:r>
            <w:r>
              <w:t>) í forgangi eða treyst er á bláa eða græna innviði (</w:t>
            </w:r>
            <w:r>
              <w:rPr>
                <w:rStyle w:val="Tilvsunneanmlsgrein"/>
                <w:sz w:val="18"/>
                <w:szCs w:val="18"/>
              </w:rPr>
              <w:footnoteReference w:id="649"/>
            </w:r>
            <w:r>
              <w:t>) að því marki sem mögulegt er,</w:t>
            </w:r>
          </w:p>
          <w:p w14:paraId="59BE60D0"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7794E480"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60EF3A5"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3E92C424" w14:textId="77777777" w:rsidTr="00A9140F">
        <w:tc>
          <w:tcPr>
            <w:tcW w:w="8736" w:type="dxa"/>
            <w:gridSpan w:val="2"/>
            <w:tcMar>
              <w:top w:w="100" w:type="dxa"/>
              <w:left w:w="0" w:type="dxa"/>
              <w:bottom w:w="100" w:type="dxa"/>
              <w:right w:w="60" w:type="dxa"/>
            </w:tcMar>
          </w:tcPr>
          <w:p w14:paraId="3FA52BEC" w14:textId="77777777" w:rsidR="006D7A4B" w:rsidRDefault="006D7A4B" w:rsidP="00A9140F">
            <w:pPr>
              <w:pStyle w:val="AnnexTableCellLeft"/>
              <w:rPr>
                <w:szCs w:val="18"/>
              </w:rPr>
            </w:pPr>
            <w:r>
              <w:t>Ekki valda umtalsverðu tjóni</w:t>
            </w:r>
          </w:p>
        </w:tc>
      </w:tr>
      <w:tr w:rsidR="006D7A4B" w14:paraId="5A823297" w14:textId="77777777" w:rsidTr="00A9140F">
        <w:tc>
          <w:tcPr>
            <w:tcW w:w="2952" w:type="dxa"/>
            <w:tcMar>
              <w:top w:w="100" w:type="dxa"/>
              <w:left w:w="0" w:type="dxa"/>
              <w:bottom w:w="100" w:type="dxa"/>
              <w:right w:w="60" w:type="dxa"/>
            </w:tcMar>
          </w:tcPr>
          <w:p w14:paraId="1F7B76E4" w14:textId="77777777" w:rsidR="006D7A4B" w:rsidRDefault="006D7A4B" w:rsidP="00A9140F">
            <w:pPr>
              <w:pStyle w:val="AnnexNumberedText"/>
              <w:spacing w:after="0"/>
              <w:ind w:left="293" w:hanging="293"/>
              <w:rPr>
                <w:szCs w:val="18"/>
              </w:rPr>
            </w:pPr>
            <w:r>
              <w:t>1)</w:t>
            </w:r>
            <w:r>
              <w:tab/>
              <w:t>Mildun loftslagsbreytinga</w:t>
            </w:r>
          </w:p>
        </w:tc>
        <w:tc>
          <w:tcPr>
            <w:tcW w:w="5784" w:type="dxa"/>
            <w:tcMar>
              <w:top w:w="100" w:type="dxa"/>
              <w:left w:w="60" w:type="dxa"/>
              <w:bottom w:w="100" w:type="dxa"/>
              <w:right w:w="0" w:type="dxa"/>
            </w:tcMar>
          </w:tcPr>
          <w:p w14:paraId="5E8CCC30" w14:textId="77777777" w:rsidR="006D7A4B" w:rsidRDefault="006D7A4B" w:rsidP="00A9140F">
            <w:pPr>
              <w:pStyle w:val="AnnexTableCellLeft"/>
              <w:rPr>
                <w:szCs w:val="18"/>
              </w:rPr>
            </w:pPr>
            <w:r>
              <w:t>Á ekki við</w:t>
            </w:r>
          </w:p>
        </w:tc>
      </w:tr>
      <w:tr w:rsidR="006D7A4B" w14:paraId="6EEFC69A" w14:textId="77777777" w:rsidTr="00A9140F">
        <w:tc>
          <w:tcPr>
            <w:tcW w:w="2952" w:type="dxa"/>
            <w:tcMar>
              <w:top w:w="100" w:type="dxa"/>
              <w:left w:w="0" w:type="dxa"/>
              <w:bottom w:w="100" w:type="dxa"/>
              <w:right w:w="60" w:type="dxa"/>
            </w:tcMar>
          </w:tcPr>
          <w:p w14:paraId="4FDBACF0"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84" w:type="dxa"/>
            <w:tcMar>
              <w:top w:w="100" w:type="dxa"/>
              <w:left w:w="60" w:type="dxa"/>
              <w:bottom w:w="100" w:type="dxa"/>
              <w:right w:w="0" w:type="dxa"/>
            </w:tcMar>
          </w:tcPr>
          <w:p w14:paraId="3986441C" w14:textId="77777777" w:rsidR="006D7A4B" w:rsidRDefault="006D7A4B" w:rsidP="00A9140F">
            <w:pPr>
              <w:pStyle w:val="AnnexTableCellLeft"/>
              <w:rPr>
                <w:szCs w:val="18"/>
              </w:rPr>
            </w:pPr>
            <w:r>
              <w:t>Að því er varðar geymslu á varmaorku í veitum er starfsemin í samræmi við viðmiðanirnar sem settar eru fram í viðbæti B við þennan viðauka.</w:t>
            </w:r>
          </w:p>
        </w:tc>
      </w:tr>
      <w:tr w:rsidR="006D7A4B" w14:paraId="5798A551" w14:textId="77777777" w:rsidTr="00A9140F">
        <w:tc>
          <w:tcPr>
            <w:tcW w:w="2952" w:type="dxa"/>
            <w:tcMar>
              <w:top w:w="100" w:type="dxa"/>
              <w:left w:w="0" w:type="dxa"/>
              <w:bottom w:w="100" w:type="dxa"/>
              <w:right w:w="60" w:type="dxa"/>
            </w:tcMar>
          </w:tcPr>
          <w:p w14:paraId="7FA2F961" w14:textId="77777777" w:rsidR="006D7A4B" w:rsidRDefault="006D7A4B" w:rsidP="00A9140F">
            <w:pPr>
              <w:pStyle w:val="AnnexNumberedText"/>
              <w:spacing w:after="0"/>
              <w:ind w:left="293" w:hanging="293"/>
              <w:rPr>
                <w:szCs w:val="18"/>
              </w:rPr>
            </w:pPr>
            <w:r>
              <w:t>4)</w:t>
            </w:r>
            <w:r>
              <w:tab/>
              <w:t>Umskipti yfir í hringrásarhagkerfi</w:t>
            </w:r>
          </w:p>
        </w:tc>
        <w:tc>
          <w:tcPr>
            <w:tcW w:w="5784" w:type="dxa"/>
            <w:tcMar>
              <w:top w:w="100" w:type="dxa"/>
              <w:left w:w="60" w:type="dxa"/>
              <w:bottom w:w="100" w:type="dxa"/>
              <w:right w:w="0" w:type="dxa"/>
            </w:tcMar>
          </w:tcPr>
          <w:p w14:paraId="2A45ECC2" w14:textId="77777777" w:rsidR="006D7A4B" w:rsidRDefault="006D7A4B" w:rsidP="00A9140F">
            <w:pPr>
              <w:pStyle w:val="AnnexTableCellLeft"/>
              <w:rPr>
                <w:szCs w:val="18"/>
              </w:rPr>
            </w:pPr>
            <w:r>
              <w:t xml:space="preserve">Úrgangsstjórnunaráætlun er til staðar og tryggir hámarksendurnotkun, </w:t>
            </w:r>
            <w:proofErr w:type="spellStart"/>
            <w:r>
              <w:t>endurframleiðslu</w:t>
            </w:r>
            <w:proofErr w:type="spellEnd"/>
            <w:r>
              <w:t xml:space="preserve"> eða endurvinnslu við lok vistferilsins, þ.m.t. með samningsbundnu samkomulagi við samstarfsaðila um meðhöndlun úrgangs, endurspeglast í fjárhagslegum spám eða opinberum skjölum um verkefnið.</w:t>
            </w:r>
          </w:p>
        </w:tc>
      </w:tr>
      <w:tr w:rsidR="006D7A4B" w14:paraId="527E4512" w14:textId="77777777" w:rsidTr="00A9140F">
        <w:tc>
          <w:tcPr>
            <w:tcW w:w="2952" w:type="dxa"/>
            <w:tcMar>
              <w:top w:w="100" w:type="dxa"/>
              <w:left w:w="0" w:type="dxa"/>
              <w:bottom w:w="100" w:type="dxa"/>
              <w:right w:w="60" w:type="dxa"/>
            </w:tcMar>
          </w:tcPr>
          <w:p w14:paraId="160B0246" w14:textId="77777777" w:rsidR="006D7A4B" w:rsidRDefault="006D7A4B" w:rsidP="00A9140F">
            <w:pPr>
              <w:pStyle w:val="AnnexNumberedText"/>
              <w:spacing w:after="0"/>
              <w:ind w:left="293" w:hanging="293"/>
              <w:rPr>
                <w:szCs w:val="18"/>
              </w:rPr>
            </w:pPr>
            <w:r>
              <w:t>5)</w:t>
            </w:r>
            <w:r>
              <w:tab/>
              <w:t xml:space="preserve">Mengunarvarnir og eftirlit með </w:t>
            </w:r>
            <w:r>
              <w:lastRenderedPageBreak/>
              <w:t>mengun</w:t>
            </w:r>
          </w:p>
        </w:tc>
        <w:tc>
          <w:tcPr>
            <w:tcW w:w="5784" w:type="dxa"/>
            <w:tcMar>
              <w:top w:w="100" w:type="dxa"/>
              <w:left w:w="60" w:type="dxa"/>
              <w:bottom w:w="100" w:type="dxa"/>
              <w:right w:w="0" w:type="dxa"/>
            </w:tcMar>
          </w:tcPr>
          <w:p w14:paraId="3F62F5D8" w14:textId="77777777" w:rsidR="006D7A4B" w:rsidRDefault="006D7A4B" w:rsidP="00A9140F">
            <w:pPr>
              <w:pStyle w:val="AnnexTableCellLeft"/>
              <w:rPr>
                <w:szCs w:val="18"/>
              </w:rPr>
            </w:pPr>
            <w:r>
              <w:lastRenderedPageBreak/>
              <w:t>Á ekki við</w:t>
            </w:r>
          </w:p>
        </w:tc>
      </w:tr>
      <w:tr w:rsidR="006D7A4B" w14:paraId="055441FB" w14:textId="77777777" w:rsidTr="00A9140F">
        <w:tc>
          <w:tcPr>
            <w:tcW w:w="2952" w:type="dxa"/>
            <w:tcMar>
              <w:top w:w="100" w:type="dxa"/>
              <w:left w:w="0" w:type="dxa"/>
              <w:bottom w:w="100" w:type="dxa"/>
              <w:right w:w="60" w:type="dxa"/>
            </w:tcMar>
          </w:tcPr>
          <w:p w14:paraId="512CA911" w14:textId="77777777" w:rsidR="006D7A4B" w:rsidRDefault="006D7A4B" w:rsidP="00A9140F">
            <w:pPr>
              <w:pStyle w:val="AnnexNumberedText"/>
              <w:pageBreakBefore/>
              <w:spacing w:after="0"/>
              <w:ind w:left="293" w:hanging="293"/>
              <w:rPr>
                <w:szCs w:val="18"/>
              </w:rPr>
            </w:pPr>
            <w:r>
              <w:lastRenderedPageBreak/>
              <w:t>6)</w:t>
            </w:r>
            <w:r>
              <w:tab/>
              <w:t>Vernd og endurheimt líffræðilegrar fjölbreytni og vistkerfa</w:t>
            </w:r>
          </w:p>
        </w:tc>
        <w:tc>
          <w:tcPr>
            <w:tcW w:w="5784" w:type="dxa"/>
            <w:tcMar>
              <w:top w:w="100" w:type="dxa"/>
              <w:left w:w="60" w:type="dxa"/>
              <w:bottom w:w="100" w:type="dxa"/>
              <w:right w:w="0" w:type="dxa"/>
            </w:tcMar>
          </w:tcPr>
          <w:p w14:paraId="395ECFBC" w14:textId="77777777" w:rsidR="006D7A4B" w:rsidRDefault="006D7A4B" w:rsidP="00A9140F">
            <w:pPr>
              <w:pStyle w:val="AnnexTableCellLeft"/>
              <w:rPr>
                <w:szCs w:val="18"/>
              </w:rPr>
            </w:pPr>
            <w:r>
              <w:t>Starfsemin er í samræmi við viðmiðanirnar sem settar eru fram í viðbæti D við þennan viðauka.</w:t>
            </w:r>
          </w:p>
        </w:tc>
      </w:tr>
    </w:tbl>
    <w:p w14:paraId="0C73F621" w14:textId="77777777" w:rsidR="006D7A4B" w:rsidRDefault="006D7A4B" w:rsidP="006D7A4B">
      <w:pPr>
        <w:pStyle w:val="AnnexNumberedText"/>
        <w:spacing w:before="60"/>
        <w:ind w:left="504" w:hanging="504"/>
        <w:rPr>
          <w:szCs w:val="18"/>
        </w:rPr>
      </w:pPr>
      <w:r>
        <w:t>4.12.</w:t>
      </w:r>
      <w:r>
        <w:rPr>
          <w:b/>
        </w:rPr>
        <w:tab/>
        <w:t>Geymsla á vetni</w:t>
      </w:r>
    </w:p>
    <w:p w14:paraId="57B60F74" w14:textId="77777777" w:rsidR="006D7A4B" w:rsidRDefault="006D7A4B" w:rsidP="006D7A4B">
      <w:pPr>
        <w:pStyle w:val="AnnexGrSeq3"/>
        <w:spacing w:after="120"/>
        <w:ind w:left="504"/>
        <w:jc w:val="both"/>
        <w:rPr>
          <w:szCs w:val="18"/>
        </w:rPr>
      </w:pPr>
      <w:r>
        <w:rPr>
          <w:i/>
        </w:rPr>
        <w:t>Lýsing á starfseminni</w:t>
      </w:r>
    </w:p>
    <w:p w14:paraId="7E7BA935" w14:textId="77777777" w:rsidR="006D7A4B" w:rsidRDefault="006D7A4B" w:rsidP="006D7A4B">
      <w:pPr>
        <w:pStyle w:val="AnnexNormal"/>
        <w:spacing w:after="300"/>
        <w:ind w:left="504"/>
        <w:rPr>
          <w:szCs w:val="18"/>
        </w:rPr>
      </w:pPr>
      <w:r>
        <w:t>Bygging og rekstur stöðva sem geyma vetni og skila því síðar.</w:t>
      </w:r>
    </w:p>
    <w:p w14:paraId="69174ED0" w14:textId="77777777" w:rsidR="006D7A4B" w:rsidRDefault="006D7A4B" w:rsidP="006D7A4B">
      <w:pPr>
        <w:pStyle w:val="AnnexNormal"/>
        <w:spacing w:after="300"/>
        <w:ind w:left="504"/>
        <w:rPr>
          <w:szCs w:val="18"/>
        </w:rPr>
      </w:pPr>
      <w:r>
        <w:t>Atvinnustarfsemin í þessum flokki er ekki með sérstakan kóða atvinnugreinaflokkunar Evrópusambandsins í samræmi við atvinnugreinaflokkunina sem komið var á með reglugerð (EB) nr. 1893/2006.</w:t>
      </w:r>
    </w:p>
    <w:p w14:paraId="3E376571"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28"/>
        <w:gridCol w:w="5808"/>
      </w:tblGrid>
      <w:tr w:rsidR="006D7A4B" w14:paraId="7B7AC917" w14:textId="77777777" w:rsidTr="00A9140F">
        <w:trPr>
          <w:trHeight w:val="280"/>
        </w:trPr>
        <w:tc>
          <w:tcPr>
            <w:tcW w:w="8736" w:type="dxa"/>
            <w:gridSpan w:val="2"/>
            <w:tcBorders>
              <w:bottom w:val="single" w:sz="4" w:space="0" w:color="auto"/>
            </w:tcBorders>
            <w:tcMar>
              <w:left w:w="0" w:type="dxa"/>
              <w:right w:w="60" w:type="dxa"/>
            </w:tcMar>
          </w:tcPr>
          <w:p w14:paraId="6E3B7EC2" w14:textId="77777777" w:rsidR="006D7A4B" w:rsidRDefault="006D7A4B" w:rsidP="00A9140F">
            <w:pPr>
              <w:pStyle w:val="AnnexTableCellLeft"/>
              <w:spacing w:before="40" w:after="40"/>
              <w:rPr>
                <w:szCs w:val="18"/>
              </w:rPr>
            </w:pPr>
            <w:r>
              <w:t>Verulegt framlag til aðlögunar að loftslagsbreytingum</w:t>
            </w:r>
          </w:p>
        </w:tc>
      </w:tr>
      <w:tr w:rsidR="006D7A4B" w14:paraId="6D6931E3" w14:textId="77777777" w:rsidTr="00A9140F">
        <w:trPr>
          <w:trHeight w:val="360"/>
        </w:trPr>
        <w:tc>
          <w:tcPr>
            <w:tcW w:w="8736" w:type="dxa"/>
            <w:gridSpan w:val="2"/>
            <w:tcBorders>
              <w:bottom w:val="nil"/>
            </w:tcBorders>
            <w:tcMar>
              <w:left w:w="0" w:type="dxa"/>
              <w:right w:w="60" w:type="dxa"/>
            </w:tcMar>
          </w:tcPr>
          <w:p w14:paraId="308177DC" w14:textId="77777777" w:rsidR="006D7A4B" w:rsidRDefault="006D7A4B" w:rsidP="00A9140F">
            <w:pPr>
              <w:pStyle w:val="AnnexNumberedText"/>
              <w:tabs>
                <w:tab w:val="left" w:pos="396"/>
              </w:tabs>
              <w:spacing w:before="60" w:after="3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1DFFA2D" w14:textId="77777777" w:rsidR="006D7A4B" w:rsidRDefault="006D7A4B" w:rsidP="00A9140F">
            <w:pPr>
              <w:pStyle w:val="AnnexNumberedText"/>
              <w:tabs>
                <w:tab w:val="left" w:pos="396"/>
              </w:tabs>
              <w:spacing w:after="3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88D8696" w14:textId="77777777" w:rsidR="006D7A4B" w:rsidRDefault="006D7A4B" w:rsidP="00A9140F">
            <w:pPr>
              <w:pStyle w:val="AnnexNumberedText"/>
              <w:spacing w:after="3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870F43F" w14:textId="77777777" w:rsidR="006D7A4B" w:rsidRDefault="006D7A4B" w:rsidP="00A9140F">
            <w:pPr>
              <w:pStyle w:val="AnnexNumberedText"/>
              <w:spacing w:after="3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056E0DE" w14:textId="77777777" w:rsidR="006D7A4B" w:rsidRDefault="006D7A4B" w:rsidP="00A9140F">
            <w:pPr>
              <w:pStyle w:val="AnnexNumberedText"/>
              <w:spacing w:after="300"/>
              <w:rPr>
                <w:szCs w:val="18"/>
              </w:rPr>
            </w:pPr>
            <w:r>
              <w:t>c)</w:t>
            </w:r>
            <w:r>
              <w:tab/>
              <w:t>mat á aðlögunarlausnum sem geta dregið úr greindri efnislegri loftslagsáhættu.</w:t>
            </w:r>
          </w:p>
          <w:p w14:paraId="6FFD5F2A" w14:textId="77777777" w:rsidR="006D7A4B" w:rsidRDefault="006D7A4B" w:rsidP="00A9140F">
            <w:pPr>
              <w:pStyle w:val="AnnexTableCellLeft"/>
              <w:spacing w:after="3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638C923" w14:textId="77777777" w:rsidR="006D7A4B" w:rsidRDefault="006D7A4B" w:rsidP="00A9140F">
            <w:pPr>
              <w:pStyle w:val="AnnexNumberedText"/>
              <w:spacing w:after="3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B893FB9" w14:textId="77777777" w:rsidR="006D7A4B" w:rsidRDefault="006D7A4B"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5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B5E6749" w14:textId="77777777" w:rsidR="006D7A4B" w:rsidRDefault="006D7A4B" w:rsidP="00A9140F">
            <w:pPr>
              <w:pStyle w:val="AnnexNumberedText"/>
              <w:tabs>
                <w:tab w:val="left" w:pos="396"/>
              </w:tabs>
              <w:spacing w:after="3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51"/>
            </w:r>
            <w:r>
              <w:t>), vísindalegt ritrýnt útgefið efni og líkön með opnum aðgangi (</w:t>
            </w:r>
            <w:r>
              <w:rPr>
                <w:rStyle w:val="Tilvsunneanmlsgrein"/>
                <w:sz w:val="18"/>
                <w:szCs w:val="18"/>
              </w:rPr>
              <w:footnoteReference w:id="652"/>
            </w:r>
            <w:r>
              <w:t>) eða gegn greiðslu.</w:t>
            </w:r>
          </w:p>
          <w:p w14:paraId="7FAD3581"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32EA9BD6" w14:textId="77777777" w:rsidR="006D7A4B" w:rsidRDefault="006D7A4B" w:rsidP="00A9140F">
            <w:pPr>
              <w:pStyle w:val="AnnexNumberedText"/>
              <w:spacing w:after="0"/>
              <w:rPr>
                <w:szCs w:val="18"/>
              </w:rPr>
            </w:pPr>
            <w:r>
              <w:t>a)</w:t>
            </w:r>
            <w:r>
              <w:tab/>
              <w:t>hafa ekki neikvæð áhrif á viðleitni til aðlögunar eða viðnám annars fólks, náttúru, menningararfleifðar, eigna og annarrar atvinnustarfsemi gegn efnislegri loftslagsáhættu,</w:t>
            </w:r>
          </w:p>
        </w:tc>
      </w:tr>
      <w:tr w:rsidR="006D7A4B" w14:paraId="3B9B563F" w14:textId="77777777" w:rsidTr="00A9140F">
        <w:trPr>
          <w:trHeight w:val="360"/>
        </w:trPr>
        <w:tc>
          <w:tcPr>
            <w:tcW w:w="8736" w:type="dxa"/>
            <w:gridSpan w:val="2"/>
            <w:tcBorders>
              <w:top w:val="nil"/>
            </w:tcBorders>
            <w:tcMar>
              <w:left w:w="0" w:type="dxa"/>
              <w:right w:w="60" w:type="dxa"/>
            </w:tcMar>
          </w:tcPr>
          <w:p w14:paraId="77ABC6CD" w14:textId="77777777" w:rsidR="006D7A4B" w:rsidRDefault="006D7A4B" w:rsidP="00A9140F">
            <w:pPr>
              <w:pStyle w:val="AnnexNumberedText"/>
              <w:pageBreakBefore/>
              <w:spacing w:after="300"/>
              <w:rPr>
                <w:szCs w:val="18"/>
              </w:rPr>
            </w:pPr>
            <w:r>
              <w:lastRenderedPageBreak/>
              <w:t>b)</w:t>
            </w:r>
            <w:r>
              <w:tab/>
              <w:t>eru með náttúrumiðaðar lausnir (</w:t>
            </w:r>
            <w:r>
              <w:rPr>
                <w:rStyle w:val="Tilvsunneanmlsgrein"/>
                <w:sz w:val="18"/>
                <w:szCs w:val="18"/>
              </w:rPr>
              <w:footnoteReference w:id="653"/>
            </w:r>
            <w:r>
              <w:t>) í forgangi eða treyst er á bláa eða græna innviði (</w:t>
            </w:r>
            <w:r>
              <w:rPr>
                <w:rStyle w:val="Tilvsunneanmlsgrein"/>
                <w:sz w:val="18"/>
                <w:szCs w:val="18"/>
              </w:rPr>
              <w:footnoteReference w:id="654"/>
            </w:r>
            <w:r>
              <w:t>) að því marki sem mögulegt er,</w:t>
            </w:r>
          </w:p>
          <w:p w14:paraId="13F691B3"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754030CE"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A9D3231"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505CC83" w14:textId="77777777" w:rsidTr="00A9140F">
        <w:tc>
          <w:tcPr>
            <w:tcW w:w="8736" w:type="dxa"/>
            <w:gridSpan w:val="2"/>
            <w:tcMar>
              <w:top w:w="140" w:type="dxa"/>
              <w:left w:w="0" w:type="dxa"/>
              <w:bottom w:w="140" w:type="dxa"/>
              <w:right w:w="60" w:type="dxa"/>
            </w:tcMar>
          </w:tcPr>
          <w:p w14:paraId="51487D90" w14:textId="77777777" w:rsidR="006D7A4B" w:rsidRDefault="006D7A4B" w:rsidP="00A9140F">
            <w:pPr>
              <w:pStyle w:val="AnnexTableCellLeft"/>
              <w:rPr>
                <w:szCs w:val="18"/>
              </w:rPr>
            </w:pPr>
            <w:r>
              <w:t>Ekki valda umtalsverðu tjóni</w:t>
            </w:r>
          </w:p>
        </w:tc>
      </w:tr>
      <w:tr w:rsidR="006D7A4B" w14:paraId="34316A92" w14:textId="77777777" w:rsidTr="00A9140F">
        <w:tc>
          <w:tcPr>
            <w:tcW w:w="2928" w:type="dxa"/>
            <w:tcMar>
              <w:top w:w="140" w:type="dxa"/>
              <w:left w:w="0" w:type="dxa"/>
              <w:bottom w:w="140" w:type="dxa"/>
              <w:right w:w="60" w:type="dxa"/>
            </w:tcMar>
          </w:tcPr>
          <w:p w14:paraId="2A839735" w14:textId="77777777" w:rsidR="006D7A4B" w:rsidRDefault="006D7A4B" w:rsidP="00A9140F">
            <w:pPr>
              <w:pStyle w:val="AnnexNumberedText"/>
              <w:spacing w:after="0"/>
              <w:ind w:left="293" w:hanging="293"/>
              <w:rPr>
                <w:szCs w:val="18"/>
              </w:rPr>
            </w:pPr>
            <w:r>
              <w:t>1)</w:t>
            </w:r>
            <w:r>
              <w:tab/>
              <w:t>Mildun loftslagsbreytinga</w:t>
            </w:r>
          </w:p>
        </w:tc>
        <w:tc>
          <w:tcPr>
            <w:tcW w:w="5808" w:type="dxa"/>
            <w:tcMar>
              <w:top w:w="140" w:type="dxa"/>
              <w:left w:w="60" w:type="dxa"/>
              <w:bottom w:w="140" w:type="dxa"/>
              <w:right w:w="0" w:type="dxa"/>
            </w:tcMar>
          </w:tcPr>
          <w:p w14:paraId="154C8906" w14:textId="77777777" w:rsidR="006D7A4B" w:rsidRDefault="006D7A4B" w:rsidP="00A9140F">
            <w:pPr>
              <w:pStyle w:val="AnnexTableCellLeft"/>
              <w:rPr>
                <w:szCs w:val="18"/>
              </w:rPr>
            </w:pPr>
            <w:r>
              <w:t>Á ekki við</w:t>
            </w:r>
          </w:p>
        </w:tc>
      </w:tr>
      <w:tr w:rsidR="006D7A4B" w14:paraId="5DF5251F" w14:textId="77777777" w:rsidTr="00A9140F">
        <w:tc>
          <w:tcPr>
            <w:tcW w:w="2928" w:type="dxa"/>
            <w:tcMar>
              <w:top w:w="140" w:type="dxa"/>
              <w:left w:w="0" w:type="dxa"/>
              <w:bottom w:w="140" w:type="dxa"/>
              <w:right w:w="60" w:type="dxa"/>
            </w:tcMar>
          </w:tcPr>
          <w:p w14:paraId="66D23023"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08" w:type="dxa"/>
            <w:tcMar>
              <w:top w:w="140" w:type="dxa"/>
              <w:left w:w="60" w:type="dxa"/>
              <w:bottom w:w="140" w:type="dxa"/>
              <w:right w:w="0" w:type="dxa"/>
            </w:tcMar>
          </w:tcPr>
          <w:p w14:paraId="288DAB66" w14:textId="77777777" w:rsidR="006D7A4B" w:rsidRDefault="006D7A4B" w:rsidP="00A9140F">
            <w:pPr>
              <w:pStyle w:val="AnnexTableCellLeft"/>
              <w:rPr>
                <w:szCs w:val="18"/>
              </w:rPr>
            </w:pPr>
            <w:r>
              <w:t>Á ekki við</w:t>
            </w:r>
          </w:p>
        </w:tc>
      </w:tr>
      <w:tr w:rsidR="006D7A4B" w14:paraId="60B91F35" w14:textId="77777777" w:rsidTr="00A9140F">
        <w:tc>
          <w:tcPr>
            <w:tcW w:w="2928" w:type="dxa"/>
            <w:tcMar>
              <w:top w:w="140" w:type="dxa"/>
              <w:left w:w="0" w:type="dxa"/>
              <w:bottom w:w="140" w:type="dxa"/>
              <w:right w:w="60" w:type="dxa"/>
            </w:tcMar>
          </w:tcPr>
          <w:p w14:paraId="209DF187" w14:textId="77777777" w:rsidR="006D7A4B" w:rsidRDefault="006D7A4B" w:rsidP="00A9140F">
            <w:pPr>
              <w:pStyle w:val="AnnexNumberedText"/>
              <w:spacing w:after="0"/>
              <w:ind w:left="293" w:hanging="293"/>
              <w:rPr>
                <w:szCs w:val="18"/>
              </w:rPr>
            </w:pPr>
            <w:r>
              <w:t>4)</w:t>
            </w:r>
            <w:r>
              <w:tab/>
              <w:t>Umskipti yfir í hringrásarhagkerfi</w:t>
            </w:r>
          </w:p>
        </w:tc>
        <w:tc>
          <w:tcPr>
            <w:tcW w:w="5808" w:type="dxa"/>
            <w:tcMar>
              <w:top w:w="140" w:type="dxa"/>
              <w:left w:w="60" w:type="dxa"/>
              <w:bottom w:w="140" w:type="dxa"/>
              <w:right w:w="0" w:type="dxa"/>
            </w:tcMar>
          </w:tcPr>
          <w:p w14:paraId="664784A8" w14:textId="77777777" w:rsidR="006D7A4B" w:rsidRDefault="006D7A4B" w:rsidP="00A9140F">
            <w:pPr>
              <w:pStyle w:val="AnnexTableCellLeft"/>
              <w:rPr>
                <w:szCs w:val="18"/>
              </w:rPr>
            </w:pPr>
            <w:r>
              <w:t xml:space="preserve">Úrgangsstjórnunaráætlun er til staðar og tryggir hámarksendurnotkun, </w:t>
            </w:r>
            <w:proofErr w:type="spellStart"/>
            <w:r>
              <w:t>endurframleiðslu</w:t>
            </w:r>
            <w:proofErr w:type="spellEnd"/>
            <w:r>
              <w:t xml:space="preserve"> eða endurvinnslu við lok vistferilsins, þ.m.t. með samningsbundnu samkomulagi við samstarfsaðila um meðhöndlun úrgangs, endurspeglast í fjárhagslegum spám eða opinberum skjölum um verkefnið.</w:t>
            </w:r>
          </w:p>
        </w:tc>
      </w:tr>
      <w:tr w:rsidR="006D7A4B" w14:paraId="37294C4C" w14:textId="77777777" w:rsidTr="00A9140F">
        <w:tc>
          <w:tcPr>
            <w:tcW w:w="2928" w:type="dxa"/>
            <w:tcMar>
              <w:top w:w="140" w:type="dxa"/>
              <w:left w:w="0" w:type="dxa"/>
              <w:bottom w:w="140" w:type="dxa"/>
              <w:right w:w="60" w:type="dxa"/>
            </w:tcMar>
          </w:tcPr>
          <w:p w14:paraId="38EF2FF6" w14:textId="77777777" w:rsidR="006D7A4B" w:rsidRDefault="006D7A4B" w:rsidP="00A9140F">
            <w:pPr>
              <w:pStyle w:val="AnnexNumberedText"/>
              <w:spacing w:after="0"/>
              <w:ind w:left="293" w:hanging="293"/>
              <w:rPr>
                <w:szCs w:val="18"/>
              </w:rPr>
            </w:pPr>
            <w:r>
              <w:t>5)</w:t>
            </w:r>
            <w:r>
              <w:tab/>
              <w:t>Mengunarvarnir og eftirlit með mengun</w:t>
            </w:r>
          </w:p>
        </w:tc>
        <w:tc>
          <w:tcPr>
            <w:tcW w:w="5808" w:type="dxa"/>
            <w:tcMar>
              <w:top w:w="140" w:type="dxa"/>
              <w:left w:w="60" w:type="dxa"/>
              <w:bottom w:w="140" w:type="dxa"/>
              <w:right w:w="0" w:type="dxa"/>
            </w:tcMar>
          </w:tcPr>
          <w:p w14:paraId="4B0FC5EF" w14:textId="77777777" w:rsidR="006D7A4B" w:rsidRDefault="006D7A4B" w:rsidP="00A9140F">
            <w:pPr>
              <w:pStyle w:val="AnnexTableCellLeft"/>
              <w:rPr>
                <w:szCs w:val="18"/>
              </w:rPr>
            </w:pPr>
            <w:r>
              <w:t>Ef um er að ræða geymslu á meira en fimm tonnum er starfsemin í samræmi við tilskipun 2012/18/ESB.</w:t>
            </w:r>
          </w:p>
        </w:tc>
      </w:tr>
      <w:tr w:rsidR="006D7A4B" w14:paraId="21E3C2F0" w14:textId="77777777" w:rsidTr="00A9140F">
        <w:tc>
          <w:tcPr>
            <w:tcW w:w="2928" w:type="dxa"/>
            <w:tcMar>
              <w:top w:w="140" w:type="dxa"/>
              <w:left w:w="0" w:type="dxa"/>
              <w:bottom w:w="140" w:type="dxa"/>
              <w:right w:w="60" w:type="dxa"/>
            </w:tcMar>
          </w:tcPr>
          <w:p w14:paraId="4660DDB8"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808" w:type="dxa"/>
            <w:tcMar>
              <w:top w:w="140" w:type="dxa"/>
              <w:left w:w="60" w:type="dxa"/>
              <w:bottom w:w="140" w:type="dxa"/>
              <w:right w:w="0" w:type="dxa"/>
            </w:tcMar>
          </w:tcPr>
          <w:p w14:paraId="0D26BB15" w14:textId="77777777" w:rsidR="006D7A4B" w:rsidRDefault="006D7A4B" w:rsidP="00A9140F">
            <w:pPr>
              <w:pStyle w:val="AnnexTableCellLeft"/>
              <w:rPr>
                <w:szCs w:val="18"/>
              </w:rPr>
            </w:pPr>
            <w:r>
              <w:t>Starfsemin er í samræmi við viðmiðanirnar sem settar eru fram í viðbæti D við þennan viðauka.</w:t>
            </w:r>
          </w:p>
        </w:tc>
      </w:tr>
    </w:tbl>
    <w:p w14:paraId="39BA2E68" w14:textId="77777777" w:rsidR="006D7A4B" w:rsidRDefault="006D7A4B" w:rsidP="006D7A4B">
      <w:pPr>
        <w:pStyle w:val="AnnexNumberedText"/>
        <w:spacing w:before="60"/>
        <w:ind w:left="504" w:hanging="504"/>
        <w:rPr>
          <w:szCs w:val="18"/>
        </w:rPr>
      </w:pPr>
      <w:r>
        <w:t>4.13.</w:t>
      </w:r>
      <w:r>
        <w:rPr>
          <w:b/>
        </w:rPr>
        <w:tab/>
        <w:t>Framleiðsla á lífgasi og lífeldsneyti til notkunar í flutningum og á fljótandi lífeldsneyti</w:t>
      </w:r>
    </w:p>
    <w:p w14:paraId="36930E9E" w14:textId="77777777" w:rsidR="006D7A4B" w:rsidRDefault="006D7A4B" w:rsidP="006D7A4B">
      <w:pPr>
        <w:pStyle w:val="AnnexGrSeq3"/>
        <w:spacing w:after="120"/>
        <w:ind w:left="504"/>
        <w:jc w:val="both"/>
        <w:rPr>
          <w:szCs w:val="18"/>
        </w:rPr>
      </w:pPr>
      <w:r>
        <w:rPr>
          <w:i/>
        </w:rPr>
        <w:t>Lýsing á starfseminni</w:t>
      </w:r>
    </w:p>
    <w:p w14:paraId="42A49E23" w14:textId="77777777" w:rsidR="006D7A4B" w:rsidRDefault="006D7A4B" w:rsidP="006D7A4B">
      <w:pPr>
        <w:pStyle w:val="AnnexNormal"/>
        <w:spacing w:after="400"/>
        <w:ind w:left="504"/>
        <w:rPr>
          <w:szCs w:val="18"/>
        </w:rPr>
      </w:pPr>
      <w:r>
        <w:t>Framleiðsla á lífgasi eða lífeldsneyti til notkunar í flutningum og á fljótandi lífeldsneyti</w:t>
      </w:r>
    </w:p>
    <w:p w14:paraId="40537D48" w14:textId="77777777" w:rsidR="006D7A4B" w:rsidRDefault="006D7A4B" w:rsidP="006D7A4B">
      <w:pPr>
        <w:pStyle w:val="AnnexNormal"/>
        <w:spacing w:after="400"/>
        <w:ind w:left="504"/>
        <w:rPr>
          <w:szCs w:val="18"/>
        </w:rPr>
      </w:pPr>
      <w:r>
        <w:t>Atvinnustarfsemin í þessum flokki gæti tengst kóða atvinnugreinaflokkunar Evrópusambandsins D35.21 í samræmi við atvinnugreinaflokkunina sem komið var á með reglugerð (EB) nr. 1893/2006.</w:t>
      </w:r>
    </w:p>
    <w:p w14:paraId="5DFA0174"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04"/>
        <w:gridCol w:w="5832"/>
      </w:tblGrid>
      <w:tr w:rsidR="006D7A4B" w14:paraId="11A650EE" w14:textId="77777777" w:rsidTr="00A9140F">
        <w:trPr>
          <w:trHeight w:val="280"/>
        </w:trPr>
        <w:tc>
          <w:tcPr>
            <w:tcW w:w="8736" w:type="dxa"/>
            <w:gridSpan w:val="2"/>
            <w:tcBorders>
              <w:bottom w:val="single" w:sz="4" w:space="0" w:color="auto"/>
            </w:tcBorders>
            <w:tcMar>
              <w:left w:w="0" w:type="dxa"/>
              <w:right w:w="60" w:type="dxa"/>
            </w:tcMar>
          </w:tcPr>
          <w:p w14:paraId="5B16B839" w14:textId="77777777" w:rsidR="006D7A4B" w:rsidRDefault="006D7A4B" w:rsidP="00A9140F">
            <w:pPr>
              <w:pStyle w:val="AnnexTableCellLeft"/>
              <w:spacing w:before="40" w:after="40"/>
              <w:rPr>
                <w:szCs w:val="18"/>
              </w:rPr>
            </w:pPr>
            <w:r>
              <w:t>Verulegt framlag til aðlögunar að loftslagsbreytingum</w:t>
            </w:r>
          </w:p>
        </w:tc>
      </w:tr>
      <w:tr w:rsidR="006D7A4B" w14:paraId="6DCCE55C" w14:textId="77777777" w:rsidTr="00A9140F">
        <w:trPr>
          <w:trHeight w:val="360"/>
        </w:trPr>
        <w:tc>
          <w:tcPr>
            <w:tcW w:w="8736" w:type="dxa"/>
            <w:gridSpan w:val="2"/>
            <w:tcBorders>
              <w:bottom w:val="nil"/>
            </w:tcBorders>
            <w:tcMar>
              <w:left w:w="0" w:type="dxa"/>
              <w:right w:w="60" w:type="dxa"/>
            </w:tcMar>
          </w:tcPr>
          <w:p w14:paraId="347B755B" w14:textId="77777777" w:rsidR="006D7A4B" w:rsidRDefault="006D7A4B" w:rsidP="00A9140F">
            <w:pPr>
              <w:pStyle w:val="AnnexNumberedText"/>
              <w:tabs>
                <w:tab w:val="left" w:pos="396"/>
              </w:tabs>
              <w:spacing w:before="6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F51F50D" w14:textId="77777777" w:rsidR="006D7A4B" w:rsidRDefault="006D7A4B" w:rsidP="00A9140F">
            <w:pPr>
              <w:pStyle w:val="AnnexNumberedText"/>
              <w:tabs>
                <w:tab w:val="left" w:pos="396"/>
              </w:tabs>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633017E" w14:textId="77777777" w:rsidR="006D7A4B" w:rsidRDefault="006D7A4B" w:rsidP="00A9140F">
            <w:pPr>
              <w:pStyle w:val="AnnexNumberedText"/>
              <w:spacing w:after="0"/>
              <w:rPr>
                <w:szCs w:val="18"/>
              </w:rPr>
            </w:pPr>
            <w:r>
              <w:lastRenderedPageBreak/>
              <w:t>a)</w:t>
            </w:r>
            <w:r>
              <w:tab/>
              <w:t>skimun á starfseminni til að greina hvaða efnislega loftslagsáhætta úr skránni í viðbæti A við þennan viðauka getur haft áhrif á árangurinn af atvinnustarfseminni á væntum líftíma hennar,</w:t>
            </w:r>
          </w:p>
        </w:tc>
      </w:tr>
      <w:tr w:rsidR="006D7A4B" w14:paraId="0B38901D" w14:textId="77777777" w:rsidTr="00A9140F">
        <w:trPr>
          <w:trHeight w:val="360"/>
        </w:trPr>
        <w:tc>
          <w:tcPr>
            <w:tcW w:w="8736" w:type="dxa"/>
            <w:gridSpan w:val="2"/>
            <w:tcBorders>
              <w:top w:val="nil"/>
            </w:tcBorders>
            <w:tcMar>
              <w:left w:w="0" w:type="dxa"/>
              <w:right w:w="60" w:type="dxa"/>
            </w:tcMar>
          </w:tcPr>
          <w:p w14:paraId="6887E92A" w14:textId="77777777" w:rsidR="006D7A4B" w:rsidRDefault="006D7A4B" w:rsidP="00A9140F">
            <w:pPr>
              <w:pStyle w:val="AnnexNumberedText"/>
              <w:pageBreakBefore/>
              <w:rPr>
                <w:szCs w:val="18"/>
              </w:rPr>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108DC14" w14:textId="77777777" w:rsidR="006D7A4B" w:rsidRDefault="006D7A4B" w:rsidP="00A9140F">
            <w:pPr>
              <w:pStyle w:val="AnnexNumberedText"/>
              <w:rPr>
                <w:szCs w:val="18"/>
              </w:rPr>
            </w:pPr>
            <w:r>
              <w:t>c)</w:t>
            </w:r>
            <w:r>
              <w:tab/>
              <w:t>mat á aðlögunarlausnum sem geta dregið úr greindri efnislegri loftslagsáhættu.</w:t>
            </w:r>
          </w:p>
          <w:p w14:paraId="0BEFD3B8" w14:textId="77777777" w:rsidR="006D7A4B" w:rsidRDefault="006D7A4B" w:rsidP="00A9140F">
            <w:pPr>
              <w:pStyle w:val="AnnexTableCellLeft"/>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0A99F544" w14:textId="77777777" w:rsidR="006D7A4B" w:rsidRDefault="006D7A4B"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F62E6C0" w14:textId="77777777" w:rsidR="006D7A4B" w:rsidRDefault="006D7A4B"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5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03B44AB" w14:textId="77777777" w:rsidR="006D7A4B" w:rsidRDefault="006D7A4B"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56"/>
            </w:r>
            <w:r>
              <w:t>), vísindalegt ritrýnt útgefið efni og líkön með opnum aðgangi (</w:t>
            </w:r>
            <w:r>
              <w:rPr>
                <w:rStyle w:val="Tilvsunneanmlsgrein"/>
                <w:sz w:val="18"/>
                <w:szCs w:val="18"/>
              </w:rPr>
              <w:footnoteReference w:id="657"/>
            </w:r>
            <w:r>
              <w:t>) eða gegn greiðslu.</w:t>
            </w:r>
          </w:p>
          <w:p w14:paraId="1CC623B3" w14:textId="77777777" w:rsidR="006D7A4B" w:rsidRDefault="006D7A4B" w:rsidP="00A9140F">
            <w:pPr>
              <w:pStyle w:val="AnnexNumberedText"/>
              <w:tabs>
                <w:tab w:val="left" w:pos="396"/>
              </w:tabs>
              <w:ind w:left="0" w:firstLine="0"/>
              <w:rPr>
                <w:szCs w:val="18"/>
              </w:rPr>
            </w:pPr>
            <w:r>
              <w:t>4.</w:t>
            </w:r>
            <w:r>
              <w:tab/>
              <w:t>Aðlögunarlausnir sem komið er í framkvæmd:</w:t>
            </w:r>
          </w:p>
          <w:p w14:paraId="785439C1" w14:textId="77777777" w:rsidR="006D7A4B" w:rsidRDefault="006D7A4B"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52389600" w14:textId="77777777" w:rsidR="006D7A4B" w:rsidRDefault="006D7A4B" w:rsidP="00A9140F">
            <w:pPr>
              <w:pStyle w:val="AnnexNumberedText"/>
              <w:rPr>
                <w:szCs w:val="18"/>
              </w:rPr>
            </w:pPr>
            <w:r>
              <w:t>b)</w:t>
            </w:r>
            <w:r>
              <w:tab/>
              <w:t>eru með náttúrumiðaðar lausnir (</w:t>
            </w:r>
            <w:r>
              <w:rPr>
                <w:rStyle w:val="Tilvsunneanmlsgrein"/>
                <w:sz w:val="18"/>
                <w:szCs w:val="18"/>
              </w:rPr>
              <w:footnoteReference w:id="658"/>
            </w:r>
            <w:r>
              <w:t>) í forgangi eða treyst er á bláa eða græna innviði (</w:t>
            </w:r>
            <w:r>
              <w:rPr>
                <w:rStyle w:val="Tilvsunneanmlsgrein"/>
                <w:sz w:val="18"/>
                <w:szCs w:val="18"/>
              </w:rPr>
              <w:footnoteReference w:id="659"/>
            </w:r>
            <w:r>
              <w:t>) að því marki sem mögulegt er,</w:t>
            </w:r>
          </w:p>
          <w:p w14:paraId="5FDF65A0" w14:textId="77777777" w:rsidR="006D7A4B" w:rsidRDefault="006D7A4B" w:rsidP="00A9140F">
            <w:pPr>
              <w:pStyle w:val="AnnexNumberedText"/>
              <w:rPr>
                <w:szCs w:val="18"/>
              </w:rPr>
            </w:pPr>
            <w:r>
              <w:t>c)</w:t>
            </w:r>
            <w:r>
              <w:tab/>
              <w:t>eru í samræmi við staðbundnar, geirabundnar, svæðisbundnar eða landsbundnar aðlögunarstefnur og -áætlanir,</w:t>
            </w:r>
          </w:p>
          <w:p w14:paraId="184A8CFC" w14:textId="77777777" w:rsidR="006D7A4B" w:rsidRDefault="006D7A4B"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F0F5B90"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784441D4" w14:textId="77777777" w:rsidTr="00A9140F">
        <w:tc>
          <w:tcPr>
            <w:tcW w:w="8736" w:type="dxa"/>
            <w:gridSpan w:val="2"/>
            <w:tcMar>
              <w:top w:w="100" w:type="dxa"/>
              <w:left w:w="0" w:type="dxa"/>
              <w:bottom w:w="100" w:type="dxa"/>
              <w:right w:w="60" w:type="dxa"/>
            </w:tcMar>
          </w:tcPr>
          <w:p w14:paraId="13FD5220" w14:textId="77777777" w:rsidR="006D7A4B" w:rsidRDefault="006D7A4B" w:rsidP="00A9140F">
            <w:pPr>
              <w:pStyle w:val="AnnexTableCellLeft"/>
              <w:rPr>
                <w:szCs w:val="18"/>
              </w:rPr>
            </w:pPr>
            <w:r>
              <w:t>Ekki valda umtalsverðu tjóni</w:t>
            </w:r>
          </w:p>
        </w:tc>
      </w:tr>
      <w:tr w:rsidR="006D7A4B" w14:paraId="41257563" w14:textId="77777777" w:rsidTr="00A9140F">
        <w:tc>
          <w:tcPr>
            <w:tcW w:w="2904" w:type="dxa"/>
            <w:tcMar>
              <w:top w:w="100" w:type="dxa"/>
              <w:left w:w="0" w:type="dxa"/>
              <w:bottom w:w="100" w:type="dxa"/>
              <w:right w:w="60" w:type="dxa"/>
            </w:tcMar>
          </w:tcPr>
          <w:p w14:paraId="6D9E68A9" w14:textId="77777777" w:rsidR="006D7A4B" w:rsidRDefault="006D7A4B" w:rsidP="00A9140F">
            <w:pPr>
              <w:pStyle w:val="AnnexNumberedText"/>
              <w:spacing w:after="0"/>
              <w:ind w:left="293" w:hanging="293"/>
              <w:rPr>
                <w:szCs w:val="18"/>
              </w:rPr>
            </w:pPr>
            <w:r>
              <w:t>1)</w:t>
            </w:r>
            <w:r>
              <w:tab/>
              <w:t>Mildun loftslagsbreytinga</w:t>
            </w:r>
          </w:p>
        </w:tc>
        <w:tc>
          <w:tcPr>
            <w:tcW w:w="5832" w:type="dxa"/>
            <w:tcMar>
              <w:top w:w="100" w:type="dxa"/>
              <w:left w:w="60" w:type="dxa"/>
              <w:bottom w:w="100" w:type="dxa"/>
              <w:right w:w="0" w:type="dxa"/>
            </w:tcMar>
          </w:tcPr>
          <w:p w14:paraId="712204F7" w14:textId="77777777" w:rsidR="006D7A4B" w:rsidRDefault="006D7A4B" w:rsidP="00A9140F">
            <w:pPr>
              <w:pStyle w:val="AnnexTableCellLeft"/>
              <w:rPr>
                <w:szCs w:val="18"/>
              </w:rPr>
            </w:pPr>
            <w:r>
              <w:t>Starfsemin uppfyllir kröfur sem varða sjálfbærni, minnkun á losun gróðurhúsalofttegunda og skilvirkni sem mælt er fyrir um í 29. gr. tilskipunar 2018/2001.</w:t>
            </w:r>
          </w:p>
        </w:tc>
      </w:tr>
      <w:tr w:rsidR="006D7A4B" w14:paraId="6DBC0E43" w14:textId="77777777" w:rsidTr="00A9140F">
        <w:tc>
          <w:tcPr>
            <w:tcW w:w="2904" w:type="dxa"/>
            <w:tcMar>
              <w:top w:w="100" w:type="dxa"/>
              <w:left w:w="0" w:type="dxa"/>
              <w:bottom w:w="100" w:type="dxa"/>
              <w:right w:w="60" w:type="dxa"/>
            </w:tcMar>
          </w:tcPr>
          <w:p w14:paraId="551521F8"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32" w:type="dxa"/>
            <w:tcMar>
              <w:top w:w="100" w:type="dxa"/>
              <w:left w:w="60" w:type="dxa"/>
              <w:bottom w:w="100" w:type="dxa"/>
              <w:right w:w="0" w:type="dxa"/>
            </w:tcMar>
          </w:tcPr>
          <w:p w14:paraId="26C4FA1E"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2CC36BFC" w14:textId="77777777" w:rsidTr="00A9140F">
        <w:tc>
          <w:tcPr>
            <w:tcW w:w="2904" w:type="dxa"/>
            <w:tcMar>
              <w:top w:w="100" w:type="dxa"/>
              <w:left w:w="0" w:type="dxa"/>
              <w:bottom w:w="100" w:type="dxa"/>
              <w:right w:w="60" w:type="dxa"/>
            </w:tcMar>
          </w:tcPr>
          <w:p w14:paraId="627C1779" w14:textId="77777777" w:rsidR="006D7A4B" w:rsidRDefault="006D7A4B" w:rsidP="00A9140F">
            <w:pPr>
              <w:pStyle w:val="AnnexNumberedText"/>
              <w:pageBreakBefore/>
              <w:spacing w:after="0"/>
              <w:ind w:left="293" w:hanging="293"/>
              <w:rPr>
                <w:szCs w:val="18"/>
              </w:rPr>
            </w:pPr>
            <w:r>
              <w:lastRenderedPageBreak/>
              <w:t>4)</w:t>
            </w:r>
            <w:r>
              <w:tab/>
              <w:t>Umskipti yfir í hringrásarhagkerfi</w:t>
            </w:r>
          </w:p>
        </w:tc>
        <w:tc>
          <w:tcPr>
            <w:tcW w:w="5832" w:type="dxa"/>
            <w:tcMar>
              <w:top w:w="100" w:type="dxa"/>
              <w:left w:w="60" w:type="dxa"/>
              <w:bottom w:w="100" w:type="dxa"/>
              <w:right w:w="0" w:type="dxa"/>
            </w:tcMar>
          </w:tcPr>
          <w:p w14:paraId="4D9D75F7" w14:textId="77777777" w:rsidR="006D7A4B" w:rsidRDefault="006D7A4B" w:rsidP="00A9140F">
            <w:pPr>
              <w:pStyle w:val="AnnexTableCellLeft"/>
              <w:rPr>
                <w:szCs w:val="18"/>
              </w:rPr>
            </w:pPr>
            <w:r>
              <w:t>Á ekki við</w:t>
            </w:r>
          </w:p>
        </w:tc>
      </w:tr>
      <w:tr w:rsidR="006D7A4B" w14:paraId="406A8292" w14:textId="77777777" w:rsidTr="00A9140F">
        <w:tc>
          <w:tcPr>
            <w:tcW w:w="2904" w:type="dxa"/>
            <w:tcMar>
              <w:top w:w="100" w:type="dxa"/>
              <w:left w:w="0" w:type="dxa"/>
              <w:bottom w:w="100" w:type="dxa"/>
              <w:right w:w="60" w:type="dxa"/>
            </w:tcMar>
          </w:tcPr>
          <w:p w14:paraId="6012618F" w14:textId="77777777" w:rsidR="006D7A4B" w:rsidRDefault="006D7A4B" w:rsidP="00A9140F">
            <w:pPr>
              <w:pStyle w:val="AnnexNumberedText"/>
              <w:spacing w:after="0"/>
              <w:ind w:left="293" w:hanging="293"/>
              <w:rPr>
                <w:szCs w:val="18"/>
              </w:rPr>
            </w:pPr>
            <w:r>
              <w:t>5)</w:t>
            </w:r>
            <w:r>
              <w:tab/>
              <w:t>Mengunarvarnir og eftirlit með mengun</w:t>
            </w:r>
          </w:p>
        </w:tc>
        <w:tc>
          <w:tcPr>
            <w:tcW w:w="5832" w:type="dxa"/>
            <w:tcMar>
              <w:top w:w="100" w:type="dxa"/>
              <w:left w:w="60" w:type="dxa"/>
              <w:bottom w:w="100" w:type="dxa"/>
              <w:right w:w="0" w:type="dxa"/>
            </w:tcMar>
          </w:tcPr>
          <w:p w14:paraId="3C35A1F0" w14:textId="77777777" w:rsidR="006D7A4B" w:rsidRDefault="006D7A4B" w:rsidP="00A9140F">
            <w:pPr>
              <w:pStyle w:val="AnnexTableCellLeft"/>
              <w:spacing w:after="200"/>
              <w:rPr>
                <w:szCs w:val="18"/>
              </w:rPr>
            </w:pPr>
            <w:r>
              <w:t>Við framleiðslu á lífgasi er sett loftþétt lok á geymsluna fyrir meltuna.</w:t>
            </w:r>
          </w:p>
          <w:p w14:paraId="709238BF" w14:textId="77777777" w:rsidR="006D7A4B" w:rsidRDefault="006D7A4B" w:rsidP="00A9140F">
            <w:pPr>
              <w:pStyle w:val="AnnexTableCellLeft"/>
              <w:spacing w:after="200"/>
              <w:rPr>
                <w:szCs w:val="18"/>
              </w:rPr>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660"/>
            </w:r>
            <w:r>
              <w:t>). Engin umtalsverð yfirfærsluáhrif milli umhverfishólfa eiga sér stað.</w:t>
            </w:r>
          </w:p>
          <w:p w14:paraId="3497D8F2" w14:textId="77777777" w:rsidR="006D7A4B" w:rsidRDefault="006D7A4B" w:rsidP="00A9140F">
            <w:pPr>
              <w:pStyle w:val="AnnexTableCellLeft"/>
              <w:rPr>
                <w:szCs w:val="18"/>
              </w:rPr>
            </w:pPr>
            <w:r>
              <w:t xml:space="preserve">Ef um er að ræða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um meltu eða efnisþáttaefniviðaflokki 3 um </w:t>
            </w:r>
            <w:proofErr w:type="spellStart"/>
            <w:r>
              <w:t>moltu</w:t>
            </w:r>
            <w:proofErr w:type="spellEnd"/>
            <w:r>
              <w:t>, eftir því sem við á, í II. viðauka við reglugerð (ESB) 2019/1009 eða landsbundnar reglur um áburð eða jarðvegsbæta til notkunar í landbúnaði.</w:t>
            </w:r>
          </w:p>
        </w:tc>
      </w:tr>
      <w:tr w:rsidR="006D7A4B" w14:paraId="0B03BC77" w14:textId="77777777" w:rsidTr="00A9140F">
        <w:tc>
          <w:tcPr>
            <w:tcW w:w="2904" w:type="dxa"/>
            <w:tcMar>
              <w:top w:w="100" w:type="dxa"/>
              <w:left w:w="0" w:type="dxa"/>
              <w:bottom w:w="100" w:type="dxa"/>
              <w:right w:w="60" w:type="dxa"/>
            </w:tcMar>
          </w:tcPr>
          <w:p w14:paraId="511FFFE4"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832" w:type="dxa"/>
            <w:tcMar>
              <w:top w:w="100" w:type="dxa"/>
              <w:left w:w="60" w:type="dxa"/>
              <w:bottom w:w="100" w:type="dxa"/>
              <w:right w:w="0" w:type="dxa"/>
            </w:tcMar>
          </w:tcPr>
          <w:p w14:paraId="53A8BA66" w14:textId="77777777" w:rsidR="006D7A4B" w:rsidRDefault="006D7A4B" w:rsidP="00A9140F">
            <w:pPr>
              <w:pStyle w:val="AnnexTableCellLeft"/>
              <w:rPr>
                <w:szCs w:val="18"/>
              </w:rPr>
            </w:pPr>
            <w:r>
              <w:t>Starfsemin er í samræmi við viðmiðanirnar sem settar eru fram í viðbæti D við þennan viðauka.</w:t>
            </w:r>
          </w:p>
        </w:tc>
      </w:tr>
    </w:tbl>
    <w:p w14:paraId="2961D9CE" w14:textId="77777777" w:rsidR="006D7A4B" w:rsidRDefault="006D7A4B" w:rsidP="006D7A4B">
      <w:pPr>
        <w:pStyle w:val="AnnexNumberedText"/>
        <w:spacing w:before="60"/>
        <w:ind w:left="504" w:hanging="504"/>
        <w:rPr>
          <w:szCs w:val="18"/>
        </w:rPr>
      </w:pPr>
      <w:r>
        <w:t>4.14.</w:t>
      </w:r>
      <w:r>
        <w:rPr>
          <w:b/>
        </w:rPr>
        <w:tab/>
        <w:t>Flutnings- og dreifikerfi fyrir endurnýjanlegt gas og lágkolefnisgas</w:t>
      </w:r>
    </w:p>
    <w:p w14:paraId="29ED6CA2" w14:textId="77777777" w:rsidR="006D7A4B" w:rsidRDefault="006D7A4B" w:rsidP="006D7A4B">
      <w:pPr>
        <w:pStyle w:val="AnnexGrSeq3"/>
        <w:spacing w:after="120"/>
        <w:ind w:left="504"/>
        <w:jc w:val="both"/>
        <w:rPr>
          <w:szCs w:val="18"/>
        </w:rPr>
      </w:pPr>
      <w:r>
        <w:rPr>
          <w:i/>
        </w:rPr>
        <w:t>Lýsing á starfseminni</w:t>
      </w:r>
    </w:p>
    <w:p w14:paraId="146D508E" w14:textId="77777777" w:rsidR="006D7A4B" w:rsidRDefault="006D7A4B" w:rsidP="006D7A4B">
      <w:pPr>
        <w:pStyle w:val="AnnexNormal"/>
        <w:ind w:left="504"/>
        <w:rPr>
          <w:szCs w:val="18"/>
        </w:rPr>
      </w:pPr>
      <w:r>
        <w:t>Umbreyting, önnur notkun eða endurbætur á gasdreifikerfum fyrir flutning og dreifingu á endurnýjanlegu gasi og lágkolefnisgasi.</w:t>
      </w:r>
    </w:p>
    <w:p w14:paraId="40B818EC" w14:textId="77777777" w:rsidR="006D7A4B" w:rsidRDefault="006D7A4B" w:rsidP="006D7A4B">
      <w:pPr>
        <w:pStyle w:val="AnnexNormal"/>
        <w:ind w:left="504"/>
        <w:rPr>
          <w:szCs w:val="18"/>
        </w:rPr>
      </w:pPr>
      <w:r>
        <w:t>Uppbygging eða rekstur flutnings- og dreifingarleiðslna sem eru ætlaðar fyrir flutning á vetni og öðru lágkolefnisgasi.</w:t>
      </w:r>
    </w:p>
    <w:p w14:paraId="71A0FE8E" w14:textId="77777777" w:rsidR="006D7A4B" w:rsidRDefault="006D7A4B" w:rsidP="006D7A4B">
      <w:pPr>
        <w:pStyle w:val="AnnexNormal"/>
        <w:ind w:left="504"/>
        <w:rPr>
          <w:szCs w:val="18"/>
        </w:rPr>
      </w:pPr>
      <w:r>
        <w:t>Atvinnustarfsemin í þessum flokki gæti tengst nokkrum kóðum atvinnugreinaflokkunar Evrópusambandsins, einkum D35.21, F42.21 og H49.50, í samræmi við atvinnugreinaflokkunina sem komið var á með reglugerð (EB) nr. 1893/2006.</w:t>
      </w:r>
    </w:p>
    <w:p w14:paraId="48529235"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6D7A4B" w14:paraId="374A29C4" w14:textId="77777777" w:rsidTr="00A9140F">
        <w:trPr>
          <w:trHeight w:val="280"/>
        </w:trPr>
        <w:tc>
          <w:tcPr>
            <w:tcW w:w="8736" w:type="dxa"/>
            <w:gridSpan w:val="2"/>
            <w:tcBorders>
              <w:bottom w:val="single" w:sz="4" w:space="0" w:color="auto"/>
            </w:tcBorders>
            <w:tcMar>
              <w:left w:w="0" w:type="dxa"/>
              <w:right w:w="60" w:type="dxa"/>
            </w:tcMar>
          </w:tcPr>
          <w:p w14:paraId="22BFE894" w14:textId="77777777" w:rsidR="006D7A4B" w:rsidRDefault="006D7A4B" w:rsidP="00A9140F">
            <w:pPr>
              <w:pStyle w:val="AnnexTableCellLeft"/>
              <w:spacing w:before="40" w:after="40"/>
              <w:rPr>
                <w:szCs w:val="18"/>
              </w:rPr>
            </w:pPr>
            <w:r>
              <w:t>Verulegt framlag til aðlögunar að loftslagsbreytingum</w:t>
            </w:r>
          </w:p>
        </w:tc>
      </w:tr>
      <w:tr w:rsidR="006D7A4B" w14:paraId="5034245F" w14:textId="77777777" w:rsidTr="00A9140F">
        <w:trPr>
          <w:trHeight w:val="360"/>
        </w:trPr>
        <w:tc>
          <w:tcPr>
            <w:tcW w:w="8736" w:type="dxa"/>
            <w:gridSpan w:val="2"/>
            <w:tcBorders>
              <w:bottom w:val="nil"/>
            </w:tcBorders>
            <w:tcMar>
              <w:left w:w="0" w:type="dxa"/>
              <w:right w:w="60" w:type="dxa"/>
            </w:tcMar>
          </w:tcPr>
          <w:p w14:paraId="3331204B" w14:textId="77777777" w:rsidR="006D7A4B" w:rsidRDefault="006D7A4B"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EB099C9" w14:textId="77777777" w:rsidR="006D7A4B" w:rsidRDefault="006D7A4B"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808AB3B" w14:textId="77777777" w:rsidR="006D7A4B" w:rsidRDefault="006D7A4B"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5F9DCFF9" w14:textId="77777777" w:rsidR="006D7A4B" w:rsidRDefault="006D7A4B"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4405F9E" w14:textId="77777777" w:rsidR="006D7A4B" w:rsidRDefault="006D7A4B" w:rsidP="00A9140F">
            <w:pPr>
              <w:pStyle w:val="AnnexNumberedText"/>
              <w:spacing w:after="200"/>
              <w:rPr>
                <w:szCs w:val="18"/>
              </w:rPr>
            </w:pPr>
            <w:r>
              <w:t>c)</w:t>
            </w:r>
            <w:r>
              <w:tab/>
              <w:t>mat á aðlögunarlausnum sem geta dregið úr greindri efnislegri loftslagsáhættu.</w:t>
            </w:r>
          </w:p>
          <w:p w14:paraId="74A11A45" w14:textId="77777777" w:rsidR="006D7A4B" w:rsidRDefault="006D7A4B"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379BC28" w14:textId="77777777" w:rsidR="006D7A4B" w:rsidRDefault="006D7A4B" w:rsidP="00A9140F">
            <w:pPr>
              <w:pStyle w:val="AnnexNumberedText"/>
              <w:spacing w:after="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tc>
      </w:tr>
      <w:tr w:rsidR="006D7A4B" w14:paraId="46991F2A" w14:textId="77777777" w:rsidTr="00A9140F">
        <w:trPr>
          <w:trHeight w:val="360"/>
        </w:trPr>
        <w:tc>
          <w:tcPr>
            <w:tcW w:w="8736" w:type="dxa"/>
            <w:gridSpan w:val="2"/>
            <w:tcBorders>
              <w:top w:val="nil"/>
            </w:tcBorders>
            <w:tcMar>
              <w:left w:w="0" w:type="dxa"/>
              <w:right w:w="60" w:type="dxa"/>
            </w:tcMar>
          </w:tcPr>
          <w:p w14:paraId="7B64222E" w14:textId="77777777" w:rsidR="006D7A4B" w:rsidRDefault="006D7A4B" w:rsidP="00A9140F">
            <w:pPr>
              <w:pStyle w:val="AnnexNumberedText"/>
              <w:pageBreakBefore/>
              <w:spacing w:after="400"/>
              <w:rPr>
                <w:szCs w:val="18"/>
              </w:rPr>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6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B803E77" w14:textId="77777777" w:rsidR="006D7A4B" w:rsidRDefault="006D7A4B" w:rsidP="00A9140F">
            <w:pPr>
              <w:pStyle w:val="AnnexNumberedText"/>
              <w:tabs>
                <w:tab w:val="left" w:pos="396"/>
              </w:tabs>
              <w:spacing w:after="4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62"/>
            </w:r>
            <w:r>
              <w:t>), vísindalegt ritrýnt útgefið efni og líkön með opnum aðgangi (</w:t>
            </w:r>
            <w:r>
              <w:rPr>
                <w:rStyle w:val="Tilvsunneanmlsgrein"/>
                <w:sz w:val="18"/>
                <w:szCs w:val="18"/>
              </w:rPr>
              <w:footnoteReference w:id="663"/>
            </w:r>
            <w:r>
              <w:t>) eða gegn greiðslu.</w:t>
            </w:r>
          </w:p>
          <w:p w14:paraId="11E92989" w14:textId="77777777" w:rsidR="006D7A4B" w:rsidRDefault="006D7A4B" w:rsidP="00A9140F">
            <w:pPr>
              <w:pStyle w:val="AnnexNumberedText"/>
              <w:tabs>
                <w:tab w:val="left" w:pos="396"/>
              </w:tabs>
              <w:spacing w:after="400"/>
              <w:ind w:left="0" w:firstLine="0"/>
              <w:rPr>
                <w:szCs w:val="18"/>
              </w:rPr>
            </w:pPr>
            <w:r>
              <w:t>4.</w:t>
            </w:r>
            <w:r>
              <w:tab/>
              <w:t>Aðlögunarlausnir sem komið er í framkvæmd:</w:t>
            </w:r>
          </w:p>
          <w:p w14:paraId="38EB1921"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2E2FCED9"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664"/>
            </w:r>
            <w:r>
              <w:t>) í forgangi eða treyst er á bláa eða græna innviði (</w:t>
            </w:r>
            <w:r>
              <w:rPr>
                <w:rStyle w:val="Tilvsunneanmlsgrein"/>
                <w:sz w:val="18"/>
                <w:szCs w:val="18"/>
              </w:rPr>
              <w:footnoteReference w:id="665"/>
            </w:r>
            <w:r>
              <w:t>) að því marki sem mögulegt er,</w:t>
            </w:r>
          </w:p>
          <w:p w14:paraId="7B1F15B9"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72915191"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BF30F27"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16ED1F9" w14:textId="77777777" w:rsidTr="00A9140F">
        <w:tc>
          <w:tcPr>
            <w:tcW w:w="8736" w:type="dxa"/>
            <w:gridSpan w:val="2"/>
            <w:tcMar>
              <w:top w:w="100" w:type="dxa"/>
              <w:left w:w="0" w:type="dxa"/>
              <w:bottom w:w="100" w:type="dxa"/>
              <w:right w:w="60" w:type="dxa"/>
            </w:tcMar>
          </w:tcPr>
          <w:p w14:paraId="7B4D597C" w14:textId="77777777" w:rsidR="006D7A4B" w:rsidRDefault="006D7A4B" w:rsidP="00A9140F">
            <w:pPr>
              <w:pStyle w:val="AnnexTableCellLeft"/>
              <w:rPr>
                <w:szCs w:val="18"/>
              </w:rPr>
            </w:pPr>
            <w:r>
              <w:t>Ekki valda umtalsverðu tjóni</w:t>
            </w:r>
          </w:p>
        </w:tc>
      </w:tr>
      <w:tr w:rsidR="006D7A4B" w14:paraId="53E2C956" w14:textId="77777777" w:rsidTr="00A9140F">
        <w:tc>
          <w:tcPr>
            <w:tcW w:w="2952" w:type="dxa"/>
            <w:tcMar>
              <w:top w:w="100" w:type="dxa"/>
              <w:left w:w="0" w:type="dxa"/>
              <w:bottom w:w="100" w:type="dxa"/>
              <w:right w:w="60" w:type="dxa"/>
            </w:tcMar>
          </w:tcPr>
          <w:p w14:paraId="737A14E5" w14:textId="77777777" w:rsidR="006D7A4B" w:rsidRDefault="006D7A4B" w:rsidP="00A9140F">
            <w:pPr>
              <w:pStyle w:val="AnnexNumberedText"/>
              <w:spacing w:after="0"/>
              <w:ind w:left="293" w:hanging="293"/>
              <w:rPr>
                <w:szCs w:val="18"/>
              </w:rPr>
            </w:pPr>
            <w:r>
              <w:t>1)</w:t>
            </w:r>
            <w:r>
              <w:tab/>
              <w:t>Mildun loftslagsbreytinga</w:t>
            </w:r>
          </w:p>
        </w:tc>
        <w:tc>
          <w:tcPr>
            <w:tcW w:w="5784" w:type="dxa"/>
            <w:tcMar>
              <w:top w:w="100" w:type="dxa"/>
              <w:left w:w="60" w:type="dxa"/>
              <w:bottom w:w="100" w:type="dxa"/>
              <w:right w:w="0" w:type="dxa"/>
            </w:tcMar>
          </w:tcPr>
          <w:p w14:paraId="2D80946C" w14:textId="77777777" w:rsidR="006D7A4B" w:rsidRDefault="006D7A4B" w:rsidP="00A9140F">
            <w:pPr>
              <w:pStyle w:val="AnnexTableCellLeft"/>
              <w:spacing w:after="200"/>
              <w:rPr>
                <w:szCs w:val="18"/>
              </w:rPr>
            </w:pPr>
            <w:r>
              <w:t>Önnur notkun eykur ekki getu til gasflutnings og -dreifingar.</w:t>
            </w:r>
          </w:p>
          <w:p w14:paraId="38CAB732" w14:textId="77777777" w:rsidR="006D7A4B" w:rsidRDefault="006D7A4B" w:rsidP="00A9140F">
            <w:pPr>
              <w:pStyle w:val="AnnexTableCellLeft"/>
              <w:rPr>
                <w:szCs w:val="18"/>
              </w:rPr>
            </w:pPr>
            <w:r>
              <w:t xml:space="preserve">Önnur notkun framlengir ekki endingartíma </w:t>
            </w:r>
            <w:proofErr w:type="spellStart"/>
            <w:r>
              <w:t>netkerfisins</w:t>
            </w:r>
            <w:proofErr w:type="spellEnd"/>
            <w:r>
              <w:t xml:space="preserve"> umfram áætlaðan endingartíma fyrir endurbæturnar nema </w:t>
            </w:r>
            <w:proofErr w:type="spellStart"/>
            <w:r>
              <w:t>netkerfið</w:t>
            </w:r>
            <w:proofErr w:type="spellEnd"/>
            <w:r>
              <w:t xml:space="preserve"> sé ætlað fyrir vetni eða annað lágkolefnisgas.</w:t>
            </w:r>
          </w:p>
        </w:tc>
      </w:tr>
      <w:tr w:rsidR="006D7A4B" w14:paraId="7AD2B876" w14:textId="77777777" w:rsidTr="00A9140F">
        <w:tc>
          <w:tcPr>
            <w:tcW w:w="2952" w:type="dxa"/>
            <w:tcMar>
              <w:top w:w="100" w:type="dxa"/>
              <w:left w:w="0" w:type="dxa"/>
              <w:bottom w:w="100" w:type="dxa"/>
              <w:right w:w="60" w:type="dxa"/>
            </w:tcMar>
          </w:tcPr>
          <w:p w14:paraId="3E52CFB8"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84" w:type="dxa"/>
            <w:tcMar>
              <w:top w:w="100" w:type="dxa"/>
              <w:left w:w="60" w:type="dxa"/>
              <w:bottom w:w="100" w:type="dxa"/>
              <w:right w:w="0" w:type="dxa"/>
            </w:tcMar>
          </w:tcPr>
          <w:p w14:paraId="09F799C4"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0E805F2A" w14:textId="77777777" w:rsidTr="00A9140F">
        <w:tc>
          <w:tcPr>
            <w:tcW w:w="2952" w:type="dxa"/>
            <w:tcMar>
              <w:top w:w="100" w:type="dxa"/>
              <w:left w:w="0" w:type="dxa"/>
              <w:bottom w:w="100" w:type="dxa"/>
              <w:right w:w="60" w:type="dxa"/>
            </w:tcMar>
          </w:tcPr>
          <w:p w14:paraId="00FB72EB" w14:textId="77777777" w:rsidR="006D7A4B" w:rsidRDefault="006D7A4B" w:rsidP="00A9140F">
            <w:pPr>
              <w:pStyle w:val="AnnexNumberedText"/>
              <w:spacing w:after="0"/>
              <w:ind w:left="293" w:hanging="293"/>
              <w:rPr>
                <w:szCs w:val="18"/>
              </w:rPr>
            </w:pPr>
            <w:r>
              <w:t>4)</w:t>
            </w:r>
            <w:r>
              <w:tab/>
              <w:t>Umskipti yfir í hringrásarhagkerfi</w:t>
            </w:r>
          </w:p>
        </w:tc>
        <w:tc>
          <w:tcPr>
            <w:tcW w:w="5784" w:type="dxa"/>
            <w:tcMar>
              <w:top w:w="100" w:type="dxa"/>
              <w:left w:w="60" w:type="dxa"/>
              <w:bottom w:w="100" w:type="dxa"/>
              <w:right w:w="0" w:type="dxa"/>
            </w:tcMar>
          </w:tcPr>
          <w:p w14:paraId="49745226" w14:textId="77777777" w:rsidR="006D7A4B" w:rsidRDefault="006D7A4B" w:rsidP="00A9140F">
            <w:pPr>
              <w:pStyle w:val="AnnexTableCellLeft"/>
              <w:rPr>
                <w:szCs w:val="18"/>
              </w:rPr>
            </w:pPr>
            <w:r>
              <w:t>Á ekki við</w:t>
            </w:r>
          </w:p>
        </w:tc>
      </w:tr>
      <w:tr w:rsidR="006D7A4B" w14:paraId="3F87E2EC" w14:textId="77777777" w:rsidTr="00A9140F">
        <w:tc>
          <w:tcPr>
            <w:tcW w:w="2952" w:type="dxa"/>
            <w:tcMar>
              <w:top w:w="100" w:type="dxa"/>
              <w:left w:w="0" w:type="dxa"/>
              <w:bottom w:w="100" w:type="dxa"/>
              <w:right w:w="60" w:type="dxa"/>
            </w:tcMar>
          </w:tcPr>
          <w:p w14:paraId="6DCF87A7" w14:textId="77777777" w:rsidR="006D7A4B" w:rsidRDefault="006D7A4B" w:rsidP="00A9140F">
            <w:pPr>
              <w:pStyle w:val="AnnexNumberedText"/>
              <w:spacing w:after="0"/>
              <w:ind w:left="293" w:hanging="293"/>
              <w:rPr>
                <w:szCs w:val="18"/>
              </w:rPr>
            </w:pPr>
            <w:r>
              <w:t>5)</w:t>
            </w:r>
            <w:r>
              <w:tab/>
              <w:t>Mengunarvarnir og eftirlit með mengun</w:t>
            </w:r>
          </w:p>
        </w:tc>
        <w:tc>
          <w:tcPr>
            <w:tcW w:w="5784" w:type="dxa"/>
            <w:tcMar>
              <w:top w:w="100" w:type="dxa"/>
              <w:left w:w="60" w:type="dxa"/>
              <w:bottom w:w="100" w:type="dxa"/>
              <w:right w:w="0" w:type="dxa"/>
            </w:tcMar>
          </w:tcPr>
          <w:p w14:paraId="4D93F0C0" w14:textId="77777777" w:rsidR="006D7A4B" w:rsidRDefault="006D7A4B" w:rsidP="00A9140F">
            <w:pPr>
              <w:pStyle w:val="AnnexTableCellLeft"/>
              <w:rPr>
                <w:szCs w:val="18"/>
              </w:rPr>
            </w:pPr>
            <w:r>
              <w:t>Viftur, þjöppur, dælur og annar búnaður sem er notaður, sem fellur undir tilskipun 2009/125/EB, eru, ef við á, í samræmi við kröfurnar fyrir hæsta flokk orkumerkimiða ESB og við framkvæmdarreglugerðir samkvæmt þeirri til</w:t>
            </w:r>
            <w:r>
              <w:lastRenderedPageBreak/>
              <w:t>skipun og eru besta aðgengilega tækni.</w:t>
            </w:r>
          </w:p>
        </w:tc>
      </w:tr>
      <w:tr w:rsidR="006D7A4B" w14:paraId="2E6015DD" w14:textId="77777777" w:rsidTr="00A9140F">
        <w:tc>
          <w:tcPr>
            <w:tcW w:w="2952" w:type="dxa"/>
            <w:tcMar>
              <w:top w:w="100" w:type="dxa"/>
              <w:left w:w="0" w:type="dxa"/>
              <w:bottom w:w="100" w:type="dxa"/>
              <w:right w:w="60" w:type="dxa"/>
            </w:tcMar>
          </w:tcPr>
          <w:p w14:paraId="5B194429" w14:textId="77777777" w:rsidR="006D7A4B" w:rsidRDefault="006D7A4B" w:rsidP="00A9140F">
            <w:pPr>
              <w:pStyle w:val="AnnexNumberedText"/>
              <w:pageBreakBefore/>
              <w:spacing w:after="0"/>
              <w:ind w:left="293" w:hanging="293"/>
              <w:rPr>
                <w:szCs w:val="18"/>
              </w:rPr>
            </w:pPr>
            <w:r>
              <w:lastRenderedPageBreak/>
              <w:t>6)</w:t>
            </w:r>
            <w:r>
              <w:tab/>
              <w:t>Vernd og endurheimt líffræðilegrar fjölbreytni og vistkerfa</w:t>
            </w:r>
          </w:p>
        </w:tc>
        <w:tc>
          <w:tcPr>
            <w:tcW w:w="5784" w:type="dxa"/>
            <w:tcMar>
              <w:top w:w="100" w:type="dxa"/>
              <w:left w:w="60" w:type="dxa"/>
              <w:bottom w:w="100" w:type="dxa"/>
              <w:right w:w="0" w:type="dxa"/>
            </w:tcMar>
          </w:tcPr>
          <w:p w14:paraId="7358BD39" w14:textId="77777777" w:rsidR="006D7A4B" w:rsidRDefault="006D7A4B" w:rsidP="00A9140F">
            <w:pPr>
              <w:pStyle w:val="AnnexTableCellLeft"/>
              <w:rPr>
                <w:szCs w:val="18"/>
              </w:rPr>
            </w:pPr>
            <w:r>
              <w:t>Starfsemin er í samræmi við viðmiðanirnar sem settar eru fram í viðbæti D við þennan viðauka.</w:t>
            </w:r>
          </w:p>
        </w:tc>
      </w:tr>
    </w:tbl>
    <w:p w14:paraId="37339754" w14:textId="77777777" w:rsidR="006D7A4B" w:rsidRDefault="006D7A4B" w:rsidP="006D7A4B">
      <w:pPr>
        <w:pStyle w:val="AnnexNumberedText"/>
        <w:spacing w:before="60"/>
        <w:ind w:left="504" w:hanging="504"/>
        <w:rPr>
          <w:szCs w:val="18"/>
        </w:rPr>
      </w:pPr>
      <w:r>
        <w:t>4.15.</w:t>
      </w:r>
      <w:r>
        <w:rPr>
          <w:b/>
        </w:rPr>
        <w:tab/>
        <w:t xml:space="preserve">Dreifing </w:t>
      </w:r>
      <w:proofErr w:type="spellStart"/>
      <w:r>
        <w:rPr>
          <w:b/>
        </w:rPr>
        <w:t>fjarhitunar</w:t>
      </w:r>
      <w:proofErr w:type="spellEnd"/>
      <w:r>
        <w:rPr>
          <w:b/>
        </w:rPr>
        <w:t>/-kælingar</w:t>
      </w:r>
    </w:p>
    <w:p w14:paraId="51413566" w14:textId="77777777" w:rsidR="006D7A4B" w:rsidRDefault="006D7A4B" w:rsidP="006D7A4B">
      <w:pPr>
        <w:pStyle w:val="AnnexGrSeq3"/>
        <w:spacing w:before="120" w:after="120"/>
        <w:ind w:left="504"/>
        <w:jc w:val="both"/>
        <w:rPr>
          <w:szCs w:val="18"/>
        </w:rPr>
      </w:pPr>
      <w:r>
        <w:rPr>
          <w:i/>
        </w:rPr>
        <w:t>Lýsing á starfseminni</w:t>
      </w:r>
    </w:p>
    <w:p w14:paraId="4DAA799F" w14:textId="77777777" w:rsidR="006D7A4B" w:rsidRDefault="006D7A4B" w:rsidP="006D7A4B">
      <w:pPr>
        <w:pStyle w:val="AnnexNormal"/>
        <w:spacing w:after="340"/>
        <w:ind w:left="504"/>
        <w:rPr>
          <w:szCs w:val="18"/>
        </w:rPr>
      </w:pPr>
      <w:r>
        <w:t xml:space="preserve">Uppbygging, endurnýjun og </w:t>
      </w:r>
      <w:proofErr w:type="spellStart"/>
      <w:r>
        <w:t>starfræksla</w:t>
      </w:r>
      <w:proofErr w:type="spellEnd"/>
      <w:r>
        <w:t xml:space="preserve"> leiðslna og tengdra grunnvirkja til dreifingar á varma og kælingu sem endar við </w:t>
      </w:r>
      <w:proofErr w:type="spellStart"/>
      <w:r>
        <w:t>aðveitustöðina</w:t>
      </w:r>
      <w:proofErr w:type="spellEnd"/>
      <w:r>
        <w:t xml:space="preserve"> eða </w:t>
      </w:r>
      <w:proofErr w:type="spellStart"/>
      <w:r>
        <w:t>varmaskiptinn</w:t>
      </w:r>
      <w:proofErr w:type="spellEnd"/>
      <w:r>
        <w:t>.</w:t>
      </w:r>
    </w:p>
    <w:p w14:paraId="2008B45C" w14:textId="77777777" w:rsidR="006D7A4B" w:rsidRDefault="006D7A4B" w:rsidP="006D7A4B">
      <w:pPr>
        <w:pStyle w:val="AnnexNormal"/>
        <w:spacing w:after="340"/>
        <w:ind w:left="504"/>
        <w:rPr>
          <w:szCs w:val="18"/>
        </w:rPr>
      </w:pPr>
      <w:r>
        <w:t>Atvinnustarfsemin í þessum flokki gæti tengst kóða atvinnugreinaflokkunar Evrópusambandsins D35.30 í samræmi við atvinnugreinaflokkunina sem komið var á með reglugerð (EB) nr. 1893/2006.</w:t>
      </w:r>
    </w:p>
    <w:p w14:paraId="08FC00F8"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6D7A4B" w14:paraId="7FF4F8A9" w14:textId="77777777" w:rsidTr="00A9140F">
        <w:trPr>
          <w:trHeight w:val="280"/>
        </w:trPr>
        <w:tc>
          <w:tcPr>
            <w:tcW w:w="8736" w:type="dxa"/>
            <w:gridSpan w:val="2"/>
            <w:tcBorders>
              <w:bottom w:val="single" w:sz="4" w:space="0" w:color="auto"/>
            </w:tcBorders>
            <w:tcMar>
              <w:left w:w="0" w:type="dxa"/>
              <w:right w:w="60" w:type="dxa"/>
            </w:tcMar>
          </w:tcPr>
          <w:p w14:paraId="46BDF1E0" w14:textId="77777777" w:rsidR="006D7A4B" w:rsidRDefault="006D7A4B" w:rsidP="00A9140F">
            <w:pPr>
              <w:pStyle w:val="AnnexTableCellLeft"/>
              <w:spacing w:before="40" w:after="40"/>
              <w:rPr>
                <w:szCs w:val="18"/>
              </w:rPr>
            </w:pPr>
            <w:r>
              <w:t>Verulegt framlag til aðlögunar að loftslagsbreytingum</w:t>
            </w:r>
          </w:p>
        </w:tc>
      </w:tr>
      <w:tr w:rsidR="006D7A4B" w14:paraId="7DA44144" w14:textId="77777777" w:rsidTr="00A9140F">
        <w:trPr>
          <w:trHeight w:val="360"/>
        </w:trPr>
        <w:tc>
          <w:tcPr>
            <w:tcW w:w="8736" w:type="dxa"/>
            <w:gridSpan w:val="2"/>
            <w:tcBorders>
              <w:bottom w:val="nil"/>
            </w:tcBorders>
            <w:tcMar>
              <w:left w:w="0" w:type="dxa"/>
              <w:right w:w="60" w:type="dxa"/>
            </w:tcMar>
          </w:tcPr>
          <w:p w14:paraId="73F466E0" w14:textId="77777777" w:rsidR="006D7A4B" w:rsidRDefault="006D7A4B" w:rsidP="00A9140F">
            <w:pPr>
              <w:pStyle w:val="AnnexNumberedText"/>
              <w:tabs>
                <w:tab w:val="left" w:pos="396"/>
              </w:tabs>
              <w:spacing w:before="60" w:after="26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021B8668" w14:textId="77777777" w:rsidR="006D7A4B" w:rsidRDefault="006D7A4B" w:rsidP="00A9140F">
            <w:pPr>
              <w:pStyle w:val="AnnexNumberedText"/>
              <w:tabs>
                <w:tab w:val="left" w:pos="396"/>
              </w:tabs>
              <w:spacing w:after="26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4FFEDF7" w14:textId="77777777" w:rsidR="006D7A4B" w:rsidRDefault="006D7A4B" w:rsidP="00A9140F">
            <w:pPr>
              <w:pStyle w:val="AnnexNumberedText"/>
              <w:spacing w:after="260"/>
              <w:rPr>
                <w:szCs w:val="18"/>
              </w:rPr>
            </w:pPr>
            <w:r>
              <w:t>a)</w:t>
            </w:r>
            <w:r>
              <w:tab/>
              <w:t>skimun á starfseminni til að greina hvaða efnislega loftslagsáhætta úr skránni í viðbæti A við þennan viðauka getur haft áhrif á árangurinn af atvinnustarfseminni á væntum líftíma hennar,</w:t>
            </w:r>
          </w:p>
          <w:p w14:paraId="195900B1" w14:textId="77777777" w:rsidR="006D7A4B" w:rsidRDefault="006D7A4B" w:rsidP="00A9140F">
            <w:pPr>
              <w:pStyle w:val="AnnexNumberedText"/>
              <w:spacing w:after="26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067C3655" w14:textId="77777777" w:rsidR="006D7A4B" w:rsidRDefault="006D7A4B" w:rsidP="00A9140F">
            <w:pPr>
              <w:pStyle w:val="AnnexNumberedText"/>
              <w:spacing w:after="260"/>
              <w:rPr>
                <w:szCs w:val="18"/>
              </w:rPr>
            </w:pPr>
            <w:r>
              <w:t>c)</w:t>
            </w:r>
            <w:r>
              <w:tab/>
              <w:t>mat á aðlögunarlausnum sem geta dregið úr greindri efnislegri loftslagsáhættu.</w:t>
            </w:r>
          </w:p>
          <w:p w14:paraId="663D1EE9" w14:textId="77777777" w:rsidR="006D7A4B" w:rsidRDefault="006D7A4B" w:rsidP="00A9140F">
            <w:pPr>
              <w:pStyle w:val="AnnexTableCellLeft"/>
              <w:spacing w:after="26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51D7CE26" w14:textId="77777777" w:rsidR="006D7A4B" w:rsidRDefault="006D7A4B" w:rsidP="00A9140F">
            <w:pPr>
              <w:pStyle w:val="AnnexNumberedText"/>
              <w:spacing w:after="2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F0C6B28" w14:textId="77777777" w:rsidR="006D7A4B" w:rsidRDefault="006D7A4B" w:rsidP="00A9140F">
            <w:pPr>
              <w:pStyle w:val="AnnexNumberedText"/>
              <w:spacing w:after="2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6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A77D830" w14:textId="77777777" w:rsidR="006D7A4B" w:rsidRDefault="006D7A4B" w:rsidP="00A9140F">
            <w:pPr>
              <w:pStyle w:val="AnnexNumberedText"/>
              <w:tabs>
                <w:tab w:val="left" w:pos="396"/>
              </w:tabs>
              <w:spacing w:after="2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67"/>
            </w:r>
            <w:r>
              <w:t>), vísindalegt ritrýnt útgefið efni og líkön með opnum aðgangi (</w:t>
            </w:r>
            <w:r>
              <w:rPr>
                <w:rStyle w:val="Tilvsunneanmlsgrein"/>
                <w:sz w:val="18"/>
                <w:szCs w:val="18"/>
              </w:rPr>
              <w:footnoteReference w:id="668"/>
            </w:r>
            <w:r>
              <w:t>) eða gegn greiðslu.</w:t>
            </w:r>
          </w:p>
          <w:p w14:paraId="62AD9089" w14:textId="77777777" w:rsidR="006D7A4B" w:rsidRDefault="006D7A4B" w:rsidP="00A9140F">
            <w:pPr>
              <w:pStyle w:val="AnnexNumberedText"/>
              <w:tabs>
                <w:tab w:val="left" w:pos="396"/>
              </w:tabs>
              <w:spacing w:after="260"/>
              <w:ind w:left="0" w:firstLine="0"/>
              <w:rPr>
                <w:szCs w:val="18"/>
              </w:rPr>
            </w:pPr>
            <w:r>
              <w:t>4.</w:t>
            </w:r>
            <w:r>
              <w:tab/>
              <w:t>Aðlögunarlausnir sem komið er í framkvæmd:</w:t>
            </w:r>
          </w:p>
          <w:p w14:paraId="378ED593" w14:textId="77777777" w:rsidR="006D7A4B" w:rsidRDefault="006D7A4B" w:rsidP="00A9140F">
            <w:pPr>
              <w:pStyle w:val="AnnexNumberedText"/>
              <w:spacing w:after="0"/>
              <w:rPr>
                <w:szCs w:val="18"/>
              </w:rPr>
            </w:pPr>
            <w:r>
              <w:t>a)</w:t>
            </w:r>
            <w:r>
              <w:tab/>
              <w:t>hafa ekki neikvæð áhrif á viðleitni til aðlögunar eða viðnám annars fólks, náttúru, menningararfleifðar, eigna og annarrar atvinnustarfsemi gegn efnislegri loftslagsáhættu,</w:t>
            </w:r>
          </w:p>
        </w:tc>
      </w:tr>
      <w:tr w:rsidR="006D7A4B" w14:paraId="6951BAE5" w14:textId="77777777" w:rsidTr="00A9140F">
        <w:trPr>
          <w:trHeight w:val="360"/>
        </w:trPr>
        <w:tc>
          <w:tcPr>
            <w:tcW w:w="8736" w:type="dxa"/>
            <w:gridSpan w:val="2"/>
            <w:tcBorders>
              <w:top w:val="nil"/>
            </w:tcBorders>
            <w:tcMar>
              <w:left w:w="0" w:type="dxa"/>
              <w:right w:w="60" w:type="dxa"/>
            </w:tcMar>
          </w:tcPr>
          <w:p w14:paraId="2168B7E1" w14:textId="77777777" w:rsidR="006D7A4B" w:rsidRDefault="006D7A4B" w:rsidP="00A9140F">
            <w:pPr>
              <w:pStyle w:val="AnnexNumberedText"/>
              <w:pageBreakBefore/>
              <w:spacing w:after="400"/>
              <w:rPr>
                <w:szCs w:val="18"/>
              </w:rPr>
            </w:pPr>
            <w:r>
              <w:lastRenderedPageBreak/>
              <w:t>b)</w:t>
            </w:r>
            <w:r>
              <w:tab/>
              <w:t>eru með náttúrumiðaðar lausnir (</w:t>
            </w:r>
            <w:r>
              <w:rPr>
                <w:rStyle w:val="Tilvsunneanmlsgrein"/>
                <w:sz w:val="18"/>
                <w:szCs w:val="18"/>
              </w:rPr>
              <w:footnoteReference w:id="669"/>
            </w:r>
            <w:r>
              <w:t>) í forgangi eða treyst er á bláa eða græna innviði (</w:t>
            </w:r>
            <w:r>
              <w:rPr>
                <w:rStyle w:val="Tilvsunneanmlsgrein"/>
                <w:sz w:val="18"/>
                <w:szCs w:val="18"/>
              </w:rPr>
              <w:footnoteReference w:id="670"/>
            </w:r>
            <w:r>
              <w:t>) að því marki sem mögulegt er,</w:t>
            </w:r>
          </w:p>
          <w:p w14:paraId="4962F50D"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745FC40B"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8F0CF69"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4CBBA34A" w14:textId="77777777" w:rsidTr="00A9140F">
        <w:tc>
          <w:tcPr>
            <w:tcW w:w="8736" w:type="dxa"/>
            <w:gridSpan w:val="2"/>
            <w:tcMar>
              <w:top w:w="100" w:type="dxa"/>
              <w:left w:w="0" w:type="dxa"/>
              <w:bottom w:w="100" w:type="dxa"/>
              <w:right w:w="60" w:type="dxa"/>
            </w:tcMar>
          </w:tcPr>
          <w:p w14:paraId="7F7BD587" w14:textId="77777777" w:rsidR="006D7A4B" w:rsidRDefault="006D7A4B" w:rsidP="00A9140F">
            <w:pPr>
              <w:pStyle w:val="AnnexTableCellLeft"/>
              <w:rPr>
                <w:szCs w:val="18"/>
              </w:rPr>
            </w:pPr>
            <w:r>
              <w:t>Ekki valda umtalsverðu tjóni</w:t>
            </w:r>
          </w:p>
        </w:tc>
      </w:tr>
      <w:tr w:rsidR="006D7A4B" w14:paraId="48215DC8" w14:textId="77777777" w:rsidTr="00A9140F">
        <w:tc>
          <w:tcPr>
            <w:tcW w:w="2940" w:type="dxa"/>
            <w:tcMar>
              <w:top w:w="100" w:type="dxa"/>
              <w:left w:w="0" w:type="dxa"/>
              <w:bottom w:w="100" w:type="dxa"/>
              <w:right w:w="60" w:type="dxa"/>
            </w:tcMar>
          </w:tcPr>
          <w:p w14:paraId="5574227A" w14:textId="77777777" w:rsidR="006D7A4B" w:rsidRDefault="006D7A4B" w:rsidP="00A9140F">
            <w:pPr>
              <w:pStyle w:val="AnnexNumberedText"/>
              <w:spacing w:after="0"/>
              <w:ind w:left="293" w:hanging="293"/>
              <w:rPr>
                <w:szCs w:val="18"/>
              </w:rPr>
            </w:pPr>
            <w:r>
              <w:t>1)</w:t>
            </w:r>
            <w:r>
              <w:tab/>
              <w:t>Mildun loftslagsbreytinga</w:t>
            </w:r>
          </w:p>
        </w:tc>
        <w:tc>
          <w:tcPr>
            <w:tcW w:w="5796" w:type="dxa"/>
            <w:tcMar>
              <w:top w:w="100" w:type="dxa"/>
              <w:left w:w="60" w:type="dxa"/>
              <w:bottom w:w="100" w:type="dxa"/>
              <w:right w:w="0" w:type="dxa"/>
            </w:tcMar>
          </w:tcPr>
          <w:p w14:paraId="635B7EEE" w14:textId="77777777" w:rsidR="006D7A4B" w:rsidRDefault="006D7A4B" w:rsidP="00A9140F">
            <w:pPr>
              <w:pStyle w:val="AnnexTableCellLeft"/>
              <w:rPr>
                <w:szCs w:val="18"/>
              </w:rPr>
            </w:pPr>
            <w:r>
              <w:t>Á ekki við</w:t>
            </w:r>
          </w:p>
        </w:tc>
      </w:tr>
      <w:tr w:rsidR="006D7A4B" w14:paraId="73D84BD2" w14:textId="77777777" w:rsidTr="00A9140F">
        <w:tc>
          <w:tcPr>
            <w:tcW w:w="2940" w:type="dxa"/>
            <w:tcMar>
              <w:top w:w="100" w:type="dxa"/>
              <w:left w:w="0" w:type="dxa"/>
              <w:bottom w:w="100" w:type="dxa"/>
              <w:right w:w="60" w:type="dxa"/>
            </w:tcMar>
          </w:tcPr>
          <w:p w14:paraId="43179C05"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96" w:type="dxa"/>
            <w:tcMar>
              <w:top w:w="100" w:type="dxa"/>
              <w:left w:w="60" w:type="dxa"/>
              <w:bottom w:w="100" w:type="dxa"/>
              <w:right w:w="0" w:type="dxa"/>
            </w:tcMar>
          </w:tcPr>
          <w:p w14:paraId="7BC947E6"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3A88E1CC" w14:textId="77777777" w:rsidTr="00A9140F">
        <w:tc>
          <w:tcPr>
            <w:tcW w:w="2940" w:type="dxa"/>
            <w:tcMar>
              <w:top w:w="100" w:type="dxa"/>
              <w:left w:w="0" w:type="dxa"/>
              <w:bottom w:w="100" w:type="dxa"/>
              <w:right w:w="60" w:type="dxa"/>
            </w:tcMar>
          </w:tcPr>
          <w:p w14:paraId="4BE1AE80" w14:textId="77777777" w:rsidR="006D7A4B" w:rsidRDefault="006D7A4B" w:rsidP="00A9140F">
            <w:pPr>
              <w:pStyle w:val="AnnexNumberedText"/>
              <w:spacing w:after="0"/>
              <w:ind w:left="293" w:hanging="293"/>
              <w:rPr>
                <w:szCs w:val="18"/>
              </w:rPr>
            </w:pPr>
            <w:r>
              <w:t>4)</w:t>
            </w:r>
            <w:r>
              <w:tab/>
              <w:t>Umskipti yfir í hringrásarhagkerfi</w:t>
            </w:r>
          </w:p>
        </w:tc>
        <w:tc>
          <w:tcPr>
            <w:tcW w:w="5796" w:type="dxa"/>
            <w:tcMar>
              <w:top w:w="100" w:type="dxa"/>
              <w:left w:w="60" w:type="dxa"/>
              <w:bottom w:w="100" w:type="dxa"/>
              <w:right w:w="0" w:type="dxa"/>
            </w:tcMar>
          </w:tcPr>
          <w:p w14:paraId="2BF03E0A" w14:textId="77777777" w:rsidR="006D7A4B" w:rsidRDefault="006D7A4B" w:rsidP="00A9140F">
            <w:pPr>
              <w:pStyle w:val="AnnexTableCellLeft"/>
              <w:rPr>
                <w:szCs w:val="18"/>
              </w:rPr>
            </w:pPr>
            <w:r>
              <w:t>Á ekki við</w:t>
            </w:r>
          </w:p>
        </w:tc>
      </w:tr>
      <w:tr w:rsidR="006D7A4B" w14:paraId="2C68D740" w14:textId="77777777" w:rsidTr="00A9140F">
        <w:tc>
          <w:tcPr>
            <w:tcW w:w="2940" w:type="dxa"/>
            <w:tcMar>
              <w:top w:w="100" w:type="dxa"/>
              <w:left w:w="0" w:type="dxa"/>
              <w:bottom w:w="100" w:type="dxa"/>
              <w:right w:w="60" w:type="dxa"/>
            </w:tcMar>
          </w:tcPr>
          <w:p w14:paraId="304B129F" w14:textId="77777777" w:rsidR="006D7A4B" w:rsidRDefault="006D7A4B" w:rsidP="00A9140F">
            <w:pPr>
              <w:pStyle w:val="AnnexNumberedText"/>
              <w:spacing w:after="0"/>
              <w:ind w:left="293" w:hanging="293"/>
              <w:rPr>
                <w:szCs w:val="18"/>
              </w:rPr>
            </w:pPr>
            <w:r>
              <w:t>5)</w:t>
            </w:r>
            <w:r>
              <w:tab/>
              <w:t>Mengunarvarnir og eftirlit með mengun</w:t>
            </w:r>
          </w:p>
        </w:tc>
        <w:tc>
          <w:tcPr>
            <w:tcW w:w="5796" w:type="dxa"/>
            <w:tcMar>
              <w:top w:w="100" w:type="dxa"/>
              <w:left w:w="60" w:type="dxa"/>
              <w:bottom w:w="100" w:type="dxa"/>
              <w:right w:w="0" w:type="dxa"/>
            </w:tcMar>
          </w:tcPr>
          <w:p w14:paraId="4B162A7D" w14:textId="77777777" w:rsidR="006D7A4B" w:rsidRDefault="006D7A4B" w:rsidP="00A9140F">
            <w:pPr>
              <w:pStyle w:val="AnnexTableCellLeft"/>
              <w:rPr>
                <w:szCs w:val="18"/>
              </w:rPr>
            </w:pPr>
            <w:r>
              <w:t>Viftur, þjöppur, dælur og annar búnaður sem er notaður, sem fellur undir tilskipun 2009/125/EB, eru, ef við á, í samræmi við kröfurnar fyrir hæsta flokk orkumerkimiða ESB og að öðru leyti við framkvæmdarreglugerðir samkvæmt þeirri tilskipun og eru besta aðgengilega tækni.</w:t>
            </w:r>
          </w:p>
        </w:tc>
      </w:tr>
      <w:tr w:rsidR="006D7A4B" w14:paraId="06236FDB" w14:textId="77777777" w:rsidTr="00A9140F">
        <w:tc>
          <w:tcPr>
            <w:tcW w:w="2940" w:type="dxa"/>
            <w:tcMar>
              <w:top w:w="100" w:type="dxa"/>
              <w:left w:w="0" w:type="dxa"/>
              <w:bottom w:w="100" w:type="dxa"/>
              <w:right w:w="60" w:type="dxa"/>
            </w:tcMar>
          </w:tcPr>
          <w:p w14:paraId="4D1683EC"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96" w:type="dxa"/>
            <w:tcMar>
              <w:top w:w="100" w:type="dxa"/>
              <w:left w:w="60" w:type="dxa"/>
              <w:bottom w:w="100" w:type="dxa"/>
              <w:right w:w="0" w:type="dxa"/>
            </w:tcMar>
          </w:tcPr>
          <w:p w14:paraId="73CFCE1F" w14:textId="77777777" w:rsidR="006D7A4B" w:rsidRDefault="006D7A4B" w:rsidP="00A9140F">
            <w:pPr>
              <w:pStyle w:val="AnnexTableCellLeft"/>
              <w:rPr>
                <w:szCs w:val="18"/>
              </w:rPr>
            </w:pPr>
            <w:r>
              <w:t>Starfsemin er í samræmi við viðmiðanirnar sem settar eru fram í viðbæti D við þennan viðauka.</w:t>
            </w:r>
          </w:p>
        </w:tc>
      </w:tr>
    </w:tbl>
    <w:p w14:paraId="1886C9F3" w14:textId="77777777" w:rsidR="006D7A4B" w:rsidRDefault="006D7A4B" w:rsidP="006D7A4B">
      <w:pPr>
        <w:pStyle w:val="AnnexNumberedText"/>
        <w:spacing w:before="60"/>
        <w:ind w:left="504" w:hanging="504"/>
        <w:rPr>
          <w:szCs w:val="18"/>
        </w:rPr>
      </w:pPr>
      <w:r>
        <w:t>4.16.</w:t>
      </w:r>
      <w:r>
        <w:rPr>
          <w:b/>
        </w:rPr>
        <w:tab/>
        <w:t xml:space="preserve">Uppsetning og </w:t>
      </w:r>
      <w:proofErr w:type="spellStart"/>
      <w:r>
        <w:rPr>
          <w:b/>
        </w:rPr>
        <w:t>starfræksla</w:t>
      </w:r>
      <w:proofErr w:type="spellEnd"/>
      <w:r>
        <w:rPr>
          <w:b/>
        </w:rPr>
        <w:t xml:space="preserve"> rafmagnsvarmadæla</w:t>
      </w:r>
    </w:p>
    <w:p w14:paraId="05FE3B42" w14:textId="77777777" w:rsidR="006D7A4B" w:rsidRDefault="006D7A4B" w:rsidP="006D7A4B">
      <w:pPr>
        <w:pStyle w:val="AnnexGrSeq3"/>
        <w:spacing w:after="120"/>
        <w:ind w:left="504"/>
        <w:jc w:val="both"/>
        <w:rPr>
          <w:szCs w:val="18"/>
        </w:rPr>
      </w:pPr>
      <w:r>
        <w:rPr>
          <w:i/>
        </w:rPr>
        <w:t>Lýsing á starfseminni</w:t>
      </w:r>
    </w:p>
    <w:p w14:paraId="05340D80" w14:textId="77777777" w:rsidR="006D7A4B" w:rsidRDefault="006D7A4B" w:rsidP="006D7A4B">
      <w:pPr>
        <w:pStyle w:val="AnnexNormal"/>
        <w:spacing w:after="500"/>
        <w:ind w:left="504"/>
        <w:rPr>
          <w:szCs w:val="18"/>
        </w:rPr>
      </w:pPr>
      <w:r>
        <w:t xml:space="preserve">Uppsetning og </w:t>
      </w:r>
      <w:proofErr w:type="spellStart"/>
      <w:r>
        <w:t>starfræksla</w:t>
      </w:r>
      <w:proofErr w:type="spellEnd"/>
      <w:r>
        <w:t xml:space="preserve"> rafmagnsvarmadæla.</w:t>
      </w:r>
    </w:p>
    <w:p w14:paraId="38F695A8" w14:textId="77777777" w:rsidR="006D7A4B" w:rsidRDefault="006D7A4B" w:rsidP="006D7A4B">
      <w:pPr>
        <w:pStyle w:val="AnnexNormal"/>
        <w:spacing w:after="500"/>
        <w:ind w:left="504"/>
        <w:rPr>
          <w:szCs w:val="18"/>
        </w:rPr>
      </w:pPr>
      <w:r>
        <w:t>Ef atvinnustarfsemi er óaðskiljanlegur hluti af „Uppsetning, viðhald og viðgerðir á tækni á sviði endurnýjanlegrar orku“, eins og um getur í þætti 7.6 í þessum viðauka, gilda tæknilegu matsviðmiðin sem tilgreind eru í þætti 7.6.</w:t>
      </w:r>
    </w:p>
    <w:p w14:paraId="66D823AC" w14:textId="77777777" w:rsidR="006D7A4B" w:rsidRDefault="006D7A4B" w:rsidP="006D7A4B">
      <w:pPr>
        <w:pStyle w:val="AnnexNormal"/>
        <w:spacing w:after="500"/>
        <w:ind w:left="504"/>
        <w:rPr>
          <w:szCs w:val="18"/>
        </w:rPr>
      </w:pPr>
      <w:r>
        <w:t>Atvinnustarfsemin í þessum flokki gæti tengst nokkrum kóðum atvinnugreinaflokkunar Evrópusambandsins, einkum D35.30 og F43.22, í samræmi við atvinnugreinaflokkunina sem komið var á með reglugerð (EB) nr. 1893/2006.</w:t>
      </w:r>
    </w:p>
    <w:p w14:paraId="0CDD6EEE"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16"/>
        <w:gridCol w:w="5820"/>
      </w:tblGrid>
      <w:tr w:rsidR="006D7A4B" w14:paraId="4FA7AF9A" w14:textId="77777777" w:rsidTr="00A9140F">
        <w:trPr>
          <w:trHeight w:val="280"/>
        </w:trPr>
        <w:tc>
          <w:tcPr>
            <w:tcW w:w="8736" w:type="dxa"/>
            <w:gridSpan w:val="2"/>
            <w:tcBorders>
              <w:bottom w:val="single" w:sz="4" w:space="0" w:color="auto"/>
            </w:tcBorders>
            <w:tcMar>
              <w:left w:w="0" w:type="dxa"/>
              <w:right w:w="60" w:type="dxa"/>
            </w:tcMar>
          </w:tcPr>
          <w:p w14:paraId="25F55417" w14:textId="77777777" w:rsidR="006D7A4B" w:rsidRDefault="006D7A4B" w:rsidP="00A9140F">
            <w:pPr>
              <w:pStyle w:val="AnnexTableCellLeft"/>
              <w:spacing w:before="40" w:after="40"/>
              <w:rPr>
                <w:szCs w:val="18"/>
              </w:rPr>
            </w:pPr>
            <w:r>
              <w:t>Verulegt framlag til aðlögunar að loftslagsbreytingum</w:t>
            </w:r>
          </w:p>
        </w:tc>
      </w:tr>
      <w:tr w:rsidR="006D7A4B" w14:paraId="32F3FFB2" w14:textId="77777777" w:rsidTr="00A9140F">
        <w:trPr>
          <w:trHeight w:val="360"/>
        </w:trPr>
        <w:tc>
          <w:tcPr>
            <w:tcW w:w="8736" w:type="dxa"/>
            <w:gridSpan w:val="2"/>
            <w:tcBorders>
              <w:bottom w:val="nil"/>
            </w:tcBorders>
            <w:tcMar>
              <w:left w:w="0" w:type="dxa"/>
              <w:right w:w="60" w:type="dxa"/>
            </w:tcMar>
          </w:tcPr>
          <w:p w14:paraId="6F087817" w14:textId="77777777" w:rsidR="006D7A4B" w:rsidRDefault="006D7A4B" w:rsidP="00A9140F">
            <w:pPr>
              <w:pStyle w:val="AnnexNumberedText"/>
              <w:tabs>
                <w:tab w:val="left" w:pos="396"/>
              </w:tabs>
              <w:spacing w:before="60" w:after="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tc>
      </w:tr>
      <w:tr w:rsidR="006D7A4B" w14:paraId="01F1AD01" w14:textId="77777777" w:rsidTr="00A9140F">
        <w:trPr>
          <w:trHeight w:val="360"/>
        </w:trPr>
        <w:tc>
          <w:tcPr>
            <w:tcW w:w="8736" w:type="dxa"/>
            <w:gridSpan w:val="2"/>
            <w:tcBorders>
              <w:top w:val="nil"/>
            </w:tcBorders>
            <w:tcMar>
              <w:left w:w="0" w:type="dxa"/>
              <w:right w:w="60" w:type="dxa"/>
            </w:tcMar>
          </w:tcPr>
          <w:p w14:paraId="55A51486" w14:textId="77777777" w:rsidR="006D7A4B" w:rsidRDefault="006D7A4B" w:rsidP="00A9140F">
            <w:pPr>
              <w:pStyle w:val="AnnexNumberedText"/>
              <w:pageBreakBefore/>
              <w:tabs>
                <w:tab w:val="left" w:pos="396"/>
              </w:tabs>
              <w:spacing w:after="240"/>
              <w:ind w:left="0" w:firstLine="0"/>
              <w:rPr>
                <w:szCs w:val="18"/>
              </w:rPr>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9112FBF" w14:textId="77777777" w:rsidR="006D7A4B" w:rsidRDefault="006D7A4B" w:rsidP="00A9140F">
            <w:pPr>
              <w:pStyle w:val="AnnexNumberedText"/>
              <w:spacing w:after="2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63618EC5" w14:textId="77777777" w:rsidR="006D7A4B" w:rsidRDefault="006D7A4B" w:rsidP="00A9140F">
            <w:pPr>
              <w:pStyle w:val="AnnexNumberedText"/>
              <w:spacing w:after="2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0AF1A59" w14:textId="77777777" w:rsidR="006D7A4B" w:rsidRDefault="006D7A4B" w:rsidP="00A9140F">
            <w:pPr>
              <w:pStyle w:val="AnnexNumberedText"/>
              <w:spacing w:after="240"/>
              <w:rPr>
                <w:szCs w:val="18"/>
              </w:rPr>
            </w:pPr>
            <w:r>
              <w:t>c)</w:t>
            </w:r>
            <w:r>
              <w:tab/>
              <w:t>mat á aðlögunarlausnum sem geta dregið úr greindri efnislegri loftslagsáhættu.</w:t>
            </w:r>
          </w:p>
          <w:p w14:paraId="489288B2" w14:textId="77777777" w:rsidR="006D7A4B" w:rsidRDefault="006D7A4B" w:rsidP="00A9140F">
            <w:pPr>
              <w:pStyle w:val="AnnexTableCellLeft"/>
              <w:spacing w:after="2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892EFA1" w14:textId="77777777" w:rsidR="006D7A4B" w:rsidRDefault="006D7A4B" w:rsidP="00A9140F">
            <w:pPr>
              <w:pStyle w:val="AnnexNumberedText"/>
              <w:spacing w:after="2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7FFBA98" w14:textId="77777777" w:rsidR="006D7A4B" w:rsidRDefault="006D7A4B" w:rsidP="00A9140F">
            <w:pPr>
              <w:pStyle w:val="AnnexNumberedText"/>
              <w:spacing w:after="2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7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8A64185" w14:textId="77777777" w:rsidR="006D7A4B" w:rsidRDefault="006D7A4B" w:rsidP="00A9140F">
            <w:pPr>
              <w:pStyle w:val="AnnexNumberedText"/>
              <w:tabs>
                <w:tab w:val="left" w:pos="396"/>
              </w:tabs>
              <w:spacing w:after="2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72"/>
            </w:r>
            <w:r>
              <w:t>), vísindalegt ritrýnt útgefið efni og líkön með opnum aðgangi (</w:t>
            </w:r>
            <w:r>
              <w:rPr>
                <w:rStyle w:val="Tilvsunneanmlsgrein"/>
                <w:sz w:val="18"/>
                <w:szCs w:val="18"/>
              </w:rPr>
              <w:footnoteReference w:id="673"/>
            </w:r>
            <w:r>
              <w:t>) eða gegn greiðslu.</w:t>
            </w:r>
          </w:p>
          <w:p w14:paraId="0D2C5F2A" w14:textId="77777777" w:rsidR="006D7A4B" w:rsidRDefault="006D7A4B" w:rsidP="00A9140F">
            <w:pPr>
              <w:pStyle w:val="AnnexNumberedText"/>
              <w:tabs>
                <w:tab w:val="left" w:pos="396"/>
              </w:tabs>
              <w:spacing w:after="240"/>
              <w:ind w:left="0" w:firstLine="0"/>
              <w:rPr>
                <w:szCs w:val="18"/>
              </w:rPr>
            </w:pPr>
            <w:r>
              <w:t>4.</w:t>
            </w:r>
            <w:r>
              <w:tab/>
              <w:t>Aðlögunarlausnir sem komið er í framkvæmd:</w:t>
            </w:r>
          </w:p>
          <w:p w14:paraId="7A4B8B8C"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3F356A07"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674"/>
            </w:r>
            <w:r>
              <w:t>) í forgangi eða treyst er á bláa eða græna innviði (</w:t>
            </w:r>
            <w:r>
              <w:rPr>
                <w:rStyle w:val="Tilvsunneanmlsgrein"/>
                <w:sz w:val="18"/>
                <w:szCs w:val="18"/>
              </w:rPr>
              <w:footnoteReference w:id="675"/>
            </w:r>
            <w:r>
              <w:t>) að því marki sem mögulegt er,</w:t>
            </w:r>
          </w:p>
          <w:p w14:paraId="7F31653B" w14:textId="77777777" w:rsidR="006D7A4B" w:rsidRDefault="006D7A4B" w:rsidP="00A9140F">
            <w:pPr>
              <w:pStyle w:val="AnnexNumberedText"/>
              <w:spacing w:after="240"/>
              <w:rPr>
                <w:szCs w:val="18"/>
              </w:rPr>
            </w:pPr>
            <w:r>
              <w:t>c)</w:t>
            </w:r>
            <w:r>
              <w:tab/>
              <w:t>eru í samræmi við staðbundnar, geirabundnar, svæðisbundnar eða landsbundnar aðlögunarstefnur og -áætlanir,</w:t>
            </w:r>
          </w:p>
          <w:p w14:paraId="25058EB5" w14:textId="77777777" w:rsidR="006D7A4B" w:rsidRDefault="006D7A4B" w:rsidP="00A9140F">
            <w:pPr>
              <w:pStyle w:val="AnnexNumberedText"/>
              <w:spacing w:after="24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1407C69"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5A9695A9" w14:textId="77777777" w:rsidTr="00A9140F">
        <w:tc>
          <w:tcPr>
            <w:tcW w:w="8736" w:type="dxa"/>
            <w:gridSpan w:val="2"/>
            <w:tcMar>
              <w:top w:w="100" w:type="dxa"/>
              <w:left w:w="0" w:type="dxa"/>
              <w:bottom w:w="100" w:type="dxa"/>
              <w:right w:w="60" w:type="dxa"/>
            </w:tcMar>
          </w:tcPr>
          <w:p w14:paraId="2F869F36" w14:textId="77777777" w:rsidR="006D7A4B" w:rsidRDefault="006D7A4B" w:rsidP="00A9140F">
            <w:pPr>
              <w:pStyle w:val="AnnexTableCellLeft"/>
              <w:rPr>
                <w:szCs w:val="18"/>
              </w:rPr>
            </w:pPr>
            <w:r>
              <w:t>Ekki valda umtalsverðu tjóni</w:t>
            </w:r>
          </w:p>
        </w:tc>
      </w:tr>
      <w:tr w:rsidR="006D7A4B" w14:paraId="037562FC" w14:textId="77777777" w:rsidTr="00A9140F">
        <w:tc>
          <w:tcPr>
            <w:tcW w:w="2916" w:type="dxa"/>
            <w:tcMar>
              <w:top w:w="100" w:type="dxa"/>
              <w:left w:w="0" w:type="dxa"/>
              <w:bottom w:w="100" w:type="dxa"/>
              <w:right w:w="60" w:type="dxa"/>
            </w:tcMar>
          </w:tcPr>
          <w:p w14:paraId="5DF86A55" w14:textId="77777777" w:rsidR="006D7A4B" w:rsidRDefault="006D7A4B" w:rsidP="00A9140F">
            <w:pPr>
              <w:pStyle w:val="AnnexNumberedText"/>
              <w:spacing w:after="0"/>
              <w:ind w:left="293" w:hanging="293"/>
              <w:rPr>
                <w:szCs w:val="18"/>
              </w:rPr>
            </w:pPr>
            <w:r>
              <w:lastRenderedPageBreak/>
              <w:t>1)</w:t>
            </w:r>
            <w:r>
              <w:tab/>
              <w:t>Mildun loftslagsbreytinga</w:t>
            </w:r>
          </w:p>
        </w:tc>
        <w:tc>
          <w:tcPr>
            <w:tcW w:w="5820" w:type="dxa"/>
            <w:tcMar>
              <w:top w:w="100" w:type="dxa"/>
              <w:left w:w="60" w:type="dxa"/>
              <w:bottom w:w="100" w:type="dxa"/>
              <w:right w:w="0" w:type="dxa"/>
            </w:tcMar>
          </w:tcPr>
          <w:p w14:paraId="1E1414F9" w14:textId="77777777" w:rsidR="006D7A4B" w:rsidRDefault="006D7A4B" w:rsidP="00A9140F">
            <w:pPr>
              <w:pStyle w:val="AnnexTableCellLeft"/>
              <w:rPr>
                <w:szCs w:val="18"/>
              </w:rPr>
            </w:pPr>
            <w:r>
              <w:t>Á ekki við</w:t>
            </w:r>
          </w:p>
        </w:tc>
      </w:tr>
      <w:tr w:rsidR="006D7A4B" w14:paraId="2C447478" w14:textId="77777777" w:rsidTr="00A9140F">
        <w:tc>
          <w:tcPr>
            <w:tcW w:w="2916" w:type="dxa"/>
            <w:tcMar>
              <w:top w:w="100" w:type="dxa"/>
              <w:left w:w="0" w:type="dxa"/>
              <w:bottom w:w="100" w:type="dxa"/>
              <w:right w:w="60" w:type="dxa"/>
            </w:tcMar>
          </w:tcPr>
          <w:p w14:paraId="49631ECF" w14:textId="77777777" w:rsidR="006D7A4B" w:rsidRDefault="006D7A4B" w:rsidP="00A9140F">
            <w:pPr>
              <w:pStyle w:val="AnnexNumberedText"/>
              <w:pageBreakBefore/>
              <w:spacing w:after="0"/>
              <w:ind w:left="293" w:hanging="293"/>
              <w:rPr>
                <w:szCs w:val="18"/>
              </w:rPr>
            </w:pPr>
            <w:r>
              <w:lastRenderedPageBreak/>
              <w:t>3)</w:t>
            </w:r>
            <w:r>
              <w:tab/>
              <w:t>Sjálfbær notkun og verndun vatns- og sjávarauðlinda</w:t>
            </w:r>
          </w:p>
        </w:tc>
        <w:tc>
          <w:tcPr>
            <w:tcW w:w="5820" w:type="dxa"/>
            <w:tcMar>
              <w:top w:w="100" w:type="dxa"/>
              <w:left w:w="60" w:type="dxa"/>
              <w:bottom w:w="100" w:type="dxa"/>
              <w:right w:w="0" w:type="dxa"/>
            </w:tcMar>
          </w:tcPr>
          <w:p w14:paraId="7AA1CD0D"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6EA8FE74" w14:textId="77777777" w:rsidTr="00A9140F">
        <w:tc>
          <w:tcPr>
            <w:tcW w:w="2916" w:type="dxa"/>
            <w:tcMar>
              <w:top w:w="100" w:type="dxa"/>
              <w:left w:w="0" w:type="dxa"/>
              <w:bottom w:w="100" w:type="dxa"/>
              <w:right w:w="60" w:type="dxa"/>
            </w:tcMar>
          </w:tcPr>
          <w:p w14:paraId="5934E61A" w14:textId="77777777" w:rsidR="006D7A4B" w:rsidRDefault="006D7A4B" w:rsidP="00A9140F">
            <w:pPr>
              <w:pStyle w:val="AnnexNumberedText"/>
              <w:spacing w:after="0"/>
              <w:ind w:left="293" w:hanging="293"/>
              <w:rPr>
                <w:szCs w:val="18"/>
              </w:rPr>
            </w:pPr>
            <w:r>
              <w:t>4)</w:t>
            </w:r>
            <w:r>
              <w:tab/>
              <w:t>Umskipti yfir í hringrásarhagkerfi</w:t>
            </w:r>
          </w:p>
        </w:tc>
        <w:tc>
          <w:tcPr>
            <w:tcW w:w="5820" w:type="dxa"/>
            <w:tcMar>
              <w:top w:w="100" w:type="dxa"/>
              <w:left w:w="60" w:type="dxa"/>
              <w:bottom w:w="100" w:type="dxa"/>
              <w:right w:w="0" w:type="dxa"/>
            </w:tcMar>
          </w:tcPr>
          <w:p w14:paraId="5D6C4A5C" w14:textId="77777777" w:rsidR="006D7A4B" w:rsidRDefault="006D7A4B" w:rsidP="00A9140F">
            <w:pPr>
              <w:pStyle w:val="AnnexTableCellLeft"/>
              <w:spacing w:after="200"/>
              <w:rPr>
                <w:szCs w:val="18"/>
              </w:rPr>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p w14:paraId="1E6DA03D" w14:textId="77777777" w:rsidR="006D7A4B" w:rsidRDefault="006D7A4B" w:rsidP="00A9140F">
            <w:pPr>
              <w:pStyle w:val="AnnexTableCellLeft"/>
              <w:rPr>
                <w:szCs w:val="18"/>
              </w:rPr>
            </w:pPr>
            <w:r>
              <w:t xml:space="preserve">Úrgangsstjórnunaráætlun er til staðar og tryggir hámarksendurnotkun, </w:t>
            </w:r>
            <w:proofErr w:type="spellStart"/>
            <w:r>
              <w:t>endurframleiðslu</w:t>
            </w:r>
            <w:proofErr w:type="spellEnd"/>
            <w:r>
              <w:t xml:space="preserve"> eða endurvinnslu við lok vistferilsins, þ.m.t. með samningsbundnu samkomulagi við samstarfsaðila um meðhöndlun úrgangs, endurspeglast í fjárhagslegum spám eða opinberum skjölum um verkefnið.</w:t>
            </w:r>
          </w:p>
        </w:tc>
      </w:tr>
      <w:tr w:rsidR="006D7A4B" w14:paraId="6C6DCC1B" w14:textId="77777777" w:rsidTr="00A9140F">
        <w:tc>
          <w:tcPr>
            <w:tcW w:w="2916" w:type="dxa"/>
            <w:tcMar>
              <w:top w:w="100" w:type="dxa"/>
              <w:left w:w="0" w:type="dxa"/>
              <w:bottom w:w="100" w:type="dxa"/>
              <w:right w:w="60" w:type="dxa"/>
            </w:tcMar>
          </w:tcPr>
          <w:p w14:paraId="64368E1E" w14:textId="77777777" w:rsidR="006D7A4B" w:rsidRDefault="006D7A4B" w:rsidP="00A9140F">
            <w:pPr>
              <w:pStyle w:val="AnnexNumberedText"/>
              <w:spacing w:after="0"/>
              <w:ind w:left="293" w:hanging="293"/>
              <w:rPr>
                <w:szCs w:val="18"/>
              </w:rPr>
            </w:pPr>
            <w:r>
              <w:t>5)</w:t>
            </w:r>
            <w:r>
              <w:tab/>
              <w:t>Mengunarvarnir og eftirlit með mengun</w:t>
            </w:r>
          </w:p>
        </w:tc>
        <w:tc>
          <w:tcPr>
            <w:tcW w:w="5820" w:type="dxa"/>
            <w:tcMar>
              <w:top w:w="100" w:type="dxa"/>
              <w:left w:w="60" w:type="dxa"/>
              <w:bottom w:w="100" w:type="dxa"/>
              <w:right w:w="0" w:type="dxa"/>
            </w:tcMar>
          </w:tcPr>
          <w:p w14:paraId="1BF6F6FB" w14:textId="77777777" w:rsidR="006D7A4B" w:rsidRDefault="006D7A4B" w:rsidP="00A9140F">
            <w:pPr>
              <w:pStyle w:val="AnnexTableCellLeft"/>
              <w:rPr>
                <w:szCs w:val="18"/>
              </w:rPr>
            </w:pPr>
            <w:r>
              <w:t>Að því er varðar loft í loft varmadælur með málafköst sem nema 12 kW eða minna er hljóðaflsstig innan- og utandyra undir viðmiðunarmörkunum sem sett eru fram í reglugerð (ESB) nr. 206/2012.</w:t>
            </w:r>
          </w:p>
        </w:tc>
      </w:tr>
      <w:tr w:rsidR="006D7A4B" w14:paraId="163AAC76" w14:textId="77777777" w:rsidTr="00A9140F">
        <w:tc>
          <w:tcPr>
            <w:tcW w:w="2916" w:type="dxa"/>
            <w:tcMar>
              <w:top w:w="100" w:type="dxa"/>
              <w:left w:w="0" w:type="dxa"/>
              <w:bottom w:w="100" w:type="dxa"/>
              <w:right w:w="60" w:type="dxa"/>
            </w:tcMar>
          </w:tcPr>
          <w:p w14:paraId="4B3C083E"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820" w:type="dxa"/>
            <w:tcMar>
              <w:top w:w="100" w:type="dxa"/>
              <w:left w:w="60" w:type="dxa"/>
              <w:bottom w:w="100" w:type="dxa"/>
              <w:right w:w="0" w:type="dxa"/>
            </w:tcMar>
          </w:tcPr>
          <w:p w14:paraId="591503AB" w14:textId="77777777" w:rsidR="006D7A4B" w:rsidRDefault="006D7A4B" w:rsidP="00A9140F">
            <w:pPr>
              <w:pStyle w:val="AnnexTableCellLeft"/>
              <w:rPr>
                <w:szCs w:val="18"/>
              </w:rPr>
            </w:pPr>
            <w:r>
              <w:t>Á ekki við</w:t>
            </w:r>
          </w:p>
        </w:tc>
      </w:tr>
    </w:tbl>
    <w:p w14:paraId="63F6EF93" w14:textId="77777777" w:rsidR="006D7A4B" w:rsidRDefault="006D7A4B" w:rsidP="006D7A4B">
      <w:pPr>
        <w:pStyle w:val="AnnexNumberedText"/>
        <w:spacing w:before="60"/>
        <w:ind w:left="504" w:hanging="504"/>
        <w:rPr>
          <w:szCs w:val="18"/>
        </w:rPr>
      </w:pPr>
      <w:r>
        <w:t>4.17.</w:t>
      </w:r>
      <w:r>
        <w:rPr>
          <w:b/>
        </w:rPr>
        <w:tab/>
      </w:r>
      <w:proofErr w:type="spellStart"/>
      <w:r>
        <w:rPr>
          <w:b/>
        </w:rPr>
        <w:t>Samþætt</w:t>
      </w:r>
      <w:proofErr w:type="spellEnd"/>
      <w:r>
        <w:rPr>
          <w:b/>
        </w:rPr>
        <w:t xml:space="preserve"> vinnsla varma/kælingar og raforku úr sólarorku</w:t>
      </w:r>
    </w:p>
    <w:p w14:paraId="1351C9E6" w14:textId="77777777" w:rsidR="006D7A4B" w:rsidRDefault="006D7A4B" w:rsidP="006D7A4B">
      <w:pPr>
        <w:pStyle w:val="AnnexGrSeq3"/>
        <w:spacing w:after="120"/>
        <w:ind w:left="504"/>
        <w:jc w:val="both"/>
        <w:rPr>
          <w:szCs w:val="18"/>
        </w:rPr>
      </w:pPr>
      <w:r>
        <w:rPr>
          <w:i/>
        </w:rPr>
        <w:t>Lýsing á starfseminni</w:t>
      </w:r>
    </w:p>
    <w:p w14:paraId="43BB3AD2" w14:textId="77777777" w:rsidR="006D7A4B" w:rsidRDefault="006D7A4B" w:rsidP="006D7A4B">
      <w:pPr>
        <w:pStyle w:val="AnnexNormal"/>
        <w:ind w:left="504"/>
        <w:rPr>
          <w:szCs w:val="18"/>
        </w:rPr>
      </w:pPr>
      <w:r>
        <w:t>Bygging og rekstur stöðvar sem samþættir vinnslu raforku og varma/kælingar úr sólarorku.</w:t>
      </w:r>
    </w:p>
    <w:p w14:paraId="00CC61F6" w14:textId="77777777" w:rsidR="006D7A4B" w:rsidRDefault="006D7A4B" w:rsidP="006D7A4B">
      <w:pPr>
        <w:pStyle w:val="AnnexNormal"/>
        <w:ind w:left="504"/>
        <w:rPr>
          <w:szCs w:val="18"/>
        </w:rPr>
      </w:pPr>
      <w:r>
        <w:t>Atvinnustarfsemin í þessum flokki gæti tengst nokkrum kóðum atvinnugreinaflokkunar Evrópusambandsins, einkum D35.11 og D35.30, í samræmi við atvinnugreinaflokkunina sem komið var á með reglugerð (EB) nr. 1893/2006.</w:t>
      </w:r>
    </w:p>
    <w:p w14:paraId="3BD6BB69"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81"/>
        <w:gridCol w:w="5755"/>
      </w:tblGrid>
      <w:tr w:rsidR="006D7A4B" w14:paraId="3BF2EDD4" w14:textId="77777777" w:rsidTr="00A9140F">
        <w:trPr>
          <w:trHeight w:val="280"/>
        </w:trPr>
        <w:tc>
          <w:tcPr>
            <w:tcW w:w="8736" w:type="dxa"/>
            <w:gridSpan w:val="2"/>
            <w:tcBorders>
              <w:bottom w:val="single" w:sz="4" w:space="0" w:color="auto"/>
            </w:tcBorders>
            <w:tcMar>
              <w:left w:w="0" w:type="dxa"/>
              <w:right w:w="60" w:type="dxa"/>
            </w:tcMar>
          </w:tcPr>
          <w:p w14:paraId="37E088F5" w14:textId="77777777" w:rsidR="006D7A4B" w:rsidRDefault="006D7A4B" w:rsidP="00A9140F">
            <w:pPr>
              <w:pStyle w:val="AnnexTableCellLeft"/>
              <w:spacing w:before="40" w:after="40"/>
              <w:rPr>
                <w:szCs w:val="18"/>
              </w:rPr>
            </w:pPr>
            <w:r>
              <w:t>Verulegt framlag til aðlögunar að loftslagsbreytingum</w:t>
            </w:r>
          </w:p>
        </w:tc>
      </w:tr>
      <w:tr w:rsidR="006D7A4B" w14:paraId="01BD2C92" w14:textId="77777777" w:rsidTr="00A9140F">
        <w:trPr>
          <w:trHeight w:val="360"/>
        </w:trPr>
        <w:tc>
          <w:tcPr>
            <w:tcW w:w="8736" w:type="dxa"/>
            <w:gridSpan w:val="2"/>
            <w:tcBorders>
              <w:bottom w:val="nil"/>
            </w:tcBorders>
            <w:tcMar>
              <w:left w:w="0" w:type="dxa"/>
              <w:right w:w="60" w:type="dxa"/>
            </w:tcMar>
          </w:tcPr>
          <w:p w14:paraId="719ABB26" w14:textId="77777777" w:rsidR="006D7A4B" w:rsidRDefault="006D7A4B" w:rsidP="00A9140F">
            <w:pPr>
              <w:pStyle w:val="AnnexNumberedText"/>
              <w:tabs>
                <w:tab w:val="left" w:pos="396"/>
              </w:tabs>
              <w:spacing w:before="60"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580A988A" w14:textId="77777777" w:rsidR="006D7A4B" w:rsidRDefault="006D7A4B"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98ACA2A" w14:textId="77777777" w:rsidR="006D7A4B" w:rsidRDefault="006D7A4B"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4C7A738A" w14:textId="77777777" w:rsidR="006D7A4B" w:rsidRDefault="006D7A4B"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0AF5D83" w14:textId="77777777" w:rsidR="006D7A4B" w:rsidRDefault="006D7A4B" w:rsidP="00A9140F">
            <w:pPr>
              <w:pStyle w:val="AnnexNumberedText"/>
              <w:spacing w:after="200"/>
              <w:rPr>
                <w:szCs w:val="18"/>
              </w:rPr>
            </w:pPr>
            <w:r>
              <w:t>c)</w:t>
            </w:r>
            <w:r>
              <w:tab/>
              <w:t>mat á aðlögunarlausnum sem geta dregið úr greindri efnislegri loftslagsáhættu.</w:t>
            </w:r>
          </w:p>
          <w:p w14:paraId="32A31F0A" w14:textId="77777777" w:rsidR="006D7A4B" w:rsidRDefault="006D7A4B"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6EAA22B" w14:textId="77777777" w:rsidR="006D7A4B" w:rsidRDefault="006D7A4B"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25C15CC" w14:textId="77777777" w:rsidR="006D7A4B" w:rsidRDefault="006D7A4B" w:rsidP="00A9140F">
            <w:pPr>
              <w:pStyle w:val="AnnexNumberedText"/>
              <w:spacing w:after="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7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78BDD393" w14:textId="77777777" w:rsidTr="00A9140F">
        <w:trPr>
          <w:trHeight w:val="360"/>
        </w:trPr>
        <w:tc>
          <w:tcPr>
            <w:tcW w:w="8736" w:type="dxa"/>
            <w:gridSpan w:val="2"/>
            <w:tcBorders>
              <w:top w:val="nil"/>
            </w:tcBorders>
            <w:tcMar>
              <w:left w:w="0" w:type="dxa"/>
              <w:right w:w="60" w:type="dxa"/>
            </w:tcMar>
          </w:tcPr>
          <w:p w14:paraId="5163A15F" w14:textId="77777777" w:rsidR="006D7A4B" w:rsidRDefault="006D7A4B" w:rsidP="00A9140F">
            <w:pPr>
              <w:pStyle w:val="AnnexNumberedText"/>
              <w:pageBreakBefore/>
              <w:tabs>
                <w:tab w:val="left" w:pos="396"/>
              </w:tabs>
              <w:spacing w:after="3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77"/>
            </w:r>
            <w:r>
              <w:t>), vísindalegt ritrýnt útgefið efni og líkön með opnum aðgangi (</w:t>
            </w:r>
            <w:r>
              <w:rPr>
                <w:rStyle w:val="Tilvsunneanmlsgrein"/>
                <w:sz w:val="18"/>
                <w:szCs w:val="18"/>
              </w:rPr>
              <w:footnoteReference w:id="678"/>
            </w:r>
            <w:r>
              <w:t>) eða gegn greiðslu.</w:t>
            </w:r>
          </w:p>
          <w:p w14:paraId="7632AC87"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1111A0EB" w14:textId="77777777" w:rsidR="006D7A4B" w:rsidRDefault="006D7A4B"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6C57242C" w14:textId="77777777" w:rsidR="006D7A4B" w:rsidRDefault="006D7A4B" w:rsidP="00A9140F">
            <w:pPr>
              <w:pStyle w:val="AnnexNumberedText"/>
              <w:spacing w:after="300"/>
              <w:rPr>
                <w:szCs w:val="18"/>
              </w:rPr>
            </w:pPr>
            <w:r>
              <w:t>b)</w:t>
            </w:r>
            <w:r>
              <w:tab/>
              <w:t>eru með náttúrumiðaðar lausnir (</w:t>
            </w:r>
            <w:r>
              <w:rPr>
                <w:rStyle w:val="Tilvsunneanmlsgrein"/>
                <w:sz w:val="18"/>
                <w:szCs w:val="18"/>
              </w:rPr>
              <w:footnoteReference w:id="679"/>
            </w:r>
            <w:r>
              <w:t>) í forgangi eða treyst er á bláa eða græna innviði (</w:t>
            </w:r>
            <w:r>
              <w:rPr>
                <w:rStyle w:val="Tilvsunneanmlsgrein"/>
                <w:sz w:val="18"/>
                <w:szCs w:val="18"/>
              </w:rPr>
              <w:footnoteReference w:id="680"/>
            </w:r>
            <w:r>
              <w:t>) að því marki sem mögulegt er,</w:t>
            </w:r>
          </w:p>
          <w:p w14:paraId="66138CCA"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170D154D"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BF6DE5F"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948FB98" w14:textId="77777777" w:rsidTr="00A9140F">
        <w:tc>
          <w:tcPr>
            <w:tcW w:w="8736" w:type="dxa"/>
            <w:gridSpan w:val="2"/>
            <w:tcMar>
              <w:top w:w="100" w:type="dxa"/>
              <w:left w:w="0" w:type="dxa"/>
              <w:bottom w:w="100" w:type="dxa"/>
              <w:right w:w="60" w:type="dxa"/>
            </w:tcMar>
          </w:tcPr>
          <w:p w14:paraId="256AB25A" w14:textId="77777777" w:rsidR="006D7A4B" w:rsidRDefault="006D7A4B" w:rsidP="00A9140F">
            <w:pPr>
              <w:pStyle w:val="AnnexTableCellLeft"/>
              <w:rPr>
                <w:szCs w:val="18"/>
              </w:rPr>
            </w:pPr>
            <w:r>
              <w:t>Ekki valda umtalsverðu tjóni</w:t>
            </w:r>
          </w:p>
        </w:tc>
      </w:tr>
      <w:tr w:rsidR="006D7A4B" w14:paraId="104398E6" w14:textId="77777777" w:rsidTr="00A9140F">
        <w:tc>
          <w:tcPr>
            <w:tcW w:w="2981" w:type="dxa"/>
            <w:tcMar>
              <w:top w:w="100" w:type="dxa"/>
              <w:left w:w="0" w:type="dxa"/>
              <w:bottom w:w="100" w:type="dxa"/>
              <w:right w:w="60" w:type="dxa"/>
            </w:tcMar>
          </w:tcPr>
          <w:p w14:paraId="4FE8A1FA" w14:textId="77777777" w:rsidR="006D7A4B" w:rsidRDefault="006D7A4B" w:rsidP="00A9140F">
            <w:pPr>
              <w:pStyle w:val="AnnexNumberedText"/>
              <w:spacing w:after="0"/>
              <w:ind w:left="293" w:hanging="293"/>
              <w:rPr>
                <w:szCs w:val="18"/>
              </w:rPr>
            </w:pPr>
            <w:r>
              <w:t>1)</w:t>
            </w:r>
            <w:r>
              <w:tab/>
              <w:t>Mildun loftslagsbreytinga</w:t>
            </w:r>
          </w:p>
        </w:tc>
        <w:tc>
          <w:tcPr>
            <w:tcW w:w="5755" w:type="dxa"/>
            <w:tcMar>
              <w:top w:w="100" w:type="dxa"/>
              <w:left w:w="60" w:type="dxa"/>
              <w:bottom w:w="100" w:type="dxa"/>
              <w:right w:w="0" w:type="dxa"/>
            </w:tcMar>
          </w:tcPr>
          <w:p w14:paraId="2A9AD0A8" w14:textId="77777777" w:rsidR="006D7A4B" w:rsidRDefault="006D7A4B" w:rsidP="00A9140F">
            <w:pPr>
              <w:pStyle w:val="AnnexTableCellLeft"/>
              <w:rPr>
                <w:szCs w:val="18"/>
              </w:rPr>
            </w:pPr>
            <w:r>
              <w:t>Á ekki við</w:t>
            </w:r>
          </w:p>
        </w:tc>
      </w:tr>
      <w:tr w:rsidR="006D7A4B" w14:paraId="1C36DB6F" w14:textId="77777777" w:rsidTr="00A9140F">
        <w:tc>
          <w:tcPr>
            <w:tcW w:w="2981" w:type="dxa"/>
            <w:tcMar>
              <w:top w:w="100" w:type="dxa"/>
              <w:left w:w="0" w:type="dxa"/>
              <w:bottom w:w="100" w:type="dxa"/>
              <w:right w:w="60" w:type="dxa"/>
            </w:tcMar>
          </w:tcPr>
          <w:p w14:paraId="0C4D5732"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55" w:type="dxa"/>
            <w:tcMar>
              <w:top w:w="100" w:type="dxa"/>
              <w:left w:w="60" w:type="dxa"/>
              <w:bottom w:w="100" w:type="dxa"/>
              <w:right w:w="0" w:type="dxa"/>
            </w:tcMar>
          </w:tcPr>
          <w:p w14:paraId="0E16D004" w14:textId="77777777" w:rsidR="006D7A4B" w:rsidRDefault="006D7A4B" w:rsidP="00A9140F">
            <w:pPr>
              <w:pStyle w:val="AnnexTableCellLeft"/>
              <w:rPr>
                <w:szCs w:val="18"/>
              </w:rPr>
            </w:pPr>
            <w:r>
              <w:t>Á ekki við</w:t>
            </w:r>
          </w:p>
        </w:tc>
      </w:tr>
      <w:tr w:rsidR="006D7A4B" w14:paraId="3E0D3845" w14:textId="77777777" w:rsidTr="00A9140F">
        <w:tc>
          <w:tcPr>
            <w:tcW w:w="2981" w:type="dxa"/>
            <w:tcMar>
              <w:top w:w="100" w:type="dxa"/>
              <w:left w:w="0" w:type="dxa"/>
              <w:bottom w:w="100" w:type="dxa"/>
              <w:right w:w="60" w:type="dxa"/>
            </w:tcMar>
          </w:tcPr>
          <w:p w14:paraId="7F8CEAB7" w14:textId="77777777" w:rsidR="006D7A4B" w:rsidRDefault="006D7A4B" w:rsidP="00A9140F">
            <w:pPr>
              <w:pStyle w:val="AnnexNumberedText"/>
              <w:spacing w:after="0"/>
              <w:ind w:left="293" w:hanging="293"/>
              <w:rPr>
                <w:szCs w:val="18"/>
              </w:rPr>
            </w:pPr>
            <w:r>
              <w:t>4)</w:t>
            </w:r>
            <w:r>
              <w:tab/>
              <w:t>Umskipti yfir í hringrásarhagkerfi</w:t>
            </w:r>
          </w:p>
        </w:tc>
        <w:tc>
          <w:tcPr>
            <w:tcW w:w="5755" w:type="dxa"/>
            <w:tcMar>
              <w:top w:w="100" w:type="dxa"/>
              <w:left w:w="60" w:type="dxa"/>
              <w:bottom w:w="100" w:type="dxa"/>
              <w:right w:w="0" w:type="dxa"/>
            </w:tcMar>
          </w:tcPr>
          <w:p w14:paraId="5C1573ED" w14:textId="77777777" w:rsidR="006D7A4B" w:rsidRDefault="006D7A4B" w:rsidP="00A9140F">
            <w:pPr>
              <w:pStyle w:val="AnnexTableCellLeft"/>
              <w:rPr>
                <w:szCs w:val="18"/>
              </w:rPr>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5603489A" w14:textId="77777777" w:rsidTr="00A9140F">
        <w:tc>
          <w:tcPr>
            <w:tcW w:w="2981" w:type="dxa"/>
            <w:tcMar>
              <w:top w:w="100" w:type="dxa"/>
              <w:left w:w="0" w:type="dxa"/>
              <w:bottom w:w="100" w:type="dxa"/>
              <w:right w:w="60" w:type="dxa"/>
            </w:tcMar>
          </w:tcPr>
          <w:p w14:paraId="1C347B7F" w14:textId="77777777" w:rsidR="006D7A4B" w:rsidRDefault="006D7A4B" w:rsidP="00A9140F">
            <w:pPr>
              <w:pStyle w:val="AnnexNumberedText"/>
              <w:spacing w:after="0"/>
              <w:ind w:left="293" w:hanging="293"/>
              <w:rPr>
                <w:szCs w:val="18"/>
              </w:rPr>
            </w:pPr>
            <w:r>
              <w:t>5)</w:t>
            </w:r>
            <w:r>
              <w:tab/>
              <w:t>Mengunarvarnir og eftirlit með mengun</w:t>
            </w:r>
          </w:p>
        </w:tc>
        <w:tc>
          <w:tcPr>
            <w:tcW w:w="5755" w:type="dxa"/>
            <w:tcMar>
              <w:top w:w="100" w:type="dxa"/>
              <w:left w:w="60" w:type="dxa"/>
              <w:bottom w:w="100" w:type="dxa"/>
              <w:right w:w="0" w:type="dxa"/>
            </w:tcMar>
          </w:tcPr>
          <w:p w14:paraId="2472751B" w14:textId="77777777" w:rsidR="006D7A4B" w:rsidRDefault="006D7A4B" w:rsidP="00A9140F">
            <w:pPr>
              <w:pStyle w:val="AnnexTableCellLeft"/>
              <w:rPr>
                <w:szCs w:val="18"/>
              </w:rPr>
            </w:pPr>
            <w:r>
              <w:t>Á ekki við</w:t>
            </w:r>
          </w:p>
        </w:tc>
      </w:tr>
      <w:tr w:rsidR="006D7A4B" w14:paraId="64B84B88" w14:textId="77777777" w:rsidTr="00A9140F">
        <w:tc>
          <w:tcPr>
            <w:tcW w:w="2981" w:type="dxa"/>
            <w:tcMar>
              <w:top w:w="100" w:type="dxa"/>
              <w:left w:w="0" w:type="dxa"/>
              <w:bottom w:w="100" w:type="dxa"/>
              <w:right w:w="60" w:type="dxa"/>
            </w:tcMar>
          </w:tcPr>
          <w:p w14:paraId="570513D6"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55" w:type="dxa"/>
            <w:tcMar>
              <w:top w:w="100" w:type="dxa"/>
              <w:left w:w="60" w:type="dxa"/>
              <w:bottom w:w="100" w:type="dxa"/>
              <w:right w:w="0" w:type="dxa"/>
            </w:tcMar>
          </w:tcPr>
          <w:p w14:paraId="78D6D50D" w14:textId="77777777" w:rsidR="006D7A4B" w:rsidRDefault="006D7A4B" w:rsidP="00A9140F">
            <w:pPr>
              <w:pStyle w:val="AnnexTableCellLeft"/>
              <w:rPr>
                <w:szCs w:val="18"/>
              </w:rPr>
            </w:pPr>
            <w:r>
              <w:t>Starfsemin er í samræmi við viðmiðanirnar sem settar eru fram í viðbæti D við þennan viðauka.</w:t>
            </w:r>
          </w:p>
        </w:tc>
      </w:tr>
    </w:tbl>
    <w:p w14:paraId="0D368B55" w14:textId="77777777" w:rsidR="006D7A4B" w:rsidRDefault="006D7A4B" w:rsidP="006D7A4B">
      <w:pPr>
        <w:pStyle w:val="AnnexNumberedText"/>
        <w:spacing w:before="60"/>
        <w:ind w:left="504" w:hanging="504"/>
        <w:rPr>
          <w:szCs w:val="18"/>
        </w:rPr>
      </w:pPr>
      <w:r>
        <w:t>4.18.</w:t>
      </w:r>
      <w:r>
        <w:rPr>
          <w:b/>
        </w:rPr>
        <w:tab/>
      </w:r>
      <w:proofErr w:type="spellStart"/>
      <w:r>
        <w:rPr>
          <w:b/>
        </w:rPr>
        <w:t>Samþætt</w:t>
      </w:r>
      <w:proofErr w:type="spellEnd"/>
      <w:r>
        <w:rPr>
          <w:b/>
        </w:rPr>
        <w:t xml:space="preserve"> vinnsla varma/kælingar og raforku úr jarðvarmaorku</w:t>
      </w:r>
    </w:p>
    <w:p w14:paraId="008BF714" w14:textId="77777777" w:rsidR="006D7A4B" w:rsidRDefault="006D7A4B" w:rsidP="006D7A4B">
      <w:pPr>
        <w:pStyle w:val="AnnexGrSeq3"/>
        <w:spacing w:after="120"/>
        <w:ind w:left="504"/>
        <w:jc w:val="both"/>
        <w:rPr>
          <w:szCs w:val="18"/>
        </w:rPr>
      </w:pPr>
      <w:r>
        <w:rPr>
          <w:i/>
        </w:rPr>
        <w:t>Lýsing á starfseminni</w:t>
      </w:r>
    </w:p>
    <w:p w14:paraId="14925A6A" w14:textId="77777777" w:rsidR="006D7A4B" w:rsidRDefault="006D7A4B" w:rsidP="006D7A4B">
      <w:pPr>
        <w:pStyle w:val="AnnexNormal"/>
        <w:spacing w:after="600"/>
        <w:ind w:left="504"/>
        <w:rPr>
          <w:szCs w:val="18"/>
        </w:rPr>
      </w:pPr>
      <w:r>
        <w:t xml:space="preserve">Bygging og rekstur stöðva sem </w:t>
      </w:r>
      <w:proofErr w:type="spellStart"/>
      <w:r>
        <w:t>samþætta</w:t>
      </w:r>
      <w:proofErr w:type="spellEnd"/>
      <w:r>
        <w:t xml:space="preserve"> vinnslu varma/kælingar og raforku úr jarðvarmaorku.</w:t>
      </w:r>
    </w:p>
    <w:p w14:paraId="4DA34510" w14:textId="77777777" w:rsidR="006D7A4B" w:rsidRDefault="006D7A4B" w:rsidP="006D7A4B">
      <w:pPr>
        <w:pStyle w:val="AnnexNormal"/>
        <w:spacing w:after="0"/>
        <w:ind w:left="504"/>
        <w:rPr>
          <w:szCs w:val="18"/>
        </w:rPr>
      </w:pPr>
      <w:r>
        <w:lastRenderedPageBreak/>
        <w:t>Atvinnustarfsemin í þessum flokki gæti tengst nokkrum kóðum atvinnugreinaflokkunar Evrópusambandsins, einkum D35.11 og D35.30, í samræmi við atvinnugreinaflokkunina sem komið var á með reglugerð (EB) nr. 1893/2006.</w:t>
      </w:r>
      <w:r>
        <w:br w:type="page"/>
      </w:r>
    </w:p>
    <w:p w14:paraId="0B9D50C4" w14:textId="77777777" w:rsidR="006D7A4B" w:rsidRDefault="006D7A4B" w:rsidP="006D7A4B">
      <w:pPr>
        <w:pStyle w:val="AnnexGrSeq3"/>
        <w:ind w:left="504"/>
        <w:jc w:val="both"/>
        <w:rPr>
          <w:szCs w:val="18"/>
        </w:rPr>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64"/>
        <w:gridCol w:w="5772"/>
      </w:tblGrid>
      <w:tr w:rsidR="006D7A4B" w14:paraId="2DE839C5" w14:textId="77777777" w:rsidTr="00A9140F">
        <w:trPr>
          <w:trHeight w:val="240"/>
        </w:trPr>
        <w:tc>
          <w:tcPr>
            <w:tcW w:w="8736" w:type="dxa"/>
            <w:gridSpan w:val="2"/>
            <w:tcBorders>
              <w:bottom w:val="single" w:sz="4" w:space="0" w:color="auto"/>
            </w:tcBorders>
            <w:tcMar>
              <w:left w:w="0" w:type="dxa"/>
              <w:right w:w="60" w:type="dxa"/>
            </w:tcMar>
          </w:tcPr>
          <w:p w14:paraId="2D30382F" w14:textId="77777777" w:rsidR="006D7A4B" w:rsidRDefault="006D7A4B" w:rsidP="00A9140F">
            <w:pPr>
              <w:pStyle w:val="AnnexTableCellLeft"/>
              <w:spacing w:before="40" w:after="40"/>
              <w:rPr>
                <w:szCs w:val="18"/>
              </w:rPr>
            </w:pPr>
            <w:r>
              <w:t>Verulegt framlag til aðlögunar að loftslagsbreytingum</w:t>
            </w:r>
          </w:p>
        </w:tc>
      </w:tr>
      <w:tr w:rsidR="006D7A4B" w14:paraId="4D3246B5" w14:textId="77777777" w:rsidTr="00A9140F">
        <w:trPr>
          <w:trHeight w:val="360"/>
        </w:trPr>
        <w:tc>
          <w:tcPr>
            <w:tcW w:w="8736" w:type="dxa"/>
            <w:gridSpan w:val="2"/>
            <w:tcBorders>
              <w:bottom w:val="nil"/>
            </w:tcBorders>
            <w:tcMar>
              <w:left w:w="0" w:type="dxa"/>
              <w:right w:w="60" w:type="dxa"/>
            </w:tcMar>
          </w:tcPr>
          <w:p w14:paraId="40FCF41D" w14:textId="77777777" w:rsidR="006D7A4B" w:rsidRDefault="006D7A4B" w:rsidP="00A9140F">
            <w:pPr>
              <w:pStyle w:val="AnnexNumberedText"/>
              <w:tabs>
                <w:tab w:val="left" w:pos="396"/>
              </w:tabs>
              <w:spacing w:before="60" w:after="24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432DC331" w14:textId="77777777" w:rsidR="006D7A4B" w:rsidRDefault="006D7A4B" w:rsidP="00A9140F">
            <w:pPr>
              <w:pStyle w:val="AnnexNumberedText"/>
              <w:tabs>
                <w:tab w:val="left" w:pos="396"/>
              </w:tabs>
              <w:spacing w:after="24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DA613A7" w14:textId="77777777" w:rsidR="006D7A4B" w:rsidRDefault="006D7A4B" w:rsidP="00A9140F">
            <w:pPr>
              <w:pStyle w:val="AnnexNumberedText"/>
              <w:spacing w:after="2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774CDA3C" w14:textId="77777777" w:rsidR="006D7A4B" w:rsidRDefault="006D7A4B" w:rsidP="00A9140F">
            <w:pPr>
              <w:pStyle w:val="AnnexNumberedText"/>
              <w:spacing w:after="2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5A5D3791" w14:textId="77777777" w:rsidR="006D7A4B" w:rsidRDefault="006D7A4B" w:rsidP="00A9140F">
            <w:pPr>
              <w:pStyle w:val="AnnexNumberedText"/>
              <w:spacing w:after="240"/>
              <w:rPr>
                <w:szCs w:val="18"/>
              </w:rPr>
            </w:pPr>
            <w:r>
              <w:t>c)</w:t>
            </w:r>
            <w:r>
              <w:tab/>
              <w:t>mat á aðlögunarlausnum sem geta dregið úr greindri efnislegri loftslagsáhættu.</w:t>
            </w:r>
          </w:p>
          <w:p w14:paraId="4529949C" w14:textId="77777777" w:rsidR="006D7A4B" w:rsidRDefault="006D7A4B" w:rsidP="00A9140F">
            <w:pPr>
              <w:pStyle w:val="AnnexTableCellLeft"/>
              <w:spacing w:after="2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73703D4" w14:textId="77777777" w:rsidR="006D7A4B" w:rsidRDefault="006D7A4B" w:rsidP="00A9140F">
            <w:pPr>
              <w:pStyle w:val="AnnexNumberedText"/>
              <w:spacing w:after="2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49AD014" w14:textId="77777777" w:rsidR="006D7A4B" w:rsidRDefault="006D7A4B" w:rsidP="00A9140F">
            <w:pPr>
              <w:pStyle w:val="AnnexNumberedText"/>
              <w:spacing w:after="2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8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22D76F8" w14:textId="77777777" w:rsidR="006D7A4B" w:rsidRDefault="006D7A4B" w:rsidP="00A9140F">
            <w:pPr>
              <w:pStyle w:val="AnnexNumberedText"/>
              <w:tabs>
                <w:tab w:val="left" w:pos="396"/>
              </w:tabs>
              <w:spacing w:after="2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82"/>
            </w:r>
            <w:r>
              <w:t>), vísindalegt ritrýnt útgefið efni og líkön með opnum aðgangi (</w:t>
            </w:r>
            <w:r>
              <w:rPr>
                <w:rStyle w:val="Tilvsunneanmlsgrein"/>
                <w:sz w:val="18"/>
                <w:szCs w:val="18"/>
              </w:rPr>
              <w:footnoteReference w:id="683"/>
            </w:r>
            <w:r>
              <w:t>) eða gegn greiðslu.</w:t>
            </w:r>
          </w:p>
          <w:p w14:paraId="2539CA8F" w14:textId="77777777" w:rsidR="006D7A4B" w:rsidRDefault="006D7A4B" w:rsidP="00A9140F">
            <w:pPr>
              <w:pStyle w:val="AnnexNumberedText"/>
              <w:tabs>
                <w:tab w:val="left" w:pos="396"/>
              </w:tabs>
              <w:spacing w:after="240"/>
              <w:ind w:left="0" w:firstLine="0"/>
              <w:rPr>
                <w:szCs w:val="18"/>
              </w:rPr>
            </w:pPr>
            <w:r>
              <w:t>4.</w:t>
            </w:r>
            <w:r>
              <w:tab/>
              <w:t>Aðlögunarlausnir sem komið er í framkvæmd:</w:t>
            </w:r>
          </w:p>
          <w:p w14:paraId="351C87D9"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22946DA5"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684"/>
            </w:r>
            <w:r>
              <w:t>) í forgangi eða treyst er á bláa eða græna innviði (</w:t>
            </w:r>
            <w:r>
              <w:rPr>
                <w:rStyle w:val="Tilvsunneanmlsgrein"/>
                <w:sz w:val="18"/>
                <w:szCs w:val="18"/>
              </w:rPr>
              <w:footnoteReference w:id="685"/>
            </w:r>
            <w:r>
              <w:t>) að því marki sem mögulegt er,</w:t>
            </w:r>
          </w:p>
          <w:p w14:paraId="333F164E" w14:textId="77777777" w:rsidR="006D7A4B" w:rsidRDefault="006D7A4B" w:rsidP="00A9140F">
            <w:pPr>
              <w:pStyle w:val="AnnexNumberedText"/>
              <w:spacing w:after="240"/>
              <w:rPr>
                <w:szCs w:val="18"/>
              </w:rPr>
            </w:pPr>
            <w:r>
              <w:t>c)</w:t>
            </w:r>
            <w:r>
              <w:tab/>
              <w:t>eru í samræmi við staðbundnar, geirabundnar, svæðisbundnar eða landsbundnar aðlögunarstefnur og -áætlanir,</w:t>
            </w:r>
          </w:p>
          <w:p w14:paraId="16476D21" w14:textId="77777777" w:rsidR="006D7A4B" w:rsidRDefault="006D7A4B" w:rsidP="00A9140F">
            <w:pPr>
              <w:pStyle w:val="AnnexNumberedText"/>
              <w:spacing w:after="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tc>
      </w:tr>
      <w:tr w:rsidR="006D7A4B" w14:paraId="5A6FF347" w14:textId="77777777" w:rsidTr="00A9140F">
        <w:trPr>
          <w:trHeight w:val="360"/>
        </w:trPr>
        <w:tc>
          <w:tcPr>
            <w:tcW w:w="8736" w:type="dxa"/>
            <w:gridSpan w:val="2"/>
            <w:tcBorders>
              <w:top w:val="nil"/>
            </w:tcBorders>
            <w:tcMar>
              <w:left w:w="0" w:type="dxa"/>
              <w:right w:w="60" w:type="dxa"/>
            </w:tcMar>
          </w:tcPr>
          <w:p w14:paraId="1CCF5EAE" w14:textId="77777777" w:rsidR="006D7A4B" w:rsidRDefault="006D7A4B" w:rsidP="00A9140F">
            <w:pPr>
              <w:pStyle w:val="AnnexNumberedText"/>
              <w:pageBreakBefore/>
              <w:rPr>
                <w:szCs w:val="18"/>
              </w:rPr>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8F7B970" w14:textId="77777777" w:rsidTr="00A9140F">
        <w:tc>
          <w:tcPr>
            <w:tcW w:w="8736" w:type="dxa"/>
            <w:gridSpan w:val="2"/>
            <w:tcMar>
              <w:top w:w="100" w:type="dxa"/>
              <w:left w:w="0" w:type="dxa"/>
              <w:bottom w:w="100" w:type="dxa"/>
              <w:right w:w="60" w:type="dxa"/>
            </w:tcMar>
          </w:tcPr>
          <w:p w14:paraId="13D4E23B" w14:textId="77777777" w:rsidR="006D7A4B" w:rsidRDefault="006D7A4B" w:rsidP="00A9140F">
            <w:pPr>
              <w:pStyle w:val="AnnexTableCellLeft"/>
              <w:rPr>
                <w:szCs w:val="18"/>
              </w:rPr>
            </w:pPr>
            <w:r>
              <w:t>Ekki valda umtalsverðu tjóni</w:t>
            </w:r>
          </w:p>
        </w:tc>
      </w:tr>
      <w:tr w:rsidR="006D7A4B" w14:paraId="3B9253B6" w14:textId="77777777" w:rsidTr="00A9140F">
        <w:tc>
          <w:tcPr>
            <w:tcW w:w="2964" w:type="dxa"/>
            <w:tcMar>
              <w:top w:w="100" w:type="dxa"/>
              <w:left w:w="0" w:type="dxa"/>
              <w:bottom w:w="100" w:type="dxa"/>
              <w:right w:w="60" w:type="dxa"/>
            </w:tcMar>
          </w:tcPr>
          <w:p w14:paraId="0291ECE3" w14:textId="77777777" w:rsidR="006D7A4B" w:rsidRDefault="006D7A4B" w:rsidP="00A9140F">
            <w:pPr>
              <w:pStyle w:val="AnnexNumberedText"/>
              <w:spacing w:after="0"/>
              <w:ind w:left="293" w:hanging="293"/>
              <w:rPr>
                <w:szCs w:val="18"/>
              </w:rPr>
            </w:pPr>
            <w:r>
              <w:t>1)</w:t>
            </w:r>
            <w:r>
              <w:tab/>
              <w:t>Mildun loftslagsbreytinga</w:t>
            </w:r>
          </w:p>
        </w:tc>
        <w:tc>
          <w:tcPr>
            <w:tcW w:w="5772" w:type="dxa"/>
            <w:tcMar>
              <w:top w:w="100" w:type="dxa"/>
              <w:left w:w="60" w:type="dxa"/>
              <w:bottom w:w="100" w:type="dxa"/>
              <w:right w:w="0" w:type="dxa"/>
            </w:tcMar>
          </w:tcPr>
          <w:p w14:paraId="333962DC" w14:textId="77777777" w:rsidR="006D7A4B" w:rsidRDefault="006D7A4B" w:rsidP="00A9140F">
            <w:pPr>
              <w:pStyle w:val="AnnexTableCellLeft"/>
              <w:rPr>
                <w:szCs w:val="18"/>
              </w:rPr>
            </w:pPr>
            <w:r>
              <w:t>Bein losun á gróðurhúsalofttegundum í starfseminni er minni en 270 g CO</w:t>
            </w:r>
            <w:r>
              <w:rPr>
                <w:vertAlign w:val="subscript"/>
              </w:rPr>
              <w:t>2</w:t>
            </w:r>
            <w:r>
              <w:t>e/kWh.</w:t>
            </w:r>
          </w:p>
        </w:tc>
      </w:tr>
      <w:tr w:rsidR="006D7A4B" w14:paraId="75B319D4" w14:textId="77777777" w:rsidTr="00A9140F">
        <w:tc>
          <w:tcPr>
            <w:tcW w:w="2964" w:type="dxa"/>
            <w:tcMar>
              <w:top w:w="100" w:type="dxa"/>
              <w:left w:w="0" w:type="dxa"/>
              <w:bottom w:w="100" w:type="dxa"/>
              <w:right w:w="60" w:type="dxa"/>
            </w:tcMar>
          </w:tcPr>
          <w:p w14:paraId="77A24A06"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72" w:type="dxa"/>
            <w:tcMar>
              <w:top w:w="100" w:type="dxa"/>
              <w:left w:w="60" w:type="dxa"/>
              <w:bottom w:w="100" w:type="dxa"/>
              <w:right w:w="0" w:type="dxa"/>
            </w:tcMar>
          </w:tcPr>
          <w:p w14:paraId="27FED160"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55EC5901" w14:textId="77777777" w:rsidTr="00A9140F">
        <w:tc>
          <w:tcPr>
            <w:tcW w:w="2964" w:type="dxa"/>
            <w:tcMar>
              <w:top w:w="100" w:type="dxa"/>
              <w:left w:w="0" w:type="dxa"/>
              <w:bottom w:w="100" w:type="dxa"/>
              <w:right w:w="60" w:type="dxa"/>
            </w:tcMar>
          </w:tcPr>
          <w:p w14:paraId="72F2BE91" w14:textId="77777777" w:rsidR="006D7A4B" w:rsidRDefault="006D7A4B" w:rsidP="00A9140F">
            <w:pPr>
              <w:pStyle w:val="AnnexNumberedText"/>
              <w:spacing w:after="0"/>
              <w:ind w:left="293" w:hanging="293"/>
              <w:rPr>
                <w:szCs w:val="18"/>
              </w:rPr>
            </w:pPr>
            <w:r>
              <w:t>4)</w:t>
            </w:r>
            <w:r>
              <w:tab/>
              <w:t>Umskipti yfir í hringrásarhagkerfi</w:t>
            </w:r>
          </w:p>
        </w:tc>
        <w:tc>
          <w:tcPr>
            <w:tcW w:w="5772" w:type="dxa"/>
            <w:tcMar>
              <w:top w:w="100" w:type="dxa"/>
              <w:left w:w="60" w:type="dxa"/>
              <w:bottom w:w="100" w:type="dxa"/>
              <w:right w:w="0" w:type="dxa"/>
            </w:tcMar>
          </w:tcPr>
          <w:p w14:paraId="6585B7E2" w14:textId="77777777" w:rsidR="006D7A4B" w:rsidRDefault="006D7A4B" w:rsidP="00A9140F">
            <w:pPr>
              <w:pStyle w:val="AnnexTableCellLeft"/>
              <w:rPr>
                <w:szCs w:val="18"/>
              </w:rPr>
            </w:pPr>
            <w:r>
              <w:t>Á ekki við</w:t>
            </w:r>
          </w:p>
        </w:tc>
      </w:tr>
      <w:tr w:rsidR="006D7A4B" w14:paraId="5FA8A950" w14:textId="77777777" w:rsidTr="00A9140F">
        <w:tc>
          <w:tcPr>
            <w:tcW w:w="2964" w:type="dxa"/>
            <w:tcMar>
              <w:top w:w="100" w:type="dxa"/>
              <w:left w:w="0" w:type="dxa"/>
              <w:bottom w:w="100" w:type="dxa"/>
              <w:right w:w="60" w:type="dxa"/>
            </w:tcMar>
          </w:tcPr>
          <w:p w14:paraId="671F5786" w14:textId="77777777" w:rsidR="006D7A4B" w:rsidRDefault="006D7A4B" w:rsidP="00A9140F">
            <w:pPr>
              <w:pStyle w:val="AnnexNumberedText"/>
              <w:spacing w:after="0"/>
              <w:ind w:left="293" w:hanging="293"/>
              <w:rPr>
                <w:szCs w:val="18"/>
              </w:rPr>
            </w:pPr>
            <w:r>
              <w:t>5)</w:t>
            </w:r>
            <w:r>
              <w:tab/>
              <w:t>Mengunarvarnir og eftirlit með mengun</w:t>
            </w:r>
          </w:p>
        </w:tc>
        <w:tc>
          <w:tcPr>
            <w:tcW w:w="5772" w:type="dxa"/>
            <w:tcMar>
              <w:top w:w="100" w:type="dxa"/>
              <w:left w:w="60" w:type="dxa"/>
              <w:bottom w:w="100" w:type="dxa"/>
              <w:right w:w="0" w:type="dxa"/>
            </w:tcMar>
          </w:tcPr>
          <w:p w14:paraId="386D998E" w14:textId="77777777" w:rsidR="006D7A4B" w:rsidRDefault="006D7A4B" w:rsidP="00A9140F">
            <w:pPr>
              <w:pStyle w:val="AnnexTableCellLeft"/>
              <w:rPr>
                <w:szCs w:val="18"/>
              </w:rPr>
            </w:pPr>
            <w:r>
              <w:t xml:space="preserve">Að því er varðar </w:t>
            </w:r>
            <w:proofErr w:type="spellStart"/>
            <w:r>
              <w:t>starfrækslu</w:t>
            </w:r>
            <w:proofErr w:type="spellEnd"/>
            <w:r>
              <w:t xml:space="preserve"> jarðvarmaorkukerfa með háu vermi eru fullnægjandi hreinsunarkerfi til staðar til að draga úr losun í því skyni að hindra ekki að viðmiðunarmörk fyrir loftgæði náist, sem sett eru fram í tilskipunum 2004/107/EB og 2008/50/EB.</w:t>
            </w:r>
          </w:p>
        </w:tc>
      </w:tr>
      <w:tr w:rsidR="006D7A4B" w14:paraId="39AA203F" w14:textId="77777777" w:rsidTr="00A9140F">
        <w:tc>
          <w:tcPr>
            <w:tcW w:w="2964" w:type="dxa"/>
            <w:tcMar>
              <w:top w:w="100" w:type="dxa"/>
              <w:left w:w="0" w:type="dxa"/>
              <w:bottom w:w="100" w:type="dxa"/>
              <w:right w:w="60" w:type="dxa"/>
            </w:tcMar>
          </w:tcPr>
          <w:p w14:paraId="64743BE6"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72" w:type="dxa"/>
            <w:tcMar>
              <w:top w:w="100" w:type="dxa"/>
              <w:left w:w="60" w:type="dxa"/>
              <w:bottom w:w="100" w:type="dxa"/>
              <w:right w:w="0" w:type="dxa"/>
            </w:tcMar>
          </w:tcPr>
          <w:p w14:paraId="5A2ADE97" w14:textId="77777777" w:rsidR="006D7A4B" w:rsidRDefault="006D7A4B" w:rsidP="00A9140F">
            <w:pPr>
              <w:pStyle w:val="AnnexTableCellLeft"/>
              <w:rPr>
                <w:szCs w:val="18"/>
              </w:rPr>
            </w:pPr>
            <w:r>
              <w:t>Starfsemin er í samræmi við viðmiðanirnar sem settar eru fram í viðbæti D við þennan viðauka.</w:t>
            </w:r>
          </w:p>
        </w:tc>
      </w:tr>
    </w:tbl>
    <w:p w14:paraId="4EA3DF1C" w14:textId="77777777" w:rsidR="006D7A4B" w:rsidRDefault="006D7A4B" w:rsidP="006D7A4B">
      <w:pPr>
        <w:pStyle w:val="AnnexNumberedText"/>
        <w:spacing w:before="60"/>
        <w:ind w:left="504" w:hanging="504"/>
        <w:rPr>
          <w:szCs w:val="18"/>
        </w:rPr>
      </w:pPr>
      <w:r>
        <w:t>4.19.</w:t>
      </w:r>
      <w:r>
        <w:rPr>
          <w:b/>
        </w:rPr>
        <w:tab/>
      </w:r>
      <w:proofErr w:type="spellStart"/>
      <w:r>
        <w:rPr>
          <w:b/>
        </w:rPr>
        <w:t>Samþætt</w:t>
      </w:r>
      <w:proofErr w:type="spellEnd"/>
      <w:r>
        <w:rPr>
          <w:b/>
        </w:rPr>
        <w:t xml:space="preserve"> vinnsla varma/kælingar og raforku úr endurnýjanlegu loftkenndu eldsneyti sem er ekki jarðefnaeldsneyti og fljótandi eldsneyti</w:t>
      </w:r>
    </w:p>
    <w:p w14:paraId="7FB32749" w14:textId="77777777" w:rsidR="006D7A4B" w:rsidRDefault="006D7A4B" w:rsidP="006D7A4B">
      <w:pPr>
        <w:pStyle w:val="AnnexGrSeq3"/>
        <w:spacing w:after="120"/>
        <w:ind w:left="504"/>
        <w:jc w:val="both"/>
        <w:rPr>
          <w:szCs w:val="18"/>
        </w:rPr>
      </w:pPr>
      <w:r>
        <w:rPr>
          <w:i/>
        </w:rPr>
        <w:t>Lýsing á starfseminni</w:t>
      </w:r>
    </w:p>
    <w:p w14:paraId="16F70DDD" w14:textId="77777777" w:rsidR="006D7A4B" w:rsidRDefault="006D7A4B" w:rsidP="006D7A4B">
      <w:pPr>
        <w:pStyle w:val="AnnexNormal"/>
        <w:spacing w:after="300"/>
        <w:ind w:left="504"/>
        <w:rPr>
          <w:szCs w:val="18"/>
        </w:rPr>
      </w:pPr>
      <w:r>
        <w:t xml:space="preserve">Bygging og rekstur </w:t>
      </w:r>
      <w:proofErr w:type="spellStart"/>
      <w:r>
        <w:t>samþættra</w:t>
      </w:r>
      <w:proofErr w:type="spellEnd"/>
      <w:r>
        <w:t xml:space="preserve"> varma/kælingar og raforkuvinnslustöðva þar sem notað er loftkennt og fljótandi eldsneyti af endurnýjanlegum uppruna. Þessi starfsemi nær ekki yfir </w:t>
      </w:r>
      <w:proofErr w:type="spellStart"/>
      <w:r>
        <w:t>samþætta</w:t>
      </w:r>
      <w:proofErr w:type="spellEnd"/>
      <w:r>
        <w:t xml:space="preserve"> vinnslu varma/kælingar og raforku þar sem einungis er notað lífgas og fljótandi lífeldsneyti (sjá þátt 4.20 í þessum viðauka).</w:t>
      </w:r>
    </w:p>
    <w:p w14:paraId="1EDB91F5" w14:textId="77777777" w:rsidR="006D7A4B" w:rsidRDefault="006D7A4B" w:rsidP="006D7A4B">
      <w:pPr>
        <w:pStyle w:val="AnnexNormal"/>
        <w:spacing w:after="300"/>
        <w:ind w:left="504"/>
        <w:rPr>
          <w:szCs w:val="18"/>
        </w:rPr>
      </w:pPr>
      <w:r>
        <w:t>Atvinnustarfsemin í þessum flokki gæti tengst nokkrum kóðum atvinnugreinaflokkunar Evrópusambandsins, einkum D35.11 og D35.30, í samræmi við atvinnugreinaflokkunina sem komið var á með reglugerð (EB) nr. 1893/2006.</w:t>
      </w:r>
    </w:p>
    <w:p w14:paraId="687B2018" w14:textId="77777777" w:rsidR="006D7A4B" w:rsidRDefault="006D7A4B" w:rsidP="006D7A4B">
      <w:pPr>
        <w:pStyle w:val="AnnexGrSeq3"/>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6D7A4B" w14:paraId="34365CE0" w14:textId="77777777" w:rsidTr="00A9140F">
        <w:trPr>
          <w:trHeight w:val="280"/>
        </w:trPr>
        <w:tc>
          <w:tcPr>
            <w:tcW w:w="8736" w:type="dxa"/>
            <w:gridSpan w:val="2"/>
            <w:tcBorders>
              <w:bottom w:val="single" w:sz="4" w:space="0" w:color="auto"/>
            </w:tcBorders>
            <w:tcMar>
              <w:left w:w="0" w:type="dxa"/>
              <w:right w:w="60" w:type="dxa"/>
            </w:tcMar>
          </w:tcPr>
          <w:p w14:paraId="568B2C7B" w14:textId="77777777" w:rsidR="006D7A4B" w:rsidRDefault="006D7A4B" w:rsidP="00A9140F">
            <w:pPr>
              <w:pStyle w:val="AnnexTableCellLeft"/>
              <w:spacing w:before="40" w:after="40"/>
              <w:rPr>
                <w:szCs w:val="18"/>
              </w:rPr>
            </w:pPr>
            <w:r>
              <w:t>Verulegt framlag til aðlögunar að loftslagsbreytingum</w:t>
            </w:r>
          </w:p>
        </w:tc>
      </w:tr>
      <w:tr w:rsidR="006D7A4B" w14:paraId="0882A912" w14:textId="77777777" w:rsidTr="00A9140F">
        <w:trPr>
          <w:trHeight w:val="360"/>
        </w:trPr>
        <w:tc>
          <w:tcPr>
            <w:tcW w:w="8736" w:type="dxa"/>
            <w:gridSpan w:val="2"/>
            <w:tcBorders>
              <w:bottom w:val="nil"/>
            </w:tcBorders>
            <w:tcMar>
              <w:left w:w="0" w:type="dxa"/>
              <w:right w:w="60" w:type="dxa"/>
            </w:tcMar>
          </w:tcPr>
          <w:p w14:paraId="2495D053" w14:textId="77777777" w:rsidR="006D7A4B" w:rsidRDefault="006D7A4B" w:rsidP="00A9140F">
            <w:pPr>
              <w:pStyle w:val="AnnexNumberedText"/>
              <w:tabs>
                <w:tab w:val="left" w:pos="396"/>
              </w:tabs>
              <w:spacing w:before="60" w:after="3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2265B68D" w14:textId="77777777" w:rsidR="006D7A4B" w:rsidRDefault="006D7A4B" w:rsidP="00A9140F">
            <w:pPr>
              <w:pStyle w:val="AnnexNumberedText"/>
              <w:tabs>
                <w:tab w:val="left" w:pos="396"/>
              </w:tabs>
              <w:spacing w:after="3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319141E" w14:textId="77777777" w:rsidR="006D7A4B" w:rsidRDefault="006D7A4B" w:rsidP="00A9140F">
            <w:pPr>
              <w:pStyle w:val="AnnexNumberedText"/>
              <w:spacing w:after="3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64259505" w14:textId="77777777" w:rsidR="006D7A4B" w:rsidRDefault="006D7A4B" w:rsidP="00A9140F">
            <w:pPr>
              <w:pStyle w:val="AnnexNumberedText"/>
              <w:spacing w:after="3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0D2BDA8" w14:textId="77777777" w:rsidR="006D7A4B" w:rsidRDefault="006D7A4B" w:rsidP="00A9140F">
            <w:pPr>
              <w:pStyle w:val="AnnexNumberedText"/>
              <w:spacing w:after="300"/>
              <w:rPr>
                <w:szCs w:val="18"/>
              </w:rPr>
            </w:pPr>
            <w:r>
              <w:t>c)</w:t>
            </w:r>
            <w:r>
              <w:tab/>
              <w:t>mat á aðlögunarlausnum sem geta dregið úr greindri efnislegri loftslagsáhættu.</w:t>
            </w:r>
          </w:p>
          <w:p w14:paraId="7FC28B87" w14:textId="77777777" w:rsidR="006D7A4B" w:rsidRDefault="006D7A4B" w:rsidP="00A9140F">
            <w:pPr>
              <w:pStyle w:val="AnnexTableCellLeft"/>
              <w:spacing w:after="3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56FAE68" w14:textId="77777777" w:rsidR="006D7A4B" w:rsidRDefault="006D7A4B"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tc>
      </w:tr>
      <w:tr w:rsidR="006D7A4B" w14:paraId="269FDEFF" w14:textId="77777777" w:rsidTr="00A9140F">
        <w:trPr>
          <w:trHeight w:val="360"/>
        </w:trPr>
        <w:tc>
          <w:tcPr>
            <w:tcW w:w="8736" w:type="dxa"/>
            <w:gridSpan w:val="2"/>
            <w:tcBorders>
              <w:top w:val="nil"/>
            </w:tcBorders>
            <w:tcMar>
              <w:left w:w="0" w:type="dxa"/>
              <w:right w:w="60" w:type="dxa"/>
            </w:tcMar>
          </w:tcPr>
          <w:p w14:paraId="179CD07D" w14:textId="77777777" w:rsidR="006D7A4B" w:rsidRDefault="006D7A4B" w:rsidP="00A9140F">
            <w:pPr>
              <w:pStyle w:val="AnnexNumberedText"/>
              <w:pageBreakBefore/>
              <w:spacing w:after="400"/>
              <w:rPr>
                <w:szCs w:val="18"/>
              </w:rPr>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8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5F700AE" w14:textId="77777777" w:rsidR="006D7A4B" w:rsidRDefault="006D7A4B" w:rsidP="00A9140F">
            <w:pPr>
              <w:pStyle w:val="AnnexNumberedText"/>
              <w:tabs>
                <w:tab w:val="left" w:pos="396"/>
              </w:tabs>
              <w:spacing w:after="4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87"/>
            </w:r>
            <w:r>
              <w:t>), vísindalegt ritrýnt útgefið efni og líkön með opnum aðgangi (</w:t>
            </w:r>
            <w:r>
              <w:rPr>
                <w:rStyle w:val="Tilvsunneanmlsgrein"/>
                <w:sz w:val="18"/>
                <w:szCs w:val="18"/>
              </w:rPr>
              <w:footnoteReference w:id="688"/>
            </w:r>
            <w:r>
              <w:t>) eða gegn greiðslu.</w:t>
            </w:r>
          </w:p>
          <w:p w14:paraId="1FE21909" w14:textId="77777777" w:rsidR="006D7A4B" w:rsidRDefault="006D7A4B" w:rsidP="00A9140F">
            <w:pPr>
              <w:pStyle w:val="AnnexNumberedText"/>
              <w:tabs>
                <w:tab w:val="left" w:pos="396"/>
              </w:tabs>
              <w:spacing w:after="400"/>
              <w:ind w:left="0" w:firstLine="0"/>
              <w:rPr>
                <w:szCs w:val="18"/>
              </w:rPr>
            </w:pPr>
            <w:r>
              <w:t>4.</w:t>
            </w:r>
            <w:r>
              <w:tab/>
              <w:t>Aðlögunarlausnir sem komið er í framkvæmd:</w:t>
            </w:r>
          </w:p>
          <w:p w14:paraId="3FE731A1"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2367D2A5"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689"/>
            </w:r>
            <w:r>
              <w:t>) í forgangi eða treyst er á bláa eða græna innviði (</w:t>
            </w:r>
            <w:r>
              <w:rPr>
                <w:rStyle w:val="Tilvsunneanmlsgrein"/>
                <w:sz w:val="18"/>
                <w:szCs w:val="18"/>
              </w:rPr>
              <w:footnoteReference w:id="690"/>
            </w:r>
            <w:r>
              <w:t>) að því marki sem mögulegt er,</w:t>
            </w:r>
          </w:p>
          <w:p w14:paraId="6108BFA8"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27AD8752"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72D0EDC"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ACB16C6" w14:textId="77777777" w:rsidTr="00A9140F">
        <w:tc>
          <w:tcPr>
            <w:tcW w:w="8736" w:type="dxa"/>
            <w:gridSpan w:val="2"/>
            <w:tcMar>
              <w:top w:w="100" w:type="dxa"/>
              <w:left w:w="0" w:type="dxa"/>
              <w:bottom w:w="100" w:type="dxa"/>
              <w:right w:w="60" w:type="dxa"/>
            </w:tcMar>
          </w:tcPr>
          <w:p w14:paraId="5E3AA4A4" w14:textId="77777777" w:rsidR="006D7A4B" w:rsidRDefault="006D7A4B" w:rsidP="00A9140F">
            <w:pPr>
              <w:pStyle w:val="AnnexTableCellLeft"/>
              <w:rPr>
                <w:szCs w:val="18"/>
              </w:rPr>
            </w:pPr>
            <w:r>
              <w:t>Ekki valda umtalsverðu tjóni</w:t>
            </w:r>
          </w:p>
        </w:tc>
      </w:tr>
      <w:tr w:rsidR="006D7A4B" w14:paraId="0066247C" w14:textId="77777777" w:rsidTr="00A9140F">
        <w:tc>
          <w:tcPr>
            <w:tcW w:w="2940" w:type="dxa"/>
            <w:tcMar>
              <w:top w:w="100" w:type="dxa"/>
              <w:left w:w="0" w:type="dxa"/>
              <w:bottom w:w="100" w:type="dxa"/>
              <w:right w:w="60" w:type="dxa"/>
            </w:tcMar>
          </w:tcPr>
          <w:p w14:paraId="2C3572B0" w14:textId="77777777" w:rsidR="006D7A4B" w:rsidRDefault="006D7A4B" w:rsidP="00A9140F">
            <w:pPr>
              <w:pStyle w:val="AnnexNumberedText"/>
              <w:spacing w:after="0"/>
              <w:ind w:left="293" w:hanging="293"/>
              <w:rPr>
                <w:szCs w:val="18"/>
              </w:rPr>
            </w:pPr>
            <w:r>
              <w:t>1)</w:t>
            </w:r>
            <w:r>
              <w:tab/>
              <w:t>Mildun loftslagsbreytinga</w:t>
            </w:r>
          </w:p>
        </w:tc>
        <w:tc>
          <w:tcPr>
            <w:tcW w:w="5796" w:type="dxa"/>
            <w:tcMar>
              <w:top w:w="100" w:type="dxa"/>
              <w:left w:w="60" w:type="dxa"/>
              <w:bottom w:w="100" w:type="dxa"/>
              <w:right w:w="0" w:type="dxa"/>
            </w:tcMar>
          </w:tcPr>
          <w:p w14:paraId="197D8BBA" w14:textId="77777777" w:rsidR="006D7A4B" w:rsidRDefault="006D7A4B" w:rsidP="00A9140F">
            <w:pPr>
              <w:pStyle w:val="AnnexTableCellLeft"/>
              <w:rPr>
                <w:szCs w:val="18"/>
              </w:rPr>
            </w:pPr>
            <w:r>
              <w:t>Bein losun á gróðurhúsalofttegundum í starfseminni er minni en 270 g CO</w:t>
            </w:r>
            <w:r>
              <w:rPr>
                <w:vertAlign w:val="subscript"/>
              </w:rPr>
              <w:t>2</w:t>
            </w:r>
            <w:r>
              <w:t>e/kWh.</w:t>
            </w:r>
          </w:p>
        </w:tc>
      </w:tr>
      <w:tr w:rsidR="006D7A4B" w14:paraId="317E161A" w14:textId="77777777" w:rsidTr="00A9140F">
        <w:tc>
          <w:tcPr>
            <w:tcW w:w="2940" w:type="dxa"/>
            <w:tcMar>
              <w:top w:w="100" w:type="dxa"/>
              <w:left w:w="0" w:type="dxa"/>
              <w:bottom w:w="100" w:type="dxa"/>
              <w:right w:w="60" w:type="dxa"/>
            </w:tcMar>
          </w:tcPr>
          <w:p w14:paraId="69924837"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96" w:type="dxa"/>
            <w:tcMar>
              <w:top w:w="100" w:type="dxa"/>
              <w:left w:w="60" w:type="dxa"/>
              <w:bottom w:w="100" w:type="dxa"/>
              <w:right w:w="0" w:type="dxa"/>
            </w:tcMar>
          </w:tcPr>
          <w:p w14:paraId="2BE95567"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53DD5858" w14:textId="77777777" w:rsidTr="00A9140F">
        <w:tc>
          <w:tcPr>
            <w:tcW w:w="2940" w:type="dxa"/>
            <w:tcBorders>
              <w:bottom w:val="single" w:sz="4" w:space="0" w:color="auto"/>
            </w:tcBorders>
            <w:tcMar>
              <w:top w:w="100" w:type="dxa"/>
              <w:left w:w="0" w:type="dxa"/>
              <w:bottom w:w="100" w:type="dxa"/>
              <w:right w:w="60" w:type="dxa"/>
            </w:tcMar>
          </w:tcPr>
          <w:p w14:paraId="4D22BA70" w14:textId="77777777" w:rsidR="006D7A4B" w:rsidRDefault="006D7A4B" w:rsidP="00A9140F">
            <w:pPr>
              <w:pStyle w:val="AnnexNumberedText"/>
              <w:spacing w:after="0"/>
              <w:ind w:left="293" w:hanging="293"/>
              <w:rPr>
                <w:szCs w:val="18"/>
              </w:rPr>
            </w:pPr>
            <w:r>
              <w:t>4)</w:t>
            </w:r>
            <w:r>
              <w:tab/>
              <w:t>Umskipti yfir í hringrásarhagkerfi</w:t>
            </w:r>
          </w:p>
        </w:tc>
        <w:tc>
          <w:tcPr>
            <w:tcW w:w="5796" w:type="dxa"/>
            <w:tcBorders>
              <w:bottom w:val="single" w:sz="4" w:space="0" w:color="auto"/>
            </w:tcBorders>
            <w:tcMar>
              <w:top w:w="100" w:type="dxa"/>
              <w:left w:w="60" w:type="dxa"/>
              <w:bottom w:w="100" w:type="dxa"/>
              <w:right w:w="0" w:type="dxa"/>
            </w:tcMar>
          </w:tcPr>
          <w:p w14:paraId="4857301B" w14:textId="77777777" w:rsidR="006D7A4B" w:rsidRDefault="006D7A4B" w:rsidP="00A9140F">
            <w:pPr>
              <w:pStyle w:val="AnnexTableCellLeft"/>
              <w:rPr>
                <w:szCs w:val="18"/>
              </w:rPr>
            </w:pPr>
            <w:r>
              <w:t>Á ekki við</w:t>
            </w:r>
          </w:p>
        </w:tc>
      </w:tr>
      <w:tr w:rsidR="006D7A4B" w14:paraId="3AF6DF38" w14:textId="77777777" w:rsidTr="00A9140F">
        <w:tc>
          <w:tcPr>
            <w:tcW w:w="2940" w:type="dxa"/>
            <w:tcBorders>
              <w:bottom w:val="nil"/>
            </w:tcBorders>
            <w:tcMar>
              <w:top w:w="100" w:type="dxa"/>
              <w:left w:w="0" w:type="dxa"/>
              <w:bottom w:w="100" w:type="dxa"/>
              <w:right w:w="60" w:type="dxa"/>
            </w:tcMar>
          </w:tcPr>
          <w:p w14:paraId="6D930E51" w14:textId="77777777" w:rsidR="006D7A4B" w:rsidRDefault="006D7A4B" w:rsidP="00A9140F">
            <w:pPr>
              <w:pStyle w:val="AnnexNumberedText"/>
              <w:spacing w:after="0"/>
              <w:ind w:left="293" w:hanging="293"/>
              <w:rPr>
                <w:szCs w:val="18"/>
              </w:rPr>
            </w:pPr>
            <w:r>
              <w:t>5)</w:t>
            </w:r>
            <w:r>
              <w:tab/>
              <w:t>Mengunarvarnir og eftirlit með mengun</w:t>
            </w:r>
          </w:p>
        </w:tc>
        <w:tc>
          <w:tcPr>
            <w:tcW w:w="5796" w:type="dxa"/>
            <w:tcBorders>
              <w:bottom w:val="nil"/>
            </w:tcBorders>
            <w:tcMar>
              <w:top w:w="100" w:type="dxa"/>
              <w:left w:w="60" w:type="dxa"/>
              <w:bottom w:w="100" w:type="dxa"/>
              <w:right w:w="0" w:type="dxa"/>
            </w:tcMar>
          </w:tcPr>
          <w:p w14:paraId="3D993E46" w14:textId="77777777" w:rsidR="006D7A4B" w:rsidRDefault="006D7A4B" w:rsidP="00A9140F">
            <w:pPr>
              <w:pStyle w:val="AnnexTableCellLeft"/>
              <w:rPr>
                <w:szCs w:val="18"/>
              </w:rPr>
            </w:pPr>
            <w:r>
              <w:t>Losun fellur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691"/>
            </w:r>
            <w:r>
              <w:t>). Engin umtalsverð yfirfærsluáhrif milli umhverfishólfa eiga sér stað.</w:t>
            </w:r>
          </w:p>
        </w:tc>
      </w:tr>
      <w:tr w:rsidR="006D7A4B" w14:paraId="4B7C9B38" w14:textId="77777777" w:rsidTr="00A9140F">
        <w:tc>
          <w:tcPr>
            <w:tcW w:w="2940" w:type="dxa"/>
            <w:tcBorders>
              <w:top w:val="single" w:sz="4" w:space="0" w:color="auto"/>
            </w:tcBorders>
            <w:tcMar>
              <w:top w:w="100" w:type="dxa"/>
              <w:left w:w="0" w:type="dxa"/>
              <w:bottom w:w="100" w:type="dxa"/>
              <w:right w:w="60" w:type="dxa"/>
            </w:tcMar>
          </w:tcPr>
          <w:p w14:paraId="2BDE2E61" w14:textId="77777777" w:rsidR="006D7A4B" w:rsidRDefault="006D7A4B" w:rsidP="00A9140F">
            <w:pPr>
              <w:pStyle w:val="AnnexTableCellLeft"/>
              <w:pageBreakBefore/>
              <w:rPr>
                <w:szCs w:val="18"/>
              </w:rPr>
            </w:pPr>
          </w:p>
        </w:tc>
        <w:tc>
          <w:tcPr>
            <w:tcW w:w="5796" w:type="dxa"/>
            <w:tcBorders>
              <w:top w:val="single" w:sz="4" w:space="0" w:color="auto"/>
            </w:tcBorders>
            <w:tcMar>
              <w:top w:w="100" w:type="dxa"/>
              <w:left w:w="60" w:type="dxa"/>
              <w:bottom w:w="100" w:type="dxa"/>
              <w:right w:w="0" w:type="dxa"/>
            </w:tcMar>
          </w:tcPr>
          <w:p w14:paraId="05A5FA36" w14:textId="77777777" w:rsidR="006D7A4B" w:rsidRDefault="006D7A4B" w:rsidP="00A9140F">
            <w:pPr>
              <w:pStyle w:val="AnnexTableCellLeft"/>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tc>
      </w:tr>
      <w:tr w:rsidR="006D7A4B" w14:paraId="72AB37FF" w14:textId="77777777" w:rsidTr="00A9140F">
        <w:tc>
          <w:tcPr>
            <w:tcW w:w="2940" w:type="dxa"/>
            <w:tcMar>
              <w:top w:w="100" w:type="dxa"/>
              <w:left w:w="0" w:type="dxa"/>
              <w:bottom w:w="100" w:type="dxa"/>
              <w:right w:w="60" w:type="dxa"/>
            </w:tcMar>
          </w:tcPr>
          <w:p w14:paraId="065B96A1"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96" w:type="dxa"/>
            <w:tcMar>
              <w:top w:w="100" w:type="dxa"/>
              <w:left w:w="60" w:type="dxa"/>
              <w:bottom w:w="100" w:type="dxa"/>
              <w:right w:w="0" w:type="dxa"/>
            </w:tcMar>
          </w:tcPr>
          <w:p w14:paraId="02AE4574" w14:textId="77777777" w:rsidR="006D7A4B" w:rsidRDefault="006D7A4B" w:rsidP="00A9140F">
            <w:pPr>
              <w:pStyle w:val="AnnexTableCellLeft"/>
              <w:rPr>
                <w:szCs w:val="18"/>
              </w:rPr>
            </w:pPr>
            <w:r>
              <w:t>Starfsemin er í samræmi við viðmiðanirnar sem settar eru fram í viðbæti D við þennan viðauka.</w:t>
            </w:r>
          </w:p>
        </w:tc>
      </w:tr>
    </w:tbl>
    <w:p w14:paraId="2D902F12" w14:textId="77777777" w:rsidR="006D7A4B" w:rsidRDefault="006D7A4B" w:rsidP="006D7A4B">
      <w:pPr>
        <w:pStyle w:val="AnnexNumberedText"/>
        <w:spacing w:before="60"/>
        <w:ind w:left="504" w:hanging="504"/>
        <w:rPr>
          <w:szCs w:val="18"/>
        </w:rPr>
      </w:pPr>
      <w:r>
        <w:t>4.20.</w:t>
      </w:r>
      <w:r>
        <w:rPr>
          <w:b/>
        </w:rPr>
        <w:tab/>
      </w:r>
      <w:proofErr w:type="spellStart"/>
      <w:r>
        <w:rPr>
          <w:b/>
        </w:rPr>
        <w:t>Samþætt</w:t>
      </w:r>
      <w:proofErr w:type="spellEnd"/>
      <w:r>
        <w:rPr>
          <w:b/>
        </w:rPr>
        <w:t xml:space="preserve"> vinnsla varma/kælingar og raforku úr líforku</w:t>
      </w:r>
    </w:p>
    <w:p w14:paraId="0F6A92A5" w14:textId="77777777" w:rsidR="006D7A4B" w:rsidRDefault="006D7A4B" w:rsidP="006D7A4B">
      <w:pPr>
        <w:pStyle w:val="AnnexGrSeq3"/>
        <w:spacing w:after="120"/>
        <w:ind w:left="504"/>
        <w:jc w:val="both"/>
        <w:rPr>
          <w:szCs w:val="18"/>
        </w:rPr>
      </w:pPr>
      <w:r>
        <w:rPr>
          <w:i/>
        </w:rPr>
        <w:t>Lýsing á starfseminni</w:t>
      </w:r>
    </w:p>
    <w:p w14:paraId="068873E6" w14:textId="77777777" w:rsidR="006D7A4B" w:rsidRDefault="006D7A4B" w:rsidP="006D7A4B">
      <w:pPr>
        <w:pStyle w:val="AnnexNormal"/>
        <w:ind w:left="504"/>
        <w:rPr>
          <w:szCs w:val="18"/>
        </w:rPr>
      </w:pPr>
      <w:r>
        <w:t xml:space="preserve">Bygging og rekstur stöðva sem eru notaðar til </w:t>
      </w:r>
      <w:proofErr w:type="spellStart"/>
      <w:r>
        <w:t>samþættrar</w:t>
      </w:r>
      <w:proofErr w:type="spellEnd"/>
      <w:r>
        <w:t xml:space="preserve"> vinnslu á varma/kælingu og raforku eingöngu úr lífmassa, lífgasi eða fljótandi lífeldsneyti, að undanskilinni </w:t>
      </w:r>
      <w:proofErr w:type="spellStart"/>
      <w:r>
        <w:t>samþættri</w:t>
      </w:r>
      <w:proofErr w:type="spellEnd"/>
      <w:r>
        <w:t xml:space="preserve"> varma- og raforkuvinnslu úr blöndu af endurnýjanlegu eldsneyti með lífgasi eða fljótandi lífeldsneyti (sjá þátt 4.19 í þessum viðauka).</w:t>
      </w:r>
    </w:p>
    <w:p w14:paraId="3BD2FB9F" w14:textId="77777777" w:rsidR="006D7A4B" w:rsidRDefault="006D7A4B" w:rsidP="006D7A4B">
      <w:pPr>
        <w:pStyle w:val="AnnexNormal"/>
        <w:ind w:left="504"/>
        <w:rPr>
          <w:szCs w:val="18"/>
        </w:rPr>
      </w:pPr>
      <w:r>
        <w:t>Atvinnustarfsemin í þessum flokki gæti tengst nokkrum kóðum atvinnugreinaflokkunar Evrópusambandsins, einkum D35.11 og D35.30, í samræmi við atvinnugreinaflokkunina sem komið var á með reglugerð (EB) nr. 1893/2006.</w:t>
      </w:r>
    </w:p>
    <w:p w14:paraId="280BDE07" w14:textId="77777777" w:rsidR="006D7A4B" w:rsidRDefault="006D7A4B" w:rsidP="006D7A4B">
      <w:pPr>
        <w:pStyle w:val="AnnexGrSeq3"/>
        <w:spacing w:after="300"/>
        <w:ind w:left="504"/>
        <w:jc w:val="both"/>
        <w:rPr>
          <w:szCs w:val="18"/>
        </w:rPr>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6D7A4B" w14:paraId="0081E1C9" w14:textId="77777777" w:rsidTr="00A9140F">
        <w:trPr>
          <w:trHeight w:val="360"/>
        </w:trPr>
        <w:tc>
          <w:tcPr>
            <w:tcW w:w="8736" w:type="dxa"/>
            <w:gridSpan w:val="2"/>
            <w:tcBorders>
              <w:top w:val="nil"/>
              <w:bottom w:val="nil"/>
            </w:tcBorders>
            <w:tcMar>
              <w:left w:w="0" w:type="dxa"/>
              <w:right w:w="60" w:type="dxa"/>
            </w:tcMar>
          </w:tcPr>
          <w:p w14:paraId="6A516F28" w14:textId="77777777" w:rsidR="006D7A4B" w:rsidRDefault="006D7A4B" w:rsidP="00A9140F">
            <w:pPr>
              <w:pStyle w:val="AnnexNumberedText"/>
              <w:tabs>
                <w:tab w:val="left" w:pos="396"/>
              </w:tabs>
              <w:spacing w:after="16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51224FB6" w14:textId="77777777" w:rsidR="006D7A4B" w:rsidRDefault="006D7A4B" w:rsidP="00A9140F">
            <w:pPr>
              <w:pStyle w:val="AnnexNumberedText"/>
              <w:tabs>
                <w:tab w:val="left" w:pos="396"/>
              </w:tabs>
              <w:spacing w:after="16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C58CE76" w14:textId="77777777" w:rsidR="006D7A4B" w:rsidRDefault="006D7A4B" w:rsidP="00A9140F">
            <w:pPr>
              <w:pStyle w:val="AnnexNumberedText"/>
              <w:spacing w:after="160"/>
              <w:rPr>
                <w:szCs w:val="18"/>
              </w:rPr>
            </w:pPr>
            <w:r>
              <w:t>a)</w:t>
            </w:r>
            <w:r>
              <w:tab/>
              <w:t>skimun á starfseminni til að greina hvaða efnislega loftslagsáhætta úr skránni í viðbæti A við þennan viðauka getur haft áhrif á árangurinn af atvinnustarfseminni á væntum líftíma hennar,</w:t>
            </w:r>
          </w:p>
          <w:p w14:paraId="65F55A6F" w14:textId="77777777" w:rsidR="006D7A4B" w:rsidRDefault="006D7A4B" w:rsidP="00A9140F">
            <w:pPr>
              <w:pStyle w:val="AnnexNumberedText"/>
              <w:spacing w:after="16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09B3ECD" w14:textId="77777777" w:rsidR="006D7A4B" w:rsidRDefault="006D7A4B" w:rsidP="00A9140F">
            <w:pPr>
              <w:pStyle w:val="AnnexNumberedText"/>
              <w:spacing w:after="160"/>
              <w:rPr>
                <w:szCs w:val="18"/>
              </w:rPr>
            </w:pPr>
            <w:r>
              <w:t>c)</w:t>
            </w:r>
            <w:r>
              <w:tab/>
              <w:t>mat á aðlögunarlausnum sem geta dregið úr greindri efnislegri loftslagsáhættu.</w:t>
            </w:r>
          </w:p>
          <w:p w14:paraId="2EC4F638" w14:textId="77777777" w:rsidR="006D7A4B" w:rsidRDefault="006D7A4B" w:rsidP="00A9140F">
            <w:pPr>
              <w:pStyle w:val="AnnexTableCellLeft"/>
              <w:spacing w:after="160"/>
              <w:ind w:left="279"/>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5526A194" w14:textId="77777777" w:rsidR="006D7A4B" w:rsidRDefault="006D7A4B" w:rsidP="00A9140F">
            <w:pPr>
              <w:pStyle w:val="AnnexNumberedText"/>
              <w:spacing w:after="1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6117F6F" w14:textId="77777777" w:rsidR="006D7A4B" w:rsidRDefault="006D7A4B" w:rsidP="00A9140F">
            <w:pPr>
              <w:pStyle w:val="AnnexNumberedText"/>
              <w:spacing w:after="1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692"/>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852A8E8" w14:textId="77777777" w:rsidR="006D7A4B" w:rsidRDefault="006D7A4B" w:rsidP="00A9140F">
            <w:pPr>
              <w:pStyle w:val="AnnexNumberedText"/>
              <w:tabs>
                <w:tab w:val="left" w:pos="396"/>
              </w:tabs>
              <w:spacing w:after="1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693"/>
            </w:r>
            <w:r>
              <w:t>), vísindalegt ritrýnt útgefið efni og líkön með opnum aðgangi (</w:t>
            </w:r>
            <w:r>
              <w:rPr>
                <w:rStyle w:val="Tilvsunneanmlsgrein"/>
                <w:sz w:val="18"/>
                <w:szCs w:val="18"/>
              </w:rPr>
              <w:footnoteReference w:id="694"/>
            </w:r>
            <w:r>
              <w:t>) eða gegn greiðslu.</w:t>
            </w:r>
          </w:p>
          <w:p w14:paraId="06268F1F" w14:textId="77777777" w:rsidR="006D7A4B" w:rsidRDefault="006D7A4B" w:rsidP="00A9140F">
            <w:pPr>
              <w:pStyle w:val="AnnexNumberedText"/>
              <w:tabs>
                <w:tab w:val="left" w:pos="396"/>
              </w:tabs>
              <w:spacing w:after="160"/>
              <w:ind w:left="0" w:firstLine="0"/>
              <w:rPr>
                <w:szCs w:val="18"/>
              </w:rPr>
            </w:pPr>
            <w:r>
              <w:t>4.</w:t>
            </w:r>
            <w:r>
              <w:tab/>
              <w:t>Aðlögunarlausnir sem komið er í framkvæmd:</w:t>
            </w:r>
          </w:p>
          <w:p w14:paraId="104D4CA4" w14:textId="77777777" w:rsidR="006D7A4B" w:rsidRDefault="006D7A4B"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tc>
      </w:tr>
      <w:tr w:rsidR="006D7A4B" w14:paraId="6A4FCD94" w14:textId="77777777" w:rsidTr="00A9140F">
        <w:trPr>
          <w:trHeight w:val="360"/>
        </w:trPr>
        <w:tc>
          <w:tcPr>
            <w:tcW w:w="8736" w:type="dxa"/>
            <w:gridSpan w:val="2"/>
            <w:tcBorders>
              <w:top w:val="nil"/>
            </w:tcBorders>
            <w:tcMar>
              <w:left w:w="0" w:type="dxa"/>
              <w:right w:w="60" w:type="dxa"/>
            </w:tcMar>
          </w:tcPr>
          <w:p w14:paraId="11BF83F6" w14:textId="77777777" w:rsidR="006D7A4B" w:rsidRDefault="006D7A4B" w:rsidP="00A9140F">
            <w:pPr>
              <w:pStyle w:val="AnnexNumberedText"/>
              <w:pageBreakBefore/>
              <w:spacing w:after="500"/>
              <w:rPr>
                <w:szCs w:val="18"/>
              </w:rPr>
            </w:pPr>
            <w:r>
              <w:lastRenderedPageBreak/>
              <w:t>b)</w:t>
            </w:r>
            <w:r>
              <w:tab/>
              <w:t>eru með náttúrumiðaðar lausnir (</w:t>
            </w:r>
            <w:r>
              <w:rPr>
                <w:rStyle w:val="Tilvsunneanmlsgrein"/>
                <w:sz w:val="18"/>
                <w:szCs w:val="18"/>
              </w:rPr>
              <w:footnoteReference w:id="695"/>
            </w:r>
            <w:r>
              <w:t>) í forgangi eða treyst er á bláa eða græna innviði (</w:t>
            </w:r>
            <w:r>
              <w:rPr>
                <w:rStyle w:val="Tilvsunneanmlsgrein"/>
                <w:sz w:val="18"/>
                <w:szCs w:val="18"/>
              </w:rPr>
              <w:footnoteReference w:id="696"/>
            </w:r>
            <w:r>
              <w:t>) að því marki sem mögulegt er,</w:t>
            </w:r>
          </w:p>
          <w:p w14:paraId="7B3620B9" w14:textId="77777777" w:rsidR="006D7A4B" w:rsidRDefault="006D7A4B" w:rsidP="00A9140F">
            <w:pPr>
              <w:pStyle w:val="AnnexNumberedText"/>
              <w:spacing w:after="500"/>
              <w:rPr>
                <w:szCs w:val="18"/>
              </w:rPr>
            </w:pPr>
            <w:r>
              <w:t>c)</w:t>
            </w:r>
            <w:r>
              <w:tab/>
              <w:t>eru í samræmi við staðbundnar, geirabundnar, svæðisbundnar eða landsbundnar aðlögunarstefnur og -áætlanir,</w:t>
            </w:r>
          </w:p>
          <w:p w14:paraId="669252ED" w14:textId="77777777" w:rsidR="006D7A4B" w:rsidRDefault="006D7A4B" w:rsidP="00A9140F">
            <w:pPr>
              <w:pStyle w:val="AnnexNumberedText"/>
              <w:spacing w:after="5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6843E1E"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1023F50" w14:textId="77777777" w:rsidTr="00A9140F">
        <w:tc>
          <w:tcPr>
            <w:tcW w:w="8736" w:type="dxa"/>
            <w:gridSpan w:val="2"/>
            <w:tcMar>
              <w:top w:w="140" w:type="dxa"/>
              <w:left w:w="0" w:type="dxa"/>
              <w:bottom w:w="140" w:type="dxa"/>
              <w:right w:w="60" w:type="dxa"/>
            </w:tcMar>
          </w:tcPr>
          <w:p w14:paraId="128E87F3" w14:textId="77777777" w:rsidR="006D7A4B" w:rsidRDefault="006D7A4B" w:rsidP="00A9140F">
            <w:pPr>
              <w:pStyle w:val="AnnexTableCellLeft"/>
              <w:rPr>
                <w:szCs w:val="18"/>
              </w:rPr>
            </w:pPr>
            <w:r>
              <w:t>Ekki valda umtalsverðu tjóni</w:t>
            </w:r>
          </w:p>
        </w:tc>
      </w:tr>
      <w:tr w:rsidR="006D7A4B" w14:paraId="0EDC27DF" w14:textId="77777777" w:rsidTr="00A9140F">
        <w:tc>
          <w:tcPr>
            <w:tcW w:w="2952" w:type="dxa"/>
            <w:tcMar>
              <w:top w:w="140" w:type="dxa"/>
              <w:left w:w="0" w:type="dxa"/>
              <w:bottom w:w="140" w:type="dxa"/>
              <w:right w:w="60" w:type="dxa"/>
            </w:tcMar>
          </w:tcPr>
          <w:p w14:paraId="4E437EDC" w14:textId="77777777" w:rsidR="006D7A4B" w:rsidRDefault="006D7A4B" w:rsidP="00A9140F">
            <w:pPr>
              <w:pStyle w:val="AnnexNumberedText"/>
              <w:spacing w:after="0"/>
              <w:ind w:left="293" w:hanging="293"/>
              <w:rPr>
                <w:szCs w:val="18"/>
              </w:rPr>
            </w:pPr>
            <w:r>
              <w:t>1)</w:t>
            </w:r>
            <w:r>
              <w:tab/>
              <w:t>Mildun loftslagsbreytinga</w:t>
            </w:r>
          </w:p>
        </w:tc>
        <w:tc>
          <w:tcPr>
            <w:tcW w:w="5784" w:type="dxa"/>
            <w:tcMar>
              <w:top w:w="140" w:type="dxa"/>
              <w:left w:w="60" w:type="dxa"/>
              <w:bottom w:w="140" w:type="dxa"/>
              <w:right w:w="0" w:type="dxa"/>
            </w:tcMar>
          </w:tcPr>
          <w:p w14:paraId="0E668A81" w14:textId="77777777" w:rsidR="006D7A4B" w:rsidRDefault="006D7A4B" w:rsidP="00A9140F">
            <w:pPr>
              <w:pStyle w:val="AnnexTableCellLeft"/>
              <w:rPr>
                <w:szCs w:val="18"/>
              </w:rPr>
            </w:pPr>
            <w:r>
              <w:t>Starfsemin uppfyllir kröfur sem varða sjálfbærni, minnkun á losun gróðurhúsalofttegunda og skilvirkni sem mælt er fyrir um í 29. gr. tilskipunar 2018/2001.</w:t>
            </w:r>
          </w:p>
        </w:tc>
      </w:tr>
      <w:tr w:rsidR="006D7A4B" w14:paraId="2E6CB09C" w14:textId="77777777" w:rsidTr="00A9140F">
        <w:tc>
          <w:tcPr>
            <w:tcW w:w="2952" w:type="dxa"/>
            <w:tcMar>
              <w:top w:w="140" w:type="dxa"/>
              <w:left w:w="0" w:type="dxa"/>
              <w:bottom w:w="140" w:type="dxa"/>
              <w:right w:w="60" w:type="dxa"/>
            </w:tcMar>
          </w:tcPr>
          <w:p w14:paraId="2EF2418C"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784" w:type="dxa"/>
            <w:tcMar>
              <w:top w:w="140" w:type="dxa"/>
              <w:left w:w="60" w:type="dxa"/>
              <w:bottom w:w="140" w:type="dxa"/>
              <w:right w:w="0" w:type="dxa"/>
            </w:tcMar>
          </w:tcPr>
          <w:p w14:paraId="1EC95FCB"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774015A4" w14:textId="77777777" w:rsidTr="00A9140F">
        <w:tc>
          <w:tcPr>
            <w:tcW w:w="2952" w:type="dxa"/>
            <w:tcBorders>
              <w:bottom w:val="single" w:sz="4" w:space="0" w:color="auto"/>
            </w:tcBorders>
            <w:tcMar>
              <w:top w:w="140" w:type="dxa"/>
              <w:left w:w="0" w:type="dxa"/>
              <w:bottom w:w="140" w:type="dxa"/>
              <w:right w:w="60" w:type="dxa"/>
            </w:tcMar>
          </w:tcPr>
          <w:p w14:paraId="1AC01D8D" w14:textId="77777777" w:rsidR="006D7A4B" w:rsidRDefault="006D7A4B" w:rsidP="00A9140F">
            <w:pPr>
              <w:pStyle w:val="AnnexNumberedText"/>
              <w:spacing w:after="0"/>
              <w:ind w:left="293" w:hanging="293"/>
              <w:rPr>
                <w:szCs w:val="18"/>
              </w:rPr>
            </w:pPr>
            <w:r>
              <w:t>4)</w:t>
            </w:r>
            <w:r>
              <w:tab/>
              <w:t>Umskipti yfir í hringrásarhagkerfi</w:t>
            </w:r>
          </w:p>
        </w:tc>
        <w:tc>
          <w:tcPr>
            <w:tcW w:w="5784" w:type="dxa"/>
            <w:tcBorders>
              <w:bottom w:val="single" w:sz="4" w:space="0" w:color="auto"/>
            </w:tcBorders>
            <w:tcMar>
              <w:top w:w="140" w:type="dxa"/>
              <w:left w:w="60" w:type="dxa"/>
              <w:bottom w:w="140" w:type="dxa"/>
              <w:right w:w="0" w:type="dxa"/>
            </w:tcMar>
          </w:tcPr>
          <w:p w14:paraId="573A6BA2" w14:textId="77777777" w:rsidR="006D7A4B" w:rsidRDefault="006D7A4B" w:rsidP="00A9140F">
            <w:pPr>
              <w:pStyle w:val="AnnexTableCellLeft"/>
              <w:rPr>
                <w:szCs w:val="18"/>
              </w:rPr>
            </w:pPr>
            <w:r>
              <w:t>Á ekki við</w:t>
            </w:r>
          </w:p>
        </w:tc>
      </w:tr>
      <w:tr w:rsidR="006D7A4B" w14:paraId="4D4CF5B3" w14:textId="77777777" w:rsidTr="00A9140F">
        <w:tc>
          <w:tcPr>
            <w:tcW w:w="2952" w:type="dxa"/>
            <w:tcBorders>
              <w:bottom w:val="nil"/>
            </w:tcBorders>
            <w:tcMar>
              <w:top w:w="140" w:type="dxa"/>
              <w:left w:w="0" w:type="dxa"/>
              <w:bottom w:w="140" w:type="dxa"/>
              <w:right w:w="60" w:type="dxa"/>
            </w:tcMar>
          </w:tcPr>
          <w:p w14:paraId="708B3514" w14:textId="77777777" w:rsidR="006D7A4B" w:rsidRDefault="006D7A4B" w:rsidP="00A9140F">
            <w:pPr>
              <w:pStyle w:val="AnnexNumberedText"/>
              <w:spacing w:after="0"/>
              <w:ind w:left="293" w:hanging="293"/>
              <w:rPr>
                <w:szCs w:val="18"/>
              </w:rPr>
            </w:pPr>
            <w:r>
              <w:t>5)</w:t>
            </w:r>
            <w:r>
              <w:tab/>
              <w:t>Mengunarvarnir og eftirlit með mengun</w:t>
            </w:r>
          </w:p>
        </w:tc>
        <w:tc>
          <w:tcPr>
            <w:tcW w:w="5784" w:type="dxa"/>
            <w:tcBorders>
              <w:bottom w:val="nil"/>
            </w:tcBorders>
            <w:tcMar>
              <w:top w:w="140" w:type="dxa"/>
              <w:left w:w="60" w:type="dxa"/>
              <w:bottom w:w="140" w:type="dxa"/>
              <w:right w:w="0" w:type="dxa"/>
            </w:tcMar>
          </w:tcPr>
          <w:p w14:paraId="27802DE3" w14:textId="77777777" w:rsidR="006D7A4B" w:rsidRDefault="006D7A4B" w:rsidP="00A9140F">
            <w:pPr>
              <w:pStyle w:val="AnnexTableCellLeft"/>
              <w:spacing w:after="400"/>
              <w:rPr>
                <w:szCs w:val="18"/>
              </w:rPr>
            </w:pPr>
            <w:r>
              <w:t>Að því er varðar stöðvar sem falla undir gildissvið tilskipunar 2010/75/ESB fellur losun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697"/>
            </w:r>
            <w:r>
              <w:t>), um leið og tryggt er að engin umtalsverð yfirfærsluáhrif milli umhverfishólfa eigi sér stað.</w:t>
            </w:r>
          </w:p>
          <w:p w14:paraId="7B6D2D69" w14:textId="77777777" w:rsidR="006D7A4B" w:rsidRDefault="006D7A4B" w:rsidP="00A9140F">
            <w:pPr>
              <w:pStyle w:val="AnnexTableCellLeft"/>
              <w:spacing w:after="400"/>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p w14:paraId="26740E15" w14:textId="77777777" w:rsidR="006D7A4B" w:rsidRDefault="006D7A4B" w:rsidP="00A9140F">
            <w:pPr>
              <w:pStyle w:val="AnnexTableCellLeft"/>
              <w:rPr>
                <w:szCs w:val="18"/>
              </w:rPr>
            </w:pPr>
            <w:r>
              <w:t>Að því er varðar stöðvar á svæðum eða hlutum svæða sem uppfylla ekki viðmiðunarmörkin fyrir loftgæði, sem mælt er fyrir um í tilskipun 2008/50/EB, er tekið tilliti til niðurstaðna upplýsingaskiptanna (</w:t>
            </w:r>
            <w:r>
              <w:rPr>
                <w:rStyle w:val="Tilvsunneanmlsgrein"/>
                <w:sz w:val="18"/>
                <w:szCs w:val="18"/>
              </w:rPr>
              <w:footnoteReference w:id="698"/>
            </w:r>
            <w:r>
              <w:t>) sem framkvæmdastjórnin birtir í samræmi við 9. og 10. mgr. 6. gr. tilskipunar (ESB) 2015/2193.</w:t>
            </w:r>
          </w:p>
        </w:tc>
      </w:tr>
      <w:tr w:rsidR="006D7A4B" w14:paraId="70816936" w14:textId="77777777" w:rsidTr="00A9140F">
        <w:tc>
          <w:tcPr>
            <w:tcW w:w="2952" w:type="dxa"/>
            <w:tcBorders>
              <w:top w:val="single" w:sz="4" w:space="0" w:color="auto"/>
            </w:tcBorders>
            <w:tcMar>
              <w:top w:w="100" w:type="dxa"/>
              <w:left w:w="0" w:type="dxa"/>
              <w:bottom w:w="100" w:type="dxa"/>
              <w:right w:w="60" w:type="dxa"/>
            </w:tcMar>
          </w:tcPr>
          <w:p w14:paraId="1C7AA51A" w14:textId="77777777" w:rsidR="006D7A4B" w:rsidRDefault="006D7A4B" w:rsidP="00A9140F">
            <w:pPr>
              <w:pStyle w:val="AnnexTableCellLeft"/>
              <w:pageBreakBefore/>
              <w:rPr>
                <w:szCs w:val="18"/>
              </w:rPr>
            </w:pPr>
          </w:p>
        </w:tc>
        <w:tc>
          <w:tcPr>
            <w:tcW w:w="5784" w:type="dxa"/>
            <w:tcBorders>
              <w:top w:val="single" w:sz="4" w:space="0" w:color="auto"/>
            </w:tcBorders>
            <w:tcMar>
              <w:top w:w="100" w:type="dxa"/>
              <w:left w:w="60" w:type="dxa"/>
              <w:bottom w:w="100" w:type="dxa"/>
              <w:right w:w="0" w:type="dxa"/>
            </w:tcMar>
          </w:tcPr>
          <w:p w14:paraId="281C9E74" w14:textId="77777777" w:rsidR="006D7A4B" w:rsidRDefault="006D7A4B" w:rsidP="00A9140F">
            <w:pPr>
              <w:pStyle w:val="AnnexTableCellLeft"/>
              <w:spacing w:after="120"/>
              <w:rPr>
                <w:szCs w:val="18"/>
              </w:rPr>
            </w:pPr>
            <w:r>
              <w:t xml:space="preserve">Ef um er að ræða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í II. viðauka við reglugerð (ESB) 2019/1009 eða landsbundnar reglur um áburð eða jarðvegsbæta til notkunar í landbúnaði.</w:t>
            </w:r>
          </w:p>
          <w:p w14:paraId="6CF790F8" w14:textId="77777777" w:rsidR="006D7A4B" w:rsidRDefault="006D7A4B" w:rsidP="00A9140F">
            <w:pPr>
              <w:pStyle w:val="AnnexTableCellLeft"/>
              <w:rPr>
                <w:szCs w:val="18"/>
              </w:rPr>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699"/>
            </w:r>
            <w:r>
              <w:t>). Engin umtalsverð yfirfærsluáhrif milli umhverfishólfa eiga sér stað.</w:t>
            </w:r>
          </w:p>
        </w:tc>
      </w:tr>
      <w:tr w:rsidR="006D7A4B" w14:paraId="0B35DA9E" w14:textId="77777777" w:rsidTr="00A9140F">
        <w:tc>
          <w:tcPr>
            <w:tcW w:w="2952" w:type="dxa"/>
            <w:tcMar>
              <w:top w:w="100" w:type="dxa"/>
              <w:left w:w="0" w:type="dxa"/>
              <w:bottom w:w="100" w:type="dxa"/>
              <w:right w:w="60" w:type="dxa"/>
            </w:tcMar>
          </w:tcPr>
          <w:p w14:paraId="2FAE24D8"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784" w:type="dxa"/>
            <w:tcMar>
              <w:top w:w="100" w:type="dxa"/>
              <w:left w:w="60" w:type="dxa"/>
              <w:bottom w:w="100" w:type="dxa"/>
              <w:right w:w="0" w:type="dxa"/>
            </w:tcMar>
          </w:tcPr>
          <w:p w14:paraId="46C83F6C" w14:textId="77777777" w:rsidR="006D7A4B" w:rsidRDefault="006D7A4B" w:rsidP="00A9140F">
            <w:pPr>
              <w:pStyle w:val="AnnexTableCellLeft"/>
              <w:rPr>
                <w:szCs w:val="18"/>
              </w:rPr>
            </w:pPr>
            <w:r>
              <w:t>Starfsemin er í samræmi við viðmiðanirnar sem settar eru fram í viðbæti D við þennan viðauka.</w:t>
            </w:r>
          </w:p>
        </w:tc>
      </w:tr>
    </w:tbl>
    <w:p w14:paraId="2C10A4B5" w14:textId="77777777" w:rsidR="006D7A4B" w:rsidRDefault="006D7A4B" w:rsidP="006D7A4B">
      <w:pPr>
        <w:pStyle w:val="AnnexNumberedText"/>
        <w:spacing w:before="60" w:after="200"/>
        <w:ind w:left="504" w:hanging="504"/>
      </w:pPr>
      <w:r>
        <w:t>4.21.</w:t>
      </w:r>
      <w:r>
        <w:rPr>
          <w:b/>
        </w:rPr>
        <w:tab/>
        <w:t>Framleiðsla á varma/kælingu úr sólarvarmaorku</w:t>
      </w:r>
    </w:p>
    <w:p w14:paraId="158B8E45" w14:textId="77777777" w:rsidR="006D7A4B" w:rsidRDefault="006D7A4B" w:rsidP="006D7A4B">
      <w:pPr>
        <w:pStyle w:val="AnnexGrSeq3"/>
        <w:ind w:left="504"/>
        <w:jc w:val="both"/>
      </w:pPr>
      <w:r>
        <w:rPr>
          <w:i/>
        </w:rPr>
        <w:t>Lýsing á starfseminni</w:t>
      </w:r>
    </w:p>
    <w:p w14:paraId="25DDB0BB" w14:textId="77777777" w:rsidR="006D7A4B" w:rsidRDefault="006D7A4B" w:rsidP="006D7A4B">
      <w:pPr>
        <w:pStyle w:val="AnnexNormal"/>
        <w:ind w:left="504"/>
      </w:pPr>
      <w:r>
        <w:t>Uppbygging og rekstur stöðva sem framleiða varma/kælingu úr sólarvarmaorkutækni.</w:t>
      </w:r>
    </w:p>
    <w:p w14:paraId="44D1AA3C" w14:textId="77777777" w:rsidR="006D7A4B" w:rsidRDefault="006D7A4B" w:rsidP="006D7A4B">
      <w:pPr>
        <w:pStyle w:val="AnnexNormal"/>
        <w:ind w:left="504"/>
      </w:pPr>
      <w:r>
        <w:t>Ef atvinnustarfsemi er óaðskiljanlegur hluti af „Uppsetning, viðhald og viðgerðir á tækni á sviði endurnýjanlegrar orku“, eins og um getur í þætti 7.6 í þessum viðauka, gilda tæknilegu matsviðmiðin sem tilgreind eru í þætti 7.6.</w:t>
      </w:r>
    </w:p>
    <w:p w14:paraId="3A7C9165" w14:textId="77777777" w:rsidR="006D7A4B" w:rsidRDefault="006D7A4B" w:rsidP="006D7A4B">
      <w:pPr>
        <w:pStyle w:val="AnnexNormal"/>
        <w:ind w:left="504"/>
      </w:pPr>
      <w:r>
        <w:t>Atvinnustarfsemin í þessum flokki gæti tengst kóða atvinnugreinaflokkunar Evrópusambandsins D35.30 í samræmi við atvinnugreinaflokkunina sem komið var á með reglugerð (EB) nr. 1893/2006.</w:t>
      </w:r>
    </w:p>
    <w:p w14:paraId="57E2A21D"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81"/>
        <w:gridCol w:w="5755"/>
      </w:tblGrid>
      <w:tr w:rsidR="006D7A4B" w14:paraId="2D321D7B" w14:textId="77777777" w:rsidTr="00A9140F">
        <w:trPr>
          <w:trHeight w:val="240"/>
        </w:trPr>
        <w:tc>
          <w:tcPr>
            <w:tcW w:w="8736" w:type="dxa"/>
            <w:gridSpan w:val="2"/>
            <w:tcBorders>
              <w:bottom w:val="single" w:sz="4" w:space="0" w:color="auto"/>
            </w:tcBorders>
            <w:tcMar>
              <w:left w:w="0" w:type="dxa"/>
              <w:right w:w="60" w:type="dxa"/>
            </w:tcMar>
          </w:tcPr>
          <w:p w14:paraId="2C7204E2" w14:textId="77777777" w:rsidR="006D7A4B" w:rsidRDefault="006D7A4B" w:rsidP="00A9140F">
            <w:pPr>
              <w:pStyle w:val="AnnexTableCellLeft"/>
              <w:spacing w:before="40" w:after="40"/>
            </w:pPr>
            <w:r>
              <w:t>Verulegt framlag til aðlögunar að loftslagsbreytingum</w:t>
            </w:r>
          </w:p>
        </w:tc>
      </w:tr>
      <w:tr w:rsidR="006D7A4B" w14:paraId="0F5F4836" w14:textId="77777777" w:rsidTr="00A9140F">
        <w:trPr>
          <w:trHeight w:val="360"/>
        </w:trPr>
        <w:tc>
          <w:tcPr>
            <w:tcW w:w="8736" w:type="dxa"/>
            <w:gridSpan w:val="2"/>
            <w:tcBorders>
              <w:bottom w:val="nil"/>
            </w:tcBorders>
            <w:tcMar>
              <w:left w:w="0" w:type="dxa"/>
              <w:right w:w="60" w:type="dxa"/>
            </w:tcMar>
          </w:tcPr>
          <w:p w14:paraId="76A1C72E" w14:textId="77777777" w:rsidR="006D7A4B" w:rsidRDefault="006D7A4B"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37632533" w14:textId="77777777" w:rsidR="006D7A4B" w:rsidRDefault="006D7A4B"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196E82C" w14:textId="77777777" w:rsidR="006D7A4B" w:rsidRDefault="006D7A4B"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4555C73C" w14:textId="77777777" w:rsidR="006D7A4B" w:rsidRDefault="006D7A4B" w:rsidP="00A9140F">
            <w:pPr>
              <w:pStyle w:val="AnnexNumberedText"/>
              <w:spacing w:after="2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06C92E54" w14:textId="77777777" w:rsidR="006D7A4B" w:rsidRDefault="006D7A4B" w:rsidP="00A9140F">
            <w:pPr>
              <w:pStyle w:val="AnnexNumberedText"/>
              <w:spacing w:after="200"/>
            </w:pPr>
            <w:r>
              <w:t>c)</w:t>
            </w:r>
            <w:r>
              <w:tab/>
              <w:t>mat á aðlögunarlausnum sem geta dregið úr greindri efnislegri loftslagsáhættu.</w:t>
            </w:r>
          </w:p>
          <w:p w14:paraId="6F0304B6" w14:textId="77777777" w:rsidR="006D7A4B" w:rsidRDefault="006D7A4B" w:rsidP="00A9140F">
            <w:pPr>
              <w:pStyle w:val="AnnexTableCellLeft"/>
              <w:spacing w:after="200"/>
            </w:pPr>
            <w:r>
              <w:t xml:space="preserve">Loftslagsáhættu- og veikleikamatið er í réttu hlutfalli við umfang starfseminnar og </w:t>
            </w:r>
            <w:proofErr w:type="spellStart"/>
            <w:r>
              <w:t>væntan</w:t>
            </w:r>
            <w:proofErr w:type="spellEnd"/>
            <w:r>
              <w:t xml:space="preserve"> líftíma hennar þannig að:</w:t>
            </w:r>
          </w:p>
          <w:p w14:paraId="61D89CCC" w14:textId="77777777" w:rsidR="006D7A4B" w:rsidRDefault="006D7A4B" w:rsidP="00A9140F">
            <w:pPr>
              <w:pStyle w:val="AnnexNumberedText"/>
              <w:spacing w:after="2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E04207D" w14:textId="77777777" w:rsidR="006D7A4B" w:rsidRDefault="006D7A4B"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0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44E87387" w14:textId="77777777" w:rsidTr="00A9140F">
        <w:trPr>
          <w:trHeight w:val="360"/>
        </w:trPr>
        <w:tc>
          <w:tcPr>
            <w:tcW w:w="8736" w:type="dxa"/>
            <w:gridSpan w:val="2"/>
            <w:tcBorders>
              <w:top w:val="nil"/>
            </w:tcBorders>
            <w:tcMar>
              <w:left w:w="0" w:type="dxa"/>
              <w:right w:w="60" w:type="dxa"/>
            </w:tcMar>
          </w:tcPr>
          <w:p w14:paraId="5561E934" w14:textId="77777777" w:rsidR="006D7A4B" w:rsidRDefault="006D7A4B" w:rsidP="00A9140F">
            <w:pPr>
              <w:pStyle w:val="AnnexNumberedText"/>
              <w:pageBreakBefore/>
              <w:tabs>
                <w:tab w:val="left" w:pos="396"/>
              </w:tabs>
              <w:spacing w:after="3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01"/>
            </w:r>
            <w:r>
              <w:t>), vísindalegt ritrýnt útgefið efni og líkön með opnum aðgangi (</w:t>
            </w:r>
            <w:r>
              <w:rPr>
                <w:rStyle w:val="Tilvsunneanmlsgrein"/>
                <w:sz w:val="18"/>
                <w:szCs w:val="18"/>
              </w:rPr>
              <w:footnoteReference w:id="702"/>
            </w:r>
            <w:r>
              <w:t>) eða gegn greiðslu.</w:t>
            </w:r>
          </w:p>
          <w:p w14:paraId="283C4277"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2ACE8927" w14:textId="77777777" w:rsidR="006D7A4B" w:rsidRDefault="006D7A4B"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5070604E" w14:textId="77777777" w:rsidR="006D7A4B" w:rsidRDefault="006D7A4B" w:rsidP="00A9140F">
            <w:pPr>
              <w:pStyle w:val="AnnexNumberedText"/>
              <w:spacing w:after="300"/>
              <w:rPr>
                <w:szCs w:val="18"/>
              </w:rPr>
            </w:pPr>
            <w:r>
              <w:t>b)</w:t>
            </w:r>
            <w:r>
              <w:tab/>
              <w:t>eru með náttúrumiðaðar lausnir (</w:t>
            </w:r>
            <w:r>
              <w:rPr>
                <w:rStyle w:val="Tilvsunneanmlsgrein"/>
                <w:sz w:val="18"/>
                <w:szCs w:val="18"/>
              </w:rPr>
              <w:footnoteReference w:id="703"/>
            </w:r>
            <w:r>
              <w:t>) í forgangi eða treyst er á bláa eða græna innviði (</w:t>
            </w:r>
            <w:r>
              <w:rPr>
                <w:rStyle w:val="Tilvsunneanmlsgrein"/>
                <w:sz w:val="18"/>
                <w:szCs w:val="18"/>
              </w:rPr>
              <w:footnoteReference w:id="704"/>
            </w:r>
            <w:r>
              <w:t>) að því marki sem mögulegt er,</w:t>
            </w:r>
          </w:p>
          <w:p w14:paraId="022B6097" w14:textId="77777777" w:rsidR="006D7A4B" w:rsidRDefault="006D7A4B" w:rsidP="00A9140F">
            <w:pPr>
              <w:pStyle w:val="AnnexNumberedText"/>
              <w:spacing w:after="300"/>
            </w:pPr>
            <w:r>
              <w:t>c)</w:t>
            </w:r>
            <w:r>
              <w:tab/>
              <w:t>eru í samræmi við staðbundnar, geirabundnar, svæðisbundnar eða landsbundnar aðlögunarstefnur og -áætlanir,</w:t>
            </w:r>
          </w:p>
          <w:p w14:paraId="55252292" w14:textId="77777777" w:rsidR="006D7A4B" w:rsidRDefault="006D7A4B"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0CAC3135" w14:textId="77777777" w:rsidR="006D7A4B" w:rsidRDefault="006D7A4B" w:rsidP="00A9140F">
            <w:pPr>
              <w:pStyle w:val="AnnexNumberedText"/>
              <w:spacing w:after="20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46BD512" w14:textId="77777777" w:rsidTr="00A9140F">
        <w:tc>
          <w:tcPr>
            <w:tcW w:w="8736" w:type="dxa"/>
            <w:gridSpan w:val="2"/>
            <w:tcMar>
              <w:top w:w="160" w:type="dxa"/>
              <w:left w:w="0" w:type="dxa"/>
              <w:bottom w:w="160" w:type="dxa"/>
              <w:right w:w="60" w:type="dxa"/>
            </w:tcMar>
          </w:tcPr>
          <w:p w14:paraId="24A4E181" w14:textId="77777777" w:rsidR="006D7A4B" w:rsidRDefault="006D7A4B" w:rsidP="00A9140F">
            <w:pPr>
              <w:pStyle w:val="AnnexTableCellLeft"/>
            </w:pPr>
            <w:r>
              <w:t>Ekki valda umtalsverðu tjóni</w:t>
            </w:r>
          </w:p>
        </w:tc>
      </w:tr>
      <w:tr w:rsidR="006D7A4B" w14:paraId="6DC2D8E1" w14:textId="77777777" w:rsidTr="00A9140F">
        <w:tc>
          <w:tcPr>
            <w:tcW w:w="2981" w:type="dxa"/>
            <w:tcMar>
              <w:top w:w="160" w:type="dxa"/>
              <w:left w:w="0" w:type="dxa"/>
              <w:bottom w:w="160" w:type="dxa"/>
              <w:right w:w="60" w:type="dxa"/>
            </w:tcMar>
          </w:tcPr>
          <w:p w14:paraId="17DA111F" w14:textId="77777777" w:rsidR="006D7A4B" w:rsidRDefault="006D7A4B" w:rsidP="00A9140F">
            <w:pPr>
              <w:pStyle w:val="AnnexNumberedText"/>
              <w:spacing w:after="0"/>
              <w:ind w:left="293" w:hanging="293"/>
            </w:pPr>
            <w:r>
              <w:t>1)</w:t>
            </w:r>
            <w:r>
              <w:tab/>
              <w:t>Mildun loftslagsbreytinga</w:t>
            </w:r>
          </w:p>
        </w:tc>
        <w:tc>
          <w:tcPr>
            <w:tcW w:w="5755" w:type="dxa"/>
            <w:tcMar>
              <w:top w:w="160" w:type="dxa"/>
              <w:left w:w="60" w:type="dxa"/>
              <w:bottom w:w="160" w:type="dxa"/>
              <w:right w:w="0" w:type="dxa"/>
            </w:tcMar>
          </w:tcPr>
          <w:p w14:paraId="23CF9639" w14:textId="77777777" w:rsidR="006D7A4B" w:rsidRDefault="006D7A4B" w:rsidP="00A9140F">
            <w:pPr>
              <w:pStyle w:val="AnnexTableCellLeft"/>
            </w:pPr>
            <w:r>
              <w:t>Á ekki við</w:t>
            </w:r>
          </w:p>
        </w:tc>
      </w:tr>
      <w:tr w:rsidR="006D7A4B" w14:paraId="5BEB7E0C" w14:textId="77777777" w:rsidTr="00A9140F">
        <w:tc>
          <w:tcPr>
            <w:tcW w:w="2981" w:type="dxa"/>
            <w:tcMar>
              <w:top w:w="160" w:type="dxa"/>
              <w:left w:w="0" w:type="dxa"/>
              <w:bottom w:w="160" w:type="dxa"/>
              <w:right w:w="60" w:type="dxa"/>
            </w:tcMar>
          </w:tcPr>
          <w:p w14:paraId="67071736" w14:textId="77777777" w:rsidR="006D7A4B" w:rsidRDefault="006D7A4B" w:rsidP="00A9140F">
            <w:pPr>
              <w:pStyle w:val="AnnexNumberedText"/>
              <w:spacing w:after="0"/>
              <w:ind w:left="293" w:hanging="293"/>
            </w:pPr>
            <w:r>
              <w:t>3)</w:t>
            </w:r>
            <w:r>
              <w:tab/>
              <w:t>Sjálfbær notkun og verndun vatns- og sjávarauðlinda</w:t>
            </w:r>
          </w:p>
        </w:tc>
        <w:tc>
          <w:tcPr>
            <w:tcW w:w="5755" w:type="dxa"/>
            <w:tcMar>
              <w:top w:w="160" w:type="dxa"/>
              <w:left w:w="60" w:type="dxa"/>
              <w:bottom w:w="160" w:type="dxa"/>
              <w:right w:w="0" w:type="dxa"/>
            </w:tcMar>
          </w:tcPr>
          <w:p w14:paraId="16126CFA" w14:textId="77777777" w:rsidR="006D7A4B" w:rsidRDefault="006D7A4B" w:rsidP="00A9140F">
            <w:pPr>
              <w:pStyle w:val="AnnexTableCellLeft"/>
            </w:pPr>
            <w:r>
              <w:t>Á ekki við</w:t>
            </w:r>
          </w:p>
        </w:tc>
      </w:tr>
      <w:tr w:rsidR="006D7A4B" w14:paraId="7FD4EB82" w14:textId="77777777" w:rsidTr="00A9140F">
        <w:tc>
          <w:tcPr>
            <w:tcW w:w="2981" w:type="dxa"/>
            <w:tcMar>
              <w:top w:w="160" w:type="dxa"/>
              <w:left w:w="0" w:type="dxa"/>
              <w:bottom w:w="160" w:type="dxa"/>
              <w:right w:w="60" w:type="dxa"/>
            </w:tcMar>
          </w:tcPr>
          <w:p w14:paraId="744F7A48" w14:textId="77777777" w:rsidR="006D7A4B" w:rsidRDefault="006D7A4B" w:rsidP="00A9140F">
            <w:pPr>
              <w:pStyle w:val="AnnexNumberedText"/>
              <w:spacing w:after="0"/>
              <w:ind w:left="293" w:hanging="293"/>
            </w:pPr>
            <w:r>
              <w:t>4)</w:t>
            </w:r>
            <w:r>
              <w:tab/>
              <w:t>Umskipti yfir í hringrásarhagkerfi</w:t>
            </w:r>
          </w:p>
        </w:tc>
        <w:tc>
          <w:tcPr>
            <w:tcW w:w="5755" w:type="dxa"/>
            <w:tcMar>
              <w:top w:w="160" w:type="dxa"/>
              <w:left w:w="60" w:type="dxa"/>
              <w:bottom w:w="160" w:type="dxa"/>
              <w:right w:w="0" w:type="dxa"/>
            </w:tcMar>
          </w:tcPr>
          <w:p w14:paraId="281319E3" w14:textId="77777777" w:rsidR="006D7A4B" w:rsidRDefault="006D7A4B"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0DBA16C8" w14:textId="77777777" w:rsidTr="00A9140F">
        <w:tc>
          <w:tcPr>
            <w:tcW w:w="2981" w:type="dxa"/>
            <w:tcMar>
              <w:top w:w="160" w:type="dxa"/>
              <w:left w:w="0" w:type="dxa"/>
              <w:bottom w:w="160" w:type="dxa"/>
              <w:right w:w="60" w:type="dxa"/>
            </w:tcMar>
          </w:tcPr>
          <w:p w14:paraId="265BD676" w14:textId="77777777" w:rsidR="006D7A4B" w:rsidRDefault="006D7A4B" w:rsidP="00A9140F">
            <w:pPr>
              <w:pStyle w:val="AnnexNumberedText"/>
              <w:spacing w:after="0"/>
              <w:ind w:left="293" w:hanging="293"/>
            </w:pPr>
            <w:r>
              <w:t>5)</w:t>
            </w:r>
            <w:r>
              <w:tab/>
              <w:t>Mengunarvarnir og eftirlit með mengun</w:t>
            </w:r>
          </w:p>
        </w:tc>
        <w:tc>
          <w:tcPr>
            <w:tcW w:w="5755" w:type="dxa"/>
            <w:tcMar>
              <w:top w:w="160" w:type="dxa"/>
              <w:left w:w="60" w:type="dxa"/>
              <w:bottom w:w="160" w:type="dxa"/>
              <w:right w:w="0" w:type="dxa"/>
            </w:tcMar>
          </w:tcPr>
          <w:p w14:paraId="2C3F26A3" w14:textId="77777777" w:rsidR="006D7A4B" w:rsidRDefault="006D7A4B" w:rsidP="00A9140F">
            <w:pPr>
              <w:pStyle w:val="AnnexTableCellLeft"/>
            </w:pPr>
            <w:r>
              <w:t>Á ekki við</w:t>
            </w:r>
          </w:p>
        </w:tc>
      </w:tr>
      <w:tr w:rsidR="006D7A4B" w14:paraId="49A7C989" w14:textId="77777777" w:rsidTr="00A9140F">
        <w:tc>
          <w:tcPr>
            <w:tcW w:w="2981" w:type="dxa"/>
            <w:tcMar>
              <w:top w:w="160" w:type="dxa"/>
              <w:left w:w="0" w:type="dxa"/>
              <w:bottom w:w="160" w:type="dxa"/>
              <w:right w:w="60" w:type="dxa"/>
            </w:tcMar>
          </w:tcPr>
          <w:p w14:paraId="3708A8C9" w14:textId="77777777" w:rsidR="006D7A4B" w:rsidRDefault="006D7A4B" w:rsidP="00A9140F">
            <w:pPr>
              <w:pStyle w:val="AnnexNumberedText"/>
              <w:spacing w:after="0"/>
              <w:ind w:left="293" w:hanging="293"/>
            </w:pPr>
            <w:r>
              <w:t>6)</w:t>
            </w:r>
            <w:r>
              <w:tab/>
              <w:t>Vernd og endurheimt líffræðilegrar fjölbreytni og vistkerfa</w:t>
            </w:r>
          </w:p>
        </w:tc>
        <w:tc>
          <w:tcPr>
            <w:tcW w:w="5755" w:type="dxa"/>
            <w:tcMar>
              <w:top w:w="160" w:type="dxa"/>
              <w:left w:w="60" w:type="dxa"/>
              <w:bottom w:w="160" w:type="dxa"/>
              <w:right w:w="0" w:type="dxa"/>
            </w:tcMar>
          </w:tcPr>
          <w:p w14:paraId="623FEE59" w14:textId="77777777" w:rsidR="006D7A4B" w:rsidRDefault="006D7A4B" w:rsidP="00A9140F">
            <w:pPr>
              <w:pStyle w:val="AnnexTableCellLeft"/>
            </w:pPr>
            <w:r>
              <w:t>Starfsemin er í samræmi við viðmiðanirnar sem settar eru fram í viðbæti D við þennan viðauka.</w:t>
            </w:r>
          </w:p>
        </w:tc>
      </w:tr>
    </w:tbl>
    <w:p w14:paraId="44EB7A9D" w14:textId="77777777" w:rsidR="006D7A4B" w:rsidRDefault="006D7A4B" w:rsidP="006D7A4B">
      <w:pPr>
        <w:pStyle w:val="AnnexNumberedText"/>
        <w:ind w:left="504" w:hanging="504"/>
      </w:pPr>
      <w:r>
        <w:t>4.22.</w:t>
      </w:r>
      <w:r>
        <w:rPr>
          <w:b/>
        </w:rPr>
        <w:tab/>
        <w:t>Framleiðsla á varma/kælingu úr jarðvarmaorku</w:t>
      </w:r>
    </w:p>
    <w:p w14:paraId="18CBBDD1" w14:textId="77777777" w:rsidR="006D7A4B" w:rsidRDefault="006D7A4B" w:rsidP="006D7A4B">
      <w:pPr>
        <w:pStyle w:val="AnnexGrSeq3"/>
        <w:ind w:left="504"/>
        <w:jc w:val="both"/>
      </w:pPr>
      <w:r>
        <w:rPr>
          <w:i/>
        </w:rPr>
        <w:t>Lýsing á starfseminni</w:t>
      </w:r>
    </w:p>
    <w:p w14:paraId="5B3DBA2A" w14:textId="77777777" w:rsidR="006D7A4B" w:rsidRDefault="006D7A4B" w:rsidP="006D7A4B">
      <w:pPr>
        <w:pStyle w:val="AnnexNormal"/>
        <w:ind w:left="504"/>
      </w:pPr>
      <w:r>
        <w:t>Bygging og rekstur stöðva sem framleiða varma/kælingu úr jarðvarmaorku.</w:t>
      </w:r>
    </w:p>
    <w:p w14:paraId="6A1BC2C9" w14:textId="77777777" w:rsidR="006D7A4B" w:rsidRDefault="006D7A4B" w:rsidP="006D7A4B">
      <w:pPr>
        <w:pStyle w:val="AnnexNormal"/>
        <w:spacing w:after="0"/>
        <w:ind w:left="504"/>
      </w:pPr>
      <w:r>
        <w:lastRenderedPageBreak/>
        <w:t>Atvinnustarfsemin í þessum flokki gæti tengst kóða atvinnugreinaflokkunar Evrópusambandsins D35.30 í samræmi við atvinnugreinaflokkunina sem komið var á með reglugerð (EB) nr. 1893/2006.</w:t>
      </w:r>
      <w:r>
        <w:br w:type="page"/>
      </w:r>
    </w:p>
    <w:p w14:paraId="460C7794" w14:textId="77777777" w:rsidR="006D7A4B" w:rsidRDefault="006D7A4B" w:rsidP="006D7A4B">
      <w:pPr>
        <w:pStyle w:val="AnnexGrSeq3"/>
        <w:ind w:left="504"/>
        <w:jc w:val="both"/>
      </w:pPr>
      <w:r>
        <w:rPr>
          <w:i/>
        </w:rPr>
        <w:lastRenderedPageBreak/>
        <w:t>Tæknileg matsviðmið</w:t>
      </w:r>
    </w:p>
    <w:tbl>
      <w:tblPr>
        <w:tblStyle w:val="EFTATable"/>
        <w:tblW w:w="8724" w:type="dxa"/>
        <w:tblInd w:w="504" w:type="dxa"/>
        <w:tblLayout w:type="fixed"/>
        <w:tblLook w:val="04A0" w:firstRow="1" w:lastRow="0" w:firstColumn="1" w:lastColumn="0" w:noHBand="0" w:noVBand="1"/>
      </w:tblPr>
      <w:tblGrid>
        <w:gridCol w:w="2856"/>
        <w:gridCol w:w="5868"/>
      </w:tblGrid>
      <w:tr w:rsidR="006D7A4B" w14:paraId="27DF36B9" w14:textId="77777777" w:rsidTr="00A9140F">
        <w:trPr>
          <w:trHeight w:val="240"/>
        </w:trPr>
        <w:tc>
          <w:tcPr>
            <w:tcW w:w="8724" w:type="dxa"/>
            <w:gridSpan w:val="2"/>
            <w:tcBorders>
              <w:bottom w:val="single" w:sz="4" w:space="0" w:color="auto"/>
            </w:tcBorders>
            <w:tcMar>
              <w:left w:w="0" w:type="dxa"/>
              <w:right w:w="60" w:type="dxa"/>
            </w:tcMar>
          </w:tcPr>
          <w:p w14:paraId="67544B72" w14:textId="77777777" w:rsidR="006D7A4B" w:rsidRDefault="006D7A4B" w:rsidP="00A9140F">
            <w:pPr>
              <w:pStyle w:val="AnnexTableCellLeft"/>
              <w:spacing w:before="40" w:after="40"/>
            </w:pPr>
            <w:r>
              <w:t>Verulegt framlag til aðlögunar að loftslagsbreytingum</w:t>
            </w:r>
          </w:p>
        </w:tc>
      </w:tr>
      <w:tr w:rsidR="006D7A4B" w14:paraId="2600FCE8" w14:textId="77777777" w:rsidTr="00A9140F">
        <w:trPr>
          <w:trHeight w:val="360"/>
        </w:trPr>
        <w:tc>
          <w:tcPr>
            <w:tcW w:w="8724" w:type="dxa"/>
            <w:gridSpan w:val="2"/>
            <w:tcBorders>
              <w:bottom w:val="nil"/>
            </w:tcBorders>
            <w:tcMar>
              <w:left w:w="0" w:type="dxa"/>
              <w:right w:w="60" w:type="dxa"/>
            </w:tcMar>
          </w:tcPr>
          <w:p w14:paraId="394316AC" w14:textId="77777777" w:rsidR="006D7A4B" w:rsidRDefault="006D7A4B" w:rsidP="00A9140F">
            <w:pPr>
              <w:pStyle w:val="AnnexNumberedText"/>
              <w:tabs>
                <w:tab w:val="left" w:pos="396"/>
              </w:tabs>
              <w:spacing w:after="28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5DC9988D" w14:textId="77777777" w:rsidR="006D7A4B" w:rsidRDefault="006D7A4B" w:rsidP="00A9140F">
            <w:pPr>
              <w:pStyle w:val="AnnexNumberedText"/>
              <w:tabs>
                <w:tab w:val="left" w:pos="396"/>
              </w:tabs>
              <w:spacing w:after="28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9EE51C9" w14:textId="77777777" w:rsidR="006D7A4B" w:rsidRDefault="006D7A4B" w:rsidP="00A9140F">
            <w:pPr>
              <w:pStyle w:val="AnnexNumberedText"/>
              <w:spacing w:after="280"/>
            </w:pPr>
            <w:r>
              <w:t>a)</w:t>
            </w:r>
            <w:r>
              <w:tab/>
              <w:t>skimun á starfseminni til að greina hvaða efnislega loftslagsáhætta úr skránni í viðbæti A við þennan viðauka getur haft áhrif á árangurinn af atvinnustarfseminni á væntum líftíma hennar,</w:t>
            </w:r>
          </w:p>
          <w:p w14:paraId="66C44975" w14:textId="77777777" w:rsidR="006D7A4B" w:rsidRDefault="006D7A4B" w:rsidP="00A9140F">
            <w:pPr>
              <w:pStyle w:val="AnnexNumberedText"/>
              <w:spacing w:after="28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3430B9C" w14:textId="77777777" w:rsidR="006D7A4B" w:rsidRDefault="006D7A4B" w:rsidP="00A9140F">
            <w:pPr>
              <w:pStyle w:val="AnnexNumberedText"/>
              <w:spacing w:after="280"/>
            </w:pPr>
            <w:r>
              <w:t>c)</w:t>
            </w:r>
            <w:r>
              <w:tab/>
              <w:t>mat á aðlögunarlausnum sem geta dregið úr greindri efnislegri loftslagsáhættu.</w:t>
            </w:r>
          </w:p>
          <w:p w14:paraId="0E212E0D" w14:textId="77777777" w:rsidR="006D7A4B" w:rsidRDefault="006D7A4B" w:rsidP="00A9140F">
            <w:pPr>
              <w:pStyle w:val="AnnexTableCellLeft"/>
              <w:spacing w:after="280"/>
            </w:pPr>
            <w:r>
              <w:t xml:space="preserve">Loftslagsáhættu- og veikleikamatið er í réttu hlutfalli við umfang starfseminnar og </w:t>
            </w:r>
            <w:proofErr w:type="spellStart"/>
            <w:r>
              <w:t>væntan</w:t>
            </w:r>
            <w:proofErr w:type="spellEnd"/>
            <w:r>
              <w:t xml:space="preserve"> líftíma hennar þannig að:</w:t>
            </w:r>
          </w:p>
          <w:p w14:paraId="29F05C0D" w14:textId="77777777" w:rsidR="006D7A4B" w:rsidRDefault="006D7A4B" w:rsidP="00A9140F">
            <w:pPr>
              <w:pStyle w:val="AnnexNumberedText"/>
              <w:spacing w:after="28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5082276" w14:textId="77777777" w:rsidR="006D7A4B" w:rsidRDefault="006D7A4B" w:rsidP="00A9140F">
            <w:pPr>
              <w:pStyle w:val="AnnexNumberedText"/>
              <w:spacing w:after="28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0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41EC423" w14:textId="77777777" w:rsidR="006D7A4B" w:rsidRDefault="006D7A4B" w:rsidP="00A9140F">
            <w:pPr>
              <w:pStyle w:val="AnnexNumberedText"/>
              <w:tabs>
                <w:tab w:val="left" w:pos="396"/>
              </w:tabs>
              <w:spacing w:after="28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06"/>
            </w:r>
            <w:r>
              <w:t>), vísindalegt ritrýnt útgefið efni og líkön með opnum aðgangi (</w:t>
            </w:r>
            <w:r>
              <w:rPr>
                <w:rStyle w:val="Tilvsunneanmlsgrein"/>
                <w:sz w:val="18"/>
                <w:szCs w:val="18"/>
              </w:rPr>
              <w:footnoteReference w:id="707"/>
            </w:r>
            <w:r>
              <w:t>) eða gegn greiðslu.</w:t>
            </w:r>
          </w:p>
          <w:p w14:paraId="4B574031" w14:textId="77777777" w:rsidR="006D7A4B" w:rsidRDefault="006D7A4B" w:rsidP="00A9140F">
            <w:pPr>
              <w:pStyle w:val="AnnexNumberedText"/>
              <w:tabs>
                <w:tab w:val="left" w:pos="396"/>
              </w:tabs>
              <w:spacing w:after="280"/>
              <w:ind w:left="0" w:firstLine="0"/>
              <w:rPr>
                <w:szCs w:val="18"/>
              </w:rPr>
            </w:pPr>
            <w:r>
              <w:t>4.</w:t>
            </w:r>
            <w:r>
              <w:tab/>
              <w:t>Aðlögunarlausnir sem komið er í framkvæmd:</w:t>
            </w:r>
          </w:p>
          <w:p w14:paraId="6D466A98" w14:textId="77777777" w:rsidR="006D7A4B" w:rsidRDefault="006D7A4B" w:rsidP="00A9140F">
            <w:pPr>
              <w:pStyle w:val="AnnexNumberedText"/>
              <w:spacing w:after="280"/>
              <w:rPr>
                <w:szCs w:val="18"/>
              </w:rPr>
            </w:pPr>
            <w:r>
              <w:t>a)</w:t>
            </w:r>
            <w:r>
              <w:tab/>
              <w:t>hafa ekki neikvæð áhrif á viðleitni til aðlögunar eða viðnám annars fólks, náttúru, menningararfleifðar, eigna og annarrar atvinnustarfsemi gegn efnislegri loftslagsáhættu,</w:t>
            </w:r>
          </w:p>
          <w:p w14:paraId="41743E68" w14:textId="77777777" w:rsidR="006D7A4B" w:rsidRDefault="006D7A4B" w:rsidP="00A9140F">
            <w:pPr>
              <w:pStyle w:val="AnnexNumberedText"/>
              <w:spacing w:after="280"/>
            </w:pPr>
            <w:r>
              <w:t>b)</w:t>
            </w:r>
            <w:r>
              <w:tab/>
              <w:t>eru með náttúrumiðaðar lausnir (</w:t>
            </w:r>
            <w:r>
              <w:rPr>
                <w:rStyle w:val="Tilvsunneanmlsgrein"/>
                <w:sz w:val="18"/>
                <w:szCs w:val="18"/>
              </w:rPr>
              <w:footnoteReference w:id="708"/>
            </w:r>
            <w:r>
              <w:t>) í forgangi eða treyst er á bláa eða græna innviði (</w:t>
            </w:r>
            <w:r>
              <w:rPr>
                <w:rStyle w:val="Tilvsunneanmlsgrein"/>
                <w:sz w:val="18"/>
                <w:szCs w:val="18"/>
              </w:rPr>
              <w:footnoteReference w:id="709"/>
            </w:r>
            <w:r>
              <w:t>) að því marki sem mögulegt er,</w:t>
            </w:r>
          </w:p>
          <w:p w14:paraId="238AF8EB" w14:textId="77777777" w:rsidR="006D7A4B" w:rsidRDefault="006D7A4B" w:rsidP="00A9140F">
            <w:pPr>
              <w:pStyle w:val="AnnexNumberedText"/>
              <w:spacing w:after="280"/>
            </w:pPr>
            <w:r>
              <w:t>c)</w:t>
            </w:r>
            <w:r>
              <w:tab/>
              <w:t>eru í samræmi við staðbundnar, geirabundnar, svæðisbundnar eða landsbundnar aðlögunarstefnur og -áætlanir,</w:t>
            </w:r>
          </w:p>
          <w:p w14:paraId="257C20BF" w14:textId="77777777" w:rsidR="006D7A4B" w:rsidRDefault="006D7A4B" w:rsidP="00A9140F">
            <w:pPr>
              <w:pStyle w:val="AnnexNumberedText"/>
              <w:spacing w:after="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w:t>
            </w:r>
            <w:r>
              <w:lastRenderedPageBreak/>
              <w:t>vísar eru ekki uppfylltir,</w:t>
            </w:r>
          </w:p>
        </w:tc>
      </w:tr>
      <w:tr w:rsidR="006D7A4B" w14:paraId="1C9ED2BF" w14:textId="77777777" w:rsidTr="00A9140F">
        <w:trPr>
          <w:trHeight w:val="360"/>
        </w:trPr>
        <w:tc>
          <w:tcPr>
            <w:tcW w:w="8724" w:type="dxa"/>
            <w:gridSpan w:val="2"/>
            <w:tcBorders>
              <w:top w:val="nil"/>
            </w:tcBorders>
            <w:tcMar>
              <w:left w:w="0" w:type="dxa"/>
              <w:right w:w="60" w:type="dxa"/>
            </w:tcMar>
          </w:tcPr>
          <w:p w14:paraId="0EF308A1" w14:textId="77777777" w:rsidR="006D7A4B" w:rsidRDefault="006D7A4B" w:rsidP="00A9140F">
            <w:pPr>
              <w:pStyle w:val="AnnexNumberedText"/>
              <w:pageBreakBefore/>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3223B93" w14:textId="77777777" w:rsidTr="00A9140F">
        <w:tc>
          <w:tcPr>
            <w:tcW w:w="8724" w:type="dxa"/>
            <w:gridSpan w:val="2"/>
            <w:tcMar>
              <w:top w:w="100" w:type="dxa"/>
              <w:left w:w="0" w:type="dxa"/>
              <w:bottom w:w="100" w:type="dxa"/>
              <w:right w:w="60" w:type="dxa"/>
            </w:tcMar>
          </w:tcPr>
          <w:p w14:paraId="14079D17" w14:textId="77777777" w:rsidR="006D7A4B" w:rsidRDefault="006D7A4B" w:rsidP="00A9140F">
            <w:pPr>
              <w:pStyle w:val="AnnexTableCellLeft"/>
            </w:pPr>
            <w:r>
              <w:t>Ekki valda umtalsverðu tjóni</w:t>
            </w:r>
          </w:p>
        </w:tc>
      </w:tr>
      <w:tr w:rsidR="006D7A4B" w14:paraId="60AAE73B" w14:textId="77777777" w:rsidTr="00A9140F">
        <w:tc>
          <w:tcPr>
            <w:tcW w:w="2856" w:type="dxa"/>
            <w:tcMar>
              <w:top w:w="100" w:type="dxa"/>
              <w:left w:w="0" w:type="dxa"/>
              <w:bottom w:w="100" w:type="dxa"/>
              <w:right w:w="60" w:type="dxa"/>
            </w:tcMar>
          </w:tcPr>
          <w:p w14:paraId="53541D11" w14:textId="77777777" w:rsidR="006D7A4B" w:rsidRDefault="006D7A4B" w:rsidP="00A9140F">
            <w:pPr>
              <w:pStyle w:val="AnnexNumberedText"/>
              <w:spacing w:after="0"/>
              <w:ind w:left="293" w:hanging="293"/>
            </w:pPr>
            <w:r>
              <w:t>1)</w:t>
            </w:r>
            <w:r>
              <w:tab/>
              <w:t>Mildun loftslagsbreytinga</w:t>
            </w:r>
          </w:p>
        </w:tc>
        <w:tc>
          <w:tcPr>
            <w:tcW w:w="5868" w:type="dxa"/>
            <w:tcMar>
              <w:top w:w="100" w:type="dxa"/>
              <w:left w:w="60" w:type="dxa"/>
              <w:bottom w:w="100" w:type="dxa"/>
              <w:right w:w="0" w:type="dxa"/>
            </w:tcMar>
          </w:tcPr>
          <w:p w14:paraId="5CEBE487" w14:textId="77777777" w:rsidR="006D7A4B" w:rsidRDefault="006D7A4B" w:rsidP="00A9140F">
            <w:pPr>
              <w:pStyle w:val="AnnexTableCellLeft"/>
            </w:pPr>
            <w:r>
              <w:t>Bein losun á gróðurhúsalofttegundum í starfseminni er minni en 270 g CO</w:t>
            </w:r>
            <w:r>
              <w:rPr>
                <w:vertAlign w:val="subscript"/>
              </w:rPr>
              <w:t>2</w:t>
            </w:r>
            <w:r>
              <w:t>e/kWh.</w:t>
            </w:r>
          </w:p>
        </w:tc>
      </w:tr>
      <w:tr w:rsidR="006D7A4B" w14:paraId="012B738F" w14:textId="77777777" w:rsidTr="00A9140F">
        <w:tc>
          <w:tcPr>
            <w:tcW w:w="2856" w:type="dxa"/>
            <w:tcMar>
              <w:top w:w="100" w:type="dxa"/>
              <w:left w:w="0" w:type="dxa"/>
              <w:bottom w:w="100" w:type="dxa"/>
              <w:right w:w="60" w:type="dxa"/>
            </w:tcMar>
          </w:tcPr>
          <w:p w14:paraId="1775BA9F" w14:textId="77777777" w:rsidR="006D7A4B" w:rsidRDefault="006D7A4B" w:rsidP="00A9140F">
            <w:pPr>
              <w:pStyle w:val="AnnexNumberedText"/>
              <w:spacing w:after="0"/>
              <w:ind w:left="293" w:hanging="293"/>
            </w:pPr>
            <w:r>
              <w:t>3)</w:t>
            </w:r>
            <w:r>
              <w:tab/>
              <w:t>Sjálfbær notkun og verndun vatns- og sjávarauðlinda</w:t>
            </w:r>
          </w:p>
        </w:tc>
        <w:tc>
          <w:tcPr>
            <w:tcW w:w="5868" w:type="dxa"/>
            <w:tcMar>
              <w:top w:w="100" w:type="dxa"/>
              <w:left w:w="60" w:type="dxa"/>
              <w:bottom w:w="100" w:type="dxa"/>
              <w:right w:w="0" w:type="dxa"/>
            </w:tcMar>
          </w:tcPr>
          <w:p w14:paraId="1A8526BA" w14:textId="77777777" w:rsidR="006D7A4B" w:rsidRDefault="006D7A4B" w:rsidP="00A9140F">
            <w:pPr>
              <w:pStyle w:val="AnnexTableCellLeft"/>
            </w:pPr>
            <w:r>
              <w:t>Starfsemin er í samræmi við viðmiðanirnar sem settar eru fram í viðbæti B við þennan viðauka.</w:t>
            </w:r>
          </w:p>
        </w:tc>
      </w:tr>
      <w:tr w:rsidR="006D7A4B" w14:paraId="7B5CEE74" w14:textId="77777777" w:rsidTr="00A9140F">
        <w:tc>
          <w:tcPr>
            <w:tcW w:w="2856" w:type="dxa"/>
            <w:tcMar>
              <w:top w:w="100" w:type="dxa"/>
              <w:left w:w="0" w:type="dxa"/>
              <w:bottom w:w="100" w:type="dxa"/>
              <w:right w:w="60" w:type="dxa"/>
            </w:tcMar>
          </w:tcPr>
          <w:p w14:paraId="7AFCDB16" w14:textId="77777777" w:rsidR="006D7A4B" w:rsidRDefault="006D7A4B" w:rsidP="00A9140F">
            <w:pPr>
              <w:pStyle w:val="AnnexNumberedText"/>
              <w:spacing w:after="0"/>
              <w:ind w:left="293" w:hanging="293"/>
            </w:pPr>
            <w:r>
              <w:t>4)</w:t>
            </w:r>
            <w:r>
              <w:tab/>
              <w:t>Umskipti yfir í hringrásarhagkerfi</w:t>
            </w:r>
          </w:p>
        </w:tc>
        <w:tc>
          <w:tcPr>
            <w:tcW w:w="5868" w:type="dxa"/>
            <w:tcMar>
              <w:top w:w="100" w:type="dxa"/>
              <w:left w:w="60" w:type="dxa"/>
              <w:bottom w:w="100" w:type="dxa"/>
              <w:right w:w="0" w:type="dxa"/>
            </w:tcMar>
          </w:tcPr>
          <w:p w14:paraId="516DC64A" w14:textId="77777777" w:rsidR="006D7A4B" w:rsidRDefault="006D7A4B" w:rsidP="00A9140F">
            <w:pPr>
              <w:pStyle w:val="AnnexTableCellLeft"/>
            </w:pPr>
            <w:r>
              <w:t>Á ekki við</w:t>
            </w:r>
          </w:p>
        </w:tc>
      </w:tr>
      <w:tr w:rsidR="006D7A4B" w14:paraId="4012E7CB" w14:textId="77777777" w:rsidTr="00A9140F">
        <w:tc>
          <w:tcPr>
            <w:tcW w:w="2856" w:type="dxa"/>
            <w:tcMar>
              <w:top w:w="100" w:type="dxa"/>
              <w:left w:w="0" w:type="dxa"/>
              <w:bottom w:w="100" w:type="dxa"/>
              <w:right w:w="60" w:type="dxa"/>
            </w:tcMar>
          </w:tcPr>
          <w:p w14:paraId="3734D5B9" w14:textId="77777777" w:rsidR="006D7A4B" w:rsidRDefault="006D7A4B" w:rsidP="00A9140F">
            <w:pPr>
              <w:pStyle w:val="AnnexNumberedText"/>
              <w:spacing w:after="0"/>
              <w:ind w:left="293" w:hanging="293"/>
            </w:pPr>
            <w:r>
              <w:t>5)</w:t>
            </w:r>
            <w:r>
              <w:tab/>
              <w:t>Mengunarvarnir og eftirlit með mengun</w:t>
            </w:r>
          </w:p>
        </w:tc>
        <w:tc>
          <w:tcPr>
            <w:tcW w:w="5868" w:type="dxa"/>
            <w:tcMar>
              <w:top w:w="100" w:type="dxa"/>
              <w:left w:w="60" w:type="dxa"/>
              <w:bottom w:w="100" w:type="dxa"/>
              <w:right w:w="0" w:type="dxa"/>
            </w:tcMar>
          </w:tcPr>
          <w:p w14:paraId="00F7DE2C" w14:textId="77777777" w:rsidR="006D7A4B" w:rsidRDefault="006D7A4B" w:rsidP="00A9140F">
            <w:pPr>
              <w:pStyle w:val="AnnexTableCellLeft"/>
            </w:pPr>
            <w:r>
              <w:t xml:space="preserve">Að því er varðar </w:t>
            </w:r>
            <w:proofErr w:type="spellStart"/>
            <w:r>
              <w:t>starfrækslu</w:t>
            </w:r>
            <w:proofErr w:type="spellEnd"/>
            <w:r>
              <w:t xml:space="preserve"> jarðvarmaorkukerfa með háu vermi eru fullnægjandi hreinsunarkerfi til staðar til að draga úr losun í því skyni að hindra ekki að viðmiðunarmörk fyrir loftgæði náist, sem sett eru fram í tilskipunum 2004/107/EB og 2008/50/EB.</w:t>
            </w:r>
          </w:p>
        </w:tc>
      </w:tr>
      <w:tr w:rsidR="006D7A4B" w14:paraId="47B584F6" w14:textId="77777777" w:rsidTr="00A9140F">
        <w:tc>
          <w:tcPr>
            <w:tcW w:w="2856" w:type="dxa"/>
            <w:tcMar>
              <w:top w:w="100" w:type="dxa"/>
              <w:left w:w="0" w:type="dxa"/>
              <w:bottom w:w="100" w:type="dxa"/>
              <w:right w:w="60" w:type="dxa"/>
            </w:tcMar>
          </w:tcPr>
          <w:p w14:paraId="30533E39" w14:textId="77777777" w:rsidR="006D7A4B" w:rsidRDefault="006D7A4B" w:rsidP="00A9140F">
            <w:pPr>
              <w:pStyle w:val="AnnexNumberedText"/>
              <w:spacing w:after="0"/>
              <w:ind w:left="293" w:hanging="293"/>
            </w:pPr>
            <w:r>
              <w:t>6)</w:t>
            </w:r>
            <w:r>
              <w:tab/>
              <w:t>Vernd og endurheimt líffræðilegrar fjölbreytni og vistkerfa</w:t>
            </w:r>
          </w:p>
        </w:tc>
        <w:tc>
          <w:tcPr>
            <w:tcW w:w="5868" w:type="dxa"/>
            <w:tcMar>
              <w:top w:w="100" w:type="dxa"/>
              <w:left w:w="60" w:type="dxa"/>
              <w:bottom w:w="100" w:type="dxa"/>
              <w:right w:w="0" w:type="dxa"/>
            </w:tcMar>
          </w:tcPr>
          <w:p w14:paraId="0486F018" w14:textId="77777777" w:rsidR="006D7A4B" w:rsidRDefault="006D7A4B" w:rsidP="00A9140F">
            <w:pPr>
              <w:pStyle w:val="AnnexTableCellLeft"/>
            </w:pPr>
            <w:r>
              <w:t>Starfsemin er í samræmi við viðmiðanirnar sem settar eru fram í viðbæti D við þennan viðauka.</w:t>
            </w:r>
          </w:p>
        </w:tc>
      </w:tr>
    </w:tbl>
    <w:p w14:paraId="19BAACB5" w14:textId="77777777" w:rsidR="006D7A4B" w:rsidRDefault="006D7A4B" w:rsidP="006D7A4B">
      <w:pPr>
        <w:pStyle w:val="AnnexNumberedText"/>
        <w:ind w:left="504" w:hanging="504"/>
      </w:pPr>
      <w:r>
        <w:t>4.23.</w:t>
      </w:r>
      <w:r>
        <w:rPr>
          <w:b/>
        </w:rPr>
        <w:tab/>
        <w:t>Framleiðsla á varma/kælingu úr endurnýjanlegu loftkenndu eldsneyti sem er ekki jarðefnaeldsneyti og fljótandi eldsneyti</w:t>
      </w:r>
    </w:p>
    <w:p w14:paraId="29805F57" w14:textId="77777777" w:rsidR="006D7A4B" w:rsidRDefault="006D7A4B" w:rsidP="006D7A4B">
      <w:pPr>
        <w:pStyle w:val="AnnexGrSeq3"/>
        <w:spacing w:after="120"/>
        <w:ind w:left="504"/>
        <w:jc w:val="both"/>
      </w:pPr>
      <w:r>
        <w:rPr>
          <w:i/>
        </w:rPr>
        <w:t>Lýsing á starfseminni</w:t>
      </w:r>
    </w:p>
    <w:p w14:paraId="3CD6604D" w14:textId="77777777" w:rsidR="006D7A4B" w:rsidRDefault="006D7A4B" w:rsidP="006D7A4B">
      <w:pPr>
        <w:pStyle w:val="AnnexNormal"/>
        <w:spacing w:after="800"/>
        <w:ind w:left="504"/>
      </w:pPr>
      <w:r>
        <w:t>Bygging og rekstur varmaframleiðslustöðva sem framleiða varma/kælingu með notkun loftkennds og fljótandi eldsneytis af endurnýjanlegum uppruna. Þessi starfsemi nær ekki yfir framleiðslu á varma/kælingu þar sem einungis er notað lífgas og fljótandi lífeldsneyti (sjá þátt 4.24 í þessum viðauka).</w:t>
      </w:r>
    </w:p>
    <w:p w14:paraId="07393FB2" w14:textId="77777777" w:rsidR="006D7A4B" w:rsidRDefault="006D7A4B" w:rsidP="006D7A4B">
      <w:pPr>
        <w:pStyle w:val="AnnexNormal"/>
        <w:spacing w:after="800"/>
        <w:ind w:left="504"/>
      </w:pPr>
      <w:r>
        <w:t>Atvinnustarfsemin í þessum flokki gæti tengst kóða atvinnugreinaflokkunar Evrópusambandsins D35.30 í samræmi við atvinnugreinaflokkunina sem komið var á með reglugerð (EB) nr. 1893/2006.</w:t>
      </w:r>
    </w:p>
    <w:p w14:paraId="3A4D3B59"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856"/>
        <w:gridCol w:w="5880"/>
      </w:tblGrid>
      <w:tr w:rsidR="006D7A4B" w14:paraId="2650D383" w14:textId="77777777" w:rsidTr="00A9140F">
        <w:trPr>
          <w:trHeight w:val="240"/>
        </w:trPr>
        <w:tc>
          <w:tcPr>
            <w:tcW w:w="8736" w:type="dxa"/>
            <w:gridSpan w:val="2"/>
            <w:tcBorders>
              <w:bottom w:val="single" w:sz="4" w:space="0" w:color="auto"/>
            </w:tcBorders>
            <w:tcMar>
              <w:left w:w="0" w:type="dxa"/>
              <w:right w:w="60" w:type="dxa"/>
            </w:tcMar>
          </w:tcPr>
          <w:p w14:paraId="3FEA9B33" w14:textId="77777777" w:rsidR="006D7A4B" w:rsidRDefault="006D7A4B" w:rsidP="00A9140F">
            <w:pPr>
              <w:pStyle w:val="AnnexTableCellLeft"/>
              <w:spacing w:before="40" w:after="40"/>
            </w:pPr>
            <w:r>
              <w:t>Verulegt framlag til aðlögunar að loftslagsbreytingum</w:t>
            </w:r>
          </w:p>
        </w:tc>
      </w:tr>
      <w:tr w:rsidR="006D7A4B" w14:paraId="5A20D6FA" w14:textId="77777777" w:rsidTr="00A9140F">
        <w:trPr>
          <w:trHeight w:val="360"/>
        </w:trPr>
        <w:tc>
          <w:tcPr>
            <w:tcW w:w="8736" w:type="dxa"/>
            <w:gridSpan w:val="2"/>
            <w:tcBorders>
              <w:bottom w:val="nil"/>
            </w:tcBorders>
            <w:tcMar>
              <w:left w:w="0" w:type="dxa"/>
              <w:right w:w="60" w:type="dxa"/>
            </w:tcMar>
          </w:tcPr>
          <w:p w14:paraId="05CF1638" w14:textId="77777777" w:rsidR="006D7A4B" w:rsidRDefault="006D7A4B" w:rsidP="00A9140F">
            <w:pPr>
              <w:pStyle w:val="AnnexNumberedText"/>
              <w:tabs>
                <w:tab w:val="left" w:pos="396"/>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74941CB6" w14:textId="77777777" w:rsidR="006D7A4B" w:rsidRDefault="006D7A4B" w:rsidP="00A9140F">
            <w:pPr>
              <w:pStyle w:val="AnnexNumberedText"/>
              <w:tabs>
                <w:tab w:val="left" w:pos="396"/>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11E5F0F" w14:textId="77777777" w:rsidR="006D7A4B" w:rsidRDefault="006D7A4B"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3531C6D9" w14:textId="77777777" w:rsidR="006D7A4B" w:rsidRDefault="006D7A4B" w:rsidP="00A9140F">
            <w:pPr>
              <w:pStyle w:val="AnnexNumberedText"/>
              <w:spacing w:after="2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51A64B2C" w14:textId="77777777" w:rsidR="006D7A4B" w:rsidRDefault="006D7A4B" w:rsidP="00A9140F">
            <w:pPr>
              <w:pStyle w:val="AnnexNumberedText"/>
              <w:spacing w:after="240"/>
            </w:pPr>
            <w:r>
              <w:t>c)</w:t>
            </w:r>
            <w:r>
              <w:tab/>
              <w:t>mat á aðlögunarlausnum sem geta dregið úr greindri efnislegri loftslagsáhættu.</w:t>
            </w:r>
          </w:p>
          <w:p w14:paraId="739EB6BD" w14:textId="77777777" w:rsidR="006D7A4B" w:rsidRDefault="006D7A4B" w:rsidP="00A9140F">
            <w:pPr>
              <w:pStyle w:val="AnnexTableCellLeft"/>
              <w:spacing w:after="240"/>
            </w:pPr>
            <w:r>
              <w:t xml:space="preserve">Loftslagsáhættu- og veikleikamatið er í réttu hlutfalli við umfang starfseminnar og </w:t>
            </w:r>
            <w:proofErr w:type="spellStart"/>
            <w:r>
              <w:t>væntan</w:t>
            </w:r>
            <w:proofErr w:type="spellEnd"/>
            <w:r>
              <w:t xml:space="preserve"> líftíma hennar þannig að:</w:t>
            </w:r>
          </w:p>
          <w:p w14:paraId="2AD5761C" w14:textId="77777777" w:rsidR="006D7A4B" w:rsidRDefault="006D7A4B" w:rsidP="00A9140F">
            <w:pPr>
              <w:pStyle w:val="AnnexNumberedText"/>
              <w:spacing w:after="0"/>
            </w:pPr>
            <w:r>
              <w:t>a)</w:t>
            </w:r>
            <w:r>
              <w:tab/>
              <w:t xml:space="preserve">mat á starfsemi með </w:t>
            </w:r>
            <w:proofErr w:type="spellStart"/>
            <w:r>
              <w:t>væntan</w:t>
            </w:r>
            <w:proofErr w:type="spellEnd"/>
            <w:r>
              <w:t xml:space="preserve"> líftíma sem er styttri en 10 ár er a.m.k. framkvæmt með því að nota loftslagsframreikn</w:t>
            </w:r>
            <w:r>
              <w:lastRenderedPageBreak/>
              <w:t>ing með minnsta viðeigandi kvarða,</w:t>
            </w:r>
          </w:p>
        </w:tc>
      </w:tr>
      <w:tr w:rsidR="006D7A4B" w14:paraId="50B4E947" w14:textId="77777777" w:rsidTr="00A9140F">
        <w:trPr>
          <w:trHeight w:val="360"/>
        </w:trPr>
        <w:tc>
          <w:tcPr>
            <w:tcW w:w="8736" w:type="dxa"/>
            <w:gridSpan w:val="2"/>
            <w:tcBorders>
              <w:top w:val="nil"/>
            </w:tcBorders>
            <w:tcMar>
              <w:left w:w="0" w:type="dxa"/>
              <w:right w:w="60" w:type="dxa"/>
            </w:tcMar>
          </w:tcPr>
          <w:p w14:paraId="38E4279C" w14:textId="77777777" w:rsidR="006D7A4B" w:rsidRDefault="006D7A4B" w:rsidP="00A9140F">
            <w:pPr>
              <w:pStyle w:val="AnnexNumberedText"/>
              <w:pageBreakBefore/>
              <w:spacing w:after="440"/>
              <w:rPr>
                <w:szCs w:val="18"/>
              </w:rPr>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1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3D07001" w14:textId="77777777" w:rsidR="006D7A4B" w:rsidRDefault="006D7A4B" w:rsidP="00A9140F">
            <w:pPr>
              <w:pStyle w:val="AnnexNumberedText"/>
              <w:tabs>
                <w:tab w:val="left" w:pos="396"/>
              </w:tabs>
              <w:spacing w:after="4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11"/>
            </w:r>
            <w:r>
              <w:t>), vísindalegt ritrýnt útgefið efni og líkön með opnum aðgangi (</w:t>
            </w:r>
            <w:r>
              <w:rPr>
                <w:rStyle w:val="Tilvsunneanmlsgrein"/>
                <w:sz w:val="18"/>
                <w:szCs w:val="18"/>
              </w:rPr>
              <w:footnoteReference w:id="712"/>
            </w:r>
            <w:r>
              <w:t>) eða gegn greiðslu.</w:t>
            </w:r>
          </w:p>
          <w:p w14:paraId="0E659229" w14:textId="77777777" w:rsidR="006D7A4B" w:rsidRDefault="006D7A4B" w:rsidP="00A9140F">
            <w:pPr>
              <w:pStyle w:val="AnnexNumberedText"/>
              <w:tabs>
                <w:tab w:val="left" w:pos="396"/>
              </w:tabs>
              <w:spacing w:after="440"/>
              <w:ind w:left="0" w:firstLine="0"/>
              <w:rPr>
                <w:szCs w:val="18"/>
              </w:rPr>
            </w:pPr>
            <w:r>
              <w:t>4.</w:t>
            </w:r>
            <w:r>
              <w:tab/>
              <w:t>Aðlögunarlausnir sem komið er í framkvæmd:</w:t>
            </w:r>
          </w:p>
          <w:p w14:paraId="69A4E06B" w14:textId="77777777" w:rsidR="006D7A4B" w:rsidRDefault="006D7A4B" w:rsidP="00A9140F">
            <w:pPr>
              <w:pStyle w:val="AnnexNumberedText"/>
              <w:spacing w:after="440"/>
              <w:rPr>
                <w:szCs w:val="18"/>
              </w:rPr>
            </w:pPr>
            <w:r>
              <w:t>a)</w:t>
            </w:r>
            <w:r>
              <w:tab/>
              <w:t>hafa ekki neikvæð áhrif á viðleitni til aðlögunar eða viðnám annars fólks, náttúru, menningararfleifðar, eigna og annarrar atvinnustarfsemi gegn efnislegri loftslagsáhættu,</w:t>
            </w:r>
          </w:p>
          <w:p w14:paraId="75426B8B" w14:textId="77777777" w:rsidR="006D7A4B" w:rsidRDefault="006D7A4B" w:rsidP="00A9140F">
            <w:pPr>
              <w:pStyle w:val="AnnexNumberedText"/>
              <w:spacing w:after="440"/>
              <w:rPr>
                <w:szCs w:val="18"/>
              </w:rPr>
            </w:pPr>
            <w:r>
              <w:t>b)</w:t>
            </w:r>
            <w:r>
              <w:tab/>
              <w:t>eru með náttúrumiðaðar lausnir (</w:t>
            </w:r>
            <w:r>
              <w:rPr>
                <w:rStyle w:val="Tilvsunneanmlsgrein"/>
                <w:sz w:val="18"/>
                <w:szCs w:val="18"/>
              </w:rPr>
              <w:footnoteReference w:id="713"/>
            </w:r>
            <w:r>
              <w:t>) í forgangi eða treyst er á bláa eða græna innviði (</w:t>
            </w:r>
            <w:r>
              <w:rPr>
                <w:rStyle w:val="Tilvsunneanmlsgrein"/>
                <w:sz w:val="18"/>
                <w:szCs w:val="18"/>
              </w:rPr>
              <w:footnoteReference w:id="714"/>
            </w:r>
            <w:r>
              <w:t>) að því marki sem mögulegt er,</w:t>
            </w:r>
          </w:p>
          <w:p w14:paraId="1024AB4F" w14:textId="77777777" w:rsidR="006D7A4B" w:rsidRDefault="006D7A4B" w:rsidP="00A9140F">
            <w:pPr>
              <w:pStyle w:val="AnnexNumberedText"/>
              <w:spacing w:after="440"/>
              <w:rPr>
                <w:szCs w:val="18"/>
              </w:rPr>
            </w:pPr>
            <w:r>
              <w:t>c)</w:t>
            </w:r>
            <w:r>
              <w:tab/>
              <w:t>eru í samræmi við staðbundnar, geirabundnar, svæðisbundnar eða landsbundnar aðlögunarstefnur og -áætlanir,</w:t>
            </w:r>
          </w:p>
          <w:p w14:paraId="69CCBA42" w14:textId="77777777" w:rsidR="006D7A4B" w:rsidRDefault="006D7A4B" w:rsidP="00A9140F">
            <w:pPr>
              <w:pStyle w:val="AnnexNumberedText"/>
              <w:spacing w:after="44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E125788" w14:textId="77777777" w:rsidR="006D7A4B" w:rsidRDefault="006D7A4B" w:rsidP="00A9140F">
            <w:pPr>
              <w:pStyle w:val="AnnexNumberedText"/>
              <w:spacing w:after="30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33DE3770" w14:textId="77777777" w:rsidTr="00A9140F">
        <w:tc>
          <w:tcPr>
            <w:tcW w:w="8736" w:type="dxa"/>
            <w:gridSpan w:val="2"/>
            <w:tcMar>
              <w:top w:w="100" w:type="dxa"/>
              <w:left w:w="0" w:type="dxa"/>
              <w:bottom w:w="100" w:type="dxa"/>
              <w:right w:w="60" w:type="dxa"/>
            </w:tcMar>
          </w:tcPr>
          <w:p w14:paraId="47661FC9" w14:textId="77777777" w:rsidR="006D7A4B" w:rsidRDefault="006D7A4B" w:rsidP="00A9140F">
            <w:pPr>
              <w:pStyle w:val="AnnexTableCellLeft"/>
              <w:rPr>
                <w:szCs w:val="18"/>
              </w:rPr>
            </w:pPr>
            <w:r>
              <w:t>Ekki valda umtalsverðu tjóni</w:t>
            </w:r>
          </w:p>
        </w:tc>
      </w:tr>
      <w:tr w:rsidR="006D7A4B" w14:paraId="5C05CB15" w14:textId="77777777" w:rsidTr="00A9140F">
        <w:tc>
          <w:tcPr>
            <w:tcW w:w="2856" w:type="dxa"/>
            <w:tcMar>
              <w:top w:w="100" w:type="dxa"/>
              <w:left w:w="0" w:type="dxa"/>
              <w:bottom w:w="100" w:type="dxa"/>
              <w:right w:w="60" w:type="dxa"/>
            </w:tcMar>
          </w:tcPr>
          <w:p w14:paraId="6F01A039" w14:textId="77777777" w:rsidR="006D7A4B" w:rsidRDefault="006D7A4B" w:rsidP="00A9140F">
            <w:pPr>
              <w:pStyle w:val="AnnexNumberedText"/>
              <w:spacing w:after="0"/>
              <w:ind w:left="293" w:hanging="293"/>
              <w:rPr>
                <w:szCs w:val="18"/>
              </w:rPr>
            </w:pPr>
            <w:r>
              <w:t>1)</w:t>
            </w:r>
            <w:r>
              <w:tab/>
              <w:t>Mildun loftslagsbreytinga</w:t>
            </w:r>
          </w:p>
        </w:tc>
        <w:tc>
          <w:tcPr>
            <w:tcW w:w="5880" w:type="dxa"/>
            <w:tcMar>
              <w:top w:w="100" w:type="dxa"/>
              <w:left w:w="60" w:type="dxa"/>
              <w:bottom w:w="100" w:type="dxa"/>
              <w:right w:w="0" w:type="dxa"/>
            </w:tcMar>
          </w:tcPr>
          <w:p w14:paraId="2C6C9110" w14:textId="77777777" w:rsidR="006D7A4B" w:rsidRDefault="006D7A4B" w:rsidP="00A9140F">
            <w:pPr>
              <w:pStyle w:val="AnnexTableCellLeft"/>
              <w:rPr>
                <w:szCs w:val="18"/>
              </w:rPr>
            </w:pPr>
            <w:r>
              <w:t>Bein losun á gróðurhúsalofttegundum í starfseminni er minni en 270 g CO</w:t>
            </w:r>
            <w:r>
              <w:rPr>
                <w:vertAlign w:val="subscript"/>
              </w:rPr>
              <w:t>2</w:t>
            </w:r>
            <w:r>
              <w:t>e/kWh.</w:t>
            </w:r>
          </w:p>
        </w:tc>
      </w:tr>
      <w:tr w:rsidR="006D7A4B" w14:paraId="5F45F805" w14:textId="77777777" w:rsidTr="00A9140F">
        <w:tc>
          <w:tcPr>
            <w:tcW w:w="2856" w:type="dxa"/>
            <w:tcMar>
              <w:top w:w="100" w:type="dxa"/>
              <w:left w:w="0" w:type="dxa"/>
              <w:bottom w:w="100" w:type="dxa"/>
              <w:right w:w="60" w:type="dxa"/>
            </w:tcMar>
          </w:tcPr>
          <w:p w14:paraId="654CCE47"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80" w:type="dxa"/>
            <w:tcMar>
              <w:top w:w="100" w:type="dxa"/>
              <w:left w:w="60" w:type="dxa"/>
              <w:bottom w:w="100" w:type="dxa"/>
              <w:right w:w="0" w:type="dxa"/>
            </w:tcMar>
          </w:tcPr>
          <w:p w14:paraId="4E9257FA" w14:textId="77777777" w:rsidR="006D7A4B" w:rsidRDefault="006D7A4B" w:rsidP="00A9140F">
            <w:pPr>
              <w:pStyle w:val="AnnexTableCellLeft"/>
              <w:rPr>
                <w:szCs w:val="18"/>
              </w:rPr>
            </w:pPr>
            <w:r>
              <w:t>Starfsemin er í samræmi við viðmiðanirnar sem settar eru fram í viðbæti B við þennan viðauka.</w:t>
            </w:r>
          </w:p>
        </w:tc>
      </w:tr>
      <w:tr w:rsidR="006D7A4B" w14:paraId="1B218F5C" w14:textId="77777777" w:rsidTr="00A9140F">
        <w:tc>
          <w:tcPr>
            <w:tcW w:w="2856" w:type="dxa"/>
            <w:tcBorders>
              <w:bottom w:val="single" w:sz="4" w:space="0" w:color="auto"/>
            </w:tcBorders>
            <w:tcMar>
              <w:top w:w="100" w:type="dxa"/>
              <w:left w:w="0" w:type="dxa"/>
              <w:bottom w:w="100" w:type="dxa"/>
              <w:right w:w="60" w:type="dxa"/>
            </w:tcMar>
          </w:tcPr>
          <w:p w14:paraId="1A48CEBB" w14:textId="77777777" w:rsidR="006D7A4B" w:rsidRDefault="006D7A4B" w:rsidP="00A9140F">
            <w:pPr>
              <w:pStyle w:val="AnnexNumberedText"/>
              <w:spacing w:after="0"/>
              <w:ind w:left="293" w:hanging="293"/>
              <w:rPr>
                <w:szCs w:val="18"/>
              </w:rPr>
            </w:pPr>
            <w:r>
              <w:t>4)</w:t>
            </w:r>
            <w:r>
              <w:tab/>
              <w:t>Umskipti yfir í hringrásarhagkerfi</w:t>
            </w:r>
          </w:p>
        </w:tc>
        <w:tc>
          <w:tcPr>
            <w:tcW w:w="5880" w:type="dxa"/>
            <w:tcBorders>
              <w:bottom w:val="single" w:sz="4" w:space="0" w:color="auto"/>
            </w:tcBorders>
            <w:tcMar>
              <w:top w:w="100" w:type="dxa"/>
              <w:left w:w="60" w:type="dxa"/>
              <w:bottom w:w="100" w:type="dxa"/>
              <w:right w:w="0" w:type="dxa"/>
            </w:tcMar>
          </w:tcPr>
          <w:p w14:paraId="762F9986" w14:textId="77777777" w:rsidR="006D7A4B" w:rsidRDefault="006D7A4B" w:rsidP="00A9140F">
            <w:pPr>
              <w:pStyle w:val="AnnexTableCellLeft"/>
              <w:rPr>
                <w:szCs w:val="18"/>
              </w:rPr>
            </w:pPr>
            <w:r>
              <w:t>Á ekki við</w:t>
            </w:r>
          </w:p>
        </w:tc>
      </w:tr>
      <w:tr w:rsidR="006D7A4B" w14:paraId="26939F21" w14:textId="77777777" w:rsidTr="00A9140F">
        <w:tc>
          <w:tcPr>
            <w:tcW w:w="2856" w:type="dxa"/>
            <w:tcBorders>
              <w:bottom w:val="nil"/>
            </w:tcBorders>
            <w:tcMar>
              <w:top w:w="100" w:type="dxa"/>
              <w:left w:w="0" w:type="dxa"/>
              <w:bottom w:w="100" w:type="dxa"/>
              <w:right w:w="60" w:type="dxa"/>
            </w:tcMar>
          </w:tcPr>
          <w:p w14:paraId="718582A1" w14:textId="77777777" w:rsidR="006D7A4B" w:rsidRDefault="006D7A4B" w:rsidP="00A9140F">
            <w:pPr>
              <w:pStyle w:val="AnnexNumberedText"/>
              <w:spacing w:after="0"/>
              <w:ind w:left="293" w:hanging="293"/>
              <w:rPr>
                <w:szCs w:val="18"/>
              </w:rPr>
            </w:pPr>
            <w:r>
              <w:t>5)</w:t>
            </w:r>
            <w:r>
              <w:tab/>
              <w:t xml:space="preserve">Mengunarvarnir og eftirlit með </w:t>
            </w:r>
            <w:r>
              <w:lastRenderedPageBreak/>
              <w:t>mengun</w:t>
            </w:r>
          </w:p>
        </w:tc>
        <w:tc>
          <w:tcPr>
            <w:tcW w:w="5880" w:type="dxa"/>
            <w:tcBorders>
              <w:bottom w:val="nil"/>
            </w:tcBorders>
            <w:tcMar>
              <w:top w:w="100" w:type="dxa"/>
              <w:left w:w="60" w:type="dxa"/>
              <w:bottom w:w="100" w:type="dxa"/>
              <w:right w:w="0" w:type="dxa"/>
            </w:tcMar>
          </w:tcPr>
          <w:p w14:paraId="29F13BE6" w14:textId="77777777" w:rsidR="006D7A4B" w:rsidRDefault="006D7A4B" w:rsidP="00A9140F">
            <w:pPr>
              <w:pStyle w:val="AnnexTableCellLeft"/>
              <w:rPr>
                <w:szCs w:val="18"/>
              </w:rPr>
            </w:pPr>
            <w:r>
              <w:lastRenderedPageBreak/>
              <w:t>Losun fellur innan við eða undir svið losunargilda sem tengjast bestu aðgengi</w:t>
            </w:r>
            <w:r>
              <w:lastRenderedPageBreak/>
              <w:t>legu tækni samkvæmt nýjustu viðeigandi niðurstöðum um bestu aðgengilegu tækni, þ.m.t. niðurstöður um bestu aðgengilegu tækni fyrir stór brennsluver (</w:t>
            </w:r>
            <w:r>
              <w:rPr>
                <w:rStyle w:val="Tilvsunneanmlsgrein"/>
                <w:sz w:val="18"/>
                <w:szCs w:val="18"/>
              </w:rPr>
              <w:footnoteReference w:id="715"/>
            </w:r>
            <w:r>
              <w:t>). Engin umtalsverð yfirfærsluáhrif milli umhverfishólfa eiga sér stað.</w:t>
            </w:r>
          </w:p>
        </w:tc>
      </w:tr>
      <w:tr w:rsidR="006D7A4B" w14:paraId="1C42CB8C" w14:textId="77777777" w:rsidTr="00A9140F">
        <w:trPr>
          <w:trHeight w:val="240"/>
        </w:trPr>
        <w:tc>
          <w:tcPr>
            <w:tcW w:w="2856" w:type="dxa"/>
            <w:tcBorders>
              <w:top w:val="single" w:sz="4" w:space="0" w:color="auto"/>
            </w:tcBorders>
            <w:tcMar>
              <w:top w:w="100" w:type="dxa"/>
              <w:left w:w="0" w:type="dxa"/>
              <w:bottom w:w="100" w:type="dxa"/>
              <w:right w:w="60" w:type="dxa"/>
            </w:tcMar>
          </w:tcPr>
          <w:p w14:paraId="084C6DCA" w14:textId="77777777" w:rsidR="006D7A4B" w:rsidRDefault="006D7A4B" w:rsidP="00A9140F">
            <w:pPr>
              <w:pStyle w:val="AnnexTableCellLeft"/>
              <w:pageBreakBefore/>
            </w:pPr>
          </w:p>
        </w:tc>
        <w:tc>
          <w:tcPr>
            <w:tcW w:w="5880" w:type="dxa"/>
            <w:tcBorders>
              <w:top w:val="single" w:sz="4" w:space="0" w:color="auto"/>
            </w:tcBorders>
            <w:tcMar>
              <w:top w:w="100" w:type="dxa"/>
              <w:left w:w="60" w:type="dxa"/>
              <w:bottom w:w="100" w:type="dxa"/>
              <w:right w:w="0" w:type="dxa"/>
            </w:tcMar>
          </w:tcPr>
          <w:p w14:paraId="771C85B8" w14:textId="77777777" w:rsidR="006D7A4B" w:rsidRDefault="006D7A4B" w:rsidP="00A9140F">
            <w:pPr>
              <w:pStyle w:val="AnnexTableCellLeft"/>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tc>
      </w:tr>
      <w:tr w:rsidR="006D7A4B" w14:paraId="750E9D87" w14:textId="77777777" w:rsidTr="00A9140F">
        <w:trPr>
          <w:trHeight w:val="360"/>
        </w:trPr>
        <w:tc>
          <w:tcPr>
            <w:tcW w:w="2856" w:type="dxa"/>
            <w:tcMar>
              <w:top w:w="100" w:type="dxa"/>
              <w:left w:w="0" w:type="dxa"/>
              <w:bottom w:w="100" w:type="dxa"/>
              <w:right w:w="60" w:type="dxa"/>
            </w:tcMar>
          </w:tcPr>
          <w:p w14:paraId="49877C52" w14:textId="77777777" w:rsidR="006D7A4B" w:rsidRDefault="006D7A4B" w:rsidP="00A9140F">
            <w:pPr>
              <w:pStyle w:val="AnnexNumberedText"/>
              <w:spacing w:after="0"/>
              <w:ind w:left="293" w:hanging="293"/>
            </w:pPr>
            <w:r>
              <w:t>6)</w:t>
            </w:r>
            <w:r>
              <w:tab/>
              <w:t>Vernd og endurheimt líffræðilegrar fjölbreytni og vistkerfa</w:t>
            </w:r>
          </w:p>
        </w:tc>
        <w:tc>
          <w:tcPr>
            <w:tcW w:w="5880" w:type="dxa"/>
            <w:tcMar>
              <w:top w:w="100" w:type="dxa"/>
              <w:left w:w="60" w:type="dxa"/>
              <w:bottom w:w="100" w:type="dxa"/>
              <w:right w:w="0" w:type="dxa"/>
            </w:tcMar>
          </w:tcPr>
          <w:p w14:paraId="6DB9340C" w14:textId="77777777" w:rsidR="006D7A4B" w:rsidRDefault="006D7A4B" w:rsidP="00A9140F">
            <w:pPr>
              <w:pStyle w:val="AnnexTableCellLeft"/>
            </w:pPr>
            <w:r>
              <w:t>Starfsemin er í samræmi við viðmiðanirnar sem settar eru fram í viðbæti D við þennan viðauka.</w:t>
            </w:r>
          </w:p>
        </w:tc>
      </w:tr>
    </w:tbl>
    <w:p w14:paraId="4CBE36E8" w14:textId="77777777" w:rsidR="006D7A4B" w:rsidRDefault="006D7A4B" w:rsidP="006D7A4B">
      <w:pPr>
        <w:pStyle w:val="AnnexNumberedText"/>
        <w:ind w:left="504" w:hanging="504"/>
      </w:pPr>
      <w:r>
        <w:t>4.24.</w:t>
      </w:r>
      <w:r>
        <w:rPr>
          <w:b/>
        </w:rPr>
        <w:tab/>
        <w:t>Framleiðsla á varma/kælingu úr líforku</w:t>
      </w:r>
    </w:p>
    <w:p w14:paraId="384D4DA7" w14:textId="77777777" w:rsidR="006D7A4B" w:rsidRDefault="006D7A4B" w:rsidP="006D7A4B">
      <w:pPr>
        <w:pStyle w:val="AnnexGrSeq3"/>
        <w:spacing w:after="120"/>
        <w:ind w:left="504"/>
        <w:jc w:val="both"/>
      </w:pPr>
      <w:r>
        <w:rPr>
          <w:i/>
        </w:rPr>
        <w:t>Lýsing á starfseminni</w:t>
      </w:r>
    </w:p>
    <w:p w14:paraId="08A8E4AD" w14:textId="77777777" w:rsidR="006D7A4B" w:rsidRDefault="006D7A4B" w:rsidP="006D7A4B">
      <w:pPr>
        <w:pStyle w:val="AnnexNormal"/>
        <w:spacing w:after="300"/>
        <w:ind w:left="504"/>
      </w:pPr>
      <w:r>
        <w:t>Bygging og rekstur stöðva sem framleiða varma/kælingu eingöngu úr lífmassa, lífgasi eða fljótandi lífeldsneyti, að undanskilinni framleiðslu á varma/kælingu úr blöndu af endurnýjanlegu eldsneyti með lífgasi eða fljótandi lífeldsneyti (sjá þátt 4.23 í þessum viðauka).</w:t>
      </w:r>
    </w:p>
    <w:p w14:paraId="52596EA1" w14:textId="77777777" w:rsidR="006D7A4B" w:rsidRDefault="006D7A4B" w:rsidP="006D7A4B">
      <w:pPr>
        <w:pStyle w:val="AnnexNormal"/>
        <w:spacing w:after="300"/>
        <w:ind w:left="504"/>
      </w:pPr>
      <w:r>
        <w:t>Atvinnustarfsemin í þessum flokki gæti tengst kóða atvinnugreinaflokkunar Evrópusambandsins D35.30 í samræmi við atvinnugreinaflokkunina sem komið var á með reglugerð (EB) nr. 1893/2006.</w:t>
      </w:r>
    </w:p>
    <w:p w14:paraId="4BF5EFA7"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880"/>
        <w:gridCol w:w="5856"/>
      </w:tblGrid>
      <w:tr w:rsidR="006D7A4B" w14:paraId="1E8E89D0" w14:textId="77777777" w:rsidTr="00A9140F">
        <w:trPr>
          <w:trHeight w:val="240"/>
        </w:trPr>
        <w:tc>
          <w:tcPr>
            <w:tcW w:w="8736" w:type="dxa"/>
            <w:gridSpan w:val="2"/>
            <w:tcBorders>
              <w:bottom w:val="single" w:sz="4" w:space="0" w:color="auto"/>
            </w:tcBorders>
            <w:tcMar>
              <w:left w:w="0" w:type="dxa"/>
              <w:right w:w="60" w:type="dxa"/>
            </w:tcMar>
          </w:tcPr>
          <w:p w14:paraId="34F7B95A" w14:textId="77777777" w:rsidR="006D7A4B" w:rsidRDefault="006D7A4B" w:rsidP="00A9140F">
            <w:pPr>
              <w:pStyle w:val="AnnexTableCellLeft"/>
              <w:spacing w:before="40" w:after="40"/>
            </w:pPr>
            <w:r>
              <w:t>Verulegt framlag til aðlögunar að loftslagsbreytingum</w:t>
            </w:r>
          </w:p>
        </w:tc>
      </w:tr>
      <w:tr w:rsidR="006D7A4B" w14:paraId="3D360D3F" w14:textId="77777777" w:rsidTr="00A9140F">
        <w:trPr>
          <w:trHeight w:val="360"/>
        </w:trPr>
        <w:tc>
          <w:tcPr>
            <w:tcW w:w="8736" w:type="dxa"/>
            <w:gridSpan w:val="2"/>
            <w:tcBorders>
              <w:bottom w:val="nil"/>
            </w:tcBorders>
            <w:tcMar>
              <w:left w:w="0" w:type="dxa"/>
              <w:right w:w="60" w:type="dxa"/>
            </w:tcMar>
          </w:tcPr>
          <w:p w14:paraId="5D49BB6A" w14:textId="77777777" w:rsidR="006D7A4B" w:rsidRDefault="006D7A4B" w:rsidP="00A9140F">
            <w:pPr>
              <w:pStyle w:val="AnnexNumberedText"/>
              <w:tabs>
                <w:tab w:val="left" w:pos="396"/>
              </w:tabs>
              <w:spacing w:after="3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70A7BCF4" w14:textId="77777777" w:rsidR="006D7A4B" w:rsidRDefault="006D7A4B" w:rsidP="00A9140F">
            <w:pPr>
              <w:pStyle w:val="AnnexNumberedText"/>
              <w:tabs>
                <w:tab w:val="left" w:pos="396"/>
              </w:tabs>
              <w:spacing w:after="3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E08C89C" w14:textId="77777777" w:rsidR="006D7A4B" w:rsidRDefault="006D7A4B" w:rsidP="00A9140F">
            <w:pPr>
              <w:pStyle w:val="AnnexNumberedText"/>
              <w:spacing w:after="300"/>
            </w:pPr>
            <w:r>
              <w:t>a)</w:t>
            </w:r>
            <w:r>
              <w:tab/>
              <w:t>skimun á starfseminni til að greina hvaða efnislega loftslagsáhætta úr skránni í viðbæti A við þennan viðauka getur haft áhrif á árangurinn af atvinnustarfseminni á væntum líftíma hennar,</w:t>
            </w:r>
          </w:p>
          <w:p w14:paraId="6204FF22" w14:textId="77777777" w:rsidR="006D7A4B" w:rsidRDefault="006D7A4B" w:rsidP="00A9140F">
            <w:pPr>
              <w:pStyle w:val="AnnexNumberedText"/>
              <w:spacing w:after="3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4BC9BEE" w14:textId="77777777" w:rsidR="006D7A4B" w:rsidRDefault="006D7A4B" w:rsidP="00A9140F">
            <w:pPr>
              <w:pStyle w:val="AnnexNumberedText"/>
              <w:spacing w:after="300"/>
            </w:pPr>
            <w:r>
              <w:t>c)</w:t>
            </w:r>
            <w:r>
              <w:tab/>
              <w:t>mat á aðlögunarlausnum sem geta dregið úr greindri efnislegri loftslagsáhættu.</w:t>
            </w:r>
          </w:p>
          <w:p w14:paraId="02B6FED6" w14:textId="77777777" w:rsidR="006D7A4B" w:rsidRDefault="006D7A4B" w:rsidP="00A9140F">
            <w:pPr>
              <w:pStyle w:val="AnnexTableCellLeft"/>
              <w:spacing w:after="300"/>
            </w:pPr>
            <w:r>
              <w:t xml:space="preserve">Loftslagsáhættu- og veikleikamatið er í réttu hlutfalli við umfang starfseminnar og </w:t>
            </w:r>
            <w:proofErr w:type="spellStart"/>
            <w:r>
              <w:t>væntan</w:t>
            </w:r>
            <w:proofErr w:type="spellEnd"/>
            <w:r>
              <w:t xml:space="preserve"> líftíma hennar þannig að:</w:t>
            </w:r>
          </w:p>
          <w:p w14:paraId="415B1782" w14:textId="77777777" w:rsidR="006D7A4B" w:rsidRDefault="006D7A4B" w:rsidP="00A9140F">
            <w:pPr>
              <w:pStyle w:val="AnnexNumberedText"/>
              <w:spacing w:after="30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EA19FCF" w14:textId="77777777" w:rsidR="006D7A4B" w:rsidRDefault="006D7A4B"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1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97CA0E9" w14:textId="77777777" w:rsidR="006D7A4B" w:rsidRDefault="006D7A4B" w:rsidP="00A9140F">
            <w:pPr>
              <w:pStyle w:val="AnnexNumberedText"/>
              <w:tabs>
                <w:tab w:val="left" w:pos="396"/>
              </w:tabs>
              <w:spacing w:after="0"/>
              <w:ind w:left="0" w:firstLine="0"/>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17"/>
            </w:r>
            <w:r>
              <w:t>), vísindalegt ritrýnt útgefið efni og líkön með opnum aðgangi (</w:t>
            </w:r>
            <w:r>
              <w:rPr>
                <w:rStyle w:val="Tilvsunneanmlsgrein"/>
                <w:sz w:val="18"/>
                <w:szCs w:val="18"/>
              </w:rPr>
              <w:footnoteReference w:id="718"/>
            </w:r>
            <w:r>
              <w:t>) eða gegn greiðslu.</w:t>
            </w:r>
          </w:p>
        </w:tc>
      </w:tr>
      <w:tr w:rsidR="006D7A4B" w14:paraId="174265E7" w14:textId="77777777" w:rsidTr="00A9140F">
        <w:trPr>
          <w:trHeight w:val="360"/>
        </w:trPr>
        <w:tc>
          <w:tcPr>
            <w:tcW w:w="8736" w:type="dxa"/>
            <w:gridSpan w:val="2"/>
            <w:tcBorders>
              <w:top w:val="nil"/>
            </w:tcBorders>
            <w:tcMar>
              <w:left w:w="0" w:type="dxa"/>
              <w:right w:w="60" w:type="dxa"/>
            </w:tcMar>
          </w:tcPr>
          <w:p w14:paraId="5DA6F470" w14:textId="77777777" w:rsidR="006D7A4B" w:rsidRDefault="006D7A4B" w:rsidP="00A9140F">
            <w:pPr>
              <w:pStyle w:val="AnnexNumberedText"/>
              <w:pageBreakBefore/>
              <w:tabs>
                <w:tab w:val="left" w:pos="396"/>
              </w:tabs>
              <w:spacing w:after="400"/>
              <w:ind w:left="0" w:firstLine="0"/>
              <w:rPr>
                <w:szCs w:val="18"/>
              </w:rPr>
            </w:pPr>
            <w:r>
              <w:lastRenderedPageBreak/>
              <w:t>4.</w:t>
            </w:r>
            <w:r>
              <w:tab/>
              <w:t>Aðlögunarlausnir sem komið er í framkvæmd:</w:t>
            </w:r>
          </w:p>
          <w:p w14:paraId="68FC629F"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35606A38"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719"/>
            </w:r>
            <w:r>
              <w:t>) í forgangi eða treyst er á bláa eða græna innviði (</w:t>
            </w:r>
            <w:r>
              <w:rPr>
                <w:rStyle w:val="Tilvsunneanmlsgrein"/>
                <w:sz w:val="18"/>
                <w:szCs w:val="18"/>
              </w:rPr>
              <w:footnoteReference w:id="720"/>
            </w:r>
            <w:r>
              <w:t>) að því marki sem mögulegt er,</w:t>
            </w:r>
          </w:p>
          <w:p w14:paraId="4ED7B4DE"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44429046" w14:textId="77777777" w:rsidR="006D7A4B" w:rsidRDefault="006D7A4B" w:rsidP="00A9140F">
            <w:pPr>
              <w:pStyle w:val="AnnexNumberedText"/>
              <w:spacing w:after="4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8A5AF49"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6DBEDA5" w14:textId="77777777" w:rsidTr="00A9140F">
        <w:trPr>
          <w:trHeight w:val="240"/>
        </w:trPr>
        <w:tc>
          <w:tcPr>
            <w:tcW w:w="8736" w:type="dxa"/>
            <w:gridSpan w:val="2"/>
            <w:tcMar>
              <w:top w:w="100" w:type="dxa"/>
              <w:left w:w="0" w:type="dxa"/>
              <w:bottom w:w="100" w:type="dxa"/>
              <w:right w:w="60" w:type="dxa"/>
            </w:tcMar>
          </w:tcPr>
          <w:p w14:paraId="694C1559" w14:textId="77777777" w:rsidR="006D7A4B" w:rsidRDefault="006D7A4B" w:rsidP="00A9140F">
            <w:pPr>
              <w:pStyle w:val="AnnexTableCellLeft"/>
            </w:pPr>
            <w:r>
              <w:t>Ekki valda umtalsverðu tjóni</w:t>
            </w:r>
          </w:p>
        </w:tc>
      </w:tr>
      <w:tr w:rsidR="006D7A4B" w14:paraId="306DBE83" w14:textId="77777777" w:rsidTr="00A9140F">
        <w:trPr>
          <w:trHeight w:val="360"/>
        </w:trPr>
        <w:tc>
          <w:tcPr>
            <w:tcW w:w="2880" w:type="dxa"/>
            <w:tcMar>
              <w:top w:w="100" w:type="dxa"/>
              <w:left w:w="0" w:type="dxa"/>
              <w:bottom w:w="100" w:type="dxa"/>
              <w:right w:w="60" w:type="dxa"/>
            </w:tcMar>
          </w:tcPr>
          <w:p w14:paraId="5E38A583" w14:textId="77777777" w:rsidR="006D7A4B" w:rsidRDefault="006D7A4B" w:rsidP="00A9140F">
            <w:pPr>
              <w:pStyle w:val="AnnexNumberedText"/>
              <w:spacing w:after="0"/>
              <w:ind w:left="293" w:hanging="293"/>
            </w:pPr>
            <w:r>
              <w:t>1)</w:t>
            </w:r>
            <w:r>
              <w:tab/>
              <w:t>Mildun loftslagsbreytinga</w:t>
            </w:r>
          </w:p>
        </w:tc>
        <w:tc>
          <w:tcPr>
            <w:tcW w:w="5856" w:type="dxa"/>
            <w:tcMar>
              <w:top w:w="100" w:type="dxa"/>
              <w:left w:w="60" w:type="dxa"/>
              <w:bottom w:w="100" w:type="dxa"/>
              <w:right w:w="0" w:type="dxa"/>
            </w:tcMar>
          </w:tcPr>
          <w:p w14:paraId="3E3272E0" w14:textId="77777777" w:rsidR="006D7A4B" w:rsidRDefault="006D7A4B" w:rsidP="00A9140F">
            <w:pPr>
              <w:pStyle w:val="AnnexTableCellLeft"/>
            </w:pPr>
            <w:r>
              <w:t>Starfsemin uppfyllir kröfur sem varða sjálfbærni, minnkun á losun gróðurhúsalofttegunda og skilvirkni sem mælt er fyrir um í 29. gr. tilskipunar 2018/2001.</w:t>
            </w:r>
          </w:p>
        </w:tc>
      </w:tr>
      <w:tr w:rsidR="006D7A4B" w14:paraId="7FE77062" w14:textId="77777777" w:rsidTr="00A9140F">
        <w:trPr>
          <w:trHeight w:val="360"/>
        </w:trPr>
        <w:tc>
          <w:tcPr>
            <w:tcW w:w="2880" w:type="dxa"/>
            <w:tcMar>
              <w:top w:w="100" w:type="dxa"/>
              <w:left w:w="0" w:type="dxa"/>
              <w:bottom w:w="100" w:type="dxa"/>
              <w:right w:w="60" w:type="dxa"/>
            </w:tcMar>
          </w:tcPr>
          <w:p w14:paraId="7D3277D6" w14:textId="77777777" w:rsidR="006D7A4B" w:rsidRDefault="006D7A4B" w:rsidP="00A9140F">
            <w:pPr>
              <w:pStyle w:val="AnnexNumberedText"/>
              <w:spacing w:after="0"/>
              <w:ind w:left="293" w:hanging="293"/>
            </w:pPr>
            <w:r>
              <w:t>3)</w:t>
            </w:r>
            <w:r>
              <w:tab/>
              <w:t>Sjálfbær notkun og verndun vatns- og sjávarauðlinda</w:t>
            </w:r>
          </w:p>
        </w:tc>
        <w:tc>
          <w:tcPr>
            <w:tcW w:w="5856" w:type="dxa"/>
            <w:tcMar>
              <w:top w:w="100" w:type="dxa"/>
              <w:left w:w="60" w:type="dxa"/>
              <w:bottom w:w="100" w:type="dxa"/>
              <w:right w:w="0" w:type="dxa"/>
            </w:tcMar>
          </w:tcPr>
          <w:p w14:paraId="142C3B31" w14:textId="77777777" w:rsidR="006D7A4B" w:rsidRDefault="006D7A4B" w:rsidP="00A9140F">
            <w:pPr>
              <w:pStyle w:val="AnnexTableCellLeft"/>
            </w:pPr>
            <w:r>
              <w:t>Starfsemin er í samræmi við viðmiðanirnar sem settar eru fram í viðbæti B við þennan viðauka.</w:t>
            </w:r>
          </w:p>
        </w:tc>
      </w:tr>
      <w:tr w:rsidR="006D7A4B" w14:paraId="166B7C0A" w14:textId="77777777" w:rsidTr="00A9140F">
        <w:trPr>
          <w:trHeight w:val="360"/>
        </w:trPr>
        <w:tc>
          <w:tcPr>
            <w:tcW w:w="2880" w:type="dxa"/>
            <w:tcBorders>
              <w:bottom w:val="single" w:sz="4" w:space="0" w:color="auto"/>
            </w:tcBorders>
            <w:tcMar>
              <w:top w:w="100" w:type="dxa"/>
              <w:left w:w="0" w:type="dxa"/>
              <w:bottom w:w="100" w:type="dxa"/>
              <w:right w:w="60" w:type="dxa"/>
            </w:tcMar>
          </w:tcPr>
          <w:p w14:paraId="6CCF5889" w14:textId="77777777" w:rsidR="006D7A4B" w:rsidRDefault="006D7A4B" w:rsidP="00A9140F">
            <w:pPr>
              <w:pStyle w:val="AnnexNumberedText"/>
              <w:spacing w:after="0"/>
              <w:ind w:left="293" w:hanging="293"/>
            </w:pPr>
            <w:r>
              <w:t>4)</w:t>
            </w:r>
            <w:r>
              <w:tab/>
              <w:t>Umskipti yfir í hringrásarhagkerfi</w:t>
            </w:r>
          </w:p>
        </w:tc>
        <w:tc>
          <w:tcPr>
            <w:tcW w:w="5856" w:type="dxa"/>
            <w:tcBorders>
              <w:bottom w:val="single" w:sz="4" w:space="0" w:color="auto"/>
            </w:tcBorders>
            <w:tcMar>
              <w:top w:w="100" w:type="dxa"/>
              <w:left w:w="60" w:type="dxa"/>
              <w:bottom w:w="100" w:type="dxa"/>
              <w:right w:w="0" w:type="dxa"/>
            </w:tcMar>
          </w:tcPr>
          <w:p w14:paraId="69846033" w14:textId="77777777" w:rsidR="006D7A4B" w:rsidRDefault="006D7A4B" w:rsidP="00A9140F">
            <w:pPr>
              <w:pStyle w:val="AnnexTableCellLeft"/>
            </w:pPr>
            <w:r>
              <w:t>Á ekki við</w:t>
            </w:r>
          </w:p>
        </w:tc>
      </w:tr>
      <w:tr w:rsidR="006D7A4B" w14:paraId="7822D90D" w14:textId="77777777" w:rsidTr="00A9140F">
        <w:trPr>
          <w:trHeight w:val="360"/>
        </w:trPr>
        <w:tc>
          <w:tcPr>
            <w:tcW w:w="2880" w:type="dxa"/>
            <w:tcBorders>
              <w:bottom w:val="nil"/>
            </w:tcBorders>
            <w:tcMar>
              <w:top w:w="100" w:type="dxa"/>
              <w:left w:w="0" w:type="dxa"/>
              <w:bottom w:w="100" w:type="dxa"/>
              <w:right w:w="60" w:type="dxa"/>
            </w:tcMar>
          </w:tcPr>
          <w:p w14:paraId="34825A9C" w14:textId="77777777" w:rsidR="006D7A4B" w:rsidRDefault="006D7A4B" w:rsidP="00A9140F">
            <w:pPr>
              <w:pStyle w:val="AnnexNumberedText"/>
              <w:spacing w:after="0"/>
              <w:ind w:left="293" w:hanging="293"/>
              <w:rPr>
                <w:szCs w:val="18"/>
              </w:rPr>
            </w:pPr>
            <w:r>
              <w:t>5)</w:t>
            </w:r>
            <w:r>
              <w:tab/>
              <w:t>Mengunarvarnir og eftirlit með mengun</w:t>
            </w:r>
          </w:p>
        </w:tc>
        <w:tc>
          <w:tcPr>
            <w:tcW w:w="5856" w:type="dxa"/>
            <w:tcBorders>
              <w:bottom w:val="nil"/>
            </w:tcBorders>
            <w:tcMar>
              <w:top w:w="100" w:type="dxa"/>
              <w:left w:w="60" w:type="dxa"/>
              <w:bottom w:w="100" w:type="dxa"/>
              <w:right w:w="0" w:type="dxa"/>
            </w:tcMar>
          </w:tcPr>
          <w:p w14:paraId="07DAD763" w14:textId="77777777" w:rsidR="006D7A4B" w:rsidRDefault="006D7A4B" w:rsidP="00A9140F">
            <w:pPr>
              <w:pStyle w:val="AnnexTableCellLeft"/>
              <w:spacing w:after="300"/>
              <w:rPr>
                <w:szCs w:val="18"/>
              </w:rPr>
            </w:pPr>
            <w:r>
              <w:t>Að því er varðar stöðvar sem falla undir gildissvið tilskipunar 2010/75/ESB fellur losun innan við eða undir svið losunargilda sem tengjast bestu aðgengilegu tækni samkvæmt nýjustu viðeigandi niðurstöðum um bestu aðgengilegu tækni, þ.m.t. niðurstöður um bestu aðgengilegu tækni fyrir stór brennsluver (</w:t>
            </w:r>
            <w:r>
              <w:rPr>
                <w:rStyle w:val="Tilvsunneanmlsgrein"/>
                <w:sz w:val="18"/>
                <w:szCs w:val="18"/>
              </w:rPr>
              <w:footnoteReference w:id="721"/>
            </w:r>
            <w:r>
              <w:t>), um leið og tryggt er að engin umtalsverð yfirfærsluáhrif milli umhverfishólfa eigi sér stað.</w:t>
            </w:r>
          </w:p>
          <w:p w14:paraId="718593BB" w14:textId="77777777" w:rsidR="006D7A4B" w:rsidRDefault="006D7A4B" w:rsidP="00A9140F">
            <w:pPr>
              <w:pStyle w:val="AnnexTableCellLeft"/>
              <w:spacing w:after="300"/>
              <w:rPr>
                <w:szCs w:val="18"/>
              </w:rPr>
            </w:pPr>
            <w:r>
              <w:t>Að því er varðar brennsluver með varmaafl sem er meira en 1 MW en undir viðmiðunarmörkunum fyrir niðurstöðurnar um bestu aðgengilegu tækni sem gilda fyrir stór brennsluver er losunin undir viðmiðunarmörkunum fyrir losun sem sett eru fram í 2. hluta II. viðauka við tilskipun (ESB) 2015/2193.</w:t>
            </w:r>
          </w:p>
          <w:p w14:paraId="2C815190" w14:textId="77777777" w:rsidR="006D7A4B" w:rsidRDefault="006D7A4B" w:rsidP="00A9140F">
            <w:pPr>
              <w:pStyle w:val="AnnexTableCellLeft"/>
              <w:rPr>
                <w:szCs w:val="18"/>
              </w:rPr>
            </w:pPr>
            <w:r>
              <w:t>Að því er varðar stöðvar á svæðum eða hlutum svæða sem uppfylla ekki viðmiðunarmörkin fyrir loftgæði, sem mælt er fyrir um í tilskipun 2008/50/EB, er tekið tilliti til niðurstaðna upplýsingaskiptanna (</w:t>
            </w:r>
            <w:r>
              <w:rPr>
                <w:rStyle w:val="Tilvsunneanmlsgrein"/>
                <w:sz w:val="18"/>
                <w:szCs w:val="18"/>
              </w:rPr>
              <w:footnoteReference w:id="722"/>
            </w:r>
            <w:r>
              <w:t>) sem framkvæmdastjórnin birtir í samræmi við 9. og 10. mgr. 6. gr. tilskipunar (ESB) 2015/2193.</w:t>
            </w:r>
          </w:p>
        </w:tc>
      </w:tr>
      <w:tr w:rsidR="006D7A4B" w14:paraId="7E4E0FDB" w14:textId="77777777" w:rsidTr="00A9140F">
        <w:trPr>
          <w:trHeight w:val="240"/>
        </w:trPr>
        <w:tc>
          <w:tcPr>
            <w:tcW w:w="2880" w:type="dxa"/>
            <w:tcBorders>
              <w:top w:val="single" w:sz="4" w:space="0" w:color="auto"/>
            </w:tcBorders>
            <w:tcMar>
              <w:top w:w="100" w:type="dxa"/>
              <w:left w:w="0" w:type="dxa"/>
              <w:bottom w:w="100" w:type="dxa"/>
              <w:right w:w="60" w:type="dxa"/>
            </w:tcMar>
          </w:tcPr>
          <w:p w14:paraId="6BEDBC75" w14:textId="77777777" w:rsidR="006D7A4B" w:rsidRDefault="006D7A4B" w:rsidP="00A9140F">
            <w:pPr>
              <w:pStyle w:val="AnnexTableCellLeft"/>
              <w:pageBreakBefore/>
            </w:pPr>
          </w:p>
        </w:tc>
        <w:tc>
          <w:tcPr>
            <w:tcW w:w="5856" w:type="dxa"/>
            <w:tcBorders>
              <w:top w:val="single" w:sz="4" w:space="0" w:color="auto"/>
            </w:tcBorders>
            <w:tcMar>
              <w:top w:w="100" w:type="dxa"/>
              <w:left w:w="60" w:type="dxa"/>
              <w:bottom w:w="100" w:type="dxa"/>
              <w:right w:w="0" w:type="dxa"/>
            </w:tcMar>
          </w:tcPr>
          <w:p w14:paraId="1A63D4B5" w14:textId="77777777" w:rsidR="006D7A4B" w:rsidRDefault="006D7A4B" w:rsidP="00A9140F">
            <w:pPr>
              <w:pStyle w:val="AnnexTableCellLeft"/>
              <w:spacing w:after="120"/>
            </w:pPr>
            <w:r>
              <w:t xml:space="preserve">Að því er varðar </w:t>
            </w:r>
            <w:proofErr w:type="spellStart"/>
            <w:r>
              <w:t>loftfirrða</w:t>
            </w:r>
            <w:proofErr w:type="spellEnd"/>
            <w:r>
              <w:t xml:space="preserve"> meltun lífræns efniviðar þar sem framleidd melta er notuð sem áburður eða </w:t>
            </w:r>
            <w:proofErr w:type="spellStart"/>
            <w:r>
              <w:t>jarðvegsbætir</w:t>
            </w:r>
            <w:proofErr w:type="spellEnd"/>
            <w:r>
              <w:t xml:space="preserve">, annaðhvort beint eða eftir </w:t>
            </w:r>
            <w:proofErr w:type="spellStart"/>
            <w:r>
              <w:t>myltingu</w:t>
            </w:r>
            <w:proofErr w:type="spellEnd"/>
            <w:r>
              <w:t xml:space="preserve"> eða einhverja aðra meðhöndlun, uppfyllir hún kröfurnar fyrir áburðarefni sem settar eru fram í efnisþáttaefniviðaflokkum 4 og 5 í II. viðauka við reglugerð (ESB) 2019/1009 eða landsbundnar reglur um áburð eða jarðvegsbæta til notkunar í landbúnaði.</w:t>
            </w:r>
          </w:p>
          <w:p w14:paraId="02E3F581" w14:textId="77777777" w:rsidR="006D7A4B" w:rsidRDefault="006D7A4B" w:rsidP="00A9140F">
            <w:pPr>
              <w:pStyle w:val="AnnexTableCellLeft"/>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723"/>
            </w:r>
            <w:r>
              <w:t>). Engin umtalsverð yfirfærsluáhrif milli umhverfishólfa eiga sér stað.</w:t>
            </w:r>
          </w:p>
        </w:tc>
      </w:tr>
      <w:tr w:rsidR="006D7A4B" w14:paraId="2E161C3D" w14:textId="77777777" w:rsidTr="00A9140F">
        <w:trPr>
          <w:trHeight w:val="360"/>
        </w:trPr>
        <w:tc>
          <w:tcPr>
            <w:tcW w:w="2880" w:type="dxa"/>
            <w:tcMar>
              <w:top w:w="100" w:type="dxa"/>
              <w:left w:w="0" w:type="dxa"/>
              <w:bottom w:w="100" w:type="dxa"/>
              <w:right w:w="60" w:type="dxa"/>
            </w:tcMar>
          </w:tcPr>
          <w:p w14:paraId="13C33508" w14:textId="77777777" w:rsidR="006D7A4B" w:rsidRDefault="006D7A4B" w:rsidP="00A9140F">
            <w:pPr>
              <w:pStyle w:val="AnnexNumberedText"/>
              <w:spacing w:after="0"/>
              <w:ind w:left="293" w:hanging="293"/>
            </w:pPr>
            <w:r>
              <w:t>6)</w:t>
            </w:r>
            <w:r>
              <w:tab/>
              <w:t>Vernd og endurheimt líffræðilegrar fjölbreytni og vistkerfa</w:t>
            </w:r>
          </w:p>
        </w:tc>
        <w:tc>
          <w:tcPr>
            <w:tcW w:w="5856" w:type="dxa"/>
            <w:tcMar>
              <w:top w:w="100" w:type="dxa"/>
              <w:left w:w="60" w:type="dxa"/>
              <w:bottom w:w="100" w:type="dxa"/>
              <w:right w:w="0" w:type="dxa"/>
            </w:tcMar>
          </w:tcPr>
          <w:p w14:paraId="42D630AC" w14:textId="77777777" w:rsidR="006D7A4B" w:rsidRDefault="006D7A4B" w:rsidP="00A9140F">
            <w:pPr>
              <w:pStyle w:val="AnnexTableCellLeft"/>
            </w:pPr>
            <w:r>
              <w:t>Starfsemin er í samræmi við viðmiðanirnar sem settar eru fram í viðbæti D við þennan viðauka.</w:t>
            </w:r>
          </w:p>
        </w:tc>
      </w:tr>
    </w:tbl>
    <w:p w14:paraId="21461D43" w14:textId="77777777" w:rsidR="006D7A4B" w:rsidRDefault="006D7A4B" w:rsidP="006D7A4B">
      <w:pPr>
        <w:pStyle w:val="AnnexNumberedText"/>
        <w:ind w:left="504" w:hanging="504"/>
      </w:pPr>
      <w:r>
        <w:t>4.25.</w:t>
      </w:r>
      <w:r>
        <w:rPr>
          <w:b/>
        </w:rPr>
        <w:tab/>
        <w:t xml:space="preserve">Framleiðsla á varma/kælingu úr </w:t>
      </w:r>
      <w:proofErr w:type="spellStart"/>
      <w:r>
        <w:rPr>
          <w:b/>
        </w:rPr>
        <w:t>glatvarma</w:t>
      </w:r>
      <w:proofErr w:type="spellEnd"/>
    </w:p>
    <w:p w14:paraId="19DD69A9" w14:textId="77777777" w:rsidR="006D7A4B" w:rsidRDefault="006D7A4B" w:rsidP="006D7A4B">
      <w:pPr>
        <w:pStyle w:val="AnnexGrSeq3"/>
        <w:spacing w:after="120"/>
        <w:ind w:left="504"/>
        <w:jc w:val="both"/>
      </w:pPr>
      <w:r>
        <w:rPr>
          <w:i/>
        </w:rPr>
        <w:t>Lýsing á starfseminni</w:t>
      </w:r>
    </w:p>
    <w:p w14:paraId="5E2B3576" w14:textId="77777777" w:rsidR="006D7A4B" w:rsidRDefault="006D7A4B" w:rsidP="006D7A4B">
      <w:pPr>
        <w:pStyle w:val="AnnexNormal"/>
        <w:spacing w:after="300"/>
        <w:ind w:left="504"/>
      </w:pPr>
      <w:r>
        <w:t xml:space="preserve">Bygging og rekstur stöðva sem framleiða varma/kælingu úr </w:t>
      </w:r>
      <w:proofErr w:type="spellStart"/>
      <w:r>
        <w:t>glatvarma</w:t>
      </w:r>
      <w:proofErr w:type="spellEnd"/>
      <w:r>
        <w:t>.</w:t>
      </w:r>
    </w:p>
    <w:p w14:paraId="3AAECB21" w14:textId="77777777" w:rsidR="006D7A4B" w:rsidRDefault="006D7A4B" w:rsidP="006D7A4B">
      <w:pPr>
        <w:pStyle w:val="AnnexNormal"/>
        <w:spacing w:after="300"/>
        <w:ind w:left="504"/>
      </w:pPr>
      <w:r>
        <w:t>Atvinnustarfsemin í þessum flokki gæti tengst kóða atvinnugreinaflokkunar Evrópusambandsins D35.30 í samræmi við atvinnugreinaflokkunina sem komið var á með reglugerð (EB) nr. 1893/2006.</w:t>
      </w:r>
    </w:p>
    <w:p w14:paraId="5EB393F8"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6D7A4B" w14:paraId="040587FE" w14:textId="77777777" w:rsidTr="00A9140F">
        <w:trPr>
          <w:trHeight w:val="280"/>
        </w:trPr>
        <w:tc>
          <w:tcPr>
            <w:tcW w:w="8736" w:type="dxa"/>
            <w:gridSpan w:val="2"/>
            <w:tcBorders>
              <w:bottom w:val="single" w:sz="4" w:space="0" w:color="auto"/>
            </w:tcBorders>
            <w:tcMar>
              <w:left w:w="0" w:type="dxa"/>
              <w:right w:w="60" w:type="dxa"/>
            </w:tcMar>
          </w:tcPr>
          <w:p w14:paraId="2A4068E9" w14:textId="77777777" w:rsidR="006D7A4B" w:rsidRDefault="006D7A4B" w:rsidP="00A9140F">
            <w:pPr>
              <w:pStyle w:val="AnnexTableCellLeft"/>
              <w:spacing w:before="40" w:after="40"/>
            </w:pPr>
            <w:r>
              <w:t>Verulegt framlag til aðlögunar að loftslagsbreytingum</w:t>
            </w:r>
          </w:p>
        </w:tc>
      </w:tr>
      <w:tr w:rsidR="006D7A4B" w14:paraId="0B0DA0B4" w14:textId="77777777" w:rsidTr="00A9140F">
        <w:trPr>
          <w:trHeight w:val="360"/>
        </w:trPr>
        <w:tc>
          <w:tcPr>
            <w:tcW w:w="8736" w:type="dxa"/>
            <w:gridSpan w:val="2"/>
            <w:tcBorders>
              <w:bottom w:val="nil"/>
            </w:tcBorders>
            <w:tcMar>
              <w:left w:w="0" w:type="dxa"/>
              <w:right w:w="60" w:type="dxa"/>
            </w:tcMar>
          </w:tcPr>
          <w:p w14:paraId="633ECA7A" w14:textId="77777777" w:rsidR="006D7A4B" w:rsidRDefault="006D7A4B" w:rsidP="00A9140F">
            <w:pPr>
              <w:pStyle w:val="AnnexNumberedText"/>
              <w:tabs>
                <w:tab w:val="left" w:pos="396"/>
              </w:tabs>
              <w:spacing w:after="3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7AEA94CA" w14:textId="77777777" w:rsidR="006D7A4B" w:rsidRDefault="006D7A4B" w:rsidP="00A9140F">
            <w:pPr>
              <w:pStyle w:val="AnnexNumberedText"/>
              <w:tabs>
                <w:tab w:val="left" w:pos="396"/>
              </w:tabs>
              <w:spacing w:after="3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45B0DDC" w14:textId="77777777" w:rsidR="006D7A4B" w:rsidRDefault="006D7A4B" w:rsidP="00A9140F">
            <w:pPr>
              <w:pStyle w:val="AnnexNumberedText"/>
              <w:spacing w:after="340"/>
            </w:pPr>
            <w:r>
              <w:t>a)</w:t>
            </w:r>
            <w:r>
              <w:tab/>
              <w:t>skimun á starfseminni til að greina hvaða efnislega loftslagsáhætta úr skránni í viðbæti A við þennan viðauka getur haft áhrif á árangurinn af atvinnustarfseminni á væntum líftíma hennar,</w:t>
            </w:r>
          </w:p>
          <w:p w14:paraId="042F69CC" w14:textId="77777777" w:rsidR="006D7A4B" w:rsidRDefault="006D7A4B" w:rsidP="00A9140F">
            <w:pPr>
              <w:pStyle w:val="AnnexNumberedText"/>
              <w:spacing w:after="3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9FA656B" w14:textId="77777777" w:rsidR="006D7A4B" w:rsidRDefault="006D7A4B" w:rsidP="00A9140F">
            <w:pPr>
              <w:pStyle w:val="AnnexNumberedText"/>
              <w:spacing w:after="340"/>
            </w:pPr>
            <w:r>
              <w:t>c)</w:t>
            </w:r>
            <w:r>
              <w:tab/>
              <w:t>mat á aðlögunarlausnum sem geta dregið úr greindri efnislegri loftslagsáhættu.</w:t>
            </w:r>
          </w:p>
          <w:p w14:paraId="06117717" w14:textId="77777777" w:rsidR="006D7A4B" w:rsidRDefault="006D7A4B" w:rsidP="00A9140F">
            <w:pPr>
              <w:pStyle w:val="AnnexTableCellLeft"/>
              <w:spacing w:after="340"/>
            </w:pPr>
            <w:r>
              <w:t xml:space="preserve">Loftslagsáhættu- og veikleikamatið er í réttu hlutfalli við umfang starfseminnar og </w:t>
            </w:r>
            <w:proofErr w:type="spellStart"/>
            <w:r>
              <w:t>væntan</w:t>
            </w:r>
            <w:proofErr w:type="spellEnd"/>
            <w:r>
              <w:t xml:space="preserve"> líftíma hennar þannig að:</w:t>
            </w:r>
          </w:p>
          <w:p w14:paraId="67127030" w14:textId="77777777" w:rsidR="006D7A4B" w:rsidRDefault="006D7A4B" w:rsidP="00A9140F">
            <w:pPr>
              <w:pStyle w:val="AnnexNumberedText"/>
              <w:spacing w:after="340"/>
            </w:pPr>
            <w:r>
              <w:t>a)</w:t>
            </w:r>
            <w:r>
              <w:tab/>
              <w:t xml:space="preserve">mat á starfsemi með </w:t>
            </w:r>
            <w:proofErr w:type="spellStart"/>
            <w:r>
              <w:t>væntan</w:t>
            </w:r>
            <w:proofErr w:type="spellEnd"/>
            <w:r>
              <w:t xml:space="preserve"> líftíma sem er styttri en 10 ár er a.m.k. framkvæmt með því að nota loftslagsframreikn</w:t>
            </w:r>
            <w:r>
              <w:lastRenderedPageBreak/>
              <w:t>ing með minnsta viðeigandi kvarða,</w:t>
            </w:r>
          </w:p>
          <w:p w14:paraId="4966E28A" w14:textId="77777777" w:rsidR="006D7A4B" w:rsidRDefault="006D7A4B"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2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414E4ED4" w14:textId="77777777" w:rsidTr="00A9140F">
        <w:trPr>
          <w:trHeight w:val="360"/>
        </w:trPr>
        <w:tc>
          <w:tcPr>
            <w:tcW w:w="8736" w:type="dxa"/>
            <w:gridSpan w:val="2"/>
            <w:tcBorders>
              <w:top w:val="nil"/>
            </w:tcBorders>
            <w:tcMar>
              <w:left w:w="0" w:type="dxa"/>
              <w:right w:w="60" w:type="dxa"/>
            </w:tcMar>
          </w:tcPr>
          <w:p w14:paraId="24DAC154" w14:textId="77777777" w:rsidR="006D7A4B" w:rsidRDefault="006D7A4B" w:rsidP="00A9140F">
            <w:pPr>
              <w:pStyle w:val="AnnexNumberedText"/>
              <w:pageBreakBefore/>
              <w:tabs>
                <w:tab w:val="left" w:pos="396"/>
              </w:tabs>
              <w:spacing w:after="44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25"/>
            </w:r>
            <w:r>
              <w:t>), vísindalegt ritrýnt útgefið efni og líkön með opnum aðgangi (</w:t>
            </w:r>
            <w:r>
              <w:rPr>
                <w:rStyle w:val="Tilvsunneanmlsgrein"/>
                <w:sz w:val="18"/>
                <w:szCs w:val="18"/>
              </w:rPr>
              <w:footnoteReference w:id="726"/>
            </w:r>
            <w:r>
              <w:t>) eða gegn greiðslu.</w:t>
            </w:r>
          </w:p>
          <w:p w14:paraId="7737863C" w14:textId="77777777" w:rsidR="006D7A4B" w:rsidRDefault="006D7A4B" w:rsidP="00A9140F">
            <w:pPr>
              <w:pStyle w:val="AnnexNumberedText"/>
              <w:tabs>
                <w:tab w:val="left" w:pos="396"/>
              </w:tabs>
              <w:spacing w:after="440"/>
              <w:ind w:left="0" w:firstLine="0"/>
              <w:rPr>
                <w:szCs w:val="18"/>
              </w:rPr>
            </w:pPr>
            <w:r>
              <w:t>4.</w:t>
            </w:r>
            <w:r>
              <w:tab/>
              <w:t>Aðlögunarlausnir sem komið er í framkvæmd:</w:t>
            </w:r>
          </w:p>
          <w:p w14:paraId="28259A05" w14:textId="77777777" w:rsidR="006D7A4B" w:rsidRDefault="006D7A4B" w:rsidP="00A9140F">
            <w:pPr>
              <w:pStyle w:val="AnnexNumberedText"/>
              <w:spacing w:after="440"/>
              <w:rPr>
                <w:szCs w:val="18"/>
              </w:rPr>
            </w:pPr>
            <w:r>
              <w:t>a)</w:t>
            </w:r>
            <w:r>
              <w:tab/>
              <w:t>hafa ekki neikvæð áhrif á viðleitni til aðlögunar eða viðnám annars fólks, náttúru, menningararfleifðar, eigna og annarrar atvinnustarfsemi gegn efnislegri loftslagsáhættu,</w:t>
            </w:r>
          </w:p>
          <w:p w14:paraId="45926CC9" w14:textId="77777777" w:rsidR="006D7A4B" w:rsidRDefault="006D7A4B" w:rsidP="00A9140F">
            <w:pPr>
              <w:pStyle w:val="AnnexNumberedText"/>
              <w:spacing w:after="440"/>
              <w:rPr>
                <w:szCs w:val="18"/>
              </w:rPr>
            </w:pPr>
            <w:r>
              <w:t>b)</w:t>
            </w:r>
            <w:r>
              <w:tab/>
              <w:t>eru með náttúrumiðaðar lausnir (</w:t>
            </w:r>
            <w:r>
              <w:rPr>
                <w:rStyle w:val="Tilvsunneanmlsgrein"/>
                <w:sz w:val="18"/>
                <w:szCs w:val="18"/>
              </w:rPr>
              <w:footnoteReference w:id="727"/>
            </w:r>
            <w:r>
              <w:t>) í forgangi eða treyst er á bláa eða græna innviði (</w:t>
            </w:r>
            <w:r>
              <w:rPr>
                <w:rStyle w:val="Tilvsunneanmlsgrein"/>
                <w:sz w:val="18"/>
                <w:szCs w:val="18"/>
              </w:rPr>
              <w:footnoteReference w:id="728"/>
            </w:r>
            <w:r>
              <w:t>) að því marki sem mögulegt er,</w:t>
            </w:r>
          </w:p>
          <w:p w14:paraId="1D6432FD" w14:textId="77777777" w:rsidR="006D7A4B" w:rsidRDefault="006D7A4B" w:rsidP="00A9140F">
            <w:pPr>
              <w:pStyle w:val="AnnexNumberedText"/>
              <w:spacing w:after="440"/>
              <w:rPr>
                <w:szCs w:val="18"/>
              </w:rPr>
            </w:pPr>
            <w:r>
              <w:t>c)</w:t>
            </w:r>
            <w:r>
              <w:tab/>
              <w:t>eru í samræmi við staðbundnar, geirabundnar, svæðisbundnar eða landsbundnar aðlögunarstefnur og -áætlanir,</w:t>
            </w:r>
          </w:p>
          <w:p w14:paraId="2804D0D4" w14:textId="77777777" w:rsidR="006D7A4B" w:rsidRDefault="006D7A4B" w:rsidP="00A9140F">
            <w:pPr>
              <w:pStyle w:val="AnnexNumberedText"/>
              <w:spacing w:after="44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BCC2257"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17DEC04" w14:textId="77777777" w:rsidTr="00A9140F">
        <w:trPr>
          <w:trHeight w:val="240"/>
        </w:trPr>
        <w:tc>
          <w:tcPr>
            <w:tcW w:w="8736" w:type="dxa"/>
            <w:gridSpan w:val="2"/>
            <w:tcMar>
              <w:top w:w="100" w:type="dxa"/>
              <w:left w:w="0" w:type="dxa"/>
              <w:bottom w:w="100" w:type="dxa"/>
              <w:right w:w="60" w:type="dxa"/>
            </w:tcMar>
          </w:tcPr>
          <w:p w14:paraId="7432F214" w14:textId="77777777" w:rsidR="006D7A4B" w:rsidRDefault="006D7A4B" w:rsidP="00A9140F">
            <w:pPr>
              <w:pStyle w:val="AnnexTableCellLeft"/>
            </w:pPr>
            <w:r>
              <w:t>Ekki valda umtalsverðu tjóni</w:t>
            </w:r>
          </w:p>
        </w:tc>
      </w:tr>
      <w:tr w:rsidR="006D7A4B" w14:paraId="08599BBB" w14:textId="77777777" w:rsidTr="00A9140F">
        <w:trPr>
          <w:trHeight w:val="360"/>
        </w:trPr>
        <w:tc>
          <w:tcPr>
            <w:tcW w:w="2940" w:type="dxa"/>
            <w:tcMar>
              <w:top w:w="100" w:type="dxa"/>
              <w:left w:w="0" w:type="dxa"/>
              <w:bottom w:w="100" w:type="dxa"/>
              <w:right w:w="60" w:type="dxa"/>
            </w:tcMar>
          </w:tcPr>
          <w:p w14:paraId="36D42DF2" w14:textId="77777777" w:rsidR="006D7A4B" w:rsidRDefault="006D7A4B" w:rsidP="00A9140F">
            <w:pPr>
              <w:pStyle w:val="AnnexNumberedText"/>
              <w:spacing w:after="0"/>
              <w:ind w:left="293" w:hanging="293"/>
            </w:pPr>
            <w:r>
              <w:t>1)</w:t>
            </w:r>
            <w:r>
              <w:tab/>
              <w:t>Mildun loftslagsbreytinga</w:t>
            </w:r>
          </w:p>
        </w:tc>
        <w:tc>
          <w:tcPr>
            <w:tcW w:w="5796" w:type="dxa"/>
            <w:tcMar>
              <w:top w:w="100" w:type="dxa"/>
              <w:left w:w="60" w:type="dxa"/>
              <w:bottom w:w="100" w:type="dxa"/>
              <w:right w:w="0" w:type="dxa"/>
            </w:tcMar>
          </w:tcPr>
          <w:p w14:paraId="04F36440" w14:textId="77777777" w:rsidR="006D7A4B" w:rsidRDefault="006D7A4B" w:rsidP="00A9140F">
            <w:pPr>
              <w:pStyle w:val="AnnexTableCellLeft"/>
            </w:pPr>
            <w:r>
              <w:t>Á ekki við</w:t>
            </w:r>
          </w:p>
        </w:tc>
      </w:tr>
      <w:tr w:rsidR="006D7A4B" w14:paraId="0B501D33" w14:textId="77777777" w:rsidTr="00A9140F">
        <w:trPr>
          <w:trHeight w:val="360"/>
        </w:trPr>
        <w:tc>
          <w:tcPr>
            <w:tcW w:w="2940" w:type="dxa"/>
            <w:tcMar>
              <w:top w:w="100" w:type="dxa"/>
              <w:left w:w="0" w:type="dxa"/>
              <w:bottom w:w="100" w:type="dxa"/>
              <w:right w:w="60" w:type="dxa"/>
            </w:tcMar>
          </w:tcPr>
          <w:p w14:paraId="70B81C6A" w14:textId="77777777" w:rsidR="006D7A4B" w:rsidRDefault="006D7A4B" w:rsidP="00A9140F">
            <w:pPr>
              <w:pStyle w:val="AnnexNumberedText"/>
              <w:spacing w:after="0"/>
              <w:ind w:left="293" w:hanging="293"/>
            </w:pPr>
            <w:r>
              <w:t>3)</w:t>
            </w:r>
            <w:r>
              <w:tab/>
              <w:t>Sjálfbær notkun og verndun vatns- og sjávarauðlinda</w:t>
            </w:r>
          </w:p>
        </w:tc>
        <w:tc>
          <w:tcPr>
            <w:tcW w:w="5796" w:type="dxa"/>
            <w:tcMar>
              <w:top w:w="100" w:type="dxa"/>
              <w:left w:w="60" w:type="dxa"/>
              <w:bottom w:w="100" w:type="dxa"/>
              <w:right w:w="0" w:type="dxa"/>
            </w:tcMar>
          </w:tcPr>
          <w:p w14:paraId="6226F349" w14:textId="77777777" w:rsidR="006D7A4B" w:rsidRDefault="006D7A4B" w:rsidP="00A9140F">
            <w:pPr>
              <w:pStyle w:val="AnnexTableCellLeft"/>
            </w:pPr>
            <w:r>
              <w:t>Á ekki við</w:t>
            </w:r>
          </w:p>
        </w:tc>
      </w:tr>
      <w:tr w:rsidR="006D7A4B" w14:paraId="443AF26F" w14:textId="77777777" w:rsidTr="00A9140F">
        <w:trPr>
          <w:trHeight w:val="360"/>
        </w:trPr>
        <w:tc>
          <w:tcPr>
            <w:tcW w:w="2940" w:type="dxa"/>
            <w:tcMar>
              <w:top w:w="100" w:type="dxa"/>
              <w:left w:w="0" w:type="dxa"/>
              <w:bottom w:w="100" w:type="dxa"/>
              <w:right w:w="60" w:type="dxa"/>
            </w:tcMar>
          </w:tcPr>
          <w:p w14:paraId="1B7CF3AA" w14:textId="77777777" w:rsidR="006D7A4B" w:rsidRDefault="006D7A4B" w:rsidP="00A9140F">
            <w:pPr>
              <w:pStyle w:val="AnnexNumberedText"/>
              <w:spacing w:after="0"/>
              <w:ind w:left="293" w:hanging="293"/>
            </w:pPr>
            <w:r>
              <w:t>4)</w:t>
            </w:r>
            <w:r>
              <w:tab/>
              <w:t>Umskipti yfir í hringrásarhagkerfi</w:t>
            </w:r>
          </w:p>
        </w:tc>
        <w:tc>
          <w:tcPr>
            <w:tcW w:w="5796" w:type="dxa"/>
            <w:tcMar>
              <w:top w:w="100" w:type="dxa"/>
              <w:left w:w="60" w:type="dxa"/>
              <w:bottom w:w="100" w:type="dxa"/>
              <w:right w:w="0" w:type="dxa"/>
            </w:tcMar>
          </w:tcPr>
          <w:p w14:paraId="239C74D6" w14:textId="77777777" w:rsidR="006D7A4B" w:rsidRDefault="006D7A4B" w:rsidP="00A9140F">
            <w:pPr>
              <w:pStyle w:val="AnnexTableCellLeft"/>
            </w:pPr>
            <w:r>
              <w:t xml:space="preserve">Í starfseminni er lagt mat á tiltækileika og, ef það er gerlegt, notaður búnaður og íhlutir með mikla endingu og </w:t>
            </w:r>
            <w:proofErr w:type="spellStart"/>
            <w:r>
              <w:t>endurvinnanleika</w:t>
            </w:r>
            <w:proofErr w:type="spellEnd"/>
            <w:r>
              <w:t xml:space="preserve"> og sem auðvelt er að taka í sundur og endurnýja.</w:t>
            </w:r>
          </w:p>
        </w:tc>
      </w:tr>
      <w:tr w:rsidR="006D7A4B" w14:paraId="205A12A3" w14:textId="77777777" w:rsidTr="00A9140F">
        <w:trPr>
          <w:trHeight w:val="360"/>
        </w:trPr>
        <w:tc>
          <w:tcPr>
            <w:tcW w:w="2940" w:type="dxa"/>
            <w:tcMar>
              <w:top w:w="100" w:type="dxa"/>
              <w:left w:w="0" w:type="dxa"/>
              <w:bottom w:w="100" w:type="dxa"/>
              <w:right w:w="60" w:type="dxa"/>
            </w:tcMar>
          </w:tcPr>
          <w:p w14:paraId="24736B1C" w14:textId="77777777" w:rsidR="006D7A4B" w:rsidRDefault="006D7A4B" w:rsidP="00A9140F">
            <w:pPr>
              <w:pStyle w:val="AnnexNumberedText"/>
              <w:spacing w:after="0"/>
              <w:ind w:left="293" w:hanging="293"/>
            </w:pPr>
            <w:r>
              <w:t>5)</w:t>
            </w:r>
            <w:r>
              <w:tab/>
              <w:t>Mengunarvarnir og eftirlit með mengun</w:t>
            </w:r>
          </w:p>
        </w:tc>
        <w:tc>
          <w:tcPr>
            <w:tcW w:w="5796" w:type="dxa"/>
            <w:tcMar>
              <w:top w:w="100" w:type="dxa"/>
              <w:left w:w="60" w:type="dxa"/>
              <w:bottom w:w="100" w:type="dxa"/>
              <w:right w:w="0" w:type="dxa"/>
            </w:tcMar>
          </w:tcPr>
          <w:p w14:paraId="7AE0E264" w14:textId="77777777" w:rsidR="006D7A4B" w:rsidRDefault="006D7A4B" w:rsidP="00A9140F">
            <w:pPr>
              <w:pStyle w:val="AnnexTableCellLeft"/>
            </w:pPr>
            <w:r>
              <w:t>Dælur og sú tegund búnaðar sem er notuð, sem falla undir visthönnun og orkumerkingar, eru, ef við á, í samræmi við kröfurnar fyrir hæsta flokk orkumerkimiða ESB sem mælt er fyrir um í reglugerð (ESB) 2017/1369, og við framkvæmdarreglugerðir samkvæmt tilskipun 2009/125/EB og eru besta aðgengilega tækni.</w:t>
            </w:r>
          </w:p>
        </w:tc>
      </w:tr>
      <w:tr w:rsidR="006D7A4B" w14:paraId="0E680B9B" w14:textId="77777777" w:rsidTr="00A9140F">
        <w:trPr>
          <w:trHeight w:val="360"/>
        </w:trPr>
        <w:tc>
          <w:tcPr>
            <w:tcW w:w="2940" w:type="dxa"/>
            <w:tcMar>
              <w:top w:w="100" w:type="dxa"/>
              <w:left w:w="0" w:type="dxa"/>
              <w:bottom w:w="100" w:type="dxa"/>
              <w:right w:w="60" w:type="dxa"/>
            </w:tcMar>
          </w:tcPr>
          <w:p w14:paraId="3A89B7E1" w14:textId="77777777" w:rsidR="006D7A4B" w:rsidRDefault="006D7A4B" w:rsidP="00A9140F">
            <w:pPr>
              <w:pStyle w:val="AnnexNumberedText"/>
              <w:spacing w:after="0"/>
              <w:ind w:left="293" w:hanging="293"/>
            </w:pPr>
            <w:r>
              <w:t>6)</w:t>
            </w:r>
            <w:r>
              <w:tab/>
              <w:t>Vernd og endurheimt líffræðilegrar fjölbreytni og vistkerfa</w:t>
            </w:r>
          </w:p>
        </w:tc>
        <w:tc>
          <w:tcPr>
            <w:tcW w:w="5796" w:type="dxa"/>
            <w:tcMar>
              <w:top w:w="100" w:type="dxa"/>
              <w:left w:w="60" w:type="dxa"/>
              <w:bottom w:w="100" w:type="dxa"/>
              <w:right w:w="0" w:type="dxa"/>
            </w:tcMar>
          </w:tcPr>
          <w:p w14:paraId="50600336" w14:textId="77777777" w:rsidR="006D7A4B" w:rsidRDefault="006D7A4B" w:rsidP="00A9140F">
            <w:pPr>
              <w:pStyle w:val="AnnexTableCellLeft"/>
            </w:pPr>
            <w:r>
              <w:t>Starfsemin er í samræmi við viðmiðanirnar sem settar eru fram í viðbæti D við þennan viðauka.</w:t>
            </w:r>
          </w:p>
        </w:tc>
      </w:tr>
    </w:tbl>
    <w:p w14:paraId="4891FCBE" w14:textId="77777777" w:rsidR="006D7A4B" w:rsidRDefault="006D7A4B" w:rsidP="006D7A4B">
      <w:pPr>
        <w:shd w:val="clear" w:color="auto" w:fill="auto"/>
        <w:spacing w:line="0" w:lineRule="auto"/>
        <w:jc w:val="left"/>
        <w:rPr>
          <w:color w:val="auto"/>
          <w14:ligatures w14:val="standard"/>
        </w:rPr>
      </w:pPr>
      <w:r>
        <w:br w:type="page"/>
      </w:r>
    </w:p>
    <w:p w14:paraId="2399F126" w14:textId="77777777" w:rsidR="006D7A4B" w:rsidRDefault="006D7A4B" w:rsidP="006D7A4B">
      <w:pPr>
        <w:pStyle w:val="AnnexNumberedText"/>
        <w:ind w:left="504" w:hanging="504"/>
        <w:rPr>
          <w:sz w:val="16"/>
        </w:rPr>
      </w:pPr>
      <w:r>
        <w:lastRenderedPageBreak/>
        <w:t>5.</w:t>
      </w:r>
      <w:r>
        <w:tab/>
      </w:r>
      <w:r>
        <w:rPr>
          <w:sz w:val="16"/>
        </w:rPr>
        <w:t>Vatnsveita, fráveitukerfi, úrgangsstjórnun og hreinsunarstarfsemi</w:t>
      </w:r>
    </w:p>
    <w:p w14:paraId="63C4F666" w14:textId="77777777" w:rsidR="006D7A4B" w:rsidRDefault="006D7A4B" w:rsidP="006D7A4B">
      <w:pPr>
        <w:pStyle w:val="AnnexNumberedText"/>
        <w:ind w:left="504" w:hanging="504"/>
      </w:pPr>
      <w:r>
        <w:t>5.1.</w:t>
      </w:r>
      <w:r>
        <w:rPr>
          <w:b/>
        </w:rPr>
        <w:tab/>
        <w:t xml:space="preserve">Uppbygging, stækkun og </w:t>
      </w:r>
      <w:proofErr w:type="spellStart"/>
      <w:r>
        <w:rPr>
          <w:b/>
        </w:rPr>
        <w:t>starfræksla</w:t>
      </w:r>
      <w:proofErr w:type="spellEnd"/>
      <w:r>
        <w:rPr>
          <w:b/>
        </w:rPr>
        <w:t xml:space="preserve"> vatnsöflunar-, </w:t>
      </w:r>
      <w:proofErr w:type="spellStart"/>
      <w:r>
        <w:rPr>
          <w:b/>
        </w:rPr>
        <w:t>vatnshreinsi</w:t>
      </w:r>
      <w:proofErr w:type="spellEnd"/>
      <w:r>
        <w:rPr>
          <w:b/>
        </w:rPr>
        <w:t>- og vatnsveitukerfa</w:t>
      </w:r>
    </w:p>
    <w:p w14:paraId="162D9EB8" w14:textId="77777777" w:rsidR="006D7A4B" w:rsidRDefault="006D7A4B" w:rsidP="006D7A4B">
      <w:pPr>
        <w:pStyle w:val="AnnexGrSeq3"/>
        <w:spacing w:after="120"/>
        <w:ind w:left="504"/>
        <w:jc w:val="both"/>
      </w:pPr>
      <w:r>
        <w:rPr>
          <w:i/>
        </w:rPr>
        <w:t>Lýsing á starfseminni</w:t>
      </w:r>
    </w:p>
    <w:p w14:paraId="6F2EAF64" w14:textId="77777777" w:rsidR="006D7A4B" w:rsidRDefault="006D7A4B" w:rsidP="006D7A4B">
      <w:pPr>
        <w:pStyle w:val="AnnexNormal"/>
        <w:spacing w:after="500"/>
        <w:ind w:left="504"/>
      </w:pPr>
      <w:r>
        <w:t xml:space="preserve">Uppbygging, stækkun og rekstur vatnsöflunar-, </w:t>
      </w:r>
      <w:proofErr w:type="spellStart"/>
      <w:r>
        <w:t>vatnshreinsi</w:t>
      </w:r>
      <w:proofErr w:type="spellEnd"/>
      <w:r>
        <w:t>- og vatnsveitukerfa.</w:t>
      </w:r>
    </w:p>
    <w:p w14:paraId="6D0B7228" w14:textId="77777777" w:rsidR="006D7A4B" w:rsidRDefault="006D7A4B" w:rsidP="006D7A4B">
      <w:pPr>
        <w:pStyle w:val="AnnexNormal"/>
        <w:spacing w:after="500"/>
        <w:ind w:left="504"/>
      </w:pPr>
      <w:r>
        <w:t>Atvinnustarfsemin í þessum flokki gæti tengst nokkrum kóðum atvinnugreinaflokkunar Evrópusambandsins, einkum E36.00 og F42.99, í samræmi við atvinnugreinaflokkunina sem komið var á með reglugerð (EB) nr. 1893/2006.</w:t>
      </w:r>
    </w:p>
    <w:p w14:paraId="6B2758D9"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76"/>
        <w:gridCol w:w="5760"/>
      </w:tblGrid>
      <w:tr w:rsidR="006D7A4B" w14:paraId="0E0FC39D" w14:textId="77777777" w:rsidTr="00A9140F">
        <w:trPr>
          <w:trHeight w:val="280"/>
        </w:trPr>
        <w:tc>
          <w:tcPr>
            <w:tcW w:w="8736" w:type="dxa"/>
            <w:gridSpan w:val="2"/>
            <w:tcBorders>
              <w:bottom w:val="single" w:sz="4" w:space="0" w:color="auto"/>
            </w:tcBorders>
            <w:tcMar>
              <w:left w:w="0" w:type="dxa"/>
              <w:right w:w="60" w:type="dxa"/>
            </w:tcMar>
          </w:tcPr>
          <w:p w14:paraId="5F886176" w14:textId="77777777" w:rsidR="006D7A4B" w:rsidRDefault="006D7A4B" w:rsidP="00A9140F">
            <w:pPr>
              <w:pStyle w:val="AnnexTableCellLeft"/>
              <w:spacing w:before="40" w:after="40"/>
            </w:pPr>
            <w:r>
              <w:t>Verulegt framlag til aðlögunar að loftslagsbreytingum</w:t>
            </w:r>
          </w:p>
        </w:tc>
      </w:tr>
      <w:tr w:rsidR="006D7A4B" w14:paraId="32FA2B19" w14:textId="77777777" w:rsidTr="00A9140F">
        <w:trPr>
          <w:trHeight w:val="360"/>
        </w:trPr>
        <w:tc>
          <w:tcPr>
            <w:tcW w:w="8736" w:type="dxa"/>
            <w:gridSpan w:val="2"/>
            <w:tcBorders>
              <w:bottom w:val="nil"/>
            </w:tcBorders>
            <w:tcMar>
              <w:left w:w="0" w:type="dxa"/>
              <w:right w:w="60" w:type="dxa"/>
            </w:tcMar>
          </w:tcPr>
          <w:p w14:paraId="0DD0060D" w14:textId="77777777" w:rsidR="006D7A4B" w:rsidRDefault="006D7A4B" w:rsidP="00A9140F">
            <w:pPr>
              <w:pStyle w:val="AnnexNumberedText"/>
              <w:tabs>
                <w:tab w:val="left" w:pos="396"/>
              </w:tabs>
              <w:spacing w:after="3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0084D40E" w14:textId="77777777" w:rsidR="006D7A4B" w:rsidRDefault="006D7A4B" w:rsidP="00A9140F">
            <w:pPr>
              <w:pStyle w:val="AnnexNumberedText"/>
              <w:tabs>
                <w:tab w:val="left" w:pos="396"/>
              </w:tabs>
              <w:spacing w:after="3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2C7BA76" w14:textId="77777777" w:rsidR="006D7A4B" w:rsidRDefault="006D7A4B" w:rsidP="00A9140F">
            <w:pPr>
              <w:pStyle w:val="AnnexNumberedText"/>
              <w:spacing w:after="3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4348FC23" w14:textId="77777777" w:rsidR="006D7A4B" w:rsidRDefault="006D7A4B" w:rsidP="00A9140F">
            <w:pPr>
              <w:pStyle w:val="AnnexNumberedText"/>
              <w:spacing w:after="3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1FDA3B0" w14:textId="77777777" w:rsidR="006D7A4B" w:rsidRDefault="006D7A4B" w:rsidP="00A9140F">
            <w:pPr>
              <w:pStyle w:val="AnnexNumberedText"/>
              <w:spacing w:after="300"/>
              <w:rPr>
                <w:szCs w:val="18"/>
              </w:rPr>
            </w:pPr>
            <w:r>
              <w:t>c)</w:t>
            </w:r>
            <w:r>
              <w:tab/>
              <w:t>mat á aðlögunarlausnum sem geta dregið úr greindri efnislegri loftslagsáhættu.</w:t>
            </w:r>
          </w:p>
          <w:p w14:paraId="5A7D87C7" w14:textId="77777777" w:rsidR="006D7A4B" w:rsidRDefault="006D7A4B" w:rsidP="00A9140F">
            <w:pPr>
              <w:pStyle w:val="AnnexTableCellLeft"/>
              <w:spacing w:after="3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1CCECC44" w14:textId="77777777" w:rsidR="006D7A4B" w:rsidRDefault="006D7A4B" w:rsidP="00A9140F">
            <w:pPr>
              <w:pStyle w:val="AnnexNumberedText"/>
              <w:spacing w:after="3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47F008E" w14:textId="77777777" w:rsidR="006D7A4B" w:rsidRDefault="006D7A4B"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2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74515BC" w14:textId="77777777" w:rsidR="006D7A4B" w:rsidRDefault="006D7A4B" w:rsidP="00A9140F">
            <w:pPr>
              <w:pStyle w:val="AnnexNumberedText"/>
              <w:tabs>
                <w:tab w:val="left" w:pos="396"/>
              </w:tabs>
              <w:spacing w:after="3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30"/>
            </w:r>
            <w:r>
              <w:t>), vísindalegt ritrýnt útgefið efni og líkön með opnum aðgangi (</w:t>
            </w:r>
            <w:r>
              <w:rPr>
                <w:rStyle w:val="Tilvsunneanmlsgrein"/>
                <w:sz w:val="18"/>
                <w:szCs w:val="18"/>
              </w:rPr>
              <w:footnoteReference w:id="731"/>
            </w:r>
            <w:r>
              <w:t>) eða gegn greiðslu.</w:t>
            </w:r>
          </w:p>
          <w:p w14:paraId="105FB873"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4333BD83" w14:textId="77777777" w:rsidR="006D7A4B" w:rsidRDefault="006D7A4B" w:rsidP="00A9140F">
            <w:pPr>
              <w:pStyle w:val="AnnexNumberedText"/>
              <w:spacing w:after="0"/>
              <w:rPr>
                <w:szCs w:val="18"/>
              </w:rPr>
            </w:pPr>
            <w:r>
              <w:t>a)</w:t>
            </w:r>
            <w:r>
              <w:tab/>
              <w:t>hafa ekki neikvæð áhrif á viðleitni til aðlögunar eða viðnám annars fólks, náttúru, menningararfleifðar, eigna og annarrar atvinnustarfsemi gegn efnislegri loftslagsáhættu,</w:t>
            </w:r>
          </w:p>
        </w:tc>
      </w:tr>
      <w:tr w:rsidR="006D7A4B" w14:paraId="1E01B984" w14:textId="77777777" w:rsidTr="00A9140F">
        <w:trPr>
          <w:trHeight w:val="360"/>
        </w:trPr>
        <w:tc>
          <w:tcPr>
            <w:tcW w:w="8736" w:type="dxa"/>
            <w:gridSpan w:val="2"/>
            <w:tcBorders>
              <w:top w:val="nil"/>
            </w:tcBorders>
            <w:tcMar>
              <w:left w:w="0" w:type="dxa"/>
              <w:right w:w="60" w:type="dxa"/>
            </w:tcMar>
          </w:tcPr>
          <w:p w14:paraId="4254361F" w14:textId="77777777" w:rsidR="006D7A4B" w:rsidRDefault="006D7A4B" w:rsidP="00A9140F">
            <w:pPr>
              <w:pStyle w:val="AnnexNumberedText"/>
              <w:pageBreakBefore/>
              <w:spacing w:after="300"/>
              <w:rPr>
                <w:szCs w:val="18"/>
              </w:rPr>
            </w:pPr>
            <w:r>
              <w:lastRenderedPageBreak/>
              <w:t>b)</w:t>
            </w:r>
            <w:r>
              <w:tab/>
              <w:t>eru með náttúrumiðaðar lausnir (</w:t>
            </w:r>
            <w:r>
              <w:rPr>
                <w:rStyle w:val="Tilvsunneanmlsgrein"/>
                <w:sz w:val="18"/>
                <w:szCs w:val="18"/>
              </w:rPr>
              <w:footnoteReference w:id="732"/>
            </w:r>
            <w:r>
              <w:t>) í forgangi eða treyst er á bláa eða græna innviði (</w:t>
            </w:r>
            <w:r>
              <w:rPr>
                <w:rStyle w:val="Tilvsunneanmlsgrein"/>
                <w:sz w:val="18"/>
                <w:szCs w:val="18"/>
              </w:rPr>
              <w:footnoteReference w:id="733"/>
            </w:r>
            <w:r>
              <w:t>) að því marki sem mögulegt er,</w:t>
            </w:r>
          </w:p>
          <w:p w14:paraId="33AD2D83"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15B7C3CC"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5DF2E58"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7263A96" w14:textId="77777777" w:rsidTr="00A9140F">
        <w:tc>
          <w:tcPr>
            <w:tcW w:w="8736" w:type="dxa"/>
            <w:gridSpan w:val="2"/>
            <w:tcMar>
              <w:top w:w="100" w:type="dxa"/>
              <w:left w:w="0" w:type="dxa"/>
              <w:bottom w:w="100" w:type="dxa"/>
              <w:right w:w="60" w:type="dxa"/>
            </w:tcMar>
          </w:tcPr>
          <w:p w14:paraId="4336C4BC" w14:textId="77777777" w:rsidR="006D7A4B" w:rsidRDefault="006D7A4B" w:rsidP="00A9140F">
            <w:pPr>
              <w:pStyle w:val="AnnexTableCellLeft"/>
            </w:pPr>
            <w:r>
              <w:t>Ekki valda umtalsverðu tjóni</w:t>
            </w:r>
          </w:p>
        </w:tc>
      </w:tr>
      <w:tr w:rsidR="006D7A4B" w14:paraId="19FA9781" w14:textId="77777777" w:rsidTr="00A9140F">
        <w:tc>
          <w:tcPr>
            <w:tcW w:w="2976" w:type="dxa"/>
            <w:tcMar>
              <w:top w:w="100" w:type="dxa"/>
              <w:left w:w="0" w:type="dxa"/>
              <w:bottom w:w="100" w:type="dxa"/>
              <w:right w:w="60" w:type="dxa"/>
            </w:tcMar>
          </w:tcPr>
          <w:p w14:paraId="00A2619D" w14:textId="77777777" w:rsidR="006D7A4B" w:rsidRDefault="006D7A4B" w:rsidP="00A9140F">
            <w:pPr>
              <w:pStyle w:val="AnnexNumberedText"/>
              <w:spacing w:after="0"/>
              <w:ind w:left="293" w:hanging="293"/>
            </w:pPr>
            <w:r>
              <w:t>1)</w:t>
            </w:r>
            <w:r>
              <w:tab/>
              <w:t>Mildun loftslagsbreytinga</w:t>
            </w:r>
          </w:p>
        </w:tc>
        <w:tc>
          <w:tcPr>
            <w:tcW w:w="5760" w:type="dxa"/>
            <w:tcMar>
              <w:top w:w="100" w:type="dxa"/>
              <w:left w:w="60" w:type="dxa"/>
              <w:bottom w:w="100" w:type="dxa"/>
              <w:right w:w="0" w:type="dxa"/>
            </w:tcMar>
          </w:tcPr>
          <w:p w14:paraId="708784B2" w14:textId="77777777" w:rsidR="006D7A4B" w:rsidRDefault="006D7A4B" w:rsidP="00A9140F">
            <w:pPr>
              <w:pStyle w:val="AnnexTableCellLeft"/>
            </w:pPr>
            <w:r>
              <w:t>Á ekki við</w:t>
            </w:r>
          </w:p>
        </w:tc>
      </w:tr>
      <w:tr w:rsidR="006D7A4B" w14:paraId="5ED259C0" w14:textId="77777777" w:rsidTr="00A9140F">
        <w:tc>
          <w:tcPr>
            <w:tcW w:w="2976" w:type="dxa"/>
            <w:tcMar>
              <w:top w:w="100" w:type="dxa"/>
              <w:left w:w="0" w:type="dxa"/>
              <w:bottom w:w="100" w:type="dxa"/>
              <w:right w:w="60" w:type="dxa"/>
            </w:tcMar>
          </w:tcPr>
          <w:p w14:paraId="3D92F207" w14:textId="77777777" w:rsidR="006D7A4B" w:rsidRDefault="006D7A4B" w:rsidP="00A9140F">
            <w:pPr>
              <w:pStyle w:val="AnnexNumberedText"/>
              <w:spacing w:after="0"/>
              <w:ind w:left="293" w:hanging="293"/>
            </w:pPr>
            <w:r>
              <w:t>3)</w:t>
            </w:r>
            <w:r>
              <w:tab/>
              <w:t>Sjálfbær notkun og verndun vatns- og sjávarauðlinda</w:t>
            </w:r>
          </w:p>
        </w:tc>
        <w:tc>
          <w:tcPr>
            <w:tcW w:w="5760" w:type="dxa"/>
            <w:tcMar>
              <w:top w:w="100" w:type="dxa"/>
              <w:left w:w="60" w:type="dxa"/>
              <w:bottom w:w="100" w:type="dxa"/>
              <w:right w:w="0" w:type="dxa"/>
            </w:tcMar>
          </w:tcPr>
          <w:p w14:paraId="495BB8EE" w14:textId="77777777" w:rsidR="006D7A4B" w:rsidRDefault="006D7A4B" w:rsidP="00A9140F">
            <w:pPr>
              <w:pStyle w:val="AnnexTableCellLeft"/>
            </w:pPr>
            <w:r>
              <w:t>Starfsemin er í samræmi við viðmiðanirnar sem settar eru fram í viðbæti B við þennan viðauka.</w:t>
            </w:r>
          </w:p>
        </w:tc>
      </w:tr>
      <w:tr w:rsidR="006D7A4B" w14:paraId="47B98A36" w14:textId="77777777" w:rsidTr="00A9140F">
        <w:tc>
          <w:tcPr>
            <w:tcW w:w="2976" w:type="dxa"/>
            <w:tcMar>
              <w:top w:w="100" w:type="dxa"/>
              <w:left w:w="0" w:type="dxa"/>
              <w:bottom w:w="100" w:type="dxa"/>
              <w:right w:w="60" w:type="dxa"/>
            </w:tcMar>
          </w:tcPr>
          <w:p w14:paraId="46CA0C0B" w14:textId="77777777" w:rsidR="006D7A4B" w:rsidRDefault="006D7A4B" w:rsidP="00A9140F">
            <w:pPr>
              <w:pStyle w:val="AnnexNumberedText"/>
              <w:spacing w:after="0"/>
              <w:ind w:left="293" w:hanging="293"/>
            </w:pPr>
            <w:r>
              <w:t>4)</w:t>
            </w:r>
            <w:r>
              <w:tab/>
              <w:t>Umskipti yfir í hringrásarhagkerfi</w:t>
            </w:r>
          </w:p>
        </w:tc>
        <w:tc>
          <w:tcPr>
            <w:tcW w:w="5760" w:type="dxa"/>
            <w:tcMar>
              <w:top w:w="100" w:type="dxa"/>
              <w:left w:w="60" w:type="dxa"/>
              <w:bottom w:w="100" w:type="dxa"/>
              <w:right w:w="0" w:type="dxa"/>
            </w:tcMar>
          </w:tcPr>
          <w:p w14:paraId="503CCE0C" w14:textId="77777777" w:rsidR="006D7A4B" w:rsidRDefault="006D7A4B" w:rsidP="00A9140F">
            <w:pPr>
              <w:pStyle w:val="AnnexTableCellLeft"/>
            </w:pPr>
            <w:r>
              <w:t>Á ekki við</w:t>
            </w:r>
          </w:p>
        </w:tc>
      </w:tr>
      <w:tr w:rsidR="006D7A4B" w14:paraId="509C1683" w14:textId="77777777" w:rsidTr="00A9140F">
        <w:tc>
          <w:tcPr>
            <w:tcW w:w="2976" w:type="dxa"/>
            <w:tcMar>
              <w:top w:w="100" w:type="dxa"/>
              <w:left w:w="0" w:type="dxa"/>
              <w:bottom w:w="100" w:type="dxa"/>
              <w:right w:w="60" w:type="dxa"/>
            </w:tcMar>
          </w:tcPr>
          <w:p w14:paraId="33F80A04" w14:textId="77777777" w:rsidR="006D7A4B" w:rsidRDefault="006D7A4B" w:rsidP="00A9140F">
            <w:pPr>
              <w:pStyle w:val="AnnexNumberedText"/>
              <w:spacing w:after="0"/>
              <w:ind w:left="293" w:hanging="293"/>
            </w:pPr>
            <w:r>
              <w:t>5)</w:t>
            </w:r>
            <w:r>
              <w:tab/>
              <w:t>Mengunarvarnir og eftirlit með mengun</w:t>
            </w:r>
          </w:p>
        </w:tc>
        <w:tc>
          <w:tcPr>
            <w:tcW w:w="5760" w:type="dxa"/>
            <w:tcMar>
              <w:top w:w="100" w:type="dxa"/>
              <w:left w:w="60" w:type="dxa"/>
              <w:bottom w:w="100" w:type="dxa"/>
              <w:right w:w="0" w:type="dxa"/>
            </w:tcMar>
          </w:tcPr>
          <w:p w14:paraId="4DA51178" w14:textId="77777777" w:rsidR="006D7A4B" w:rsidRDefault="006D7A4B" w:rsidP="00A9140F">
            <w:pPr>
              <w:pStyle w:val="AnnexTableCellLeft"/>
            </w:pPr>
            <w:r>
              <w:t>Á ekki við</w:t>
            </w:r>
          </w:p>
        </w:tc>
      </w:tr>
      <w:tr w:rsidR="006D7A4B" w14:paraId="7480F61B" w14:textId="77777777" w:rsidTr="00A9140F">
        <w:tc>
          <w:tcPr>
            <w:tcW w:w="2976" w:type="dxa"/>
            <w:tcMar>
              <w:top w:w="100" w:type="dxa"/>
              <w:left w:w="0" w:type="dxa"/>
              <w:bottom w:w="100" w:type="dxa"/>
              <w:right w:w="60" w:type="dxa"/>
            </w:tcMar>
          </w:tcPr>
          <w:p w14:paraId="0F188B57" w14:textId="77777777" w:rsidR="006D7A4B" w:rsidRDefault="006D7A4B" w:rsidP="00A9140F">
            <w:pPr>
              <w:pStyle w:val="AnnexNumberedText"/>
              <w:spacing w:after="0"/>
              <w:ind w:left="293" w:hanging="293"/>
            </w:pPr>
            <w:r>
              <w:t>6)</w:t>
            </w:r>
            <w:r>
              <w:tab/>
              <w:t>Vernd og endurheimt líffræðilegrar fjölbreytni og vistkerfa</w:t>
            </w:r>
          </w:p>
        </w:tc>
        <w:tc>
          <w:tcPr>
            <w:tcW w:w="5760" w:type="dxa"/>
            <w:tcMar>
              <w:top w:w="100" w:type="dxa"/>
              <w:left w:w="60" w:type="dxa"/>
              <w:bottom w:w="100" w:type="dxa"/>
              <w:right w:w="0" w:type="dxa"/>
            </w:tcMar>
          </w:tcPr>
          <w:p w14:paraId="3BA643B9" w14:textId="77777777" w:rsidR="006D7A4B" w:rsidRDefault="006D7A4B" w:rsidP="00A9140F">
            <w:pPr>
              <w:pStyle w:val="AnnexTableCellLeft"/>
            </w:pPr>
            <w:r>
              <w:t>Starfsemin er í samræmi við viðmiðanirnar sem settar eru fram í viðbæti D við þennan viðauka.</w:t>
            </w:r>
          </w:p>
        </w:tc>
      </w:tr>
    </w:tbl>
    <w:p w14:paraId="126E6B36" w14:textId="77777777" w:rsidR="006D7A4B" w:rsidRDefault="006D7A4B" w:rsidP="006D7A4B">
      <w:pPr>
        <w:pStyle w:val="AnnexNumberedText"/>
        <w:ind w:left="504" w:hanging="504"/>
      </w:pPr>
      <w:r>
        <w:t>5.2.</w:t>
      </w:r>
      <w:r>
        <w:rPr>
          <w:b/>
        </w:rPr>
        <w:tab/>
        <w:t xml:space="preserve">Endurnýjun vatnsöflunar-, </w:t>
      </w:r>
      <w:proofErr w:type="spellStart"/>
      <w:r>
        <w:rPr>
          <w:b/>
        </w:rPr>
        <w:t>vatnshreinsi</w:t>
      </w:r>
      <w:proofErr w:type="spellEnd"/>
      <w:r>
        <w:rPr>
          <w:b/>
        </w:rPr>
        <w:t>- og vatnsveitukerfa</w:t>
      </w:r>
    </w:p>
    <w:p w14:paraId="3113C4C5" w14:textId="77777777" w:rsidR="006D7A4B" w:rsidRDefault="006D7A4B" w:rsidP="006D7A4B">
      <w:pPr>
        <w:pStyle w:val="AnnexGrSeq3"/>
        <w:spacing w:after="120"/>
        <w:ind w:left="504"/>
        <w:jc w:val="both"/>
      </w:pPr>
      <w:r>
        <w:rPr>
          <w:i/>
        </w:rPr>
        <w:t>Lýsing á starfseminni</w:t>
      </w:r>
    </w:p>
    <w:p w14:paraId="5E707E59" w14:textId="77777777" w:rsidR="006D7A4B" w:rsidRDefault="006D7A4B" w:rsidP="006D7A4B">
      <w:pPr>
        <w:pStyle w:val="AnnexNormal"/>
        <w:spacing w:after="240"/>
        <w:ind w:left="504"/>
      </w:pPr>
      <w:r>
        <w:t>Endurnýjun vatnsöflunar-,</w:t>
      </w:r>
      <w:proofErr w:type="spellStart"/>
      <w:r>
        <w:t>vatnshreinsi</w:t>
      </w:r>
      <w:proofErr w:type="spellEnd"/>
      <w:r>
        <w:t>- og vatnsveitukerfa, þ.m.t. endurnýjun grunnvirkja fyrir vatnsöflun, hreinsun og dreifingu vegna þarfa heimila og iðnaðar. Hún felur ekki í sér neinar verulegar breytingar á rennslismagni vatnsins sem er safnað, hreinsað eða afhent.</w:t>
      </w:r>
    </w:p>
    <w:p w14:paraId="1CAC12CC" w14:textId="77777777" w:rsidR="006D7A4B" w:rsidRDefault="006D7A4B" w:rsidP="006D7A4B">
      <w:pPr>
        <w:pStyle w:val="AnnexNormal"/>
        <w:spacing w:after="240"/>
        <w:ind w:left="504"/>
      </w:pPr>
      <w:r>
        <w:t>Atvinnustarfsemin í þessum flokki gæti tengst nokkrum kóðum atvinnugreinaflokkunar Evrópusambandsins, einkum E36.00 og F42.99, í samræmi við atvinnugreinaflokkunina sem komið var á með reglugerð (EB) nr. 1893/2006.</w:t>
      </w:r>
    </w:p>
    <w:p w14:paraId="1059D642"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844"/>
        <w:gridCol w:w="5892"/>
      </w:tblGrid>
      <w:tr w:rsidR="006D7A4B" w14:paraId="1FFF17EB" w14:textId="77777777" w:rsidTr="00A9140F">
        <w:trPr>
          <w:trHeight w:val="280"/>
        </w:trPr>
        <w:tc>
          <w:tcPr>
            <w:tcW w:w="8736" w:type="dxa"/>
            <w:gridSpan w:val="2"/>
            <w:tcBorders>
              <w:bottom w:val="single" w:sz="4" w:space="0" w:color="auto"/>
            </w:tcBorders>
            <w:tcMar>
              <w:left w:w="0" w:type="dxa"/>
              <w:right w:w="60" w:type="dxa"/>
            </w:tcMar>
          </w:tcPr>
          <w:p w14:paraId="617D53A7" w14:textId="77777777" w:rsidR="006D7A4B" w:rsidRDefault="006D7A4B" w:rsidP="00A9140F">
            <w:pPr>
              <w:pStyle w:val="AnnexTableCellLeft"/>
              <w:spacing w:before="40" w:after="40"/>
            </w:pPr>
            <w:r>
              <w:t>Verulegt framlag til aðlögunar að loftslagsbreytingum</w:t>
            </w:r>
          </w:p>
        </w:tc>
      </w:tr>
      <w:tr w:rsidR="006D7A4B" w14:paraId="51D09CDE" w14:textId="77777777" w:rsidTr="00A9140F">
        <w:trPr>
          <w:trHeight w:val="360"/>
        </w:trPr>
        <w:tc>
          <w:tcPr>
            <w:tcW w:w="8736" w:type="dxa"/>
            <w:gridSpan w:val="2"/>
            <w:tcBorders>
              <w:bottom w:val="nil"/>
            </w:tcBorders>
            <w:tcMar>
              <w:left w:w="0" w:type="dxa"/>
              <w:right w:w="60" w:type="dxa"/>
            </w:tcMar>
          </w:tcPr>
          <w:p w14:paraId="18455B94" w14:textId="77777777" w:rsidR="006D7A4B" w:rsidRDefault="006D7A4B" w:rsidP="00A9140F">
            <w:pPr>
              <w:pStyle w:val="AnnexNumberedText"/>
              <w:tabs>
                <w:tab w:val="left" w:pos="396"/>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37D70200" w14:textId="77777777" w:rsidR="006D7A4B" w:rsidRDefault="006D7A4B" w:rsidP="00A9140F">
            <w:pPr>
              <w:pStyle w:val="AnnexNumberedText"/>
              <w:tabs>
                <w:tab w:val="left" w:pos="396"/>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E748D8B" w14:textId="77777777" w:rsidR="006D7A4B" w:rsidRDefault="006D7A4B"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6866FBA3" w14:textId="77777777" w:rsidR="006D7A4B" w:rsidRDefault="006D7A4B" w:rsidP="00A9140F">
            <w:pPr>
              <w:pStyle w:val="AnnexNumberedText"/>
              <w:spacing w:after="0"/>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tc>
      </w:tr>
      <w:tr w:rsidR="006D7A4B" w14:paraId="6EF6E961" w14:textId="77777777" w:rsidTr="00A9140F">
        <w:trPr>
          <w:trHeight w:val="360"/>
        </w:trPr>
        <w:tc>
          <w:tcPr>
            <w:tcW w:w="8736" w:type="dxa"/>
            <w:gridSpan w:val="2"/>
            <w:tcBorders>
              <w:top w:val="nil"/>
            </w:tcBorders>
            <w:tcMar>
              <w:left w:w="0" w:type="dxa"/>
              <w:right w:w="60" w:type="dxa"/>
            </w:tcMar>
          </w:tcPr>
          <w:p w14:paraId="4B1EC5C4" w14:textId="77777777" w:rsidR="006D7A4B" w:rsidRDefault="006D7A4B" w:rsidP="00A9140F">
            <w:pPr>
              <w:pStyle w:val="AnnexNumberedText"/>
              <w:pageBreakBefore/>
              <w:spacing w:after="240"/>
            </w:pPr>
            <w:r>
              <w:lastRenderedPageBreak/>
              <w:t>c)</w:t>
            </w:r>
            <w:r>
              <w:tab/>
              <w:t>mat á aðlögunarlausnum sem geta dregið úr greindri efnislegri loftslagsáhættu.</w:t>
            </w:r>
          </w:p>
          <w:p w14:paraId="7695D73A" w14:textId="77777777" w:rsidR="006D7A4B" w:rsidRDefault="006D7A4B" w:rsidP="00A9140F">
            <w:pPr>
              <w:pStyle w:val="AnnexTableCellLeft"/>
              <w:spacing w:after="240"/>
            </w:pPr>
            <w:r>
              <w:t xml:space="preserve">Loftslagsáhættu- og veikleikamatið er í réttu hlutfalli við umfang starfseminnar og </w:t>
            </w:r>
            <w:proofErr w:type="spellStart"/>
            <w:r>
              <w:t>væntan</w:t>
            </w:r>
            <w:proofErr w:type="spellEnd"/>
            <w:r>
              <w:t xml:space="preserve"> líftíma hennar þannig að:</w:t>
            </w:r>
          </w:p>
          <w:p w14:paraId="6D6EC2E7" w14:textId="77777777" w:rsidR="006D7A4B" w:rsidRDefault="006D7A4B" w:rsidP="00A9140F">
            <w:pPr>
              <w:pStyle w:val="AnnexNumberedText"/>
              <w:spacing w:after="24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D381B6B" w14:textId="77777777" w:rsidR="006D7A4B" w:rsidRDefault="006D7A4B" w:rsidP="00A9140F">
            <w:pPr>
              <w:pStyle w:val="AnnexNumberedText"/>
              <w:spacing w:after="2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3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C80A951" w14:textId="77777777" w:rsidR="006D7A4B" w:rsidRDefault="006D7A4B" w:rsidP="00A9140F">
            <w:pPr>
              <w:pStyle w:val="AnnexNumberedText"/>
              <w:tabs>
                <w:tab w:val="left" w:pos="396"/>
              </w:tabs>
              <w:spacing w:after="2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35"/>
            </w:r>
            <w:r>
              <w:t>), vísindalegt ritrýnt útgefið efni og líkön með opnum aðgangi (</w:t>
            </w:r>
            <w:r>
              <w:rPr>
                <w:rStyle w:val="Tilvsunneanmlsgrein"/>
                <w:sz w:val="18"/>
                <w:szCs w:val="18"/>
              </w:rPr>
              <w:footnoteReference w:id="736"/>
            </w:r>
            <w:r>
              <w:t>) eða gegn greiðslu.</w:t>
            </w:r>
          </w:p>
          <w:p w14:paraId="6EEC7345" w14:textId="77777777" w:rsidR="006D7A4B" w:rsidRDefault="006D7A4B" w:rsidP="00A9140F">
            <w:pPr>
              <w:pStyle w:val="AnnexNumberedText"/>
              <w:tabs>
                <w:tab w:val="left" w:pos="396"/>
              </w:tabs>
              <w:spacing w:after="240"/>
              <w:ind w:left="0" w:firstLine="0"/>
              <w:rPr>
                <w:szCs w:val="18"/>
              </w:rPr>
            </w:pPr>
            <w:r>
              <w:t>4.</w:t>
            </w:r>
            <w:r>
              <w:tab/>
              <w:t>Aðlögunarlausnir sem komið er í framkvæmd:</w:t>
            </w:r>
          </w:p>
          <w:p w14:paraId="000F1F2C"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5F2B8D42"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737"/>
            </w:r>
            <w:r>
              <w:t>) í forgangi eða treyst er á bláa eða græna innviði (</w:t>
            </w:r>
            <w:r>
              <w:rPr>
                <w:rStyle w:val="Tilvsunneanmlsgrein"/>
                <w:sz w:val="18"/>
                <w:szCs w:val="18"/>
              </w:rPr>
              <w:footnoteReference w:id="738"/>
            </w:r>
            <w:r>
              <w:t>) að því marki sem mögulegt er,</w:t>
            </w:r>
          </w:p>
          <w:p w14:paraId="24D7189D" w14:textId="77777777" w:rsidR="006D7A4B" w:rsidRDefault="006D7A4B" w:rsidP="00A9140F">
            <w:pPr>
              <w:pStyle w:val="AnnexNumberedText"/>
              <w:spacing w:after="240"/>
            </w:pPr>
            <w:r>
              <w:t>c)</w:t>
            </w:r>
            <w:r>
              <w:tab/>
              <w:t>eru í samræmi við staðbundnar, geirabundnar, svæðisbundnar eða landsbundnar aðlögunarstefnur og -áætlanir,</w:t>
            </w:r>
          </w:p>
          <w:p w14:paraId="6AD7F4E8" w14:textId="77777777" w:rsidR="006D7A4B" w:rsidRDefault="006D7A4B" w:rsidP="00A9140F">
            <w:pPr>
              <w:pStyle w:val="AnnexNumberedText"/>
              <w:spacing w:after="24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9DB591F" w14:textId="77777777" w:rsidR="006D7A4B" w:rsidRDefault="006D7A4B"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47BEA02F" w14:textId="77777777" w:rsidTr="00A9140F">
        <w:tc>
          <w:tcPr>
            <w:tcW w:w="8736" w:type="dxa"/>
            <w:gridSpan w:val="2"/>
            <w:tcMar>
              <w:top w:w="100" w:type="dxa"/>
              <w:left w:w="0" w:type="dxa"/>
              <w:bottom w:w="100" w:type="dxa"/>
              <w:right w:w="60" w:type="dxa"/>
            </w:tcMar>
          </w:tcPr>
          <w:p w14:paraId="11641677" w14:textId="77777777" w:rsidR="006D7A4B" w:rsidRDefault="006D7A4B" w:rsidP="00A9140F">
            <w:pPr>
              <w:pStyle w:val="AnnexTableCellLeft"/>
            </w:pPr>
            <w:r>
              <w:t>Ekki valda umtalsverðu tjóni</w:t>
            </w:r>
          </w:p>
        </w:tc>
      </w:tr>
      <w:tr w:rsidR="006D7A4B" w14:paraId="7AACCA26" w14:textId="77777777" w:rsidTr="00A9140F">
        <w:tc>
          <w:tcPr>
            <w:tcW w:w="2844" w:type="dxa"/>
            <w:tcMar>
              <w:top w:w="100" w:type="dxa"/>
              <w:left w:w="0" w:type="dxa"/>
              <w:bottom w:w="100" w:type="dxa"/>
              <w:right w:w="60" w:type="dxa"/>
            </w:tcMar>
          </w:tcPr>
          <w:p w14:paraId="7713F374" w14:textId="77777777" w:rsidR="006D7A4B" w:rsidRDefault="006D7A4B" w:rsidP="00A9140F">
            <w:pPr>
              <w:pStyle w:val="AnnexNumberedText"/>
              <w:spacing w:after="0"/>
              <w:ind w:left="293" w:hanging="293"/>
            </w:pPr>
            <w:r>
              <w:t>1)</w:t>
            </w:r>
            <w:r>
              <w:tab/>
              <w:t>Mildun loftslagsbreytinga</w:t>
            </w:r>
          </w:p>
        </w:tc>
        <w:tc>
          <w:tcPr>
            <w:tcW w:w="5892" w:type="dxa"/>
            <w:tcMar>
              <w:top w:w="100" w:type="dxa"/>
              <w:left w:w="60" w:type="dxa"/>
              <w:bottom w:w="100" w:type="dxa"/>
              <w:right w:w="0" w:type="dxa"/>
            </w:tcMar>
          </w:tcPr>
          <w:p w14:paraId="536F94D0" w14:textId="77777777" w:rsidR="006D7A4B" w:rsidRDefault="006D7A4B" w:rsidP="00A9140F">
            <w:pPr>
              <w:pStyle w:val="AnnexTableCellLeft"/>
            </w:pPr>
            <w:r>
              <w:t>Á ekki við</w:t>
            </w:r>
          </w:p>
        </w:tc>
      </w:tr>
      <w:tr w:rsidR="006D7A4B" w14:paraId="2DC5C4A4" w14:textId="77777777" w:rsidTr="00A9140F">
        <w:tc>
          <w:tcPr>
            <w:tcW w:w="2844" w:type="dxa"/>
            <w:tcMar>
              <w:top w:w="100" w:type="dxa"/>
              <w:left w:w="0" w:type="dxa"/>
              <w:bottom w:w="100" w:type="dxa"/>
              <w:right w:w="60" w:type="dxa"/>
            </w:tcMar>
          </w:tcPr>
          <w:p w14:paraId="51D404CC" w14:textId="77777777" w:rsidR="006D7A4B" w:rsidRDefault="006D7A4B" w:rsidP="00A9140F">
            <w:pPr>
              <w:pStyle w:val="AnnexNumberedText"/>
              <w:spacing w:after="0"/>
              <w:ind w:left="293" w:hanging="293"/>
            </w:pPr>
            <w:r>
              <w:t>3)</w:t>
            </w:r>
            <w:r>
              <w:tab/>
              <w:t>Sjálfbær notkun og verndun vatns- og sjávarauðlinda</w:t>
            </w:r>
          </w:p>
        </w:tc>
        <w:tc>
          <w:tcPr>
            <w:tcW w:w="5892" w:type="dxa"/>
            <w:tcMar>
              <w:top w:w="100" w:type="dxa"/>
              <w:left w:w="60" w:type="dxa"/>
              <w:bottom w:w="100" w:type="dxa"/>
              <w:right w:w="0" w:type="dxa"/>
            </w:tcMar>
          </w:tcPr>
          <w:p w14:paraId="4DC8DCA7" w14:textId="77777777" w:rsidR="006D7A4B" w:rsidRDefault="006D7A4B" w:rsidP="00A9140F">
            <w:pPr>
              <w:pStyle w:val="AnnexTableCellLeft"/>
            </w:pPr>
            <w:r>
              <w:t>Starfsemin er í samræmi við viðmiðanirnar sem settar eru fram í viðbæti B við þennan viðauka.</w:t>
            </w:r>
          </w:p>
        </w:tc>
      </w:tr>
      <w:tr w:rsidR="006D7A4B" w14:paraId="0FA8E4DA" w14:textId="77777777" w:rsidTr="00A9140F">
        <w:tc>
          <w:tcPr>
            <w:tcW w:w="2844" w:type="dxa"/>
            <w:tcMar>
              <w:top w:w="100" w:type="dxa"/>
              <w:left w:w="0" w:type="dxa"/>
              <w:bottom w:w="100" w:type="dxa"/>
              <w:right w:w="60" w:type="dxa"/>
            </w:tcMar>
          </w:tcPr>
          <w:p w14:paraId="1715967B" w14:textId="77777777" w:rsidR="006D7A4B" w:rsidRDefault="006D7A4B" w:rsidP="00A9140F">
            <w:pPr>
              <w:pStyle w:val="AnnexNumberedText"/>
              <w:spacing w:after="0"/>
              <w:ind w:left="293" w:hanging="293"/>
            </w:pPr>
            <w:r>
              <w:t>4)</w:t>
            </w:r>
            <w:r>
              <w:tab/>
              <w:t>Umskipti yfir í hringrásarhagkerfi</w:t>
            </w:r>
          </w:p>
        </w:tc>
        <w:tc>
          <w:tcPr>
            <w:tcW w:w="5892" w:type="dxa"/>
            <w:tcMar>
              <w:top w:w="100" w:type="dxa"/>
              <w:left w:w="60" w:type="dxa"/>
              <w:bottom w:w="100" w:type="dxa"/>
              <w:right w:w="0" w:type="dxa"/>
            </w:tcMar>
          </w:tcPr>
          <w:p w14:paraId="323AAA6D" w14:textId="77777777" w:rsidR="006D7A4B" w:rsidRDefault="006D7A4B" w:rsidP="00A9140F">
            <w:pPr>
              <w:pStyle w:val="AnnexTableCellLeft"/>
            </w:pPr>
            <w:r>
              <w:t>Á ekki við</w:t>
            </w:r>
          </w:p>
        </w:tc>
      </w:tr>
      <w:tr w:rsidR="006D7A4B" w14:paraId="3654D0B9" w14:textId="77777777" w:rsidTr="00A9140F">
        <w:tc>
          <w:tcPr>
            <w:tcW w:w="2844" w:type="dxa"/>
            <w:tcMar>
              <w:top w:w="100" w:type="dxa"/>
              <w:left w:w="0" w:type="dxa"/>
              <w:bottom w:w="100" w:type="dxa"/>
              <w:right w:w="60" w:type="dxa"/>
            </w:tcMar>
          </w:tcPr>
          <w:p w14:paraId="5D603D16" w14:textId="77777777" w:rsidR="006D7A4B" w:rsidRDefault="006D7A4B" w:rsidP="00A9140F">
            <w:pPr>
              <w:pStyle w:val="AnnexNumberedText"/>
              <w:spacing w:after="0"/>
              <w:ind w:left="293" w:hanging="293"/>
            </w:pPr>
            <w:r>
              <w:t>5)</w:t>
            </w:r>
            <w:r>
              <w:tab/>
              <w:t>Mengunarvarnir og eftirlit með mengun</w:t>
            </w:r>
          </w:p>
        </w:tc>
        <w:tc>
          <w:tcPr>
            <w:tcW w:w="5892" w:type="dxa"/>
            <w:tcMar>
              <w:top w:w="100" w:type="dxa"/>
              <w:left w:w="60" w:type="dxa"/>
              <w:bottom w:w="100" w:type="dxa"/>
              <w:right w:w="0" w:type="dxa"/>
            </w:tcMar>
          </w:tcPr>
          <w:p w14:paraId="5014502E" w14:textId="77777777" w:rsidR="006D7A4B" w:rsidRDefault="006D7A4B" w:rsidP="00A9140F">
            <w:pPr>
              <w:pStyle w:val="AnnexTableCellLeft"/>
            </w:pPr>
            <w:r>
              <w:t>Á ekki við</w:t>
            </w:r>
          </w:p>
        </w:tc>
      </w:tr>
      <w:tr w:rsidR="006D7A4B" w14:paraId="610F8262" w14:textId="77777777" w:rsidTr="00A9140F">
        <w:tc>
          <w:tcPr>
            <w:tcW w:w="2844" w:type="dxa"/>
            <w:tcMar>
              <w:top w:w="100" w:type="dxa"/>
              <w:left w:w="0" w:type="dxa"/>
              <w:bottom w:w="100" w:type="dxa"/>
              <w:right w:w="60" w:type="dxa"/>
            </w:tcMar>
          </w:tcPr>
          <w:p w14:paraId="6ED82524" w14:textId="77777777" w:rsidR="006D7A4B" w:rsidRDefault="006D7A4B" w:rsidP="00A9140F">
            <w:pPr>
              <w:pStyle w:val="AnnexNumberedText"/>
              <w:spacing w:after="0"/>
              <w:ind w:left="293" w:hanging="293"/>
            </w:pPr>
            <w:r>
              <w:t>6)</w:t>
            </w:r>
            <w:r>
              <w:tab/>
              <w:t>Vernd og endurheimt líffræðilegrar fjölbreytni og vistkerfa</w:t>
            </w:r>
          </w:p>
        </w:tc>
        <w:tc>
          <w:tcPr>
            <w:tcW w:w="5892" w:type="dxa"/>
            <w:tcMar>
              <w:top w:w="100" w:type="dxa"/>
              <w:left w:w="60" w:type="dxa"/>
              <w:bottom w:w="100" w:type="dxa"/>
              <w:right w:w="0" w:type="dxa"/>
            </w:tcMar>
          </w:tcPr>
          <w:p w14:paraId="7515D168" w14:textId="77777777" w:rsidR="006D7A4B" w:rsidRDefault="006D7A4B" w:rsidP="00A9140F">
            <w:pPr>
              <w:pStyle w:val="AnnexTableCellLeft"/>
            </w:pPr>
            <w:r>
              <w:t>Starfsemin er í samræmi við viðmiðanirnar sem settar eru fram í viðbæti D við þennan viðauka.</w:t>
            </w:r>
          </w:p>
        </w:tc>
      </w:tr>
    </w:tbl>
    <w:p w14:paraId="2B09D054" w14:textId="77777777" w:rsidR="006D7A4B" w:rsidRDefault="006D7A4B" w:rsidP="006D7A4B">
      <w:pPr>
        <w:shd w:val="clear" w:color="auto" w:fill="auto"/>
        <w:spacing w:line="0" w:lineRule="auto"/>
        <w:jc w:val="left"/>
        <w:rPr>
          <w:color w:val="auto"/>
          <w14:ligatures w14:val="standard"/>
        </w:rPr>
      </w:pPr>
      <w:r>
        <w:br w:type="page"/>
      </w:r>
    </w:p>
    <w:p w14:paraId="328A017B" w14:textId="77777777" w:rsidR="006D7A4B" w:rsidRDefault="006D7A4B" w:rsidP="006D7A4B">
      <w:pPr>
        <w:pStyle w:val="AnnexNumberedText"/>
        <w:ind w:left="504" w:hanging="504"/>
      </w:pPr>
      <w:r>
        <w:lastRenderedPageBreak/>
        <w:t>5.3.</w:t>
      </w:r>
      <w:r>
        <w:rPr>
          <w:b/>
        </w:rPr>
        <w:tab/>
        <w:t xml:space="preserve">Uppbygging, stækkun og </w:t>
      </w:r>
      <w:proofErr w:type="spellStart"/>
      <w:r>
        <w:rPr>
          <w:b/>
        </w:rPr>
        <w:t>starfræksla</w:t>
      </w:r>
      <w:proofErr w:type="spellEnd"/>
      <w:r>
        <w:rPr>
          <w:b/>
        </w:rPr>
        <w:t xml:space="preserve"> </w:t>
      </w:r>
      <w:proofErr w:type="spellStart"/>
      <w:r>
        <w:rPr>
          <w:b/>
        </w:rPr>
        <w:t>skólpsöfnunar</w:t>
      </w:r>
      <w:proofErr w:type="spellEnd"/>
      <w:r>
        <w:rPr>
          <w:b/>
        </w:rPr>
        <w:t xml:space="preserve">- og </w:t>
      </w:r>
      <w:proofErr w:type="spellStart"/>
      <w:r>
        <w:rPr>
          <w:b/>
        </w:rPr>
        <w:t>skólphreinsunarkerfa</w:t>
      </w:r>
      <w:proofErr w:type="spellEnd"/>
    </w:p>
    <w:p w14:paraId="736792CA" w14:textId="77777777" w:rsidR="006D7A4B" w:rsidRDefault="006D7A4B" w:rsidP="006D7A4B">
      <w:pPr>
        <w:pStyle w:val="AnnexGrSeq3"/>
        <w:ind w:left="504"/>
        <w:jc w:val="both"/>
      </w:pPr>
      <w:r>
        <w:rPr>
          <w:i/>
        </w:rPr>
        <w:t>Lýsing á starfseminni</w:t>
      </w:r>
    </w:p>
    <w:p w14:paraId="677737AE" w14:textId="77777777" w:rsidR="006D7A4B" w:rsidRDefault="006D7A4B" w:rsidP="006D7A4B">
      <w:pPr>
        <w:pStyle w:val="AnnexNormal"/>
        <w:ind w:left="504"/>
      </w:pPr>
      <w:r>
        <w:t xml:space="preserve">Uppbygging, stækkun og </w:t>
      </w:r>
      <w:proofErr w:type="spellStart"/>
      <w:r>
        <w:t>starfræksla</w:t>
      </w:r>
      <w:proofErr w:type="spellEnd"/>
      <w:r>
        <w:t xml:space="preserve"> á miðlægum </w:t>
      </w:r>
      <w:proofErr w:type="spellStart"/>
      <w:r>
        <w:t>skólpkerfum</w:t>
      </w:r>
      <w:proofErr w:type="spellEnd"/>
      <w:r>
        <w:t>, þ.m.t. söfnun (fráveitukerfi) og hreinsun.</w:t>
      </w:r>
    </w:p>
    <w:p w14:paraId="63A0086B" w14:textId="77777777" w:rsidR="006D7A4B" w:rsidRDefault="006D7A4B" w:rsidP="006D7A4B">
      <w:pPr>
        <w:pStyle w:val="AnnexNormal"/>
        <w:ind w:left="504"/>
      </w:pPr>
      <w:r>
        <w:t>Atvinnustarfsemin í þessum flokki gæti tengst nokkrum kóðum atvinnugreinaflokkunar Evrópusambandsins, einkum E37.00 og F42.99, í samræmi við atvinnugreinaflokkunina sem komið var á með reglugerð (EB) nr. 1893/2006.</w:t>
      </w:r>
    </w:p>
    <w:p w14:paraId="0D6FD487" w14:textId="77777777" w:rsidR="006D7A4B" w:rsidRDefault="006D7A4B" w:rsidP="006D7A4B">
      <w:pPr>
        <w:pStyle w:val="AnnexGrSeq3"/>
        <w:ind w:left="504"/>
        <w:jc w:val="both"/>
      </w:pPr>
      <w:r>
        <w:rPr>
          <w:i/>
        </w:rPr>
        <w:t>Tæknileg matsviðmið</w:t>
      </w:r>
    </w:p>
    <w:tbl>
      <w:tblPr>
        <w:tblStyle w:val="EFTATable"/>
        <w:tblW w:w="8736" w:type="dxa"/>
        <w:tblInd w:w="504" w:type="dxa"/>
        <w:tblLook w:val="04A0" w:firstRow="1" w:lastRow="0" w:firstColumn="1" w:lastColumn="0" w:noHBand="0" w:noVBand="1"/>
      </w:tblPr>
      <w:tblGrid>
        <w:gridCol w:w="2880"/>
        <w:gridCol w:w="5856"/>
      </w:tblGrid>
      <w:tr w:rsidR="006D7A4B" w14:paraId="25154373" w14:textId="77777777" w:rsidTr="00A9140F">
        <w:trPr>
          <w:trHeight w:val="280"/>
        </w:trPr>
        <w:tc>
          <w:tcPr>
            <w:tcW w:w="8736" w:type="dxa"/>
            <w:gridSpan w:val="2"/>
            <w:tcBorders>
              <w:bottom w:val="single" w:sz="4" w:space="0" w:color="auto"/>
            </w:tcBorders>
            <w:tcMar>
              <w:left w:w="0" w:type="dxa"/>
              <w:right w:w="60" w:type="dxa"/>
            </w:tcMar>
          </w:tcPr>
          <w:p w14:paraId="163908DA" w14:textId="77777777" w:rsidR="006D7A4B" w:rsidRDefault="006D7A4B" w:rsidP="00A9140F">
            <w:pPr>
              <w:pStyle w:val="AnnexTableCellLeft"/>
              <w:spacing w:before="40" w:after="40"/>
            </w:pPr>
            <w:r>
              <w:t>Verulegt framlag til aðlögunar að loftslagsbreytingum</w:t>
            </w:r>
          </w:p>
        </w:tc>
      </w:tr>
      <w:tr w:rsidR="006D7A4B" w14:paraId="22C908AE" w14:textId="77777777" w:rsidTr="00A9140F">
        <w:trPr>
          <w:trHeight w:val="360"/>
        </w:trPr>
        <w:tc>
          <w:tcPr>
            <w:tcW w:w="8736" w:type="dxa"/>
            <w:gridSpan w:val="2"/>
            <w:tcBorders>
              <w:bottom w:val="nil"/>
            </w:tcBorders>
            <w:tcMar>
              <w:left w:w="0" w:type="dxa"/>
              <w:right w:w="60" w:type="dxa"/>
            </w:tcMar>
          </w:tcPr>
          <w:p w14:paraId="3BC96BB8" w14:textId="77777777" w:rsidR="006D7A4B" w:rsidRDefault="006D7A4B" w:rsidP="00A9140F">
            <w:pPr>
              <w:pStyle w:val="AnnexNumberedText"/>
              <w:tabs>
                <w:tab w:val="left" w:pos="396"/>
              </w:tabs>
              <w:spacing w:after="36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39363C9F" w14:textId="77777777" w:rsidR="006D7A4B" w:rsidRDefault="006D7A4B" w:rsidP="00A9140F">
            <w:pPr>
              <w:pStyle w:val="AnnexNumberedText"/>
              <w:tabs>
                <w:tab w:val="left" w:pos="396"/>
              </w:tabs>
              <w:spacing w:after="36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0C0843D" w14:textId="77777777" w:rsidR="006D7A4B" w:rsidRDefault="006D7A4B" w:rsidP="00A9140F">
            <w:pPr>
              <w:pStyle w:val="AnnexNumberedText"/>
              <w:spacing w:after="36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49E0841" w14:textId="77777777" w:rsidR="006D7A4B" w:rsidRDefault="006D7A4B" w:rsidP="00A9140F">
            <w:pPr>
              <w:pStyle w:val="AnnexNumberedText"/>
              <w:spacing w:after="36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5DAF7543" w14:textId="77777777" w:rsidR="006D7A4B" w:rsidRDefault="006D7A4B" w:rsidP="00A9140F">
            <w:pPr>
              <w:pStyle w:val="AnnexNumberedText"/>
              <w:spacing w:after="360"/>
              <w:rPr>
                <w:szCs w:val="18"/>
              </w:rPr>
            </w:pPr>
            <w:r>
              <w:t>c)</w:t>
            </w:r>
            <w:r>
              <w:tab/>
              <w:t>mat á aðlögunarlausnum sem geta dregið úr greindri efnislegri loftslagsáhættu.</w:t>
            </w:r>
          </w:p>
          <w:p w14:paraId="2F326867" w14:textId="77777777" w:rsidR="006D7A4B" w:rsidRDefault="006D7A4B" w:rsidP="00A9140F">
            <w:pPr>
              <w:pStyle w:val="AnnexTableCellLeft"/>
              <w:spacing w:after="36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BDC01D3" w14:textId="77777777" w:rsidR="006D7A4B" w:rsidRDefault="006D7A4B" w:rsidP="00A9140F">
            <w:pPr>
              <w:pStyle w:val="AnnexNumberedText"/>
              <w:spacing w:after="3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23EBD4B" w14:textId="77777777" w:rsidR="006D7A4B" w:rsidRDefault="006D7A4B" w:rsidP="00A9140F">
            <w:pPr>
              <w:pStyle w:val="AnnexNumberedText"/>
              <w:spacing w:after="3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3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BF09E38" w14:textId="77777777" w:rsidR="006D7A4B" w:rsidRDefault="006D7A4B" w:rsidP="00A9140F">
            <w:pPr>
              <w:pStyle w:val="AnnexNumberedText"/>
              <w:tabs>
                <w:tab w:val="left" w:pos="396"/>
              </w:tabs>
              <w:spacing w:after="3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40"/>
            </w:r>
            <w:r>
              <w:t>), vísindalegt ritrýnt útgefið efni og líkön með opnum aðgangi (</w:t>
            </w:r>
            <w:r>
              <w:rPr>
                <w:rStyle w:val="Tilvsunneanmlsgrein"/>
                <w:sz w:val="18"/>
                <w:szCs w:val="18"/>
              </w:rPr>
              <w:footnoteReference w:id="741"/>
            </w:r>
            <w:r>
              <w:t>) eða gegn greiðslu.</w:t>
            </w:r>
          </w:p>
          <w:p w14:paraId="18F29820" w14:textId="77777777" w:rsidR="006D7A4B" w:rsidRDefault="006D7A4B" w:rsidP="00A9140F">
            <w:pPr>
              <w:pStyle w:val="AnnexNumberedText"/>
              <w:tabs>
                <w:tab w:val="left" w:pos="396"/>
              </w:tabs>
              <w:spacing w:after="360"/>
              <w:ind w:left="0" w:firstLine="0"/>
              <w:rPr>
                <w:szCs w:val="18"/>
              </w:rPr>
            </w:pPr>
            <w:r>
              <w:t>4.</w:t>
            </w:r>
            <w:r>
              <w:tab/>
              <w:t>Aðlögunarlausnir sem komið er í framkvæmd:</w:t>
            </w:r>
          </w:p>
          <w:p w14:paraId="2DC2BC92" w14:textId="77777777" w:rsidR="006D7A4B" w:rsidRDefault="006D7A4B" w:rsidP="00A9140F">
            <w:pPr>
              <w:pStyle w:val="AnnexNumberedText"/>
              <w:spacing w:after="0"/>
              <w:rPr>
                <w:szCs w:val="18"/>
              </w:rPr>
            </w:pPr>
            <w:r>
              <w:t>a)</w:t>
            </w:r>
            <w:r>
              <w:tab/>
              <w:t>hafa ekki neikvæð áhrif á viðleitni til aðlögunar eða viðnám annars fólks, náttúru, menningararfleifðar, eigna og annarrar atvinnustarfsemi gegn efnislegri loftslagsáhættu,</w:t>
            </w:r>
          </w:p>
        </w:tc>
      </w:tr>
      <w:tr w:rsidR="006D7A4B" w14:paraId="4A08D50F" w14:textId="77777777" w:rsidTr="00A9140F">
        <w:trPr>
          <w:trHeight w:val="360"/>
        </w:trPr>
        <w:tc>
          <w:tcPr>
            <w:tcW w:w="8736" w:type="dxa"/>
            <w:gridSpan w:val="2"/>
            <w:tcBorders>
              <w:top w:val="nil"/>
            </w:tcBorders>
            <w:tcMar>
              <w:left w:w="0" w:type="dxa"/>
              <w:right w:w="60" w:type="dxa"/>
            </w:tcMar>
          </w:tcPr>
          <w:p w14:paraId="155EB44F" w14:textId="77777777" w:rsidR="006D7A4B" w:rsidRDefault="006D7A4B" w:rsidP="00A9140F">
            <w:pPr>
              <w:pStyle w:val="AnnexNumberedText"/>
              <w:pageBreakBefore/>
              <w:spacing w:after="300"/>
              <w:rPr>
                <w:szCs w:val="18"/>
              </w:rPr>
            </w:pPr>
            <w:r>
              <w:lastRenderedPageBreak/>
              <w:t>b)</w:t>
            </w:r>
            <w:r>
              <w:tab/>
              <w:t>eru með náttúrumiðaðar lausnir (</w:t>
            </w:r>
            <w:r>
              <w:rPr>
                <w:rStyle w:val="Tilvsunneanmlsgrein"/>
                <w:sz w:val="18"/>
                <w:szCs w:val="18"/>
              </w:rPr>
              <w:footnoteReference w:id="742"/>
            </w:r>
            <w:r>
              <w:t>) í forgangi eða treyst er á bláa eða græna innviði (</w:t>
            </w:r>
            <w:r>
              <w:rPr>
                <w:rStyle w:val="Tilvsunneanmlsgrein"/>
                <w:sz w:val="18"/>
                <w:szCs w:val="18"/>
              </w:rPr>
              <w:footnoteReference w:id="743"/>
            </w:r>
            <w:r>
              <w:t>) að því marki sem mögulegt er,</w:t>
            </w:r>
          </w:p>
          <w:p w14:paraId="6D37FDE8"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1814AADD"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BEBA43E"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408B22C2" w14:textId="77777777" w:rsidTr="00A9140F">
        <w:trPr>
          <w:trHeight w:val="240"/>
        </w:trPr>
        <w:tc>
          <w:tcPr>
            <w:tcW w:w="8736" w:type="dxa"/>
            <w:gridSpan w:val="2"/>
            <w:tcMar>
              <w:top w:w="120" w:type="dxa"/>
              <w:left w:w="0" w:type="dxa"/>
              <w:bottom w:w="120" w:type="dxa"/>
              <w:right w:w="60" w:type="dxa"/>
            </w:tcMar>
          </w:tcPr>
          <w:p w14:paraId="4FE28813" w14:textId="77777777" w:rsidR="006D7A4B" w:rsidRDefault="006D7A4B" w:rsidP="00A9140F">
            <w:pPr>
              <w:pStyle w:val="AnnexTableCellLeft"/>
              <w:rPr>
                <w:szCs w:val="18"/>
              </w:rPr>
            </w:pPr>
            <w:r>
              <w:t>Ekki valda umtalsverðu tjóni</w:t>
            </w:r>
          </w:p>
        </w:tc>
      </w:tr>
      <w:tr w:rsidR="006D7A4B" w14:paraId="1948B703" w14:textId="77777777" w:rsidTr="00A9140F">
        <w:trPr>
          <w:trHeight w:val="360"/>
        </w:trPr>
        <w:tc>
          <w:tcPr>
            <w:tcW w:w="2880" w:type="dxa"/>
            <w:tcMar>
              <w:top w:w="120" w:type="dxa"/>
              <w:left w:w="0" w:type="dxa"/>
              <w:bottom w:w="120" w:type="dxa"/>
              <w:right w:w="60" w:type="dxa"/>
            </w:tcMar>
          </w:tcPr>
          <w:p w14:paraId="34C14EDC" w14:textId="77777777" w:rsidR="006D7A4B" w:rsidRDefault="006D7A4B" w:rsidP="00A9140F">
            <w:pPr>
              <w:pStyle w:val="AnnexNumberedText"/>
              <w:spacing w:after="0"/>
              <w:ind w:left="293" w:hanging="293"/>
              <w:rPr>
                <w:szCs w:val="18"/>
              </w:rPr>
            </w:pPr>
            <w:r>
              <w:t>1)</w:t>
            </w:r>
            <w:r>
              <w:tab/>
              <w:t>Mildun loftslagsbreytinga</w:t>
            </w:r>
          </w:p>
        </w:tc>
        <w:tc>
          <w:tcPr>
            <w:tcW w:w="5856" w:type="dxa"/>
            <w:tcMar>
              <w:top w:w="120" w:type="dxa"/>
              <w:left w:w="60" w:type="dxa"/>
              <w:bottom w:w="120" w:type="dxa"/>
              <w:right w:w="0" w:type="dxa"/>
            </w:tcMar>
          </w:tcPr>
          <w:p w14:paraId="76FB145A" w14:textId="77777777" w:rsidR="006D7A4B" w:rsidRDefault="006D7A4B" w:rsidP="00A9140F">
            <w:pPr>
              <w:pStyle w:val="AnnexTableCellLeft"/>
              <w:rPr>
                <w:szCs w:val="18"/>
              </w:rPr>
            </w:pPr>
            <w:r>
              <w:t xml:space="preserve">Mat á beinni losun gróðurhúsalofttegunda frá miðlægu </w:t>
            </w:r>
            <w:proofErr w:type="spellStart"/>
            <w:r>
              <w:t>skólpkerfi</w:t>
            </w:r>
            <w:proofErr w:type="spellEnd"/>
            <w:r>
              <w:t>, þ.m.t. söfnun (fráveitukerfi) og hreinsun, hefur verið framkvæmt (</w:t>
            </w:r>
            <w:r>
              <w:rPr>
                <w:rStyle w:val="Tilvsunneanmlsgrein"/>
                <w:sz w:val="18"/>
                <w:szCs w:val="18"/>
              </w:rPr>
              <w:footnoteReference w:id="744"/>
            </w:r>
            <w:r>
              <w:t>). Niðurstöðurnar eru birtar fjárfestum og viðskiptavinum hvenær sem krafist er.</w:t>
            </w:r>
          </w:p>
        </w:tc>
      </w:tr>
      <w:tr w:rsidR="006D7A4B" w14:paraId="4273980B" w14:textId="77777777" w:rsidTr="00A9140F">
        <w:trPr>
          <w:trHeight w:val="360"/>
        </w:trPr>
        <w:tc>
          <w:tcPr>
            <w:tcW w:w="2880" w:type="dxa"/>
            <w:tcMar>
              <w:top w:w="120" w:type="dxa"/>
              <w:left w:w="0" w:type="dxa"/>
              <w:bottom w:w="120" w:type="dxa"/>
              <w:right w:w="60" w:type="dxa"/>
            </w:tcMar>
          </w:tcPr>
          <w:p w14:paraId="15A19A60"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56" w:type="dxa"/>
            <w:tcMar>
              <w:top w:w="120" w:type="dxa"/>
              <w:left w:w="60" w:type="dxa"/>
              <w:bottom w:w="120" w:type="dxa"/>
              <w:right w:w="0" w:type="dxa"/>
            </w:tcMar>
          </w:tcPr>
          <w:p w14:paraId="73AC15C3" w14:textId="77777777" w:rsidR="006D7A4B" w:rsidRDefault="006D7A4B" w:rsidP="00A9140F">
            <w:pPr>
              <w:pStyle w:val="AnnexTableCellLeft"/>
              <w:rPr>
                <w:szCs w:val="18"/>
              </w:rPr>
            </w:pPr>
            <w:r>
              <w:t>Starfsemin er í samræmi við viðmiðanirnar sem settar eru fram í viðbæti B við þennan viðauka.</w:t>
            </w:r>
          </w:p>
          <w:p w14:paraId="2BCBBF38" w14:textId="77777777" w:rsidR="006D7A4B" w:rsidRDefault="006D7A4B" w:rsidP="00A9140F">
            <w:pPr>
              <w:pStyle w:val="AnnexTableCellLeft"/>
              <w:rPr>
                <w:szCs w:val="18"/>
              </w:rPr>
            </w:pPr>
            <w:r>
              <w:t xml:space="preserve">Ef </w:t>
            </w:r>
            <w:proofErr w:type="spellStart"/>
            <w:r>
              <w:t>skólp</w:t>
            </w:r>
            <w:proofErr w:type="spellEnd"/>
            <w:r>
              <w:t xml:space="preserve"> er meðhöndlað að því marki að það sé hentugt til endurnotkunar til áveitu í landbúnaði hafa tilskildar aðgerðir til áhættustjórnunar til að komast hjá óhagstæðum umhverfisáhrifum verið skilgreindar og komið til framkvæmda (</w:t>
            </w:r>
            <w:r>
              <w:rPr>
                <w:rStyle w:val="Tilvsunneanmlsgrein"/>
                <w:sz w:val="18"/>
                <w:szCs w:val="18"/>
              </w:rPr>
              <w:footnoteReference w:id="745"/>
            </w:r>
            <w:r>
              <w:t>).</w:t>
            </w:r>
          </w:p>
        </w:tc>
      </w:tr>
      <w:tr w:rsidR="006D7A4B" w14:paraId="73BAE0C7" w14:textId="77777777" w:rsidTr="00A9140F">
        <w:trPr>
          <w:trHeight w:val="360"/>
        </w:trPr>
        <w:tc>
          <w:tcPr>
            <w:tcW w:w="2880" w:type="dxa"/>
            <w:tcMar>
              <w:top w:w="120" w:type="dxa"/>
              <w:left w:w="0" w:type="dxa"/>
              <w:bottom w:w="120" w:type="dxa"/>
              <w:right w:w="60" w:type="dxa"/>
            </w:tcMar>
          </w:tcPr>
          <w:p w14:paraId="679CA986" w14:textId="77777777" w:rsidR="006D7A4B" w:rsidRDefault="006D7A4B" w:rsidP="00A9140F">
            <w:pPr>
              <w:pStyle w:val="AnnexNumberedText"/>
              <w:spacing w:after="0"/>
              <w:ind w:left="293" w:hanging="293"/>
              <w:rPr>
                <w:szCs w:val="18"/>
              </w:rPr>
            </w:pPr>
            <w:r>
              <w:t>4)</w:t>
            </w:r>
            <w:r>
              <w:tab/>
              <w:t>Umskipti yfir í hringrásarhagkerfi</w:t>
            </w:r>
          </w:p>
        </w:tc>
        <w:tc>
          <w:tcPr>
            <w:tcW w:w="5856" w:type="dxa"/>
            <w:tcMar>
              <w:top w:w="120" w:type="dxa"/>
              <w:left w:w="60" w:type="dxa"/>
              <w:bottom w:w="120" w:type="dxa"/>
              <w:right w:w="0" w:type="dxa"/>
            </w:tcMar>
          </w:tcPr>
          <w:p w14:paraId="0020571F" w14:textId="77777777" w:rsidR="006D7A4B" w:rsidRDefault="006D7A4B" w:rsidP="00A9140F">
            <w:pPr>
              <w:pStyle w:val="AnnexTableCellLeft"/>
              <w:rPr>
                <w:szCs w:val="18"/>
              </w:rPr>
            </w:pPr>
            <w:r>
              <w:t>Á ekki við</w:t>
            </w:r>
          </w:p>
        </w:tc>
      </w:tr>
      <w:tr w:rsidR="006D7A4B" w14:paraId="635CBEC8" w14:textId="77777777" w:rsidTr="00A9140F">
        <w:trPr>
          <w:trHeight w:val="360"/>
        </w:trPr>
        <w:tc>
          <w:tcPr>
            <w:tcW w:w="2880" w:type="dxa"/>
            <w:tcMar>
              <w:top w:w="120" w:type="dxa"/>
              <w:left w:w="0" w:type="dxa"/>
              <w:bottom w:w="120" w:type="dxa"/>
              <w:right w:w="60" w:type="dxa"/>
            </w:tcMar>
          </w:tcPr>
          <w:p w14:paraId="634E2C0D" w14:textId="77777777" w:rsidR="006D7A4B" w:rsidRDefault="006D7A4B" w:rsidP="00A9140F">
            <w:pPr>
              <w:pStyle w:val="AnnexNumberedText"/>
              <w:spacing w:after="0"/>
              <w:ind w:left="293" w:hanging="293"/>
              <w:rPr>
                <w:szCs w:val="18"/>
              </w:rPr>
            </w:pPr>
            <w:r>
              <w:t>5)</w:t>
            </w:r>
            <w:r>
              <w:tab/>
              <w:t>Mengunarvarnir og eftirlit með mengun</w:t>
            </w:r>
          </w:p>
        </w:tc>
        <w:tc>
          <w:tcPr>
            <w:tcW w:w="5856" w:type="dxa"/>
            <w:tcMar>
              <w:top w:w="120" w:type="dxa"/>
              <w:left w:w="60" w:type="dxa"/>
              <w:bottom w:w="120" w:type="dxa"/>
              <w:right w:w="0" w:type="dxa"/>
            </w:tcMar>
          </w:tcPr>
          <w:p w14:paraId="48FCDD64" w14:textId="77777777" w:rsidR="006D7A4B" w:rsidRDefault="006D7A4B" w:rsidP="00A9140F">
            <w:pPr>
              <w:pStyle w:val="AnnexTableCellLeft"/>
              <w:rPr>
                <w:szCs w:val="18"/>
              </w:rPr>
            </w:pPr>
            <w:r>
              <w:t>Losun í viðtökuvatn uppfyllir kröfurnar sem mælt er fyrir um í tilskipun 91/271/EBE eða eins og krafist er í ákvæðum landslaga þar sem fram kemur tiltekið leyfilegt hámarksinnihald mengunarefna frá losun í viðtökuvatn.</w:t>
            </w:r>
          </w:p>
          <w:p w14:paraId="27C62A09" w14:textId="77777777" w:rsidR="006D7A4B" w:rsidRDefault="006D7A4B" w:rsidP="00A9140F">
            <w:pPr>
              <w:pStyle w:val="AnnexTableCellLeft"/>
              <w:rPr>
                <w:szCs w:val="18"/>
              </w:rPr>
            </w:pPr>
            <w:r>
              <w:t xml:space="preserve">Viðeigandi ráðstafanir hafa verið gerðar til að komast hjá og draga úr óhóflegu yfirfalli úrkomuvatns frá </w:t>
            </w:r>
            <w:proofErr w:type="spellStart"/>
            <w:r>
              <w:t>skólpsöfnunarkerfinu</w:t>
            </w:r>
            <w:proofErr w:type="spellEnd"/>
            <w:r>
              <w:t xml:space="preserve"> sem geta falið í sér náttúrumiðaðar lausnir, aðskilin yfirfallssöfnunarkerfi, vatnssöfnunartanka og meðhöndlun á fyrsta </w:t>
            </w:r>
            <w:proofErr w:type="spellStart"/>
            <w:r>
              <w:t>skolvatni</w:t>
            </w:r>
            <w:proofErr w:type="spellEnd"/>
            <w:r>
              <w:t>.</w:t>
            </w:r>
          </w:p>
          <w:p w14:paraId="7847538A" w14:textId="77777777" w:rsidR="006D7A4B" w:rsidRDefault="006D7A4B" w:rsidP="00A9140F">
            <w:pPr>
              <w:pStyle w:val="AnnexTableCellLeft"/>
              <w:rPr>
                <w:szCs w:val="18"/>
              </w:rPr>
            </w:pPr>
            <w:proofErr w:type="spellStart"/>
            <w:r>
              <w:t>Skólpseyra</w:t>
            </w:r>
            <w:proofErr w:type="spellEnd"/>
            <w:r>
              <w:t xml:space="preserve"> er notuð í samræmi við tilskipun 86/278/EBE eða eins og krafist er samkvæmt landslögum að því er varðar dreifingu </w:t>
            </w:r>
            <w:proofErr w:type="spellStart"/>
            <w:r>
              <w:t>seyru</w:t>
            </w:r>
            <w:proofErr w:type="spellEnd"/>
            <w:r>
              <w:t xml:space="preserve"> á jarðveg eða sérhverja aðra notkun </w:t>
            </w:r>
            <w:proofErr w:type="spellStart"/>
            <w:r>
              <w:t>seyru</w:t>
            </w:r>
            <w:proofErr w:type="spellEnd"/>
            <w:r>
              <w:t xml:space="preserve"> á og í jarðveginn.</w:t>
            </w:r>
          </w:p>
        </w:tc>
      </w:tr>
      <w:tr w:rsidR="006D7A4B" w14:paraId="275D1D2E" w14:textId="77777777" w:rsidTr="00A9140F">
        <w:trPr>
          <w:trHeight w:val="360"/>
        </w:trPr>
        <w:tc>
          <w:tcPr>
            <w:tcW w:w="2880" w:type="dxa"/>
            <w:tcMar>
              <w:top w:w="120" w:type="dxa"/>
              <w:left w:w="0" w:type="dxa"/>
              <w:bottom w:w="120" w:type="dxa"/>
              <w:right w:w="60" w:type="dxa"/>
            </w:tcMar>
          </w:tcPr>
          <w:p w14:paraId="780FDCFD" w14:textId="77777777" w:rsidR="006D7A4B" w:rsidRDefault="006D7A4B" w:rsidP="00A9140F">
            <w:pPr>
              <w:pStyle w:val="AnnexNumberedText"/>
              <w:spacing w:after="0"/>
              <w:ind w:left="293" w:hanging="293"/>
              <w:rPr>
                <w:szCs w:val="18"/>
              </w:rPr>
            </w:pPr>
            <w:r>
              <w:t>6)</w:t>
            </w:r>
            <w:r>
              <w:tab/>
              <w:t>Vernd og endurheimt líffræðilegrar fjölbreytni og vistkerfa</w:t>
            </w:r>
          </w:p>
        </w:tc>
        <w:tc>
          <w:tcPr>
            <w:tcW w:w="5856" w:type="dxa"/>
            <w:tcMar>
              <w:top w:w="120" w:type="dxa"/>
              <w:left w:w="60" w:type="dxa"/>
              <w:bottom w:w="120" w:type="dxa"/>
              <w:right w:w="0" w:type="dxa"/>
            </w:tcMar>
          </w:tcPr>
          <w:p w14:paraId="139DCA0D" w14:textId="77777777" w:rsidR="006D7A4B" w:rsidRDefault="006D7A4B" w:rsidP="00A9140F">
            <w:pPr>
              <w:pStyle w:val="AnnexTableCellLeft"/>
              <w:rPr>
                <w:szCs w:val="18"/>
              </w:rPr>
            </w:pPr>
            <w:r>
              <w:t>Starfsemin er í samræmi við viðmiðanirnar sem settar eru fram í viðbæti D við þennan viðauka.</w:t>
            </w:r>
          </w:p>
        </w:tc>
      </w:tr>
    </w:tbl>
    <w:p w14:paraId="3A3539FD" w14:textId="77777777" w:rsidR="006D7A4B" w:rsidRDefault="006D7A4B" w:rsidP="006D7A4B">
      <w:pPr>
        <w:pStyle w:val="AnnexNumberedText"/>
        <w:ind w:left="504" w:hanging="504"/>
      </w:pPr>
      <w:r>
        <w:t>5.4.</w:t>
      </w:r>
      <w:r>
        <w:rPr>
          <w:b/>
        </w:rPr>
        <w:tab/>
        <w:t xml:space="preserve">Endurnýjun </w:t>
      </w:r>
      <w:proofErr w:type="spellStart"/>
      <w:r>
        <w:rPr>
          <w:b/>
        </w:rPr>
        <w:t>skólpsöfnunar</w:t>
      </w:r>
      <w:proofErr w:type="spellEnd"/>
      <w:r>
        <w:rPr>
          <w:b/>
        </w:rPr>
        <w:t xml:space="preserve">- og </w:t>
      </w:r>
      <w:proofErr w:type="spellStart"/>
      <w:r>
        <w:rPr>
          <w:b/>
        </w:rPr>
        <w:t>skólphreinsunarkerfa</w:t>
      </w:r>
      <w:proofErr w:type="spellEnd"/>
    </w:p>
    <w:p w14:paraId="26FE754E" w14:textId="77777777" w:rsidR="006D7A4B" w:rsidRDefault="006D7A4B" w:rsidP="006D7A4B">
      <w:pPr>
        <w:pStyle w:val="AnnexGrSeq3"/>
        <w:spacing w:after="120"/>
        <w:ind w:left="504"/>
        <w:jc w:val="both"/>
      </w:pPr>
      <w:r>
        <w:rPr>
          <w:i/>
        </w:rPr>
        <w:lastRenderedPageBreak/>
        <w:t>Lýsing á starfseminni</w:t>
      </w:r>
    </w:p>
    <w:p w14:paraId="0AE6F560" w14:textId="77777777" w:rsidR="006D7A4B" w:rsidRDefault="006D7A4B" w:rsidP="006D7A4B">
      <w:pPr>
        <w:pStyle w:val="AnnexNormal"/>
        <w:spacing w:after="300"/>
        <w:ind w:left="504"/>
      </w:pPr>
      <w:r>
        <w:t xml:space="preserve">Endurnýjun á miðlægum </w:t>
      </w:r>
      <w:proofErr w:type="spellStart"/>
      <w:r>
        <w:t>skólpkerfum</w:t>
      </w:r>
      <w:proofErr w:type="spellEnd"/>
      <w:r>
        <w:t xml:space="preserve">, þ.m.t. söfnun (fráveitukerfi) og hreinsun. Hún felur ekki í sér neinar verulegar breytingar er varða álag eða rennslismagn vatnsins sem er safnað eða hreinsað í </w:t>
      </w:r>
      <w:proofErr w:type="spellStart"/>
      <w:r>
        <w:t>skólpkerfinu</w:t>
      </w:r>
      <w:proofErr w:type="spellEnd"/>
      <w:r>
        <w:t>.</w:t>
      </w:r>
    </w:p>
    <w:p w14:paraId="596014A7" w14:textId="77777777" w:rsidR="006D7A4B" w:rsidRDefault="006D7A4B" w:rsidP="006D7A4B">
      <w:pPr>
        <w:pStyle w:val="AnnexNormal"/>
        <w:spacing w:after="0"/>
        <w:ind w:left="504"/>
      </w:pPr>
      <w:r>
        <w:t>Atvinnustarfsemin í þessum flokki gæti tengst kóða atvinnugreinaflokkunar Evrópusambandsins E37.00 í samræmi við atvinnugreinaflokkunina sem komið var á með reglugerð (EB) nr. 1893/2006.</w:t>
      </w:r>
      <w:r>
        <w:br w:type="page"/>
      </w:r>
    </w:p>
    <w:p w14:paraId="56052E06" w14:textId="77777777" w:rsidR="006D7A4B" w:rsidRDefault="006D7A4B" w:rsidP="006D7A4B">
      <w:pPr>
        <w:pStyle w:val="AnnexGrSeq3"/>
        <w:ind w:left="504"/>
        <w:jc w:val="both"/>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16"/>
        <w:gridCol w:w="5820"/>
      </w:tblGrid>
      <w:tr w:rsidR="006D7A4B" w14:paraId="27BEB90F" w14:textId="77777777" w:rsidTr="00A9140F">
        <w:trPr>
          <w:trHeight w:val="280"/>
        </w:trPr>
        <w:tc>
          <w:tcPr>
            <w:tcW w:w="8736" w:type="dxa"/>
            <w:gridSpan w:val="2"/>
            <w:tcBorders>
              <w:bottom w:val="single" w:sz="4" w:space="0" w:color="auto"/>
            </w:tcBorders>
            <w:tcMar>
              <w:left w:w="0" w:type="dxa"/>
              <w:right w:w="60" w:type="dxa"/>
            </w:tcMar>
          </w:tcPr>
          <w:p w14:paraId="1FC3707A" w14:textId="77777777" w:rsidR="006D7A4B" w:rsidRDefault="006D7A4B" w:rsidP="00A9140F">
            <w:pPr>
              <w:pStyle w:val="AnnexTableCellLeft"/>
              <w:spacing w:before="40" w:after="40"/>
            </w:pPr>
            <w:r>
              <w:t>Verulegt framlag til aðlögunar að loftslagsbreytingum</w:t>
            </w:r>
          </w:p>
        </w:tc>
      </w:tr>
      <w:tr w:rsidR="006D7A4B" w14:paraId="61B93956" w14:textId="77777777" w:rsidTr="00A9140F">
        <w:trPr>
          <w:trHeight w:val="360"/>
        </w:trPr>
        <w:tc>
          <w:tcPr>
            <w:tcW w:w="8736" w:type="dxa"/>
            <w:gridSpan w:val="2"/>
            <w:tcBorders>
              <w:bottom w:val="nil"/>
            </w:tcBorders>
            <w:tcMar>
              <w:left w:w="0" w:type="dxa"/>
              <w:right w:w="60" w:type="dxa"/>
            </w:tcMar>
          </w:tcPr>
          <w:p w14:paraId="5ACE4BE4" w14:textId="77777777" w:rsidR="006D7A4B" w:rsidRDefault="006D7A4B" w:rsidP="00A9140F">
            <w:pPr>
              <w:pStyle w:val="AnnexNumberedText"/>
              <w:tabs>
                <w:tab w:val="left" w:pos="396"/>
              </w:tabs>
              <w:spacing w:after="24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374242B2" w14:textId="77777777" w:rsidR="006D7A4B" w:rsidRDefault="006D7A4B" w:rsidP="00A9140F">
            <w:pPr>
              <w:pStyle w:val="AnnexNumberedText"/>
              <w:tabs>
                <w:tab w:val="left" w:pos="396"/>
              </w:tabs>
              <w:spacing w:after="24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4056A7A" w14:textId="77777777" w:rsidR="006D7A4B" w:rsidRDefault="006D7A4B" w:rsidP="00A9140F">
            <w:pPr>
              <w:pStyle w:val="AnnexNumberedText"/>
              <w:spacing w:after="2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5ED28C8E" w14:textId="77777777" w:rsidR="006D7A4B" w:rsidRDefault="006D7A4B" w:rsidP="00A9140F">
            <w:pPr>
              <w:pStyle w:val="AnnexNumberedText"/>
              <w:spacing w:after="2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E67134E" w14:textId="77777777" w:rsidR="006D7A4B" w:rsidRDefault="006D7A4B" w:rsidP="00A9140F">
            <w:pPr>
              <w:pStyle w:val="AnnexNumberedText"/>
              <w:spacing w:after="240"/>
              <w:rPr>
                <w:szCs w:val="18"/>
              </w:rPr>
            </w:pPr>
            <w:r>
              <w:t>c)</w:t>
            </w:r>
            <w:r>
              <w:tab/>
              <w:t>mat á aðlögunarlausnum sem geta dregið úr greindri efnislegri loftslagsáhættu.</w:t>
            </w:r>
          </w:p>
          <w:p w14:paraId="635C6A81" w14:textId="77777777" w:rsidR="006D7A4B" w:rsidRDefault="006D7A4B" w:rsidP="00A9140F">
            <w:pPr>
              <w:pStyle w:val="AnnexTableCellLeft"/>
              <w:spacing w:after="2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B6EC887" w14:textId="77777777" w:rsidR="006D7A4B" w:rsidRDefault="006D7A4B" w:rsidP="00A9140F">
            <w:pPr>
              <w:pStyle w:val="AnnexNumberedText"/>
              <w:spacing w:after="2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40FD1F1" w14:textId="77777777" w:rsidR="006D7A4B" w:rsidRDefault="006D7A4B" w:rsidP="00A9140F">
            <w:pPr>
              <w:pStyle w:val="AnnexNumberedText"/>
              <w:spacing w:after="2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4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DF5B76F" w14:textId="77777777" w:rsidR="006D7A4B" w:rsidRDefault="006D7A4B" w:rsidP="00A9140F">
            <w:pPr>
              <w:pStyle w:val="AnnexNumberedText"/>
              <w:tabs>
                <w:tab w:val="left" w:pos="396"/>
              </w:tabs>
              <w:spacing w:after="2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47"/>
            </w:r>
            <w:r>
              <w:t>), vísindalegt ritrýnt útgefið efni og líkön með opnum aðgangi (</w:t>
            </w:r>
            <w:r>
              <w:rPr>
                <w:rStyle w:val="Tilvsunneanmlsgrein"/>
                <w:sz w:val="18"/>
                <w:szCs w:val="18"/>
              </w:rPr>
              <w:footnoteReference w:id="748"/>
            </w:r>
            <w:r>
              <w:t>) eða gegn greiðslu.</w:t>
            </w:r>
          </w:p>
          <w:p w14:paraId="168AEF99" w14:textId="77777777" w:rsidR="006D7A4B" w:rsidRDefault="006D7A4B" w:rsidP="00A9140F">
            <w:pPr>
              <w:pStyle w:val="AnnexNumberedText"/>
              <w:tabs>
                <w:tab w:val="left" w:pos="396"/>
              </w:tabs>
              <w:spacing w:after="240"/>
              <w:ind w:left="0" w:firstLine="0"/>
              <w:rPr>
                <w:szCs w:val="18"/>
              </w:rPr>
            </w:pPr>
            <w:r>
              <w:t>4.</w:t>
            </w:r>
            <w:r>
              <w:tab/>
              <w:t>Aðlögunarlausnir sem komið er í framkvæmd:</w:t>
            </w:r>
          </w:p>
          <w:p w14:paraId="6B1684FD"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59F8D7E4"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749"/>
            </w:r>
            <w:r>
              <w:t>) í forgangi eða treyst er á bláa eða græna innviði (</w:t>
            </w:r>
            <w:r>
              <w:rPr>
                <w:rStyle w:val="Tilvsunneanmlsgrein"/>
                <w:sz w:val="18"/>
                <w:szCs w:val="18"/>
              </w:rPr>
              <w:footnoteReference w:id="750"/>
            </w:r>
            <w:r>
              <w:t>) að því marki sem mögulegt er,</w:t>
            </w:r>
          </w:p>
          <w:p w14:paraId="3A7F3AF1" w14:textId="77777777" w:rsidR="006D7A4B" w:rsidRDefault="006D7A4B" w:rsidP="00A9140F">
            <w:pPr>
              <w:pStyle w:val="AnnexNumberedText"/>
              <w:spacing w:after="240"/>
              <w:rPr>
                <w:szCs w:val="18"/>
              </w:rPr>
            </w:pPr>
            <w:r>
              <w:t>c)</w:t>
            </w:r>
            <w:r>
              <w:tab/>
              <w:t>eru í samræmi við staðbundnar, geirabundnar, svæðisbundnar eða landsbundnar aðlögunarstefnur og -áætlanir,</w:t>
            </w:r>
          </w:p>
          <w:p w14:paraId="3E0505B8" w14:textId="77777777" w:rsidR="006D7A4B" w:rsidRDefault="006D7A4B" w:rsidP="00A9140F">
            <w:pPr>
              <w:pStyle w:val="AnnexNumberedText"/>
              <w:spacing w:after="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tc>
      </w:tr>
      <w:tr w:rsidR="006D7A4B" w14:paraId="476D309E" w14:textId="77777777" w:rsidTr="00A9140F">
        <w:trPr>
          <w:trHeight w:val="360"/>
        </w:trPr>
        <w:tc>
          <w:tcPr>
            <w:tcW w:w="8736" w:type="dxa"/>
            <w:gridSpan w:val="2"/>
            <w:tcBorders>
              <w:top w:val="nil"/>
            </w:tcBorders>
            <w:tcMar>
              <w:left w:w="0" w:type="dxa"/>
              <w:right w:w="60" w:type="dxa"/>
            </w:tcMar>
          </w:tcPr>
          <w:p w14:paraId="19D97BC0" w14:textId="77777777" w:rsidR="006D7A4B" w:rsidRDefault="006D7A4B" w:rsidP="00A9140F">
            <w:pPr>
              <w:pStyle w:val="AnnexNumberedText"/>
              <w:pageBreakBefore/>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550482A" w14:textId="77777777" w:rsidTr="00A9140F">
        <w:trPr>
          <w:trHeight w:val="240"/>
        </w:trPr>
        <w:tc>
          <w:tcPr>
            <w:tcW w:w="8736" w:type="dxa"/>
            <w:gridSpan w:val="2"/>
            <w:tcMar>
              <w:top w:w="100" w:type="dxa"/>
              <w:left w:w="0" w:type="dxa"/>
              <w:bottom w:w="100" w:type="dxa"/>
              <w:right w:w="60" w:type="dxa"/>
            </w:tcMar>
          </w:tcPr>
          <w:p w14:paraId="42EEFC42" w14:textId="77777777" w:rsidR="006D7A4B" w:rsidRDefault="006D7A4B" w:rsidP="00A9140F">
            <w:pPr>
              <w:pStyle w:val="AnnexTableCellLeft"/>
            </w:pPr>
            <w:r>
              <w:t>Ekki valda umtalsverðu tjóni</w:t>
            </w:r>
          </w:p>
        </w:tc>
      </w:tr>
      <w:tr w:rsidR="006D7A4B" w14:paraId="651E1038" w14:textId="77777777" w:rsidTr="00A9140F">
        <w:trPr>
          <w:trHeight w:val="360"/>
        </w:trPr>
        <w:tc>
          <w:tcPr>
            <w:tcW w:w="2916" w:type="dxa"/>
            <w:tcMar>
              <w:top w:w="100" w:type="dxa"/>
              <w:left w:w="0" w:type="dxa"/>
              <w:bottom w:w="100" w:type="dxa"/>
              <w:right w:w="60" w:type="dxa"/>
            </w:tcMar>
          </w:tcPr>
          <w:p w14:paraId="53ED6B71" w14:textId="77777777" w:rsidR="006D7A4B" w:rsidRDefault="006D7A4B" w:rsidP="00A9140F">
            <w:pPr>
              <w:pStyle w:val="AnnexNumberedText"/>
              <w:spacing w:after="0"/>
              <w:ind w:left="293" w:hanging="293"/>
              <w:rPr>
                <w:szCs w:val="18"/>
              </w:rPr>
            </w:pPr>
            <w:r>
              <w:t>1)</w:t>
            </w:r>
            <w:r>
              <w:tab/>
              <w:t>Mildun loftslagsbreytinga</w:t>
            </w:r>
          </w:p>
        </w:tc>
        <w:tc>
          <w:tcPr>
            <w:tcW w:w="5820" w:type="dxa"/>
            <w:tcMar>
              <w:top w:w="100" w:type="dxa"/>
              <w:left w:w="60" w:type="dxa"/>
              <w:bottom w:w="100" w:type="dxa"/>
              <w:right w:w="0" w:type="dxa"/>
            </w:tcMar>
          </w:tcPr>
          <w:p w14:paraId="563FB560" w14:textId="77777777" w:rsidR="006D7A4B" w:rsidRDefault="006D7A4B" w:rsidP="00A9140F">
            <w:pPr>
              <w:pStyle w:val="AnnexTableCellLeft"/>
              <w:rPr>
                <w:szCs w:val="18"/>
              </w:rPr>
            </w:pPr>
            <w:r>
              <w:t xml:space="preserve">Mat á beinni losun gróðurhúsalofttegunda frá miðlægu </w:t>
            </w:r>
            <w:proofErr w:type="spellStart"/>
            <w:r>
              <w:t>skólpkerfi</w:t>
            </w:r>
            <w:proofErr w:type="spellEnd"/>
            <w:r>
              <w:t>, þ.m.t. söfnun (fráveitukerfi) og hreinsun, hefur verið framkvæmt (</w:t>
            </w:r>
            <w:r>
              <w:rPr>
                <w:rStyle w:val="Tilvsunneanmlsgrein"/>
                <w:sz w:val="18"/>
                <w:szCs w:val="18"/>
              </w:rPr>
              <w:footnoteReference w:id="751"/>
            </w:r>
            <w:r>
              <w:t>). Niðurstöðurnar eru birtar fjárfestum og viðskiptavinum hvenær sem krafist er.</w:t>
            </w:r>
          </w:p>
        </w:tc>
      </w:tr>
      <w:tr w:rsidR="006D7A4B" w14:paraId="5E74DE3E" w14:textId="77777777" w:rsidTr="00A9140F">
        <w:trPr>
          <w:trHeight w:val="360"/>
        </w:trPr>
        <w:tc>
          <w:tcPr>
            <w:tcW w:w="2916" w:type="dxa"/>
            <w:tcMar>
              <w:top w:w="100" w:type="dxa"/>
              <w:left w:w="0" w:type="dxa"/>
              <w:bottom w:w="100" w:type="dxa"/>
              <w:right w:w="60" w:type="dxa"/>
            </w:tcMar>
          </w:tcPr>
          <w:p w14:paraId="4D612735" w14:textId="77777777" w:rsidR="006D7A4B" w:rsidRDefault="006D7A4B" w:rsidP="00A9140F">
            <w:pPr>
              <w:pStyle w:val="AnnexNumberedText"/>
              <w:spacing w:after="0"/>
              <w:ind w:left="293" w:hanging="293"/>
              <w:rPr>
                <w:szCs w:val="18"/>
              </w:rPr>
            </w:pPr>
            <w:r>
              <w:t>3)</w:t>
            </w:r>
            <w:r>
              <w:tab/>
              <w:t>Sjálfbær notkun og verndun vatns- og sjávarauðlinda</w:t>
            </w:r>
          </w:p>
        </w:tc>
        <w:tc>
          <w:tcPr>
            <w:tcW w:w="5820" w:type="dxa"/>
            <w:tcMar>
              <w:top w:w="100" w:type="dxa"/>
              <w:left w:w="60" w:type="dxa"/>
              <w:bottom w:w="100" w:type="dxa"/>
              <w:right w:w="0" w:type="dxa"/>
            </w:tcMar>
          </w:tcPr>
          <w:p w14:paraId="232A078E" w14:textId="77777777" w:rsidR="006D7A4B" w:rsidRDefault="006D7A4B" w:rsidP="00A9140F">
            <w:pPr>
              <w:pStyle w:val="AnnexTableCellLeft"/>
              <w:spacing w:after="400"/>
              <w:rPr>
                <w:szCs w:val="18"/>
              </w:rPr>
            </w:pPr>
            <w:r>
              <w:t>Starfsemin er í samræmi við viðmiðanirnar sem settar eru fram í viðbæti B við þennan viðauka.</w:t>
            </w:r>
          </w:p>
          <w:p w14:paraId="1E708A43" w14:textId="77777777" w:rsidR="006D7A4B" w:rsidRDefault="006D7A4B" w:rsidP="00A9140F">
            <w:pPr>
              <w:pStyle w:val="AnnexTableCellLeft"/>
              <w:rPr>
                <w:szCs w:val="18"/>
              </w:rPr>
            </w:pPr>
            <w:r>
              <w:t xml:space="preserve">Ef </w:t>
            </w:r>
            <w:proofErr w:type="spellStart"/>
            <w:r>
              <w:t>skólp</w:t>
            </w:r>
            <w:proofErr w:type="spellEnd"/>
            <w:r>
              <w:t xml:space="preserve"> er meðhöndlað að því marki að það sé hentugt til endurnotkunar til áveitu í landbúnaði hafa tilskildar aðgerðir til áhættustjórnunar til að komast hjá óhagstæðum umhverfisáhrifum verið skilgreindar og komið til framkvæmda (</w:t>
            </w:r>
            <w:r>
              <w:rPr>
                <w:rStyle w:val="Tilvsunneanmlsgrein"/>
                <w:sz w:val="18"/>
                <w:szCs w:val="18"/>
              </w:rPr>
              <w:footnoteReference w:id="752"/>
            </w:r>
            <w:r>
              <w:t>).</w:t>
            </w:r>
          </w:p>
        </w:tc>
      </w:tr>
      <w:tr w:rsidR="006D7A4B" w14:paraId="7D514E6C" w14:textId="77777777" w:rsidTr="00A9140F">
        <w:trPr>
          <w:trHeight w:val="360"/>
        </w:trPr>
        <w:tc>
          <w:tcPr>
            <w:tcW w:w="2916" w:type="dxa"/>
            <w:tcMar>
              <w:top w:w="100" w:type="dxa"/>
              <w:left w:w="0" w:type="dxa"/>
              <w:bottom w:w="100" w:type="dxa"/>
              <w:right w:w="60" w:type="dxa"/>
            </w:tcMar>
          </w:tcPr>
          <w:p w14:paraId="447EC950" w14:textId="77777777" w:rsidR="006D7A4B" w:rsidRDefault="006D7A4B" w:rsidP="00A9140F">
            <w:pPr>
              <w:pStyle w:val="AnnexNumberedText"/>
              <w:spacing w:after="0"/>
              <w:ind w:left="293" w:hanging="293"/>
            </w:pPr>
            <w:r>
              <w:t>4)</w:t>
            </w:r>
            <w:r>
              <w:tab/>
              <w:t>Umskipti yfir í hringrásarhagkerfi</w:t>
            </w:r>
          </w:p>
        </w:tc>
        <w:tc>
          <w:tcPr>
            <w:tcW w:w="5820" w:type="dxa"/>
            <w:tcMar>
              <w:top w:w="100" w:type="dxa"/>
              <w:left w:w="60" w:type="dxa"/>
              <w:bottom w:w="100" w:type="dxa"/>
              <w:right w:w="0" w:type="dxa"/>
            </w:tcMar>
          </w:tcPr>
          <w:p w14:paraId="4EFDE544" w14:textId="77777777" w:rsidR="006D7A4B" w:rsidRDefault="006D7A4B" w:rsidP="00A9140F">
            <w:pPr>
              <w:pStyle w:val="AnnexTableCellLeft"/>
            </w:pPr>
            <w:r>
              <w:t>Á ekki við</w:t>
            </w:r>
          </w:p>
        </w:tc>
      </w:tr>
      <w:tr w:rsidR="006D7A4B" w14:paraId="1806A585" w14:textId="77777777" w:rsidTr="00A9140F">
        <w:trPr>
          <w:trHeight w:val="360"/>
        </w:trPr>
        <w:tc>
          <w:tcPr>
            <w:tcW w:w="2916" w:type="dxa"/>
            <w:tcMar>
              <w:top w:w="100" w:type="dxa"/>
              <w:left w:w="0" w:type="dxa"/>
              <w:bottom w:w="100" w:type="dxa"/>
              <w:right w:w="60" w:type="dxa"/>
            </w:tcMar>
          </w:tcPr>
          <w:p w14:paraId="333A7494" w14:textId="77777777" w:rsidR="006D7A4B" w:rsidRDefault="006D7A4B" w:rsidP="00A9140F">
            <w:pPr>
              <w:pStyle w:val="AnnexNumberedText"/>
              <w:spacing w:after="0"/>
              <w:ind w:left="293" w:hanging="293"/>
            </w:pPr>
            <w:r>
              <w:t>5)</w:t>
            </w:r>
            <w:r>
              <w:tab/>
              <w:t>Mengunarvarnir og eftirlit með mengun</w:t>
            </w:r>
          </w:p>
        </w:tc>
        <w:tc>
          <w:tcPr>
            <w:tcW w:w="5820" w:type="dxa"/>
            <w:tcMar>
              <w:top w:w="100" w:type="dxa"/>
              <w:left w:w="60" w:type="dxa"/>
              <w:bottom w:w="100" w:type="dxa"/>
              <w:right w:w="0" w:type="dxa"/>
            </w:tcMar>
          </w:tcPr>
          <w:p w14:paraId="6497289B" w14:textId="77777777" w:rsidR="006D7A4B" w:rsidRDefault="006D7A4B" w:rsidP="00A9140F">
            <w:pPr>
              <w:pStyle w:val="AnnexTableCellLeft"/>
              <w:spacing w:after="400"/>
            </w:pPr>
            <w:r>
              <w:t>Losun í viðtökuvatn uppfyllir kröfurnar sem mælt er fyrir um í tilskipun 91/271/EBE eða eins og krafist er í ákvæðum landslaga þar sem fram kemur tiltekið leyfilegt hámarksinnihald mengunarefna frá losun í viðtökuvatn.</w:t>
            </w:r>
          </w:p>
          <w:p w14:paraId="15FDB028" w14:textId="77777777" w:rsidR="006D7A4B" w:rsidRDefault="006D7A4B" w:rsidP="00A9140F">
            <w:pPr>
              <w:pStyle w:val="AnnexTableCellLeft"/>
              <w:spacing w:after="400"/>
            </w:pPr>
            <w:r>
              <w:t xml:space="preserve">Viðeigandi ráðstafanir hafa verið gerðar til að komast hjá og draga úr óhóflegu yfirfalli úrkomuvatns frá </w:t>
            </w:r>
            <w:proofErr w:type="spellStart"/>
            <w:r>
              <w:t>skólpsöfnunarkerfinu</w:t>
            </w:r>
            <w:proofErr w:type="spellEnd"/>
            <w:r>
              <w:t xml:space="preserve"> sem geta falið í sér náttúrumiðaðar lausnir, aðskilin yfirfallssöfnunarkerfi, vatnssöfnunartanka og meðhöndlun á fyrsta </w:t>
            </w:r>
            <w:proofErr w:type="spellStart"/>
            <w:r>
              <w:t>skolvatni</w:t>
            </w:r>
            <w:proofErr w:type="spellEnd"/>
            <w:r>
              <w:t>.</w:t>
            </w:r>
          </w:p>
          <w:p w14:paraId="405BACF2" w14:textId="77777777" w:rsidR="006D7A4B" w:rsidRDefault="006D7A4B" w:rsidP="00A9140F">
            <w:pPr>
              <w:pStyle w:val="AnnexTableCellLeft"/>
            </w:pPr>
            <w:proofErr w:type="spellStart"/>
            <w:r>
              <w:t>Skólpseyra</w:t>
            </w:r>
            <w:proofErr w:type="spellEnd"/>
            <w:r>
              <w:t xml:space="preserve"> er notuð í samræmi við tilskipun 86/278/EBE eða eins og krafist er samkvæmt landslögum að því er varðar dreifingu </w:t>
            </w:r>
            <w:proofErr w:type="spellStart"/>
            <w:r>
              <w:t>seyru</w:t>
            </w:r>
            <w:proofErr w:type="spellEnd"/>
            <w:r>
              <w:t xml:space="preserve"> á jarðveg eða sérhverja aðra notkun </w:t>
            </w:r>
            <w:proofErr w:type="spellStart"/>
            <w:r>
              <w:t>seyru</w:t>
            </w:r>
            <w:proofErr w:type="spellEnd"/>
            <w:r>
              <w:t xml:space="preserve"> á og í jarðveginn.</w:t>
            </w:r>
          </w:p>
        </w:tc>
      </w:tr>
      <w:tr w:rsidR="006D7A4B" w14:paraId="424D3434" w14:textId="77777777" w:rsidTr="00A9140F">
        <w:trPr>
          <w:trHeight w:val="360"/>
        </w:trPr>
        <w:tc>
          <w:tcPr>
            <w:tcW w:w="2916" w:type="dxa"/>
            <w:tcMar>
              <w:top w:w="100" w:type="dxa"/>
              <w:left w:w="0" w:type="dxa"/>
              <w:bottom w:w="100" w:type="dxa"/>
              <w:right w:w="60" w:type="dxa"/>
            </w:tcMar>
          </w:tcPr>
          <w:p w14:paraId="52089E7B" w14:textId="77777777" w:rsidR="006D7A4B" w:rsidRDefault="006D7A4B" w:rsidP="00A9140F">
            <w:pPr>
              <w:pStyle w:val="AnnexNumberedText"/>
              <w:spacing w:after="0"/>
              <w:ind w:left="293" w:hanging="293"/>
            </w:pPr>
            <w:r>
              <w:t>6)</w:t>
            </w:r>
            <w:r>
              <w:tab/>
              <w:t>Vernd og endurheimt líffræðilegrar fjölbreytni og vistkerfa</w:t>
            </w:r>
          </w:p>
        </w:tc>
        <w:tc>
          <w:tcPr>
            <w:tcW w:w="5820" w:type="dxa"/>
            <w:tcMar>
              <w:top w:w="100" w:type="dxa"/>
              <w:left w:w="60" w:type="dxa"/>
              <w:bottom w:w="100" w:type="dxa"/>
              <w:right w:w="0" w:type="dxa"/>
            </w:tcMar>
          </w:tcPr>
          <w:p w14:paraId="2FB4B33F" w14:textId="77777777" w:rsidR="006D7A4B" w:rsidRDefault="006D7A4B" w:rsidP="00A9140F">
            <w:pPr>
              <w:pStyle w:val="AnnexTableCellLeft"/>
            </w:pPr>
            <w:r>
              <w:t>Starfsemin er í samræmi við viðmiðanirnar sem settar eru fram í viðbæti D við þennan viðauka.</w:t>
            </w:r>
          </w:p>
        </w:tc>
      </w:tr>
    </w:tbl>
    <w:p w14:paraId="26D89133" w14:textId="77777777" w:rsidR="006D7A4B" w:rsidRDefault="006D7A4B" w:rsidP="006D7A4B">
      <w:pPr>
        <w:pStyle w:val="AnnexNumberedText"/>
        <w:ind w:left="504" w:hanging="504"/>
      </w:pPr>
      <w:r>
        <w:t>5.5.</w:t>
      </w:r>
      <w:r>
        <w:rPr>
          <w:b/>
        </w:rPr>
        <w:tab/>
        <w:t>Söfnun og flutningur á hættulausum úrgangi sem er aðgreindur við upptök í hluta</w:t>
      </w:r>
    </w:p>
    <w:p w14:paraId="5D4710FD" w14:textId="77777777" w:rsidR="006D7A4B" w:rsidRDefault="006D7A4B" w:rsidP="006D7A4B">
      <w:pPr>
        <w:pStyle w:val="AnnexGrSeq3"/>
        <w:spacing w:after="120"/>
        <w:ind w:left="504"/>
        <w:jc w:val="both"/>
      </w:pPr>
      <w:r>
        <w:rPr>
          <w:i/>
        </w:rPr>
        <w:t>Lýsing á starfseminni</w:t>
      </w:r>
    </w:p>
    <w:p w14:paraId="0A63B459" w14:textId="77777777" w:rsidR="006D7A4B" w:rsidRDefault="006D7A4B" w:rsidP="006D7A4B">
      <w:pPr>
        <w:pStyle w:val="AnnexNormal"/>
        <w:spacing w:after="500"/>
        <w:ind w:left="504"/>
      </w:pPr>
      <w:r>
        <w:t>Aðskilin söfnun og flutningur á hættulausum úrgangi í einstökum eða blönduðum hlutum (</w:t>
      </w:r>
      <w:bookmarkStart w:id="94" w:name="NOTE_752"/>
      <w:r>
        <w:rPr>
          <w:rStyle w:val="Tilvsunneanmlsgrein"/>
          <w:sz w:val="18"/>
          <w:szCs w:val="18"/>
        </w:rPr>
        <w:footnoteReference w:id="753"/>
      </w:r>
      <w:bookmarkEnd w:id="94"/>
      <w:r>
        <w:t>) sem miðar að undirbúningi fyrir endurnotkun eða endurvinnslu.</w:t>
      </w:r>
    </w:p>
    <w:p w14:paraId="2E0A662B" w14:textId="77777777" w:rsidR="006D7A4B" w:rsidRDefault="006D7A4B" w:rsidP="006D7A4B">
      <w:pPr>
        <w:pStyle w:val="AnnexNormal"/>
        <w:spacing w:after="500"/>
        <w:ind w:left="504"/>
      </w:pPr>
      <w:r>
        <w:t>Atvinnustarfsemin í þessum flokki gæti tengst kóða atvinnugreinaflokkunar Evrópusambandsins E38.11 í samræmi við atvinnugreinaflokkunina sem komið var á með reglugerð (EB) nr. 1893/2006.</w:t>
      </w:r>
    </w:p>
    <w:p w14:paraId="5FFE3D10"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76"/>
        <w:gridCol w:w="5760"/>
      </w:tblGrid>
      <w:tr w:rsidR="006D7A4B" w14:paraId="476023F6" w14:textId="77777777" w:rsidTr="00A9140F">
        <w:trPr>
          <w:trHeight w:val="240"/>
        </w:trPr>
        <w:tc>
          <w:tcPr>
            <w:tcW w:w="8736" w:type="dxa"/>
            <w:gridSpan w:val="2"/>
            <w:tcBorders>
              <w:bottom w:val="single" w:sz="4" w:space="0" w:color="auto"/>
            </w:tcBorders>
            <w:tcMar>
              <w:left w:w="0" w:type="dxa"/>
              <w:right w:w="60" w:type="dxa"/>
            </w:tcMar>
          </w:tcPr>
          <w:p w14:paraId="3779668E" w14:textId="77777777" w:rsidR="006D7A4B" w:rsidRDefault="006D7A4B" w:rsidP="00A9140F">
            <w:pPr>
              <w:pStyle w:val="AnnexTableCellLeft"/>
              <w:spacing w:before="40" w:after="40"/>
            </w:pPr>
            <w:r>
              <w:t>Verulegt framlag til aðlögunar að loftslagsbreytingum</w:t>
            </w:r>
          </w:p>
        </w:tc>
      </w:tr>
      <w:tr w:rsidR="006D7A4B" w14:paraId="7E9AF92E" w14:textId="77777777" w:rsidTr="00A9140F">
        <w:trPr>
          <w:trHeight w:val="360"/>
        </w:trPr>
        <w:tc>
          <w:tcPr>
            <w:tcW w:w="8736" w:type="dxa"/>
            <w:gridSpan w:val="2"/>
            <w:tcBorders>
              <w:bottom w:val="nil"/>
            </w:tcBorders>
            <w:tcMar>
              <w:left w:w="0" w:type="dxa"/>
              <w:right w:w="60" w:type="dxa"/>
            </w:tcMar>
          </w:tcPr>
          <w:p w14:paraId="4E506E0E" w14:textId="77777777" w:rsidR="006D7A4B" w:rsidRDefault="006D7A4B" w:rsidP="00A9140F">
            <w:pPr>
              <w:pStyle w:val="AnnexNumberedText"/>
              <w:tabs>
                <w:tab w:val="left" w:pos="396"/>
              </w:tabs>
              <w:spacing w:after="0"/>
              <w:ind w:left="0" w:firstLine="0"/>
            </w:pPr>
            <w:r>
              <w:lastRenderedPageBreak/>
              <w:t>1.</w:t>
            </w:r>
            <w:r>
              <w:tab/>
              <w:t>Í starfseminni hefur verið komið í framkvæmd efnislegum og óefnislegum lausnum („aðlögunarlausnum“) sem draga verulega úr helstu efnislegu loftslagsáhættunum sem hafa mikla þýðingu fyrir þessa starfsemi.</w:t>
            </w:r>
          </w:p>
        </w:tc>
      </w:tr>
      <w:tr w:rsidR="006D7A4B" w14:paraId="285B427D" w14:textId="77777777" w:rsidTr="00A9140F">
        <w:trPr>
          <w:trHeight w:val="360"/>
        </w:trPr>
        <w:tc>
          <w:tcPr>
            <w:tcW w:w="8736" w:type="dxa"/>
            <w:gridSpan w:val="2"/>
            <w:tcBorders>
              <w:top w:val="nil"/>
            </w:tcBorders>
            <w:tcMar>
              <w:left w:w="0" w:type="dxa"/>
              <w:right w:w="60" w:type="dxa"/>
            </w:tcMar>
          </w:tcPr>
          <w:p w14:paraId="1A5661B5" w14:textId="77777777" w:rsidR="006D7A4B" w:rsidRDefault="006D7A4B" w:rsidP="00A9140F">
            <w:pPr>
              <w:pStyle w:val="AnnexNumberedText"/>
              <w:pageBreakBefore/>
              <w:tabs>
                <w:tab w:val="left" w:pos="396"/>
              </w:tabs>
              <w:spacing w:after="180"/>
              <w:ind w:left="0" w:firstLine="0"/>
              <w:rPr>
                <w:szCs w:val="18"/>
              </w:rPr>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EEF2A4D" w14:textId="77777777" w:rsidR="006D7A4B" w:rsidRDefault="006D7A4B" w:rsidP="00A9140F">
            <w:pPr>
              <w:pStyle w:val="AnnexNumberedText"/>
              <w:spacing w:after="18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836CC1A" w14:textId="77777777" w:rsidR="006D7A4B" w:rsidRDefault="006D7A4B" w:rsidP="00A9140F">
            <w:pPr>
              <w:pStyle w:val="AnnexNumberedText"/>
              <w:spacing w:after="18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940CC4D" w14:textId="77777777" w:rsidR="006D7A4B" w:rsidRDefault="006D7A4B" w:rsidP="00A9140F">
            <w:pPr>
              <w:pStyle w:val="AnnexNumberedText"/>
              <w:spacing w:after="180"/>
              <w:rPr>
                <w:szCs w:val="18"/>
              </w:rPr>
            </w:pPr>
            <w:r>
              <w:t>c)</w:t>
            </w:r>
            <w:r>
              <w:tab/>
              <w:t>mat á aðlögunarlausnum sem geta dregið úr greindri efnislegri loftslagsáhættu.</w:t>
            </w:r>
          </w:p>
          <w:p w14:paraId="35EA6B0F" w14:textId="77777777" w:rsidR="006D7A4B" w:rsidRDefault="006D7A4B" w:rsidP="00A9140F">
            <w:pPr>
              <w:pStyle w:val="AnnexTableCellLeft"/>
              <w:spacing w:after="18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7D19E40E" w14:textId="77777777" w:rsidR="006D7A4B" w:rsidRDefault="006D7A4B" w:rsidP="00A9140F">
            <w:pPr>
              <w:pStyle w:val="AnnexNumberedText"/>
              <w:spacing w:after="18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54EE378" w14:textId="77777777" w:rsidR="006D7A4B" w:rsidRDefault="006D7A4B" w:rsidP="00A9140F">
            <w:pPr>
              <w:pStyle w:val="AnnexNumberedText"/>
              <w:spacing w:after="18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5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E797280" w14:textId="77777777" w:rsidR="006D7A4B" w:rsidRDefault="006D7A4B" w:rsidP="00A9140F">
            <w:pPr>
              <w:pStyle w:val="AnnexNumberedText"/>
              <w:tabs>
                <w:tab w:val="left" w:pos="396"/>
              </w:tabs>
              <w:spacing w:after="18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55"/>
            </w:r>
            <w:r>
              <w:t>), vísindalegt ritrýnt útgefið efni og líkön með opnum aðgangi (</w:t>
            </w:r>
            <w:r>
              <w:rPr>
                <w:rStyle w:val="Tilvsunneanmlsgrein"/>
                <w:sz w:val="18"/>
                <w:szCs w:val="18"/>
              </w:rPr>
              <w:footnoteReference w:id="756"/>
            </w:r>
            <w:r>
              <w:t>) eða gegn greiðslu.</w:t>
            </w:r>
          </w:p>
          <w:p w14:paraId="342A4E4D" w14:textId="77777777" w:rsidR="006D7A4B" w:rsidRDefault="006D7A4B" w:rsidP="00A9140F">
            <w:pPr>
              <w:pStyle w:val="AnnexNumberedText"/>
              <w:tabs>
                <w:tab w:val="left" w:pos="396"/>
              </w:tabs>
              <w:spacing w:after="180"/>
              <w:ind w:left="0" w:firstLine="0"/>
              <w:rPr>
                <w:szCs w:val="18"/>
              </w:rPr>
            </w:pPr>
            <w:r>
              <w:t>4.</w:t>
            </w:r>
            <w:r>
              <w:tab/>
              <w:t>Aðlögunarlausnir sem komið er í framkvæmd:</w:t>
            </w:r>
          </w:p>
          <w:p w14:paraId="560AA37B" w14:textId="77777777" w:rsidR="006D7A4B" w:rsidRDefault="006D7A4B" w:rsidP="00A9140F">
            <w:pPr>
              <w:pStyle w:val="AnnexNumberedText"/>
              <w:spacing w:after="180"/>
              <w:rPr>
                <w:szCs w:val="18"/>
              </w:rPr>
            </w:pPr>
            <w:r>
              <w:t>a)</w:t>
            </w:r>
            <w:r>
              <w:tab/>
              <w:t>hafa ekki neikvæð áhrif á viðleitni til aðlögunar eða viðnám annars fólks, náttúru, menningararfleifðar, eigna og annarrar atvinnustarfsemi gegn efnislegri loftslagsáhættu,</w:t>
            </w:r>
          </w:p>
          <w:p w14:paraId="712E98C5" w14:textId="77777777" w:rsidR="006D7A4B" w:rsidRDefault="006D7A4B" w:rsidP="00A9140F">
            <w:pPr>
              <w:pStyle w:val="AnnexNumberedText"/>
              <w:spacing w:after="180"/>
              <w:rPr>
                <w:szCs w:val="18"/>
              </w:rPr>
            </w:pPr>
            <w:r>
              <w:t>b)</w:t>
            </w:r>
            <w:r>
              <w:tab/>
              <w:t>eru með náttúrumiðaðar lausnir (</w:t>
            </w:r>
            <w:r>
              <w:rPr>
                <w:rStyle w:val="Tilvsunneanmlsgrein"/>
                <w:sz w:val="18"/>
                <w:szCs w:val="18"/>
              </w:rPr>
              <w:footnoteReference w:id="757"/>
            </w:r>
            <w:r>
              <w:t>) í forgangi eða treyst er á bláa eða græna innviði (</w:t>
            </w:r>
            <w:r>
              <w:rPr>
                <w:rStyle w:val="Tilvsunneanmlsgrein"/>
                <w:sz w:val="18"/>
                <w:szCs w:val="18"/>
              </w:rPr>
              <w:footnoteReference w:id="758"/>
            </w:r>
            <w:r>
              <w:t>) að því marki sem mögulegt er,</w:t>
            </w:r>
          </w:p>
          <w:p w14:paraId="23A7BDC5" w14:textId="77777777" w:rsidR="006D7A4B" w:rsidRDefault="006D7A4B" w:rsidP="00A9140F">
            <w:pPr>
              <w:pStyle w:val="AnnexNumberedText"/>
              <w:spacing w:after="180"/>
              <w:rPr>
                <w:szCs w:val="18"/>
              </w:rPr>
            </w:pPr>
            <w:r>
              <w:t>c)</w:t>
            </w:r>
            <w:r>
              <w:tab/>
              <w:t>eru í samræmi við staðbundnar, geirabundnar, svæðisbundnar eða landsbundnar aðlögunarstefnur og -áætlanir,</w:t>
            </w:r>
          </w:p>
          <w:p w14:paraId="7528004F" w14:textId="77777777" w:rsidR="006D7A4B" w:rsidRDefault="006D7A4B" w:rsidP="00A9140F">
            <w:pPr>
              <w:pStyle w:val="AnnexNumberedText"/>
              <w:spacing w:after="18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AA0DD6C"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7316FB88" w14:textId="77777777" w:rsidTr="00A9140F">
        <w:tc>
          <w:tcPr>
            <w:tcW w:w="8736" w:type="dxa"/>
            <w:gridSpan w:val="2"/>
            <w:tcMar>
              <w:top w:w="100" w:type="dxa"/>
              <w:left w:w="0" w:type="dxa"/>
              <w:bottom w:w="100" w:type="dxa"/>
              <w:right w:w="60" w:type="dxa"/>
            </w:tcMar>
          </w:tcPr>
          <w:p w14:paraId="50128F79" w14:textId="77777777" w:rsidR="006D7A4B" w:rsidRDefault="006D7A4B" w:rsidP="00A9140F">
            <w:pPr>
              <w:pStyle w:val="AnnexTableCellLeft"/>
            </w:pPr>
            <w:r>
              <w:t>Ekki valda umtalsverðu tjóni</w:t>
            </w:r>
          </w:p>
        </w:tc>
      </w:tr>
      <w:tr w:rsidR="006D7A4B" w14:paraId="1300880F" w14:textId="77777777" w:rsidTr="00A9140F">
        <w:tc>
          <w:tcPr>
            <w:tcW w:w="2976" w:type="dxa"/>
            <w:tcMar>
              <w:top w:w="100" w:type="dxa"/>
              <w:left w:w="0" w:type="dxa"/>
              <w:bottom w:w="100" w:type="dxa"/>
              <w:right w:w="60" w:type="dxa"/>
            </w:tcMar>
          </w:tcPr>
          <w:p w14:paraId="53BC83CC" w14:textId="77777777" w:rsidR="006D7A4B" w:rsidRDefault="006D7A4B" w:rsidP="00A9140F">
            <w:pPr>
              <w:pStyle w:val="AnnexNumberedText"/>
              <w:spacing w:after="0"/>
              <w:ind w:left="293" w:hanging="293"/>
            </w:pPr>
            <w:r>
              <w:t>1)</w:t>
            </w:r>
            <w:r>
              <w:tab/>
              <w:t>Mildun loftslagsbreytinga</w:t>
            </w:r>
          </w:p>
        </w:tc>
        <w:tc>
          <w:tcPr>
            <w:tcW w:w="5760" w:type="dxa"/>
            <w:tcMar>
              <w:top w:w="100" w:type="dxa"/>
              <w:left w:w="60" w:type="dxa"/>
              <w:bottom w:w="100" w:type="dxa"/>
              <w:right w:w="0" w:type="dxa"/>
            </w:tcMar>
          </w:tcPr>
          <w:p w14:paraId="0218F876" w14:textId="77777777" w:rsidR="006D7A4B" w:rsidRDefault="006D7A4B" w:rsidP="00A9140F">
            <w:pPr>
              <w:pStyle w:val="AnnexTableCellLeft"/>
            </w:pPr>
            <w:r>
              <w:t>Á ekki við</w:t>
            </w:r>
          </w:p>
        </w:tc>
      </w:tr>
      <w:tr w:rsidR="006D7A4B" w14:paraId="6A4C2CB8" w14:textId="77777777" w:rsidTr="00A9140F">
        <w:tc>
          <w:tcPr>
            <w:tcW w:w="2976" w:type="dxa"/>
            <w:tcMar>
              <w:top w:w="100" w:type="dxa"/>
              <w:left w:w="0" w:type="dxa"/>
              <w:bottom w:w="100" w:type="dxa"/>
              <w:right w:w="60" w:type="dxa"/>
            </w:tcMar>
          </w:tcPr>
          <w:p w14:paraId="16705BFB" w14:textId="77777777" w:rsidR="006D7A4B" w:rsidRDefault="006D7A4B" w:rsidP="00A9140F">
            <w:pPr>
              <w:pStyle w:val="AnnexNumberedText"/>
              <w:spacing w:after="0"/>
              <w:ind w:left="293" w:hanging="293"/>
            </w:pPr>
            <w:r>
              <w:t>3)</w:t>
            </w:r>
            <w:r>
              <w:tab/>
              <w:t xml:space="preserve">Sjálfbær notkun og verndun vatns- </w:t>
            </w:r>
            <w:r>
              <w:lastRenderedPageBreak/>
              <w:t>og sjávarauðlinda</w:t>
            </w:r>
          </w:p>
        </w:tc>
        <w:tc>
          <w:tcPr>
            <w:tcW w:w="5760" w:type="dxa"/>
            <w:tcMar>
              <w:top w:w="100" w:type="dxa"/>
              <w:left w:w="60" w:type="dxa"/>
              <w:bottom w:w="100" w:type="dxa"/>
              <w:right w:w="0" w:type="dxa"/>
            </w:tcMar>
          </w:tcPr>
          <w:p w14:paraId="6F855CF6" w14:textId="77777777" w:rsidR="006D7A4B" w:rsidRDefault="006D7A4B" w:rsidP="00A9140F">
            <w:pPr>
              <w:pStyle w:val="AnnexTableCellLeft"/>
            </w:pPr>
            <w:r>
              <w:lastRenderedPageBreak/>
              <w:t>Á ekki við</w:t>
            </w:r>
          </w:p>
        </w:tc>
      </w:tr>
      <w:tr w:rsidR="006D7A4B" w14:paraId="6542F12A" w14:textId="77777777" w:rsidTr="00A9140F">
        <w:tc>
          <w:tcPr>
            <w:tcW w:w="2976" w:type="dxa"/>
            <w:tcMar>
              <w:top w:w="100" w:type="dxa"/>
              <w:left w:w="0" w:type="dxa"/>
              <w:bottom w:w="100" w:type="dxa"/>
              <w:right w:w="60" w:type="dxa"/>
            </w:tcMar>
          </w:tcPr>
          <w:p w14:paraId="075C89A8" w14:textId="77777777" w:rsidR="006D7A4B" w:rsidRDefault="006D7A4B" w:rsidP="00A9140F">
            <w:pPr>
              <w:pStyle w:val="AnnexNumberedText"/>
              <w:pageBreakBefore/>
              <w:spacing w:after="0"/>
              <w:ind w:left="293" w:hanging="293"/>
            </w:pPr>
            <w:r>
              <w:lastRenderedPageBreak/>
              <w:t>4)</w:t>
            </w:r>
            <w:r>
              <w:tab/>
              <w:t>Umskipti yfir í hringrásarhagkerfi</w:t>
            </w:r>
          </w:p>
        </w:tc>
        <w:tc>
          <w:tcPr>
            <w:tcW w:w="5760" w:type="dxa"/>
            <w:tcMar>
              <w:top w:w="100" w:type="dxa"/>
              <w:left w:w="60" w:type="dxa"/>
              <w:bottom w:w="100" w:type="dxa"/>
              <w:right w:w="0" w:type="dxa"/>
            </w:tcMar>
          </w:tcPr>
          <w:p w14:paraId="04199A59" w14:textId="77777777" w:rsidR="006D7A4B" w:rsidRDefault="006D7A4B" w:rsidP="00A9140F">
            <w:pPr>
              <w:pStyle w:val="AnnexTableCellLeft"/>
            </w:pPr>
            <w:r>
              <w:t>Í stöðvum fyrir geymslu og flutning úrgangs er hlutum úrgangs, sem er safnað á aðskilinn hátt, ekki blandað saman við annan úrgang eða efniviði með mismunandi eiginleika.</w:t>
            </w:r>
          </w:p>
        </w:tc>
      </w:tr>
      <w:tr w:rsidR="006D7A4B" w14:paraId="107E61DA" w14:textId="77777777" w:rsidTr="00A9140F">
        <w:tc>
          <w:tcPr>
            <w:tcW w:w="2976" w:type="dxa"/>
            <w:tcMar>
              <w:top w:w="100" w:type="dxa"/>
              <w:left w:w="0" w:type="dxa"/>
              <w:bottom w:w="100" w:type="dxa"/>
              <w:right w:w="60" w:type="dxa"/>
            </w:tcMar>
          </w:tcPr>
          <w:p w14:paraId="542AD83C" w14:textId="77777777" w:rsidR="006D7A4B" w:rsidRDefault="006D7A4B" w:rsidP="00A9140F">
            <w:pPr>
              <w:pStyle w:val="AnnexNumberedText"/>
              <w:spacing w:after="0"/>
              <w:ind w:left="293" w:hanging="293"/>
            </w:pPr>
            <w:r>
              <w:t>5)</w:t>
            </w:r>
            <w:r>
              <w:tab/>
              <w:t>Mengunarvarnir og eftirlit með mengun</w:t>
            </w:r>
          </w:p>
        </w:tc>
        <w:tc>
          <w:tcPr>
            <w:tcW w:w="5760" w:type="dxa"/>
            <w:tcMar>
              <w:top w:w="100" w:type="dxa"/>
              <w:left w:w="60" w:type="dxa"/>
              <w:bottom w:w="100" w:type="dxa"/>
              <w:right w:w="0" w:type="dxa"/>
            </w:tcMar>
          </w:tcPr>
          <w:p w14:paraId="0AB658EE" w14:textId="77777777" w:rsidR="006D7A4B" w:rsidRDefault="006D7A4B" w:rsidP="00A9140F">
            <w:pPr>
              <w:pStyle w:val="AnnexTableCellLeft"/>
            </w:pPr>
            <w:r>
              <w:t>Á ekki við</w:t>
            </w:r>
          </w:p>
        </w:tc>
      </w:tr>
      <w:tr w:rsidR="006D7A4B" w14:paraId="7CFE3986" w14:textId="77777777" w:rsidTr="00A9140F">
        <w:tc>
          <w:tcPr>
            <w:tcW w:w="2976" w:type="dxa"/>
            <w:tcMar>
              <w:top w:w="100" w:type="dxa"/>
              <w:left w:w="0" w:type="dxa"/>
              <w:bottom w:w="100" w:type="dxa"/>
              <w:right w:w="60" w:type="dxa"/>
            </w:tcMar>
          </w:tcPr>
          <w:p w14:paraId="5B7CB54C" w14:textId="77777777" w:rsidR="006D7A4B" w:rsidRDefault="006D7A4B" w:rsidP="00A9140F">
            <w:pPr>
              <w:pStyle w:val="AnnexNumberedText"/>
              <w:spacing w:after="0"/>
              <w:ind w:left="293" w:hanging="293"/>
            </w:pPr>
            <w:r>
              <w:t>6)</w:t>
            </w:r>
            <w:r>
              <w:tab/>
              <w:t>Vernd og endurheimt líffræðilegrar fjölbreytni og vistkerfa</w:t>
            </w:r>
          </w:p>
        </w:tc>
        <w:tc>
          <w:tcPr>
            <w:tcW w:w="5760" w:type="dxa"/>
            <w:tcMar>
              <w:top w:w="100" w:type="dxa"/>
              <w:left w:w="60" w:type="dxa"/>
              <w:bottom w:w="100" w:type="dxa"/>
              <w:right w:w="0" w:type="dxa"/>
            </w:tcMar>
          </w:tcPr>
          <w:p w14:paraId="5A43FAED" w14:textId="77777777" w:rsidR="006D7A4B" w:rsidRDefault="006D7A4B" w:rsidP="00A9140F">
            <w:pPr>
              <w:pStyle w:val="AnnexTableCellLeft"/>
            </w:pPr>
            <w:r>
              <w:t>Á ekki við</w:t>
            </w:r>
          </w:p>
        </w:tc>
      </w:tr>
    </w:tbl>
    <w:p w14:paraId="3FF1CB4E" w14:textId="77777777" w:rsidR="006D7A4B" w:rsidRDefault="006D7A4B" w:rsidP="006D7A4B">
      <w:pPr>
        <w:pStyle w:val="AnnexNumberedText"/>
        <w:ind w:left="504" w:hanging="504"/>
      </w:pPr>
      <w:r>
        <w:t>5.6.</w:t>
      </w:r>
      <w:r>
        <w:rPr>
          <w:b/>
        </w:rPr>
        <w:tab/>
      </w:r>
      <w:proofErr w:type="spellStart"/>
      <w:r>
        <w:rPr>
          <w:b/>
        </w:rPr>
        <w:t>Loftfirrð</w:t>
      </w:r>
      <w:proofErr w:type="spellEnd"/>
      <w:r>
        <w:rPr>
          <w:b/>
        </w:rPr>
        <w:t xml:space="preserve"> meltun </w:t>
      </w:r>
      <w:proofErr w:type="spellStart"/>
      <w:r>
        <w:rPr>
          <w:b/>
        </w:rPr>
        <w:t>skólpseyru</w:t>
      </w:r>
      <w:proofErr w:type="spellEnd"/>
    </w:p>
    <w:p w14:paraId="3A115277" w14:textId="77777777" w:rsidR="006D7A4B" w:rsidRDefault="006D7A4B" w:rsidP="006D7A4B">
      <w:pPr>
        <w:pStyle w:val="AnnexGrSeq3"/>
        <w:ind w:left="504"/>
        <w:jc w:val="both"/>
      </w:pPr>
      <w:r>
        <w:rPr>
          <w:i/>
        </w:rPr>
        <w:t>Lýsing á starfseminni</w:t>
      </w:r>
    </w:p>
    <w:p w14:paraId="459584FC" w14:textId="77777777" w:rsidR="006D7A4B" w:rsidRDefault="006D7A4B" w:rsidP="006D7A4B">
      <w:pPr>
        <w:pStyle w:val="AnnexNormal"/>
        <w:ind w:left="504"/>
      </w:pPr>
      <w:r>
        <w:t xml:space="preserve">Bygging og rekstur stöðva til að hreinsa </w:t>
      </w:r>
      <w:proofErr w:type="spellStart"/>
      <w:r>
        <w:t>skólpseyru</w:t>
      </w:r>
      <w:proofErr w:type="spellEnd"/>
      <w:r>
        <w:t xml:space="preserve"> með </w:t>
      </w:r>
      <w:proofErr w:type="spellStart"/>
      <w:r>
        <w:t>loftfirrðri</w:t>
      </w:r>
      <w:proofErr w:type="spellEnd"/>
      <w:r>
        <w:t xml:space="preserve"> meltun með endanlega framleiðslu og notkun á lífgasi eða </w:t>
      </w:r>
      <w:proofErr w:type="spellStart"/>
      <w:r>
        <w:t>íðefnum</w:t>
      </w:r>
      <w:proofErr w:type="spellEnd"/>
      <w:r>
        <w:t>.</w:t>
      </w:r>
    </w:p>
    <w:p w14:paraId="141B84A7" w14:textId="77777777" w:rsidR="006D7A4B" w:rsidRDefault="006D7A4B" w:rsidP="006D7A4B">
      <w:pPr>
        <w:pStyle w:val="AnnexNormal"/>
        <w:ind w:left="504"/>
      </w:pPr>
      <w:r>
        <w:t>Atvinnustarfsemin í þessum flokki gæti tengst nokkrum kóðum atvinnugreinaflokkunar Evrópusambandsins, einkum E37.00 og F42.00, í samræmi við atvinnugreinaflokkunina sem komið var á með reglugerð (EB) nr. 1893/2006.</w:t>
      </w:r>
    </w:p>
    <w:p w14:paraId="7EBCAA9E"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6D7A4B" w14:paraId="0C382824" w14:textId="77777777" w:rsidTr="00A9140F">
        <w:trPr>
          <w:trHeight w:val="280"/>
        </w:trPr>
        <w:tc>
          <w:tcPr>
            <w:tcW w:w="8736" w:type="dxa"/>
            <w:gridSpan w:val="2"/>
            <w:tcBorders>
              <w:bottom w:val="single" w:sz="4" w:space="0" w:color="auto"/>
            </w:tcBorders>
            <w:tcMar>
              <w:left w:w="0" w:type="dxa"/>
              <w:right w:w="60" w:type="dxa"/>
            </w:tcMar>
          </w:tcPr>
          <w:p w14:paraId="26EA7932" w14:textId="77777777" w:rsidR="006D7A4B" w:rsidRDefault="006D7A4B" w:rsidP="00A9140F">
            <w:pPr>
              <w:pStyle w:val="AnnexTableCellLeft"/>
              <w:spacing w:before="40" w:after="40"/>
            </w:pPr>
            <w:r>
              <w:t>Verulegt framlag til aðlögunar að loftslagsbreytingum</w:t>
            </w:r>
          </w:p>
        </w:tc>
      </w:tr>
      <w:tr w:rsidR="006D7A4B" w14:paraId="6D08146D" w14:textId="77777777" w:rsidTr="00A9140F">
        <w:trPr>
          <w:trHeight w:val="360"/>
        </w:trPr>
        <w:tc>
          <w:tcPr>
            <w:tcW w:w="8736" w:type="dxa"/>
            <w:gridSpan w:val="2"/>
            <w:tcBorders>
              <w:bottom w:val="nil"/>
            </w:tcBorders>
            <w:tcMar>
              <w:left w:w="0" w:type="dxa"/>
              <w:right w:w="60" w:type="dxa"/>
            </w:tcMar>
          </w:tcPr>
          <w:p w14:paraId="6168B0A9" w14:textId="77777777" w:rsidR="006D7A4B" w:rsidRDefault="006D7A4B" w:rsidP="00A9140F">
            <w:pPr>
              <w:pStyle w:val="AnnexNumberedText"/>
              <w:tabs>
                <w:tab w:val="left" w:pos="396"/>
              </w:tabs>
              <w:spacing w:after="28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084E3D75" w14:textId="77777777" w:rsidR="006D7A4B" w:rsidRDefault="006D7A4B" w:rsidP="00A9140F">
            <w:pPr>
              <w:pStyle w:val="AnnexNumberedText"/>
              <w:tabs>
                <w:tab w:val="left" w:pos="396"/>
              </w:tabs>
              <w:spacing w:after="28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C9860DC" w14:textId="77777777" w:rsidR="006D7A4B" w:rsidRDefault="006D7A4B" w:rsidP="00A9140F">
            <w:pPr>
              <w:pStyle w:val="AnnexNumberedText"/>
              <w:spacing w:after="28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CC8A9F8" w14:textId="77777777" w:rsidR="006D7A4B" w:rsidRDefault="006D7A4B" w:rsidP="00A9140F">
            <w:pPr>
              <w:pStyle w:val="AnnexNumberedText"/>
              <w:spacing w:after="28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92D64F5" w14:textId="77777777" w:rsidR="006D7A4B" w:rsidRDefault="006D7A4B" w:rsidP="00A9140F">
            <w:pPr>
              <w:pStyle w:val="AnnexNumberedText"/>
              <w:spacing w:after="280"/>
              <w:rPr>
                <w:szCs w:val="18"/>
              </w:rPr>
            </w:pPr>
            <w:r>
              <w:t>c)</w:t>
            </w:r>
            <w:r>
              <w:tab/>
              <w:t>mat á aðlögunarlausnum sem geta dregið úr greindri efnislegri loftslagsáhættu.</w:t>
            </w:r>
          </w:p>
          <w:p w14:paraId="5D871159" w14:textId="77777777" w:rsidR="006D7A4B" w:rsidRDefault="006D7A4B" w:rsidP="00A9140F">
            <w:pPr>
              <w:pStyle w:val="AnnexTableCellLeft"/>
              <w:spacing w:after="28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21B17766" w14:textId="77777777" w:rsidR="006D7A4B" w:rsidRDefault="006D7A4B" w:rsidP="00A9140F">
            <w:pPr>
              <w:pStyle w:val="AnnexNumberedText"/>
              <w:spacing w:after="28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03E4565" w14:textId="77777777" w:rsidR="006D7A4B" w:rsidRDefault="006D7A4B" w:rsidP="00A9140F">
            <w:pPr>
              <w:pStyle w:val="AnnexNumberedText"/>
              <w:spacing w:after="28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5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FF8F627" w14:textId="77777777" w:rsidR="006D7A4B" w:rsidRDefault="006D7A4B"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60"/>
            </w:r>
            <w:r>
              <w:t>), vísindalegt ritrýnt útgefið efni og líkön með opnum aðgangi (</w:t>
            </w:r>
            <w:r>
              <w:rPr>
                <w:rStyle w:val="Tilvsunneanmlsgrein"/>
                <w:sz w:val="18"/>
                <w:szCs w:val="18"/>
              </w:rPr>
              <w:footnoteReference w:id="761"/>
            </w:r>
            <w:r>
              <w:t>) eða gegn greiðslu.</w:t>
            </w:r>
          </w:p>
        </w:tc>
      </w:tr>
      <w:tr w:rsidR="006D7A4B" w14:paraId="308D38F1" w14:textId="77777777" w:rsidTr="00A9140F">
        <w:trPr>
          <w:trHeight w:val="360"/>
        </w:trPr>
        <w:tc>
          <w:tcPr>
            <w:tcW w:w="8736" w:type="dxa"/>
            <w:gridSpan w:val="2"/>
            <w:tcBorders>
              <w:top w:val="nil"/>
            </w:tcBorders>
            <w:tcMar>
              <w:left w:w="0" w:type="dxa"/>
              <w:right w:w="60" w:type="dxa"/>
            </w:tcMar>
          </w:tcPr>
          <w:p w14:paraId="6A0486C4" w14:textId="77777777" w:rsidR="006D7A4B" w:rsidRDefault="006D7A4B" w:rsidP="00A9140F">
            <w:pPr>
              <w:pStyle w:val="AnnexNumberedText"/>
              <w:pageBreakBefore/>
              <w:spacing w:after="400"/>
              <w:ind w:left="279" w:hanging="279"/>
              <w:rPr>
                <w:szCs w:val="18"/>
              </w:rPr>
            </w:pPr>
            <w:r>
              <w:lastRenderedPageBreak/>
              <w:t>4.</w:t>
            </w:r>
            <w:r>
              <w:tab/>
              <w:t>Aðlögunarlausnir sem komið er í framkvæmd:</w:t>
            </w:r>
          </w:p>
          <w:p w14:paraId="4AB30011" w14:textId="77777777" w:rsidR="006D7A4B" w:rsidRDefault="006D7A4B" w:rsidP="00A9140F">
            <w:pPr>
              <w:pStyle w:val="AnnexNumberedText"/>
              <w:spacing w:after="400"/>
              <w:rPr>
                <w:szCs w:val="18"/>
              </w:rPr>
            </w:pPr>
            <w:r>
              <w:t>a)</w:t>
            </w:r>
            <w:r>
              <w:tab/>
              <w:t>hafa ekki neikvæð áhrif á viðleitni til aðlögunar eða viðnám annars fólks, náttúru, menningararfleifðar, eigna og annarrar atvinnustarfsemi gegn efnislegri loftslagsáhættu,</w:t>
            </w:r>
          </w:p>
          <w:p w14:paraId="50167779" w14:textId="77777777" w:rsidR="006D7A4B" w:rsidRDefault="006D7A4B" w:rsidP="00A9140F">
            <w:pPr>
              <w:pStyle w:val="AnnexNumberedText"/>
              <w:spacing w:after="400"/>
              <w:rPr>
                <w:szCs w:val="18"/>
              </w:rPr>
            </w:pPr>
            <w:r>
              <w:t>b)</w:t>
            </w:r>
            <w:r>
              <w:tab/>
              <w:t>eru með náttúrumiðaðar lausnir (</w:t>
            </w:r>
            <w:r>
              <w:rPr>
                <w:rStyle w:val="Tilvsunneanmlsgrein"/>
                <w:sz w:val="18"/>
                <w:szCs w:val="18"/>
              </w:rPr>
              <w:footnoteReference w:id="762"/>
            </w:r>
            <w:r>
              <w:t>) í forgangi eða treyst er á bláa eða græna innviði (</w:t>
            </w:r>
            <w:r>
              <w:rPr>
                <w:rStyle w:val="Tilvsunneanmlsgrein"/>
                <w:sz w:val="18"/>
                <w:szCs w:val="18"/>
              </w:rPr>
              <w:footnoteReference w:id="763"/>
            </w:r>
            <w:r>
              <w:t>) að því marki sem mögulegt er,</w:t>
            </w:r>
          </w:p>
          <w:p w14:paraId="08F23AFF" w14:textId="77777777" w:rsidR="006D7A4B" w:rsidRDefault="006D7A4B" w:rsidP="00A9140F">
            <w:pPr>
              <w:pStyle w:val="AnnexNumberedText"/>
              <w:spacing w:after="400"/>
              <w:rPr>
                <w:szCs w:val="18"/>
              </w:rPr>
            </w:pPr>
            <w:r>
              <w:t>c)</w:t>
            </w:r>
            <w:r>
              <w:tab/>
              <w:t>eru í samræmi við staðbundnar, geirabundnar, svæðisbundnar eða landsbundnar aðlögunarstefnur og -áætlanir,</w:t>
            </w:r>
          </w:p>
          <w:p w14:paraId="4FCDFA8A" w14:textId="77777777" w:rsidR="006D7A4B" w:rsidRDefault="006D7A4B" w:rsidP="00A9140F">
            <w:pPr>
              <w:pStyle w:val="AnnexNumberedText"/>
              <w:spacing w:after="4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C1158ED" w14:textId="77777777" w:rsidR="006D7A4B" w:rsidRDefault="006D7A4B"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66DD229F" w14:textId="77777777" w:rsidTr="00A9140F">
        <w:trPr>
          <w:trHeight w:val="240"/>
        </w:trPr>
        <w:tc>
          <w:tcPr>
            <w:tcW w:w="8736" w:type="dxa"/>
            <w:gridSpan w:val="2"/>
            <w:tcMar>
              <w:top w:w="100" w:type="dxa"/>
              <w:left w:w="0" w:type="dxa"/>
              <w:bottom w:w="100" w:type="dxa"/>
              <w:right w:w="60" w:type="dxa"/>
            </w:tcMar>
          </w:tcPr>
          <w:p w14:paraId="34CE3BE9" w14:textId="77777777" w:rsidR="006D7A4B" w:rsidRDefault="006D7A4B" w:rsidP="00A9140F">
            <w:pPr>
              <w:pStyle w:val="AnnexTableCellLeft"/>
            </w:pPr>
            <w:r>
              <w:t>Ekki valda umtalsverðu tjóni</w:t>
            </w:r>
          </w:p>
        </w:tc>
      </w:tr>
      <w:tr w:rsidR="006D7A4B" w14:paraId="01D99F67" w14:textId="77777777" w:rsidTr="00A9140F">
        <w:trPr>
          <w:trHeight w:val="240"/>
        </w:trPr>
        <w:tc>
          <w:tcPr>
            <w:tcW w:w="2952" w:type="dxa"/>
            <w:tcMar>
              <w:top w:w="100" w:type="dxa"/>
              <w:left w:w="0" w:type="dxa"/>
              <w:bottom w:w="100" w:type="dxa"/>
              <w:right w:w="60" w:type="dxa"/>
            </w:tcMar>
          </w:tcPr>
          <w:p w14:paraId="4C862AD1" w14:textId="77777777" w:rsidR="006D7A4B" w:rsidRDefault="006D7A4B" w:rsidP="00A9140F">
            <w:pPr>
              <w:pStyle w:val="AnnexNumberedText"/>
              <w:spacing w:after="0"/>
              <w:ind w:left="293" w:hanging="293"/>
            </w:pPr>
            <w:r>
              <w:t>1)</w:t>
            </w:r>
            <w:r>
              <w:tab/>
              <w:t>Mildun loftslagsbreytinga</w:t>
            </w:r>
          </w:p>
        </w:tc>
        <w:tc>
          <w:tcPr>
            <w:tcW w:w="5784" w:type="dxa"/>
            <w:tcMar>
              <w:top w:w="100" w:type="dxa"/>
              <w:left w:w="60" w:type="dxa"/>
              <w:bottom w:w="100" w:type="dxa"/>
              <w:right w:w="0" w:type="dxa"/>
            </w:tcMar>
          </w:tcPr>
          <w:p w14:paraId="522573D5" w14:textId="77777777" w:rsidR="006D7A4B" w:rsidRDefault="006D7A4B" w:rsidP="00A9140F">
            <w:pPr>
              <w:pStyle w:val="AnnexTableCellLeft"/>
            </w:pPr>
            <w:r>
              <w:t xml:space="preserve">Vöktunaráætlun er til staðar fyrir </w:t>
            </w:r>
            <w:proofErr w:type="spellStart"/>
            <w:r>
              <w:t>metanleka</w:t>
            </w:r>
            <w:proofErr w:type="spellEnd"/>
            <w:r>
              <w:t xml:space="preserve"> í stöðinni.</w:t>
            </w:r>
          </w:p>
        </w:tc>
      </w:tr>
      <w:tr w:rsidR="006D7A4B" w14:paraId="5371039B" w14:textId="77777777" w:rsidTr="00A9140F">
        <w:trPr>
          <w:trHeight w:val="240"/>
        </w:trPr>
        <w:tc>
          <w:tcPr>
            <w:tcW w:w="2952" w:type="dxa"/>
            <w:tcMar>
              <w:top w:w="100" w:type="dxa"/>
              <w:left w:w="0" w:type="dxa"/>
              <w:bottom w:w="100" w:type="dxa"/>
              <w:right w:w="60" w:type="dxa"/>
            </w:tcMar>
          </w:tcPr>
          <w:p w14:paraId="14C4F0E9" w14:textId="77777777" w:rsidR="006D7A4B" w:rsidRDefault="006D7A4B" w:rsidP="00A9140F">
            <w:pPr>
              <w:pStyle w:val="AnnexNumberedText"/>
              <w:spacing w:after="0"/>
              <w:ind w:left="293" w:hanging="293"/>
            </w:pPr>
            <w:r>
              <w:t>3)</w:t>
            </w:r>
            <w:r>
              <w:tab/>
              <w:t>Sjálfbær notkun og verndun vatns- og sjávarauðlinda</w:t>
            </w:r>
          </w:p>
        </w:tc>
        <w:tc>
          <w:tcPr>
            <w:tcW w:w="5784" w:type="dxa"/>
            <w:tcMar>
              <w:top w:w="100" w:type="dxa"/>
              <w:left w:w="60" w:type="dxa"/>
              <w:bottom w:w="100" w:type="dxa"/>
              <w:right w:w="0" w:type="dxa"/>
            </w:tcMar>
          </w:tcPr>
          <w:p w14:paraId="625AE0DA" w14:textId="77777777" w:rsidR="006D7A4B" w:rsidRDefault="006D7A4B" w:rsidP="00A9140F">
            <w:pPr>
              <w:pStyle w:val="AnnexTableCellLeft"/>
            </w:pPr>
            <w:r>
              <w:t>Starfsemin er í samræmi við viðmiðanirnar sem settar eru fram í viðbæti B við þennan viðauka.</w:t>
            </w:r>
          </w:p>
        </w:tc>
      </w:tr>
      <w:tr w:rsidR="006D7A4B" w14:paraId="1E5B8F82" w14:textId="77777777" w:rsidTr="00A9140F">
        <w:trPr>
          <w:trHeight w:val="240"/>
        </w:trPr>
        <w:tc>
          <w:tcPr>
            <w:tcW w:w="2952" w:type="dxa"/>
            <w:tcMar>
              <w:top w:w="100" w:type="dxa"/>
              <w:left w:w="0" w:type="dxa"/>
              <w:bottom w:w="100" w:type="dxa"/>
              <w:right w:w="60" w:type="dxa"/>
            </w:tcMar>
          </w:tcPr>
          <w:p w14:paraId="31A4272D" w14:textId="77777777" w:rsidR="006D7A4B" w:rsidRDefault="006D7A4B" w:rsidP="00A9140F">
            <w:pPr>
              <w:pStyle w:val="AnnexNumberedText"/>
              <w:spacing w:after="0"/>
              <w:ind w:left="293" w:hanging="293"/>
            </w:pPr>
            <w:r>
              <w:t>4)</w:t>
            </w:r>
            <w:r>
              <w:tab/>
              <w:t>Umskipti yfir í hringrásarhagkerfi</w:t>
            </w:r>
          </w:p>
        </w:tc>
        <w:tc>
          <w:tcPr>
            <w:tcW w:w="5784" w:type="dxa"/>
            <w:tcMar>
              <w:top w:w="100" w:type="dxa"/>
              <w:left w:w="60" w:type="dxa"/>
              <w:bottom w:w="100" w:type="dxa"/>
              <w:right w:w="0" w:type="dxa"/>
            </w:tcMar>
          </w:tcPr>
          <w:p w14:paraId="017FC956" w14:textId="77777777" w:rsidR="006D7A4B" w:rsidRDefault="006D7A4B" w:rsidP="00A9140F">
            <w:pPr>
              <w:pStyle w:val="AnnexTableCellLeft"/>
            </w:pPr>
            <w:r>
              <w:t>Á ekki við</w:t>
            </w:r>
          </w:p>
        </w:tc>
      </w:tr>
      <w:tr w:rsidR="006D7A4B" w14:paraId="3E93650D" w14:textId="77777777" w:rsidTr="00A9140F">
        <w:trPr>
          <w:trHeight w:val="240"/>
        </w:trPr>
        <w:tc>
          <w:tcPr>
            <w:tcW w:w="2952" w:type="dxa"/>
            <w:tcMar>
              <w:top w:w="100" w:type="dxa"/>
              <w:left w:w="0" w:type="dxa"/>
              <w:bottom w:w="100" w:type="dxa"/>
              <w:right w:w="60" w:type="dxa"/>
            </w:tcMar>
          </w:tcPr>
          <w:p w14:paraId="399D2899" w14:textId="77777777" w:rsidR="006D7A4B" w:rsidRDefault="006D7A4B" w:rsidP="00A9140F">
            <w:pPr>
              <w:pStyle w:val="AnnexNumberedText"/>
              <w:spacing w:after="0"/>
              <w:ind w:left="293" w:hanging="293"/>
              <w:rPr>
                <w:szCs w:val="18"/>
              </w:rPr>
            </w:pPr>
            <w:r>
              <w:t>5)</w:t>
            </w:r>
            <w:r>
              <w:tab/>
              <w:t>Mengunarvarnir og eftirlit með mengun</w:t>
            </w:r>
          </w:p>
        </w:tc>
        <w:tc>
          <w:tcPr>
            <w:tcW w:w="5784" w:type="dxa"/>
            <w:tcMar>
              <w:top w:w="100" w:type="dxa"/>
              <w:left w:w="60" w:type="dxa"/>
              <w:bottom w:w="100" w:type="dxa"/>
              <w:right w:w="0" w:type="dxa"/>
            </w:tcMar>
          </w:tcPr>
          <w:p w14:paraId="5D2B47AA" w14:textId="77777777" w:rsidR="006D7A4B" w:rsidRDefault="006D7A4B" w:rsidP="00A9140F">
            <w:pPr>
              <w:pStyle w:val="AnnexTableCellLeft"/>
              <w:spacing w:after="200"/>
              <w:rPr>
                <w:szCs w:val="18"/>
              </w:rPr>
            </w:pPr>
            <w:r>
              <w:t xml:space="preserve">Losun fellur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w:t>
            </w:r>
            <w:proofErr w:type="spellStart"/>
            <w:r>
              <w:t>loftfirrða</w:t>
            </w:r>
            <w:proofErr w:type="spellEnd"/>
            <w:r>
              <w:t xml:space="preserve"> meðhöndlun úrgangs (</w:t>
            </w:r>
            <w:r>
              <w:rPr>
                <w:rStyle w:val="Tilvsunneanmlsgrein"/>
                <w:sz w:val="18"/>
                <w:szCs w:val="18"/>
              </w:rPr>
              <w:footnoteReference w:id="764"/>
            </w:r>
            <w:r>
              <w:t>). Engin umtalsverð yfirfærsluáhrif milli umhverfishólfa eiga sér stað.</w:t>
            </w:r>
          </w:p>
          <w:p w14:paraId="60693141" w14:textId="77777777" w:rsidR="006D7A4B" w:rsidRDefault="006D7A4B" w:rsidP="00A9140F">
            <w:pPr>
              <w:pStyle w:val="AnnexTableCellLeft"/>
              <w:rPr>
                <w:szCs w:val="18"/>
              </w:rPr>
            </w:pPr>
            <w:r>
              <w:t xml:space="preserve">Ef meltan sem verður til er ætluð til notkunar sem áburður eða </w:t>
            </w:r>
            <w:proofErr w:type="spellStart"/>
            <w:r>
              <w:t>jarðvegsbætir</w:t>
            </w:r>
            <w:proofErr w:type="spellEnd"/>
            <w:r>
              <w:t xml:space="preserve"> er köfnunarefnisinnihald hennar (með leyfilegt hámarksgildi sem nemur ± 25%) tilkynnt kaupandanum eða aðilanum sem ber ábyrgð á meltunni.</w:t>
            </w:r>
          </w:p>
        </w:tc>
      </w:tr>
      <w:tr w:rsidR="006D7A4B" w14:paraId="0B87537E" w14:textId="77777777" w:rsidTr="00A9140F">
        <w:trPr>
          <w:trHeight w:val="240"/>
        </w:trPr>
        <w:tc>
          <w:tcPr>
            <w:tcW w:w="2952" w:type="dxa"/>
            <w:tcMar>
              <w:top w:w="100" w:type="dxa"/>
              <w:left w:w="0" w:type="dxa"/>
              <w:bottom w:w="100" w:type="dxa"/>
              <w:right w:w="60" w:type="dxa"/>
            </w:tcMar>
          </w:tcPr>
          <w:p w14:paraId="379886C7" w14:textId="77777777" w:rsidR="006D7A4B" w:rsidRDefault="006D7A4B" w:rsidP="00A9140F">
            <w:pPr>
              <w:pStyle w:val="AnnexNumberedText"/>
              <w:spacing w:after="0"/>
              <w:ind w:left="293" w:hanging="293"/>
            </w:pPr>
            <w:r>
              <w:t>6)</w:t>
            </w:r>
            <w:r>
              <w:tab/>
              <w:t>Vernd og endurheimt líffræðilegrar fjölbreytni og vistkerfa</w:t>
            </w:r>
          </w:p>
        </w:tc>
        <w:tc>
          <w:tcPr>
            <w:tcW w:w="5784" w:type="dxa"/>
            <w:tcMar>
              <w:top w:w="100" w:type="dxa"/>
              <w:left w:w="60" w:type="dxa"/>
              <w:bottom w:w="100" w:type="dxa"/>
              <w:right w:w="0" w:type="dxa"/>
            </w:tcMar>
          </w:tcPr>
          <w:p w14:paraId="71775F13" w14:textId="77777777" w:rsidR="006D7A4B" w:rsidRDefault="006D7A4B" w:rsidP="00A9140F">
            <w:pPr>
              <w:pStyle w:val="AnnexTableCellLeft"/>
            </w:pPr>
            <w:r>
              <w:t>Starfsemin er í samræmi við viðmiðanirnar sem settar eru fram í viðbæti D við þennan viðauka.</w:t>
            </w:r>
          </w:p>
        </w:tc>
      </w:tr>
    </w:tbl>
    <w:p w14:paraId="619AB85A" w14:textId="77777777" w:rsidR="006D7A4B" w:rsidRDefault="006D7A4B" w:rsidP="006D7A4B">
      <w:pPr>
        <w:pStyle w:val="AnnexNumberedText"/>
        <w:ind w:left="504" w:hanging="504"/>
      </w:pPr>
      <w:r>
        <w:t>5.7.</w:t>
      </w:r>
      <w:r>
        <w:rPr>
          <w:b/>
        </w:rPr>
        <w:tab/>
      </w:r>
      <w:proofErr w:type="spellStart"/>
      <w:r>
        <w:rPr>
          <w:b/>
        </w:rPr>
        <w:t>Loftfirrð</w:t>
      </w:r>
      <w:proofErr w:type="spellEnd"/>
      <w:r>
        <w:rPr>
          <w:b/>
        </w:rPr>
        <w:t xml:space="preserve"> meltun lífúrgangs</w:t>
      </w:r>
    </w:p>
    <w:p w14:paraId="079F3BA7" w14:textId="77777777" w:rsidR="006D7A4B" w:rsidRDefault="006D7A4B" w:rsidP="006D7A4B">
      <w:pPr>
        <w:pStyle w:val="AnnexGrSeq3"/>
        <w:spacing w:after="120"/>
        <w:ind w:left="504"/>
        <w:jc w:val="both"/>
      </w:pPr>
      <w:r>
        <w:rPr>
          <w:i/>
        </w:rPr>
        <w:t>Lýsing á starfseminni</w:t>
      </w:r>
    </w:p>
    <w:p w14:paraId="02C018D0" w14:textId="77777777" w:rsidR="006D7A4B" w:rsidRDefault="006D7A4B" w:rsidP="006D7A4B">
      <w:pPr>
        <w:pStyle w:val="AnnexNormal"/>
        <w:spacing w:after="500"/>
        <w:ind w:left="504"/>
      </w:pPr>
      <w:r>
        <w:t>Bygging eða rekstur sérstakra stöðva til að hreinsa lífúrgang, sem er safnað á aðskilinn hátt (</w:t>
      </w:r>
      <w:bookmarkStart w:id="95" w:name="NOTE_764"/>
      <w:r>
        <w:rPr>
          <w:rStyle w:val="Tilvsunneanmlsgrein"/>
          <w:sz w:val="18"/>
          <w:szCs w:val="18"/>
        </w:rPr>
        <w:footnoteReference w:id="765"/>
      </w:r>
      <w:bookmarkEnd w:id="95"/>
      <w:r>
        <w:t xml:space="preserve">) með </w:t>
      </w:r>
      <w:proofErr w:type="spellStart"/>
      <w:r>
        <w:t>loftfirrðri</w:t>
      </w:r>
      <w:proofErr w:type="spellEnd"/>
      <w:r>
        <w:t xml:space="preserve"> meltun með endanlega framleiðslu og notkun á lífgasi og meltu eða </w:t>
      </w:r>
      <w:proofErr w:type="spellStart"/>
      <w:r>
        <w:t>íðefnum</w:t>
      </w:r>
      <w:proofErr w:type="spellEnd"/>
      <w:r>
        <w:t>.</w:t>
      </w:r>
    </w:p>
    <w:p w14:paraId="1E849E4F" w14:textId="77777777" w:rsidR="006D7A4B" w:rsidRDefault="006D7A4B" w:rsidP="006D7A4B">
      <w:pPr>
        <w:pStyle w:val="AnnexNormal"/>
        <w:spacing w:after="0"/>
        <w:ind w:left="504"/>
      </w:pPr>
      <w:r>
        <w:lastRenderedPageBreak/>
        <w:t>Atvinnustarfsemin í þessum flokki gæti tengst nokkrum kóðum atvinnugreinaflokkunar Evrópusambandsins, einkum E38.21 og F42.99, í samræmi við atvinnugreinaflokkunina sem komið var á með reglugerð (EB) nr. 1893/2006.</w:t>
      </w:r>
      <w:r>
        <w:br w:type="page"/>
      </w:r>
    </w:p>
    <w:p w14:paraId="60B9FFC3" w14:textId="77777777" w:rsidR="006D7A4B" w:rsidRDefault="006D7A4B" w:rsidP="006D7A4B">
      <w:pPr>
        <w:pStyle w:val="AnnexGrSeq3"/>
        <w:ind w:left="504"/>
        <w:jc w:val="both"/>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04"/>
        <w:gridCol w:w="5832"/>
      </w:tblGrid>
      <w:tr w:rsidR="006D7A4B" w14:paraId="3D5EDAC3" w14:textId="77777777" w:rsidTr="00A9140F">
        <w:trPr>
          <w:trHeight w:val="280"/>
        </w:trPr>
        <w:tc>
          <w:tcPr>
            <w:tcW w:w="8736" w:type="dxa"/>
            <w:gridSpan w:val="2"/>
            <w:tcBorders>
              <w:bottom w:val="single" w:sz="4" w:space="0" w:color="auto"/>
            </w:tcBorders>
            <w:tcMar>
              <w:left w:w="0" w:type="dxa"/>
              <w:right w:w="60" w:type="dxa"/>
            </w:tcMar>
          </w:tcPr>
          <w:p w14:paraId="5A95BC1F" w14:textId="77777777" w:rsidR="006D7A4B" w:rsidRDefault="006D7A4B" w:rsidP="00A9140F">
            <w:pPr>
              <w:pStyle w:val="AnnexTableCellLeft"/>
              <w:spacing w:before="40" w:after="40"/>
            </w:pPr>
            <w:r>
              <w:t>Verulegt framlag til aðlögunar að loftslagsbreytingum</w:t>
            </w:r>
          </w:p>
        </w:tc>
      </w:tr>
      <w:tr w:rsidR="006D7A4B" w14:paraId="6526BAC5" w14:textId="77777777" w:rsidTr="00A9140F">
        <w:trPr>
          <w:trHeight w:val="360"/>
        </w:trPr>
        <w:tc>
          <w:tcPr>
            <w:tcW w:w="8736" w:type="dxa"/>
            <w:gridSpan w:val="2"/>
            <w:tcBorders>
              <w:bottom w:val="nil"/>
            </w:tcBorders>
            <w:tcMar>
              <w:left w:w="0" w:type="dxa"/>
              <w:right w:w="60" w:type="dxa"/>
            </w:tcMar>
          </w:tcPr>
          <w:p w14:paraId="7AFB3B16" w14:textId="77777777" w:rsidR="006D7A4B" w:rsidRDefault="006D7A4B" w:rsidP="00A9140F">
            <w:pPr>
              <w:pStyle w:val="AnnexNumberedText"/>
              <w:tabs>
                <w:tab w:val="left" w:pos="396"/>
              </w:tabs>
              <w:spacing w:after="24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1316A971" w14:textId="77777777" w:rsidR="006D7A4B" w:rsidRDefault="006D7A4B" w:rsidP="00A9140F">
            <w:pPr>
              <w:pStyle w:val="AnnexNumberedText"/>
              <w:tabs>
                <w:tab w:val="left" w:pos="396"/>
              </w:tabs>
              <w:spacing w:after="24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76EFDA2" w14:textId="77777777" w:rsidR="006D7A4B" w:rsidRDefault="006D7A4B" w:rsidP="00A9140F">
            <w:pPr>
              <w:pStyle w:val="AnnexNumberedText"/>
              <w:spacing w:after="2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80528CA" w14:textId="77777777" w:rsidR="006D7A4B" w:rsidRDefault="006D7A4B" w:rsidP="00A9140F">
            <w:pPr>
              <w:pStyle w:val="AnnexNumberedText"/>
              <w:spacing w:after="2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8FA874D" w14:textId="77777777" w:rsidR="006D7A4B" w:rsidRDefault="006D7A4B" w:rsidP="00A9140F">
            <w:pPr>
              <w:pStyle w:val="AnnexNumberedText"/>
              <w:spacing w:after="240"/>
              <w:rPr>
                <w:szCs w:val="18"/>
              </w:rPr>
            </w:pPr>
            <w:r>
              <w:t>c)</w:t>
            </w:r>
            <w:r>
              <w:tab/>
              <w:t>mat á aðlögunarlausnum sem geta dregið úr greindri efnislegri loftslagsáhættu.</w:t>
            </w:r>
          </w:p>
          <w:p w14:paraId="6E257E78" w14:textId="77777777" w:rsidR="006D7A4B" w:rsidRDefault="006D7A4B" w:rsidP="00A9140F">
            <w:pPr>
              <w:pStyle w:val="AnnexTableCellLeft"/>
              <w:spacing w:after="2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2F71B835" w14:textId="77777777" w:rsidR="006D7A4B" w:rsidRDefault="006D7A4B" w:rsidP="00A9140F">
            <w:pPr>
              <w:pStyle w:val="AnnexNumberedText"/>
              <w:spacing w:after="2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8B49169" w14:textId="77777777" w:rsidR="006D7A4B" w:rsidRDefault="006D7A4B" w:rsidP="00A9140F">
            <w:pPr>
              <w:pStyle w:val="AnnexNumberedText"/>
              <w:spacing w:after="2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6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23B3FEA" w14:textId="77777777" w:rsidR="006D7A4B" w:rsidRDefault="006D7A4B" w:rsidP="00A9140F">
            <w:pPr>
              <w:pStyle w:val="AnnexNumberedText"/>
              <w:tabs>
                <w:tab w:val="left" w:pos="396"/>
              </w:tabs>
              <w:spacing w:after="2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67"/>
            </w:r>
            <w:r>
              <w:t>), vísindalegt ritrýnt útgefið efni og líkön með opnum aðgangi (</w:t>
            </w:r>
            <w:r>
              <w:rPr>
                <w:rStyle w:val="Tilvsunneanmlsgrein"/>
                <w:sz w:val="18"/>
                <w:szCs w:val="18"/>
              </w:rPr>
              <w:footnoteReference w:id="768"/>
            </w:r>
            <w:r>
              <w:t>) eða gegn greiðslu.</w:t>
            </w:r>
          </w:p>
          <w:p w14:paraId="360FB486" w14:textId="77777777" w:rsidR="006D7A4B" w:rsidRDefault="006D7A4B" w:rsidP="00A9140F">
            <w:pPr>
              <w:pStyle w:val="AnnexNumberedText"/>
              <w:tabs>
                <w:tab w:val="left" w:pos="396"/>
              </w:tabs>
              <w:spacing w:after="240"/>
              <w:ind w:left="0" w:firstLine="0"/>
              <w:rPr>
                <w:szCs w:val="18"/>
              </w:rPr>
            </w:pPr>
            <w:r>
              <w:t>4.</w:t>
            </w:r>
            <w:r>
              <w:tab/>
              <w:t>Aðlögunarlausnir sem komið er í framkvæmd:</w:t>
            </w:r>
          </w:p>
          <w:p w14:paraId="138D3B39" w14:textId="77777777" w:rsidR="006D7A4B" w:rsidRDefault="006D7A4B" w:rsidP="00A9140F">
            <w:pPr>
              <w:pStyle w:val="AnnexNumberedText"/>
              <w:spacing w:after="240"/>
              <w:rPr>
                <w:szCs w:val="18"/>
              </w:rPr>
            </w:pPr>
            <w:r>
              <w:t>a)</w:t>
            </w:r>
            <w:r>
              <w:tab/>
              <w:t>hafa ekki neikvæð áhrif á viðleitni til aðlögunar eða viðnám annars fólks, náttúru, menningararfleifðar, eigna og annarrar atvinnustarfsemi gegn efnislegri loftslagsáhættu,</w:t>
            </w:r>
          </w:p>
          <w:p w14:paraId="2C25A937" w14:textId="77777777" w:rsidR="006D7A4B" w:rsidRDefault="006D7A4B" w:rsidP="00A9140F">
            <w:pPr>
              <w:pStyle w:val="AnnexNumberedText"/>
              <w:spacing w:after="240"/>
              <w:rPr>
                <w:szCs w:val="18"/>
              </w:rPr>
            </w:pPr>
            <w:r>
              <w:t>b)</w:t>
            </w:r>
            <w:r>
              <w:tab/>
              <w:t>eru með náttúrumiðaðar lausnir (</w:t>
            </w:r>
            <w:r>
              <w:rPr>
                <w:rStyle w:val="Tilvsunneanmlsgrein"/>
                <w:sz w:val="18"/>
                <w:szCs w:val="18"/>
              </w:rPr>
              <w:footnoteReference w:id="769"/>
            </w:r>
            <w:r>
              <w:t>) í forgangi eða treyst er á bláa eða græna innviði (</w:t>
            </w:r>
            <w:r>
              <w:rPr>
                <w:rStyle w:val="Tilvsunneanmlsgrein"/>
                <w:sz w:val="18"/>
                <w:szCs w:val="18"/>
              </w:rPr>
              <w:footnoteReference w:id="770"/>
            </w:r>
            <w:r>
              <w:t>) að því marki sem mögulegt er,</w:t>
            </w:r>
          </w:p>
          <w:p w14:paraId="3BD95C9A" w14:textId="77777777" w:rsidR="006D7A4B" w:rsidRDefault="006D7A4B" w:rsidP="00A9140F">
            <w:pPr>
              <w:pStyle w:val="AnnexNumberedText"/>
              <w:spacing w:after="240"/>
              <w:rPr>
                <w:szCs w:val="18"/>
              </w:rPr>
            </w:pPr>
            <w:r>
              <w:t>c)</w:t>
            </w:r>
            <w:r>
              <w:tab/>
              <w:t>eru í samræmi við staðbundnar, geirabundnar, svæðisbundnar eða landsbundnar aðlögunarstefnur og -áætlanir,</w:t>
            </w:r>
          </w:p>
          <w:p w14:paraId="1CC24D93" w14:textId="77777777" w:rsidR="006D7A4B" w:rsidRDefault="006D7A4B" w:rsidP="00A9140F">
            <w:pPr>
              <w:pStyle w:val="AnnexNumberedText"/>
              <w:spacing w:after="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tc>
      </w:tr>
      <w:tr w:rsidR="006D7A4B" w14:paraId="0F31F37A" w14:textId="77777777" w:rsidTr="00A9140F">
        <w:trPr>
          <w:trHeight w:val="360"/>
        </w:trPr>
        <w:tc>
          <w:tcPr>
            <w:tcW w:w="8736" w:type="dxa"/>
            <w:gridSpan w:val="2"/>
            <w:tcBorders>
              <w:top w:val="nil"/>
            </w:tcBorders>
            <w:tcMar>
              <w:left w:w="0" w:type="dxa"/>
              <w:right w:w="60" w:type="dxa"/>
            </w:tcMar>
          </w:tcPr>
          <w:p w14:paraId="19D80484" w14:textId="77777777" w:rsidR="006D7A4B" w:rsidRDefault="006D7A4B" w:rsidP="00A9140F">
            <w:pPr>
              <w:pStyle w:val="AnnexNumberedText"/>
              <w:pageBreakBefore/>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2DBA1657" w14:textId="77777777" w:rsidTr="00A9140F">
        <w:trPr>
          <w:trHeight w:val="240"/>
        </w:trPr>
        <w:tc>
          <w:tcPr>
            <w:tcW w:w="8736" w:type="dxa"/>
            <w:gridSpan w:val="2"/>
            <w:tcMar>
              <w:top w:w="100" w:type="dxa"/>
              <w:left w:w="0" w:type="dxa"/>
              <w:bottom w:w="100" w:type="dxa"/>
              <w:right w:w="60" w:type="dxa"/>
            </w:tcMar>
          </w:tcPr>
          <w:p w14:paraId="0A5659A7" w14:textId="77777777" w:rsidR="006D7A4B" w:rsidRDefault="006D7A4B" w:rsidP="00A9140F">
            <w:pPr>
              <w:pStyle w:val="AnnexTableCellLeft"/>
            </w:pPr>
            <w:r>
              <w:t>Ekki valda umtalsverðu tjóni</w:t>
            </w:r>
          </w:p>
        </w:tc>
      </w:tr>
      <w:tr w:rsidR="006D7A4B" w14:paraId="0AC182CB" w14:textId="77777777" w:rsidTr="00A9140F">
        <w:trPr>
          <w:trHeight w:val="360"/>
        </w:trPr>
        <w:tc>
          <w:tcPr>
            <w:tcW w:w="2904" w:type="dxa"/>
            <w:tcMar>
              <w:top w:w="100" w:type="dxa"/>
              <w:left w:w="0" w:type="dxa"/>
              <w:bottom w:w="100" w:type="dxa"/>
              <w:right w:w="60" w:type="dxa"/>
            </w:tcMar>
          </w:tcPr>
          <w:p w14:paraId="56F7C3B2" w14:textId="77777777" w:rsidR="006D7A4B" w:rsidRDefault="006D7A4B" w:rsidP="00A9140F">
            <w:pPr>
              <w:pStyle w:val="AnnexNumberedText"/>
              <w:spacing w:after="0"/>
              <w:ind w:left="293" w:hanging="293"/>
            </w:pPr>
            <w:r>
              <w:t>1)</w:t>
            </w:r>
            <w:r>
              <w:tab/>
              <w:t>Mildun loftslagsbreytinga</w:t>
            </w:r>
          </w:p>
        </w:tc>
        <w:tc>
          <w:tcPr>
            <w:tcW w:w="5832" w:type="dxa"/>
            <w:tcMar>
              <w:top w:w="100" w:type="dxa"/>
              <w:left w:w="60" w:type="dxa"/>
              <w:bottom w:w="100" w:type="dxa"/>
              <w:right w:w="0" w:type="dxa"/>
            </w:tcMar>
          </w:tcPr>
          <w:p w14:paraId="7A1B776D" w14:textId="77777777" w:rsidR="006D7A4B" w:rsidRDefault="006D7A4B" w:rsidP="00A9140F">
            <w:pPr>
              <w:pStyle w:val="AnnexTableCellLeft"/>
            </w:pPr>
            <w:r>
              <w:t xml:space="preserve">Vöktunar- og viðbragðsáætlun er til staðar í því skyni að lágmarka </w:t>
            </w:r>
            <w:proofErr w:type="spellStart"/>
            <w:r>
              <w:t>metanleka</w:t>
            </w:r>
            <w:proofErr w:type="spellEnd"/>
            <w:r>
              <w:t xml:space="preserve"> í stöðinni.</w:t>
            </w:r>
          </w:p>
        </w:tc>
      </w:tr>
      <w:tr w:rsidR="006D7A4B" w14:paraId="514DA1B0" w14:textId="77777777" w:rsidTr="00A9140F">
        <w:trPr>
          <w:trHeight w:val="360"/>
        </w:trPr>
        <w:tc>
          <w:tcPr>
            <w:tcW w:w="2904" w:type="dxa"/>
            <w:tcMar>
              <w:top w:w="100" w:type="dxa"/>
              <w:left w:w="0" w:type="dxa"/>
              <w:bottom w:w="100" w:type="dxa"/>
              <w:right w:w="60" w:type="dxa"/>
            </w:tcMar>
          </w:tcPr>
          <w:p w14:paraId="3CC35254" w14:textId="77777777" w:rsidR="006D7A4B" w:rsidRDefault="006D7A4B" w:rsidP="00A9140F">
            <w:pPr>
              <w:pStyle w:val="AnnexNumberedText"/>
              <w:spacing w:after="0"/>
              <w:ind w:left="293" w:hanging="293"/>
            </w:pPr>
            <w:r>
              <w:t>3)</w:t>
            </w:r>
            <w:r>
              <w:tab/>
              <w:t>Sjálfbær notkun og verndun vatns- og sjávarauðlinda</w:t>
            </w:r>
          </w:p>
        </w:tc>
        <w:tc>
          <w:tcPr>
            <w:tcW w:w="5832" w:type="dxa"/>
            <w:tcMar>
              <w:top w:w="100" w:type="dxa"/>
              <w:left w:w="60" w:type="dxa"/>
              <w:bottom w:w="100" w:type="dxa"/>
              <w:right w:w="0" w:type="dxa"/>
            </w:tcMar>
          </w:tcPr>
          <w:p w14:paraId="2C3A3D47" w14:textId="77777777" w:rsidR="006D7A4B" w:rsidRDefault="006D7A4B" w:rsidP="00A9140F">
            <w:pPr>
              <w:pStyle w:val="AnnexTableCellLeft"/>
            </w:pPr>
            <w:r>
              <w:t>Starfsemin er í samræmi við viðmiðanirnar sem settar eru fram í viðbæti B við þennan viðauka.</w:t>
            </w:r>
          </w:p>
        </w:tc>
      </w:tr>
      <w:tr w:rsidR="006D7A4B" w14:paraId="2CB95F62" w14:textId="77777777" w:rsidTr="00A9140F">
        <w:trPr>
          <w:trHeight w:val="360"/>
        </w:trPr>
        <w:tc>
          <w:tcPr>
            <w:tcW w:w="2904" w:type="dxa"/>
            <w:tcMar>
              <w:top w:w="100" w:type="dxa"/>
              <w:left w:w="0" w:type="dxa"/>
              <w:bottom w:w="100" w:type="dxa"/>
              <w:right w:w="60" w:type="dxa"/>
            </w:tcMar>
          </w:tcPr>
          <w:p w14:paraId="2A40AF10" w14:textId="77777777" w:rsidR="006D7A4B" w:rsidRDefault="006D7A4B" w:rsidP="00A9140F">
            <w:pPr>
              <w:pStyle w:val="AnnexNumberedText"/>
              <w:spacing w:after="0"/>
              <w:ind w:left="293" w:hanging="293"/>
            </w:pPr>
            <w:r>
              <w:t>4)</w:t>
            </w:r>
            <w:r>
              <w:tab/>
              <w:t>Umskipti yfir í hringrásarhagkerfi</w:t>
            </w:r>
          </w:p>
        </w:tc>
        <w:tc>
          <w:tcPr>
            <w:tcW w:w="5832" w:type="dxa"/>
            <w:tcMar>
              <w:top w:w="100" w:type="dxa"/>
              <w:left w:w="60" w:type="dxa"/>
              <w:bottom w:w="100" w:type="dxa"/>
              <w:right w:w="0" w:type="dxa"/>
            </w:tcMar>
          </w:tcPr>
          <w:p w14:paraId="0E88AF4A" w14:textId="77777777" w:rsidR="006D7A4B" w:rsidRDefault="006D7A4B" w:rsidP="00A9140F">
            <w:pPr>
              <w:pStyle w:val="AnnexTableCellLeft"/>
            </w:pPr>
            <w:r>
              <w:t>Á ekki við</w:t>
            </w:r>
          </w:p>
        </w:tc>
      </w:tr>
      <w:tr w:rsidR="006D7A4B" w14:paraId="58D801A6" w14:textId="77777777" w:rsidTr="00A9140F">
        <w:trPr>
          <w:trHeight w:val="360"/>
        </w:trPr>
        <w:tc>
          <w:tcPr>
            <w:tcW w:w="2904" w:type="dxa"/>
            <w:tcMar>
              <w:top w:w="100" w:type="dxa"/>
              <w:left w:w="0" w:type="dxa"/>
              <w:bottom w:w="100" w:type="dxa"/>
              <w:right w:w="60" w:type="dxa"/>
            </w:tcMar>
          </w:tcPr>
          <w:p w14:paraId="5E8D009A" w14:textId="77777777" w:rsidR="006D7A4B" w:rsidRDefault="006D7A4B" w:rsidP="00A9140F">
            <w:pPr>
              <w:pStyle w:val="AnnexNumberedText"/>
              <w:spacing w:after="0"/>
              <w:ind w:left="293" w:hanging="293"/>
              <w:rPr>
                <w:szCs w:val="18"/>
              </w:rPr>
            </w:pPr>
            <w:r>
              <w:t>5)</w:t>
            </w:r>
            <w:r>
              <w:tab/>
              <w:t>Mengunarvarnir og eftirlit með mengun</w:t>
            </w:r>
          </w:p>
        </w:tc>
        <w:tc>
          <w:tcPr>
            <w:tcW w:w="5832" w:type="dxa"/>
            <w:tcMar>
              <w:top w:w="100" w:type="dxa"/>
              <w:left w:w="60" w:type="dxa"/>
              <w:bottom w:w="100" w:type="dxa"/>
              <w:right w:w="0" w:type="dxa"/>
            </w:tcMar>
          </w:tcPr>
          <w:p w14:paraId="625CF128" w14:textId="77777777" w:rsidR="006D7A4B" w:rsidRDefault="006D7A4B" w:rsidP="00A9140F">
            <w:pPr>
              <w:pStyle w:val="AnnexTableCellLeft"/>
              <w:spacing w:after="240"/>
              <w:rPr>
                <w:szCs w:val="18"/>
              </w:rPr>
            </w:pPr>
            <w:r>
              <w:t xml:space="preserve">Að því er varðar stöðvar fyrir </w:t>
            </w:r>
            <w:proofErr w:type="spellStart"/>
            <w:r>
              <w:t>loftfirrða</w:t>
            </w:r>
            <w:proofErr w:type="spellEnd"/>
            <w:r>
              <w:t xml:space="preserve"> meltun sem meðhöndla yfir 100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771"/>
            </w:r>
            <w:r>
              <w:t>). Engin umtalsverð yfirfærsluáhrif milli umhverfishólfa eiga sér stað.</w:t>
            </w:r>
          </w:p>
          <w:p w14:paraId="229C63E0" w14:textId="77777777" w:rsidR="006D7A4B" w:rsidRDefault="006D7A4B" w:rsidP="00A9140F">
            <w:pPr>
              <w:pStyle w:val="AnnexTableCellLeft"/>
              <w:spacing w:after="240"/>
              <w:rPr>
                <w:szCs w:val="18"/>
              </w:rPr>
            </w:pPr>
            <w:r>
              <w:t xml:space="preserve">Framleidd melta uppfyllir kröfurnar fyrir áburðarefni sem settar eru fram í efnisþáttaefniviðaflokkum 4 og 5 um meltu eða efnisþáttaefniviðaflokki 3 um </w:t>
            </w:r>
            <w:proofErr w:type="spellStart"/>
            <w:r>
              <w:t>moltu</w:t>
            </w:r>
            <w:proofErr w:type="spellEnd"/>
            <w:r>
              <w:t>, eftir því sem við á, í II. viðauka við reglugerð (ESB) 2019/1009 eða landsbundnar reglur um áburð eða jarðvegsbæta til notkunar í landbúnaði.</w:t>
            </w:r>
          </w:p>
          <w:p w14:paraId="64B041C5" w14:textId="77777777" w:rsidR="006D7A4B" w:rsidRDefault="006D7A4B" w:rsidP="00A9140F">
            <w:pPr>
              <w:pStyle w:val="AnnexTableCellLeft"/>
              <w:rPr>
                <w:szCs w:val="18"/>
              </w:rPr>
            </w:pPr>
            <w:r>
              <w:t xml:space="preserve">Köfnunarefnisinnihald (með leyfilegt hámarksgildi sem nemur ± 25%) meltu sem er notuð sem áburður eða </w:t>
            </w:r>
            <w:proofErr w:type="spellStart"/>
            <w:r>
              <w:t>jarðvegsbætir</w:t>
            </w:r>
            <w:proofErr w:type="spellEnd"/>
            <w:r>
              <w:t xml:space="preserve"> er tilkynnt kaupandanum eða aðilanum sem ber ábyrgð á meltunni.</w:t>
            </w:r>
          </w:p>
        </w:tc>
      </w:tr>
      <w:tr w:rsidR="006D7A4B" w14:paraId="202C57E7" w14:textId="77777777" w:rsidTr="00A9140F">
        <w:trPr>
          <w:trHeight w:val="360"/>
        </w:trPr>
        <w:tc>
          <w:tcPr>
            <w:tcW w:w="2904" w:type="dxa"/>
            <w:tcMar>
              <w:top w:w="100" w:type="dxa"/>
              <w:left w:w="0" w:type="dxa"/>
              <w:bottom w:w="100" w:type="dxa"/>
              <w:right w:w="60" w:type="dxa"/>
            </w:tcMar>
          </w:tcPr>
          <w:p w14:paraId="71C42A66" w14:textId="77777777" w:rsidR="006D7A4B" w:rsidRDefault="006D7A4B" w:rsidP="00A9140F">
            <w:pPr>
              <w:pStyle w:val="AnnexNumberedText"/>
              <w:spacing w:after="0"/>
              <w:ind w:left="293" w:hanging="293"/>
            </w:pPr>
            <w:r>
              <w:t>6)</w:t>
            </w:r>
            <w:r>
              <w:tab/>
              <w:t>Vernd og endurheimt líffræðilegrar fjölbreytni og vistkerfa</w:t>
            </w:r>
          </w:p>
        </w:tc>
        <w:tc>
          <w:tcPr>
            <w:tcW w:w="5832" w:type="dxa"/>
            <w:tcMar>
              <w:top w:w="100" w:type="dxa"/>
              <w:left w:w="60" w:type="dxa"/>
              <w:bottom w:w="100" w:type="dxa"/>
              <w:right w:w="0" w:type="dxa"/>
            </w:tcMar>
          </w:tcPr>
          <w:p w14:paraId="0D9B76E1" w14:textId="77777777" w:rsidR="006D7A4B" w:rsidRDefault="006D7A4B" w:rsidP="00A9140F">
            <w:pPr>
              <w:pStyle w:val="AnnexTableCellLeft"/>
            </w:pPr>
            <w:r>
              <w:t>Starfsemin er í samræmi við viðmiðanirnar sem settar eru fram í viðbæti D við þennan viðauka.</w:t>
            </w:r>
          </w:p>
        </w:tc>
      </w:tr>
    </w:tbl>
    <w:p w14:paraId="6034FB4E" w14:textId="77777777" w:rsidR="006D7A4B" w:rsidRDefault="006D7A4B" w:rsidP="006D7A4B">
      <w:pPr>
        <w:pStyle w:val="AnnexNumberedText"/>
        <w:ind w:left="504" w:hanging="504"/>
      </w:pPr>
      <w:r>
        <w:t>5.8.</w:t>
      </w:r>
      <w:r>
        <w:rPr>
          <w:b/>
        </w:rPr>
        <w:tab/>
      </w:r>
      <w:proofErr w:type="spellStart"/>
      <w:r>
        <w:rPr>
          <w:b/>
        </w:rPr>
        <w:t>Mylting</w:t>
      </w:r>
      <w:proofErr w:type="spellEnd"/>
      <w:r>
        <w:rPr>
          <w:b/>
        </w:rPr>
        <w:t xml:space="preserve"> lífúrgangs</w:t>
      </w:r>
    </w:p>
    <w:p w14:paraId="6B99B6A0" w14:textId="77777777" w:rsidR="006D7A4B" w:rsidRDefault="006D7A4B" w:rsidP="006D7A4B">
      <w:pPr>
        <w:pStyle w:val="AnnexGrSeq3"/>
        <w:spacing w:after="120"/>
        <w:ind w:left="504"/>
        <w:jc w:val="both"/>
      </w:pPr>
      <w:r>
        <w:rPr>
          <w:i/>
        </w:rPr>
        <w:t>Lýsing á starfseminni</w:t>
      </w:r>
    </w:p>
    <w:p w14:paraId="0300096C" w14:textId="77777777" w:rsidR="006D7A4B" w:rsidRDefault="006D7A4B" w:rsidP="006D7A4B">
      <w:pPr>
        <w:pStyle w:val="AnnexNormal"/>
        <w:spacing w:after="500"/>
        <w:ind w:left="504"/>
        <w:rPr>
          <w:szCs w:val="18"/>
        </w:rPr>
      </w:pPr>
      <w:r>
        <w:t xml:space="preserve">Bygging eða rekstur sérstakra stöðva til að hreinsa lífúrgang, sem er safnað á aðskilinn hátt, með </w:t>
      </w:r>
      <w:proofErr w:type="spellStart"/>
      <w:r>
        <w:t>myltingu</w:t>
      </w:r>
      <w:proofErr w:type="spellEnd"/>
      <w:r>
        <w:t xml:space="preserve"> (loftháðri meltun) með endanlega framleiðslu og notkun á </w:t>
      </w:r>
      <w:proofErr w:type="spellStart"/>
      <w:r>
        <w:t>myltu</w:t>
      </w:r>
      <w:proofErr w:type="spellEnd"/>
      <w:r>
        <w:t xml:space="preserve"> (</w:t>
      </w:r>
      <w:bookmarkStart w:id="96" w:name="NOTE_771"/>
      <w:r>
        <w:rPr>
          <w:rStyle w:val="Tilvsunneanmlsgrein"/>
          <w:sz w:val="18"/>
          <w:szCs w:val="18"/>
        </w:rPr>
        <w:footnoteReference w:id="772"/>
      </w:r>
      <w:bookmarkEnd w:id="96"/>
      <w:r>
        <w:t>).</w:t>
      </w:r>
    </w:p>
    <w:p w14:paraId="337619ED" w14:textId="77777777" w:rsidR="006D7A4B" w:rsidRDefault="006D7A4B" w:rsidP="006D7A4B">
      <w:pPr>
        <w:pStyle w:val="AnnexNormal"/>
        <w:spacing w:after="500"/>
        <w:ind w:left="504"/>
      </w:pPr>
      <w:r>
        <w:t>Atvinnustarfsemin í þessum flokki gæti tengst nokkrum kóðum atvinnugreinaflokkunar Evrópusambandsins, einkum E38.21 og F42.99, í samræmi við atvinnugreinaflokkunina sem komið var á með reglugerð (EB) nr. 1893/2006.</w:t>
      </w:r>
    </w:p>
    <w:p w14:paraId="54CD5A96"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12"/>
        <w:gridCol w:w="5724"/>
      </w:tblGrid>
      <w:tr w:rsidR="006D7A4B" w14:paraId="0E1D0525" w14:textId="77777777" w:rsidTr="00A9140F">
        <w:trPr>
          <w:trHeight w:val="280"/>
        </w:trPr>
        <w:tc>
          <w:tcPr>
            <w:tcW w:w="8736" w:type="dxa"/>
            <w:gridSpan w:val="2"/>
            <w:tcBorders>
              <w:bottom w:val="single" w:sz="4" w:space="0" w:color="auto"/>
            </w:tcBorders>
            <w:tcMar>
              <w:left w:w="0" w:type="dxa"/>
              <w:right w:w="60" w:type="dxa"/>
            </w:tcMar>
          </w:tcPr>
          <w:p w14:paraId="651913E4" w14:textId="77777777" w:rsidR="006D7A4B" w:rsidRDefault="006D7A4B" w:rsidP="00A9140F">
            <w:pPr>
              <w:pStyle w:val="AnnexTableCellLeft"/>
              <w:spacing w:before="40" w:after="40"/>
            </w:pPr>
            <w:r>
              <w:t>Verulegt framlag til aðlögunar að loftslagsbreytingum</w:t>
            </w:r>
          </w:p>
        </w:tc>
      </w:tr>
      <w:tr w:rsidR="006D7A4B" w14:paraId="69408BC2" w14:textId="77777777" w:rsidTr="00A9140F">
        <w:trPr>
          <w:trHeight w:val="360"/>
        </w:trPr>
        <w:tc>
          <w:tcPr>
            <w:tcW w:w="8736" w:type="dxa"/>
            <w:gridSpan w:val="2"/>
            <w:tcBorders>
              <w:bottom w:val="nil"/>
            </w:tcBorders>
            <w:tcMar>
              <w:left w:w="0" w:type="dxa"/>
              <w:right w:w="60" w:type="dxa"/>
            </w:tcMar>
          </w:tcPr>
          <w:p w14:paraId="0A5B24D3" w14:textId="77777777" w:rsidR="006D7A4B" w:rsidRDefault="006D7A4B"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5A077F6" w14:textId="77777777" w:rsidR="006D7A4B" w:rsidRDefault="006D7A4B"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826F2E1" w14:textId="77777777" w:rsidR="006D7A4B" w:rsidRDefault="006D7A4B" w:rsidP="00A9140F">
            <w:pPr>
              <w:pStyle w:val="AnnexNumberedText"/>
              <w:spacing w:after="0"/>
            </w:pPr>
            <w:r>
              <w:t>a)</w:t>
            </w:r>
            <w:r>
              <w:tab/>
              <w:t>skimun á starfseminni til að greina hvaða efnislega loftslagsáhætta úr skránni í viðbæti A við þennan viðauka getur haft áhrif á árangurinn af atvinnustarfseminni á væntum líftíma hennar,</w:t>
            </w:r>
          </w:p>
        </w:tc>
      </w:tr>
      <w:tr w:rsidR="006D7A4B" w14:paraId="00D7097A" w14:textId="77777777" w:rsidTr="00A9140F">
        <w:trPr>
          <w:trHeight w:val="360"/>
        </w:trPr>
        <w:tc>
          <w:tcPr>
            <w:tcW w:w="8736" w:type="dxa"/>
            <w:gridSpan w:val="2"/>
            <w:tcBorders>
              <w:top w:val="nil"/>
            </w:tcBorders>
            <w:tcMar>
              <w:left w:w="0" w:type="dxa"/>
              <w:right w:w="60" w:type="dxa"/>
            </w:tcMar>
          </w:tcPr>
          <w:p w14:paraId="6C3E9280" w14:textId="77777777" w:rsidR="006D7A4B" w:rsidRDefault="006D7A4B" w:rsidP="00A9140F">
            <w:pPr>
              <w:pStyle w:val="AnnexNumberedText"/>
              <w:pageBreakBefore/>
              <w:spacing w:after="200"/>
              <w:rPr>
                <w:szCs w:val="18"/>
              </w:rPr>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7873076" w14:textId="77777777" w:rsidR="006D7A4B" w:rsidRDefault="006D7A4B" w:rsidP="00A9140F">
            <w:pPr>
              <w:pStyle w:val="AnnexNumberedText"/>
              <w:spacing w:after="200"/>
              <w:rPr>
                <w:szCs w:val="18"/>
              </w:rPr>
            </w:pPr>
            <w:r>
              <w:t>c)</w:t>
            </w:r>
            <w:r>
              <w:tab/>
              <w:t>mat á aðlögunarlausnum sem geta dregið úr greindri efnislegri loftslagsáhættu.</w:t>
            </w:r>
          </w:p>
          <w:p w14:paraId="585AF15D" w14:textId="77777777" w:rsidR="006D7A4B" w:rsidRDefault="006D7A4B"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3EA561A" w14:textId="77777777" w:rsidR="006D7A4B" w:rsidRDefault="006D7A4B"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FF5EAB4" w14:textId="77777777" w:rsidR="006D7A4B" w:rsidRDefault="006D7A4B"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7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839CB43" w14:textId="77777777" w:rsidR="006D7A4B" w:rsidRDefault="006D7A4B"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74"/>
            </w:r>
            <w:r>
              <w:t>), vísindalegt ritrýnt útgefið efni og líkön með opnum aðgangi (</w:t>
            </w:r>
            <w:r>
              <w:rPr>
                <w:rStyle w:val="Tilvsunneanmlsgrein"/>
                <w:sz w:val="18"/>
                <w:szCs w:val="18"/>
              </w:rPr>
              <w:footnoteReference w:id="775"/>
            </w:r>
            <w:r>
              <w:t>) eða gegn greiðslu.</w:t>
            </w:r>
          </w:p>
          <w:p w14:paraId="3C37BB4E" w14:textId="77777777" w:rsidR="006D7A4B" w:rsidRDefault="006D7A4B" w:rsidP="00A9140F">
            <w:pPr>
              <w:pStyle w:val="AnnexNumberedText"/>
              <w:tabs>
                <w:tab w:val="left" w:pos="396"/>
              </w:tabs>
              <w:spacing w:after="200"/>
              <w:ind w:left="0" w:firstLine="0"/>
              <w:rPr>
                <w:szCs w:val="18"/>
              </w:rPr>
            </w:pPr>
            <w:r>
              <w:t>4.</w:t>
            </w:r>
            <w:r>
              <w:tab/>
              <w:t>Aðlögunarlausnir sem komið er í framkvæmd:</w:t>
            </w:r>
          </w:p>
          <w:p w14:paraId="411983BD" w14:textId="77777777" w:rsidR="006D7A4B" w:rsidRDefault="006D7A4B"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0ADFD2CA" w14:textId="77777777" w:rsidR="006D7A4B" w:rsidRDefault="006D7A4B" w:rsidP="00A9140F">
            <w:pPr>
              <w:pStyle w:val="AnnexNumberedText"/>
              <w:spacing w:after="200"/>
              <w:rPr>
                <w:szCs w:val="18"/>
              </w:rPr>
            </w:pPr>
            <w:r>
              <w:t>b)</w:t>
            </w:r>
            <w:r>
              <w:tab/>
              <w:t>eru með náttúrumiðaðar lausnir (</w:t>
            </w:r>
            <w:r>
              <w:rPr>
                <w:rStyle w:val="Tilvsunneanmlsgrein"/>
                <w:sz w:val="18"/>
                <w:szCs w:val="18"/>
              </w:rPr>
              <w:footnoteReference w:id="776"/>
            </w:r>
            <w:r>
              <w:t>) í forgangi eða treyst er á bláa eða græna innviði (</w:t>
            </w:r>
            <w:r>
              <w:rPr>
                <w:rStyle w:val="Tilvsunneanmlsgrein"/>
                <w:sz w:val="18"/>
                <w:szCs w:val="18"/>
              </w:rPr>
              <w:footnoteReference w:id="777"/>
            </w:r>
            <w:r>
              <w:t>) að því marki sem mögulegt er,</w:t>
            </w:r>
          </w:p>
          <w:p w14:paraId="47A63CCA" w14:textId="77777777" w:rsidR="006D7A4B" w:rsidRDefault="006D7A4B" w:rsidP="00A9140F">
            <w:pPr>
              <w:pStyle w:val="AnnexNumberedText"/>
              <w:spacing w:after="200"/>
              <w:rPr>
                <w:szCs w:val="18"/>
              </w:rPr>
            </w:pPr>
            <w:r>
              <w:t>c)</w:t>
            </w:r>
            <w:r>
              <w:tab/>
              <w:t>eru í samræmi við staðbundnar, geirabundnar, svæðisbundnar eða landsbundnar aðlögunarstefnur og -áætlanir,</w:t>
            </w:r>
          </w:p>
          <w:p w14:paraId="4F76EE12" w14:textId="77777777" w:rsidR="006D7A4B" w:rsidRDefault="006D7A4B"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097F677" w14:textId="77777777" w:rsidR="006D7A4B" w:rsidRDefault="006D7A4B" w:rsidP="00A9140F">
            <w:pPr>
              <w:pStyle w:val="AnnexNumberedText"/>
              <w:spacing w:after="50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308E3F42" w14:textId="77777777" w:rsidTr="00A9140F">
        <w:trPr>
          <w:trHeight w:val="240"/>
        </w:trPr>
        <w:tc>
          <w:tcPr>
            <w:tcW w:w="8736" w:type="dxa"/>
            <w:gridSpan w:val="2"/>
            <w:tcMar>
              <w:top w:w="100" w:type="dxa"/>
              <w:left w:w="0" w:type="dxa"/>
              <w:bottom w:w="100" w:type="dxa"/>
              <w:right w:w="60" w:type="dxa"/>
            </w:tcMar>
          </w:tcPr>
          <w:p w14:paraId="5493436B" w14:textId="77777777" w:rsidR="006D7A4B" w:rsidRDefault="006D7A4B" w:rsidP="00A9140F">
            <w:pPr>
              <w:pStyle w:val="AnnexTableCellLeft"/>
            </w:pPr>
            <w:r>
              <w:t>Ekki valda umtalsverðu tjóni</w:t>
            </w:r>
          </w:p>
        </w:tc>
      </w:tr>
      <w:tr w:rsidR="006D7A4B" w14:paraId="5B31046E" w14:textId="77777777" w:rsidTr="00A9140F">
        <w:tc>
          <w:tcPr>
            <w:tcW w:w="3012" w:type="dxa"/>
            <w:tcMar>
              <w:top w:w="100" w:type="dxa"/>
              <w:left w:w="0" w:type="dxa"/>
              <w:bottom w:w="100" w:type="dxa"/>
              <w:right w:w="60" w:type="dxa"/>
            </w:tcMar>
          </w:tcPr>
          <w:p w14:paraId="5C1D8EAE" w14:textId="77777777" w:rsidR="006D7A4B" w:rsidRDefault="006D7A4B" w:rsidP="00A9140F">
            <w:pPr>
              <w:pStyle w:val="AnnexNumberedText"/>
              <w:spacing w:after="0"/>
              <w:ind w:left="293" w:hanging="293"/>
            </w:pPr>
            <w:r>
              <w:t>1)</w:t>
            </w:r>
            <w:r>
              <w:tab/>
              <w:t>Mildun loftslagsbreytinga</w:t>
            </w:r>
          </w:p>
        </w:tc>
        <w:tc>
          <w:tcPr>
            <w:tcW w:w="5724" w:type="dxa"/>
            <w:tcMar>
              <w:top w:w="100" w:type="dxa"/>
              <w:left w:w="60" w:type="dxa"/>
              <w:bottom w:w="100" w:type="dxa"/>
              <w:right w:w="0" w:type="dxa"/>
            </w:tcMar>
          </w:tcPr>
          <w:p w14:paraId="74F7A2E4" w14:textId="77777777" w:rsidR="006D7A4B" w:rsidRDefault="006D7A4B" w:rsidP="00A9140F">
            <w:pPr>
              <w:pStyle w:val="AnnexTableCellLeft"/>
            </w:pPr>
            <w:r>
              <w:t>Á ekki við</w:t>
            </w:r>
          </w:p>
        </w:tc>
      </w:tr>
      <w:tr w:rsidR="006D7A4B" w14:paraId="438C7D07" w14:textId="77777777" w:rsidTr="00A9140F">
        <w:tc>
          <w:tcPr>
            <w:tcW w:w="3012" w:type="dxa"/>
            <w:tcMar>
              <w:top w:w="100" w:type="dxa"/>
              <w:left w:w="0" w:type="dxa"/>
              <w:bottom w:w="100" w:type="dxa"/>
              <w:right w:w="60" w:type="dxa"/>
            </w:tcMar>
          </w:tcPr>
          <w:p w14:paraId="0283D6B1" w14:textId="77777777" w:rsidR="006D7A4B" w:rsidRDefault="006D7A4B" w:rsidP="00A9140F">
            <w:pPr>
              <w:pStyle w:val="AnnexNumberedText"/>
              <w:spacing w:after="0"/>
              <w:ind w:left="293" w:hanging="293"/>
            </w:pPr>
            <w:r>
              <w:t>3)</w:t>
            </w:r>
            <w:r>
              <w:tab/>
              <w:t>Sjálfbær notkun og verndun vatns- og sjávarauðlinda</w:t>
            </w:r>
          </w:p>
        </w:tc>
        <w:tc>
          <w:tcPr>
            <w:tcW w:w="5724" w:type="dxa"/>
            <w:tcMar>
              <w:top w:w="100" w:type="dxa"/>
              <w:left w:w="60" w:type="dxa"/>
              <w:bottom w:w="100" w:type="dxa"/>
              <w:right w:w="0" w:type="dxa"/>
            </w:tcMar>
          </w:tcPr>
          <w:p w14:paraId="16CFF8E7" w14:textId="77777777" w:rsidR="006D7A4B" w:rsidRDefault="006D7A4B" w:rsidP="00A9140F">
            <w:pPr>
              <w:pStyle w:val="AnnexTableCellLeft"/>
            </w:pPr>
            <w:r>
              <w:t>Á ekki við</w:t>
            </w:r>
          </w:p>
        </w:tc>
      </w:tr>
      <w:tr w:rsidR="006D7A4B" w14:paraId="130C4449" w14:textId="77777777" w:rsidTr="00A9140F">
        <w:tc>
          <w:tcPr>
            <w:tcW w:w="3012" w:type="dxa"/>
            <w:tcMar>
              <w:top w:w="100" w:type="dxa"/>
              <w:left w:w="0" w:type="dxa"/>
              <w:bottom w:w="100" w:type="dxa"/>
              <w:right w:w="60" w:type="dxa"/>
            </w:tcMar>
          </w:tcPr>
          <w:p w14:paraId="7FA54E7B" w14:textId="77777777" w:rsidR="006D7A4B" w:rsidRDefault="006D7A4B" w:rsidP="00A9140F">
            <w:pPr>
              <w:pStyle w:val="AnnexNumberedText"/>
              <w:spacing w:after="0"/>
              <w:ind w:left="293" w:hanging="293"/>
            </w:pPr>
            <w:r>
              <w:t>4)</w:t>
            </w:r>
            <w:r>
              <w:tab/>
              <w:t>Umskipti yfir í hringrásarhagkerfi</w:t>
            </w:r>
          </w:p>
        </w:tc>
        <w:tc>
          <w:tcPr>
            <w:tcW w:w="5724" w:type="dxa"/>
            <w:tcMar>
              <w:top w:w="100" w:type="dxa"/>
              <w:left w:w="60" w:type="dxa"/>
              <w:bottom w:w="100" w:type="dxa"/>
              <w:right w:w="0" w:type="dxa"/>
            </w:tcMar>
          </w:tcPr>
          <w:p w14:paraId="03C0B5D4" w14:textId="77777777" w:rsidR="006D7A4B" w:rsidRDefault="006D7A4B" w:rsidP="00A9140F">
            <w:pPr>
              <w:pStyle w:val="AnnexTableCellLeft"/>
            </w:pPr>
            <w:r>
              <w:t>Á ekki við</w:t>
            </w:r>
          </w:p>
        </w:tc>
      </w:tr>
      <w:tr w:rsidR="006D7A4B" w14:paraId="450F592E" w14:textId="77777777" w:rsidTr="00A9140F">
        <w:tc>
          <w:tcPr>
            <w:tcW w:w="3012" w:type="dxa"/>
            <w:tcMar>
              <w:top w:w="100" w:type="dxa"/>
              <w:left w:w="0" w:type="dxa"/>
              <w:bottom w:w="100" w:type="dxa"/>
              <w:right w:w="60" w:type="dxa"/>
            </w:tcMar>
          </w:tcPr>
          <w:p w14:paraId="58A455D2" w14:textId="77777777" w:rsidR="006D7A4B" w:rsidRDefault="006D7A4B" w:rsidP="00A9140F">
            <w:pPr>
              <w:pStyle w:val="AnnexNumberedText"/>
              <w:pageBreakBefore/>
              <w:spacing w:after="0"/>
              <w:ind w:left="293" w:hanging="293"/>
            </w:pPr>
            <w:r>
              <w:lastRenderedPageBreak/>
              <w:t>5)</w:t>
            </w:r>
            <w:r>
              <w:tab/>
              <w:t>Mengunarvarnir og eftirlit með mengun</w:t>
            </w:r>
          </w:p>
        </w:tc>
        <w:tc>
          <w:tcPr>
            <w:tcW w:w="5724" w:type="dxa"/>
            <w:tcMar>
              <w:top w:w="100" w:type="dxa"/>
              <w:left w:w="60" w:type="dxa"/>
              <w:bottom w:w="100" w:type="dxa"/>
              <w:right w:w="0" w:type="dxa"/>
            </w:tcMar>
          </w:tcPr>
          <w:p w14:paraId="337D470F" w14:textId="77777777" w:rsidR="006D7A4B" w:rsidRDefault="006D7A4B" w:rsidP="00A9140F">
            <w:pPr>
              <w:pStyle w:val="AnnexTableCellLeft"/>
              <w:spacing w:after="240"/>
            </w:pPr>
            <w:r>
              <w:t xml:space="preserve">Að því er varðar </w:t>
            </w:r>
            <w:proofErr w:type="spellStart"/>
            <w:r>
              <w:t>myltingarstöðvar</w:t>
            </w:r>
            <w:proofErr w:type="spellEnd"/>
            <w:r>
              <w:t xml:space="preserve"> sem meðhöndla yfir 75 tonn á dag fellur losun út í andrúmsloft og vatn innan við eða undir svið losunargilda sem tengjast bestu aðgengilegu tækni sem er fastsett fyrir </w:t>
            </w:r>
            <w:proofErr w:type="spellStart"/>
            <w:r>
              <w:t>loftfirrða</w:t>
            </w:r>
            <w:proofErr w:type="spellEnd"/>
            <w:r>
              <w:t xml:space="preserve"> meðhöndlun úrgangs í nýjustu viðeigandi niðurstöðum um bestu aðgengilegu tækni, þ.m.t. niðurstöður um bestu aðgengilegu tækni fyrir meðhöndlun úrgangs (</w:t>
            </w:r>
            <w:r>
              <w:rPr>
                <w:rStyle w:val="Tilvsunneanmlsgrein"/>
                <w:sz w:val="18"/>
                <w:szCs w:val="18"/>
              </w:rPr>
              <w:footnoteReference w:id="778"/>
            </w:r>
            <w:r>
              <w:t>). Engin umtalsverð yfirfærsluáhrif milli umhverfishólfa eiga sér stað.</w:t>
            </w:r>
          </w:p>
          <w:p w14:paraId="681BE842" w14:textId="77777777" w:rsidR="006D7A4B" w:rsidRDefault="006D7A4B" w:rsidP="00A9140F">
            <w:pPr>
              <w:pStyle w:val="AnnexTableCellLeft"/>
              <w:spacing w:after="240"/>
            </w:pPr>
            <w:r>
              <w:t>Á staðnum er kerfi til staðar sem kemur í veg fyrir að sigvatn komist í grunnvatnið.</w:t>
            </w:r>
          </w:p>
          <w:p w14:paraId="11AA15B4" w14:textId="77777777" w:rsidR="006D7A4B" w:rsidRDefault="006D7A4B" w:rsidP="00A9140F">
            <w:pPr>
              <w:pStyle w:val="AnnexTableCellLeft"/>
            </w:pPr>
            <w:r>
              <w:t xml:space="preserve">Framleidd </w:t>
            </w:r>
            <w:proofErr w:type="spellStart"/>
            <w:r>
              <w:t>molta</w:t>
            </w:r>
            <w:proofErr w:type="spellEnd"/>
            <w:r>
              <w:t xml:space="preserve"> uppfyllir kröfurnar fyrir áburðarefni sem settar eru fram í efnisþáttaefniviðaflokki 3 í II. viðauka við reglugerð (ESB) 2019/1009 eða landsbundnar reglur um áburð eða jarðvegsbæta til notkunar í landbúnaði.</w:t>
            </w:r>
          </w:p>
        </w:tc>
      </w:tr>
      <w:tr w:rsidR="006D7A4B" w14:paraId="2C4C7F8E" w14:textId="77777777" w:rsidTr="00A9140F">
        <w:tc>
          <w:tcPr>
            <w:tcW w:w="3012" w:type="dxa"/>
            <w:tcMar>
              <w:top w:w="100" w:type="dxa"/>
              <w:left w:w="0" w:type="dxa"/>
              <w:bottom w:w="100" w:type="dxa"/>
              <w:right w:w="60" w:type="dxa"/>
            </w:tcMar>
          </w:tcPr>
          <w:p w14:paraId="78DD1BCA" w14:textId="77777777" w:rsidR="006D7A4B" w:rsidRDefault="006D7A4B" w:rsidP="00A9140F">
            <w:pPr>
              <w:pStyle w:val="AnnexNumberedText"/>
              <w:spacing w:after="0"/>
              <w:ind w:left="293" w:hanging="293"/>
            </w:pPr>
            <w:r>
              <w:t>6)</w:t>
            </w:r>
            <w:r>
              <w:tab/>
              <w:t>Vernd og endurheimt líffræðilegrar fjölbreytni og vistkerfa</w:t>
            </w:r>
          </w:p>
        </w:tc>
        <w:tc>
          <w:tcPr>
            <w:tcW w:w="5724" w:type="dxa"/>
            <w:tcMar>
              <w:top w:w="100" w:type="dxa"/>
              <w:left w:w="60" w:type="dxa"/>
              <w:bottom w:w="100" w:type="dxa"/>
              <w:right w:w="0" w:type="dxa"/>
            </w:tcMar>
          </w:tcPr>
          <w:p w14:paraId="55800BAB" w14:textId="77777777" w:rsidR="006D7A4B" w:rsidRDefault="006D7A4B" w:rsidP="00A9140F">
            <w:pPr>
              <w:pStyle w:val="AnnexTableCellLeft"/>
            </w:pPr>
            <w:r>
              <w:t>Starfsemin er í samræmi við viðmiðanirnar sem settar eru fram í viðbæti D við þennan viðauka.</w:t>
            </w:r>
          </w:p>
        </w:tc>
      </w:tr>
    </w:tbl>
    <w:p w14:paraId="0DC63BA9" w14:textId="77777777" w:rsidR="006D7A4B" w:rsidRDefault="006D7A4B" w:rsidP="006D7A4B">
      <w:pPr>
        <w:pStyle w:val="AnnexNumberedText"/>
        <w:ind w:left="504" w:hanging="504"/>
      </w:pPr>
      <w:r>
        <w:t>5.9.</w:t>
      </w:r>
      <w:r>
        <w:rPr>
          <w:b/>
        </w:rPr>
        <w:tab/>
        <w:t>Endurheimt efnis úr hættulausum úrgangi</w:t>
      </w:r>
    </w:p>
    <w:p w14:paraId="08EB8A68" w14:textId="77777777" w:rsidR="006D7A4B" w:rsidRDefault="006D7A4B" w:rsidP="006D7A4B">
      <w:pPr>
        <w:pStyle w:val="AnnexGrSeq3"/>
        <w:spacing w:after="120"/>
        <w:ind w:left="504"/>
        <w:jc w:val="both"/>
      </w:pPr>
      <w:r>
        <w:rPr>
          <w:i/>
        </w:rPr>
        <w:t>Lýsing á starfseminni</w:t>
      </w:r>
    </w:p>
    <w:p w14:paraId="4F295A3F" w14:textId="77777777" w:rsidR="006D7A4B" w:rsidRDefault="006D7A4B" w:rsidP="006D7A4B">
      <w:pPr>
        <w:pStyle w:val="AnnexNormal"/>
        <w:spacing w:after="500"/>
        <w:ind w:left="504"/>
      </w:pPr>
      <w:r>
        <w:t>Bygging og rekstur stöðva fyrir flokkun og vinnslu á hættulausum úrgangsstraumum, sem er safnað á aðskilinn hátt, í endurunnin hráefni, sem felur í sér vélræna endurvinnslu, nema til fyllingar.</w:t>
      </w:r>
    </w:p>
    <w:p w14:paraId="00781202" w14:textId="77777777" w:rsidR="006D7A4B" w:rsidRDefault="006D7A4B" w:rsidP="006D7A4B">
      <w:pPr>
        <w:pStyle w:val="AnnexNormal"/>
        <w:spacing w:after="500"/>
        <w:ind w:left="504"/>
      </w:pPr>
      <w:r>
        <w:t>Atvinnustarfsemin í þessum flokki gæti tengst nokkrum kóðum atvinnugreinaflokkunar Evrópusambandsins, einkum E38.32 og F42.99, í samræmi við atvinnugreinaflokkunina sem komið var á með reglugerð (EB) nr. 1893/2006.</w:t>
      </w:r>
    </w:p>
    <w:p w14:paraId="19579884" w14:textId="77777777" w:rsidR="006D7A4B" w:rsidRDefault="006D7A4B" w:rsidP="006D7A4B">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6D7A4B" w14:paraId="43ED8052" w14:textId="77777777" w:rsidTr="00A9140F">
        <w:trPr>
          <w:trHeight w:val="280"/>
        </w:trPr>
        <w:tc>
          <w:tcPr>
            <w:tcW w:w="8736" w:type="dxa"/>
            <w:gridSpan w:val="2"/>
            <w:tcBorders>
              <w:bottom w:val="single" w:sz="4" w:space="0" w:color="auto"/>
            </w:tcBorders>
            <w:tcMar>
              <w:left w:w="0" w:type="dxa"/>
              <w:right w:w="60" w:type="dxa"/>
            </w:tcMar>
          </w:tcPr>
          <w:p w14:paraId="5082C5DD" w14:textId="77777777" w:rsidR="006D7A4B" w:rsidRDefault="006D7A4B" w:rsidP="00A9140F">
            <w:pPr>
              <w:pStyle w:val="AnnexTableCellLeft"/>
              <w:spacing w:before="40" w:after="40"/>
            </w:pPr>
            <w:r>
              <w:t>Verulegt framlag til aðlögunar að loftslagsbreytingum</w:t>
            </w:r>
          </w:p>
        </w:tc>
      </w:tr>
      <w:tr w:rsidR="006D7A4B" w14:paraId="7D547C9D" w14:textId="77777777" w:rsidTr="00A9140F">
        <w:trPr>
          <w:trHeight w:val="360"/>
        </w:trPr>
        <w:tc>
          <w:tcPr>
            <w:tcW w:w="8736" w:type="dxa"/>
            <w:gridSpan w:val="2"/>
            <w:tcBorders>
              <w:bottom w:val="nil"/>
            </w:tcBorders>
            <w:tcMar>
              <w:left w:w="0" w:type="dxa"/>
              <w:right w:w="60" w:type="dxa"/>
            </w:tcMar>
          </w:tcPr>
          <w:p w14:paraId="0960A175" w14:textId="77777777" w:rsidR="006D7A4B" w:rsidRDefault="006D7A4B" w:rsidP="00A9140F">
            <w:pPr>
              <w:pStyle w:val="AnnexNumberedText"/>
              <w:tabs>
                <w:tab w:val="left" w:pos="396"/>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5B1ECCE9" w14:textId="77777777" w:rsidR="006D7A4B" w:rsidRDefault="006D7A4B" w:rsidP="00A9140F">
            <w:pPr>
              <w:pStyle w:val="AnnexNumberedText"/>
              <w:tabs>
                <w:tab w:val="left" w:pos="396"/>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7A7E474" w14:textId="77777777" w:rsidR="006D7A4B" w:rsidRDefault="006D7A4B"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0EF41FDE" w14:textId="77777777" w:rsidR="006D7A4B" w:rsidRDefault="006D7A4B" w:rsidP="00A9140F">
            <w:pPr>
              <w:pStyle w:val="AnnexNumberedText"/>
              <w:spacing w:after="2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6774670" w14:textId="77777777" w:rsidR="006D7A4B" w:rsidRDefault="006D7A4B" w:rsidP="00A9140F">
            <w:pPr>
              <w:pStyle w:val="AnnexNumberedText"/>
              <w:spacing w:after="240"/>
            </w:pPr>
            <w:r>
              <w:t>c)</w:t>
            </w:r>
            <w:r>
              <w:tab/>
              <w:t>mat á aðlögunarlausnum sem geta dregið úr greindri efnislegri loftslagsáhættu.</w:t>
            </w:r>
          </w:p>
          <w:p w14:paraId="68D618C4" w14:textId="77777777" w:rsidR="006D7A4B" w:rsidRDefault="006D7A4B" w:rsidP="00A9140F">
            <w:pPr>
              <w:pStyle w:val="AnnexTableCellLeft"/>
              <w:spacing w:after="240"/>
            </w:pPr>
            <w:r>
              <w:t xml:space="preserve">Loftslagsáhættu- og veikleikamatið er í réttu hlutfalli við umfang starfseminnar og </w:t>
            </w:r>
            <w:proofErr w:type="spellStart"/>
            <w:r>
              <w:t>væntan</w:t>
            </w:r>
            <w:proofErr w:type="spellEnd"/>
            <w:r>
              <w:t xml:space="preserve"> líftíma hennar þannig að:</w:t>
            </w:r>
          </w:p>
          <w:p w14:paraId="78810E7C" w14:textId="77777777" w:rsidR="006D7A4B" w:rsidRDefault="006D7A4B" w:rsidP="00A9140F">
            <w:pPr>
              <w:pStyle w:val="AnnexNumberedText"/>
              <w:spacing w:after="24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A15B1D9" w14:textId="77777777" w:rsidR="006D7A4B" w:rsidRDefault="006D7A4B"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7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6D7A4B" w14:paraId="6635A2DE" w14:textId="77777777" w:rsidTr="00A9140F">
        <w:trPr>
          <w:trHeight w:val="360"/>
        </w:trPr>
        <w:tc>
          <w:tcPr>
            <w:tcW w:w="8736" w:type="dxa"/>
            <w:gridSpan w:val="2"/>
            <w:tcBorders>
              <w:top w:val="nil"/>
            </w:tcBorders>
            <w:tcMar>
              <w:left w:w="0" w:type="dxa"/>
              <w:right w:w="60" w:type="dxa"/>
            </w:tcMar>
          </w:tcPr>
          <w:p w14:paraId="2D3D8860" w14:textId="77777777" w:rsidR="006D7A4B" w:rsidRDefault="006D7A4B" w:rsidP="00A9140F">
            <w:pPr>
              <w:pStyle w:val="AnnexNumberedText"/>
              <w:pageBreakBefore/>
              <w:tabs>
                <w:tab w:val="left" w:pos="396"/>
              </w:tabs>
              <w:spacing w:after="3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80"/>
            </w:r>
            <w:r>
              <w:t>), vísindalegt ritrýnt útgefið efni og líkön með opnum aðgangi (</w:t>
            </w:r>
            <w:r>
              <w:rPr>
                <w:rStyle w:val="Tilvsunneanmlsgrein"/>
                <w:sz w:val="18"/>
                <w:szCs w:val="18"/>
              </w:rPr>
              <w:footnoteReference w:id="781"/>
            </w:r>
            <w:r>
              <w:t>) eða gegn greiðslu.</w:t>
            </w:r>
          </w:p>
          <w:p w14:paraId="2CA58FBC" w14:textId="77777777" w:rsidR="006D7A4B" w:rsidRDefault="006D7A4B" w:rsidP="00A9140F">
            <w:pPr>
              <w:pStyle w:val="AnnexNumberedText"/>
              <w:tabs>
                <w:tab w:val="left" w:pos="396"/>
              </w:tabs>
              <w:spacing w:after="300"/>
              <w:ind w:left="0" w:firstLine="0"/>
              <w:rPr>
                <w:szCs w:val="18"/>
              </w:rPr>
            </w:pPr>
            <w:r>
              <w:t>4.</w:t>
            </w:r>
            <w:r>
              <w:tab/>
              <w:t>Aðlögunarlausnir sem komið er í framkvæmd:</w:t>
            </w:r>
          </w:p>
          <w:p w14:paraId="6687F65D" w14:textId="77777777" w:rsidR="006D7A4B" w:rsidRDefault="006D7A4B"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09032A2D" w14:textId="77777777" w:rsidR="006D7A4B" w:rsidRDefault="006D7A4B" w:rsidP="00A9140F">
            <w:pPr>
              <w:pStyle w:val="AnnexNumberedText"/>
              <w:spacing w:after="300"/>
              <w:rPr>
                <w:szCs w:val="18"/>
              </w:rPr>
            </w:pPr>
            <w:r>
              <w:t>b)</w:t>
            </w:r>
            <w:r>
              <w:tab/>
              <w:t>eru með náttúrumiðaðar lausnir (</w:t>
            </w:r>
            <w:r>
              <w:rPr>
                <w:rStyle w:val="Tilvsunneanmlsgrein"/>
                <w:sz w:val="18"/>
                <w:szCs w:val="18"/>
              </w:rPr>
              <w:footnoteReference w:id="782"/>
            </w:r>
            <w:r>
              <w:t>) í forgangi eða treyst er á bláa eða græna innviði (</w:t>
            </w:r>
            <w:r>
              <w:rPr>
                <w:rStyle w:val="Tilvsunneanmlsgrein"/>
                <w:sz w:val="18"/>
                <w:szCs w:val="18"/>
              </w:rPr>
              <w:footnoteReference w:id="783"/>
            </w:r>
            <w:r>
              <w:t>) að því marki sem mögulegt er,</w:t>
            </w:r>
          </w:p>
          <w:p w14:paraId="5975B266" w14:textId="77777777" w:rsidR="006D7A4B" w:rsidRDefault="006D7A4B" w:rsidP="00A9140F">
            <w:pPr>
              <w:pStyle w:val="AnnexNumberedText"/>
              <w:spacing w:after="300"/>
              <w:rPr>
                <w:szCs w:val="18"/>
              </w:rPr>
            </w:pPr>
            <w:r>
              <w:t>c)</w:t>
            </w:r>
            <w:r>
              <w:tab/>
              <w:t>eru í samræmi við staðbundnar, geirabundnar, svæðisbundnar eða landsbundnar aðlögunarstefnur og -áætlanir,</w:t>
            </w:r>
          </w:p>
          <w:p w14:paraId="1349D9C9" w14:textId="77777777" w:rsidR="006D7A4B" w:rsidRDefault="006D7A4B"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334A89F" w14:textId="77777777" w:rsidR="006D7A4B" w:rsidRDefault="006D7A4B"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6D7A4B" w14:paraId="0C356C20" w14:textId="77777777" w:rsidTr="00A9140F">
        <w:tc>
          <w:tcPr>
            <w:tcW w:w="8736" w:type="dxa"/>
            <w:gridSpan w:val="2"/>
            <w:tcMar>
              <w:top w:w="100" w:type="dxa"/>
              <w:left w:w="0" w:type="dxa"/>
              <w:bottom w:w="100" w:type="dxa"/>
              <w:right w:w="60" w:type="dxa"/>
            </w:tcMar>
          </w:tcPr>
          <w:p w14:paraId="32B606F3" w14:textId="77777777" w:rsidR="006D7A4B" w:rsidRDefault="006D7A4B" w:rsidP="00A9140F">
            <w:pPr>
              <w:pStyle w:val="AnnexTableCellLeft"/>
            </w:pPr>
            <w:r>
              <w:t>Ekki valda umtalsverðu tjóni</w:t>
            </w:r>
          </w:p>
        </w:tc>
      </w:tr>
      <w:tr w:rsidR="006D7A4B" w14:paraId="4340D60A" w14:textId="77777777" w:rsidTr="00A9140F">
        <w:tc>
          <w:tcPr>
            <w:tcW w:w="2940" w:type="dxa"/>
            <w:tcMar>
              <w:top w:w="100" w:type="dxa"/>
              <w:left w:w="0" w:type="dxa"/>
              <w:bottom w:w="100" w:type="dxa"/>
              <w:right w:w="60" w:type="dxa"/>
            </w:tcMar>
          </w:tcPr>
          <w:p w14:paraId="7881C4EA" w14:textId="77777777" w:rsidR="006D7A4B" w:rsidRDefault="006D7A4B" w:rsidP="00A9140F">
            <w:pPr>
              <w:pStyle w:val="AnnexNumberedText"/>
              <w:spacing w:after="0"/>
              <w:ind w:left="293" w:hanging="293"/>
            </w:pPr>
            <w:r>
              <w:t>1)</w:t>
            </w:r>
            <w:r>
              <w:tab/>
              <w:t>Mildun loftslagsbreytinga</w:t>
            </w:r>
          </w:p>
        </w:tc>
        <w:tc>
          <w:tcPr>
            <w:tcW w:w="5796" w:type="dxa"/>
            <w:tcMar>
              <w:top w:w="100" w:type="dxa"/>
              <w:left w:w="60" w:type="dxa"/>
              <w:bottom w:w="100" w:type="dxa"/>
              <w:right w:w="0" w:type="dxa"/>
            </w:tcMar>
          </w:tcPr>
          <w:p w14:paraId="256C352D" w14:textId="77777777" w:rsidR="006D7A4B" w:rsidRDefault="006D7A4B" w:rsidP="00A9140F">
            <w:pPr>
              <w:pStyle w:val="AnnexTableCellLeft"/>
            </w:pPr>
            <w:r>
              <w:t>Á ekki við</w:t>
            </w:r>
          </w:p>
        </w:tc>
      </w:tr>
      <w:tr w:rsidR="006D7A4B" w14:paraId="0829D106" w14:textId="77777777" w:rsidTr="00A9140F">
        <w:tc>
          <w:tcPr>
            <w:tcW w:w="2940" w:type="dxa"/>
            <w:tcMar>
              <w:top w:w="100" w:type="dxa"/>
              <w:left w:w="0" w:type="dxa"/>
              <w:bottom w:w="100" w:type="dxa"/>
              <w:right w:w="60" w:type="dxa"/>
            </w:tcMar>
          </w:tcPr>
          <w:p w14:paraId="29601D8B" w14:textId="77777777" w:rsidR="006D7A4B" w:rsidRDefault="006D7A4B" w:rsidP="00A9140F">
            <w:pPr>
              <w:pStyle w:val="AnnexNumberedText"/>
              <w:spacing w:after="0"/>
              <w:ind w:left="293" w:hanging="293"/>
            </w:pPr>
            <w:r>
              <w:t>3)</w:t>
            </w:r>
            <w:r>
              <w:tab/>
              <w:t>Sjálfbær notkun og verndun vatns- og sjávarauðlinda</w:t>
            </w:r>
          </w:p>
        </w:tc>
        <w:tc>
          <w:tcPr>
            <w:tcW w:w="5796" w:type="dxa"/>
            <w:tcMar>
              <w:top w:w="100" w:type="dxa"/>
              <w:left w:w="60" w:type="dxa"/>
              <w:bottom w:w="100" w:type="dxa"/>
              <w:right w:w="0" w:type="dxa"/>
            </w:tcMar>
          </w:tcPr>
          <w:p w14:paraId="675A2427" w14:textId="77777777" w:rsidR="006D7A4B" w:rsidRDefault="006D7A4B" w:rsidP="00A9140F">
            <w:pPr>
              <w:pStyle w:val="AnnexTableCellLeft"/>
            </w:pPr>
            <w:r>
              <w:t>Á ekki við</w:t>
            </w:r>
          </w:p>
        </w:tc>
      </w:tr>
      <w:tr w:rsidR="006D7A4B" w14:paraId="5227B772" w14:textId="77777777" w:rsidTr="00A9140F">
        <w:tc>
          <w:tcPr>
            <w:tcW w:w="2940" w:type="dxa"/>
            <w:tcMar>
              <w:top w:w="100" w:type="dxa"/>
              <w:left w:w="0" w:type="dxa"/>
              <w:bottom w:w="100" w:type="dxa"/>
              <w:right w:w="60" w:type="dxa"/>
            </w:tcMar>
          </w:tcPr>
          <w:p w14:paraId="47449963" w14:textId="77777777" w:rsidR="006D7A4B" w:rsidRDefault="006D7A4B" w:rsidP="00A9140F">
            <w:pPr>
              <w:pStyle w:val="AnnexNumberedText"/>
              <w:spacing w:after="0"/>
              <w:ind w:left="293" w:hanging="293"/>
            </w:pPr>
            <w:r>
              <w:t>4)</w:t>
            </w:r>
            <w:r>
              <w:tab/>
              <w:t>Umskipti yfir í hringrásarhagkerfi</w:t>
            </w:r>
          </w:p>
        </w:tc>
        <w:tc>
          <w:tcPr>
            <w:tcW w:w="5796" w:type="dxa"/>
            <w:tcMar>
              <w:top w:w="100" w:type="dxa"/>
              <w:left w:w="60" w:type="dxa"/>
              <w:bottom w:w="100" w:type="dxa"/>
              <w:right w:w="0" w:type="dxa"/>
            </w:tcMar>
          </w:tcPr>
          <w:p w14:paraId="2DBD4C60" w14:textId="77777777" w:rsidR="006D7A4B" w:rsidRDefault="006D7A4B" w:rsidP="00A9140F">
            <w:pPr>
              <w:pStyle w:val="AnnexTableCellLeft"/>
            </w:pPr>
            <w:r>
              <w:t>Á ekki við</w:t>
            </w:r>
          </w:p>
        </w:tc>
      </w:tr>
      <w:tr w:rsidR="006D7A4B" w14:paraId="0CBD5526" w14:textId="77777777" w:rsidTr="00A9140F">
        <w:tc>
          <w:tcPr>
            <w:tcW w:w="2940" w:type="dxa"/>
            <w:tcMar>
              <w:top w:w="100" w:type="dxa"/>
              <w:left w:w="0" w:type="dxa"/>
              <w:bottom w:w="100" w:type="dxa"/>
              <w:right w:w="60" w:type="dxa"/>
            </w:tcMar>
          </w:tcPr>
          <w:p w14:paraId="58B56F92" w14:textId="77777777" w:rsidR="006D7A4B" w:rsidRDefault="006D7A4B" w:rsidP="00A9140F">
            <w:pPr>
              <w:pStyle w:val="AnnexNumberedText"/>
              <w:spacing w:after="0"/>
              <w:ind w:left="293" w:hanging="293"/>
            </w:pPr>
            <w:r>
              <w:t>5)</w:t>
            </w:r>
            <w:r>
              <w:tab/>
              <w:t>Mengunarvarnir og eftirlit með mengun</w:t>
            </w:r>
          </w:p>
        </w:tc>
        <w:tc>
          <w:tcPr>
            <w:tcW w:w="5796" w:type="dxa"/>
            <w:tcMar>
              <w:top w:w="100" w:type="dxa"/>
              <w:left w:w="60" w:type="dxa"/>
              <w:bottom w:w="100" w:type="dxa"/>
              <w:right w:w="0" w:type="dxa"/>
            </w:tcMar>
          </w:tcPr>
          <w:p w14:paraId="4386281A" w14:textId="77777777" w:rsidR="006D7A4B" w:rsidRDefault="006D7A4B" w:rsidP="00A9140F">
            <w:pPr>
              <w:pStyle w:val="AnnexTableCellLeft"/>
            </w:pPr>
            <w:r>
              <w:t>Á ekki við</w:t>
            </w:r>
          </w:p>
        </w:tc>
      </w:tr>
      <w:tr w:rsidR="006D7A4B" w14:paraId="04E19D8B" w14:textId="77777777" w:rsidTr="00A9140F">
        <w:tc>
          <w:tcPr>
            <w:tcW w:w="2940" w:type="dxa"/>
            <w:tcMar>
              <w:top w:w="100" w:type="dxa"/>
              <w:left w:w="0" w:type="dxa"/>
              <w:bottom w:w="100" w:type="dxa"/>
              <w:right w:w="60" w:type="dxa"/>
            </w:tcMar>
          </w:tcPr>
          <w:p w14:paraId="56785544" w14:textId="77777777" w:rsidR="006D7A4B" w:rsidRDefault="006D7A4B" w:rsidP="00A9140F">
            <w:pPr>
              <w:pStyle w:val="AnnexNumberedText"/>
              <w:spacing w:after="0"/>
              <w:ind w:left="293" w:hanging="293"/>
            </w:pPr>
            <w:r>
              <w:t>6)</w:t>
            </w:r>
            <w:r>
              <w:tab/>
              <w:t>Vernd og endurheimt líffræðilegrar fjölbreytni og vistkerfa</w:t>
            </w:r>
          </w:p>
        </w:tc>
        <w:tc>
          <w:tcPr>
            <w:tcW w:w="5796" w:type="dxa"/>
            <w:tcMar>
              <w:top w:w="100" w:type="dxa"/>
              <w:left w:w="60" w:type="dxa"/>
              <w:bottom w:w="100" w:type="dxa"/>
              <w:right w:w="0" w:type="dxa"/>
            </w:tcMar>
          </w:tcPr>
          <w:p w14:paraId="616BEFF6" w14:textId="77777777" w:rsidR="006D7A4B" w:rsidRDefault="006D7A4B" w:rsidP="00A9140F">
            <w:pPr>
              <w:pStyle w:val="AnnexTableCellLeft"/>
            </w:pPr>
            <w:r>
              <w:t>Starfsemin er í samræmi við viðmiðanirnar sem settar eru fram í viðbæti D við þennan viðauka.</w:t>
            </w:r>
          </w:p>
        </w:tc>
      </w:tr>
    </w:tbl>
    <w:p w14:paraId="5E65838F" w14:textId="77777777" w:rsidR="006D7A4B" w:rsidRDefault="006D7A4B" w:rsidP="006D7A4B">
      <w:pPr>
        <w:pStyle w:val="AnnexNumberedText"/>
        <w:ind w:left="504" w:hanging="504"/>
      </w:pPr>
      <w:r>
        <w:t>5.10.</w:t>
      </w:r>
      <w:r>
        <w:rPr>
          <w:b/>
        </w:rPr>
        <w:tab/>
      </w:r>
      <w:proofErr w:type="spellStart"/>
      <w:r>
        <w:rPr>
          <w:b/>
        </w:rPr>
        <w:t>Föngun</w:t>
      </w:r>
      <w:proofErr w:type="spellEnd"/>
      <w:r>
        <w:rPr>
          <w:b/>
        </w:rPr>
        <w:t xml:space="preserve"> og notkun hauggass</w:t>
      </w:r>
    </w:p>
    <w:p w14:paraId="7774E946" w14:textId="77777777" w:rsidR="006D7A4B" w:rsidRDefault="006D7A4B" w:rsidP="006D7A4B">
      <w:pPr>
        <w:pStyle w:val="AnnexGrSeq3"/>
        <w:spacing w:after="120"/>
        <w:ind w:left="504"/>
        <w:jc w:val="both"/>
      </w:pPr>
      <w:r>
        <w:rPr>
          <w:i/>
        </w:rPr>
        <w:t>Lýsing á starfseminni</w:t>
      </w:r>
    </w:p>
    <w:p w14:paraId="5B262AF3" w14:textId="77777777" w:rsidR="006D7A4B" w:rsidRDefault="006D7A4B" w:rsidP="006D7A4B">
      <w:pPr>
        <w:pStyle w:val="AnnexNormal"/>
        <w:spacing w:after="500"/>
        <w:ind w:left="504"/>
      </w:pPr>
      <w:r>
        <w:t>Uppsetning og rekstur grunnvirkja til að fanga (</w:t>
      </w:r>
      <w:bookmarkStart w:id="97" w:name="NOTE_783"/>
      <w:r>
        <w:rPr>
          <w:rStyle w:val="Tilvsunneanmlsgrein"/>
          <w:sz w:val="18"/>
          <w:szCs w:val="18"/>
        </w:rPr>
        <w:footnoteReference w:id="784"/>
      </w:r>
      <w:bookmarkEnd w:id="97"/>
      <w:r>
        <w:t xml:space="preserve">) og nota hauggas á varanlega lokuðum </w:t>
      </w:r>
      <w:proofErr w:type="spellStart"/>
      <w:r>
        <w:t>urðunarstöðum</w:t>
      </w:r>
      <w:proofErr w:type="spellEnd"/>
      <w:r>
        <w:t xml:space="preserve"> eða í </w:t>
      </w:r>
      <w:proofErr w:type="spellStart"/>
      <w:r>
        <w:t>urðunarhólfum</w:t>
      </w:r>
      <w:proofErr w:type="spellEnd"/>
      <w:r>
        <w:t xml:space="preserve"> með notkun nýrrar eða sérstakrar tækniaðstöðu og búnaðar til viðbótar sem settur er upp við eða eftir urðun eða lokun </w:t>
      </w:r>
      <w:proofErr w:type="spellStart"/>
      <w:r>
        <w:t>urðunarhólfa</w:t>
      </w:r>
      <w:proofErr w:type="spellEnd"/>
      <w:r>
        <w:t>.</w:t>
      </w:r>
    </w:p>
    <w:p w14:paraId="624A8451" w14:textId="77777777" w:rsidR="006D7A4B" w:rsidRDefault="006D7A4B" w:rsidP="006D7A4B">
      <w:pPr>
        <w:pStyle w:val="AnnexNormal"/>
        <w:spacing w:after="0"/>
        <w:ind w:left="504"/>
      </w:pPr>
      <w:r>
        <w:lastRenderedPageBreak/>
        <w:t>Atvinnustarfsemin í þessum flokki gæti tengst kóða atvinnugreinaflokkunar Evrópusambandsins E38.21 í samræmi við atvinnugreinaflokkunina sem komið var á með reglugerð (EB) nr. 1893/2006.</w:t>
      </w:r>
      <w:r>
        <w:br w:type="page"/>
      </w:r>
    </w:p>
    <w:p w14:paraId="5FC301AC" w14:textId="77777777" w:rsidR="006D7A4B" w:rsidRDefault="006D7A4B" w:rsidP="006D7A4B">
      <w:pPr>
        <w:pStyle w:val="AnnexGrSeq3"/>
        <w:ind w:left="504"/>
        <w:jc w:val="both"/>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04"/>
        <w:gridCol w:w="5832"/>
      </w:tblGrid>
      <w:tr w:rsidR="006D7A4B" w14:paraId="1DFBC552" w14:textId="77777777" w:rsidTr="00A9140F">
        <w:trPr>
          <w:trHeight w:val="280"/>
        </w:trPr>
        <w:tc>
          <w:tcPr>
            <w:tcW w:w="8736" w:type="dxa"/>
            <w:gridSpan w:val="2"/>
            <w:tcBorders>
              <w:bottom w:val="single" w:sz="4" w:space="0" w:color="auto"/>
            </w:tcBorders>
            <w:tcMar>
              <w:left w:w="0" w:type="dxa"/>
              <w:right w:w="60" w:type="dxa"/>
            </w:tcMar>
          </w:tcPr>
          <w:p w14:paraId="5724130D" w14:textId="77777777" w:rsidR="006D7A4B" w:rsidRDefault="006D7A4B" w:rsidP="00A9140F">
            <w:pPr>
              <w:pStyle w:val="AnnexTableCellLeft"/>
              <w:spacing w:before="40" w:after="40"/>
            </w:pPr>
            <w:r>
              <w:t>Verulegt framlag til aðlögunar að loftslagsbreytingum</w:t>
            </w:r>
          </w:p>
        </w:tc>
      </w:tr>
      <w:tr w:rsidR="006D7A4B" w14:paraId="2CE5892C" w14:textId="77777777" w:rsidTr="00A9140F">
        <w:trPr>
          <w:trHeight w:val="360"/>
        </w:trPr>
        <w:tc>
          <w:tcPr>
            <w:tcW w:w="8736" w:type="dxa"/>
            <w:gridSpan w:val="2"/>
            <w:tcBorders>
              <w:bottom w:val="nil"/>
            </w:tcBorders>
            <w:tcMar>
              <w:left w:w="0" w:type="dxa"/>
              <w:right w:w="60" w:type="dxa"/>
            </w:tcMar>
          </w:tcPr>
          <w:p w14:paraId="5ECDAE55" w14:textId="77777777" w:rsidR="006D7A4B" w:rsidRDefault="006D7A4B"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13A5E107" w14:textId="77777777" w:rsidR="006D7A4B" w:rsidRDefault="006D7A4B"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DB67D77" w14:textId="77777777" w:rsidR="006D7A4B" w:rsidRDefault="006D7A4B"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CF839B6" w14:textId="77777777" w:rsidR="006D7A4B" w:rsidRDefault="006D7A4B"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9CAE225" w14:textId="77777777" w:rsidR="006D7A4B" w:rsidRDefault="006D7A4B" w:rsidP="00A9140F">
            <w:pPr>
              <w:pStyle w:val="AnnexNumberedText"/>
              <w:spacing w:after="200"/>
              <w:rPr>
                <w:szCs w:val="18"/>
              </w:rPr>
            </w:pPr>
            <w:r>
              <w:t>c)</w:t>
            </w:r>
            <w:r>
              <w:tab/>
              <w:t>mat á aðlögunarlausnum sem geta dregið úr greindri efnislegri loftslagsáhættu.</w:t>
            </w:r>
          </w:p>
          <w:p w14:paraId="175275EB" w14:textId="77777777" w:rsidR="006D7A4B" w:rsidRDefault="006D7A4B"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51826EFE" w14:textId="77777777" w:rsidR="006D7A4B" w:rsidRDefault="006D7A4B"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3E8F013" w14:textId="77777777" w:rsidR="006D7A4B" w:rsidRDefault="006D7A4B"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8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A4ECEA9" w14:textId="77777777" w:rsidR="006D7A4B" w:rsidRDefault="006D7A4B"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86"/>
            </w:r>
            <w:r>
              <w:t>), vísindalegt ritrýnt útgefið efni og líkön með opnum aðgangi (</w:t>
            </w:r>
            <w:r>
              <w:rPr>
                <w:rStyle w:val="Tilvsunneanmlsgrein"/>
                <w:sz w:val="18"/>
                <w:szCs w:val="18"/>
              </w:rPr>
              <w:footnoteReference w:id="787"/>
            </w:r>
            <w:r>
              <w:t>) eða gegn greiðslu.</w:t>
            </w:r>
          </w:p>
          <w:p w14:paraId="6C5B075A" w14:textId="77777777" w:rsidR="006D7A4B" w:rsidRDefault="006D7A4B" w:rsidP="00A9140F">
            <w:pPr>
              <w:pStyle w:val="AnnexNumberedText"/>
              <w:tabs>
                <w:tab w:val="left" w:pos="396"/>
              </w:tabs>
              <w:spacing w:after="200"/>
              <w:ind w:left="0" w:firstLine="0"/>
              <w:rPr>
                <w:szCs w:val="18"/>
              </w:rPr>
            </w:pPr>
            <w:r>
              <w:t>4.</w:t>
            </w:r>
            <w:r>
              <w:tab/>
              <w:t>Aðlögunarlausnir sem komið er í framkvæmd:</w:t>
            </w:r>
          </w:p>
          <w:p w14:paraId="7B35FF5A" w14:textId="77777777" w:rsidR="006D7A4B" w:rsidRDefault="006D7A4B"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6192230B" w14:textId="77777777" w:rsidR="006D7A4B" w:rsidRDefault="006D7A4B" w:rsidP="00A9140F">
            <w:pPr>
              <w:pStyle w:val="AnnexNumberedText"/>
              <w:spacing w:after="200"/>
              <w:rPr>
                <w:szCs w:val="18"/>
              </w:rPr>
            </w:pPr>
            <w:r>
              <w:t>b)</w:t>
            </w:r>
            <w:r>
              <w:tab/>
              <w:t>eru með náttúrumiðaðar lausnir (</w:t>
            </w:r>
            <w:r>
              <w:rPr>
                <w:rStyle w:val="Tilvsunneanmlsgrein"/>
                <w:sz w:val="18"/>
                <w:szCs w:val="18"/>
              </w:rPr>
              <w:footnoteReference w:id="788"/>
            </w:r>
            <w:r>
              <w:t>) í forgangi eða treyst er á bláa eða græna innviði (</w:t>
            </w:r>
            <w:r>
              <w:rPr>
                <w:rStyle w:val="Tilvsunneanmlsgrein"/>
                <w:sz w:val="18"/>
                <w:szCs w:val="18"/>
              </w:rPr>
              <w:footnoteReference w:id="789"/>
            </w:r>
            <w:r>
              <w:t>) að því marki sem mögulegt er,</w:t>
            </w:r>
          </w:p>
          <w:p w14:paraId="3E5746DF" w14:textId="77777777" w:rsidR="006D7A4B" w:rsidRDefault="006D7A4B" w:rsidP="00A9140F">
            <w:pPr>
              <w:pStyle w:val="AnnexNumberedText"/>
              <w:spacing w:after="200"/>
              <w:rPr>
                <w:szCs w:val="18"/>
              </w:rPr>
            </w:pPr>
            <w:r>
              <w:t>c)</w:t>
            </w:r>
            <w:r>
              <w:tab/>
              <w:t>eru í samræmi við staðbundnar, geirabundnar, svæðisbundnar eða landsbundnar aðlögunarstefnur og -áætlanir,</w:t>
            </w:r>
          </w:p>
          <w:p w14:paraId="3546A5BD" w14:textId="77777777" w:rsidR="006D7A4B" w:rsidRDefault="006D7A4B"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72511D7F" w14:textId="77777777" w:rsidR="006D7A4B" w:rsidRDefault="006D7A4B" w:rsidP="00A9140F">
            <w:pPr>
              <w:pStyle w:val="AnnexNumberedText"/>
              <w:spacing w:after="0"/>
              <w:rPr>
                <w:szCs w:val="18"/>
              </w:rPr>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6D7A4B" w14:paraId="41548ED7" w14:textId="77777777" w:rsidTr="00A9140F">
        <w:tc>
          <w:tcPr>
            <w:tcW w:w="8736" w:type="dxa"/>
            <w:gridSpan w:val="2"/>
            <w:tcBorders>
              <w:top w:val="single" w:sz="4" w:space="0" w:color="auto"/>
            </w:tcBorders>
            <w:tcMar>
              <w:top w:w="100" w:type="dxa"/>
              <w:left w:w="0" w:type="dxa"/>
              <w:bottom w:w="100" w:type="dxa"/>
              <w:right w:w="60" w:type="dxa"/>
            </w:tcMar>
          </w:tcPr>
          <w:p w14:paraId="7CCC3685" w14:textId="77777777" w:rsidR="006D7A4B" w:rsidRDefault="006D7A4B" w:rsidP="00A9140F">
            <w:pPr>
              <w:pStyle w:val="AnnexTableCellLeft"/>
              <w:pageBreakBefore/>
            </w:pPr>
            <w:r>
              <w:lastRenderedPageBreak/>
              <w:t>Ekki valda umtalsverðu tjóni</w:t>
            </w:r>
          </w:p>
        </w:tc>
      </w:tr>
      <w:tr w:rsidR="006D7A4B" w14:paraId="7B056C43" w14:textId="77777777" w:rsidTr="00A9140F">
        <w:tc>
          <w:tcPr>
            <w:tcW w:w="2904" w:type="dxa"/>
            <w:tcMar>
              <w:top w:w="100" w:type="dxa"/>
              <w:left w:w="0" w:type="dxa"/>
              <w:bottom w:w="100" w:type="dxa"/>
              <w:right w:w="60" w:type="dxa"/>
            </w:tcMar>
          </w:tcPr>
          <w:p w14:paraId="63F8B821" w14:textId="77777777" w:rsidR="006D7A4B" w:rsidRDefault="006D7A4B" w:rsidP="00A9140F">
            <w:pPr>
              <w:pStyle w:val="AnnexNumberedText"/>
              <w:spacing w:after="0"/>
              <w:ind w:left="293" w:hanging="293"/>
            </w:pPr>
            <w:r>
              <w:t>1)</w:t>
            </w:r>
            <w:r>
              <w:tab/>
              <w:t>Mildun loftslagsbreytinga</w:t>
            </w:r>
          </w:p>
        </w:tc>
        <w:tc>
          <w:tcPr>
            <w:tcW w:w="5832" w:type="dxa"/>
            <w:tcMar>
              <w:top w:w="100" w:type="dxa"/>
              <w:left w:w="60" w:type="dxa"/>
              <w:bottom w:w="100" w:type="dxa"/>
              <w:right w:w="0" w:type="dxa"/>
            </w:tcMar>
          </w:tcPr>
          <w:p w14:paraId="57BCA4A7" w14:textId="77777777" w:rsidR="006D7A4B" w:rsidRDefault="006D7A4B" w:rsidP="00A9140F">
            <w:pPr>
              <w:pStyle w:val="AnnexTableCellLeft"/>
            </w:pPr>
            <w:r>
              <w:t xml:space="preserve">Vöktunaráætlun er til staðar fyrir </w:t>
            </w:r>
            <w:proofErr w:type="spellStart"/>
            <w:r>
              <w:t>metanleka</w:t>
            </w:r>
            <w:proofErr w:type="spellEnd"/>
            <w:r>
              <w:t xml:space="preserve"> í stöðinni.</w:t>
            </w:r>
          </w:p>
        </w:tc>
      </w:tr>
      <w:tr w:rsidR="006D7A4B" w14:paraId="34A99BD6" w14:textId="77777777" w:rsidTr="00A9140F">
        <w:tc>
          <w:tcPr>
            <w:tcW w:w="2904" w:type="dxa"/>
            <w:tcMar>
              <w:top w:w="100" w:type="dxa"/>
              <w:left w:w="0" w:type="dxa"/>
              <w:bottom w:w="100" w:type="dxa"/>
              <w:right w:w="60" w:type="dxa"/>
            </w:tcMar>
          </w:tcPr>
          <w:p w14:paraId="1A173F20" w14:textId="77777777" w:rsidR="006D7A4B" w:rsidRDefault="006D7A4B" w:rsidP="00A9140F">
            <w:pPr>
              <w:pStyle w:val="AnnexNumberedText"/>
              <w:spacing w:after="0"/>
              <w:ind w:left="293" w:hanging="293"/>
            </w:pPr>
            <w:r>
              <w:t>3)</w:t>
            </w:r>
            <w:r>
              <w:tab/>
              <w:t>Sjálfbær notkun og verndun vatns- og sjávarauðlinda</w:t>
            </w:r>
          </w:p>
        </w:tc>
        <w:tc>
          <w:tcPr>
            <w:tcW w:w="5832" w:type="dxa"/>
            <w:tcMar>
              <w:top w:w="100" w:type="dxa"/>
              <w:left w:w="60" w:type="dxa"/>
              <w:bottom w:w="100" w:type="dxa"/>
              <w:right w:w="0" w:type="dxa"/>
            </w:tcMar>
          </w:tcPr>
          <w:p w14:paraId="08DD80FA" w14:textId="77777777" w:rsidR="006D7A4B" w:rsidRDefault="006D7A4B" w:rsidP="00A9140F">
            <w:pPr>
              <w:pStyle w:val="AnnexTableCellLeft"/>
            </w:pPr>
            <w:r>
              <w:t>Á ekki við</w:t>
            </w:r>
          </w:p>
        </w:tc>
      </w:tr>
      <w:tr w:rsidR="006D7A4B" w14:paraId="5AA477F3" w14:textId="77777777" w:rsidTr="00A9140F">
        <w:tc>
          <w:tcPr>
            <w:tcW w:w="2904" w:type="dxa"/>
            <w:tcMar>
              <w:top w:w="100" w:type="dxa"/>
              <w:left w:w="0" w:type="dxa"/>
              <w:bottom w:w="100" w:type="dxa"/>
              <w:right w:w="60" w:type="dxa"/>
            </w:tcMar>
          </w:tcPr>
          <w:p w14:paraId="69CC303D" w14:textId="77777777" w:rsidR="006D7A4B" w:rsidRDefault="006D7A4B" w:rsidP="00A9140F">
            <w:pPr>
              <w:pStyle w:val="AnnexNumberedText"/>
              <w:spacing w:after="0"/>
              <w:ind w:left="293" w:hanging="293"/>
            </w:pPr>
            <w:r>
              <w:t>4)</w:t>
            </w:r>
            <w:r>
              <w:tab/>
              <w:t>Umskipti yfir í hringrásarhagkerfi</w:t>
            </w:r>
          </w:p>
        </w:tc>
        <w:tc>
          <w:tcPr>
            <w:tcW w:w="5832" w:type="dxa"/>
            <w:tcMar>
              <w:top w:w="100" w:type="dxa"/>
              <w:left w:w="60" w:type="dxa"/>
              <w:bottom w:w="100" w:type="dxa"/>
              <w:right w:w="0" w:type="dxa"/>
            </w:tcMar>
          </w:tcPr>
          <w:p w14:paraId="596389A6" w14:textId="77777777" w:rsidR="006D7A4B" w:rsidRDefault="006D7A4B" w:rsidP="00A9140F">
            <w:pPr>
              <w:pStyle w:val="AnnexTableCellLeft"/>
            </w:pPr>
            <w:r>
              <w:t>Á ekki við</w:t>
            </w:r>
          </w:p>
        </w:tc>
      </w:tr>
      <w:tr w:rsidR="006D7A4B" w14:paraId="2D182922" w14:textId="77777777" w:rsidTr="00A9140F">
        <w:tc>
          <w:tcPr>
            <w:tcW w:w="2904" w:type="dxa"/>
            <w:tcMar>
              <w:top w:w="100" w:type="dxa"/>
              <w:left w:w="0" w:type="dxa"/>
              <w:bottom w:w="100" w:type="dxa"/>
              <w:right w:w="60" w:type="dxa"/>
            </w:tcMar>
          </w:tcPr>
          <w:p w14:paraId="729A8C87" w14:textId="77777777" w:rsidR="006D7A4B" w:rsidRDefault="006D7A4B" w:rsidP="00A9140F">
            <w:pPr>
              <w:pStyle w:val="AnnexNumberedText"/>
              <w:spacing w:after="0"/>
              <w:ind w:left="293" w:hanging="293"/>
            </w:pPr>
            <w:r>
              <w:t>5)</w:t>
            </w:r>
            <w:r>
              <w:tab/>
              <w:t>Mengunarvarnir og eftirlit með mengun</w:t>
            </w:r>
          </w:p>
        </w:tc>
        <w:tc>
          <w:tcPr>
            <w:tcW w:w="5832" w:type="dxa"/>
            <w:tcMar>
              <w:top w:w="100" w:type="dxa"/>
              <w:left w:w="60" w:type="dxa"/>
              <w:bottom w:w="100" w:type="dxa"/>
              <w:right w:w="0" w:type="dxa"/>
            </w:tcMar>
          </w:tcPr>
          <w:p w14:paraId="2E0DFC6C" w14:textId="77777777" w:rsidR="006D7A4B" w:rsidRDefault="006D7A4B" w:rsidP="00A9140F">
            <w:pPr>
              <w:pStyle w:val="AnnexTableCellLeft"/>
              <w:spacing w:after="120"/>
            </w:pPr>
            <w:r>
              <w:t xml:space="preserve">Lokun til frambúðar og hreinsun sem og umsjón með gömlum </w:t>
            </w:r>
            <w:proofErr w:type="spellStart"/>
            <w:r>
              <w:t>urðunarstöðum</w:t>
            </w:r>
            <w:proofErr w:type="spellEnd"/>
            <w:r>
              <w:t>, þar sem kerfi til að fanga hauggas er sett upp, eru framkvæmdar í samræmi við eftirfarandi reglur:</w:t>
            </w:r>
          </w:p>
          <w:p w14:paraId="69998BEE" w14:textId="77777777" w:rsidR="006D7A4B" w:rsidRDefault="006D7A4B" w:rsidP="00A9140F">
            <w:pPr>
              <w:pStyle w:val="AnnexNumberedText"/>
              <w:ind w:left="293" w:hanging="293"/>
            </w:pPr>
            <w:r>
              <w:t>a)</w:t>
            </w:r>
            <w:r>
              <w:tab/>
              <w:t>almennar kröfur sem settar eru fram í I. viðauka við tilskipun 1999/31/EB,</w:t>
            </w:r>
          </w:p>
          <w:p w14:paraId="429A1B5A" w14:textId="77777777" w:rsidR="006D7A4B" w:rsidRDefault="006D7A4B" w:rsidP="00A9140F">
            <w:pPr>
              <w:pStyle w:val="AnnexNumberedText"/>
              <w:spacing w:after="0"/>
              <w:ind w:left="293" w:hanging="293"/>
            </w:pPr>
            <w:r>
              <w:t>b)</w:t>
            </w:r>
            <w:r>
              <w:tab/>
              <w:t>aðferðir við eftirlit og vöktun sem settar eru fram í III. viðauka við þá tilskipun.</w:t>
            </w:r>
          </w:p>
        </w:tc>
      </w:tr>
      <w:tr w:rsidR="006D7A4B" w14:paraId="0F330903" w14:textId="77777777" w:rsidTr="00A9140F">
        <w:tc>
          <w:tcPr>
            <w:tcW w:w="2904" w:type="dxa"/>
            <w:tcMar>
              <w:top w:w="100" w:type="dxa"/>
              <w:left w:w="0" w:type="dxa"/>
              <w:bottom w:w="100" w:type="dxa"/>
              <w:right w:w="60" w:type="dxa"/>
            </w:tcMar>
          </w:tcPr>
          <w:p w14:paraId="12EEC43D" w14:textId="77777777" w:rsidR="006D7A4B" w:rsidRDefault="006D7A4B" w:rsidP="00A9140F">
            <w:pPr>
              <w:pStyle w:val="AnnexNumberedText"/>
              <w:spacing w:after="0"/>
              <w:ind w:left="293" w:hanging="293"/>
            </w:pPr>
            <w:r>
              <w:t>6)</w:t>
            </w:r>
            <w:r>
              <w:tab/>
              <w:t>Vernd og endurheimt líffræðilegrar fjölbreytni og vistkerfa</w:t>
            </w:r>
          </w:p>
        </w:tc>
        <w:tc>
          <w:tcPr>
            <w:tcW w:w="5832" w:type="dxa"/>
            <w:tcMar>
              <w:top w:w="100" w:type="dxa"/>
              <w:left w:w="60" w:type="dxa"/>
              <w:bottom w:w="100" w:type="dxa"/>
              <w:right w:w="0" w:type="dxa"/>
            </w:tcMar>
          </w:tcPr>
          <w:p w14:paraId="6CEB0531" w14:textId="77777777" w:rsidR="006D7A4B" w:rsidRDefault="006D7A4B" w:rsidP="00A9140F">
            <w:pPr>
              <w:pStyle w:val="AnnexTableCellLeft"/>
            </w:pPr>
            <w:r>
              <w:t>Starfsemin er í samræmi við viðmiðanirnar sem settar eru fram í viðbæti D við þennan viðauka.</w:t>
            </w:r>
          </w:p>
        </w:tc>
      </w:tr>
    </w:tbl>
    <w:p w14:paraId="33ED7442" w14:textId="77777777" w:rsidR="006D7A4B" w:rsidRDefault="006D7A4B" w:rsidP="006D7A4B">
      <w:pPr>
        <w:pStyle w:val="AnnexNumberedText"/>
        <w:ind w:left="504" w:hanging="504"/>
      </w:pPr>
    </w:p>
    <w:p w14:paraId="6F891ACA" w14:textId="77777777" w:rsidR="00D849E8" w:rsidRDefault="00D849E8" w:rsidP="00D849E8">
      <w:pPr>
        <w:pStyle w:val="AnnexNumberedText"/>
        <w:ind w:left="504" w:hanging="504"/>
      </w:pPr>
      <w:r>
        <w:t>5.11.</w:t>
      </w:r>
      <w:r>
        <w:rPr>
          <w:b/>
        </w:rPr>
        <w:tab/>
        <w:t>Flutningur á koltvísýringi</w:t>
      </w:r>
    </w:p>
    <w:p w14:paraId="79D5BA48" w14:textId="77777777" w:rsidR="00D849E8" w:rsidRDefault="00D849E8" w:rsidP="00D849E8">
      <w:pPr>
        <w:pStyle w:val="AnnexGrSeq3"/>
        <w:spacing w:after="120"/>
        <w:ind w:left="504"/>
        <w:jc w:val="both"/>
      </w:pPr>
      <w:r>
        <w:rPr>
          <w:i/>
        </w:rPr>
        <w:t>Lýsing á starfseminni</w:t>
      </w:r>
    </w:p>
    <w:p w14:paraId="17584296" w14:textId="77777777" w:rsidR="00D849E8" w:rsidRDefault="00D849E8" w:rsidP="00D849E8">
      <w:pPr>
        <w:pStyle w:val="AnnexNormal"/>
        <w:spacing w:after="560"/>
        <w:ind w:left="504"/>
      </w:pPr>
      <w:r>
        <w:t xml:space="preserve">Flutningur á fönguðum koltvísýringi með hvaða flutningsmáta sem er, uppbygging og rekstur leiðslna fyrir koltvísýring og endurbætur á gasdreifikerfum þar sem megintilgangurinn er að </w:t>
      </w:r>
      <w:proofErr w:type="spellStart"/>
      <w:r>
        <w:t>samþætta</w:t>
      </w:r>
      <w:proofErr w:type="spellEnd"/>
      <w:r>
        <w:t xml:space="preserve"> fangaðan koltvísýring og þar sem:</w:t>
      </w:r>
    </w:p>
    <w:p w14:paraId="2FFF33A8" w14:textId="77777777" w:rsidR="00D849E8" w:rsidRDefault="00D849E8" w:rsidP="00D849E8">
      <w:pPr>
        <w:pStyle w:val="AnnexNumberedText"/>
        <w:spacing w:after="560"/>
        <w:ind w:left="804"/>
      </w:pPr>
      <w:r>
        <w:t>a)</w:t>
      </w:r>
      <w:r>
        <w:tab/>
        <w:t xml:space="preserve">koltvísýringur sem er fluttur frá stöðinni þar sem hann er fangaður til </w:t>
      </w:r>
      <w:proofErr w:type="spellStart"/>
      <w:r>
        <w:t>inndælingarstaðarins</w:t>
      </w:r>
      <w:proofErr w:type="spellEnd"/>
      <w:r>
        <w:t xml:space="preserve"> leiðir ekki til koltvísýringsleka sem er yfir 0,5% af massa koltvísýringsins sem fluttur er,</w:t>
      </w:r>
    </w:p>
    <w:p w14:paraId="6C6D9297" w14:textId="77777777" w:rsidR="00D849E8" w:rsidRDefault="00D849E8" w:rsidP="00D849E8">
      <w:pPr>
        <w:pStyle w:val="AnnexNumberedText"/>
        <w:spacing w:after="560"/>
        <w:ind w:left="804"/>
      </w:pPr>
      <w:r>
        <w:t>b)</w:t>
      </w:r>
      <w:r>
        <w:tab/>
        <w:t>koltvísýringurinn er afhentur á varanlegu geymslusvæði fyrir koltvísýring sem uppfyllir viðmiðanirnar fyrir geymslu koltvísýrings neðanjarðar sem settar eru fram í þætti 5.12 í þessum viðauka, eða í annað flutningsfyrirkomulag sem leiðir til varanlegs geymslusvæðis fyrir koltvísýring sem uppfyllir þessar viðmiðanir,</w:t>
      </w:r>
    </w:p>
    <w:p w14:paraId="429D8D89" w14:textId="77777777" w:rsidR="00D849E8" w:rsidRDefault="00D849E8" w:rsidP="00D849E8">
      <w:pPr>
        <w:pStyle w:val="AnnexNumberedText"/>
        <w:spacing w:after="560"/>
        <w:ind w:left="804"/>
      </w:pPr>
      <w:r>
        <w:t>c)</w:t>
      </w:r>
      <w:r>
        <w:tab/>
        <w:t>viðeigandi lekaskynjunarkerfi eru notuð, vöktunaráætlun er til staðar og óháður þriðji aðili sannprófar skýrsluna,</w:t>
      </w:r>
    </w:p>
    <w:p w14:paraId="314BA327" w14:textId="77777777" w:rsidR="00D849E8" w:rsidRDefault="00D849E8" w:rsidP="00D849E8">
      <w:pPr>
        <w:pStyle w:val="AnnexNumberedText"/>
        <w:spacing w:after="560"/>
        <w:ind w:left="804"/>
      </w:pPr>
      <w:r>
        <w:t>d)</w:t>
      </w:r>
      <w:r>
        <w:tab/>
        <w:t>starfsemin getur náð yfir uppsetningu á eignum sem auka sveigjanleika og bæta stjórnunina á kerfi sem fyrir er.</w:t>
      </w:r>
    </w:p>
    <w:p w14:paraId="3DBED59A" w14:textId="77777777" w:rsidR="00D849E8" w:rsidRDefault="00D849E8" w:rsidP="00D849E8">
      <w:pPr>
        <w:pStyle w:val="AnnexNormal"/>
        <w:spacing w:after="560"/>
        <w:ind w:left="504"/>
      </w:pPr>
      <w:r>
        <w:t>Starfsemin gæti tengst nokkrum kóðum atvinnugreinaflokkunar Evrópusambandsins, einkum F42.21 og H49.50, í samræmi við atvinnugreinaflokkunina sem komið var á með reglugerð (EB) nr. 1893/2006.</w:t>
      </w:r>
    </w:p>
    <w:p w14:paraId="5D1544E4"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D849E8" w14:paraId="7F62341F" w14:textId="77777777" w:rsidTr="00A9140F">
        <w:trPr>
          <w:trHeight w:val="280"/>
        </w:trPr>
        <w:tc>
          <w:tcPr>
            <w:tcW w:w="8736" w:type="dxa"/>
            <w:gridSpan w:val="2"/>
            <w:tcBorders>
              <w:bottom w:val="single" w:sz="4" w:space="0" w:color="auto"/>
            </w:tcBorders>
            <w:tcMar>
              <w:left w:w="0" w:type="dxa"/>
              <w:right w:w="60" w:type="dxa"/>
            </w:tcMar>
          </w:tcPr>
          <w:p w14:paraId="1400D7C4" w14:textId="77777777" w:rsidR="00D849E8" w:rsidRDefault="00D849E8" w:rsidP="00A9140F">
            <w:pPr>
              <w:pStyle w:val="AnnexTableCellLeft"/>
              <w:spacing w:before="40" w:after="40"/>
            </w:pPr>
            <w:r>
              <w:t>Verulegt framlag til aðlögunar að loftslagsbreytingum</w:t>
            </w:r>
          </w:p>
        </w:tc>
      </w:tr>
      <w:tr w:rsidR="00D849E8" w14:paraId="36A7D55C" w14:textId="77777777" w:rsidTr="00A9140F">
        <w:trPr>
          <w:trHeight w:val="360"/>
        </w:trPr>
        <w:tc>
          <w:tcPr>
            <w:tcW w:w="8736" w:type="dxa"/>
            <w:gridSpan w:val="2"/>
            <w:tcBorders>
              <w:bottom w:val="nil"/>
            </w:tcBorders>
            <w:tcMar>
              <w:left w:w="0" w:type="dxa"/>
              <w:right w:w="60" w:type="dxa"/>
            </w:tcMar>
          </w:tcPr>
          <w:p w14:paraId="757672C2" w14:textId="77777777" w:rsidR="00D849E8" w:rsidRDefault="00D849E8" w:rsidP="00A9140F">
            <w:pPr>
              <w:pStyle w:val="AnnexNumberedText"/>
              <w:tabs>
                <w:tab w:val="left" w:pos="396"/>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5C1D7316" w14:textId="77777777" w:rsidR="00D849E8" w:rsidRDefault="00D849E8" w:rsidP="00A9140F">
            <w:pPr>
              <w:pStyle w:val="AnnexNumberedText"/>
              <w:tabs>
                <w:tab w:val="left" w:pos="396"/>
              </w:tabs>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0D50182" w14:textId="77777777" w:rsidR="00D849E8" w:rsidRDefault="00D849E8" w:rsidP="00A9140F">
            <w:pPr>
              <w:pStyle w:val="AnnexNumberedText"/>
              <w:spacing w:after="0"/>
            </w:pPr>
            <w:r>
              <w:t>a)</w:t>
            </w:r>
            <w:r>
              <w:tab/>
              <w:t xml:space="preserve">skimun á starfseminni til að greina hvaða efnislega loftslagsáhætta úr skránni í viðbæti A við þennan viðauka getur </w:t>
            </w:r>
            <w:r>
              <w:lastRenderedPageBreak/>
              <w:t>haft áhrif á árangurinn af atvinnustarfseminni á væntum líftíma hennar,</w:t>
            </w:r>
          </w:p>
        </w:tc>
      </w:tr>
      <w:tr w:rsidR="00D849E8" w14:paraId="54F9907A" w14:textId="77777777" w:rsidTr="00A9140F">
        <w:trPr>
          <w:trHeight w:val="360"/>
        </w:trPr>
        <w:tc>
          <w:tcPr>
            <w:tcW w:w="8736" w:type="dxa"/>
            <w:gridSpan w:val="2"/>
            <w:tcBorders>
              <w:top w:val="nil"/>
            </w:tcBorders>
            <w:tcMar>
              <w:left w:w="0" w:type="dxa"/>
              <w:right w:w="60" w:type="dxa"/>
            </w:tcMar>
          </w:tcPr>
          <w:p w14:paraId="5FB0EB15" w14:textId="77777777" w:rsidR="00D849E8" w:rsidRDefault="00D849E8" w:rsidP="00A9140F">
            <w:pPr>
              <w:pStyle w:val="AnnexNumberedText"/>
              <w:pageBreakBefore/>
              <w:spacing w:after="160"/>
              <w:rPr>
                <w:szCs w:val="18"/>
              </w:rPr>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1377B78" w14:textId="77777777" w:rsidR="00D849E8" w:rsidRDefault="00D849E8" w:rsidP="00A9140F">
            <w:pPr>
              <w:pStyle w:val="AnnexNumberedText"/>
              <w:spacing w:after="160"/>
              <w:rPr>
                <w:szCs w:val="18"/>
              </w:rPr>
            </w:pPr>
            <w:r>
              <w:t>c)</w:t>
            </w:r>
            <w:r>
              <w:tab/>
              <w:t>mat á aðlögunarlausnum sem geta dregið úr greindri efnislegri loftslagsáhættu.</w:t>
            </w:r>
          </w:p>
          <w:p w14:paraId="68886137" w14:textId="77777777" w:rsidR="00D849E8" w:rsidRDefault="00D849E8" w:rsidP="00A9140F">
            <w:pPr>
              <w:pStyle w:val="AnnexTableCellLeft"/>
              <w:spacing w:after="16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530664C7" w14:textId="77777777" w:rsidR="00D849E8" w:rsidRDefault="00D849E8" w:rsidP="00A9140F">
            <w:pPr>
              <w:pStyle w:val="AnnexNumberedText"/>
              <w:spacing w:after="1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755126A" w14:textId="77777777" w:rsidR="00D849E8" w:rsidRDefault="00D849E8" w:rsidP="00A9140F">
            <w:pPr>
              <w:pStyle w:val="AnnexNumberedText"/>
              <w:spacing w:after="1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9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5B04A78" w14:textId="77777777" w:rsidR="00D849E8" w:rsidRDefault="00D849E8" w:rsidP="00A9140F">
            <w:pPr>
              <w:pStyle w:val="AnnexNumberedText"/>
              <w:tabs>
                <w:tab w:val="left" w:pos="396"/>
              </w:tabs>
              <w:spacing w:after="1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91"/>
            </w:r>
            <w:r>
              <w:t>), vísindalegt ritrýnt útgefið efni og líkön með opnum aðgangi (</w:t>
            </w:r>
            <w:r>
              <w:rPr>
                <w:rStyle w:val="Tilvsunneanmlsgrein"/>
                <w:sz w:val="18"/>
                <w:szCs w:val="18"/>
              </w:rPr>
              <w:footnoteReference w:id="792"/>
            </w:r>
            <w:r>
              <w:t>) eða gegn greiðslu.</w:t>
            </w:r>
          </w:p>
          <w:p w14:paraId="6725AEE4" w14:textId="77777777" w:rsidR="00D849E8" w:rsidRDefault="00D849E8" w:rsidP="00A9140F">
            <w:pPr>
              <w:pStyle w:val="AnnexNumberedText"/>
              <w:tabs>
                <w:tab w:val="left" w:pos="396"/>
              </w:tabs>
              <w:spacing w:after="160"/>
              <w:ind w:left="0" w:firstLine="0"/>
              <w:rPr>
                <w:szCs w:val="18"/>
              </w:rPr>
            </w:pPr>
            <w:r>
              <w:t>4.</w:t>
            </w:r>
            <w:r>
              <w:tab/>
              <w:t>Aðlögunarlausnir sem komið er í framkvæmd:</w:t>
            </w:r>
          </w:p>
          <w:p w14:paraId="2BB33DBE" w14:textId="77777777" w:rsidR="00D849E8" w:rsidRDefault="00D849E8" w:rsidP="00A9140F">
            <w:pPr>
              <w:pStyle w:val="AnnexNumberedText"/>
              <w:spacing w:after="160"/>
              <w:rPr>
                <w:szCs w:val="18"/>
              </w:rPr>
            </w:pPr>
            <w:r>
              <w:t>a)</w:t>
            </w:r>
            <w:r>
              <w:tab/>
              <w:t>hafa ekki neikvæð áhrif á viðleitni til aðlögunar eða viðnám annars fólks, náttúru, menningararfleifðar, eigna og annarrar atvinnustarfsemi gegn efnislegri loftslagsáhættu,</w:t>
            </w:r>
          </w:p>
          <w:p w14:paraId="16545E7E" w14:textId="77777777" w:rsidR="00D849E8" w:rsidRDefault="00D849E8" w:rsidP="00A9140F">
            <w:pPr>
              <w:pStyle w:val="AnnexNumberedText"/>
              <w:spacing w:after="160"/>
              <w:rPr>
                <w:szCs w:val="18"/>
              </w:rPr>
            </w:pPr>
            <w:r>
              <w:t>b)</w:t>
            </w:r>
            <w:r>
              <w:tab/>
              <w:t>eru með náttúrumiðaðar lausnir (</w:t>
            </w:r>
            <w:r>
              <w:rPr>
                <w:rStyle w:val="Tilvsunneanmlsgrein"/>
                <w:sz w:val="18"/>
                <w:szCs w:val="18"/>
              </w:rPr>
              <w:footnoteReference w:id="793"/>
            </w:r>
            <w:r>
              <w:t>) í forgangi eða treyst er á bláa eða græna innviði (</w:t>
            </w:r>
            <w:r>
              <w:rPr>
                <w:rStyle w:val="Tilvsunneanmlsgrein"/>
                <w:sz w:val="18"/>
                <w:szCs w:val="18"/>
              </w:rPr>
              <w:footnoteReference w:id="794"/>
            </w:r>
            <w:r>
              <w:t>) að því marki sem mögulegt er,</w:t>
            </w:r>
          </w:p>
          <w:p w14:paraId="3DB9D1A7" w14:textId="77777777" w:rsidR="00D849E8" w:rsidRDefault="00D849E8" w:rsidP="00A9140F">
            <w:pPr>
              <w:pStyle w:val="AnnexNumberedText"/>
              <w:spacing w:after="160"/>
              <w:rPr>
                <w:szCs w:val="18"/>
              </w:rPr>
            </w:pPr>
            <w:r>
              <w:t>c)</w:t>
            </w:r>
            <w:r>
              <w:tab/>
              <w:t>eru í samræmi við staðbundnar, geirabundnar, svæðisbundnar eða landsbundnar aðlögunarstefnur og -áætlanir,</w:t>
            </w:r>
          </w:p>
          <w:p w14:paraId="1CACD142" w14:textId="77777777" w:rsidR="00D849E8" w:rsidRDefault="00D849E8" w:rsidP="00A9140F">
            <w:pPr>
              <w:pStyle w:val="AnnexNumberedText"/>
              <w:spacing w:after="16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CE47F6F"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7CC17447" w14:textId="77777777" w:rsidTr="00A9140F">
        <w:trPr>
          <w:trHeight w:val="240"/>
        </w:trPr>
        <w:tc>
          <w:tcPr>
            <w:tcW w:w="8736" w:type="dxa"/>
            <w:gridSpan w:val="2"/>
            <w:tcMar>
              <w:top w:w="100" w:type="dxa"/>
              <w:left w:w="0" w:type="dxa"/>
              <w:bottom w:w="100" w:type="dxa"/>
              <w:right w:w="60" w:type="dxa"/>
            </w:tcMar>
          </w:tcPr>
          <w:p w14:paraId="05287948" w14:textId="77777777" w:rsidR="00D849E8" w:rsidRDefault="00D849E8" w:rsidP="00A9140F">
            <w:pPr>
              <w:pStyle w:val="AnnexTableCellLeft"/>
            </w:pPr>
            <w:r>
              <w:t>Ekki valda umtalsverðu tjóni</w:t>
            </w:r>
          </w:p>
        </w:tc>
      </w:tr>
      <w:tr w:rsidR="00D849E8" w14:paraId="4397ED3A" w14:textId="77777777" w:rsidTr="00A9140F">
        <w:tc>
          <w:tcPr>
            <w:tcW w:w="2988" w:type="dxa"/>
            <w:tcMar>
              <w:top w:w="100" w:type="dxa"/>
              <w:left w:w="0" w:type="dxa"/>
              <w:bottom w:w="100" w:type="dxa"/>
              <w:right w:w="60" w:type="dxa"/>
            </w:tcMar>
          </w:tcPr>
          <w:p w14:paraId="2496BFAE" w14:textId="77777777" w:rsidR="00D849E8" w:rsidRDefault="00D849E8" w:rsidP="00A9140F">
            <w:pPr>
              <w:pStyle w:val="AnnexNumberedText"/>
              <w:spacing w:after="0"/>
              <w:ind w:left="293" w:hanging="293"/>
            </w:pPr>
            <w:r>
              <w:t>1)</w:t>
            </w:r>
            <w:r>
              <w:tab/>
              <w:t>Mildun loftslagsbreytinga</w:t>
            </w:r>
          </w:p>
        </w:tc>
        <w:tc>
          <w:tcPr>
            <w:tcW w:w="5748" w:type="dxa"/>
            <w:tcMar>
              <w:top w:w="100" w:type="dxa"/>
              <w:left w:w="60" w:type="dxa"/>
              <w:bottom w:w="100" w:type="dxa"/>
              <w:right w:w="0" w:type="dxa"/>
            </w:tcMar>
          </w:tcPr>
          <w:p w14:paraId="464441AA" w14:textId="77777777" w:rsidR="00D849E8" w:rsidRDefault="00D849E8" w:rsidP="00A9140F">
            <w:pPr>
              <w:pStyle w:val="AnnexTableCellLeft"/>
            </w:pPr>
            <w:r>
              <w:t>Vöktunaráætlun er til staðar fyrir koltvísýringsleka.</w:t>
            </w:r>
          </w:p>
        </w:tc>
      </w:tr>
      <w:tr w:rsidR="00D849E8" w14:paraId="41CD5D77" w14:textId="77777777" w:rsidTr="00A9140F">
        <w:tc>
          <w:tcPr>
            <w:tcW w:w="2988" w:type="dxa"/>
            <w:tcMar>
              <w:top w:w="100" w:type="dxa"/>
              <w:left w:w="0" w:type="dxa"/>
              <w:bottom w:w="100" w:type="dxa"/>
              <w:right w:w="60" w:type="dxa"/>
            </w:tcMar>
          </w:tcPr>
          <w:p w14:paraId="36749513" w14:textId="77777777" w:rsidR="00D849E8" w:rsidRDefault="00D849E8" w:rsidP="00A9140F">
            <w:pPr>
              <w:pStyle w:val="AnnexNumberedText"/>
              <w:spacing w:after="0"/>
              <w:ind w:left="293" w:hanging="293"/>
            </w:pPr>
            <w:r>
              <w:t>3)</w:t>
            </w:r>
            <w:r>
              <w:tab/>
              <w:t>Sjálfbær notkun og verndun vatns- og sjávarauðlinda</w:t>
            </w:r>
          </w:p>
        </w:tc>
        <w:tc>
          <w:tcPr>
            <w:tcW w:w="5748" w:type="dxa"/>
            <w:tcMar>
              <w:top w:w="100" w:type="dxa"/>
              <w:left w:w="60" w:type="dxa"/>
              <w:bottom w:w="100" w:type="dxa"/>
              <w:right w:w="0" w:type="dxa"/>
            </w:tcMar>
          </w:tcPr>
          <w:p w14:paraId="3187CCED" w14:textId="77777777" w:rsidR="00D849E8" w:rsidRDefault="00D849E8" w:rsidP="00A9140F">
            <w:pPr>
              <w:pStyle w:val="AnnexTableCellLeft"/>
            </w:pPr>
            <w:r>
              <w:t>Starfsemin er í samræmi við viðmiðanirnar sem settar eru fram í viðbæti B við þennan viðauka.</w:t>
            </w:r>
          </w:p>
        </w:tc>
      </w:tr>
      <w:tr w:rsidR="00D849E8" w14:paraId="01FD1051" w14:textId="77777777" w:rsidTr="00A9140F">
        <w:tc>
          <w:tcPr>
            <w:tcW w:w="2988" w:type="dxa"/>
            <w:tcMar>
              <w:top w:w="100" w:type="dxa"/>
              <w:left w:w="0" w:type="dxa"/>
              <w:bottom w:w="100" w:type="dxa"/>
              <w:right w:w="60" w:type="dxa"/>
            </w:tcMar>
          </w:tcPr>
          <w:p w14:paraId="7E876F00" w14:textId="77777777" w:rsidR="00D849E8" w:rsidRDefault="00D849E8" w:rsidP="00A9140F">
            <w:pPr>
              <w:pStyle w:val="AnnexNumberedText"/>
              <w:spacing w:after="0"/>
              <w:ind w:left="293" w:hanging="293"/>
            </w:pPr>
            <w:r>
              <w:t>4)</w:t>
            </w:r>
            <w:r>
              <w:tab/>
              <w:t>Umskipti yfir í hringrásarhagkerfi</w:t>
            </w:r>
          </w:p>
        </w:tc>
        <w:tc>
          <w:tcPr>
            <w:tcW w:w="5748" w:type="dxa"/>
            <w:tcMar>
              <w:top w:w="100" w:type="dxa"/>
              <w:left w:w="60" w:type="dxa"/>
              <w:bottom w:w="100" w:type="dxa"/>
              <w:right w:w="0" w:type="dxa"/>
            </w:tcMar>
          </w:tcPr>
          <w:p w14:paraId="2CBA4BDC" w14:textId="77777777" w:rsidR="00D849E8" w:rsidRDefault="00D849E8" w:rsidP="00A9140F">
            <w:pPr>
              <w:pStyle w:val="AnnexTableCellLeft"/>
            </w:pPr>
            <w:r>
              <w:t>Á ekki við</w:t>
            </w:r>
          </w:p>
        </w:tc>
      </w:tr>
      <w:tr w:rsidR="00D849E8" w14:paraId="76261D31" w14:textId="77777777" w:rsidTr="00A9140F">
        <w:tc>
          <w:tcPr>
            <w:tcW w:w="2988" w:type="dxa"/>
            <w:tcMar>
              <w:top w:w="100" w:type="dxa"/>
              <w:left w:w="0" w:type="dxa"/>
              <w:bottom w:w="100" w:type="dxa"/>
              <w:right w:w="60" w:type="dxa"/>
            </w:tcMar>
          </w:tcPr>
          <w:p w14:paraId="64679B49" w14:textId="77777777" w:rsidR="00D849E8" w:rsidRDefault="00D849E8" w:rsidP="00A9140F">
            <w:pPr>
              <w:pStyle w:val="AnnexNumberedText"/>
              <w:spacing w:after="0"/>
              <w:ind w:left="293" w:hanging="293"/>
            </w:pPr>
            <w:r>
              <w:t>5)</w:t>
            </w:r>
            <w:r>
              <w:tab/>
              <w:t>Mengunarvarnir og eftirlit með mengun</w:t>
            </w:r>
          </w:p>
        </w:tc>
        <w:tc>
          <w:tcPr>
            <w:tcW w:w="5748" w:type="dxa"/>
            <w:tcMar>
              <w:top w:w="100" w:type="dxa"/>
              <w:left w:w="60" w:type="dxa"/>
              <w:bottom w:w="100" w:type="dxa"/>
              <w:right w:w="0" w:type="dxa"/>
            </w:tcMar>
          </w:tcPr>
          <w:p w14:paraId="75BD31A2" w14:textId="77777777" w:rsidR="00D849E8" w:rsidRDefault="00D849E8" w:rsidP="00A9140F">
            <w:pPr>
              <w:pStyle w:val="AnnexTableCellLeft"/>
            </w:pPr>
            <w:r>
              <w:t>Á ekki við</w:t>
            </w:r>
          </w:p>
        </w:tc>
      </w:tr>
      <w:tr w:rsidR="00D849E8" w14:paraId="14C81260" w14:textId="77777777" w:rsidTr="00A9140F">
        <w:tc>
          <w:tcPr>
            <w:tcW w:w="2988" w:type="dxa"/>
            <w:tcMar>
              <w:top w:w="100" w:type="dxa"/>
              <w:left w:w="0" w:type="dxa"/>
              <w:bottom w:w="100" w:type="dxa"/>
              <w:right w:w="60" w:type="dxa"/>
            </w:tcMar>
          </w:tcPr>
          <w:p w14:paraId="2F3ADF0E" w14:textId="77777777" w:rsidR="00D849E8" w:rsidRDefault="00D849E8" w:rsidP="00A9140F">
            <w:pPr>
              <w:pStyle w:val="AnnexNumberedText"/>
              <w:spacing w:after="0"/>
              <w:ind w:left="293" w:hanging="293"/>
            </w:pPr>
            <w:r>
              <w:t>6)</w:t>
            </w:r>
            <w:r>
              <w:tab/>
              <w:t xml:space="preserve">Vernd og endurheimt líffræðilegrar </w:t>
            </w:r>
            <w:r>
              <w:lastRenderedPageBreak/>
              <w:t>fjölbreytni og vistkerfa</w:t>
            </w:r>
          </w:p>
        </w:tc>
        <w:tc>
          <w:tcPr>
            <w:tcW w:w="5748" w:type="dxa"/>
            <w:tcMar>
              <w:top w:w="100" w:type="dxa"/>
              <w:left w:w="60" w:type="dxa"/>
              <w:bottom w:w="100" w:type="dxa"/>
              <w:right w:w="0" w:type="dxa"/>
            </w:tcMar>
          </w:tcPr>
          <w:p w14:paraId="008BF87A" w14:textId="77777777" w:rsidR="00D849E8" w:rsidRDefault="00D849E8" w:rsidP="00A9140F">
            <w:pPr>
              <w:pStyle w:val="AnnexTableCellLeft"/>
            </w:pPr>
            <w:r>
              <w:lastRenderedPageBreak/>
              <w:t xml:space="preserve">Starfsemin er í samræmi við viðmiðanirnar sem settar eru fram í viðbæti D við </w:t>
            </w:r>
            <w:r>
              <w:lastRenderedPageBreak/>
              <w:t>þennan viðauka.</w:t>
            </w:r>
          </w:p>
        </w:tc>
      </w:tr>
    </w:tbl>
    <w:p w14:paraId="5A75AD3D" w14:textId="77777777" w:rsidR="00D849E8" w:rsidRDefault="00D849E8" w:rsidP="00D849E8">
      <w:pPr>
        <w:shd w:val="clear" w:color="auto" w:fill="auto"/>
        <w:spacing w:line="0" w:lineRule="auto"/>
        <w:jc w:val="left"/>
        <w:rPr>
          <w:color w:val="auto"/>
          <w14:ligatures w14:val="standard"/>
        </w:rPr>
      </w:pPr>
      <w:r>
        <w:lastRenderedPageBreak/>
        <w:br w:type="page"/>
      </w:r>
    </w:p>
    <w:p w14:paraId="6F83E39F" w14:textId="77777777" w:rsidR="00D849E8" w:rsidRDefault="00D849E8" w:rsidP="00D849E8">
      <w:pPr>
        <w:pStyle w:val="AnnexNumberedText"/>
        <w:ind w:left="504" w:hanging="504"/>
      </w:pPr>
      <w:r>
        <w:lastRenderedPageBreak/>
        <w:t>5.12.</w:t>
      </w:r>
      <w:r>
        <w:rPr>
          <w:b/>
        </w:rPr>
        <w:tab/>
        <w:t>Varanleg geymsla koltvísýrings neðanjarðar</w:t>
      </w:r>
    </w:p>
    <w:p w14:paraId="31C046D8" w14:textId="77777777" w:rsidR="00D849E8" w:rsidRDefault="00D849E8" w:rsidP="00D849E8">
      <w:pPr>
        <w:pStyle w:val="AnnexGrSeq3"/>
        <w:spacing w:after="120"/>
        <w:ind w:left="504"/>
        <w:jc w:val="both"/>
      </w:pPr>
      <w:r>
        <w:rPr>
          <w:i/>
        </w:rPr>
        <w:t>Lýsing á starfseminni</w:t>
      </w:r>
    </w:p>
    <w:p w14:paraId="386A9E84" w14:textId="77777777" w:rsidR="00D849E8" w:rsidRDefault="00D849E8" w:rsidP="00D849E8">
      <w:pPr>
        <w:pStyle w:val="AnnexNormal"/>
        <w:ind w:left="504"/>
      </w:pPr>
      <w:r>
        <w:t>Varanleg geymsla fangaðs koltvísýrings í viðeigandi jarðmyndunum neðanjarðar.</w:t>
      </w:r>
    </w:p>
    <w:p w14:paraId="6D5003D2" w14:textId="77777777" w:rsidR="00D849E8" w:rsidRDefault="00D849E8" w:rsidP="00D849E8">
      <w:pPr>
        <w:pStyle w:val="AnnexNormal"/>
        <w:ind w:left="504"/>
      </w:pPr>
      <w:r>
        <w:t>Atvinnustarfsemin í þessum flokki gæti tengst kóða atvinnugreinaflokkunar Evrópusambandsins E39.00 í samræmi við atvinnugreinaflokkunina sem komið var á með reglugerð (EB) nr. 1893/2006.</w:t>
      </w:r>
    </w:p>
    <w:p w14:paraId="31AF6F46"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405B3FB0" w14:textId="77777777" w:rsidTr="00A9140F">
        <w:trPr>
          <w:trHeight w:val="280"/>
        </w:trPr>
        <w:tc>
          <w:tcPr>
            <w:tcW w:w="8736" w:type="dxa"/>
            <w:gridSpan w:val="2"/>
            <w:tcBorders>
              <w:bottom w:val="single" w:sz="4" w:space="0" w:color="auto"/>
            </w:tcBorders>
            <w:tcMar>
              <w:left w:w="0" w:type="dxa"/>
              <w:right w:w="60" w:type="dxa"/>
            </w:tcMar>
          </w:tcPr>
          <w:p w14:paraId="324C9E22" w14:textId="77777777" w:rsidR="00D849E8" w:rsidRDefault="00D849E8" w:rsidP="00A9140F">
            <w:pPr>
              <w:pStyle w:val="AnnexTableCellLeft"/>
              <w:spacing w:before="40" w:after="40"/>
            </w:pPr>
            <w:r>
              <w:t>Verulegt framlag til aðlögunar að loftslagsbreytingum</w:t>
            </w:r>
          </w:p>
        </w:tc>
      </w:tr>
      <w:tr w:rsidR="00D849E8" w14:paraId="7C49D9BA" w14:textId="77777777" w:rsidTr="00A9140F">
        <w:trPr>
          <w:trHeight w:val="360"/>
        </w:trPr>
        <w:tc>
          <w:tcPr>
            <w:tcW w:w="8736" w:type="dxa"/>
            <w:gridSpan w:val="2"/>
            <w:tcBorders>
              <w:bottom w:val="nil"/>
            </w:tcBorders>
            <w:tcMar>
              <w:left w:w="0" w:type="dxa"/>
              <w:right w:w="60" w:type="dxa"/>
            </w:tcMar>
          </w:tcPr>
          <w:p w14:paraId="07A72BC4"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3346B61A"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AC4CA41"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A8FEC0B"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E5F1FF6"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525A0286"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21FA6B8"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34BCB17"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79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3DBB20ED"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796"/>
            </w:r>
            <w:r>
              <w:t>), vísindalegt ritrýnt útgefið efni og líkön með opnum aðgangi (</w:t>
            </w:r>
            <w:r>
              <w:rPr>
                <w:rStyle w:val="Tilvsunneanmlsgrein"/>
                <w:sz w:val="18"/>
                <w:szCs w:val="18"/>
              </w:rPr>
              <w:footnoteReference w:id="797"/>
            </w:r>
            <w:r>
              <w:t>) eða gegn greiðslu.</w:t>
            </w:r>
          </w:p>
          <w:p w14:paraId="4EEAE968"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2509154C"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6882C844" w14:textId="77777777" w:rsidR="00D849E8" w:rsidRDefault="00D849E8" w:rsidP="00A9140F">
            <w:pPr>
              <w:pStyle w:val="AnnexNumberedText"/>
              <w:spacing w:after="0"/>
              <w:rPr>
                <w:szCs w:val="18"/>
              </w:rPr>
            </w:pPr>
            <w:r>
              <w:t>b)</w:t>
            </w:r>
            <w:r>
              <w:tab/>
              <w:t>eru með náttúrumiðaðar lausnir (</w:t>
            </w:r>
            <w:r>
              <w:rPr>
                <w:rStyle w:val="Tilvsunneanmlsgrein"/>
                <w:sz w:val="18"/>
                <w:szCs w:val="18"/>
              </w:rPr>
              <w:footnoteReference w:id="798"/>
            </w:r>
            <w:r>
              <w:t>) í forgangi eða treyst er á bláa eða græna innviði (</w:t>
            </w:r>
            <w:r>
              <w:rPr>
                <w:rStyle w:val="Tilvsunneanmlsgrein"/>
                <w:sz w:val="18"/>
                <w:szCs w:val="18"/>
              </w:rPr>
              <w:footnoteReference w:id="799"/>
            </w:r>
            <w:r>
              <w:t>) að því marki sem mögulegt er,</w:t>
            </w:r>
          </w:p>
        </w:tc>
      </w:tr>
      <w:tr w:rsidR="00D849E8" w14:paraId="5713670D" w14:textId="77777777" w:rsidTr="00A9140F">
        <w:trPr>
          <w:trHeight w:val="360"/>
        </w:trPr>
        <w:tc>
          <w:tcPr>
            <w:tcW w:w="8736" w:type="dxa"/>
            <w:gridSpan w:val="2"/>
            <w:tcBorders>
              <w:top w:val="nil"/>
            </w:tcBorders>
            <w:tcMar>
              <w:left w:w="0" w:type="dxa"/>
              <w:right w:w="60" w:type="dxa"/>
            </w:tcMar>
          </w:tcPr>
          <w:p w14:paraId="3832AC88" w14:textId="77777777" w:rsidR="00D849E8" w:rsidRDefault="00D849E8" w:rsidP="00A9140F">
            <w:pPr>
              <w:pStyle w:val="AnnexNumberedText"/>
              <w:pageBreakBefore/>
              <w:spacing w:after="200"/>
            </w:pPr>
            <w:r>
              <w:lastRenderedPageBreak/>
              <w:t>c)</w:t>
            </w:r>
            <w:r>
              <w:tab/>
              <w:t>eru í samræmi við staðbundnar, geirabundnar, svæðisbundnar eða landsbundnar aðlögunarstefnur og -áætlanir,</w:t>
            </w:r>
          </w:p>
          <w:p w14:paraId="0B11AFE8" w14:textId="77777777" w:rsidR="00D849E8" w:rsidRDefault="00D849E8"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0960A3C"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3052CFF9" w14:textId="77777777" w:rsidTr="00A9140F">
        <w:trPr>
          <w:trHeight w:val="240"/>
        </w:trPr>
        <w:tc>
          <w:tcPr>
            <w:tcW w:w="8736" w:type="dxa"/>
            <w:gridSpan w:val="2"/>
            <w:tcMar>
              <w:top w:w="100" w:type="dxa"/>
              <w:left w:w="0" w:type="dxa"/>
              <w:bottom w:w="100" w:type="dxa"/>
              <w:right w:w="60" w:type="dxa"/>
            </w:tcMar>
          </w:tcPr>
          <w:p w14:paraId="1E6553F6" w14:textId="77777777" w:rsidR="00D849E8" w:rsidRDefault="00D849E8" w:rsidP="00A9140F">
            <w:pPr>
              <w:pStyle w:val="AnnexTableCellLeft"/>
            </w:pPr>
            <w:r>
              <w:t>Ekki valda umtalsverðu tjóni</w:t>
            </w:r>
          </w:p>
        </w:tc>
      </w:tr>
      <w:tr w:rsidR="00D849E8" w14:paraId="34707430" w14:textId="77777777" w:rsidTr="00A9140F">
        <w:tc>
          <w:tcPr>
            <w:tcW w:w="2952" w:type="dxa"/>
            <w:tcMar>
              <w:top w:w="100" w:type="dxa"/>
              <w:left w:w="0" w:type="dxa"/>
              <w:bottom w:w="100" w:type="dxa"/>
              <w:right w:w="60" w:type="dxa"/>
            </w:tcMar>
          </w:tcPr>
          <w:p w14:paraId="7401417F" w14:textId="77777777" w:rsidR="00D849E8" w:rsidRDefault="00D849E8" w:rsidP="00A9140F">
            <w:pPr>
              <w:pStyle w:val="AnnexNumberedText"/>
              <w:spacing w:after="0"/>
              <w:ind w:left="293" w:hanging="293"/>
            </w:pPr>
            <w:r>
              <w:t>1)</w:t>
            </w:r>
            <w:r>
              <w:tab/>
              <w:t>Mildun loftslagsbreytinga</w:t>
            </w:r>
          </w:p>
        </w:tc>
        <w:tc>
          <w:tcPr>
            <w:tcW w:w="5784" w:type="dxa"/>
            <w:tcMar>
              <w:top w:w="100" w:type="dxa"/>
              <w:left w:w="60" w:type="dxa"/>
              <w:bottom w:w="100" w:type="dxa"/>
              <w:right w:w="0" w:type="dxa"/>
            </w:tcMar>
          </w:tcPr>
          <w:p w14:paraId="6F3A8E42" w14:textId="77777777" w:rsidR="00D849E8" w:rsidRDefault="00D849E8" w:rsidP="00A9140F">
            <w:pPr>
              <w:pStyle w:val="AnnexTableCellLeft"/>
            </w:pPr>
            <w:r>
              <w:t>Vöktunaráætlun er til staðar fyrir koltvísýringsleka.</w:t>
            </w:r>
          </w:p>
        </w:tc>
      </w:tr>
      <w:tr w:rsidR="00D849E8" w14:paraId="7E2AE82A" w14:textId="77777777" w:rsidTr="00A9140F">
        <w:tc>
          <w:tcPr>
            <w:tcW w:w="2952" w:type="dxa"/>
            <w:tcMar>
              <w:top w:w="100" w:type="dxa"/>
              <w:left w:w="0" w:type="dxa"/>
              <w:bottom w:w="100" w:type="dxa"/>
              <w:right w:w="60" w:type="dxa"/>
            </w:tcMar>
          </w:tcPr>
          <w:p w14:paraId="592612CD" w14:textId="77777777" w:rsidR="00D849E8" w:rsidRDefault="00D849E8" w:rsidP="00A9140F">
            <w:pPr>
              <w:pStyle w:val="AnnexNumberedText"/>
              <w:spacing w:after="0"/>
              <w:ind w:left="293" w:hanging="293"/>
            </w:pPr>
            <w:r>
              <w:t>3)</w:t>
            </w:r>
            <w:r>
              <w:tab/>
              <w:t>Sjálfbær notkun og verndun vatns- og sjávarauðlinda</w:t>
            </w:r>
          </w:p>
        </w:tc>
        <w:tc>
          <w:tcPr>
            <w:tcW w:w="5784" w:type="dxa"/>
            <w:tcMar>
              <w:top w:w="100" w:type="dxa"/>
              <w:left w:w="60" w:type="dxa"/>
              <w:bottom w:w="100" w:type="dxa"/>
              <w:right w:w="0" w:type="dxa"/>
            </w:tcMar>
          </w:tcPr>
          <w:p w14:paraId="24AC399C" w14:textId="77777777" w:rsidR="00D849E8" w:rsidRDefault="00D849E8" w:rsidP="00A9140F">
            <w:pPr>
              <w:pStyle w:val="AnnexTableCellLeft"/>
            </w:pPr>
            <w:r>
              <w:t>Starfsemin er í samræmi við viðmiðanirnar sem settar eru fram í viðbæti B við þennan viðauka.</w:t>
            </w:r>
          </w:p>
        </w:tc>
      </w:tr>
      <w:tr w:rsidR="00D849E8" w14:paraId="21E48D4A" w14:textId="77777777" w:rsidTr="00A9140F">
        <w:tc>
          <w:tcPr>
            <w:tcW w:w="2952" w:type="dxa"/>
            <w:tcMar>
              <w:top w:w="100" w:type="dxa"/>
              <w:left w:w="0" w:type="dxa"/>
              <w:bottom w:w="100" w:type="dxa"/>
              <w:right w:w="60" w:type="dxa"/>
            </w:tcMar>
          </w:tcPr>
          <w:p w14:paraId="4F1992EF" w14:textId="77777777" w:rsidR="00D849E8" w:rsidRDefault="00D849E8" w:rsidP="00A9140F">
            <w:pPr>
              <w:pStyle w:val="AnnexNumberedText"/>
              <w:spacing w:after="0"/>
              <w:ind w:left="293" w:hanging="293"/>
            </w:pPr>
            <w:r>
              <w:t>4)</w:t>
            </w:r>
            <w:r>
              <w:tab/>
              <w:t>Umskipti yfir í hringrásarhagkerfi</w:t>
            </w:r>
          </w:p>
        </w:tc>
        <w:tc>
          <w:tcPr>
            <w:tcW w:w="5784" w:type="dxa"/>
            <w:tcMar>
              <w:top w:w="100" w:type="dxa"/>
              <w:left w:w="60" w:type="dxa"/>
              <w:bottom w:w="100" w:type="dxa"/>
              <w:right w:w="0" w:type="dxa"/>
            </w:tcMar>
          </w:tcPr>
          <w:p w14:paraId="2326C872" w14:textId="77777777" w:rsidR="00D849E8" w:rsidRDefault="00D849E8" w:rsidP="00A9140F">
            <w:pPr>
              <w:pStyle w:val="AnnexTableCellLeft"/>
            </w:pPr>
            <w:r>
              <w:t>Á ekki við</w:t>
            </w:r>
          </w:p>
        </w:tc>
      </w:tr>
      <w:tr w:rsidR="00D849E8" w14:paraId="15BC4CE8" w14:textId="77777777" w:rsidTr="00A9140F">
        <w:tc>
          <w:tcPr>
            <w:tcW w:w="2952" w:type="dxa"/>
            <w:tcMar>
              <w:top w:w="100" w:type="dxa"/>
              <w:left w:w="0" w:type="dxa"/>
              <w:bottom w:w="100" w:type="dxa"/>
              <w:right w:w="60" w:type="dxa"/>
            </w:tcMar>
          </w:tcPr>
          <w:p w14:paraId="580D1B7C" w14:textId="77777777" w:rsidR="00D849E8" w:rsidRDefault="00D849E8" w:rsidP="00A9140F">
            <w:pPr>
              <w:pStyle w:val="AnnexNumberedText"/>
              <w:spacing w:after="0"/>
              <w:ind w:left="293" w:hanging="293"/>
            </w:pPr>
            <w:r>
              <w:t>5)</w:t>
            </w:r>
            <w:r>
              <w:tab/>
              <w:t>Mengunarvarnir og eftirlit með mengun</w:t>
            </w:r>
          </w:p>
        </w:tc>
        <w:tc>
          <w:tcPr>
            <w:tcW w:w="5784" w:type="dxa"/>
            <w:tcMar>
              <w:top w:w="100" w:type="dxa"/>
              <w:left w:w="60" w:type="dxa"/>
              <w:bottom w:w="100" w:type="dxa"/>
              <w:right w:w="0" w:type="dxa"/>
            </w:tcMar>
          </w:tcPr>
          <w:p w14:paraId="09E44874" w14:textId="77777777" w:rsidR="00D849E8" w:rsidRDefault="00D849E8" w:rsidP="00A9140F">
            <w:pPr>
              <w:pStyle w:val="AnnexTableCellLeft"/>
            </w:pPr>
            <w:r>
              <w:t>Starfsemin er í samræmi við tilskipun 2009/31/EB.</w:t>
            </w:r>
          </w:p>
        </w:tc>
      </w:tr>
      <w:tr w:rsidR="00D849E8" w14:paraId="2507C921" w14:textId="77777777" w:rsidTr="00A9140F">
        <w:tc>
          <w:tcPr>
            <w:tcW w:w="2952" w:type="dxa"/>
            <w:tcMar>
              <w:top w:w="100" w:type="dxa"/>
              <w:left w:w="0" w:type="dxa"/>
              <w:bottom w:w="100" w:type="dxa"/>
              <w:right w:w="60" w:type="dxa"/>
            </w:tcMar>
          </w:tcPr>
          <w:p w14:paraId="73DF0DAF" w14:textId="77777777" w:rsidR="00D849E8" w:rsidRDefault="00D849E8" w:rsidP="00A9140F">
            <w:pPr>
              <w:pStyle w:val="AnnexNumberedText"/>
              <w:spacing w:after="0"/>
              <w:ind w:left="293" w:hanging="293"/>
            </w:pPr>
            <w:r>
              <w:t>6)</w:t>
            </w:r>
            <w:r>
              <w:tab/>
              <w:t>Vernd og endurheimt líffræðilegrar fjölbreytni og vistkerfa</w:t>
            </w:r>
          </w:p>
        </w:tc>
        <w:tc>
          <w:tcPr>
            <w:tcW w:w="5784" w:type="dxa"/>
            <w:tcMar>
              <w:top w:w="100" w:type="dxa"/>
              <w:left w:w="60" w:type="dxa"/>
              <w:bottom w:w="100" w:type="dxa"/>
              <w:right w:w="0" w:type="dxa"/>
            </w:tcMar>
          </w:tcPr>
          <w:p w14:paraId="4F1CF5A0" w14:textId="77777777" w:rsidR="00D849E8" w:rsidRDefault="00D849E8" w:rsidP="00A9140F">
            <w:pPr>
              <w:pStyle w:val="AnnexTableCellLeft"/>
            </w:pPr>
            <w:r>
              <w:t>Starfsemin er í samræmi við viðmiðanirnar sem settar eru fram í viðbæti D við þennan viðauka.</w:t>
            </w:r>
          </w:p>
        </w:tc>
      </w:tr>
    </w:tbl>
    <w:p w14:paraId="36BBADD6" w14:textId="77777777" w:rsidR="00D849E8" w:rsidRDefault="00D849E8" w:rsidP="00D849E8">
      <w:pPr>
        <w:pStyle w:val="AnnexNumberedText"/>
        <w:ind w:left="504" w:hanging="504"/>
        <w:rPr>
          <w:sz w:val="16"/>
        </w:rPr>
      </w:pPr>
      <w:r>
        <w:t>6.</w:t>
      </w:r>
      <w:r>
        <w:tab/>
      </w:r>
      <w:r>
        <w:rPr>
          <w:sz w:val="16"/>
        </w:rPr>
        <w:t>FLUTNINGAR</w:t>
      </w:r>
    </w:p>
    <w:p w14:paraId="5908C315" w14:textId="77777777" w:rsidR="00D849E8" w:rsidRDefault="00D849E8" w:rsidP="00D849E8">
      <w:pPr>
        <w:pStyle w:val="AnnexNumberedText"/>
        <w:ind w:left="504" w:hanging="504"/>
      </w:pPr>
      <w:r>
        <w:t>6.1.</w:t>
      </w:r>
      <w:r>
        <w:rPr>
          <w:b/>
        </w:rPr>
        <w:tab/>
        <w:t>Farþegaflutningar með járnbrautum milli borga</w:t>
      </w:r>
    </w:p>
    <w:p w14:paraId="4030DC63" w14:textId="77777777" w:rsidR="00D849E8" w:rsidRDefault="00D849E8" w:rsidP="00D849E8">
      <w:pPr>
        <w:pStyle w:val="AnnexGrSeq3"/>
        <w:spacing w:after="120"/>
        <w:ind w:left="504"/>
        <w:jc w:val="both"/>
      </w:pPr>
      <w:r>
        <w:rPr>
          <w:i/>
        </w:rPr>
        <w:t>Lýsing á starfseminni</w:t>
      </w:r>
    </w:p>
    <w:p w14:paraId="2D83A10D" w14:textId="77777777" w:rsidR="00D849E8" w:rsidRDefault="00D849E8" w:rsidP="00D849E8">
      <w:pPr>
        <w:pStyle w:val="AnnexNormal"/>
        <w:spacing w:after="500"/>
        <w:ind w:left="504"/>
      </w:pPr>
      <w:r>
        <w:t xml:space="preserve">Kaup, fjármögnun, leiga, eignarleiga og </w:t>
      </w:r>
      <w:proofErr w:type="spellStart"/>
      <w:r>
        <w:t>starfræksla</w:t>
      </w:r>
      <w:proofErr w:type="spellEnd"/>
      <w:r>
        <w:t xml:space="preserve"> farþegaflutninga með notkun járnbrautarvagna eftir meginnetkerfum sem ná yfir stórt landsvæði, farþegaflutningar með járnbrautum milli borga og </w:t>
      </w:r>
      <w:proofErr w:type="spellStart"/>
      <w:r>
        <w:t>starfræksla</w:t>
      </w:r>
      <w:proofErr w:type="spellEnd"/>
      <w:r>
        <w:t xml:space="preserve"> svefnvagna eða veitingavagna sem </w:t>
      </w:r>
      <w:proofErr w:type="spellStart"/>
      <w:r>
        <w:t>samþættur</w:t>
      </w:r>
      <w:proofErr w:type="spellEnd"/>
      <w:r>
        <w:t xml:space="preserve"> rekstur járnbrautafyrirtækja.</w:t>
      </w:r>
    </w:p>
    <w:p w14:paraId="2DC63675" w14:textId="77777777" w:rsidR="00D849E8" w:rsidRDefault="00D849E8" w:rsidP="00D849E8">
      <w:pPr>
        <w:pStyle w:val="AnnexNormal"/>
        <w:spacing w:after="500"/>
        <w:ind w:left="504"/>
      </w:pPr>
      <w:r>
        <w:t>Atvinnustarfsemin í þessum flokki gæti tengst nokkrum kóðum atvinnugreinaflokkunar Evrópusambandsins, einkum H49.10 og N77.39, í samræmi við atvinnugreinaflokkunina sem komið var á með reglugerð (EB) nr. 1893/2006.</w:t>
      </w:r>
    </w:p>
    <w:p w14:paraId="2823EBF7"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3D3147B5" w14:textId="77777777" w:rsidTr="00A9140F">
        <w:trPr>
          <w:trHeight w:val="280"/>
        </w:trPr>
        <w:tc>
          <w:tcPr>
            <w:tcW w:w="8736" w:type="dxa"/>
            <w:gridSpan w:val="2"/>
            <w:tcBorders>
              <w:bottom w:val="single" w:sz="4" w:space="0" w:color="auto"/>
            </w:tcBorders>
            <w:tcMar>
              <w:left w:w="0" w:type="dxa"/>
              <w:right w:w="60" w:type="dxa"/>
            </w:tcMar>
          </w:tcPr>
          <w:p w14:paraId="052024D2" w14:textId="77777777" w:rsidR="00D849E8" w:rsidRDefault="00D849E8" w:rsidP="00A9140F">
            <w:pPr>
              <w:pStyle w:val="AnnexTableCellLeft"/>
              <w:spacing w:before="40" w:after="40"/>
            </w:pPr>
            <w:r>
              <w:t>Verulegt framlag til aðlögunar að loftslagsbreytingum</w:t>
            </w:r>
          </w:p>
        </w:tc>
      </w:tr>
      <w:tr w:rsidR="00D849E8" w14:paraId="756C6568" w14:textId="77777777" w:rsidTr="00A9140F">
        <w:trPr>
          <w:trHeight w:val="360"/>
        </w:trPr>
        <w:tc>
          <w:tcPr>
            <w:tcW w:w="8736" w:type="dxa"/>
            <w:gridSpan w:val="2"/>
            <w:tcBorders>
              <w:bottom w:val="nil"/>
            </w:tcBorders>
            <w:tcMar>
              <w:left w:w="0" w:type="dxa"/>
              <w:right w:w="60" w:type="dxa"/>
            </w:tcMar>
          </w:tcPr>
          <w:p w14:paraId="2698C62B" w14:textId="77777777" w:rsidR="00D849E8" w:rsidRDefault="00D849E8" w:rsidP="00A9140F">
            <w:pPr>
              <w:pStyle w:val="AnnexNumberedText"/>
              <w:tabs>
                <w:tab w:val="left" w:pos="396"/>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4DF72A2D" w14:textId="77777777" w:rsidR="00D849E8" w:rsidRDefault="00D849E8" w:rsidP="00A9140F">
            <w:pPr>
              <w:pStyle w:val="AnnexNumberedText"/>
              <w:tabs>
                <w:tab w:val="left" w:pos="396"/>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E19CFED" w14:textId="77777777" w:rsidR="00D849E8" w:rsidRDefault="00D849E8"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5F4A66D3" w14:textId="77777777" w:rsidR="00D849E8" w:rsidRDefault="00D849E8" w:rsidP="00A9140F">
            <w:pPr>
              <w:pStyle w:val="AnnexNumberedText"/>
              <w:spacing w:after="2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457A18A" w14:textId="77777777" w:rsidR="00D849E8" w:rsidRDefault="00D849E8" w:rsidP="00A9140F">
            <w:pPr>
              <w:pStyle w:val="AnnexNumberedText"/>
              <w:spacing w:after="240"/>
            </w:pPr>
            <w:r>
              <w:t>c)</w:t>
            </w:r>
            <w:r>
              <w:tab/>
              <w:t>mat á aðlögunarlausnum sem geta dregið úr greindri efnislegri loftslagsáhættu.</w:t>
            </w:r>
          </w:p>
          <w:p w14:paraId="70DD12C2" w14:textId="77777777" w:rsidR="00D849E8" w:rsidRDefault="00D849E8" w:rsidP="00A9140F">
            <w:pPr>
              <w:pStyle w:val="AnnexTableCellLeft"/>
              <w:spacing w:after="240"/>
            </w:pPr>
            <w:r>
              <w:t xml:space="preserve">Loftslagsáhættu- og veikleikamatið er í réttu hlutfalli við umfang starfseminnar og </w:t>
            </w:r>
            <w:proofErr w:type="spellStart"/>
            <w:r>
              <w:t>væntan</w:t>
            </w:r>
            <w:proofErr w:type="spellEnd"/>
            <w:r>
              <w:t xml:space="preserve"> líftíma hennar þannig að:</w:t>
            </w:r>
          </w:p>
          <w:p w14:paraId="6C257E55" w14:textId="77777777" w:rsidR="00D849E8" w:rsidRDefault="00D849E8" w:rsidP="00A9140F">
            <w:pPr>
              <w:pStyle w:val="AnnexNumberedText"/>
              <w:spacing w:after="0"/>
            </w:pPr>
            <w:r>
              <w:t>a)</w:t>
            </w:r>
            <w:r>
              <w:tab/>
              <w:t xml:space="preserve">mat á starfsemi með </w:t>
            </w:r>
            <w:proofErr w:type="spellStart"/>
            <w:r>
              <w:t>væntan</w:t>
            </w:r>
            <w:proofErr w:type="spellEnd"/>
            <w:r>
              <w:t xml:space="preserve"> líftíma sem er styttri en 10 ár er a.m.k. framkvæmt með því að nota loftslagsframreikn</w:t>
            </w:r>
            <w:r>
              <w:lastRenderedPageBreak/>
              <w:t>ing með minnsta viðeigandi kvarða,</w:t>
            </w:r>
          </w:p>
        </w:tc>
      </w:tr>
      <w:tr w:rsidR="00D849E8" w14:paraId="7C021462" w14:textId="77777777" w:rsidTr="00A9140F">
        <w:trPr>
          <w:trHeight w:val="360"/>
        </w:trPr>
        <w:tc>
          <w:tcPr>
            <w:tcW w:w="8736" w:type="dxa"/>
            <w:gridSpan w:val="2"/>
            <w:tcBorders>
              <w:top w:val="nil"/>
            </w:tcBorders>
            <w:tcMar>
              <w:left w:w="0" w:type="dxa"/>
              <w:right w:w="60" w:type="dxa"/>
            </w:tcMar>
          </w:tcPr>
          <w:p w14:paraId="5A7B4196" w14:textId="77777777" w:rsidR="00D849E8" w:rsidRDefault="00D849E8" w:rsidP="00A9140F">
            <w:pPr>
              <w:pStyle w:val="AnnexNumberedText"/>
              <w:pageBreakBefore/>
              <w:spacing w:after="140"/>
              <w:rPr>
                <w:szCs w:val="18"/>
              </w:rPr>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0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5900C9B" w14:textId="77777777" w:rsidR="00D849E8" w:rsidRDefault="00D849E8" w:rsidP="00A9140F">
            <w:pPr>
              <w:pStyle w:val="AnnexNumberedText"/>
              <w:tabs>
                <w:tab w:val="left" w:pos="396"/>
              </w:tabs>
              <w:spacing w:after="1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01"/>
            </w:r>
            <w:r>
              <w:t>), vísindalegt ritrýnt útgefið efni og líkön með opnum aðgangi (</w:t>
            </w:r>
            <w:r>
              <w:rPr>
                <w:rStyle w:val="Tilvsunneanmlsgrein"/>
                <w:sz w:val="18"/>
                <w:szCs w:val="18"/>
              </w:rPr>
              <w:footnoteReference w:id="802"/>
            </w:r>
            <w:r>
              <w:t>) eða gegn greiðslu.</w:t>
            </w:r>
          </w:p>
          <w:p w14:paraId="42406C7A" w14:textId="77777777" w:rsidR="00D849E8" w:rsidRDefault="00D849E8" w:rsidP="00A9140F">
            <w:pPr>
              <w:pStyle w:val="AnnexNumberedText"/>
              <w:tabs>
                <w:tab w:val="left" w:pos="396"/>
              </w:tabs>
              <w:spacing w:after="140"/>
              <w:ind w:left="0" w:firstLine="0"/>
              <w:rPr>
                <w:szCs w:val="18"/>
              </w:rPr>
            </w:pPr>
            <w:r>
              <w:t>4.</w:t>
            </w:r>
            <w:r>
              <w:tab/>
              <w:t>Aðlögunarlausnir sem komið er í framkvæmd:</w:t>
            </w:r>
          </w:p>
          <w:p w14:paraId="3C8E59D0" w14:textId="77777777" w:rsidR="00D849E8" w:rsidRDefault="00D849E8" w:rsidP="00A9140F">
            <w:pPr>
              <w:pStyle w:val="AnnexNumberedText"/>
              <w:spacing w:after="140"/>
              <w:rPr>
                <w:szCs w:val="18"/>
              </w:rPr>
            </w:pPr>
            <w:r>
              <w:t>a)</w:t>
            </w:r>
            <w:r>
              <w:tab/>
              <w:t>hafa ekki neikvæð áhrif á viðleitni til aðlögunar eða viðnám annars fólks, náttúru, menningararfleifðar, eigna og annarrar atvinnustarfsemi gegn efnislegri loftslagsáhættu,</w:t>
            </w:r>
          </w:p>
          <w:p w14:paraId="3C186411" w14:textId="77777777" w:rsidR="00D849E8" w:rsidRDefault="00D849E8" w:rsidP="00A9140F">
            <w:pPr>
              <w:pStyle w:val="AnnexNumberedText"/>
              <w:spacing w:after="140"/>
              <w:rPr>
                <w:szCs w:val="18"/>
              </w:rPr>
            </w:pPr>
            <w:r>
              <w:t>b)</w:t>
            </w:r>
            <w:r>
              <w:tab/>
              <w:t>eru með náttúrumiðaðar lausnir (</w:t>
            </w:r>
            <w:r>
              <w:rPr>
                <w:rStyle w:val="Tilvsunneanmlsgrein"/>
                <w:sz w:val="18"/>
                <w:szCs w:val="18"/>
              </w:rPr>
              <w:footnoteReference w:id="803"/>
            </w:r>
            <w:r>
              <w:t>) í forgangi eða treyst er á bláa eða græna innviði (</w:t>
            </w:r>
            <w:r>
              <w:rPr>
                <w:rStyle w:val="Tilvsunneanmlsgrein"/>
                <w:sz w:val="18"/>
                <w:szCs w:val="18"/>
              </w:rPr>
              <w:footnoteReference w:id="804"/>
            </w:r>
            <w:r>
              <w:t>) að því marki sem mögulegt er,</w:t>
            </w:r>
          </w:p>
          <w:p w14:paraId="0EC3C269" w14:textId="77777777" w:rsidR="00D849E8" w:rsidRDefault="00D849E8" w:rsidP="00A9140F">
            <w:pPr>
              <w:pStyle w:val="AnnexNumberedText"/>
              <w:spacing w:after="140"/>
              <w:rPr>
                <w:szCs w:val="18"/>
              </w:rPr>
            </w:pPr>
            <w:r>
              <w:t>c)</w:t>
            </w:r>
            <w:r>
              <w:tab/>
              <w:t>eru í samræmi við staðbundnar, geirabundnar, svæðisbundnar eða landsbundnar aðlögunarstefnur og -áætlanir,</w:t>
            </w:r>
          </w:p>
          <w:p w14:paraId="0705EEA5" w14:textId="77777777" w:rsidR="00D849E8" w:rsidRDefault="00D849E8" w:rsidP="00A9140F">
            <w:pPr>
              <w:pStyle w:val="AnnexNumberedText"/>
              <w:spacing w:after="14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09A0E1C6"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649F604D" w14:textId="77777777" w:rsidTr="00A9140F">
        <w:trPr>
          <w:trHeight w:val="240"/>
        </w:trPr>
        <w:tc>
          <w:tcPr>
            <w:tcW w:w="8736" w:type="dxa"/>
            <w:gridSpan w:val="2"/>
            <w:tcMar>
              <w:top w:w="100" w:type="dxa"/>
              <w:left w:w="0" w:type="dxa"/>
              <w:bottom w:w="100" w:type="dxa"/>
              <w:right w:w="60" w:type="dxa"/>
            </w:tcMar>
          </w:tcPr>
          <w:p w14:paraId="76D5014A" w14:textId="77777777" w:rsidR="00D849E8" w:rsidRDefault="00D849E8" w:rsidP="00A9140F">
            <w:pPr>
              <w:pStyle w:val="AnnexTableCellLeft"/>
            </w:pPr>
            <w:r>
              <w:t>Ekki valda umtalsverðu tjóni</w:t>
            </w:r>
          </w:p>
        </w:tc>
      </w:tr>
      <w:tr w:rsidR="00D849E8" w14:paraId="1DB16464" w14:textId="77777777" w:rsidTr="00A9140F">
        <w:tc>
          <w:tcPr>
            <w:tcW w:w="2952" w:type="dxa"/>
            <w:tcMar>
              <w:top w:w="100" w:type="dxa"/>
              <w:left w:w="0" w:type="dxa"/>
              <w:bottom w:w="100" w:type="dxa"/>
              <w:right w:w="60" w:type="dxa"/>
            </w:tcMar>
          </w:tcPr>
          <w:p w14:paraId="513E63E1" w14:textId="77777777" w:rsidR="00D849E8" w:rsidRDefault="00D849E8" w:rsidP="00A9140F">
            <w:pPr>
              <w:pStyle w:val="AnnexNumberedText"/>
              <w:spacing w:after="0"/>
              <w:ind w:left="293" w:hanging="293"/>
            </w:pPr>
            <w:r>
              <w:t>1)</w:t>
            </w:r>
            <w:r>
              <w:tab/>
              <w:t>Mildun loftslagsbreytinga</w:t>
            </w:r>
          </w:p>
        </w:tc>
        <w:tc>
          <w:tcPr>
            <w:tcW w:w="5784" w:type="dxa"/>
            <w:tcMar>
              <w:top w:w="100" w:type="dxa"/>
              <w:left w:w="60" w:type="dxa"/>
              <w:bottom w:w="100" w:type="dxa"/>
              <w:right w:w="0" w:type="dxa"/>
            </w:tcMar>
          </w:tcPr>
          <w:p w14:paraId="618A9CE2" w14:textId="77777777" w:rsidR="00D849E8" w:rsidRDefault="00D849E8" w:rsidP="00A9140F">
            <w:pPr>
              <w:pStyle w:val="AnnexTableCellLeft"/>
            </w:pPr>
            <w:r>
              <w:t>Á ekki við</w:t>
            </w:r>
          </w:p>
        </w:tc>
      </w:tr>
      <w:tr w:rsidR="00D849E8" w14:paraId="40255886" w14:textId="77777777" w:rsidTr="00A9140F">
        <w:tc>
          <w:tcPr>
            <w:tcW w:w="2952" w:type="dxa"/>
            <w:tcMar>
              <w:top w:w="100" w:type="dxa"/>
              <w:left w:w="0" w:type="dxa"/>
              <w:bottom w:w="100" w:type="dxa"/>
              <w:right w:w="60" w:type="dxa"/>
            </w:tcMar>
          </w:tcPr>
          <w:p w14:paraId="39652573" w14:textId="77777777" w:rsidR="00D849E8" w:rsidRDefault="00D849E8" w:rsidP="00A9140F">
            <w:pPr>
              <w:pStyle w:val="AnnexNumberedText"/>
              <w:spacing w:after="0"/>
              <w:ind w:left="293" w:hanging="293"/>
            </w:pPr>
            <w:r>
              <w:t>3)</w:t>
            </w:r>
            <w:r>
              <w:tab/>
              <w:t>Sjálfbær notkun og verndun vatns- og sjávarauðlinda</w:t>
            </w:r>
          </w:p>
        </w:tc>
        <w:tc>
          <w:tcPr>
            <w:tcW w:w="5784" w:type="dxa"/>
            <w:tcMar>
              <w:top w:w="100" w:type="dxa"/>
              <w:left w:w="60" w:type="dxa"/>
              <w:bottom w:w="100" w:type="dxa"/>
              <w:right w:w="0" w:type="dxa"/>
            </w:tcMar>
          </w:tcPr>
          <w:p w14:paraId="785A6D70" w14:textId="77777777" w:rsidR="00D849E8" w:rsidRDefault="00D849E8" w:rsidP="00A9140F">
            <w:pPr>
              <w:pStyle w:val="AnnexTableCellLeft"/>
            </w:pPr>
            <w:r>
              <w:t>Á ekki við</w:t>
            </w:r>
          </w:p>
        </w:tc>
      </w:tr>
      <w:tr w:rsidR="00D849E8" w14:paraId="6A97EFA3" w14:textId="77777777" w:rsidTr="00A9140F">
        <w:tc>
          <w:tcPr>
            <w:tcW w:w="2952" w:type="dxa"/>
            <w:tcMar>
              <w:top w:w="100" w:type="dxa"/>
              <w:left w:w="0" w:type="dxa"/>
              <w:bottom w:w="100" w:type="dxa"/>
              <w:right w:w="60" w:type="dxa"/>
            </w:tcMar>
          </w:tcPr>
          <w:p w14:paraId="73C1E9D0" w14:textId="77777777" w:rsidR="00D849E8" w:rsidRDefault="00D849E8" w:rsidP="00A9140F">
            <w:pPr>
              <w:pStyle w:val="AnnexNumberedText"/>
              <w:spacing w:after="0"/>
              <w:ind w:left="293" w:hanging="293"/>
            </w:pPr>
            <w:r>
              <w:t>4)</w:t>
            </w:r>
            <w:r>
              <w:tab/>
              <w:t>Umskipti yfir í hringrásarhagkerfi</w:t>
            </w:r>
          </w:p>
        </w:tc>
        <w:tc>
          <w:tcPr>
            <w:tcW w:w="5784" w:type="dxa"/>
            <w:tcMar>
              <w:top w:w="100" w:type="dxa"/>
              <w:left w:w="60" w:type="dxa"/>
              <w:bottom w:w="100" w:type="dxa"/>
              <w:right w:w="0" w:type="dxa"/>
            </w:tcMar>
          </w:tcPr>
          <w:p w14:paraId="7133C84C" w14:textId="77777777" w:rsidR="00D849E8" w:rsidRDefault="00D849E8" w:rsidP="00A9140F">
            <w:pPr>
              <w:pStyle w:val="AnnexTableCellLeft"/>
            </w:pPr>
            <w:r>
              <w:t>Ráðstafanir til úrgangsstjórnunar eru til staðar í samræmi við úrgangsmetakerfið, einkum meðan á viðhaldi stendur.</w:t>
            </w:r>
          </w:p>
        </w:tc>
      </w:tr>
      <w:tr w:rsidR="00D849E8" w14:paraId="47009450" w14:textId="77777777" w:rsidTr="00A9140F">
        <w:tc>
          <w:tcPr>
            <w:tcW w:w="2952" w:type="dxa"/>
            <w:tcMar>
              <w:top w:w="100" w:type="dxa"/>
              <w:left w:w="0" w:type="dxa"/>
              <w:bottom w:w="100" w:type="dxa"/>
              <w:right w:w="60" w:type="dxa"/>
            </w:tcMar>
          </w:tcPr>
          <w:p w14:paraId="61D12CEF" w14:textId="77777777" w:rsidR="00D849E8" w:rsidRDefault="00D849E8" w:rsidP="00A9140F">
            <w:pPr>
              <w:pStyle w:val="AnnexNumberedText"/>
              <w:spacing w:after="0"/>
              <w:ind w:left="293" w:hanging="293"/>
            </w:pPr>
            <w:r>
              <w:t>5)</w:t>
            </w:r>
            <w:r>
              <w:tab/>
              <w:t>Mengunarvarnir og eftirlit með mengun</w:t>
            </w:r>
          </w:p>
        </w:tc>
        <w:tc>
          <w:tcPr>
            <w:tcW w:w="5784" w:type="dxa"/>
            <w:tcMar>
              <w:top w:w="100" w:type="dxa"/>
              <w:left w:w="60" w:type="dxa"/>
              <w:bottom w:w="100" w:type="dxa"/>
              <w:right w:w="0" w:type="dxa"/>
            </w:tcMar>
          </w:tcPr>
          <w:p w14:paraId="30B5BC2B" w14:textId="77777777" w:rsidR="00D849E8" w:rsidRDefault="00D849E8" w:rsidP="00A9140F">
            <w:pPr>
              <w:pStyle w:val="AnnexTableCellLeft"/>
            </w:pPr>
            <w:r>
              <w:t xml:space="preserve">Hreyflar til að knýja </w:t>
            </w:r>
            <w:proofErr w:type="spellStart"/>
            <w:r>
              <w:t>eimreiðar</w:t>
            </w:r>
            <w:proofErr w:type="spellEnd"/>
            <w:r>
              <w:t xml:space="preserve"> fyrir járnbrautir og hreyflar til að knýja sporreiðar eru í samræmi við losunarmörkin sem sett eru fram í II. viðauka við reglugerð (ESB) 2016/1628.</w:t>
            </w:r>
          </w:p>
        </w:tc>
      </w:tr>
      <w:tr w:rsidR="00D849E8" w14:paraId="03413878" w14:textId="77777777" w:rsidTr="00A9140F">
        <w:tc>
          <w:tcPr>
            <w:tcW w:w="2952" w:type="dxa"/>
            <w:tcMar>
              <w:top w:w="100" w:type="dxa"/>
              <w:left w:w="0" w:type="dxa"/>
              <w:bottom w:w="100" w:type="dxa"/>
              <w:right w:w="60" w:type="dxa"/>
            </w:tcMar>
          </w:tcPr>
          <w:p w14:paraId="7C46A0F8" w14:textId="77777777" w:rsidR="00D849E8" w:rsidRDefault="00D849E8" w:rsidP="00A9140F">
            <w:pPr>
              <w:pStyle w:val="AnnexNumberedText"/>
              <w:spacing w:after="0"/>
              <w:ind w:left="293" w:hanging="293"/>
            </w:pPr>
            <w:r>
              <w:t>6)</w:t>
            </w:r>
            <w:r>
              <w:tab/>
              <w:t>Vernd og endurheimt líffræðilegrar fjölbreytni og vistkerfa</w:t>
            </w:r>
          </w:p>
        </w:tc>
        <w:tc>
          <w:tcPr>
            <w:tcW w:w="5784" w:type="dxa"/>
            <w:tcMar>
              <w:top w:w="100" w:type="dxa"/>
              <w:left w:w="60" w:type="dxa"/>
              <w:bottom w:w="100" w:type="dxa"/>
              <w:right w:w="0" w:type="dxa"/>
            </w:tcMar>
          </w:tcPr>
          <w:p w14:paraId="3C9A371D" w14:textId="77777777" w:rsidR="00D849E8" w:rsidRDefault="00D849E8" w:rsidP="00A9140F">
            <w:pPr>
              <w:pStyle w:val="AnnexTableCellLeft"/>
            </w:pPr>
            <w:r>
              <w:t>Á ekki við</w:t>
            </w:r>
          </w:p>
        </w:tc>
      </w:tr>
    </w:tbl>
    <w:p w14:paraId="781FFA67" w14:textId="77777777" w:rsidR="00D849E8" w:rsidRDefault="00D849E8" w:rsidP="00D849E8">
      <w:pPr>
        <w:pStyle w:val="AnnexNumberedText"/>
        <w:ind w:left="504" w:hanging="504"/>
      </w:pPr>
      <w:r>
        <w:t>6.2.</w:t>
      </w:r>
      <w:r>
        <w:rPr>
          <w:b/>
        </w:rPr>
        <w:tab/>
        <w:t>Vöruflutningar með járnbrautum</w:t>
      </w:r>
    </w:p>
    <w:p w14:paraId="7DD64511" w14:textId="77777777" w:rsidR="00D849E8" w:rsidRDefault="00D849E8" w:rsidP="00D849E8">
      <w:pPr>
        <w:pStyle w:val="AnnexGrSeq3"/>
        <w:spacing w:after="120"/>
        <w:ind w:left="504"/>
        <w:jc w:val="both"/>
      </w:pPr>
      <w:r>
        <w:rPr>
          <w:i/>
        </w:rPr>
        <w:t>Lýsing á starfseminni</w:t>
      </w:r>
    </w:p>
    <w:p w14:paraId="2024937D" w14:textId="77777777" w:rsidR="00D849E8" w:rsidRDefault="00D849E8" w:rsidP="00D849E8">
      <w:pPr>
        <w:pStyle w:val="AnnexNormal"/>
        <w:spacing w:after="300"/>
        <w:ind w:left="504"/>
      </w:pPr>
      <w:r>
        <w:t xml:space="preserve">Kaup, fjármögnun, eignarleiga, leiga og </w:t>
      </w:r>
      <w:proofErr w:type="spellStart"/>
      <w:r>
        <w:t>starfræksla</w:t>
      </w:r>
      <w:proofErr w:type="spellEnd"/>
      <w:r>
        <w:t xml:space="preserve"> vöruflutninga á meginjárnbrautarkerfum sem og á stuttum vöruflutningajárnbrautarlínum.</w:t>
      </w:r>
    </w:p>
    <w:p w14:paraId="363AF50F" w14:textId="77777777" w:rsidR="00D849E8" w:rsidRDefault="00D849E8" w:rsidP="00D849E8">
      <w:pPr>
        <w:pStyle w:val="AnnexNormal"/>
        <w:spacing w:after="0"/>
        <w:ind w:left="504"/>
      </w:pPr>
      <w:r>
        <w:lastRenderedPageBreak/>
        <w:t>Atvinnustarfsemin í þessum flokki gæti tengst nokkrum kóðum atvinnugreinaflokkunar Evrópusambandsins, einkum H49.20 og N77.39, í samræmi við atvinnugreinaflokkunina sem komið var á með reglugerð (EB) nr. 1893/2006.</w:t>
      </w:r>
      <w:r>
        <w:br w:type="page"/>
      </w:r>
    </w:p>
    <w:p w14:paraId="0ED80157" w14:textId="77777777" w:rsidR="00D849E8" w:rsidRDefault="00D849E8" w:rsidP="00D849E8">
      <w:pPr>
        <w:pStyle w:val="AnnexGrSeq3"/>
        <w:ind w:left="504"/>
        <w:jc w:val="both"/>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04"/>
        <w:gridCol w:w="5832"/>
      </w:tblGrid>
      <w:tr w:rsidR="00D849E8" w14:paraId="26881563" w14:textId="77777777" w:rsidTr="00A9140F">
        <w:trPr>
          <w:trHeight w:val="280"/>
        </w:trPr>
        <w:tc>
          <w:tcPr>
            <w:tcW w:w="8736" w:type="dxa"/>
            <w:gridSpan w:val="2"/>
            <w:tcBorders>
              <w:bottom w:val="single" w:sz="4" w:space="0" w:color="auto"/>
            </w:tcBorders>
            <w:tcMar>
              <w:left w:w="0" w:type="dxa"/>
              <w:right w:w="60" w:type="dxa"/>
            </w:tcMar>
          </w:tcPr>
          <w:p w14:paraId="0FB825A0" w14:textId="77777777" w:rsidR="00D849E8" w:rsidRDefault="00D849E8" w:rsidP="00A9140F">
            <w:pPr>
              <w:pStyle w:val="AnnexTableCellLeft"/>
              <w:spacing w:before="40" w:after="40"/>
            </w:pPr>
            <w:r>
              <w:t>Verulegt framlag til aðlögunar að loftslagsbreytingum</w:t>
            </w:r>
          </w:p>
        </w:tc>
      </w:tr>
      <w:tr w:rsidR="00D849E8" w14:paraId="607CC23E" w14:textId="77777777" w:rsidTr="00A9140F">
        <w:trPr>
          <w:trHeight w:val="360"/>
        </w:trPr>
        <w:tc>
          <w:tcPr>
            <w:tcW w:w="8736" w:type="dxa"/>
            <w:gridSpan w:val="2"/>
            <w:tcBorders>
              <w:bottom w:val="nil"/>
            </w:tcBorders>
            <w:tcMar>
              <w:left w:w="0" w:type="dxa"/>
              <w:right w:w="60" w:type="dxa"/>
            </w:tcMar>
          </w:tcPr>
          <w:p w14:paraId="4DA93B86"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05D653C"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A019BAB"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ABDC61D"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D661BF5"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714B3C2D"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E5070B2"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F0061AA"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0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CAF7A1E"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06"/>
            </w:r>
            <w:r>
              <w:t>), vísindalegt ritrýnt útgefið efni og líkön með opnum aðgangi (</w:t>
            </w:r>
            <w:r>
              <w:rPr>
                <w:rStyle w:val="Tilvsunneanmlsgrein"/>
                <w:sz w:val="18"/>
                <w:szCs w:val="18"/>
              </w:rPr>
              <w:footnoteReference w:id="807"/>
            </w:r>
            <w:r>
              <w:t>) eða gegn greiðslu.</w:t>
            </w:r>
          </w:p>
          <w:p w14:paraId="22ECB60E"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6E10F2F3"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1B455981"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808"/>
            </w:r>
            <w:r>
              <w:t>) í forgangi eða treyst er á bláa eða græna innviði (</w:t>
            </w:r>
            <w:r>
              <w:rPr>
                <w:rStyle w:val="Tilvsunneanmlsgrein"/>
                <w:sz w:val="18"/>
                <w:szCs w:val="18"/>
              </w:rPr>
              <w:footnoteReference w:id="809"/>
            </w:r>
            <w:r>
              <w:t>) að því marki sem mögulegt er,</w:t>
            </w:r>
          </w:p>
          <w:p w14:paraId="4E875BD7"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39DB26DD"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76ECB5F" w14:textId="77777777" w:rsidR="00D849E8" w:rsidRDefault="00D849E8" w:rsidP="00A9140F">
            <w:pPr>
              <w:pStyle w:val="AnnexNumberedText"/>
              <w:spacing w:after="0"/>
              <w:rPr>
                <w:szCs w:val="18"/>
              </w:rPr>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D849E8" w14:paraId="595E086B" w14:textId="77777777" w:rsidTr="00A9140F">
        <w:trPr>
          <w:trHeight w:val="240"/>
        </w:trPr>
        <w:tc>
          <w:tcPr>
            <w:tcW w:w="8736" w:type="dxa"/>
            <w:gridSpan w:val="2"/>
            <w:tcBorders>
              <w:top w:val="single" w:sz="4" w:space="0" w:color="auto"/>
            </w:tcBorders>
            <w:tcMar>
              <w:top w:w="100" w:type="dxa"/>
              <w:left w:w="0" w:type="dxa"/>
              <w:bottom w:w="100" w:type="dxa"/>
              <w:right w:w="60" w:type="dxa"/>
            </w:tcMar>
          </w:tcPr>
          <w:p w14:paraId="2D34B059" w14:textId="77777777" w:rsidR="00D849E8" w:rsidRDefault="00D849E8" w:rsidP="00A9140F">
            <w:pPr>
              <w:pStyle w:val="AnnexTableCellLeft"/>
              <w:pageBreakBefore/>
            </w:pPr>
            <w:r>
              <w:lastRenderedPageBreak/>
              <w:t>Ekki valda umtalsverðu tjóni</w:t>
            </w:r>
          </w:p>
        </w:tc>
      </w:tr>
      <w:tr w:rsidR="00D849E8" w14:paraId="1CEAEC2F" w14:textId="77777777" w:rsidTr="00A9140F">
        <w:tc>
          <w:tcPr>
            <w:tcW w:w="2904" w:type="dxa"/>
            <w:tcMar>
              <w:top w:w="100" w:type="dxa"/>
              <w:left w:w="0" w:type="dxa"/>
              <w:bottom w:w="100" w:type="dxa"/>
              <w:right w:w="60" w:type="dxa"/>
            </w:tcMar>
          </w:tcPr>
          <w:p w14:paraId="0775D2A8" w14:textId="77777777" w:rsidR="00D849E8" w:rsidRDefault="00D849E8" w:rsidP="00A9140F">
            <w:pPr>
              <w:pStyle w:val="AnnexNumberedText"/>
              <w:spacing w:after="0"/>
              <w:ind w:left="293" w:hanging="293"/>
            </w:pPr>
            <w:r>
              <w:t>1)</w:t>
            </w:r>
            <w:r>
              <w:tab/>
              <w:t>Mildun loftslagsbreytinga</w:t>
            </w:r>
          </w:p>
        </w:tc>
        <w:tc>
          <w:tcPr>
            <w:tcW w:w="5832" w:type="dxa"/>
            <w:tcMar>
              <w:top w:w="100" w:type="dxa"/>
              <w:left w:w="60" w:type="dxa"/>
              <w:bottom w:w="100" w:type="dxa"/>
              <w:right w:w="0" w:type="dxa"/>
            </w:tcMar>
          </w:tcPr>
          <w:p w14:paraId="4E1F2C14" w14:textId="77777777" w:rsidR="00D849E8" w:rsidRDefault="00D849E8" w:rsidP="00A9140F">
            <w:pPr>
              <w:pStyle w:val="AnnexTableCellLeft"/>
            </w:pPr>
            <w:r>
              <w:t>Lestir og vagnar eru ekki ætluð til flutninga á jarðefnaeldsneyti.</w:t>
            </w:r>
          </w:p>
        </w:tc>
      </w:tr>
      <w:tr w:rsidR="00D849E8" w14:paraId="3E51FBA8" w14:textId="77777777" w:rsidTr="00A9140F">
        <w:tc>
          <w:tcPr>
            <w:tcW w:w="2904" w:type="dxa"/>
            <w:tcMar>
              <w:top w:w="100" w:type="dxa"/>
              <w:left w:w="0" w:type="dxa"/>
              <w:bottom w:w="100" w:type="dxa"/>
              <w:right w:w="60" w:type="dxa"/>
            </w:tcMar>
          </w:tcPr>
          <w:p w14:paraId="7B7396A5" w14:textId="77777777" w:rsidR="00D849E8" w:rsidRDefault="00D849E8" w:rsidP="00A9140F">
            <w:pPr>
              <w:pStyle w:val="AnnexNumberedText"/>
              <w:spacing w:after="0"/>
              <w:ind w:left="293" w:hanging="293"/>
            </w:pPr>
            <w:r>
              <w:t>3)</w:t>
            </w:r>
            <w:r>
              <w:tab/>
              <w:t>Sjálfbær notkun og verndun vatns- og sjávarauðlinda</w:t>
            </w:r>
          </w:p>
        </w:tc>
        <w:tc>
          <w:tcPr>
            <w:tcW w:w="5832" w:type="dxa"/>
            <w:tcMar>
              <w:top w:w="100" w:type="dxa"/>
              <w:left w:w="60" w:type="dxa"/>
              <w:bottom w:w="100" w:type="dxa"/>
              <w:right w:w="0" w:type="dxa"/>
            </w:tcMar>
          </w:tcPr>
          <w:p w14:paraId="1C673466" w14:textId="77777777" w:rsidR="00D849E8" w:rsidRDefault="00D849E8" w:rsidP="00A9140F">
            <w:pPr>
              <w:pStyle w:val="AnnexTableCellLeft"/>
            </w:pPr>
            <w:r>
              <w:t>Á ekki við</w:t>
            </w:r>
          </w:p>
        </w:tc>
      </w:tr>
      <w:tr w:rsidR="00D849E8" w14:paraId="1F3247A9" w14:textId="77777777" w:rsidTr="00A9140F">
        <w:tc>
          <w:tcPr>
            <w:tcW w:w="2904" w:type="dxa"/>
            <w:tcMar>
              <w:top w:w="100" w:type="dxa"/>
              <w:left w:w="0" w:type="dxa"/>
              <w:bottom w:w="100" w:type="dxa"/>
              <w:right w:w="60" w:type="dxa"/>
            </w:tcMar>
          </w:tcPr>
          <w:p w14:paraId="6A302443" w14:textId="77777777" w:rsidR="00D849E8" w:rsidRDefault="00D849E8" w:rsidP="00A9140F">
            <w:pPr>
              <w:pStyle w:val="AnnexNumberedText"/>
              <w:spacing w:after="0"/>
              <w:ind w:left="293" w:hanging="293"/>
            </w:pPr>
            <w:r>
              <w:t>4)</w:t>
            </w:r>
            <w:r>
              <w:tab/>
              <w:t>Umskipti yfir í hringrásarhagkerfi</w:t>
            </w:r>
          </w:p>
        </w:tc>
        <w:tc>
          <w:tcPr>
            <w:tcW w:w="5832" w:type="dxa"/>
            <w:tcMar>
              <w:top w:w="100" w:type="dxa"/>
              <w:left w:w="60" w:type="dxa"/>
              <w:bottom w:w="100" w:type="dxa"/>
              <w:right w:w="0" w:type="dxa"/>
            </w:tcMar>
          </w:tcPr>
          <w:p w14:paraId="53EBFC13" w14:textId="77777777" w:rsidR="00D849E8" w:rsidRDefault="00D849E8" w:rsidP="00A9140F">
            <w:pPr>
              <w:pStyle w:val="AnnexTableCellLeft"/>
            </w:pPr>
            <w:r>
              <w:t>Ráðstafanir til úrgangsstjórnunar eru til staðar í samræmi við úrgangsmetakerfið, einkum meðan á viðhaldi stendur.</w:t>
            </w:r>
          </w:p>
        </w:tc>
      </w:tr>
      <w:tr w:rsidR="00D849E8" w14:paraId="5A402D70" w14:textId="77777777" w:rsidTr="00A9140F">
        <w:tc>
          <w:tcPr>
            <w:tcW w:w="2904" w:type="dxa"/>
            <w:tcMar>
              <w:top w:w="100" w:type="dxa"/>
              <w:left w:w="0" w:type="dxa"/>
              <w:bottom w:w="100" w:type="dxa"/>
              <w:right w:w="60" w:type="dxa"/>
            </w:tcMar>
          </w:tcPr>
          <w:p w14:paraId="66F3E14E" w14:textId="77777777" w:rsidR="00D849E8" w:rsidRDefault="00D849E8" w:rsidP="00A9140F">
            <w:pPr>
              <w:pStyle w:val="AnnexNumberedText"/>
              <w:spacing w:after="0"/>
              <w:ind w:left="293" w:hanging="293"/>
            </w:pPr>
            <w:r>
              <w:t>5)</w:t>
            </w:r>
            <w:r>
              <w:tab/>
              <w:t>Mengunarvarnir og eftirlit með mengun</w:t>
            </w:r>
          </w:p>
        </w:tc>
        <w:tc>
          <w:tcPr>
            <w:tcW w:w="5832" w:type="dxa"/>
            <w:tcMar>
              <w:top w:w="100" w:type="dxa"/>
              <w:left w:w="60" w:type="dxa"/>
              <w:bottom w:w="100" w:type="dxa"/>
              <w:right w:w="0" w:type="dxa"/>
            </w:tcMar>
          </w:tcPr>
          <w:p w14:paraId="35174F0B" w14:textId="77777777" w:rsidR="00D849E8" w:rsidRDefault="00D849E8" w:rsidP="00A9140F">
            <w:pPr>
              <w:pStyle w:val="AnnexTableCellLeft"/>
            </w:pPr>
            <w:r>
              <w:t xml:space="preserve">Hreyflar til að knýja </w:t>
            </w:r>
            <w:proofErr w:type="spellStart"/>
            <w:r>
              <w:t>eimreiðar</w:t>
            </w:r>
            <w:proofErr w:type="spellEnd"/>
            <w:r>
              <w:t xml:space="preserve"> fyrir járnbrautir og hreyflar til að knýja sporreiðar eru í samræmi við losunarmörkin sem sett eru fram í II. viðauka við reglugerð (ESB) 2016/1628.</w:t>
            </w:r>
          </w:p>
        </w:tc>
      </w:tr>
      <w:tr w:rsidR="00D849E8" w14:paraId="4210DB41" w14:textId="77777777" w:rsidTr="00A9140F">
        <w:tc>
          <w:tcPr>
            <w:tcW w:w="2904" w:type="dxa"/>
            <w:tcMar>
              <w:top w:w="100" w:type="dxa"/>
              <w:left w:w="0" w:type="dxa"/>
              <w:bottom w:w="100" w:type="dxa"/>
              <w:right w:w="60" w:type="dxa"/>
            </w:tcMar>
          </w:tcPr>
          <w:p w14:paraId="6B1C16B9" w14:textId="77777777" w:rsidR="00D849E8" w:rsidRDefault="00D849E8" w:rsidP="00A9140F">
            <w:pPr>
              <w:pStyle w:val="AnnexNumberedText"/>
              <w:spacing w:after="0"/>
              <w:ind w:left="293" w:hanging="293"/>
            </w:pPr>
            <w:r>
              <w:t>6)</w:t>
            </w:r>
            <w:r>
              <w:tab/>
              <w:t>Vernd og endurheimt líffræðilegrar fjölbreytni og vistkerfa</w:t>
            </w:r>
          </w:p>
        </w:tc>
        <w:tc>
          <w:tcPr>
            <w:tcW w:w="5832" w:type="dxa"/>
            <w:tcMar>
              <w:top w:w="100" w:type="dxa"/>
              <w:left w:w="60" w:type="dxa"/>
              <w:bottom w:w="100" w:type="dxa"/>
              <w:right w:w="0" w:type="dxa"/>
            </w:tcMar>
          </w:tcPr>
          <w:p w14:paraId="2FA0ACC5" w14:textId="77777777" w:rsidR="00D849E8" w:rsidRDefault="00D849E8" w:rsidP="00A9140F">
            <w:pPr>
              <w:pStyle w:val="AnnexTableCellLeft"/>
            </w:pPr>
            <w:r>
              <w:t>Á ekki við</w:t>
            </w:r>
          </w:p>
        </w:tc>
      </w:tr>
    </w:tbl>
    <w:p w14:paraId="1BB836B7" w14:textId="77777777" w:rsidR="00D849E8" w:rsidRDefault="00D849E8" w:rsidP="00D849E8">
      <w:pPr>
        <w:pStyle w:val="AnnexNumberedText"/>
        <w:ind w:left="504" w:hanging="504"/>
      </w:pPr>
      <w:r>
        <w:t>6.3.</w:t>
      </w:r>
      <w:r>
        <w:rPr>
          <w:b/>
        </w:rPr>
        <w:tab/>
        <w:t>Flutningar í þéttbýli og úthverfum, farþegaflutningar á vegum</w:t>
      </w:r>
    </w:p>
    <w:p w14:paraId="0517C5C1" w14:textId="77777777" w:rsidR="00D849E8" w:rsidRDefault="00D849E8" w:rsidP="00D849E8">
      <w:pPr>
        <w:pStyle w:val="AnnexGrSeq3"/>
        <w:spacing w:after="120"/>
        <w:ind w:left="504"/>
        <w:jc w:val="both"/>
      </w:pPr>
      <w:r>
        <w:rPr>
          <w:i/>
        </w:rPr>
        <w:t>Lýsing á starfseminni</w:t>
      </w:r>
    </w:p>
    <w:p w14:paraId="7C0A2439" w14:textId="77777777" w:rsidR="00D849E8" w:rsidRDefault="00D849E8" w:rsidP="00D849E8">
      <w:pPr>
        <w:pStyle w:val="AnnexNormal"/>
        <w:spacing w:after="400"/>
        <w:ind w:left="504"/>
      </w:pPr>
      <w:r>
        <w:t xml:space="preserve">Kaup, fjármögnun, eignarleiga, leiga og </w:t>
      </w:r>
      <w:proofErr w:type="spellStart"/>
      <w:r>
        <w:t>starfræksla</w:t>
      </w:r>
      <w:proofErr w:type="spellEnd"/>
      <w:r>
        <w:t xml:space="preserve"> farartækja til farþegaflutninga í þéttbýli og úthverfum og farþegaflutninga á vegum.</w:t>
      </w:r>
    </w:p>
    <w:p w14:paraId="2C1C97DE" w14:textId="77777777" w:rsidR="00D849E8" w:rsidRDefault="00D849E8" w:rsidP="00D849E8">
      <w:pPr>
        <w:pStyle w:val="AnnexNormal"/>
        <w:spacing w:after="400"/>
        <w:ind w:left="504"/>
      </w:pPr>
      <w:r>
        <w:t xml:space="preserve">Að því er varðar vélknúin ökutæki tekur hún til </w:t>
      </w:r>
      <w:proofErr w:type="spellStart"/>
      <w:r>
        <w:t>starfrækslu</w:t>
      </w:r>
      <w:proofErr w:type="spellEnd"/>
      <w:r>
        <w:t xml:space="preserve"> farartækja sem tilheyra flokki M2 eða M3, í samræmi við 1. mgr. 4. gr. reglugerðar (ESB) 2018/858, vegna farþegaflutninga.</w:t>
      </w:r>
    </w:p>
    <w:p w14:paraId="5FFAEE8C" w14:textId="77777777" w:rsidR="00D849E8" w:rsidRDefault="00D849E8" w:rsidP="00D849E8">
      <w:pPr>
        <w:pStyle w:val="AnnexNormal"/>
        <w:spacing w:after="400"/>
        <w:ind w:left="504"/>
      </w:pPr>
      <w:r>
        <w:t xml:space="preserve">Atvinnustarfsemin í þessum flokki getur náð yfir </w:t>
      </w:r>
      <w:proofErr w:type="spellStart"/>
      <w:r>
        <w:t>starfrækslu</w:t>
      </w:r>
      <w:proofErr w:type="spellEnd"/>
      <w:r>
        <w:t xml:space="preserve"> mismunandi flutningsmáta á landi, s.s. með strætisvagni, sporvagni, </w:t>
      </w:r>
      <w:proofErr w:type="spellStart"/>
      <w:r>
        <w:t>rafknúnum</w:t>
      </w:r>
      <w:proofErr w:type="spellEnd"/>
      <w:r>
        <w:t xml:space="preserve"> strætisvagni, lest neðanjarðar og lest í lofti. Þetta nær einnig yfir línur milli borgar og flugstöðvar eða borgar og stöðvar og </w:t>
      </w:r>
      <w:proofErr w:type="spellStart"/>
      <w:r>
        <w:t>starfrækslu</w:t>
      </w:r>
      <w:proofErr w:type="spellEnd"/>
      <w:r>
        <w:t xml:space="preserve"> togbrauta á teinum og togbrauta í lofti þar sem þær eru hluti af samgöngukerfum í þéttbýli og úthverfum.</w:t>
      </w:r>
    </w:p>
    <w:p w14:paraId="389E54F7" w14:textId="77777777" w:rsidR="00D849E8" w:rsidRDefault="00D849E8" w:rsidP="00D849E8">
      <w:pPr>
        <w:pStyle w:val="AnnexNormal"/>
        <w:spacing w:after="400"/>
        <w:ind w:left="504"/>
      </w:pPr>
      <w:r>
        <w:t>Atvinnustarfsemin í þessum flokki nær einnig yfir áætlunarferðir með langferðabifreiðum, leiguflutninga, skoðunarferðir og aðrar óreglubundnar hópferðir, flugrútur (þ.m.t. innan flugvalla), rekstur skólarúta og rúta til flutninga.</w:t>
      </w:r>
    </w:p>
    <w:p w14:paraId="2D2E54FC" w14:textId="77777777" w:rsidR="00D849E8" w:rsidRDefault="00D849E8" w:rsidP="00D849E8">
      <w:pPr>
        <w:pStyle w:val="AnnexNormal"/>
        <w:spacing w:after="400"/>
        <w:ind w:left="504"/>
      </w:pPr>
      <w:r>
        <w:t>Atvinnustarfsemin í þessum flokki gæti tengst nokkrum kóðum atvinnugreinaflokkunar Evrópusambandsins, einkum H49.31, H49.3.9, N77.39 og N77.11, í samræmi við atvinnugreinaflokkunina sem komið var á með reglugerð (EB) nr. 1893/2006.</w:t>
      </w:r>
    </w:p>
    <w:p w14:paraId="657F0570"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04"/>
        <w:gridCol w:w="5832"/>
      </w:tblGrid>
      <w:tr w:rsidR="00D849E8" w14:paraId="0D909164" w14:textId="77777777" w:rsidTr="00A9140F">
        <w:trPr>
          <w:trHeight w:val="280"/>
        </w:trPr>
        <w:tc>
          <w:tcPr>
            <w:tcW w:w="8736" w:type="dxa"/>
            <w:gridSpan w:val="2"/>
            <w:tcBorders>
              <w:bottom w:val="single" w:sz="4" w:space="0" w:color="auto"/>
            </w:tcBorders>
            <w:tcMar>
              <w:left w:w="0" w:type="dxa"/>
              <w:right w:w="60" w:type="dxa"/>
            </w:tcMar>
          </w:tcPr>
          <w:p w14:paraId="550074E0" w14:textId="77777777" w:rsidR="00D849E8" w:rsidRDefault="00D849E8" w:rsidP="00A9140F">
            <w:pPr>
              <w:pStyle w:val="AnnexTableCellLeft"/>
              <w:spacing w:before="40" w:after="40"/>
            </w:pPr>
            <w:r>
              <w:t>Verulegt framlag til aðlögunar að loftslagsbreytingum</w:t>
            </w:r>
          </w:p>
        </w:tc>
      </w:tr>
      <w:tr w:rsidR="00D849E8" w14:paraId="26D31981" w14:textId="77777777" w:rsidTr="00A9140F">
        <w:trPr>
          <w:trHeight w:val="360"/>
        </w:trPr>
        <w:tc>
          <w:tcPr>
            <w:tcW w:w="8736" w:type="dxa"/>
            <w:gridSpan w:val="2"/>
            <w:tcBorders>
              <w:bottom w:val="nil"/>
            </w:tcBorders>
            <w:tcMar>
              <w:left w:w="0" w:type="dxa"/>
              <w:right w:w="60" w:type="dxa"/>
            </w:tcMar>
          </w:tcPr>
          <w:p w14:paraId="7E265EE6" w14:textId="77777777" w:rsidR="00D849E8" w:rsidRDefault="00D849E8" w:rsidP="00A9140F">
            <w:pPr>
              <w:pStyle w:val="AnnexNumberedText"/>
              <w:tabs>
                <w:tab w:val="left" w:pos="396"/>
              </w:tabs>
              <w:spacing w:after="2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211398E4" w14:textId="77777777" w:rsidR="00D849E8" w:rsidRDefault="00D849E8" w:rsidP="00A9140F">
            <w:pPr>
              <w:pStyle w:val="AnnexNumberedText"/>
              <w:tabs>
                <w:tab w:val="left" w:pos="396"/>
              </w:tabs>
              <w:spacing w:after="2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7DD15B5" w14:textId="77777777" w:rsidR="00D849E8" w:rsidRDefault="00D849E8" w:rsidP="00A9140F">
            <w:pPr>
              <w:pStyle w:val="AnnexNumberedText"/>
              <w:spacing w:after="240"/>
            </w:pPr>
            <w:r>
              <w:t>a)</w:t>
            </w:r>
            <w:r>
              <w:tab/>
              <w:t>skimun á starfseminni til að greina hvaða efnislega loftslagsáhætta úr skránni í viðbæti A við þennan viðauka getur haft áhrif á árangurinn af atvinnustarfseminni á væntum líftíma hennar,</w:t>
            </w:r>
          </w:p>
          <w:p w14:paraId="4796810B" w14:textId="77777777" w:rsidR="00D849E8" w:rsidRDefault="00D849E8" w:rsidP="00A9140F">
            <w:pPr>
              <w:pStyle w:val="AnnexNumberedText"/>
              <w:spacing w:after="2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3E156FD" w14:textId="77777777" w:rsidR="00D849E8" w:rsidRDefault="00D849E8" w:rsidP="00A9140F">
            <w:pPr>
              <w:pStyle w:val="AnnexNumberedText"/>
              <w:spacing w:after="0"/>
            </w:pPr>
            <w:r>
              <w:t>c)</w:t>
            </w:r>
            <w:r>
              <w:tab/>
              <w:t>mat á aðlögunarlausnum sem geta dregið úr greindri efnislegri loftslagsáhættu.</w:t>
            </w:r>
          </w:p>
        </w:tc>
      </w:tr>
      <w:tr w:rsidR="00D849E8" w14:paraId="4ADC45D3" w14:textId="77777777" w:rsidTr="00A9140F">
        <w:trPr>
          <w:trHeight w:val="360"/>
        </w:trPr>
        <w:tc>
          <w:tcPr>
            <w:tcW w:w="8736" w:type="dxa"/>
            <w:gridSpan w:val="2"/>
            <w:tcBorders>
              <w:top w:val="nil"/>
            </w:tcBorders>
            <w:tcMar>
              <w:left w:w="0" w:type="dxa"/>
              <w:right w:w="60" w:type="dxa"/>
            </w:tcMar>
          </w:tcPr>
          <w:p w14:paraId="0B862B6E" w14:textId="77777777" w:rsidR="00D849E8" w:rsidRDefault="00D849E8" w:rsidP="00A9140F">
            <w:pPr>
              <w:pStyle w:val="AnnexTableCellLeft"/>
              <w:pageBreakBefore/>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353CCBF7"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86994A0"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1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577AC6C" w14:textId="77777777" w:rsidR="00D849E8" w:rsidRDefault="00D849E8"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11"/>
            </w:r>
            <w:r>
              <w:t>), vísindalegt ritrýnt útgefið efni og líkön með opnum aðgangi (</w:t>
            </w:r>
            <w:r>
              <w:rPr>
                <w:rStyle w:val="Tilvsunneanmlsgrein"/>
                <w:sz w:val="18"/>
                <w:szCs w:val="18"/>
              </w:rPr>
              <w:footnoteReference w:id="812"/>
            </w:r>
            <w:r>
              <w:t>) eða gegn greiðslu.</w:t>
            </w:r>
          </w:p>
          <w:p w14:paraId="5B1E6D18"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394C24F6"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3932B2C8"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813"/>
            </w:r>
            <w:r>
              <w:t>) í forgangi eða treyst er á bláa eða græna innviði (</w:t>
            </w:r>
            <w:r>
              <w:rPr>
                <w:rStyle w:val="Tilvsunneanmlsgrein"/>
                <w:sz w:val="18"/>
                <w:szCs w:val="18"/>
              </w:rPr>
              <w:footnoteReference w:id="814"/>
            </w:r>
            <w:r>
              <w:t>) að því marki sem mögulegt er,</w:t>
            </w:r>
          </w:p>
          <w:p w14:paraId="69016C15"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769C6221"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86D7988"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758D11D9" w14:textId="77777777" w:rsidTr="00A9140F">
        <w:tc>
          <w:tcPr>
            <w:tcW w:w="8736" w:type="dxa"/>
            <w:gridSpan w:val="2"/>
            <w:tcMar>
              <w:top w:w="100" w:type="dxa"/>
              <w:left w:w="0" w:type="dxa"/>
              <w:bottom w:w="100" w:type="dxa"/>
              <w:right w:w="60" w:type="dxa"/>
            </w:tcMar>
          </w:tcPr>
          <w:p w14:paraId="7F6F8D4F" w14:textId="77777777" w:rsidR="00D849E8" w:rsidRDefault="00D849E8" w:rsidP="00A9140F">
            <w:pPr>
              <w:pStyle w:val="AnnexTableCellLeft"/>
              <w:rPr>
                <w:szCs w:val="18"/>
              </w:rPr>
            </w:pPr>
            <w:r>
              <w:t>Ekki valda umtalsverðu tjóni</w:t>
            </w:r>
          </w:p>
        </w:tc>
      </w:tr>
      <w:tr w:rsidR="00D849E8" w14:paraId="09C97226" w14:textId="77777777" w:rsidTr="00A9140F">
        <w:tc>
          <w:tcPr>
            <w:tcW w:w="2904" w:type="dxa"/>
            <w:tcMar>
              <w:top w:w="100" w:type="dxa"/>
              <w:left w:w="0" w:type="dxa"/>
              <w:bottom w:w="100" w:type="dxa"/>
              <w:right w:w="60" w:type="dxa"/>
            </w:tcMar>
          </w:tcPr>
          <w:p w14:paraId="3FF29F4D" w14:textId="77777777" w:rsidR="00D849E8" w:rsidRDefault="00D849E8" w:rsidP="00A9140F">
            <w:pPr>
              <w:pStyle w:val="AnnexNumberedText"/>
              <w:spacing w:after="0"/>
              <w:ind w:left="293" w:hanging="293"/>
              <w:rPr>
                <w:szCs w:val="18"/>
              </w:rPr>
            </w:pPr>
            <w:r>
              <w:t>1)</w:t>
            </w:r>
            <w:r>
              <w:tab/>
              <w:t>Mildun loftslagsbreytinga</w:t>
            </w:r>
          </w:p>
        </w:tc>
        <w:tc>
          <w:tcPr>
            <w:tcW w:w="5832" w:type="dxa"/>
            <w:tcMar>
              <w:top w:w="100" w:type="dxa"/>
              <w:left w:w="60" w:type="dxa"/>
              <w:bottom w:w="100" w:type="dxa"/>
              <w:right w:w="0" w:type="dxa"/>
            </w:tcMar>
          </w:tcPr>
          <w:p w14:paraId="59D63559" w14:textId="77777777" w:rsidR="00D849E8" w:rsidRDefault="00D849E8" w:rsidP="00A9140F">
            <w:pPr>
              <w:pStyle w:val="AnnexTableCellLeft"/>
              <w:rPr>
                <w:szCs w:val="18"/>
              </w:rPr>
            </w:pPr>
            <w:r>
              <w:t>Á ekki við (</w:t>
            </w:r>
            <w:r>
              <w:rPr>
                <w:rStyle w:val="Tilvsunneanmlsgrein"/>
                <w:sz w:val="18"/>
                <w:szCs w:val="18"/>
              </w:rPr>
              <w:footnoteReference w:id="815"/>
            </w:r>
            <w:r>
              <w:t>)</w:t>
            </w:r>
          </w:p>
        </w:tc>
      </w:tr>
      <w:tr w:rsidR="00D849E8" w14:paraId="69AAE418" w14:textId="77777777" w:rsidTr="00A9140F">
        <w:tc>
          <w:tcPr>
            <w:tcW w:w="2904" w:type="dxa"/>
            <w:tcMar>
              <w:top w:w="100" w:type="dxa"/>
              <w:left w:w="0" w:type="dxa"/>
              <w:bottom w:w="100" w:type="dxa"/>
              <w:right w:w="60" w:type="dxa"/>
            </w:tcMar>
          </w:tcPr>
          <w:p w14:paraId="102CD4FA" w14:textId="77777777" w:rsidR="00D849E8" w:rsidRDefault="00D849E8" w:rsidP="00A9140F">
            <w:pPr>
              <w:pStyle w:val="AnnexNumberedText"/>
              <w:spacing w:after="0"/>
              <w:ind w:left="293" w:hanging="293"/>
            </w:pPr>
            <w:r>
              <w:t>3)</w:t>
            </w:r>
            <w:r>
              <w:tab/>
              <w:t>Sjálfbær notkun og verndun vatns- og sjávarauðlinda</w:t>
            </w:r>
          </w:p>
        </w:tc>
        <w:tc>
          <w:tcPr>
            <w:tcW w:w="5832" w:type="dxa"/>
            <w:tcMar>
              <w:top w:w="100" w:type="dxa"/>
              <w:left w:w="60" w:type="dxa"/>
              <w:bottom w:w="100" w:type="dxa"/>
              <w:right w:w="0" w:type="dxa"/>
            </w:tcMar>
          </w:tcPr>
          <w:p w14:paraId="22F34500" w14:textId="77777777" w:rsidR="00D849E8" w:rsidRDefault="00D849E8" w:rsidP="00A9140F">
            <w:pPr>
              <w:pStyle w:val="AnnexTableCellLeft"/>
            </w:pPr>
            <w:r>
              <w:t>Á ekki við</w:t>
            </w:r>
          </w:p>
        </w:tc>
      </w:tr>
      <w:tr w:rsidR="00D849E8" w14:paraId="685C978C" w14:textId="77777777" w:rsidTr="00A9140F">
        <w:tc>
          <w:tcPr>
            <w:tcW w:w="2904" w:type="dxa"/>
            <w:tcMar>
              <w:top w:w="100" w:type="dxa"/>
              <w:left w:w="0" w:type="dxa"/>
              <w:bottom w:w="100" w:type="dxa"/>
              <w:right w:w="60" w:type="dxa"/>
            </w:tcMar>
          </w:tcPr>
          <w:p w14:paraId="5BFD576A" w14:textId="77777777" w:rsidR="00D849E8" w:rsidRDefault="00D849E8" w:rsidP="00A9140F">
            <w:pPr>
              <w:pStyle w:val="AnnexNumberedText"/>
              <w:spacing w:after="0"/>
              <w:ind w:left="293" w:hanging="293"/>
            </w:pPr>
            <w:r>
              <w:t>4)</w:t>
            </w:r>
            <w:r>
              <w:tab/>
              <w:t>Umskipti yfir í hringrásarhagkerfi</w:t>
            </w:r>
          </w:p>
        </w:tc>
        <w:tc>
          <w:tcPr>
            <w:tcW w:w="5832" w:type="dxa"/>
            <w:tcMar>
              <w:top w:w="100" w:type="dxa"/>
              <w:left w:w="60" w:type="dxa"/>
              <w:bottom w:w="100" w:type="dxa"/>
              <w:right w:w="0" w:type="dxa"/>
            </w:tcMar>
          </w:tcPr>
          <w:p w14:paraId="210F7086" w14:textId="77777777" w:rsidR="00D849E8" w:rsidRDefault="00D849E8" w:rsidP="00A9140F">
            <w:pPr>
              <w:pStyle w:val="AnnexTableCellLeft"/>
            </w:pPr>
            <w:r>
              <w:t>Ráðstafanir til úrgangsstjórnunar eru til staðar í samræmi við úrgangsmetakerfið, bæði í notkunaráfanganum (viðhald) og þegar flotinn er úr sér genginn, þ.m.t. með endurnotkun og endurvinnslu rafhlaða og rafeindabúnaðar (einkum mikilvægra hráefna í þeim).</w:t>
            </w:r>
          </w:p>
        </w:tc>
      </w:tr>
      <w:tr w:rsidR="00D849E8" w14:paraId="3A6AFF0A" w14:textId="77777777" w:rsidTr="00A9140F">
        <w:tc>
          <w:tcPr>
            <w:tcW w:w="2904" w:type="dxa"/>
            <w:tcMar>
              <w:top w:w="100" w:type="dxa"/>
              <w:left w:w="0" w:type="dxa"/>
              <w:bottom w:w="100" w:type="dxa"/>
              <w:right w:w="60" w:type="dxa"/>
            </w:tcMar>
          </w:tcPr>
          <w:p w14:paraId="432ED204" w14:textId="77777777" w:rsidR="00D849E8" w:rsidRDefault="00D849E8" w:rsidP="00A9140F">
            <w:pPr>
              <w:pStyle w:val="AnnexNumberedText"/>
              <w:pageBreakBefore/>
              <w:spacing w:after="0"/>
              <w:ind w:left="293" w:hanging="293"/>
            </w:pPr>
            <w:r>
              <w:lastRenderedPageBreak/>
              <w:t>5)</w:t>
            </w:r>
            <w:r>
              <w:tab/>
              <w:t>Mengunarvarnir og eftirlit með mengun</w:t>
            </w:r>
          </w:p>
        </w:tc>
        <w:tc>
          <w:tcPr>
            <w:tcW w:w="5832" w:type="dxa"/>
            <w:tcMar>
              <w:top w:w="100" w:type="dxa"/>
              <w:left w:w="60" w:type="dxa"/>
              <w:bottom w:w="100" w:type="dxa"/>
              <w:right w:w="0" w:type="dxa"/>
            </w:tcMar>
          </w:tcPr>
          <w:p w14:paraId="763BBC77" w14:textId="77777777" w:rsidR="00D849E8" w:rsidRDefault="00D849E8" w:rsidP="00A9140F">
            <w:pPr>
              <w:pStyle w:val="AnnexTableCellLeft"/>
              <w:spacing w:after="200"/>
            </w:pPr>
            <w:r>
              <w:t xml:space="preserve">Að því er varðar ökutæki á vegum í flokki M uppfylla hjólbarðar kröfur um ytri snúningshávaða í hæsta flokknum sem er í notkun og um </w:t>
            </w:r>
            <w:proofErr w:type="spellStart"/>
            <w:r>
              <w:t>veltiviðnámsstuðul</w:t>
            </w:r>
            <w:proofErr w:type="spellEnd"/>
            <w:r>
              <w:t xml:space="preserve"> (sem hefur áhrif á </w:t>
            </w:r>
            <w:proofErr w:type="spellStart"/>
            <w:r>
              <w:t>orkunýtni</w:t>
            </w:r>
            <w:proofErr w:type="spellEnd"/>
            <w:r>
              <w:t xml:space="preserve"> farartækisins) í tveimur hæstu flokkunum sem eru í notkun, eins og sett er fram í reglugerð (ESB) 2020/740, og eins og unnt er að sannreyna í Evrópsku vöruskránni fyrir orkumerkingar (EPREL).</w:t>
            </w:r>
          </w:p>
          <w:p w14:paraId="6CBA1957" w14:textId="77777777" w:rsidR="00D849E8" w:rsidRDefault="00D849E8" w:rsidP="00A9140F">
            <w:pPr>
              <w:pStyle w:val="AnnexTableCellLeft"/>
            </w:pPr>
            <w:r>
              <w:t>Eftir atvikum uppfylla farartæki kröfurnar í nýjasta gildandi þrepi Euro VI gerðarviðurkenningarinnar að því er varðar losun þungra ökutækja sem sett er fram í samræmi við reglugerð (EB) nr. 595/2009.</w:t>
            </w:r>
          </w:p>
        </w:tc>
      </w:tr>
      <w:tr w:rsidR="00D849E8" w14:paraId="3AD52190" w14:textId="77777777" w:rsidTr="00A9140F">
        <w:tc>
          <w:tcPr>
            <w:tcW w:w="2904" w:type="dxa"/>
            <w:tcMar>
              <w:top w:w="100" w:type="dxa"/>
              <w:left w:w="0" w:type="dxa"/>
              <w:bottom w:w="100" w:type="dxa"/>
              <w:right w:w="60" w:type="dxa"/>
            </w:tcMar>
          </w:tcPr>
          <w:p w14:paraId="35C6F3C8" w14:textId="77777777" w:rsidR="00D849E8" w:rsidRDefault="00D849E8" w:rsidP="00A9140F">
            <w:pPr>
              <w:pStyle w:val="AnnexNumberedText"/>
              <w:spacing w:after="0"/>
              <w:ind w:left="293" w:hanging="293"/>
            </w:pPr>
            <w:r>
              <w:t>6)</w:t>
            </w:r>
            <w:r>
              <w:tab/>
              <w:t>Vernd og endurheimt líffræðilegrar fjölbreytni og vistkerfa</w:t>
            </w:r>
          </w:p>
        </w:tc>
        <w:tc>
          <w:tcPr>
            <w:tcW w:w="5832" w:type="dxa"/>
            <w:tcMar>
              <w:top w:w="100" w:type="dxa"/>
              <w:left w:w="60" w:type="dxa"/>
              <w:bottom w:w="100" w:type="dxa"/>
              <w:right w:w="0" w:type="dxa"/>
            </w:tcMar>
          </w:tcPr>
          <w:p w14:paraId="2C830EA2" w14:textId="77777777" w:rsidR="00D849E8" w:rsidRDefault="00D849E8" w:rsidP="00A9140F">
            <w:pPr>
              <w:pStyle w:val="AnnexTableCellLeft"/>
            </w:pPr>
            <w:r>
              <w:t>Á ekki við</w:t>
            </w:r>
          </w:p>
        </w:tc>
      </w:tr>
    </w:tbl>
    <w:p w14:paraId="1D755A72" w14:textId="77777777" w:rsidR="00D849E8" w:rsidRDefault="00D849E8" w:rsidP="00D849E8">
      <w:pPr>
        <w:pStyle w:val="AnnexNumberedText"/>
        <w:ind w:left="504" w:hanging="504"/>
      </w:pPr>
      <w:r>
        <w:t>6.4.</w:t>
      </w:r>
      <w:r>
        <w:rPr>
          <w:b/>
        </w:rPr>
        <w:tab/>
      </w:r>
      <w:proofErr w:type="spellStart"/>
      <w:r>
        <w:rPr>
          <w:b/>
        </w:rPr>
        <w:t>Starfræksla</w:t>
      </w:r>
      <w:proofErr w:type="spellEnd"/>
      <w:r>
        <w:rPr>
          <w:b/>
        </w:rPr>
        <w:t xml:space="preserve"> á ferlitækjum einstaklinga, nytjahjólaflutningastjórnun</w:t>
      </w:r>
    </w:p>
    <w:p w14:paraId="3A1B85AE" w14:textId="77777777" w:rsidR="00D849E8" w:rsidRDefault="00D849E8" w:rsidP="00D849E8">
      <w:pPr>
        <w:pStyle w:val="AnnexGrSeq3"/>
        <w:spacing w:after="120"/>
        <w:ind w:left="504"/>
        <w:jc w:val="both"/>
      </w:pPr>
      <w:r>
        <w:rPr>
          <w:i/>
        </w:rPr>
        <w:t>Lýsing á starfseminni</w:t>
      </w:r>
    </w:p>
    <w:p w14:paraId="4CE43BE0" w14:textId="77777777" w:rsidR="00D849E8" w:rsidRDefault="00D849E8" w:rsidP="00D849E8">
      <w:pPr>
        <w:pStyle w:val="AnnexNormal"/>
        <w:ind w:left="504"/>
      </w:pPr>
      <w:r>
        <w:t xml:space="preserve">Sala, kaup, eignarleiga, leiga og </w:t>
      </w:r>
      <w:proofErr w:type="spellStart"/>
      <w:r>
        <w:t>starfræksla</w:t>
      </w:r>
      <w:proofErr w:type="spellEnd"/>
      <w:r>
        <w:t xml:space="preserve"> ferlitækja eða flutningstækja einstaklinga þar sem </w:t>
      </w:r>
      <w:proofErr w:type="spellStart"/>
      <w:r>
        <w:t>knúningsaflið</w:t>
      </w:r>
      <w:proofErr w:type="spellEnd"/>
      <w:r>
        <w:t xml:space="preserve"> kemur frá hreyfingu notandans, frá vél með enga losun eða frá samblandi af vél með enga losun og líkamlegri hreyfingu. Þetta nær yfir vöruflutningaþjónustu með (nytja)hjólum (e. </w:t>
      </w:r>
      <w:proofErr w:type="spellStart"/>
      <w:r>
        <w:rPr>
          <w:i/>
          <w:iCs/>
        </w:rPr>
        <w:t>cargo</w:t>
      </w:r>
      <w:proofErr w:type="spellEnd"/>
      <w:r>
        <w:rPr>
          <w:i/>
          <w:iCs/>
        </w:rPr>
        <w:t xml:space="preserve"> </w:t>
      </w:r>
      <w:proofErr w:type="spellStart"/>
      <w:r>
        <w:rPr>
          <w:i/>
          <w:iCs/>
        </w:rPr>
        <w:t>bicycle</w:t>
      </w:r>
      <w:proofErr w:type="spellEnd"/>
      <w:r>
        <w:t>).</w:t>
      </w:r>
    </w:p>
    <w:p w14:paraId="6AD9EE25" w14:textId="77777777" w:rsidR="00D849E8" w:rsidRDefault="00D849E8" w:rsidP="00D849E8">
      <w:pPr>
        <w:pStyle w:val="AnnexNormal"/>
        <w:ind w:left="504"/>
      </w:pPr>
      <w:r>
        <w:t>Atvinnustarfsemin í þessum flokki gæti tengst nokkrum kóðum atvinnugreinaflokkunar Evrópusambandsins, einkum N77.11 og N77.21, í samræmi við atvinnugreinaflokkunina sem komið var á með reglugerð (EB) nr. 1893/2006.</w:t>
      </w:r>
    </w:p>
    <w:p w14:paraId="4591DF40"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D849E8" w14:paraId="7B89CC9B" w14:textId="77777777" w:rsidTr="00A9140F">
        <w:trPr>
          <w:trHeight w:val="280"/>
        </w:trPr>
        <w:tc>
          <w:tcPr>
            <w:tcW w:w="8736" w:type="dxa"/>
            <w:gridSpan w:val="2"/>
            <w:tcBorders>
              <w:bottom w:val="single" w:sz="4" w:space="0" w:color="auto"/>
            </w:tcBorders>
            <w:tcMar>
              <w:left w:w="0" w:type="dxa"/>
              <w:right w:w="60" w:type="dxa"/>
            </w:tcMar>
          </w:tcPr>
          <w:p w14:paraId="082E83FA" w14:textId="77777777" w:rsidR="00D849E8" w:rsidRDefault="00D849E8" w:rsidP="00A9140F">
            <w:pPr>
              <w:pStyle w:val="AnnexTableCellLeft"/>
              <w:spacing w:before="40" w:after="40"/>
            </w:pPr>
            <w:r>
              <w:t>Verulegt framlag til aðlögunar að loftslagsbreytingum</w:t>
            </w:r>
          </w:p>
        </w:tc>
      </w:tr>
      <w:tr w:rsidR="00D849E8" w14:paraId="6674C9A8" w14:textId="77777777" w:rsidTr="00A9140F">
        <w:trPr>
          <w:trHeight w:val="360"/>
        </w:trPr>
        <w:tc>
          <w:tcPr>
            <w:tcW w:w="8736" w:type="dxa"/>
            <w:gridSpan w:val="2"/>
            <w:tcBorders>
              <w:bottom w:val="nil"/>
            </w:tcBorders>
            <w:tcMar>
              <w:left w:w="0" w:type="dxa"/>
              <w:right w:w="60" w:type="dxa"/>
            </w:tcMar>
          </w:tcPr>
          <w:p w14:paraId="707B5EC0" w14:textId="77777777" w:rsidR="00D849E8" w:rsidRDefault="00D849E8" w:rsidP="00A9140F">
            <w:pPr>
              <w:pStyle w:val="AnnexNumberedText"/>
              <w:tabs>
                <w:tab w:val="left" w:pos="396"/>
              </w:tabs>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47EEE31C" w14:textId="77777777" w:rsidR="00D849E8" w:rsidRDefault="00D849E8" w:rsidP="00A9140F">
            <w:pPr>
              <w:pStyle w:val="AnnexNumberedText"/>
              <w:tabs>
                <w:tab w:val="left" w:pos="396"/>
              </w:tabs>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28B90A6" w14:textId="77777777" w:rsidR="00D849E8" w:rsidRDefault="00D849E8" w:rsidP="00A9140F">
            <w:pPr>
              <w:pStyle w:val="AnnexNumberedText"/>
              <w:rPr>
                <w:szCs w:val="18"/>
              </w:rPr>
            </w:pPr>
            <w:r>
              <w:t>a)</w:t>
            </w:r>
            <w:r>
              <w:tab/>
              <w:t>skimun á starfseminni til að greina hvaða efnislega loftslagsáhætta úr skránni í viðbæti A við þennan viðauka getur haft áhrif á árangurinn af atvinnustarfseminni á væntum líftíma hennar,</w:t>
            </w:r>
          </w:p>
          <w:p w14:paraId="2F39043A" w14:textId="77777777" w:rsidR="00D849E8" w:rsidRDefault="00D849E8" w:rsidP="00A9140F">
            <w:pPr>
              <w:pStyle w:val="AnnexNumberedText"/>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963E955" w14:textId="77777777" w:rsidR="00D849E8" w:rsidRDefault="00D849E8" w:rsidP="00A9140F">
            <w:pPr>
              <w:pStyle w:val="AnnexNumberedText"/>
              <w:rPr>
                <w:szCs w:val="18"/>
              </w:rPr>
            </w:pPr>
            <w:r>
              <w:t>c)</w:t>
            </w:r>
            <w:r>
              <w:tab/>
              <w:t>mat á aðlögunarlausnum sem geta dregið úr greindri efnislegri loftslagsáhættu.</w:t>
            </w:r>
          </w:p>
          <w:p w14:paraId="48FB2790" w14:textId="77777777" w:rsidR="00D849E8" w:rsidRDefault="00D849E8" w:rsidP="00A9140F">
            <w:pPr>
              <w:pStyle w:val="AnnexTableCellLeft"/>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629964D"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47803C1"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1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B34DFA6" w14:textId="77777777" w:rsidR="00D849E8" w:rsidRDefault="00D849E8" w:rsidP="00A9140F">
            <w:pPr>
              <w:pStyle w:val="AnnexNumberedText"/>
              <w:tabs>
                <w:tab w:val="left" w:pos="396"/>
              </w:tabs>
              <w:spacing w:after="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17"/>
            </w:r>
            <w:r>
              <w:t>), vísindalegt ritrýnt útgefið efni og líkön með opnum aðgangi (</w:t>
            </w:r>
            <w:r>
              <w:rPr>
                <w:rStyle w:val="Tilvsunneanmlsgrein"/>
                <w:sz w:val="18"/>
                <w:szCs w:val="18"/>
              </w:rPr>
              <w:footnoteReference w:id="818"/>
            </w:r>
            <w:r>
              <w:t>) eða gegn greiðslu.</w:t>
            </w:r>
          </w:p>
        </w:tc>
      </w:tr>
      <w:tr w:rsidR="00D849E8" w14:paraId="34C56AE9" w14:textId="77777777" w:rsidTr="00A9140F">
        <w:trPr>
          <w:trHeight w:val="360"/>
        </w:trPr>
        <w:tc>
          <w:tcPr>
            <w:tcW w:w="8736" w:type="dxa"/>
            <w:gridSpan w:val="2"/>
            <w:tcBorders>
              <w:top w:val="nil"/>
            </w:tcBorders>
            <w:tcMar>
              <w:left w:w="0" w:type="dxa"/>
              <w:right w:w="60" w:type="dxa"/>
            </w:tcMar>
          </w:tcPr>
          <w:p w14:paraId="296910AB" w14:textId="77777777" w:rsidR="00D849E8" w:rsidRDefault="00D849E8" w:rsidP="00A9140F">
            <w:pPr>
              <w:pStyle w:val="AnnexNumberedText"/>
              <w:pageBreakBefore/>
              <w:tabs>
                <w:tab w:val="left" w:pos="396"/>
              </w:tabs>
              <w:spacing w:after="200"/>
              <w:ind w:left="0" w:firstLine="0"/>
              <w:rPr>
                <w:szCs w:val="18"/>
              </w:rPr>
            </w:pPr>
            <w:r>
              <w:lastRenderedPageBreak/>
              <w:t>4.</w:t>
            </w:r>
            <w:r>
              <w:tab/>
              <w:t>Aðlögunarlausnir sem komið er í framkvæmd:</w:t>
            </w:r>
          </w:p>
          <w:p w14:paraId="3EB13368"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2F0DFAF8"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819"/>
            </w:r>
            <w:r>
              <w:t>) í forgangi eða treyst er á bláa eða græna innviði (</w:t>
            </w:r>
            <w:r>
              <w:rPr>
                <w:rStyle w:val="Tilvsunneanmlsgrein"/>
                <w:sz w:val="18"/>
                <w:szCs w:val="18"/>
              </w:rPr>
              <w:footnoteReference w:id="820"/>
            </w:r>
            <w:r>
              <w:t>) að því marki sem mögulegt er,</w:t>
            </w:r>
          </w:p>
          <w:p w14:paraId="4661BBEF"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2E739060"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2767078"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53DFD6BB" w14:textId="77777777" w:rsidTr="00A9140F">
        <w:trPr>
          <w:trHeight w:val="240"/>
        </w:trPr>
        <w:tc>
          <w:tcPr>
            <w:tcW w:w="8736" w:type="dxa"/>
            <w:gridSpan w:val="2"/>
            <w:tcMar>
              <w:top w:w="100" w:type="dxa"/>
              <w:left w:w="0" w:type="dxa"/>
              <w:bottom w:w="100" w:type="dxa"/>
              <w:right w:w="60" w:type="dxa"/>
            </w:tcMar>
          </w:tcPr>
          <w:p w14:paraId="14A332C8" w14:textId="77777777" w:rsidR="00D849E8" w:rsidRDefault="00D849E8" w:rsidP="00A9140F">
            <w:pPr>
              <w:pStyle w:val="AnnexTableCellLeft"/>
            </w:pPr>
            <w:r>
              <w:t>Ekki valda umtalsverðu tjóni</w:t>
            </w:r>
          </w:p>
        </w:tc>
      </w:tr>
      <w:tr w:rsidR="00D849E8" w14:paraId="093F7BE4" w14:textId="77777777" w:rsidTr="00A9140F">
        <w:tc>
          <w:tcPr>
            <w:tcW w:w="2940" w:type="dxa"/>
            <w:tcMar>
              <w:top w:w="100" w:type="dxa"/>
              <w:left w:w="0" w:type="dxa"/>
              <w:bottom w:w="100" w:type="dxa"/>
              <w:right w:w="60" w:type="dxa"/>
            </w:tcMar>
          </w:tcPr>
          <w:p w14:paraId="4D3DA6FD" w14:textId="77777777" w:rsidR="00D849E8" w:rsidRDefault="00D849E8" w:rsidP="00A9140F">
            <w:pPr>
              <w:pStyle w:val="AnnexNumberedText"/>
              <w:spacing w:after="0"/>
              <w:ind w:left="293" w:hanging="293"/>
            </w:pPr>
            <w:r>
              <w:t>1)</w:t>
            </w:r>
            <w:r>
              <w:tab/>
              <w:t>Mildun loftslagsbreytinga</w:t>
            </w:r>
          </w:p>
        </w:tc>
        <w:tc>
          <w:tcPr>
            <w:tcW w:w="5796" w:type="dxa"/>
            <w:tcMar>
              <w:top w:w="100" w:type="dxa"/>
              <w:left w:w="60" w:type="dxa"/>
              <w:bottom w:w="100" w:type="dxa"/>
              <w:right w:w="0" w:type="dxa"/>
            </w:tcMar>
          </w:tcPr>
          <w:p w14:paraId="513C16B2" w14:textId="77777777" w:rsidR="00D849E8" w:rsidRDefault="00D849E8" w:rsidP="00A9140F">
            <w:pPr>
              <w:pStyle w:val="AnnexTableCellLeft"/>
            </w:pPr>
            <w:r>
              <w:t>Á ekki við</w:t>
            </w:r>
          </w:p>
        </w:tc>
      </w:tr>
      <w:tr w:rsidR="00D849E8" w14:paraId="6AFA92CD" w14:textId="77777777" w:rsidTr="00A9140F">
        <w:tc>
          <w:tcPr>
            <w:tcW w:w="2940" w:type="dxa"/>
            <w:tcMar>
              <w:top w:w="100" w:type="dxa"/>
              <w:left w:w="0" w:type="dxa"/>
              <w:bottom w:w="100" w:type="dxa"/>
              <w:right w:w="60" w:type="dxa"/>
            </w:tcMar>
          </w:tcPr>
          <w:p w14:paraId="63808968" w14:textId="77777777" w:rsidR="00D849E8" w:rsidRDefault="00D849E8" w:rsidP="00A9140F">
            <w:pPr>
              <w:pStyle w:val="AnnexNumberedText"/>
              <w:spacing w:after="0"/>
              <w:ind w:left="293" w:hanging="293"/>
            </w:pPr>
            <w:r>
              <w:t>3)</w:t>
            </w:r>
            <w:r>
              <w:tab/>
              <w:t>Sjálfbær notkun og verndun vatns- og sjávarauðlinda</w:t>
            </w:r>
          </w:p>
        </w:tc>
        <w:tc>
          <w:tcPr>
            <w:tcW w:w="5796" w:type="dxa"/>
            <w:tcMar>
              <w:top w:w="100" w:type="dxa"/>
              <w:left w:w="60" w:type="dxa"/>
              <w:bottom w:w="100" w:type="dxa"/>
              <w:right w:w="0" w:type="dxa"/>
            </w:tcMar>
          </w:tcPr>
          <w:p w14:paraId="552441BB" w14:textId="77777777" w:rsidR="00D849E8" w:rsidRDefault="00D849E8" w:rsidP="00A9140F">
            <w:pPr>
              <w:pStyle w:val="AnnexTableCellLeft"/>
            </w:pPr>
            <w:r>
              <w:t>Á ekki við</w:t>
            </w:r>
          </w:p>
        </w:tc>
      </w:tr>
      <w:tr w:rsidR="00D849E8" w14:paraId="07627716" w14:textId="77777777" w:rsidTr="00A9140F">
        <w:tc>
          <w:tcPr>
            <w:tcW w:w="2940" w:type="dxa"/>
            <w:tcMar>
              <w:top w:w="100" w:type="dxa"/>
              <w:left w:w="0" w:type="dxa"/>
              <w:bottom w:w="100" w:type="dxa"/>
              <w:right w:w="60" w:type="dxa"/>
            </w:tcMar>
          </w:tcPr>
          <w:p w14:paraId="29DEA395" w14:textId="77777777" w:rsidR="00D849E8" w:rsidRDefault="00D849E8" w:rsidP="00A9140F">
            <w:pPr>
              <w:pStyle w:val="AnnexNumberedText"/>
              <w:spacing w:after="0"/>
              <w:ind w:left="293" w:hanging="293"/>
            </w:pPr>
            <w:r>
              <w:t>4)</w:t>
            </w:r>
            <w:r>
              <w:tab/>
              <w:t>Umskipti yfir í hringrásarhagkerfi</w:t>
            </w:r>
          </w:p>
        </w:tc>
        <w:tc>
          <w:tcPr>
            <w:tcW w:w="5796" w:type="dxa"/>
            <w:tcMar>
              <w:top w:w="100" w:type="dxa"/>
              <w:left w:w="60" w:type="dxa"/>
              <w:bottom w:w="100" w:type="dxa"/>
              <w:right w:w="0" w:type="dxa"/>
            </w:tcMar>
          </w:tcPr>
          <w:p w14:paraId="5D364E30" w14:textId="77777777" w:rsidR="00D849E8" w:rsidRDefault="00D849E8" w:rsidP="00A9140F">
            <w:pPr>
              <w:pStyle w:val="AnnexTableCellLeft"/>
            </w:pPr>
            <w:r>
              <w:t>Ráðstafanir til úrgangsstjórnunar eru til staðar í samræmi við úrgangsmetakerfið, bæði í notkunaráfanganum (viðhald) og við lok endingartímans, þ.m.t. með endurnotkun og endurvinnslu rafhlaða og rafeindabúnaðar (einkum mikilvægra hráefna í þeim).</w:t>
            </w:r>
          </w:p>
        </w:tc>
      </w:tr>
      <w:tr w:rsidR="00D849E8" w14:paraId="185CC4FF" w14:textId="77777777" w:rsidTr="00A9140F">
        <w:tc>
          <w:tcPr>
            <w:tcW w:w="2940" w:type="dxa"/>
            <w:tcMar>
              <w:top w:w="100" w:type="dxa"/>
              <w:left w:w="0" w:type="dxa"/>
              <w:bottom w:w="100" w:type="dxa"/>
              <w:right w:w="60" w:type="dxa"/>
            </w:tcMar>
          </w:tcPr>
          <w:p w14:paraId="677F2CD4" w14:textId="77777777" w:rsidR="00D849E8" w:rsidRDefault="00D849E8" w:rsidP="00A9140F">
            <w:pPr>
              <w:pStyle w:val="AnnexNumberedText"/>
              <w:spacing w:after="0"/>
              <w:ind w:left="293" w:hanging="293"/>
            </w:pPr>
            <w:r>
              <w:t>5)</w:t>
            </w:r>
            <w:r>
              <w:tab/>
              <w:t>Mengunarvarnir og eftirlit með mengun</w:t>
            </w:r>
          </w:p>
        </w:tc>
        <w:tc>
          <w:tcPr>
            <w:tcW w:w="5796" w:type="dxa"/>
            <w:tcMar>
              <w:top w:w="100" w:type="dxa"/>
              <w:left w:w="60" w:type="dxa"/>
              <w:bottom w:w="100" w:type="dxa"/>
              <w:right w:w="0" w:type="dxa"/>
            </w:tcMar>
          </w:tcPr>
          <w:p w14:paraId="14E7B6CE" w14:textId="77777777" w:rsidR="00D849E8" w:rsidRDefault="00D849E8" w:rsidP="00A9140F">
            <w:pPr>
              <w:pStyle w:val="AnnexTableCellLeft"/>
            </w:pPr>
            <w:r>
              <w:t>Á ekki við</w:t>
            </w:r>
          </w:p>
        </w:tc>
      </w:tr>
      <w:tr w:rsidR="00D849E8" w14:paraId="59F1A520" w14:textId="77777777" w:rsidTr="00A9140F">
        <w:tc>
          <w:tcPr>
            <w:tcW w:w="2940" w:type="dxa"/>
            <w:tcMar>
              <w:top w:w="100" w:type="dxa"/>
              <w:left w:w="0" w:type="dxa"/>
              <w:bottom w:w="100" w:type="dxa"/>
              <w:right w:w="60" w:type="dxa"/>
            </w:tcMar>
          </w:tcPr>
          <w:p w14:paraId="39FE1B0B" w14:textId="77777777" w:rsidR="00D849E8" w:rsidRDefault="00D849E8" w:rsidP="00A9140F">
            <w:pPr>
              <w:pStyle w:val="AnnexNumberedText"/>
              <w:spacing w:after="0"/>
              <w:ind w:left="293" w:hanging="293"/>
            </w:pPr>
            <w:r>
              <w:t>6)</w:t>
            </w:r>
            <w:r>
              <w:tab/>
              <w:t>Vernd og endurheimt líffræðilegrar fjölbreytni og vistkerfa</w:t>
            </w:r>
          </w:p>
        </w:tc>
        <w:tc>
          <w:tcPr>
            <w:tcW w:w="5796" w:type="dxa"/>
            <w:tcMar>
              <w:top w:w="100" w:type="dxa"/>
              <w:left w:w="60" w:type="dxa"/>
              <w:bottom w:w="100" w:type="dxa"/>
              <w:right w:w="0" w:type="dxa"/>
            </w:tcMar>
          </w:tcPr>
          <w:p w14:paraId="64603582" w14:textId="77777777" w:rsidR="00D849E8" w:rsidRDefault="00D849E8" w:rsidP="00A9140F">
            <w:pPr>
              <w:pStyle w:val="AnnexTableCellLeft"/>
            </w:pPr>
            <w:r>
              <w:t>Á ekki við</w:t>
            </w:r>
          </w:p>
        </w:tc>
      </w:tr>
    </w:tbl>
    <w:p w14:paraId="2658A1DB" w14:textId="77777777" w:rsidR="00D849E8" w:rsidRDefault="00D849E8" w:rsidP="00D849E8">
      <w:pPr>
        <w:pStyle w:val="AnnexNumberedText"/>
        <w:ind w:left="504" w:hanging="504"/>
      </w:pPr>
      <w:r>
        <w:t>6.5.</w:t>
      </w:r>
      <w:r>
        <w:rPr>
          <w:b/>
        </w:rPr>
        <w:tab/>
        <w:t>Flutningar með mótorhjólum, fólksbifreiðum og atvinnuökutækjum</w:t>
      </w:r>
    </w:p>
    <w:p w14:paraId="3146113F" w14:textId="77777777" w:rsidR="00D849E8" w:rsidRDefault="00D849E8" w:rsidP="00D849E8">
      <w:pPr>
        <w:pStyle w:val="AnnexGrSeq3"/>
        <w:ind w:left="504"/>
        <w:jc w:val="both"/>
      </w:pPr>
      <w:r>
        <w:rPr>
          <w:i/>
        </w:rPr>
        <w:t>Lýsing á starfseminni</w:t>
      </w:r>
    </w:p>
    <w:p w14:paraId="68106AB0" w14:textId="77777777" w:rsidR="00D849E8" w:rsidRDefault="00D849E8" w:rsidP="00D849E8">
      <w:pPr>
        <w:pStyle w:val="AnnexNormal"/>
        <w:spacing w:after="400"/>
        <w:ind w:left="504"/>
        <w:rPr>
          <w:szCs w:val="18"/>
        </w:rPr>
      </w:pPr>
      <w:r>
        <w:t xml:space="preserve">Kaup, fjármögnun, eignarleiga og </w:t>
      </w:r>
      <w:proofErr w:type="spellStart"/>
      <w:r>
        <w:t>starfræksla</w:t>
      </w:r>
      <w:proofErr w:type="spellEnd"/>
      <w:r>
        <w:t xml:space="preserve"> farartækja sem tilheyra flokki M1 (</w:t>
      </w:r>
      <w:bookmarkStart w:id="98" w:name="NOTE_820"/>
      <w:r>
        <w:rPr>
          <w:rStyle w:val="Tilvsunneanmlsgrein"/>
          <w:sz w:val="18"/>
          <w:szCs w:val="18"/>
        </w:rPr>
        <w:footnoteReference w:id="821"/>
      </w:r>
      <w:bookmarkEnd w:id="98"/>
      <w:r>
        <w:t>) og N1 (</w:t>
      </w:r>
      <w:bookmarkStart w:id="99" w:name="NOTE_821"/>
      <w:r>
        <w:rPr>
          <w:rStyle w:val="Tilvsunneanmlsgrein"/>
          <w:sz w:val="18"/>
          <w:szCs w:val="18"/>
        </w:rPr>
        <w:footnoteReference w:id="822"/>
      </w:r>
      <w:bookmarkEnd w:id="99"/>
      <w:r>
        <w:t>), sem falla báðir undir gildissvið reglugerðar (EB) nr. 715/2007, eða L (farartæki á tveimur eða þremur hjólum og fjórhjól) (</w:t>
      </w:r>
      <w:bookmarkStart w:id="100" w:name="NOTE_822"/>
      <w:r>
        <w:rPr>
          <w:rStyle w:val="Tilvsunneanmlsgrein"/>
          <w:sz w:val="18"/>
          <w:szCs w:val="18"/>
        </w:rPr>
        <w:footnoteReference w:id="823"/>
      </w:r>
      <w:bookmarkEnd w:id="100"/>
      <w:r>
        <w:t>).</w:t>
      </w:r>
    </w:p>
    <w:p w14:paraId="58D9C2BE" w14:textId="77777777" w:rsidR="00D849E8" w:rsidRDefault="00D849E8" w:rsidP="00D849E8">
      <w:pPr>
        <w:pStyle w:val="AnnexNormal"/>
        <w:spacing w:after="400"/>
        <w:ind w:left="504"/>
      </w:pPr>
      <w:r>
        <w:t>Atvinnustarfsemin í þessum flokki gæti tengst nokkrum kóðum atvinnugreinaflokkunar Evrópusambandsins, einkum H49.32, H49.39 og N77.11, í samræmi við atvinnugreinaflokkunina sem komið var á með reglugerð (EB) nr. 1893/2006.</w:t>
      </w:r>
    </w:p>
    <w:p w14:paraId="3510E6F0"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78DF8157" w14:textId="77777777" w:rsidTr="00A9140F">
        <w:trPr>
          <w:trHeight w:val="280"/>
        </w:trPr>
        <w:tc>
          <w:tcPr>
            <w:tcW w:w="8736" w:type="dxa"/>
            <w:gridSpan w:val="2"/>
            <w:tcBorders>
              <w:bottom w:val="single" w:sz="4" w:space="0" w:color="auto"/>
            </w:tcBorders>
            <w:tcMar>
              <w:left w:w="0" w:type="dxa"/>
              <w:right w:w="60" w:type="dxa"/>
            </w:tcMar>
          </w:tcPr>
          <w:p w14:paraId="64785EF3" w14:textId="77777777" w:rsidR="00D849E8" w:rsidRDefault="00D849E8" w:rsidP="00A9140F">
            <w:pPr>
              <w:pStyle w:val="AnnexTableCellLeft"/>
              <w:spacing w:before="40" w:after="40"/>
            </w:pPr>
            <w:r>
              <w:t>Verulegt framlag til aðlögunar að loftslagsbreytingum</w:t>
            </w:r>
          </w:p>
        </w:tc>
      </w:tr>
      <w:tr w:rsidR="00D849E8" w14:paraId="7A3D3E88" w14:textId="77777777" w:rsidTr="00A9140F">
        <w:trPr>
          <w:trHeight w:val="360"/>
        </w:trPr>
        <w:tc>
          <w:tcPr>
            <w:tcW w:w="8736" w:type="dxa"/>
            <w:gridSpan w:val="2"/>
            <w:tcBorders>
              <w:bottom w:val="nil"/>
            </w:tcBorders>
            <w:tcMar>
              <w:left w:w="0" w:type="dxa"/>
              <w:right w:w="60" w:type="dxa"/>
            </w:tcMar>
          </w:tcPr>
          <w:p w14:paraId="3171EA7B" w14:textId="77777777" w:rsidR="00D849E8" w:rsidRDefault="00D849E8" w:rsidP="00A9140F">
            <w:pPr>
              <w:pStyle w:val="AnnexNumberedText"/>
              <w:tabs>
                <w:tab w:val="left" w:pos="396"/>
              </w:tabs>
              <w:spacing w:after="0"/>
              <w:ind w:left="0" w:firstLine="0"/>
            </w:pPr>
            <w:r>
              <w:lastRenderedPageBreak/>
              <w:t>1.</w:t>
            </w:r>
            <w:r>
              <w:tab/>
              <w:t>Í starfseminni hefur verið komið í framkvæmd efnislegum og óefnislegum lausnum („aðlögunarlausnum“) sem draga verulega úr helstu efnislegu loftslagsáhættunum sem hafa mikla þýðingu fyrir þessa starfsemi.</w:t>
            </w:r>
          </w:p>
        </w:tc>
      </w:tr>
      <w:tr w:rsidR="00D849E8" w14:paraId="237F02D3" w14:textId="77777777" w:rsidTr="00A9140F">
        <w:trPr>
          <w:trHeight w:val="360"/>
        </w:trPr>
        <w:tc>
          <w:tcPr>
            <w:tcW w:w="8736" w:type="dxa"/>
            <w:gridSpan w:val="2"/>
            <w:tcBorders>
              <w:top w:val="nil"/>
              <w:bottom w:val="nil"/>
            </w:tcBorders>
            <w:tcMar>
              <w:left w:w="0" w:type="dxa"/>
              <w:right w:w="60" w:type="dxa"/>
            </w:tcMar>
          </w:tcPr>
          <w:p w14:paraId="1A94DD0C" w14:textId="77777777" w:rsidR="00D849E8" w:rsidRDefault="00D849E8" w:rsidP="00A9140F">
            <w:pPr>
              <w:pStyle w:val="AnnexNumberedText"/>
              <w:pageBreakBefore/>
              <w:tabs>
                <w:tab w:val="left" w:pos="396"/>
              </w:tabs>
              <w:spacing w:after="300"/>
              <w:ind w:left="0" w:firstLine="0"/>
              <w:rPr>
                <w:szCs w:val="18"/>
              </w:rPr>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BF0CFBA" w14:textId="77777777" w:rsidR="00D849E8" w:rsidRDefault="00D849E8" w:rsidP="00A9140F">
            <w:pPr>
              <w:pStyle w:val="AnnexNumberedText"/>
              <w:spacing w:after="3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405DFF84" w14:textId="77777777" w:rsidR="00D849E8" w:rsidRDefault="00D849E8" w:rsidP="00A9140F">
            <w:pPr>
              <w:pStyle w:val="AnnexNumberedText"/>
              <w:spacing w:after="3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12048D6" w14:textId="77777777" w:rsidR="00D849E8" w:rsidRDefault="00D849E8" w:rsidP="00A9140F">
            <w:pPr>
              <w:pStyle w:val="AnnexNumberedText"/>
              <w:spacing w:after="300"/>
              <w:rPr>
                <w:szCs w:val="18"/>
              </w:rPr>
            </w:pPr>
            <w:r>
              <w:t>c)</w:t>
            </w:r>
            <w:r>
              <w:tab/>
              <w:t>mat á aðlögunarlausnum sem geta dregið úr greindri efnislegri loftslagsáhættu.</w:t>
            </w:r>
          </w:p>
          <w:p w14:paraId="7E972A6E" w14:textId="77777777" w:rsidR="00D849E8" w:rsidRDefault="00D849E8" w:rsidP="00A9140F">
            <w:pPr>
              <w:pStyle w:val="AnnexTableCellLeft"/>
              <w:spacing w:after="3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0843C55C" w14:textId="77777777" w:rsidR="00D849E8" w:rsidRDefault="00D849E8" w:rsidP="00A9140F">
            <w:pPr>
              <w:pStyle w:val="AnnexNumberedText"/>
              <w:spacing w:after="3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AF71697" w14:textId="77777777" w:rsidR="00D849E8" w:rsidRDefault="00D849E8" w:rsidP="00A9140F">
            <w:pPr>
              <w:pStyle w:val="AnnexNumberedText"/>
              <w:spacing w:after="3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2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42A7339" w14:textId="77777777" w:rsidR="00D849E8" w:rsidRDefault="00D849E8" w:rsidP="00A9140F">
            <w:pPr>
              <w:pStyle w:val="AnnexNumberedText"/>
              <w:tabs>
                <w:tab w:val="left" w:pos="396"/>
              </w:tabs>
              <w:spacing w:after="3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25"/>
            </w:r>
            <w:r>
              <w:t>), vísindalegt ritrýnt útgefið efni og líkön með opnum aðgangi (</w:t>
            </w:r>
            <w:r>
              <w:rPr>
                <w:rStyle w:val="Tilvsunneanmlsgrein"/>
                <w:sz w:val="18"/>
                <w:szCs w:val="18"/>
              </w:rPr>
              <w:footnoteReference w:id="826"/>
            </w:r>
            <w:r>
              <w:t>) eða gegn greiðslu.</w:t>
            </w:r>
          </w:p>
          <w:p w14:paraId="4B933FC7" w14:textId="77777777" w:rsidR="00D849E8" w:rsidRDefault="00D849E8" w:rsidP="00A9140F">
            <w:pPr>
              <w:pStyle w:val="AnnexNumberedText"/>
              <w:tabs>
                <w:tab w:val="left" w:pos="396"/>
              </w:tabs>
              <w:spacing w:after="300"/>
              <w:ind w:left="0" w:firstLine="0"/>
              <w:rPr>
                <w:szCs w:val="18"/>
              </w:rPr>
            </w:pPr>
            <w:r>
              <w:t>4.</w:t>
            </w:r>
            <w:r>
              <w:tab/>
              <w:t>Aðlögunarlausnir sem komið er í framkvæmd:</w:t>
            </w:r>
          </w:p>
          <w:p w14:paraId="6B02889C" w14:textId="77777777" w:rsidR="00D849E8" w:rsidRDefault="00D849E8"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5B3FC846" w14:textId="77777777" w:rsidR="00D849E8" w:rsidRDefault="00D849E8" w:rsidP="00A9140F">
            <w:pPr>
              <w:pStyle w:val="AnnexNumberedText"/>
              <w:spacing w:after="300"/>
              <w:rPr>
                <w:szCs w:val="18"/>
              </w:rPr>
            </w:pPr>
            <w:r>
              <w:t>b)</w:t>
            </w:r>
            <w:r>
              <w:tab/>
              <w:t>eru með náttúrumiðaðar lausnir (</w:t>
            </w:r>
            <w:r>
              <w:rPr>
                <w:rStyle w:val="Tilvsunneanmlsgrein"/>
                <w:sz w:val="18"/>
                <w:szCs w:val="18"/>
              </w:rPr>
              <w:footnoteReference w:id="827"/>
            </w:r>
            <w:r>
              <w:t>) í forgangi eða treyst er á bláa eða græna innviði (</w:t>
            </w:r>
            <w:r>
              <w:rPr>
                <w:rStyle w:val="Tilvsunneanmlsgrein"/>
                <w:sz w:val="18"/>
                <w:szCs w:val="18"/>
              </w:rPr>
              <w:footnoteReference w:id="828"/>
            </w:r>
            <w:r>
              <w:t>) að því marki sem mögulegt er,</w:t>
            </w:r>
          </w:p>
          <w:p w14:paraId="38F30C28" w14:textId="77777777" w:rsidR="00D849E8" w:rsidRDefault="00D849E8" w:rsidP="00A9140F">
            <w:pPr>
              <w:pStyle w:val="AnnexNumberedText"/>
              <w:spacing w:after="300"/>
              <w:rPr>
                <w:szCs w:val="18"/>
              </w:rPr>
            </w:pPr>
            <w:r>
              <w:t>c)</w:t>
            </w:r>
            <w:r>
              <w:tab/>
              <w:t>eru í samræmi við staðbundnar, geirabundnar, svæðisbundnar eða landsbundnar aðlögunarstefnur og -áætlanir,</w:t>
            </w:r>
          </w:p>
          <w:p w14:paraId="5F26357E" w14:textId="77777777" w:rsidR="00D849E8" w:rsidRDefault="00D849E8"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7DF103E" w14:textId="77777777" w:rsidR="00D849E8" w:rsidRDefault="00D849E8" w:rsidP="00A9140F">
            <w:pPr>
              <w:pStyle w:val="AnnexNumberedText"/>
              <w:spacing w:after="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3463E7CB" w14:textId="77777777" w:rsidTr="00A9140F">
        <w:tc>
          <w:tcPr>
            <w:tcW w:w="8736" w:type="dxa"/>
            <w:gridSpan w:val="2"/>
            <w:tcBorders>
              <w:top w:val="single" w:sz="4" w:space="0" w:color="auto"/>
            </w:tcBorders>
            <w:tcMar>
              <w:top w:w="120" w:type="dxa"/>
              <w:left w:w="0" w:type="dxa"/>
              <w:bottom w:w="120" w:type="dxa"/>
              <w:right w:w="60" w:type="dxa"/>
            </w:tcMar>
          </w:tcPr>
          <w:p w14:paraId="5A9C2C7F" w14:textId="77777777" w:rsidR="00D849E8" w:rsidRDefault="00D849E8" w:rsidP="00A9140F">
            <w:pPr>
              <w:pStyle w:val="AnnexTableCellLeft"/>
              <w:pageBreakBefore/>
            </w:pPr>
            <w:r>
              <w:lastRenderedPageBreak/>
              <w:t>Ekki valda umtalsverðu tjóni</w:t>
            </w:r>
          </w:p>
        </w:tc>
      </w:tr>
      <w:tr w:rsidR="00D849E8" w14:paraId="0D97E63F" w14:textId="77777777" w:rsidTr="00A9140F">
        <w:tc>
          <w:tcPr>
            <w:tcW w:w="2952" w:type="dxa"/>
            <w:tcMar>
              <w:top w:w="120" w:type="dxa"/>
              <w:left w:w="0" w:type="dxa"/>
              <w:bottom w:w="120" w:type="dxa"/>
              <w:right w:w="60" w:type="dxa"/>
            </w:tcMar>
          </w:tcPr>
          <w:p w14:paraId="77C0208C" w14:textId="77777777" w:rsidR="00D849E8" w:rsidRDefault="00D849E8" w:rsidP="00A9140F">
            <w:pPr>
              <w:pStyle w:val="AnnexNumberedText"/>
              <w:spacing w:after="0"/>
              <w:ind w:left="293" w:hanging="293"/>
              <w:rPr>
                <w:szCs w:val="18"/>
              </w:rPr>
            </w:pPr>
            <w:r>
              <w:t>1)</w:t>
            </w:r>
            <w:r>
              <w:tab/>
              <w:t>Mildun loftslagsbreytinga</w:t>
            </w:r>
          </w:p>
        </w:tc>
        <w:tc>
          <w:tcPr>
            <w:tcW w:w="5784" w:type="dxa"/>
            <w:tcMar>
              <w:top w:w="120" w:type="dxa"/>
              <w:left w:w="60" w:type="dxa"/>
              <w:bottom w:w="120" w:type="dxa"/>
              <w:right w:w="0" w:type="dxa"/>
            </w:tcMar>
          </w:tcPr>
          <w:p w14:paraId="20AD97D8" w14:textId="77777777" w:rsidR="00D849E8" w:rsidRDefault="00D849E8" w:rsidP="00A9140F">
            <w:pPr>
              <w:pStyle w:val="AnnexTableCellLeft"/>
              <w:spacing w:after="160"/>
              <w:rPr>
                <w:szCs w:val="18"/>
              </w:rPr>
            </w:pPr>
            <w:r>
              <w:t xml:space="preserve">Að því er varðar farartæki í flokkum M1 og N1, sértæk losun koltvísýrings, sem skilgreind er í </w:t>
            </w:r>
            <w:proofErr w:type="spellStart"/>
            <w:r>
              <w:t>h-lið</w:t>
            </w:r>
            <w:proofErr w:type="spellEnd"/>
            <w:r>
              <w:t xml:space="preserve"> 1. mgr. 3. gr. reglugerðar (ESB) 2019/631, er ekki meiri en markmiðin um losun koltvísýrings fyrir allan flotann (</w:t>
            </w:r>
            <w:r>
              <w:rPr>
                <w:rStyle w:val="Tilvsunneanmlsgrein"/>
                <w:sz w:val="18"/>
                <w:szCs w:val="18"/>
              </w:rPr>
              <w:footnoteReference w:id="829"/>
            </w:r>
            <w:r>
              <w:t>).</w:t>
            </w:r>
          </w:p>
          <w:p w14:paraId="3EA6EC0C" w14:textId="77777777" w:rsidR="00D849E8" w:rsidRDefault="00D849E8" w:rsidP="00A9140F">
            <w:pPr>
              <w:pStyle w:val="AnnexTableCellLeft"/>
              <w:spacing w:after="160"/>
              <w:rPr>
                <w:szCs w:val="18"/>
              </w:rPr>
            </w:pPr>
            <w:r>
              <w:t>Markgildi fyrir koltvísýringslosun fyrir allan flotann sem taka á tillit til eru:</w:t>
            </w:r>
          </w:p>
          <w:p w14:paraId="24BA5324" w14:textId="77777777" w:rsidR="00D849E8" w:rsidRDefault="00D849E8" w:rsidP="00A9140F">
            <w:pPr>
              <w:pStyle w:val="AnnexNumberedText"/>
              <w:spacing w:after="160"/>
              <w:ind w:left="293" w:hanging="293"/>
              <w:rPr>
                <w:szCs w:val="18"/>
              </w:rPr>
            </w:pPr>
            <w:r>
              <w:t>a)</w:t>
            </w:r>
            <w:r>
              <w:tab/>
              <w:t>til 31. desember 2024:</w:t>
            </w:r>
          </w:p>
          <w:p w14:paraId="1B144A32" w14:textId="77777777" w:rsidR="00D849E8" w:rsidRDefault="00D849E8" w:rsidP="00A9140F">
            <w:pPr>
              <w:pStyle w:val="AnnexNumberedText"/>
              <w:spacing w:after="160"/>
              <w:ind w:left="597" w:hanging="303"/>
              <w:rPr>
                <w:szCs w:val="18"/>
              </w:rPr>
            </w:pPr>
            <w:r>
              <w:t>i.</w:t>
            </w:r>
            <w:r>
              <w:tab/>
              <w:t>að því er varðar NEDC-gildi, markgildi eins og tilgreint er í 2.–3. mgr. 1. gr. reglugerðar (ESB) 2019/631: 95 g CO</w:t>
            </w:r>
            <w:r>
              <w:rPr>
                <w:vertAlign w:val="subscript"/>
              </w:rPr>
              <w:t>2</w:t>
            </w:r>
            <w:r>
              <w:t>/km fyrir ökutæki í flokki M1 og 147 g CO</w:t>
            </w:r>
            <w:r>
              <w:rPr>
                <w:vertAlign w:val="subscript"/>
              </w:rPr>
              <w:t>2</w:t>
            </w:r>
            <w:r>
              <w:t>/km fyrir ökutæki í flokki N1,</w:t>
            </w:r>
          </w:p>
          <w:p w14:paraId="746F29E4" w14:textId="77777777" w:rsidR="00D849E8" w:rsidRDefault="00D849E8" w:rsidP="00A9140F">
            <w:pPr>
              <w:pStyle w:val="AnnexNumberedText"/>
              <w:spacing w:after="160"/>
              <w:ind w:left="597" w:hanging="303"/>
              <w:rPr>
                <w:szCs w:val="18"/>
              </w:rPr>
            </w:pPr>
            <w:r>
              <w:t>ii.</w:t>
            </w:r>
            <w:r>
              <w:tab/>
              <w:t xml:space="preserve">að því er varðar WLTP-gildi, markmiðið fyrir allan flotann í ESB fyrir 2021 eins og tilgreint er í lið 6.0 í A-hluta I. viðauka við reglugerð (ESB) 2019/631 fyrir ökutæki í flokki M1 og í lið 6.0 í B hluta fyrir ökutæki í flokki N1. Þar til viðkomandi markmið fyrir allan flotann í ESB fyrir 2021 hefur verið birt verður notaður breytistuðull sem nemur 1.21 eða 1.24, eftir því sem við á, fyrir þessi ökutæki í flokki M1 og N1, sem koltvísýringslosun fyrir er einungis gefin upp samkvæmt </w:t>
            </w:r>
            <w:proofErr w:type="spellStart"/>
            <w:r>
              <w:t>WlTP</w:t>
            </w:r>
            <w:proofErr w:type="spellEnd"/>
            <w:r>
              <w:t>-prófunaraðferðinni, til að taka tillit til umbreytingarinnar frá NEDC yfir í WLTP sem leiðir til samsvarandi WLTP-gilda sem nema 115 g CO</w:t>
            </w:r>
            <w:r>
              <w:rPr>
                <w:vertAlign w:val="subscript"/>
              </w:rPr>
              <w:t>2</w:t>
            </w:r>
            <w:r>
              <w:t>/km fyrir ökutæki í flokki M1 og 182 g CO</w:t>
            </w:r>
            <w:r>
              <w:rPr>
                <w:vertAlign w:val="subscript"/>
              </w:rPr>
              <w:t>2</w:t>
            </w:r>
            <w:r>
              <w:t>/km fyrir ökutæki í flokki N1,</w:t>
            </w:r>
          </w:p>
          <w:p w14:paraId="67A705D7" w14:textId="77777777" w:rsidR="00D849E8" w:rsidRDefault="00D849E8" w:rsidP="00A9140F">
            <w:pPr>
              <w:pStyle w:val="AnnexNumberedText"/>
              <w:spacing w:after="0"/>
              <w:ind w:left="293" w:hanging="293"/>
              <w:rPr>
                <w:szCs w:val="18"/>
              </w:rPr>
            </w:pPr>
            <w:r>
              <w:t>b)</w:t>
            </w:r>
            <w:r>
              <w:tab/>
              <w:t>frá 1. janúar 2025, markgildi eins og tilgreint er í 4. mgr. 1. gr. reglugerðar (ESB) 2019/631.</w:t>
            </w:r>
          </w:p>
        </w:tc>
      </w:tr>
      <w:tr w:rsidR="00D849E8" w14:paraId="3A058340" w14:textId="77777777" w:rsidTr="00A9140F">
        <w:tc>
          <w:tcPr>
            <w:tcW w:w="2952" w:type="dxa"/>
            <w:tcMar>
              <w:top w:w="120" w:type="dxa"/>
              <w:left w:w="0" w:type="dxa"/>
              <w:bottom w:w="120" w:type="dxa"/>
              <w:right w:w="60" w:type="dxa"/>
            </w:tcMar>
          </w:tcPr>
          <w:p w14:paraId="1768A9E6" w14:textId="77777777" w:rsidR="00D849E8" w:rsidRDefault="00D849E8" w:rsidP="00A9140F">
            <w:pPr>
              <w:pStyle w:val="AnnexNumberedText"/>
              <w:spacing w:after="0"/>
              <w:ind w:left="293" w:hanging="293"/>
            </w:pPr>
            <w:r>
              <w:t>3)</w:t>
            </w:r>
            <w:r>
              <w:tab/>
              <w:t>Sjálfbær notkun og verndun vatns- og sjávarauðlinda</w:t>
            </w:r>
          </w:p>
        </w:tc>
        <w:tc>
          <w:tcPr>
            <w:tcW w:w="5784" w:type="dxa"/>
            <w:tcMar>
              <w:top w:w="120" w:type="dxa"/>
              <w:left w:w="60" w:type="dxa"/>
              <w:bottom w:w="120" w:type="dxa"/>
              <w:right w:w="0" w:type="dxa"/>
            </w:tcMar>
          </w:tcPr>
          <w:p w14:paraId="254A9A13" w14:textId="77777777" w:rsidR="00D849E8" w:rsidRDefault="00D849E8" w:rsidP="00A9140F">
            <w:pPr>
              <w:pStyle w:val="AnnexTableCellLeft"/>
            </w:pPr>
            <w:r>
              <w:t>Á ekki við</w:t>
            </w:r>
          </w:p>
        </w:tc>
      </w:tr>
      <w:tr w:rsidR="00D849E8" w14:paraId="20EC0831" w14:textId="77777777" w:rsidTr="00A9140F">
        <w:tc>
          <w:tcPr>
            <w:tcW w:w="2952" w:type="dxa"/>
            <w:tcMar>
              <w:top w:w="120" w:type="dxa"/>
              <w:left w:w="0" w:type="dxa"/>
              <w:bottom w:w="120" w:type="dxa"/>
              <w:right w:w="60" w:type="dxa"/>
            </w:tcMar>
          </w:tcPr>
          <w:p w14:paraId="0088F882" w14:textId="77777777" w:rsidR="00D849E8" w:rsidRDefault="00D849E8" w:rsidP="00A9140F">
            <w:pPr>
              <w:pStyle w:val="AnnexNumberedText"/>
              <w:spacing w:after="0"/>
              <w:ind w:left="293" w:hanging="293"/>
            </w:pPr>
            <w:r>
              <w:t>4)</w:t>
            </w:r>
            <w:r>
              <w:tab/>
              <w:t>Umskipti yfir í hringrásarhagkerfi</w:t>
            </w:r>
          </w:p>
        </w:tc>
        <w:tc>
          <w:tcPr>
            <w:tcW w:w="5784" w:type="dxa"/>
            <w:tcMar>
              <w:top w:w="120" w:type="dxa"/>
              <w:left w:w="60" w:type="dxa"/>
              <w:bottom w:w="120" w:type="dxa"/>
              <w:right w:w="0" w:type="dxa"/>
            </w:tcMar>
          </w:tcPr>
          <w:p w14:paraId="21B246EE" w14:textId="77777777" w:rsidR="00D849E8" w:rsidRDefault="00D849E8" w:rsidP="00A9140F">
            <w:pPr>
              <w:pStyle w:val="AnnexTableCellLeft"/>
              <w:spacing w:after="160"/>
              <w:rPr>
                <w:szCs w:val="18"/>
              </w:rPr>
            </w:pPr>
            <w:r>
              <w:t>Farartæki í flokkum M1 og N1 eru hvort tveggja af eftirfarandi:</w:t>
            </w:r>
          </w:p>
          <w:p w14:paraId="4F57D8AD" w14:textId="77777777" w:rsidR="00D849E8" w:rsidRDefault="00D849E8" w:rsidP="00A9140F">
            <w:pPr>
              <w:pStyle w:val="AnnexNumberedText"/>
              <w:spacing w:after="160"/>
              <w:ind w:left="293" w:hanging="293"/>
              <w:rPr>
                <w:szCs w:val="18"/>
              </w:rPr>
            </w:pPr>
            <w:r>
              <w:t>a)</w:t>
            </w:r>
            <w:r>
              <w:tab/>
              <w:t>unnt er að endurnota eða endurvinna a.m.k. 85% miðað við þyngd,</w:t>
            </w:r>
          </w:p>
          <w:p w14:paraId="78203D5F" w14:textId="77777777" w:rsidR="00D849E8" w:rsidRDefault="00D849E8" w:rsidP="00A9140F">
            <w:pPr>
              <w:pStyle w:val="AnnexNumberedText"/>
              <w:spacing w:after="160"/>
              <w:ind w:left="293" w:hanging="293"/>
              <w:rPr>
                <w:szCs w:val="18"/>
              </w:rPr>
            </w:pPr>
            <w:r>
              <w:t>b)</w:t>
            </w:r>
            <w:r>
              <w:tab/>
              <w:t>unnt er að endurnota eða endurheimta a.m.k. 95% miðað við þyngd (</w:t>
            </w:r>
            <w:r>
              <w:rPr>
                <w:rStyle w:val="Tilvsunneanmlsgrein"/>
                <w:sz w:val="18"/>
                <w:szCs w:val="18"/>
              </w:rPr>
              <w:footnoteReference w:id="830"/>
            </w:r>
            <w:r>
              <w:t>).</w:t>
            </w:r>
          </w:p>
          <w:p w14:paraId="07DF69D7" w14:textId="77777777" w:rsidR="00D849E8" w:rsidRDefault="00D849E8" w:rsidP="00A9140F">
            <w:pPr>
              <w:pStyle w:val="AnnexTableCellLeft"/>
              <w:rPr>
                <w:szCs w:val="18"/>
              </w:rPr>
            </w:pPr>
            <w:r>
              <w:t>Ráðstafanir til úrgangsstjórnunar eru til staðar í samræmi við úrgangsmetakerfið, bæði í notkunaráfanganum (viðhald) og þegar flotinn er úr sér genginn, þ.m.t. með endurnotkun og endurvinnslu rafhlaða og rafeindabúnaðar (einkum mikilvægra hráefna í þeim).</w:t>
            </w:r>
          </w:p>
        </w:tc>
      </w:tr>
      <w:tr w:rsidR="00D849E8" w14:paraId="3267E19C" w14:textId="77777777" w:rsidTr="00A9140F">
        <w:tc>
          <w:tcPr>
            <w:tcW w:w="2952" w:type="dxa"/>
            <w:tcMar>
              <w:top w:w="120" w:type="dxa"/>
              <w:left w:w="0" w:type="dxa"/>
              <w:bottom w:w="120" w:type="dxa"/>
              <w:right w:w="60" w:type="dxa"/>
            </w:tcMar>
          </w:tcPr>
          <w:p w14:paraId="1A03044A" w14:textId="77777777" w:rsidR="00D849E8" w:rsidRDefault="00D849E8" w:rsidP="00A9140F">
            <w:pPr>
              <w:pStyle w:val="AnnexNumberedText"/>
              <w:spacing w:after="0"/>
              <w:ind w:left="293" w:hanging="293"/>
            </w:pPr>
            <w:r>
              <w:t>5)</w:t>
            </w:r>
            <w:r>
              <w:tab/>
              <w:t>Mengunarvarnir og eftirlit með mengun</w:t>
            </w:r>
          </w:p>
        </w:tc>
        <w:tc>
          <w:tcPr>
            <w:tcW w:w="5784" w:type="dxa"/>
            <w:tcMar>
              <w:top w:w="120" w:type="dxa"/>
              <w:left w:w="60" w:type="dxa"/>
              <w:bottom w:w="120" w:type="dxa"/>
              <w:right w:w="0" w:type="dxa"/>
            </w:tcMar>
          </w:tcPr>
          <w:p w14:paraId="00C83F1D" w14:textId="77777777" w:rsidR="00D849E8" w:rsidRDefault="00D849E8" w:rsidP="00A9140F">
            <w:pPr>
              <w:pStyle w:val="AnnexTableCellLeft"/>
              <w:spacing w:after="160"/>
              <w:rPr>
                <w:szCs w:val="18"/>
              </w:rPr>
            </w:pPr>
            <w:r>
              <w:t>Farartæki uppfylla kröfurnar í nýjasta gildandi þrepi Euro 6 gerðarviðurkenningarinnar að því er varðar losun léttra ökutækja (</w:t>
            </w:r>
            <w:r>
              <w:rPr>
                <w:rStyle w:val="Tilvsunneanmlsgrein"/>
                <w:sz w:val="18"/>
                <w:szCs w:val="18"/>
              </w:rPr>
              <w:footnoteReference w:id="831"/>
            </w:r>
            <w:r>
              <w:t>) sem sett er fram í samræmi við reglugerð (EB) nr. 715/2007.</w:t>
            </w:r>
          </w:p>
          <w:p w14:paraId="1D29DFCE" w14:textId="77777777" w:rsidR="00D849E8" w:rsidRDefault="00D849E8" w:rsidP="00A9140F">
            <w:pPr>
              <w:pStyle w:val="AnnexTableCellLeft"/>
              <w:spacing w:after="160"/>
              <w:rPr>
                <w:szCs w:val="18"/>
              </w:rPr>
            </w:pPr>
            <w:r>
              <w:t>Farartæki uppfylla losunarmörk fyrir umhverfisvæn létt ökutæki sem sett eru fram í töflu 2 í viðaukanum við tilskipun 2009/33/EB.</w:t>
            </w:r>
          </w:p>
          <w:p w14:paraId="6A7B9204" w14:textId="77777777" w:rsidR="00D849E8" w:rsidRDefault="00D849E8" w:rsidP="00A9140F">
            <w:pPr>
              <w:pStyle w:val="AnnexTableCellLeft"/>
              <w:spacing w:after="160"/>
              <w:rPr>
                <w:szCs w:val="18"/>
              </w:rPr>
            </w:pPr>
            <w:r>
              <w:t xml:space="preserve">Að því er varðar ökutæki á vegum í flokkum M og N uppfylla hjólbarðar kröfur um ytri snúningshávaða í hæsta flokknum sem er í notkun og um </w:t>
            </w:r>
            <w:proofErr w:type="spellStart"/>
            <w:r>
              <w:t>veltiviðnámsstuðul</w:t>
            </w:r>
            <w:proofErr w:type="spellEnd"/>
            <w:r>
              <w:t xml:space="preserve"> (sem hefur áhrif á </w:t>
            </w:r>
            <w:proofErr w:type="spellStart"/>
            <w:r>
              <w:t>orkunýtni</w:t>
            </w:r>
            <w:proofErr w:type="spellEnd"/>
            <w:r>
              <w:t xml:space="preserve"> farartækisins) í tveimur hæstu flokkunum sem eru í notkun, eins og sett er fram í reglugerð (ESB) 2020/740, og eins og unnt er að sannreyna í Evrópsku vöruskránni fyrir orkumerkingar </w:t>
            </w:r>
            <w:r>
              <w:lastRenderedPageBreak/>
              <w:t>(EPREL).</w:t>
            </w:r>
          </w:p>
          <w:p w14:paraId="219D80EE" w14:textId="77777777" w:rsidR="00D849E8" w:rsidRDefault="00D849E8" w:rsidP="00A9140F">
            <w:pPr>
              <w:pStyle w:val="AnnexTableCellLeft"/>
              <w:rPr>
                <w:szCs w:val="18"/>
              </w:rPr>
            </w:pPr>
            <w:r>
              <w:t>Farartæki  eru í samræmi við reglugerð (ESB) nr. 540/2014.</w:t>
            </w:r>
          </w:p>
        </w:tc>
      </w:tr>
      <w:tr w:rsidR="00D849E8" w14:paraId="46036B39" w14:textId="77777777" w:rsidTr="00A9140F">
        <w:tc>
          <w:tcPr>
            <w:tcW w:w="2952" w:type="dxa"/>
            <w:tcMar>
              <w:top w:w="120" w:type="dxa"/>
              <w:left w:w="0" w:type="dxa"/>
              <w:bottom w:w="120" w:type="dxa"/>
              <w:right w:w="60" w:type="dxa"/>
            </w:tcMar>
          </w:tcPr>
          <w:p w14:paraId="5646EB85" w14:textId="77777777" w:rsidR="00D849E8" w:rsidRDefault="00D849E8" w:rsidP="00A9140F">
            <w:pPr>
              <w:pStyle w:val="AnnexNumberedText"/>
              <w:pageBreakBefore/>
              <w:spacing w:after="0"/>
              <w:ind w:left="293" w:hanging="293"/>
            </w:pPr>
            <w:r>
              <w:lastRenderedPageBreak/>
              <w:t>6)</w:t>
            </w:r>
            <w:r>
              <w:tab/>
              <w:t>Vernd og endurheimt líffræðilegrar fjölbreytni og vistkerfa</w:t>
            </w:r>
          </w:p>
        </w:tc>
        <w:tc>
          <w:tcPr>
            <w:tcW w:w="5784" w:type="dxa"/>
            <w:tcMar>
              <w:top w:w="120" w:type="dxa"/>
              <w:left w:w="60" w:type="dxa"/>
              <w:bottom w:w="120" w:type="dxa"/>
              <w:right w:w="0" w:type="dxa"/>
            </w:tcMar>
          </w:tcPr>
          <w:p w14:paraId="79C642F3" w14:textId="77777777" w:rsidR="00D849E8" w:rsidRDefault="00D849E8" w:rsidP="00A9140F">
            <w:pPr>
              <w:pStyle w:val="AnnexTableCellLeft"/>
            </w:pPr>
            <w:r>
              <w:t>Á ekki við</w:t>
            </w:r>
          </w:p>
        </w:tc>
      </w:tr>
    </w:tbl>
    <w:p w14:paraId="0C3548CB" w14:textId="77777777" w:rsidR="00D849E8" w:rsidRDefault="00D849E8" w:rsidP="00D849E8">
      <w:pPr>
        <w:pStyle w:val="AnnexNumberedText"/>
        <w:ind w:left="504" w:hanging="504"/>
      </w:pPr>
      <w:r>
        <w:t>6.6.</w:t>
      </w:r>
      <w:r>
        <w:rPr>
          <w:b/>
        </w:rPr>
        <w:tab/>
        <w:t>Vöruflutningaþjónusta á vegum</w:t>
      </w:r>
    </w:p>
    <w:p w14:paraId="73365A7A" w14:textId="77777777" w:rsidR="00D849E8" w:rsidRDefault="00D849E8" w:rsidP="00D849E8">
      <w:pPr>
        <w:pStyle w:val="AnnexGrSeq3"/>
        <w:spacing w:after="120"/>
        <w:ind w:left="504"/>
        <w:jc w:val="both"/>
        <w:rPr>
          <w:szCs w:val="18"/>
        </w:rPr>
      </w:pPr>
      <w:r>
        <w:rPr>
          <w:i/>
        </w:rPr>
        <w:t>Lýsing á starfseminni</w:t>
      </w:r>
    </w:p>
    <w:p w14:paraId="0739E625" w14:textId="77777777" w:rsidR="00D849E8" w:rsidRDefault="00D849E8" w:rsidP="00D849E8">
      <w:pPr>
        <w:pStyle w:val="AnnexNormal"/>
        <w:ind w:left="504"/>
        <w:rPr>
          <w:szCs w:val="18"/>
        </w:rPr>
      </w:pPr>
      <w:r>
        <w:t xml:space="preserve">Kaup, fjármögnun, eignarleiga, leiga og </w:t>
      </w:r>
      <w:proofErr w:type="spellStart"/>
      <w:r>
        <w:t>starfræksla</w:t>
      </w:r>
      <w:proofErr w:type="spellEnd"/>
      <w:r>
        <w:t xml:space="preserve"> farartækja sem tilheyra flokki N1, N2 (</w:t>
      </w:r>
      <w:bookmarkStart w:id="101" w:name="NOTE_831"/>
      <w:r>
        <w:rPr>
          <w:rStyle w:val="Tilvsunneanmlsgrein"/>
          <w:sz w:val="18"/>
          <w:szCs w:val="18"/>
        </w:rPr>
        <w:footnoteReference w:id="832"/>
      </w:r>
      <w:bookmarkEnd w:id="101"/>
      <w:r>
        <w:t>) eða N3 (</w:t>
      </w:r>
      <w:bookmarkStart w:id="102" w:name="NOTE_832"/>
      <w:r>
        <w:rPr>
          <w:rStyle w:val="Tilvsunneanmlsgrein"/>
          <w:sz w:val="18"/>
          <w:szCs w:val="18"/>
        </w:rPr>
        <w:footnoteReference w:id="833"/>
      </w:r>
      <w:bookmarkEnd w:id="102"/>
      <w:r>
        <w:t>) sem falla undir gildissvið Euro VI (</w:t>
      </w:r>
      <w:bookmarkStart w:id="103" w:name="NOTE_833"/>
      <w:r>
        <w:rPr>
          <w:rStyle w:val="Tilvsunneanmlsgrein"/>
          <w:sz w:val="18"/>
          <w:szCs w:val="18"/>
        </w:rPr>
        <w:footnoteReference w:id="834"/>
      </w:r>
      <w:bookmarkEnd w:id="103"/>
      <w:r>
        <w:t>), þrep E eða arftaka þess, fyrir vöruflutningaþjónustu á vegum.</w:t>
      </w:r>
    </w:p>
    <w:p w14:paraId="533EDB9A" w14:textId="77777777" w:rsidR="00D849E8" w:rsidRDefault="00D849E8" w:rsidP="00D849E8">
      <w:pPr>
        <w:pStyle w:val="AnnexNormal"/>
        <w:ind w:left="504"/>
        <w:rPr>
          <w:szCs w:val="18"/>
        </w:rPr>
      </w:pPr>
      <w:r>
        <w:t>Atvinnustarfsemin í þessum flokki gæti tengst nokkrum kóðum atvinnugreinaflokkunar Evrópusambandsins, einkum H49.4.1, H53.10, H53.20 og N77.12, í samræmi við atvinnugreinaflokkunina sem komið var á með reglugerð (EB) nr. 1893/2006.</w:t>
      </w:r>
    </w:p>
    <w:p w14:paraId="2D7B8BB2"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769D3BEE" w14:textId="77777777" w:rsidTr="00A9140F">
        <w:trPr>
          <w:trHeight w:val="280"/>
        </w:trPr>
        <w:tc>
          <w:tcPr>
            <w:tcW w:w="8736" w:type="dxa"/>
            <w:gridSpan w:val="2"/>
            <w:tcBorders>
              <w:bottom w:val="single" w:sz="4" w:space="0" w:color="auto"/>
            </w:tcBorders>
            <w:tcMar>
              <w:left w:w="0" w:type="dxa"/>
              <w:right w:w="60" w:type="dxa"/>
            </w:tcMar>
          </w:tcPr>
          <w:p w14:paraId="77AB02F4" w14:textId="77777777" w:rsidR="00D849E8" w:rsidRDefault="00D849E8" w:rsidP="00A9140F">
            <w:pPr>
              <w:pStyle w:val="AnnexTableCellLeft"/>
              <w:spacing w:before="40" w:after="40"/>
            </w:pPr>
            <w:r>
              <w:t>Verulegt framlag til aðlögunar að loftslagsbreytingum</w:t>
            </w:r>
          </w:p>
        </w:tc>
      </w:tr>
      <w:tr w:rsidR="00D849E8" w14:paraId="3293B172" w14:textId="77777777" w:rsidTr="00A9140F">
        <w:trPr>
          <w:trHeight w:val="360"/>
        </w:trPr>
        <w:tc>
          <w:tcPr>
            <w:tcW w:w="8736" w:type="dxa"/>
            <w:gridSpan w:val="2"/>
            <w:tcBorders>
              <w:bottom w:val="nil"/>
            </w:tcBorders>
            <w:tcMar>
              <w:left w:w="0" w:type="dxa"/>
              <w:right w:w="60" w:type="dxa"/>
            </w:tcMar>
          </w:tcPr>
          <w:p w14:paraId="09110BE1"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6E01784C"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970F957"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0E1A50A8"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294EC8A"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464323C1"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18BF70BE"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354E366"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3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AA46046"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36"/>
            </w:r>
            <w:r>
              <w:t>), vísindalegt ritrýnt útgefið efni og líkön með opnum aðgangi (</w:t>
            </w:r>
            <w:r>
              <w:rPr>
                <w:rStyle w:val="Tilvsunneanmlsgrein"/>
                <w:sz w:val="18"/>
                <w:szCs w:val="18"/>
              </w:rPr>
              <w:footnoteReference w:id="837"/>
            </w:r>
            <w:r>
              <w:t>) eða gegn greiðslu.</w:t>
            </w:r>
          </w:p>
          <w:p w14:paraId="3F0E3B51"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200673C3" w14:textId="77777777" w:rsidR="00D849E8" w:rsidRDefault="00D849E8" w:rsidP="00A9140F">
            <w:pPr>
              <w:pStyle w:val="AnnexNumberedText"/>
              <w:spacing w:after="0"/>
              <w:rPr>
                <w:szCs w:val="18"/>
              </w:rPr>
            </w:pPr>
            <w:r>
              <w:t>a)</w:t>
            </w:r>
            <w:r>
              <w:tab/>
              <w:t>hafa ekki neikvæð áhrif á viðleitni til aðlögunar eða viðnám annars fólks, náttúru, menningararfleifðar, eigna og annarrar atvinnustarfsemi gegn efnislegri loftslagsáhættu,</w:t>
            </w:r>
          </w:p>
        </w:tc>
      </w:tr>
      <w:tr w:rsidR="00D849E8" w14:paraId="07D9EA7C" w14:textId="77777777" w:rsidTr="00A9140F">
        <w:trPr>
          <w:trHeight w:val="360"/>
        </w:trPr>
        <w:tc>
          <w:tcPr>
            <w:tcW w:w="8736" w:type="dxa"/>
            <w:gridSpan w:val="2"/>
            <w:tcBorders>
              <w:top w:val="nil"/>
            </w:tcBorders>
            <w:tcMar>
              <w:left w:w="0" w:type="dxa"/>
              <w:right w:w="60" w:type="dxa"/>
            </w:tcMar>
          </w:tcPr>
          <w:p w14:paraId="670B1F54" w14:textId="77777777" w:rsidR="00D849E8" w:rsidRDefault="00D849E8" w:rsidP="00A9140F">
            <w:pPr>
              <w:pStyle w:val="AnnexNumberedText"/>
              <w:pageBreakBefore/>
              <w:spacing w:after="180"/>
              <w:rPr>
                <w:szCs w:val="18"/>
              </w:rPr>
            </w:pPr>
            <w:r>
              <w:lastRenderedPageBreak/>
              <w:t>b)</w:t>
            </w:r>
            <w:r>
              <w:tab/>
              <w:t>eru með náttúrumiðaðar lausnir (</w:t>
            </w:r>
            <w:r>
              <w:rPr>
                <w:rStyle w:val="Tilvsunneanmlsgrein"/>
                <w:sz w:val="18"/>
                <w:szCs w:val="18"/>
              </w:rPr>
              <w:footnoteReference w:id="838"/>
            </w:r>
            <w:r>
              <w:t>) í forgangi eða treyst er á bláa eða græna innviði (</w:t>
            </w:r>
            <w:r>
              <w:rPr>
                <w:rStyle w:val="Tilvsunneanmlsgrein"/>
                <w:sz w:val="18"/>
                <w:szCs w:val="18"/>
              </w:rPr>
              <w:footnoteReference w:id="839"/>
            </w:r>
            <w:r>
              <w:t>) að því marki sem mögulegt er,</w:t>
            </w:r>
          </w:p>
          <w:p w14:paraId="30BDCD35" w14:textId="77777777" w:rsidR="00D849E8" w:rsidRDefault="00D849E8" w:rsidP="00A9140F">
            <w:pPr>
              <w:pStyle w:val="AnnexNumberedText"/>
              <w:spacing w:after="180"/>
              <w:rPr>
                <w:szCs w:val="18"/>
              </w:rPr>
            </w:pPr>
            <w:r>
              <w:t>c)</w:t>
            </w:r>
            <w:r>
              <w:tab/>
              <w:t>eru í samræmi við staðbundnar, geirabundnar, svæðisbundnar eða landsbundnar aðlögunarstefnur og -áætlanir,</w:t>
            </w:r>
          </w:p>
          <w:p w14:paraId="7C762F1C" w14:textId="77777777" w:rsidR="00D849E8" w:rsidRDefault="00D849E8" w:rsidP="00A9140F">
            <w:pPr>
              <w:pStyle w:val="AnnexNumberedText"/>
              <w:spacing w:after="18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CFA429A"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3DE8D2C1" w14:textId="77777777" w:rsidTr="00A9140F">
        <w:trPr>
          <w:trHeight w:val="240"/>
        </w:trPr>
        <w:tc>
          <w:tcPr>
            <w:tcW w:w="8736" w:type="dxa"/>
            <w:gridSpan w:val="2"/>
            <w:tcMar>
              <w:top w:w="100" w:type="dxa"/>
              <w:left w:w="0" w:type="dxa"/>
              <w:bottom w:w="100" w:type="dxa"/>
              <w:right w:w="60" w:type="dxa"/>
            </w:tcMar>
          </w:tcPr>
          <w:p w14:paraId="4E055709" w14:textId="77777777" w:rsidR="00D849E8" w:rsidRDefault="00D849E8" w:rsidP="00A9140F">
            <w:pPr>
              <w:pStyle w:val="AnnexTableCellLeft"/>
            </w:pPr>
            <w:r>
              <w:t>Ekki valda umtalsverðu tjóni</w:t>
            </w:r>
          </w:p>
        </w:tc>
      </w:tr>
      <w:tr w:rsidR="00D849E8" w14:paraId="62C6006F" w14:textId="77777777" w:rsidTr="00A9140F">
        <w:trPr>
          <w:trHeight w:val="360"/>
        </w:trPr>
        <w:tc>
          <w:tcPr>
            <w:tcW w:w="2952" w:type="dxa"/>
            <w:tcMar>
              <w:top w:w="100" w:type="dxa"/>
              <w:left w:w="0" w:type="dxa"/>
              <w:bottom w:w="100" w:type="dxa"/>
              <w:right w:w="60" w:type="dxa"/>
            </w:tcMar>
          </w:tcPr>
          <w:p w14:paraId="27EA11D4" w14:textId="77777777" w:rsidR="00D849E8" w:rsidRDefault="00D849E8" w:rsidP="00A9140F">
            <w:pPr>
              <w:pStyle w:val="AnnexNumberedText"/>
              <w:spacing w:after="0"/>
              <w:ind w:left="293" w:hanging="293"/>
            </w:pPr>
            <w:r>
              <w:t>1)</w:t>
            </w:r>
            <w:r>
              <w:tab/>
              <w:t>Mildun loftslagsbreytinga</w:t>
            </w:r>
          </w:p>
        </w:tc>
        <w:tc>
          <w:tcPr>
            <w:tcW w:w="5784" w:type="dxa"/>
            <w:tcMar>
              <w:top w:w="100" w:type="dxa"/>
              <w:left w:w="60" w:type="dxa"/>
              <w:bottom w:w="100" w:type="dxa"/>
              <w:right w:w="0" w:type="dxa"/>
            </w:tcMar>
          </w:tcPr>
          <w:p w14:paraId="59BAB214" w14:textId="77777777" w:rsidR="00D849E8" w:rsidRDefault="00D849E8" w:rsidP="00A9140F">
            <w:pPr>
              <w:pStyle w:val="AnnexNumberedText"/>
              <w:tabs>
                <w:tab w:val="left" w:pos="372"/>
              </w:tabs>
              <w:spacing w:after="200"/>
              <w:ind w:left="0" w:firstLine="0"/>
              <w:rPr>
                <w:szCs w:val="18"/>
              </w:rPr>
            </w:pPr>
            <w:r>
              <w:t>1.</w:t>
            </w:r>
            <w:r>
              <w:tab/>
              <w:t>Farartækin eru ekki ætluð til flutninga á jarðefnaeldsneyti.</w:t>
            </w:r>
          </w:p>
          <w:p w14:paraId="6A4E8EB7" w14:textId="77777777" w:rsidR="00D849E8" w:rsidRDefault="00D849E8" w:rsidP="00A9140F">
            <w:pPr>
              <w:pStyle w:val="AnnexNumberedText"/>
              <w:tabs>
                <w:tab w:val="left" w:pos="372"/>
              </w:tabs>
              <w:spacing w:after="0"/>
              <w:ind w:left="0" w:firstLine="0"/>
              <w:rPr>
                <w:szCs w:val="18"/>
              </w:rPr>
            </w:pPr>
            <w:r>
              <w:t>2.</w:t>
            </w:r>
            <w:r>
              <w:tab/>
              <w:t>Að því er varðar farartæki í flokki N2 og N3, sem falla undir gildissvið reglugerðar (ESB) 2019/1242, er sértæk bein koltvísýringslosun jöfn eða minni en viðmiðunargildi fyrir koltvísýringslosun allra farartækja í sama undirflokki eins og skilgreint er í 3. gr. þeirrar reglugerðar (</w:t>
            </w:r>
            <w:r>
              <w:rPr>
                <w:rStyle w:val="Tilvsunneanmlsgrein"/>
                <w:sz w:val="18"/>
                <w:szCs w:val="18"/>
              </w:rPr>
              <w:footnoteReference w:id="840"/>
            </w:r>
            <w:r>
              <w:t>).</w:t>
            </w:r>
          </w:p>
        </w:tc>
      </w:tr>
      <w:tr w:rsidR="00D849E8" w14:paraId="7D6F9AEF" w14:textId="77777777" w:rsidTr="00A9140F">
        <w:trPr>
          <w:trHeight w:val="360"/>
        </w:trPr>
        <w:tc>
          <w:tcPr>
            <w:tcW w:w="2952" w:type="dxa"/>
            <w:tcMar>
              <w:top w:w="100" w:type="dxa"/>
              <w:left w:w="0" w:type="dxa"/>
              <w:bottom w:w="100" w:type="dxa"/>
              <w:right w:w="60" w:type="dxa"/>
            </w:tcMar>
          </w:tcPr>
          <w:p w14:paraId="610B8920" w14:textId="77777777" w:rsidR="00D849E8" w:rsidRDefault="00D849E8" w:rsidP="00A9140F">
            <w:pPr>
              <w:pStyle w:val="AnnexNumberedText"/>
              <w:spacing w:after="0"/>
              <w:ind w:left="293" w:hanging="293"/>
            </w:pPr>
            <w:r>
              <w:t>3)</w:t>
            </w:r>
            <w:r>
              <w:tab/>
              <w:t>Sjálfbær notkun og verndun vatns- og sjávarauðlinda</w:t>
            </w:r>
          </w:p>
        </w:tc>
        <w:tc>
          <w:tcPr>
            <w:tcW w:w="5784" w:type="dxa"/>
            <w:tcMar>
              <w:top w:w="100" w:type="dxa"/>
              <w:left w:w="60" w:type="dxa"/>
              <w:bottom w:w="100" w:type="dxa"/>
              <w:right w:w="0" w:type="dxa"/>
            </w:tcMar>
          </w:tcPr>
          <w:p w14:paraId="1298728F" w14:textId="77777777" w:rsidR="00D849E8" w:rsidRDefault="00D849E8" w:rsidP="00A9140F">
            <w:pPr>
              <w:pStyle w:val="AnnexTableCellLeft"/>
              <w:rPr>
                <w:szCs w:val="18"/>
              </w:rPr>
            </w:pPr>
            <w:r>
              <w:t>Á ekki við</w:t>
            </w:r>
          </w:p>
        </w:tc>
      </w:tr>
      <w:tr w:rsidR="00D849E8" w14:paraId="65096D3B" w14:textId="77777777" w:rsidTr="00A9140F">
        <w:trPr>
          <w:trHeight w:val="360"/>
        </w:trPr>
        <w:tc>
          <w:tcPr>
            <w:tcW w:w="2952" w:type="dxa"/>
            <w:tcMar>
              <w:top w:w="100" w:type="dxa"/>
              <w:left w:w="0" w:type="dxa"/>
              <w:bottom w:w="100" w:type="dxa"/>
              <w:right w:w="60" w:type="dxa"/>
            </w:tcMar>
          </w:tcPr>
          <w:p w14:paraId="3D97AB80" w14:textId="77777777" w:rsidR="00D849E8" w:rsidRDefault="00D849E8" w:rsidP="00A9140F">
            <w:pPr>
              <w:pStyle w:val="AnnexNumberedText"/>
              <w:spacing w:after="0"/>
              <w:ind w:left="293" w:hanging="293"/>
            </w:pPr>
            <w:r>
              <w:t>4)</w:t>
            </w:r>
            <w:r>
              <w:tab/>
              <w:t>Umskipti yfir í hringrásarhagkerfi</w:t>
            </w:r>
          </w:p>
        </w:tc>
        <w:tc>
          <w:tcPr>
            <w:tcW w:w="5784" w:type="dxa"/>
            <w:tcMar>
              <w:top w:w="100" w:type="dxa"/>
              <w:left w:w="60" w:type="dxa"/>
              <w:bottom w:w="100" w:type="dxa"/>
              <w:right w:w="0" w:type="dxa"/>
            </w:tcMar>
          </w:tcPr>
          <w:p w14:paraId="7E9B1DE5" w14:textId="77777777" w:rsidR="00D849E8" w:rsidRDefault="00D849E8" w:rsidP="00A9140F">
            <w:pPr>
              <w:pStyle w:val="AnnexTableCellLeft"/>
              <w:spacing w:after="200"/>
              <w:rPr>
                <w:szCs w:val="18"/>
              </w:rPr>
            </w:pPr>
            <w:r>
              <w:t>Farartæki í flokkum N1, N2 og N3 eru hvort tveggja af eftirfarandi:</w:t>
            </w:r>
          </w:p>
          <w:p w14:paraId="1FD6D693" w14:textId="77777777" w:rsidR="00D849E8" w:rsidRDefault="00D849E8" w:rsidP="00A9140F">
            <w:pPr>
              <w:pStyle w:val="AnnexNumberedText"/>
              <w:spacing w:after="200"/>
              <w:ind w:left="293" w:hanging="293"/>
              <w:rPr>
                <w:szCs w:val="18"/>
              </w:rPr>
            </w:pPr>
            <w:r>
              <w:t>a)</w:t>
            </w:r>
            <w:r>
              <w:tab/>
              <w:t>unnt er að endurnota eða endurvinna a.m.k. 85% miðað við þyngd,</w:t>
            </w:r>
          </w:p>
          <w:p w14:paraId="0FF28CF6" w14:textId="77777777" w:rsidR="00D849E8" w:rsidRDefault="00D849E8" w:rsidP="00A9140F">
            <w:pPr>
              <w:pStyle w:val="AnnexNumberedText"/>
              <w:spacing w:after="200"/>
              <w:ind w:left="293" w:hanging="293"/>
              <w:rPr>
                <w:szCs w:val="18"/>
              </w:rPr>
            </w:pPr>
            <w:r>
              <w:t>b)</w:t>
            </w:r>
            <w:r>
              <w:tab/>
              <w:t>unnt er að endurnota eða endurheimta a.m.k. 95% miðað við þyngd (</w:t>
            </w:r>
            <w:r>
              <w:rPr>
                <w:rStyle w:val="Tilvsunneanmlsgrein"/>
                <w:sz w:val="18"/>
                <w:szCs w:val="18"/>
              </w:rPr>
              <w:footnoteReference w:id="841"/>
            </w:r>
            <w:r>
              <w:t>).</w:t>
            </w:r>
          </w:p>
          <w:p w14:paraId="67167EC0" w14:textId="77777777" w:rsidR="00D849E8" w:rsidRDefault="00D849E8" w:rsidP="00A9140F">
            <w:pPr>
              <w:pStyle w:val="AnnexTableCellLeft"/>
              <w:rPr>
                <w:szCs w:val="18"/>
              </w:rPr>
            </w:pPr>
            <w:r>
              <w:t>Ráðstafanir til úrgangsstjórnunar eru til staðar í samræmi við úrgangsmetakerfið, bæði í notkunaráfanganum (viðhald) og þegar flotinn er úr sér genginn, þ.m.t. með endurnotkun og endurvinnslu rafhlaða og rafeindabúnaðar (einkum mikilvægra hráefna í þeim).</w:t>
            </w:r>
          </w:p>
        </w:tc>
      </w:tr>
      <w:tr w:rsidR="00D849E8" w14:paraId="0A0A8E42" w14:textId="77777777" w:rsidTr="00A9140F">
        <w:trPr>
          <w:trHeight w:val="360"/>
        </w:trPr>
        <w:tc>
          <w:tcPr>
            <w:tcW w:w="2952" w:type="dxa"/>
            <w:tcMar>
              <w:top w:w="100" w:type="dxa"/>
              <w:left w:w="0" w:type="dxa"/>
              <w:bottom w:w="100" w:type="dxa"/>
              <w:right w:w="60" w:type="dxa"/>
            </w:tcMar>
          </w:tcPr>
          <w:p w14:paraId="35B05656" w14:textId="77777777" w:rsidR="00D849E8" w:rsidRDefault="00D849E8" w:rsidP="00A9140F">
            <w:pPr>
              <w:pStyle w:val="AnnexNumberedText"/>
              <w:spacing w:after="0"/>
              <w:ind w:left="293" w:hanging="293"/>
            </w:pPr>
            <w:r>
              <w:t>5)</w:t>
            </w:r>
            <w:r>
              <w:tab/>
              <w:t>Mengunarvarnir og eftirlit með mengun</w:t>
            </w:r>
          </w:p>
        </w:tc>
        <w:tc>
          <w:tcPr>
            <w:tcW w:w="5784" w:type="dxa"/>
            <w:tcMar>
              <w:top w:w="100" w:type="dxa"/>
              <w:left w:w="60" w:type="dxa"/>
              <w:bottom w:w="100" w:type="dxa"/>
              <w:right w:w="0" w:type="dxa"/>
            </w:tcMar>
          </w:tcPr>
          <w:p w14:paraId="48ECFC48" w14:textId="77777777" w:rsidR="00D849E8" w:rsidRDefault="00D849E8" w:rsidP="00A9140F">
            <w:pPr>
              <w:pStyle w:val="AnnexTableCellLeft"/>
              <w:spacing w:after="200"/>
              <w:rPr>
                <w:szCs w:val="18"/>
              </w:rPr>
            </w:pPr>
            <w:r>
              <w:t xml:space="preserve">Að því er varðar ökutæki á vegum í flokkum M og N uppfylla hjólbarðar kröfur um ytri snúningshávaða í hæsta flokknum sem er í notkun og um </w:t>
            </w:r>
            <w:proofErr w:type="spellStart"/>
            <w:r>
              <w:t>veltiviðnámsstuðul</w:t>
            </w:r>
            <w:proofErr w:type="spellEnd"/>
            <w:r>
              <w:t xml:space="preserve"> (sem hefur áhrif á </w:t>
            </w:r>
            <w:proofErr w:type="spellStart"/>
            <w:r>
              <w:t>orkunýtni</w:t>
            </w:r>
            <w:proofErr w:type="spellEnd"/>
            <w:r>
              <w:t xml:space="preserve"> farartækisins) í tveimur hæstu flokkunum sem eru í notkun, eins og sett er fram í reglugerð (ESB) 2020/740, og eins og unnt er að sannreyna í Evrópsku vöruskránni fyrir orkumerkingar (EPREL).</w:t>
            </w:r>
          </w:p>
          <w:p w14:paraId="4697243B" w14:textId="77777777" w:rsidR="00D849E8" w:rsidRDefault="00D849E8" w:rsidP="00A9140F">
            <w:pPr>
              <w:pStyle w:val="AnnexTableCellLeft"/>
              <w:spacing w:after="200"/>
              <w:rPr>
                <w:szCs w:val="18"/>
              </w:rPr>
            </w:pPr>
            <w:r>
              <w:t>Farartæki uppfylla kröfurnar í nýjasta gildandi þrepi Euro VI gerðarviðurkenningarinnar að því er varðar losun þungra ökutækja (</w:t>
            </w:r>
            <w:r>
              <w:rPr>
                <w:rStyle w:val="Tilvsunneanmlsgrein"/>
                <w:sz w:val="18"/>
                <w:szCs w:val="18"/>
              </w:rPr>
              <w:footnoteReference w:id="842"/>
            </w:r>
            <w:r>
              <w:t>) sem sett er fram í samræmi við reglugerð (EB) nr. 595/2009.</w:t>
            </w:r>
          </w:p>
          <w:p w14:paraId="2F55CF9D" w14:textId="77777777" w:rsidR="00D849E8" w:rsidRDefault="00D849E8" w:rsidP="00A9140F">
            <w:pPr>
              <w:pStyle w:val="AnnexTableCellLeft"/>
              <w:rPr>
                <w:szCs w:val="18"/>
              </w:rPr>
            </w:pPr>
            <w:r>
              <w:t>Farartæki  eru í samræmi við reglugerð (ESB) nr. 540/2014.</w:t>
            </w:r>
          </w:p>
        </w:tc>
      </w:tr>
      <w:tr w:rsidR="00D849E8" w14:paraId="362D9FC5" w14:textId="77777777" w:rsidTr="00A9140F">
        <w:trPr>
          <w:trHeight w:val="360"/>
        </w:trPr>
        <w:tc>
          <w:tcPr>
            <w:tcW w:w="2952" w:type="dxa"/>
            <w:tcMar>
              <w:top w:w="100" w:type="dxa"/>
              <w:left w:w="0" w:type="dxa"/>
              <w:bottom w:w="100" w:type="dxa"/>
              <w:right w:w="60" w:type="dxa"/>
            </w:tcMar>
          </w:tcPr>
          <w:p w14:paraId="520033BF" w14:textId="77777777" w:rsidR="00D849E8" w:rsidRDefault="00D849E8" w:rsidP="00A9140F">
            <w:pPr>
              <w:pStyle w:val="AnnexNumberedText"/>
              <w:spacing w:after="0"/>
              <w:ind w:left="293" w:hanging="293"/>
            </w:pPr>
            <w:r>
              <w:lastRenderedPageBreak/>
              <w:t>6)</w:t>
            </w:r>
            <w:r>
              <w:tab/>
              <w:t>Vernd og endurheimt líffræðilegrar fjölbreytni og vistkerfa</w:t>
            </w:r>
          </w:p>
        </w:tc>
        <w:tc>
          <w:tcPr>
            <w:tcW w:w="5784" w:type="dxa"/>
            <w:tcMar>
              <w:top w:w="100" w:type="dxa"/>
              <w:left w:w="60" w:type="dxa"/>
              <w:bottom w:w="100" w:type="dxa"/>
              <w:right w:w="0" w:type="dxa"/>
            </w:tcMar>
          </w:tcPr>
          <w:p w14:paraId="6CCE01F2" w14:textId="77777777" w:rsidR="00D849E8" w:rsidRDefault="00D849E8" w:rsidP="00A9140F">
            <w:pPr>
              <w:pStyle w:val="AnnexTableCellLeft"/>
            </w:pPr>
            <w:r>
              <w:t>Á ekki við</w:t>
            </w:r>
          </w:p>
        </w:tc>
      </w:tr>
    </w:tbl>
    <w:p w14:paraId="0F570FFA" w14:textId="77777777" w:rsidR="00D849E8" w:rsidRDefault="00D849E8" w:rsidP="00D849E8">
      <w:pPr>
        <w:shd w:val="clear" w:color="auto" w:fill="auto"/>
        <w:spacing w:line="0" w:lineRule="auto"/>
        <w:jc w:val="left"/>
        <w:rPr>
          <w:color w:val="auto"/>
          <w14:ligatures w14:val="standard"/>
        </w:rPr>
      </w:pPr>
      <w:r>
        <w:br w:type="page"/>
      </w:r>
    </w:p>
    <w:p w14:paraId="1A0CA145" w14:textId="77777777" w:rsidR="00D849E8" w:rsidRDefault="00D849E8" w:rsidP="00D849E8">
      <w:pPr>
        <w:pStyle w:val="AnnexNumberedText"/>
        <w:ind w:left="504" w:hanging="504"/>
      </w:pPr>
      <w:r>
        <w:lastRenderedPageBreak/>
        <w:t>6.7.</w:t>
      </w:r>
      <w:r>
        <w:rPr>
          <w:b/>
        </w:rPr>
        <w:tab/>
        <w:t>Farþegaflutningar á skipgengum vatnaleiðum</w:t>
      </w:r>
    </w:p>
    <w:p w14:paraId="7193976D" w14:textId="77777777" w:rsidR="00D849E8" w:rsidRDefault="00D849E8" w:rsidP="00D849E8">
      <w:pPr>
        <w:pStyle w:val="AnnexGrSeq3"/>
        <w:spacing w:after="120"/>
        <w:ind w:left="504"/>
        <w:jc w:val="both"/>
      </w:pPr>
      <w:r>
        <w:rPr>
          <w:i/>
        </w:rPr>
        <w:t>Lýsing á starfseminni</w:t>
      </w:r>
    </w:p>
    <w:p w14:paraId="462515C0" w14:textId="77777777" w:rsidR="00D849E8" w:rsidRDefault="00D849E8" w:rsidP="00D849E8">
      <w:pPr>
        <w:pStyle w:val="AnnexNormal"/>
        <w:ind w:left="504"/>
      </w:pPr>
      <w:r>
        <w:t xml:space="preserve">Kaup, fjármögnun, eignarleiga, leiga og </w:t>
      </w:r>
      <w:proofErr w:type="spellStart"/>
      <w:r>
        <w:t>starfræksla</w:t>
      </w:r>
      <w:proofErr w:type="spellEnd"/>
      <w:r>
        <w:t xml:space="preserve"> farþegaskipa eftir skipgengum vatnaleiðum með skipum sem henta ekki til sjóflutninga.</w:t>
      </w:r>
    </w:p>
    <w:p w14:paraId="17C048FC" w14:textId="77777777" w:rsidR="00D849E8" w:rsidRDefault="00D849E8" w:rsidP="00D849E8">
      <w:pPr>
        <w:pStyle w:val="AnnexNormal"/>
        <w:ind w:left="504"/>
      </w:pPr>
      <w:r>
        <w:t>Atvinnustarfsemin í þessum flokki gæti tengst nokkrum kóðum atvinnugreinaflokkunar Evrópusambandsins, einkum H50.30, í samræmi við atvinnugreinaflokkunina sem komið var á með reglugerð (EB) nr. 1893/2006.</w:t>
      </w:r>
    </w:p>
    <w:p w14:paraId="46BCA40B"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00"/>
        <w:gridCol w:w="5736"/>
      </w:tblGrid>
      <w:tr w:rsidR="00D849E8" w14:paraId="413C8D42" w14:textId="77777777" w:rsidTr="00A9140F">
        <w:trPr>
          <w:trHeight w:val="280"/>
        </w:trPr>
        <w:tc>
          <w:tcPr>
            <w:tcW w:w="8736" w:type="dxa"/>
            <w:gridSpan w:val="2"/>
            <w:tcBorders>
              <w:bottom w:val="single" w:sz="4" w:space="0" w:color="auto"/>
            </w:tcBorders>
            <w:tcMar>
              <w:left w:w="0" w:type="dxa"/>
              <w:right w:w="60" w:type="dxa"/>
            </w:tcMar>
          </w:tcPr>
          <w:p w14:paraId="4DEE1230" w14:textId="77777777" w:rsidR="00D849E8" w:rsidRDefault="00D849E8" w:rsidP="00A9140F">
            <w:pPr>
              <w:pStyle w:val="AnnexTableCellLeft"/>
              <w:spacing w:before="40" w:after="40"/>
            </w:pPr>
            <w:r>
              <w:t>Verulegt framlag til aðlögunar að loftslagsbreytingum</w:t>
            </w:r>
          </w:p>
        </w:tc>
      </w:tr>
      <w:tr w:rsidR="00D849E8" w14:paraId="21CE7CDC" w14:textId="77777777" w:rsidTr="00A9140F">
        <w:trPr>
          <w:trHeight w:val="360"/>
        </w:trPr>
        <w:tc>
          <w:tcPr>
            <w:tcW w:w="8736" w:type="dxa"/>
            <w:gridSpan w:val="2"/>
            <w:tcBorders>
              <w:bottom w:val="nil"/>
            </w:tcBorders>
            <w:tcMar>
              <w:left w:w="0" w:type="dxa"/>
              <w:right w:w="60" w:type="dxa"/>
            </w:tcMar>
          </w:tcPr>
          <w:p w14:paraId="4B04044D"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425EA51"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D9B184A"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71FFBA41"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A9934B0"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6287457D"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7A81A87E"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B29F30A"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4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35DBDD7"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44"/>
            </w:r>
            <w:r>
              <w:t>), vísindalegt ritrýnt útgefið efni og líkön með opnum aðgangi (</w:t>
            </w:r>
            <w:r>
              <w:rPr>
                <w:rStyle w:val="Tilvsunneanmlsgrein"/>
                <w:sz w:val="18"/>
                <w:szCs w:val="18"/>
              </w:rPr>
              <w:footnoteReference w:id="845"/>
            </w:r>
            <w:r>
              <w:t>) eða gegn greiðslu.</w:t>
            </w:r>
          </w:p>
          <w:p w14:paraId="6E48E0EE"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7CEA062A"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38FB7544" w14:textId="77777777" w:rsidR="00D849E8" w:rsidRDefault="00D849E8" w:rsidP="00A9140F">
            <w:pPr>
              <w:pStyle w:val="AnnexNumberedText"/>
              <w:spacing w:after="0"/>
              <w:rPr>
                <w:szCs w:val="18"/>
              </w:rPr>
            </w:pPr>
            <w:r>
              <w:t>b)</w:t>
            </w:r>
            <w:r>
              <w:tab/>
              <w:t>eru með náttúrumiðaðar lausnir (</w:t>
            </w:r>
            <w:r>
              <w:rPr>
                <w:rStyle w:val="Tilvsunneanmlsgrein"/>
                <w:sz w:val="18"/>
                <w:szCs w:val="18"/>
              </w:rPr>
              <w:footnoteReference w:id="846"/>
            </w:r>
            <w:r>
              <w:t>) í forgangi eða treyst er á bláa eða græna innviði (</w:t>
            </w:r>
            <w:r>
              <w:rPr>
                <w:rStyle w:val="Tilvsunneanmlsgrein"/>
                <w:sz w:val="18"/>
                <w:szCs w:val="18"/>
              </w:rPr>
              <w:footnoteReference w:id="847"/>
            </w:r>
            <w:r>
              <w:t>) að því marki sem mögulegt er,</w:t>
            </w:r>
          </w:p>
        </w:tc>
      </w:tr>
      <w:tr w:rsidR="00D849E8" w14:paraId="7FD443DA" w14:textId="77777777" w:rsidTr="00A9140F">
        <w:trPr>
          <w:trHeight w:val="360"/>
        </w:trPr>
        <w:tc>
          <w:tcPr>
            <w:tcW w:w="8736" w:type="dxa"/>
            <w:gridSpan w:val="2"/>
            <w:tcBorders>
              <w:top w:val="nil"/>
            </w:tcBorders>
            <w:tcMar>
              <w:left w:w="0" w:type="dxa"/>
              <w:right w:w="60" w:type="dxa"/>
            </w:tcMar>
          </w:tcPr>
          <w:p w14:paraId="0998BE85" w14:textId="77777777" w:rsidR="00D849E8" w:rsidRDefault="00D849E8" w:rsidP="00A9140F">
            <w:pPr>
              <w:pStyle w:val="AnnexNumberedText"/>
              <w:pageBreakBefore/>
              <w:spacing w:after="200"/>
            </w:pPr>
            <w:r>
              <w:lastRenderedPageBreak/>
              <w:t>c)</w:t>
            </w:r>
            <w:r>
              <w:tab/>
              <w:t>eru í samræmi við staðbundnar, geirabundnar, svæðisbundnar eða landsbundnar aðlögunarstefnur og -áætlanir,</w:t>
            </w:r>
          </w:p>
          <w:p w14:paraId="43D1A971" w14:textId="77777777" w:rsidR="00D849E8" w:rsidRDefault="00D849E8"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D5E2592"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51B37AB2" w14:textId="77777777" w:rsidTr="00A9140F">
        <w:trPr>
          <w:trHeight w:val="240"/>
        </w:trPr>
        <w:tc>
          <w:tcPr>
            <w:tcW w:w="8736" w:type="dxa"/>
            <w:gridSpan w:val="2"/>
            <w:tcMar>
              <w:top w:w="100" w:type="dxa"/>
              <w:left w:w="0" w:type="dxa"/>
              <w:bottom w:w="100" w:type="dxa"/>
              <w:right w:w="60" w:type="dxa"/>
            </w:tcMar>
          </w:tcPr>
          <w:p w14:paraId="0D3BFF07" w14:textId="77777777" w:rsidR="00D849E8" w:rsidRDefault="00D849E8" w:rsidP="00A9140F">
            <w:pPr>
              <w:pStyle w:val="AnnexTableCellLeft"/>
            </w:pPr>
            <w:r>
              <w:t>Ekki valda umtalsverðu tjóni</w:t>
            </w:r>
          </w:p>
        </w:tc>
      </w:tr>
      <w:tr w:rsidR="00D849E8" w14:paraId="7F5C12D8" w14:textId="77777777" w:rsidTr="00A9140F">
        <w:tc>
          <w:tcPr>
            <w:tcW w:w="3000" w:type="dxa"/>
            <w:tcMar>
              <w:top w:w="100" w:type="dxa"/>
              <w:left w:w="0" w:type="dxa"/>
              <w:bottom w:w="100" w:type="dxa"/>
              <w:right w:w="60" w:type="dxa"/>
            </w:tcMar>
          </w:tcPr>
          <w:p w14:paraId="6D76DF9E" w14:textId="77777777" w:rsidR="00D849E8" w:rsidRDefault="00D849E8" w:rsidP="00A9140F">
            <w:pPr>
              <w:pStyle w:val="AnnexNumberedText"/>
              <w:spacing w:after="0"/>
              <w:ind w:left="293" w:hanging="293"/>
            </w:pPr>
            <w:r>
              <w:t>1)</w:t>
            </w:r>
            <w:r>
              <w:tab/>
              <w:t>Mildun loftslagsbreytinga</w:t>
            </w:r>
          </w:p>
        </w:tc>
        <w:tc>
          <w:tcPr>
            <w:tcW w:w="5736" w:type="dxa"/>
            <w:tcMar>
              <w:top w:w="100" w:type="dxa"/>
              <w:left w:w="60" w:type="dxa"/>
              <w:bottom w:w="100" w:type="dxa"/>
              <w:right w:w="0" w:type="dxa"/>
            </w:tcMar>
          </w:tcPr>
          <w:p w14:paraId="046DB241" w14:textId="77777777" w:rsidR="00D849E8" w:rsidRDefault="00D849E8" w:rsidP="00A9140F">
            <w:pPr>
              <w:pStyle w:val="AnnexTableCellLeft"/>
            </w:pPr>
            <w:r>
              <w:t>Á ekki við</w:t>
            </w:r>
          </w:p>
        </w:tc>
      </w:tr>
      <w:tr w:rsidR="00D849E8" w14:paraId="454E44BF" w14:textId="77777777" w:rsidTr="00A9140F">
        <w:tc>
          <w:tcPr>
            <w:tcW w:w="3000" w:type="dxa"/>
            <w:tcMar>
              <w:top w:w="100" w:type="dxa"/>
              <w:left w:w="0" w:type="dxa"/>
              <w:bottom w:w="100" w:type="dxa"/>
              <w:right w:w="60" w:type="dxa"/>
            </w:tcMar>
          </w:tcPr>
          <w:p w14:paraId="0A4BE142" w14:textId="77777777" w:rsidR="00D849E8" w:rsidRDefault="00D849E8" w:rsidP="00A9140F">
            <w:pPr>
              <w:pStyle w:val="AnnexNumberedText"/>
              <w:spacing w:after="0"/>
              <w:ind w:left="293" w:hanging="293"/>
            </w:pPr>
            <w:r>
              <w:t>3)</w:t>
            </w:r>
            <w:r>
              <w:tab/>
              <w:t>Sjálfbær notkun og verndun vatns- og sjávarauðlinda</w:t>
            </w:r>
          </w:p>
        </w:tc>
        <w:tc>
          <w:tcPr>
            <w:tcW w:w="5736" w:type="dxa"/>
            <w:tcMar>
              <w:top w:w="100" w:type="dxa"/>
              <w:left w:w="60" w:type="dxa"/>
              <w:bottom w:w="100" w:type="dxa"/>
              <w:right w:w="0" w:type="dxa"/>
            </w:tcMar>
          </w:tcPr>
          <w:p w14:paraId="1C0D4CF6" w14:textId="77777777" w:rsidR="00D849E8" w:rsidRDefault="00D849E8" w:rsidP="00A9140F">
            <w:pPr>
              <w:pStyle w:val="AnnexTableCellLeft"/>
            </w:pPr>
            <w:r>
              <w:t>Starfsemin er í samræmi við viðmiðanirnar sem settar eru fram í viðbæti B við þennan viðauka.</w:t>
            </w:r>
          </w:p>
        </w:tc>
      </w:tr>
      <w:tr w:rsidR="00D849E8" w14:paraId="329E31C1" w14:textId="77777777" w:rsidTr="00A9140F">
        <w:tc>
          <w:tcPr>
            <w:tcW w:w="3000" w:type="dxa"/>
            <w:tcMar>
              <w:top w:w="100" w:type="dxa"/>
              <w:left w:w="0" w:type="dxa"/>
              <w:bottom w:w="100" w:type="dxa"/>
              <w:right w:w="60" w:type="dxa"/>
            </w:tcMar>
          </w:tcPr>
          <w:p w14:paraId="66B022E2" w14:textId="77777777" w:rsidR="00D849E8" w:rsidRDefault="00D849E8" w:rsidP="00A9140F">
            <w:pPr>
              <w:pStyle w:val="AnnexNumberedText"/>
              <w:spacing w:after="0"/>
              <w:ind w:left="293" w:hanging="293"/>
            </w:pPr>
            <w:r>
              <w:t>4)</w:t>
            </w:r>
            <w:r>
              <w:tab/>
              <w:t>Umskipti yfir í hringrásarhagkerfi</w:t>
            </w:r>
          </w:p>
        </w:tc>
        <w:tc>
          <w:tcPr>
            <w:tcW w:w="5736" w:type="dxa"/>
            <w:tcMar>
              <w:top w:w="100" w:type="dxa"/>
              <w:left w:w="60" w:type="dxa"/>
              <w:bottom w:w="100" w:type="dxa"/>
              <w:right w:w="0" w:type="dxa"/>
            </w:tcMar>
          </w:tcPr>
          <w:p w14:paraId="0E372D98" w14:textId="77777777" w:rsidR="00D849E8" w:rsidRDefault="00D849E8" w:rsidP="00A9140F">
            <w:pPr>
              <w:pStyle w:val="AnnexTableCellLeft"/>
              <w:spacing w:after="200"/>
            </w:pPr>
            <w:r>
              <w:t>Ráðstafanir til úrgangsstjórnunar eru til staðar, bæði í notkunaráfanganum og þegar skipið er úr sér gengið, í samræmi við úrgangsmetakerfið, þ.m.t. eftirlit og meðhöndlun hættulegra efna um borð í skipum og til að tryggja örugga endurvinnslu þeirra.</w:t>
            </w:r>
          </w:p>
          <w:p w14:paraId="75DCCC80" w14:textId="77777777" w:rsidR="00D849E8" w:rsidRDefault="00D849E8" w:rsidP="00A9140F">
            <w:pPr>
              <w:pStyle w:val="AnnexTableCellLeft"/>
            </w:pPr>
            <w:r>
              <w:t>Að því er varðar skip sem ganga fyrir rafhlöðum fela þessar ráðstafanir í sér endurnotkun og endurvinnslu á rafhlöðum og rafeindabúnaði, þ.m.t. mikilvæg hráefni í þeim.</w:t>
            </w:r>
          </w:p>
        </w:tc>
      </w:tr>
      <w:tr w:rsidR="00D849E8" w14:paraId="1245D187" w14:textId="77777777" w:rsidTr="00A9140F">
        <w:tc>
          <w:tcPr>
            <w:tcW w:w="3000" w:type="dxa"/>
            <w:tcMar>
              <w:top w:w="100" w:type="dxa"/>
              <w:left w:w="0" w:type="dxa"/>
              <w:bottom w:w="100" w:type="dxa"/>
              <w:right w:w="60" w:type="dxa"/>
            </w:tcMar>
          </w:tcPr>
          <w:p w14:paraId="79E77846" w14:textId="77777777" w:rsidR="00D849E8" w:rsidRDefault="00D849E8" w:rsidP="00A9140F">
            <w:pPr>
              <w:pStyle w:val="AnnexNumberedText"/>
              <w:spacing w:after="0"/>
              <w:ind w:left="293" w:hanging="293"/>
            </w:pPr>
            <w:r>
              <w:t>5)</w:t>
            </w:r>
            <w:r>
              <w:tab/>
              <w:t>Mengunarvarnir og eftirlit með mengun</w:t>
            </w:r>
          </w:p>
        </w:tc>
        <w:tc>
          <w:tcPr>
            <w:tcW w:w="5736" w:type="dxa"/>
            <w:tcMar>
              <w:top w:w="100" w:type="dxa"/>
              <w:left w:w="60" w:type="dxa"/>
              <w:bottom w:w="100" w:type="dxa"/>
              <w:right w:w="0" w:type="dxa"/>
            </w:tcMar>
          </w:tcPr>
          <w:p w14:paraId="3FFE1A5A" w14:textId="77777777" w:rsidR="00D849E8" w:rsidRDefault="00D849E8" w:rsidP="00A9140F">
            <w:pPr>
              <w:pStyle w:val="AnnexTableCellLeft"/>
            </w:pPr>
            <w:r>
              <w:t xml:space="preserve">Hreyflar í skipum eru í samræmi við losunarmörkin sem sett eru fram í II. viðauka við reglugerð (ESB) 2016/1628 (þ.m.t. skip sem uppfylla þessar takmarkanir án gerðarviðurkenndra lausna, s.s. með </w:t>
            </w:r>
            <w:proofErr w:type="spellStart"/>
            <w:r>
              <w:t>eftirmeðferð</w:t>
            </w:r>
            <w:proofErr w:type="spellEnd"/>
            <w:r>
              <w:t>).</w:t>
            </w:r>
          </w:p>
        </w:tc>
      </w:tr>
      <w:tr w:rsidR="00D849E8" w14:paraId="76E5C69B" w14:textId="77777777" w:rsidTr="00A9140F">
        <w:tc>
          <w:tcPr>
            <w:tcW w:w="3000" w:type="dxa"/>
            <w:tcMar>
              <w:top w:w="100" w:type="dxa"/>
              <w:left w:w="0" w:type="dxa"/>
              <w:bottom w:w="100" w:type="dxa"/>
              <w:right w:w="60" w:type="dxa"/>
            </w:tcMar>
          </w:tcPr>
          <w:p w14:paraId="1B83F1ED" w14:textId="77777777" w:rsidR="00D849E8" w:rsidRDefault="00D849E8" w:rsidP="00A9140F">
            <w:pPr>
              <w:pStyle w:val="AnnexNumberedText"/>
              <w:spacing w:after="0"/>
              <w:ind w:left="293" w:hanging="293"/>
            </w:pPr>
            <w:r>
              <w:t>6)</w:t>
            </w:r>
            <w:r>
              <w:tab/>
              <w:t>Vernd og endurheimt líffræðilegrar fjölbreytni og vistkerfa</w:t>
            </w:r>
          </w:p>
        </w:tc>
        <w:tc>
          <w:tcPr>
            <w:tcW w:w="5736" w:type="dxa"/>
            <w:tcMar>
              <w:top w:w="100" w:type="dxa"/>
              <w:left w:w="60" w:type="dxa"/>
              <w:bottom w:w="100" w:type="dxa"/>
              <w:right w:w="0" w:type="dxa"/>
            </w:tcMar>
          </w:tcPr>
          <w:p w14:paraId="2FE4C852" w14:textId="77777777" w:rsidR="00D849E8" w:rsidRDefault="00D849E8" w:rsidP="00A9140F">
            <w:pPr>
              <w:pStyle w:val="AnnexTableCellLeft"/>
            </w:pPr>
            <w:r>
              <w:t>Á ekki við</w:t>
            </w:r>
          </w:p>
        </w:tc>
      </w:tr>
    </w:tbl>
    <w:p w14:paraId="680119D3" w14:textId="77777777" w:rsidR="00D849E8" w:rsidRDefault="00D849E8" w:rsidP="00D849E8">
      <w:pPr>
        <w:pStyle w:val="AnnexNumberedText"/>
        <w:ind w:left="504" w:hanging="504"/>
      </w:pPr>
      <w:r>
        <w:t>6.8.</w:t>
      </w:r>
      <w:r>
        <w:rPr>
          <w:b/>
        </w:rPr>
        <w:tab/>
        <w:t>Vöruflutningar á skipgengum vatnaleiðum</w:t>
      </w:r>
    </w:p>
    <w:p w14:paraId="0D4894B0" w14:textId="77777777" w:rsidR="00D849E8" w:rsidRDefault="00D849E8" w:rsidP="00D849E8">
      <w:pPr>
        <w:pStyle w:val="AnnexGrSeq3"/>
        <w:spacing w:after="120"/>
        <w:ind w:left="504"/>
        <w:jc w:val="both"/>
      </w:pPr>
      <w:r>
        <w:rPr>
          <w:i/>
        </w:rPr>
        <w:t>Lýsing á starfseminni</w:t>
      </w:r>
    </w:p>
    <w:p w14:paraId="347CE008" w14:textId="77777777" w:rsidR="00D849E8" w:rsidRDefault="00D849E8" w:rsidP="00D849E8">
      <w:pPr>
        <w:pStyle w:val="AnnexNormal"/>
        <w:spacing w:after="600"/>
        <w:ind w:left="504"/>
      </w:pPr>
      <w:r>
        <w:t xml:space="preserve">Kaup, fjármögnun, eignarleiga, leiga og </w:t>
      </w:r>
      <w:proofErr w:type="spellStart"/>
      <w:r>
        <w:t>starfræksla</w:t>
      </w:r>
      <w:proofErr w:type="spellEnd"/>
      <w:r>
        <w:t xml:space="preserve"> vöruflutningaskipa eftir skipgengum vatnaleiðum með skipum sem henta ekki til sjóflutninga.</w:t>
      </w:r>
    </w:p>
    <w:p w14:paraId="35AB604F" w14:textId="77777777" w:rsidR="00D849E8" w:rsidRDefault="00D849E8" w:rsidP="00D849E8">
      <w:pPr>
        <w:pStyle w:val="AnnexNormal"/>
        <w:spacing w:after="600"/>
        <w:ind w:left="504"/>
      </w:pPr>
      <w:r>
        <w:t>Atvinnustarfsemin í þessum flokki gæti tengst nokkrum kóðum atvinnugreinaflokkunar Evrópusambandsins, einkum H50.4, í samræmi við atvinnugreinaflokkunina sem komið var á með reglugerð (EB) nr. 1893/2006.</w:t>
      </w:r>
    </w:p>
    <w:p w14:paraId="0A9A8288"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36"/>
        <w:gridCol w:w="5700"/>
      </w:tblGrid>
      <w:tr w:rsidR="00D849E8" w14:paraId="416C91AC" w14:textId="77777777" w:rsidTr="00A9140F">
        <w:trPr>
          <w:trHeight w:val="280"/>
        </w:trPr>
        <w:tc>
          <w:tcPr>
            <w:tcW w:w="8736" w:type="dxa"/>
            <w:gridSpan w:val="2"/>
            <w:tcBorders>
              <w:bottom w:val="single" w:sz="4" w:space="0" w:color="auto"/>
            </w:tcBorders>
            <w:tcMar>
              <w:left w:w="0" w:type="dxa"/>
              <w:right w:w="60" w:type="dxa"/>
            </w:tcMar>
          </w:tcPr>
          <w:p w14:paraId="648E47FD" w14:textId="77777777" w:rsidR="00D849E8" w:rsidRDefault="00D849E8" w:rsidP="00A9140F">
            <w:pPr>
              <w:pStyle w:val="AnnexTableCellLeft"/>
              <w:spacing w:before="40" w:after="40"/>
            </w:pPr>
            <w:r>
              <w:t>Verulegt framlag til aðlögunar að loftslagsbreytingum</w:t>
            </w:r>
          </w:p>
        </w:tc>
      </w:tr>
      <w:tr w:rsidR="00D849E8" w14:paraId="2D523F19" w14:textId="77777777" w:rsidTr="00A9140F">
        <w:trPr>
          <w:trHeight w:val="360"/>
        </w:trPr>
        <w:tc>
          <w:tcPr>
            <w:tcW w:w="8736" w:type="dxa"/>
            <w:gridSpan w:val="2"/>
            <w:tcBorders>
              <w:bottom w:val="nil"/>
            </w:tcBorders>
            <w:tcMar>
              <w:left w:w="0" w:type="dxa"/>
              <w:right w:w="60" w:type="dxa"/>
            </w:tcMar>
          </w:tcPr>
          <w:p w14:paraId="7D1D4860" w14:textId="77777777" w:rsidR="00D849E8" w:rsidRDefault="00D849E8"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76E835C" w14:textId="77777777" w:rsidR="00D849E8" w:rsidRDefault="00D849E8"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5B23D43" w14:textId="77777777" w:rsidR="00D849E8" w:rsidRDefault="00D849E8"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71E4E8D6" w14:textId="77777777" w:rsidR="00D849E8" w:rsidRDefault="00D849E8" w:rsidP="00A9140F">
            <w:pPr>
              <w:pStyle w:val="AnnexNumberedText"/>
              <w:spacing w:after="200"/>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5C54E1A" w14:textId="77777777" w:rsidR="00D849E8" w:rsidRDefault="00D849E8" w:rsidP="00A9140F">
            <w:pPr>
              <w:pStyle w:val="AnnexNumberedText"/>
              <w:spacing w:after="0"/>
            </w:pPr>
            <w:r>
              <w:t>c)</w:t>
            </w:r>
            <w:r>
              <w:tab/>
              <w:t>mat á aðlögunarlausnum sem geta dregið úr greindri efnislegri loftslagsáhættu.</w:t>
            </w:r>
          </w:p>
        </w:tc>
      </w:tr>
      <w:tr w:rsidR="00D849E8" w14:paraId="7AEB08FD" w14:textId="77777777" w:rsidTr="00A9140F">
        <w:trPr>
          <w:trHeight w:val="360"/>
        </w:trPr>
        <w:tc>
          <w:tcPr>
            <w:tcW w:w="8736" w:type="dxa"/>
            <w:gridSpan w:val="2"/>
            <w:tcBorders>
              <w:top w:val="nil"/>
            </w:tcBorders>
            <w:tcMar>
              <w:left w:w="0" w:type="dxa"/>
              <w:right w:w="60" w:type="dxa"/>
            </w:tcMar>
          </w:tcPr>
          <w:p w14:paraId="474B5B1A" w14:textId="77777777" w:rsidR="00D849E8" w:rsidRDefault="00D849E8" w:rsidP="00A9140F">
            <w:pPr>
              <w:pStyle w:val="AnnexTableCellLeft"/>
              <w:pageBreakBefore/>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30F2D70D"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F30E90F"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48"/>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269CE66" w14:textId="77777777" w:rsidR="00D849E8" w:rsidRDefault="00D849E8"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49"/>
            </w:r>
            <w:r>
              <w:t>), vísindalegt ritrýnt útgefið efni og líkön með opnum aðgangi (</w:t>
            </w:r>
            <w:r>
              <w:rPr>
                <w:rStyle w:val="Tilvsunneanmlsgrein"/>
                <w:sz w:val="18"/>
                <w:szCs w:val="18"/>
              </w:rPr>
              <w:footnoteReference w:id="850"/>
            </w:r>
            <w:r>
              <w:t>) eða gegn greiðslu.</w:t>
            </w:r>
          </w:p>
          <w:p w14:paraId="701FF2E6"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14B64536"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2F89F293"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851"/>
            </w:r>
            <w:r>
              <w:t>) í forgangi eða treyst er á bláa eða græna innviði (</w:t>
            </w:r>
            <w:r>
              <w:rPr>
                <w:rStyle w:val="Tilvsunneanmlsgrein"/>
                <w:sz w:val="18"/>
                <w:szCs w:val="18"/>
              </w:rPr>
              <w:footnoteReference w:id="852"/>
            </w:r>
            <w:r>
              <w:t>) að því marki sem mögulegt er,</w:t>
            </w:r>
          </w:p>
          <w:p w14:paraId="5A2BAF97"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58FC2AEA"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D0744E6"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07E63514" w14:textId="77777777" w:rsidTr="00A9140F">
        <w:trPr>
          <w:trHeight w:val="240"/>
        </w:trPr>
        <w:tc>
          <w:tcPr>
            <w:tcW w:w="8736" w:type="dxa"/>
            <w:gridSpan w:val="2"/>
            <w:tcMar>
              <w:top w:w="100" w:type="dxa"/>
              <w:left w:w="0" w:type="dxa"/>
              <w:bottom w:w="100" w:type="dxa"/>
              <w:right w:w="60" w:type="dxa"/>
            </w:tcMar>
          </w:tcPr>
          <w:p w14:paraId="25C4BF28" w14:textId="77777777" w:rsidR="00D849E8" w:rsidRDefault="00D849E8" w:rsidP="00A9140F">
            <w:pPr>
              <w:pStyle w:val="AnnexTableCellLeft"/>
            </w:pPr>
            <w:r>
              <w:t>Ekki valda umtalsverðu tjóni</w:t>
            </w:r>
          </w:p>
        </w:tc>
      </w:tr>
      <w:tr w:rsidR="00D849E8" w14:paraId="2A514B6D" w14:textId="77777777" w:rsidTr="00A9140F">
        <w:tc>
          <w:tcPr>
            <w:tcW w:w="3036" w:type="dxa"/>
            <w:tcMar>
              <w:top w:w="100" w:type="dxa"/>
              <w:left w:w="0" w:type="dxa"/>
              <w:bottom w:w="100" w:type="dxa"/>
              <w:right w:w="60" w:type="dxa"/>
            </w:tcMar>
          </w:tcPr>
          <w:p w14:paraId="258F080D" w14:textId="77777777" w:rsidR="00D849E8" w:rsidRDefault="00D849E8" w:rsidP="00A9140F">
            <w:pPr>
              <w:pStyle w:val="AnnexNumberedText"/>
              <w:spacing w:after="0"/>
              <w:ind w:left="293" w:hanging="293"/>
            </w:pPr>
            <w:r>
              <w:t>1)</w:t>
            </w:r>
            <w:r>
              <w:tab/>
              <w:t>Mildun loftslagsbreytinga</w:t>
            </w:r>
          </w:p>
        </w:tc>
        <w:tc>
          <w:tcPr>
            <w:tcW w:w="5700" w:type="dxa"/>
            <w:tcMar>
              <w:top w:w="100" w:type="dxa"/>
              <w:left w:w="60" w:type="dxa"/>
              <w:bottom w:w="100" w:type="dxa"/>
              <w:right w:w="0" w:type="dxa"/>
            </w:tcMar>
          </w:tcPr>
          <w:p w14:paraId="7B348EA5" w14:textId="77777777" w:rsidR="00D849E8" w:rsidRDefault="00D849E8" w:rsidP="00A9140F">
            <w:pPr>
              <w:pStyle w:val="AnnexTableCellLeft"/>
            </w:pPr>
            <w:r>
              <w:t>Skipin eru ekki ætluð til flutninga á jarðefnaeldsneyti.</w:t>
            </w:r>
          </w:p>
        </w:tc>
      </w:tr>
      <w:tr w:rsidR="00D849E8" w14:paraId="2B17F78D" w14:textId="77777777" w:rsidTr="00A9140F">
        <w:tc>
          <w:tcPr>
            <w:tcW w:w="3036" w:type="dxa"/>
            <w:tcMar>
              <w:top w:w="100" w:type="dxa"/>
              <w:left w:w="0" w:type="dxa"/>
              <w:bottom w:w="100" w:type="dxa"/>
              <w:right w:w="60" w:type="dxa"/>
            </w:tcMar>
          </w:tcPr>
          <w:p w14:paraId="0BC75544" w14:textId="77777777" w:rsidR="00D849E8" w:rsidRDefault="00D849E8" w:rsidP="00A9140F">
            <w:pPr>
              <w:pStyle w:val="AnnexNumberedText"/>
              <w:spacing w:after="0"/>
              <w:ind w:left="293" w:hanging="293"/>
            </w:pPr>
            <w:r>
              <w:t>3)</w:t>
            </w:r>
            <w:r>
              <w:tab/>
              <w:t>Sjálfbær notkun og verndun vatns- og sjávarauðlinda</w:t>
            </w:r>
          </w:p>
        </w:tc>
        <w:tc>
          <w:tcPr>
            <w:tcW w:w="5700" w:type="dxa"/>
            <w:tcMar>
              <w:top w:w="100" w:type="dxa"/>
              <w:left w:w="60" w:type="dxa"/>
              <w:bottom w:w="100" w:type="dxa"/>
              <w:right w:w="0" w:type="dxa"/>
            </w:tcMar>
          </w:tcPr>
          <w:p w14:paraId="791EBBCF" w14:textId="77777777" w:rsidR="00D849E8" w:rsidRDefault="00D849E8" w:rsidP="00A9140F">
            <w:pPr>
              <w:pStyle w:val="AnnexTableCellLeft"/>
            </w:pPr>
            <w:r>
              <w:t>Starfsemin er í samræmi við viðmiðanirnar sem settar eru fram í viðbæti B við þennan viðauka.</w:t>
            </w:r>
          </w:p>
        </w:tc>
      </w:tr>
      <w:tr w:rsidR="00D849E8" w14:paraId="7447ED7C" w14:textId="77777777" w:rsidTr="00A9140F">
        <w:tc>
          <w:tcPr>
            <w:tcW w:w="3036" w:type="dxa"/>
            <w:tcMar>
              <w:top w:w="100" w:type="dxa"/>
              <w:left w:w="0" w:type="dxa"/>
              <w:bottom w:w="100" w:type="dxa"/>
              <w:right w:w="60" w:type="dxa"/>
            </w:tcMar>
          </w:tcPr>
          <w:p w14:paraId="51809FBB" w14:textId="77777777" w:rsidR="00D849E8" w:rsidRDefault="00D849E8" w:rsidP="00A9140F">
            <w:pPr>
              <w:pStyle w:val="AnnexNumberedText"/>
              <w:spacing w:after="0"/>
              <w:ind w:left="293" w:hanging="293"/>
            </w:pPr>
            <w:r>
              <w:t>4)</w:t>
            </w:r>
            <w:r>
              <w:tab/>
              <w:t>Umskipti yfir í hringrásarhagkerfi</w:t>
            </w:r>
          </w:p>
        </w:tc>
        <w:tc>
          <w:tcPr>
            <w:tcW w:w="5700" w:type="dxa"/>
            <w:tcMar>
              <w:top w:w="100" w:type="dxa"/>
              <w:left w:w="60" w:type="dxa"/>
              <w:bottom w:w="100" w:type="dxa"/>
              <w:right w:w="0" w:type="dxa"/>
            </w:tcMar>
          </w:tcPr>
          <w:p w14:paraId="4E7CBC06" w14:textId="77777777" w:rsidR="00D849E8" w:rsidRDefault="00D849E8" w:rsidP="00A9140F">
            <w:pPr>
              <w:pStyle w:val="AnnexTableCellLeft"/>
            </w:pPr>
            <w:r>
              <w:t>Ráðstafanir til úrgangsstjórnunar eru til staðar, bæði í notkunaráfanganum og þegar skipið er úr sér gengið, í samræmi við úrgangsmetakerfið, þ.m.t. eftirlit og meðhöndlun hættulegra efna um borð í skipum og til að tryggja örugga endurvinnslu þeirra.</w:t>
            </w:r>
          </w:p>
          <w:p w14:paraId="22460C05" w14:textId="77777777" w:rsidR="00D849E8" w:rsidRDefault="00D849E8" w:rsidP="00A9140F">
            <w:pPr>
              <w:pStyle w:val="AnnexTableCellLeft"/>
            </w:pPr>
            <w:r>
              <w:t>Að því er varðar skip sem ganga fyrir rafhlöðum fela þessar ráðstafanir í sér endurnotkun og endurvinnslu á rafhlöðum og rafeindabúnaði, þ.m.t. mikilvæg hráefni í þeim.</w:t>
            </w:r>
          </w:p>
        </w:tc>
      </w:tr>
      <w:tr w:rsidR="00D849E8" w14:paraId="457D01A7" w14:textId="77777777" w:rsidTr="00A9140F">
        <w:tc>
          <w:tcPr>
            <w:tcW w:w="3036" w:type="dxa"/>
            <w:tcMar>
              <w:top w:w="100" w:type="dxa"/>
              <w:left w:w="0" w:type="dxa"/>
              <w:bottom w:w="100" w:type="dxa"/>
              <w:right w:w="60" w:type="dxa"/>
            </w:tcMar>
          </w:tcPr>
          <w:p w14:paraId="066EADCE" w14:textId="77777777" w:rsidR="00D849E8" w:rsidRDefault="00D849E8" w:rsidP="00A9140F">
            <w:pPr>
              <w:pStyle w:val="AnnexNumberedText"/>
              <w:spacing w:after="0"/>
              <w:ind w:left="293" w:hanging="293"/>
            </w:pPr>
            <w:r>
              <w:t>5)</w:t>
            </w:r>
            <w:r>
              <w:tab/>
              <w:t>Mengunarvarnir og eftirlit með mengun</w:t>
            </w:r>
          </w:p>
        </w:tc>
        <w:tc>
          <w:tcPr>
            <w:tcW w:w="5700" w:type="dxa"/>
            <w:tcMar>
              <w:top w:w="100" w:type="dxa"/>
              <w:left w:w="60" w:type="dxa"/>
              <w:bottom w:w="100" w:type="dxa"/>
              <w:right w:w="0" w:type="dxa"/>
            </w:tcMar>
          </w:tcPr>
          <w:p w14:paraId="5F0E5FC5" w14:textId="77777777" w:rsidR="00D849E8" w:rsidRDefault="00D849E8" w:rsidP="00A9140F">
            <w:pPr>
              <w:pStyle w:val="AnnexTableCellLeft"/>
            </w:pPr>
            <w:r>
              <w:t xml:space="preserve">Skip uppfylla losunarmörkin í II. viðauka við reglugerð (ESB) 2016/1628 (þ.m.t. skip sem uppfylla þessar takmarkanir án gerðarviðurkenndra lausna, s.s. með </w:t>
            </w:r>
            <w:proofErr w:type="spellStart"/>
            <w:r>
              <w:t>eftirmeðferð</w:t>
            </w:r>
            <w:proofErr w:type="spellEnd"/>
            <w:r>
              <w:t>).</w:t>
            </w:r>
          </w:p>
        </w:tc>
      </w:tr>
      <w:tr w:rsidR="00D849E8" w14:paraId="1D858C30" w14:textId="77777777" w:rsidTr="00A9140F">
        <w:tc>
          <w:tcPr>
            <w:tcW w:w="3036" w:type="dxa"/>
            <w:tcMar>
              <w:top w:w="100" w:type="dxa"/>
              <w:left w:w="0" w:type="dxa"/>
              <w:bottom w:w="100" w:type="dxa"/>
              <w:right w:w="60" w:type="dxa"/>
            </w:tcMar>
          </w:tcPr>
          <w:p w14:paraId="67B52B86" w14:textId="77777777" w:rsidR="00D849E8" w:rsidRDefault="00D849E8" w:rsidP="00A9140F">
            <w:pPr>
              <w:pStyle w:val="AnnexNumberedText"/>
              <w:spacing w:after="0"/>
              <w:ind w:left="293" w:hanging="293"/>
            </w:pPr>
            <w:r>
              <w:t>6)</w:t>
            </w:r>
            <w:r>
              <w:tab/>
              <w:t>Vernd og endurheimt líffræðilegrar fjölbreytni og vistkerfa</w:t>
            </w:r>
          </w:p>
        </w:tc>
        <w:tc>
          <w:tcPr>
            <w:tcW w:w="5700" w:type="dxa"/>
            <w:tcMar>
              <w:top w:w="100" w:type="dxa"/>
              <w:left w:w="60" w:type="dxa"/>
              <w:bottom w:w="100" w:type="dxa"/>
              <w:right w:w="0" w:type="dxa"/>
            </w:tcMar>
          </w:tcPr>
          <w:p w14:paraId="2C5394F0" w14:textId="77777777" w:rsidR="00D849E8" w:rsidRDefault="00D849E8" w:rsidP="00A9140F">
            <w:pPr>
              <w:pStyle w:val="AnnexTableCellLeft"/>
            </w:pPr>
            <w:r>
              <w:t>Á ekki við</w:t>
            </w:r>
          </w:p>
        </w:tc>
      </w:tr>
    </w:tbl>
    <w:p w14:paraId="275FCE7A" w14:textId="77777777" w:rsidR="00D849E8" w:rsidRDefault="00D849E8" w:rsidP="00D849E8">
      <w:pPr>
        <w:shd w:val="clear" w:color="auto" w:fill="auto"/>
        <w:spacing w:line="0" w:lineRule="auto"/>
        <w:jc w:val="left"/>
        <w:rPr>
          <w:color w:val="auto"/>
          <w14:ligatures w14:val="standard"/>
        </w:rPr>
      </w:pPr>
      <w:r>
        <w:br w:type="page"/>
      </w:r>
    </w:p>
    <w:p w14:paraId="2180EB46" w14:textId="77777777" w:rsidR="00D849E8" w:rsidRDefault="00D849E8" w:rsidP="00D849E8">
      <w:pPr>
        <w:pStyle w:val="AnnexNumberedText"/>
        <w:ind w:left="504" w:hanging="504"/>
      </w:pPr>
      <w:r>
        <w:lastRenderedPageBreak/>
        <w:t>6.9.</w:t>
      </w:r>
      <w:r>
        <w:rPr>
          <w:b/>
        </w:rPr>
        <w:tab/>
        <w:t>Endurbætur á farþega- og vöruflutningum eftir skipgengum vatnaleiðum</w:t>
      </w:r>
    </w:p>
    <w:p w14:paraId="69CEA4CF" w14:textId="77777777" w:rsidR="00D849E8" w:rsidRDefault="00D849E8" w:rsidP="00D849E8">
      <w:pPr>
        <w:pStyle w:val="AnnexGrSeq3"/>
        <w:spacing w:after="120"/>
        <w:ind w:left="504"/>
        <w:jc w:val="both"/>
      </w:pPr>
      <w:r>
        <w:rPr>
          <w:i/>
        </w:rPr>
        <w:t>Lýsing á starfseminni</w:t>
      </w:r>
    </w:p>
    <w:p w14:paraId="379584DF" w14:textId="77777777" w:rsidR="00D849E8" w:rsidRDefault="00D849E8" w:rsidP="00D849E8">
      <w:pPr>
        <w:pStyle w:val="AnnexNormal"/>
        <w:ind w:left="504"/>
      </w:pPr>
      <w:r>
        <w:t>Endurbætur og uppfærsla á skipum fyrir vöru- eða farþegaflutninga eftir skipgengum vatnaleiðum með skipum sem henta ekki til sjóflutninga.</w:t>
      </w:r>
    </w:p>
    <w:p w14:paraId="7E173986" w14:textId="77777777" w:rsidR="00D849E8" w:rsidRDefault="00D849E8" w:rsidP="00D849E8">
      <w:pPr>
        <w:pStyle w:val="AnnexNormal"/>
        <w:ind w:left="504"/>
      </w:pPr>
      <w:r>
        <w:t>Atvinnustarfsemin í þessum flokki gæti tengst nokkrum kóðum atvinnugreinaflokkunar Evrópusambandsins, einkum H50.4, H50.30 og C33.15, í samræmi við atvinnugreinaflokkunina sem komið var á með reglugerð (EB) nr. 1893/2006.</w:t>
      </w:r>
    </w:p>
    <w:p w14:paraId="5C06B3B4"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28"/>
        <w:gridCol w:w="5808"/>
      </w:tblGrid>
      <w:tr w:rsidR="00D849E8" w14:paraId="226B598E" w14:textId="77777777" w:rsidTr="00A9140F">
        <w:trPr>
          <w:trHeight w:val="280"/>
        </w:trPr>
        <w:tc>
          <w:tcPr>
            <w:tcW w:w="8736" w:type="dxa"/>
            <w:gridSpan w:val="2"/>
            <w:tcBorders>
              <w:bottom w:val="single" w:sz="4" w:space="0" w:color="auto"/>
            </w:tcBorders>
            <w:tcMar>
              <w:left w:w="0" w:type="dxa"/>
              <w:right w:w="60" w:type="dxa"/>
            </w:tcMar>
          </w:tcPr>
          <w:p w14:paraId="0828DB22" w14:textId="77777777" w:rsidR="00D849E8" w:rsidRDefault="00D849E8" w:rsidP="00A9140F">
            <w:pPr>
              <w:pStyle w:val="AnnexTableCellLeft"/>
              <w:spacing w:before="40" w:after="40"/>
            </w:pPr>
            <w:r>
              <w:t>Verulegt framlag til aðlögunar að loftslagsbreytingum</w:t>
            </w:r>
          </w:p>
        </w:tc>
      </w:tr>
      <w:tr w:rsidR="00D849E8" w14:paraId="41428714" w14:textId="77777777" w:rsidTr="00A9140F">
        <w:trPr>
          <w:trHeight w:val="360"/>
        </w:trPr>
        <w:tc>
          <w:tcPr>
            <w:tcW w:w="8736" w:type="dxa"/>
            <w:gridSpan w:val="2"/>
            <w:tcBorders>
              <w:bottom w:val="nil"/>
            </w:tcBorders>
            <w:tcMar>
              <w:left w:w="0" w:type="dxa"/>
              <w:right w:w="60" w:type="dxa"/>
            </w:tcMar>
          </w:tcPr>
          <w:p w14:paraId="0B576AE4" w14:textId="77777777" w:rsidR="00D849E8" w:rsidRDefault="00D849E8" w:rsidP="00A9140F">
            <w:pPr>
              <w:pStyle w:val="AnnexNumberedText"/>
              <w:tabs>
                <w:tab w:val="left" w:pos="396"/>
              </w:tabs>
              <w:spacing w:after="18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33AC5930" w14:textId="77777777" w:rsidR="00D849E8" w:rsidRDefault="00D849E8" w:rsidP="00A9140F">
            <w:pPr>
              <w:pStyle w:val="AnnexNumberedText"/>
              <w:tabs>
                <w:tab w:val="left" w:pos="396"/>
              </w:tabs>
              <w:spacing w:after="18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5E64E4A" w14:textId="77777777" w:rsidR="00D849E8" w:rsidRDefault="00D849E8" w:rsidP="00A9140F">
            <w:pPr>
              <w:pStyle w:val="AnnexNumberedText"/>
              <w:spacing w:after="180"/>
              <w:rPr>
                <w:szCs w:val="18"/>
              </w:rPr>
            </w:pPr>
            <w:r>
              <w:t>a)</w:t>
            </w:r>
            <w:r>
              <w:tab/>
              <w:t>skimun á starfseminni til að greina hvaða efnislega loftslagsáhætta úr skránni í viðbæti A við þennan viðauka getur haft áhrif á árangurinn af atvinnustarfseminni á væntum líftíma hennar,</w:t>
            </w:r>
          </w:p>
          <w:p w14:paraId="1F567481" w14:textId="77777777" w:rsidR="00D849E8" w:rsidRDefault="00D849E8" w:rsidP="00A9140F">
            <w:pPr>
              <w:pStyle w:val="AnnexNumberedText"/>
              <w:spacing w:after="18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52C04A03" w14:textId="77777777" w:rsidR="00D849E8" w:rsidRDefault="00D849E8" w:rsidP="00A9140F">
            <w:pPr>
              <w:pStyle w:val="AnnexNumberedText"/>
              <w:spacing w:after="180"/>
              <w:rPr>
                <w:szCs w:val="18"/>
              </w:rPr>
            </w:pPr>
            <w:r>
              <w:t>c)</w:t>
            </w:r>
            <w:r>
              <w:tab/>
              <w:t>mat á aðlögunarlausnum sem geta dregið úr greindri efnislegri loftslagsáhættu.</w:t>
            </w:r>
          </w:p>
          <w:p w14:paraId="35E42411" w14:textId="77777777" w:rsidR="00D849E8" w:rsidRDefault="00D849E8" w:rsidP="00A9140F">
            <w:pPr>
              <w:pStyle w:val="AnnexTableCellLeft"/>
              <w:spacing w:after="18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0C4864E3" w14:textId="77777777" w:rsidR="00D849E8" w:rsidRDefault="00D849E8" w:rsidP="00A9140F">
            <w:pPr>
              <w:pStyle w:val="AnnexNumberedText"/>
              <w:spacing w:after="18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0532198" w14:textId="77777777" w:rsidR="00D849E8" w:rsidRDefault="00D849E8" w:rsidP="00A9140F">
            <w:pPr>
              <w:pStyle w:val="AnnexNumberedText"/>
              <w:spacing w:after="18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5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03CA8DA" w14:textId="77777777" w:rsidR="00D849E8" w:rsidRDefault="00D849E8" w:rsidP="00A9140F">
            <w:pPr>
              <w:pStyle w:val="AnnexNumberedText"/>
              <w:tabs>
                <w:tab w:val="left" w:pos="396"/>
              </w:tabs>
              <w:spacing w:after="18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54"/>
            </w:r>
            <w:r>
              <w:t>), vísindalegt ritrýnt útgefið efni og líkön með opnum aðgangi (</w:t>
            </w:r>
            <w:r>
              <w:rPr>
                <w:rStyle w:val="Tilvsunneanmlsgrein"/>
                <w:sz w:val="18"/>
                <w:szCs w:val="18"/>
              </w:rPr>
              <w:footnoteReference w:id="855"/>
            </w:r>
            <w:r>
              <w:t>) eða gegn greiðslu.</w:t>
            </w:r>
          </w:p>
          <w:p w14:paraId="5226647F" w14:textId="77777777" w:rsidR="00D849E8" w:rsidRDefault="00D849E8" w:rsidP="00A9140F">
            <w:pPr>
              <w:pStyle w:val="AnnexNumberedText"/>
              <w:tabs>
                <w:tab w:val="left" w:pos="396"/>
              </w:tabs>
              <w:spacing w:after="180"/>
              <w:ind w:left="0" w:firstLine="0"/>
              <w:rPr>
                <w:szCs w:val="18"/>
              </w:rPr>
            </w:pPr>
            <w:r>
              <w:t>4.</w:t>
            </w:r>
            <w:r>
              <w:tab/>
              <w:t>Aðlögunarlausnir sem komið er í framkvæmd:</w:t>
            </w:r>
          </w:p>
          <w:p w14:paraId="25EA49E9" w14:textId="77777777" w:rsidR="00D849E8" w:rsidRDefault="00D849E8" w:rsidP="00A9140F">
            <w:pPr>
              <w:pStyle w:val="AnnexNumberedText"/>
              <w:spacing w:after="180"/>
              <w:rPr>
                <w:szCs w:val="18"/>
              </w:rPr>
            </w:pPr>
            <w:r>
              <w:t>a)</w:t>
            </w:r>
            <w:r>
              <w:tab/>
              <w:t>hafa ekki neikvæð áhrif á viðleitni til aðlögunar eða viðnám annars fólks, náttúru, menningararfleifðar, eigna og annarrar atvinnustarfsemi gegn efnislegri loftslagsáhættu,</w:t>
            </w:r>
          </w:p>
          <w:p w14:paraId="28222718" w14:textId="77777777" w:rsidR="00D849E8" w:rsidRDefault="00D849E8" w:rsidP="00A9140F">
            <w:pPr>
              <w:pStyle w:val="AnnexNumberedText"/>
              <w:spacing w:after="0"/>
              <w:rPr>
                <w:szCs w:val="18"/>
              </w:rPr>
            </w:pPr>
            <w:r>
              <w:t>b)</w:t>
            </w:r>
            <w:r>
              <w:tab/>
              <w:t>eru með náttúrumiðaðar lausnir (</w:t>
            </w:r>
            <w:r>
              <w:rPr>
                <w:rStyle w:val="Tilvsunneanmlsgrein"/>
                <w:sz w:val="18"/>
                <w:szCs w:val="18"/>
              </w:rPr>
              <w:footnoteReference w:id="856"/>
            </w:r>
            <w:r>
              <w:t>) í forgangi eða treyst er á bláa eða græna innviði (</w:t>
            </w:r>
            <w:r>
              <w:rPr>
                <w:rStyle w:val="Tilvsunneanmlsgrein"/>
                <w:sz w:val="18"/>
                <w:szCs w:val="18"/>
              </w:rPr>
              <w:footnoteReference w:id="857"/>
            </w:r>
            <w:r>
              <w:t>) að því marki sem mögulegt er,</w:t>
            </w:r>
          </w:p>
        </w:tc>
      </w:tr>
      <w:tr w:rsidR="00D849E8" w14:paraId="51FF16BF" w14:textId="77777777" w:rsidTr="00A9140F">
        <w:trPr>
          <w:trHeight w:val="360"/>
        </w:trPr>
        <w:tc>
          <w:tcPr>
            <w:tcW w:w="8736" w:type="dxa"/>
            <w:gridSpan w:val="2"/>
            <w:tcBorders>
              <w:top w:val="nil"/>
            </w:tcBorders>
            <w:tcMar>
              <w:left w:w="0" w:type="dxa"/>
              <w:right w:w="60" w:type="dxa"/>
            </w:tcMar>
          </w:tcPr>
          <w:p w14:paraId="3044EF6C" w14:textId="77777777" w:rsidR="00D849E8" w:rsidRDefault="00D849E8" w:rsidP="00A9140F">
            <w:pPr>
              <w:pStyle w:val="AnnexNumberedText"/>
              <w:pageBreakBefore/>
              <w:spacing w:after="300"/>
            </w:pPr>
            <w:r>
              <w:lastRenderedPageBreak/>
              <w:t>c)</w:t>
            </w:r>
            <w:r>
              <w:tab/>
              <w:t>eru í samræmi við staðbundnar, geirabundnar, svæðisbundnar eða landsbundnar aðlögunarstefnur og -áætlanir,</w:t>
            </w:r>
          </w:p>
          <w:p w14:paraId="5FA1BDF3" w14:textId="77777777" w:rsidR="00D849E8" w:rsidRDefault="00D849E8" w:rsidP="00A9140F">
            <w:pPr>
              <w:pStyle w:val="AnnexNumberedText"/>
              <w:spacing w:after="3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B010A90"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3E526CE0" w14:textId="77777777" w:rsidTr="00A9140F">
        <w:trPr>
          <w:trHeight w:val="240"/>
        </w:trPr>
        <w:tc>
          <w:tcPr>
            <w:tcW w:w="8736" w:type="dxa"/>
            <w:gridSpan w:val="2"/>
            <w:tcMar>
              <w:top w:w="100" w:type="dxa"/>
              <w:left w:w="0" w:type="dxa"/>
              <w:bottom w:w="100" w:type="dxa"/>
              <w:right w:w="60" w:type="dxa"/>
            </w:tcMar>
          </w:tcPr>
          <w:p w14:paraId="42186E76" w14:textId="77777777" w:rsidR="00D849E8" w:rsidRDefault="00D849E8" w:rsidP="00A9140F">
            <w:pPr>
              <w:pStyle w:val="AnnexTableCellLeft"/>
            </w:pPr>
            <w:r>
              <w:t>Ekki valda umtalsverðu tjóni</w:t>
            </w:r>
          </w:p>
        </w:tc>
      </w:tr>
      <w:tr w:rsidR="00D849E8" w14:paraId="5B038CF3" w14:textId="77777777" w:rsidTr="00A9140F">
        <w:tc>
          <w:tcPr>
            <w:tcW w:w="2928" w:type="dxa"/>
            <w:tcMar>
              <w:top w:w="100" w:type="dxa"/>
              <w:left w:w="0" w:type="dxa"/>
              <w:bottom w:w="100" w:type="dxa"/>
              <w:right w:w="60" w:type="dxa"/>
            </w:tcMar>
          </w:tcPr>
          <w:p w14:paraId="7B279634" w14:textId="77777777" w:rsidR="00D849E8" w:rsidRDefault="00D849E8" w:rsidP="00A9140F">
            <w:pPr>
              <w:pStyle w:val="AnnexNumberedText"/>
              <w:spacing w:after="0"/>
              <w:ind w:left="293" w:hanging="293"/>
            </w:pPr>
            <w:r>
              <w:t>1)</w:t>
            </w:r>
            <w:r>
              <w:tab/>
              <w:t>Mildun loftslagsbreytinga</w:t>
            </w:r>
          </w:p>
        </w:tc>
        <w:tc>
          <w:tcPr>
            <w:tcW w:w="5808" w:type="dxa"/>
            <w:tcMar>
              <w:top w:w="100" w:type="dxa"/>
              <w:left w:w="60" w:type="dxa"/>
              <w:bottom w:w="100" w:type="dxa"/>
              <w:right w:w="0" w:type="dxa"/>
            </w:tcMar>
          </w:tcPr>
          <w:p w14:paraId="38BA3803" w14:textId="77777777" w:rsidR="00D849E8" w:rsidRDefault="00D849E8" w:rsidP="00A9140F">
            <w:pPr>
              <w:pStyle w:val="AnnexTableCellLeft"/>
            </w:pPr>
            <w:r>
              <w:t>Skipin eru ekki ætluð til flutninga á jarðefnaeldsneyti.</w:t>
            </w:r>
          </w:p>
        </w:tc>
      </w:tr>
      <w:tr w:rsidR="00D849E8" w14:paraId="6EDF235C" w14:textId="77777777" w:rsidTr="00A9140F">
        <w:tc>
          <w:tcPr>
            <w:tcW w:w="2928" w:type="dxa"/>
            <w:tcMar>
              <w:top w:w="100" w:type="dxa"/>
              <w:left w:w="0" w:type="dxa"/>
              <w:bottom w:w="100" w:type="dxa"/>
              <w:right w:w="60" w:type="dxa"/>
            </w:tcMar>
          </w:tcPr>
          <w:p w14:paraId="32433985" w14:textId="77777777" w:rsidR="00D849E8" w:rsidRDefault="00D849E8" w:rsidP="00A9140F">
            <w:pPr>
              <w:pStyle w:val="AnnexNumberedText"/>
              <w:spacing w:after="0"/>
              <w:ind w:left="293" w:hanging="293"/>
            </w:pPr>
            <w:r>
              <w:t>3)</w:t>
            </w:r>
            <w:r>
              <w:tab/>
              <w:t>Sjálfbær notkun og verndun vatns- og sjávarauðlinda</w:t>
            </w:r>
          </w:p>
        </w:tc>
        <w:tc>
          <w:tcPr>
            <w:tcW w:w="5808" w:type="dxa"/>
            <w:tcMar>
              <w:top w:w="100" w:type="dxa"/>
              <w:left w:w="60" w:type="dxa"/>
              <w:bottom w:w="100" w:type="dxa"/>
              <w:right w:w="0" w:type="dxa"/>
            </w:tcMar>
          </w:tcPr>
          <w:p w14:paraId="580264BA" w14:textId="77777777" w:rsidR="00D849E8" w:rsidRDefault="00D849E8" w:rsidP="00A9140F">
            <w:pPr>
              <w:pStyle w:val="AnnexTableCellLeft"/>
            </w:pPr>
            <w:r>
              <w:t>Starfsemin er í samræmi við viðmiðanirnar sem settar eru fram í viðbæti B við þennan viðauka.</w:t>
            </w:r>
          </w:p>
        </w:tc>
      </w:tr>
      <w:tr w:rsidR="00D849E8" w14:paraId="02E831F0" w14:textId="77777777" w:rsidTr="00A9140F">
        <w:tc>
          <w:tcPr>
            <w:tcW w:w="2928" w:type="dxa"/>
            <w:tcMar>
              <w:top w:w="100" w:type="dxa"/>
              <w:left w:w="0" w:type="dxa"/>
              <w:bottom w:w="100" w:type="dxa"/>
              <w:right w:w="60" w:type="dxa"/>
            </w:tcMar>
          </w:tcPr>
          <w:p w14:paraId="015C80EE" w14:textId="77777777" w:rsidR="00D849E8" w:rsidRDefault="00D849E8" w:rsidP="00A9140F">
            <w:pPr>
              <w:pStyle w:val="AnnexNumberedText"/>
              <w:spacing w:after="0"/>
              <w:ind w:left="293" w:hanging="293"/>
            </w:pPr>
            <w:r>
              <w:t>4)</w:t>
            </w:r>
            <w:r>
              <w:tab/>
              <w:t>Umskipti yfir í hringrásarhagkerfi</w:t>
            </w:r>
          </w:p>
        </w:tc>
        <w:tc>
          <w:tcPr>
            <w:tcW w:w="5808" w:type="dxa"/>
            <w:tcMar>
              <w:top w:w="100" w:type="dxa"/>
              <w:left w:w="60" w:type="dxa"/>
              <w:bottom w:w="100" w:type="dxa"/>
              <w:right w:w="0" w:type="dxa"/>
            </w:tcMar>
          </w:tcPr>
          <w:p w14:paraId="54CACB5B" w14:textId="77777777" w:rsidR="00D849E8" w:rsidRDefault="00D849E8" w:rsidP="00A9140F">
            <w:pPr>
              <w:pStyle w:val="AnnexTableCellLeft"/>
            </w:pPr>
            <w:r>
              <w:t>Ráðstafanir til úrgangsstjórnunar eru til staðar, bæði í notkunaráfanganum og þegar skipið er úr sér gengið, í samræmi við úrgangsmetakerfið, þ.m.t. eftirlit og meðhöndlun hættulegra efna um borð í skipum og til að tryggja örugga endurvinnslu þeirra.</w:t>
            </w:r>
          </w:p>
        </w:tc>
      </w:tr>
      <w:tr w:rsidR="00D849E8" w14:paraId="2B83CC67" w14:textId="77777777" w:rsidTr="00A9140F">
        <w:tc>
          <w:tcPr>
            <w:tcW w:w="2928" w:type="dxa"/>
            <w:tcMar>
              <w:top w:w="100" w:type="dxa"/>
              <w:left w:w="0" w:type="dxa"/>
              <w:bottom w:w="100" w:type="dxa"/>
              <w:right w:w="60" w:type="dxa"/>
            </w:tcMar>
          </w:tcPr>
          <w:p w14:paraId="20D074E5" w14:textId="77777777" w:rsidR="00D849E8" w:rsidRDefault="00D849E8" w:rsidP="00A9140F">
            <w:pPr>
              <w:pStyle w:val="AnnexNumberedText"/>
              <w:spacing w:after="0"/>
              <w:ind w:left="293" w:hanging="293"/>
            </w:pPr>
            <w:r>
              <w:t>5)</w:t>
            </w:r>
            <w:r>
              <w:tab/>
              <w:t>Mengunarvarnir og eftirlit með mengun</w:t>
            </w:r>
          </w:p>
        </w:tc>
        <w:tc>
          <w:tcPr>
            <w:tcW w:w="5808" w:type="dxa"/>
            <w:tcMar>
              <w:top w:w="100" w:type="dxa"/>
              <w:left w:w="60" w:type="dxa"/>
              <w:bottom w:w="100" w:type="dxa"/>
              <w:right w:w="0" w:type="dxa"/>
            </w:tcMar>
          </w:tcPr>
          <w:p w14:paraId="78212B37" w14:textId="77777777" w:rsidR="00D849E8" w:rsidRDefault="00D849E8" w:rsidP="00A9140F">
            <w:pPr>
              <w:pStyle w:val="AnnexTableCellLeft"/>
            </w:pPr>
            <w:r>
              <w:t xml:space="preserve">Skip uppfylla losunarmörkin í II. viðauka við reglugerð (ESB) 2016/1628 (þ.m.t. skip sem uppfylla þessar takmarkanir án gerðarviðurkenndra lausna, s.s. með </w:t>
            </w:r>
            <w:proofErr w:type="spellStart"/>
            <w:r>
              <w:t>eftirmeðferð</w:t>
            </w:r>
            <w:proofErr w:type="spellEnd"/>
            <w:r>
              <w:t>).</w:t>
            </w:r>
          </w:p>
        </w:tc>
      </w:tr>
      <w:tr w:rsidR="00D849E8" w14:paraId="41CA8224" w14:textId="77777777" w:rsidTr="00A9140F">
        <w:tc>
          <w:tcPr>
            <w:tcW w:w="2928" w:type="dxa"/>
            <w:tcMar>
              <w:top w:w="100" w:type="dxa"/>
              <w:left w:w="0" w:type="dxa"/>
              <w:bottom w:w="100" w:type="dxa"/>
              <w:right w:w="60" w:type="dxa"/>
            </w:tcMar>
          </w:tcPr>
          <w:p w14:paraId="7A4542C9" w14:textId="77777777" w:rsidR="00D849E8" w:rsidRDefault="00D849E8" w:rsidP="00A9140F">
            <w:pPr>
              <w:pStyle w:val="AnnexNumberedText"/>
              <w:spacing w:after="0"/>
              <w:ind w:left="293" w:hanging="293"/>
            </w:pPr>
            <w:r>
              <w:t>6)</w:t>
            </w:r>
            <w:r>
              <w:tab/>
              <w:t>Vernd og endurheimt líffræðilegrar fjölbreytni og vistkerfa</w:t>
            </w:r>
          </w:p>
        </w:tc>
        <w:tc>
          <w:tcPr>
            <w:tcW w:w="5808" w:type="dxa"/>
            <w:tcMar>
              <w:top w:w="100" w:type="dxa"/>
              <w:left w:w="60" w:type="dxa"/>
              <w:bottom w:w="100" w:type="dxa"/>
              <w:right w:w="0" w:type="dxa"/>
            </w:tcMar>
          </w:tcPr>
          <w:p w14:paraId="4E202223" w14:textId="77777777" w:rsidR="00D849E8" w:rsidRDefault="00D849E8" w:rsidP="00A9140F">
            <w:pPr>
              <w:pStyle w:val="AnnexTableCellLeft"/>
            </w:pPr>
            <w:r>
              <w:t>Á ekki við</w:t>
            </w:r>
          </w:p>
        </w:tc>
      </w:tr>
    </w:tbl>
    <w:p w14:paraId="10EF685C" w14:textId="77777777" w:rsidR="00D849E8" w:rsidRDefault="00D849E8" w:rsidP="00D849E8">
      <w:pPr>
        <w:pStyle w:val="AnnexNumberedText"/>
        <w:ind w:left="504" w:hanging="504"/>
      </w:pPr>
      <w:r>
        <w:t>6.10.</w:t>
      </w:r>
      <w:r>
        <w:rPr>
          <w:b/>
        </w:rPr>
        <w:tab/>
        <w:t>Millilanda- og strandsiglingar með vörur, skip fyrir hafnarstarfsemi og aukastarfsemi</w:t>
      </w:r>
    </w:p>
    <w:p w14:paraId="4B835DA0" w14:textId="77777777" w:rsidR="00D849E8" w:rsidRDefault="00D849E8" w:rsidP="00D849E8">
      <w:pPr>
        <w:pStyle w:val="AnnexGrSeq3"/>
        <w:spacing w:after="120"/>
        <w:ind w:left="504"/>
        <w:jc w:val="both"/>
      </w:pPr>
      <w:r>
        <w:rPr>
          <w:i/>
        </w:rPr>
        <w:t>Lýsing á starfseminni</w:t>
      </w:r>
    </w:p>
    <w:p w14:paraId="09AB928D" w14:textId="77777777" w:rsidR="00D849E8" w:rsidRDefault="00D849E8" w:rsidP="00D849E8">
      <w:pPr>
        <w:pStyle w:val="AnnexNormal"/>
        <w:spacing w:after="500"/>
        <w:ind w:left="504"/>
      </w:pPr>
      <w:r>
        <w:t xml:space="preserve">Kaup, fjármögnun, leiga (með eða án áhafnar) og </w:t>
      </w:r>
      <w:proofErr w:type="spellStart"/>
      <w:r>
        <w:t>starfræksla</w:t>
      </w:r>
      <w:proofErr w:type="spellEnd"/>
      <w:r>
        <w:t xml:space="preserve"> skipa sem eru hönnuð og útbúin til vöruflutninga eða fyrir samsetta flutninga á vörum og farþegum í millilanda- eða strandsiglingum, jafnt áætlunarferðir sem aðrar ferðir. Kaup, fjármögnun, leiga og </w:t>
      </w:r>
      <w:proofErr w:type="spellStart"/>
      <w:r>
        <w:t>starfræksla</w:t>
      </w:r>
      <w:proofErr w:type="spellEnd"/>
      <w:r>
        <w:t xml:space="preserve"> skipa sem þörf er á fyrir hafnar- og hjálparstarfsemi, s.s. dráttarbátar, </w:t>
      </w:r>
      <w:proofErr w:type="spellStart"/>
      <w:r>
        <w:t>festarþjónustubátar</w:t>
      </w:r>
      <w:proofErr w:type="spellEnd"/>
      <w:r>
        <w:t>, hafnsögubátar, björgunarbátar og ísbrjótar.</w:t>
      </w:r>
    </w:p>
    <w:p w14:paraId="1621F362" w14:textId="77777777" w:rsidR="00D849E8" w:rsidRDefault="00D849E8" w:rsidP="00D849E8">
      <w:pPr>
        <w:pStyle w:val="AnnexNormal"/>
        <w:spacing w:after="500"/>
        <w:ind w:left="504"/>
      </w:pPr>
      <w:r>
        <w:t>Atvinnustarfsemin í þessum flokki gæti tengst nokkrum kóðum atvinnugreinaflokkunar Evrópusambandsins, einkum H50.2, H52.22 og N77.34, í samræmi við atvinnugreinaflokkunina sem komið var á með reglugerð (EB) nr. 1893/2006.</w:t>
      </w:r>
    </w:p>
    <w:p w14:paraId="2F82A702"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12"/>
        <w:gridCol w:w="5724"/>
      </w:tblGrid>
      <w:tr w:rsidR="00D849E8" w14:paraId="3AA1E50F" w14:textId="77777777" w:rsidTr="00A9140F">
        <w:trPr>
          <w:trHeight w:val="280"/>
        </w:trPr>
        <w:tc>
          <w:tcPr>
            <w:tcW w:w="8736" w:type="dxa"/>
            <w:gridSpan w:val="2"/>
            <w:tcBorders>
              <w:bottom w:val="single" w:sz="4" w:space="0" w:color="auto"/>
            </w:tcBorders>
            <w:tcMar>
              <w:left w:w="0" w:type="dxa"/>
              <w:right w:w="60" w:type="dxa"/>
            </w:tcMar>
          </w:tcPr>
          <w:p w14:paraId="424DB83D" w14:textId="77777777" w:rsidR="00D849E8" w:rsidRDefault="00D849E8" w:rsidP="00A9140F">
            <w:pPr>
              <w:pStyle w:val="AnnexTableCellLeft"/>
              <w:spacing w:before="40" w:after="40"/>
            </w:pPr>
            <w:r>
              <w:t>Verulegt framlag til aðlögunar að loftslagsbreytingum</w:t>
            </w:r>
          </w:p>
        </w:tc>
      </w:tr>
      <w:tr w:rsidR="00D849E8" w14:paraId="3B646DB3" w14:textId="77777777" w:rsidTr="00A9140F">
        <w:trPr>
          <w:trHeight w:val="360"/>
        </w:trPr>
        <w:tc>
          <w:tcPr>
            <w:tcW w:w="8736" w:type="dxa"/>
            <w:gridSpan w:val="2"/>
            <w:tcBorders>
              <w:bottom w:val="nil"/>
            </w:tcBorders>
            <w:tcMar>
              <w:left w:w="0" w:type="dxa"/>
              <w:right w:w="60" w:type="dxa"/>
            </w:tcMar>
          </w:tcPr>
          <w:p w14:paraId="6FDD55AD" w14:textId="77777777" w:rsidR="00D849E8" w:rsidRDefault="00D849E8"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192CB6E6" w14:textId="77777777" w:rsidR="00D849E8" w:rsidRDefault="00D849E8"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63716281" w14:textId="77777777" w:rsidR="00D849E8" w:rsidRDefault="00D849E8"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0FDCDD9C" w14:textId="77777777" w:rsidR="00D849E8" w:rsidRDefault="00D849E8" w:rsidP="00A9140F">
            <w:pPr>
              <w:pStyle w:val="AnnexNumberedText"/>
              <w:spacing w:after="2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72E6EFB" w14:textId="77777777" w:rsidR="00D849E8" w:rsidRDefault="00D849E8" w:rsidP="00A9140F">
            <w:pPr>
              <w:pStyle w:val="AnnexNumberedText"/>
              <w:spacing w:after="0"/>
            </w:pPr>
            <w:r>
              <w:t>c)</w:t>
            </w:r>
            <w:r>
              <w:tab/>
              <w:t>mat á aðlögunarlausnum sem geta dregið úr greindri efnislegri loftslagsáhættu.</w:t>
            </w:r>
          </w:p>
        </w:tc>
      </w:tr>
      <w:tr w:rsidR="00D849E8" w14:paraId="034B7000" w14:textId="77777777" w:rsidTr="00A9140F">
        <w:trPr>
          <w:trHeight w:val="360"/>
        </w:trPr>
        <w:tc>
          <w:tcPr>
            <w:tcW w:w="8736" w:type="dxa"/>
            <w:gridSpan w:val="2"/>
            <w:tcBorders>
              <w:top w:val="nil"/>
            </w:tcBorders>
            <w:tcMar>
              <w:left w:w="0" w:type="dxa"/>
              <w:right w:w="60" w:type="dxa"/>
            </w:tcMar>
          </w:tcPr>
          <w:p w14:paraId="16D12FB1" w14:textId="77777777" w:rsidR="00D849E8" w:rsidRDefault="00D849E8" w:rsidP="00A9140F">
            <w:pPr>
              <w:pStyle w:val="AnnexTableCellLeft"/>
              <w:pageBreakBefore/>
              <w:spacing w:after="160"/>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721F4D99" w14:textId="77777777" w:rsidR="00D849E8" w:rsidRDefault="00D849E8" w:rsidP="00A9140F">
            <w:pPr>
              <w:pStyle w:val="AnnexNumberedText"/>
              <w:spacing w:after="1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5F0DE8B" w14:textId="77777777" w:rsidR="00D849E8" w:rsidRDefault="00D849E8" w:rsidP="00A9140F">
            <w:pPr>
              <w:pStyle w:val="AnnexNumberedText"/>
              <w:spacing w:after="1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58"/>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4964CFD" w14:textId="77777777" w:rsidR="00D849E8" w:rsidRDefault="00D849E8" w:rsidP="00A9140F">
            <w:pPr>
              <w:pStyle w:val="AnnexNumberedText"/>
              <w:tabs>
                <w:tab w:val="left" w:pos="396"/>
              </w:tabs>
              <w:spacing w:after="1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59"/>
            </w:r>
            <w:r>
              <w:t>), vísindalegt ritrýnt útgefið efni og líkön með opnum aðgangi (</w:t>
            </w:r>
            <w:r>
              <w:rPr>
                <w:rStyle w:val="Tilvsunneanmlsgrein"/>
                <w:sz w:val="18"/>
                <w:szCs w:val="18"/>
              </w:rPr>
              <w:footnoteReference w:id="860"/>
            </w:r>
            <w:r>
              <w:t>) eða gegn greiðslu.</w:t>
            </w:r>
          </w:p>
          <w:p w14:paraId="45148597" w14:textId="77777777" w:rsidR="00D849E8" w:rsidRDefault="00D849E8" w:rsidP="00A9140F">
            <w:pPr>
              <w:pStyle w:val="AnnexNumberedText"/>
              <w:tabs>
                <w:tab w:val="left" w:pos="396"/>
              </w:tabs>
              <w:spacing w:after="160"/>
              <w:ind w:left="0" w:firstLine="0"/>
              <w:rPr>
                <w:szCs w:val="18"/>
              </w:rPr>
            </w:pPr>
            <w:r>
              <w:t>4.</w:t>
            </w:r>
            <w:r>
              <w:tab/>
              <w:t>Aðlögunarlausnir sem komið er í framkvæmd:</w:t>
            </w:r>
          </w:p>
          <w:p w14:paraId="3F55B91D" w14:textId="77777777" w:rsidR="00D849E8" w:rsidRDefault="00D849E8" w:rsidP="00A9140F">
            <w:pPr>
              <w:pStyle w:val="AnnexNumberedText"/>
              <w:spacing w:after="160"/>
              <w:rPr>
                <w:szCs w:val="18"/>
              </w:rPr>
            </w:pPr>
            <w:r>
              <w:t>a)</w:t>
            </w:r>
            <w:r>
              <w:tab/>
              <w:t>hafa ekki neikvæð áhrif á viðleitni til aðlögunar eða viðnám annars fólks, náttúru, menningararfleifðar, eigna og annarrar atvinnustarfsemi gegn efnislegri loftslagsáhættu,</w:t>
            </w:r>
          </w:p>
          <w:p w14:paraId="56AB5D68" w14:textId="77777777" w:rsidR="00D849E8" w:rsidRDefault="00D849E8" w:rsidP="00A9140F">
            <w:pPr>
              <w:pStyle w:val="AnnexNumberedText"/>
              <w:spacing w:after="160"/>
              <w:rPr>
                <w:szCs w:val="18"/>
              </w:rPr>
            </w:pPr>
            <w:r>
              <w:t>b)</w:t>
            </w:r>
            <w:r>
              <w:tab/>
              <w:t>eru með náttúrumiðaðar lausnir (</w:t>
            </w:r>
            <w:r>
              <w:rPr>
                <w:rStyle w:val="Tilvsunneanmlsgrein"/>
                <w:sz w:val="18"/>
                <w:szCs w:val="18"/>
              </w:rPr>
              <w:footnoteReference w:id="861"/>
            </w:r>
            <w:r>
              <w:t>) í forgangi eða treyst er á bláa eða græna innviði (</w:t>
            </w:r>
            <w:r>
              <w:rPr>
                <w:rStyle w:val="Tilvsunneanmlsgrein"/>
                <w:sz w:val="18"/>
                <w:szCs w:val="18"/>
              </w:rPr>
              <w:footnoteReference w:id="862"/>
            </w:r>
            <w:r>
              <w:t>) að því marki sem mögulegt er,</w:t>
            </w:r>
          </w:p>
          <w:p w14:paraId="072B50C0" w14:textId="77777777" w:rsidR="00D849E8" w:rsidRDefault="00D849E8" w:rsidP="00A9140F">
            <w:pPr>
              <w:pStyle w:val="AnnexNumberedText"/>
              <w:spacing w:after="160"/>
              <w:rPr>
                <w:szCs w:val="18"/>
              </w:rPr>
            </w:pPr>
            <w:r>
              <w:t>c)</w:t>
            </w:r>
            <w:r>
              <w:tab/>
              <w:t>eru í samræmi við staðbundnar, geirabundnar, svæðisbundnar eða landsbundnar aðlögunarstefnur og -áætlanir,</w:t>
            </w:r>
          </w:p>
          <w:p w14:paraId="23C593CB" w14:textId="77777777" w:rsidR="00D849E8" w:rsidRDefault="00D849E8" w:rsidP="00A9140F">
            <w:pPr>
              <w:pStyle w:val="AnnexNumberedText"/>
              <w:spacing w:after="16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DC39581"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29AC0BD3" w14:textId="77777777" w:rsidTr="00A9140F">
        <w:trPr>
          <w:trHeight w:val="240"/>
        </w:trPr>
        <w:tc>
          <w:tcPr>
            <w:tcW w:w="8736" w:type="dxa"/>
            <w:gridSpan w:val="2"/>
            <w:tcMar>
              <w:top w:w="100" w:type="dxa"/>
              <w:left w:w="0" w:type="dxa"/>
              <w:bottom w:w="100" w:type="dxa"/>
              <w:right w:w="60" w:type="dxa"/>
            </w:tcMar>
          </w:tcPr>
          <w:p w14:paraId="0014667A" w14:textId="77777777" w:rsidR="00D849E8" w:rsidRDefault="00D849E8" w:rsidP="00A9140F">
            <w:pPr>
              <w:pStyle w:val="AnnexTableCellLeft"/>
              <w:rPr>
                <w:szCs w:val="18"/>
              </w:rPr>
            </w:pPr>
            <w:r>
              <w:t>Ekki valda umtalsverðu tjóni</w:t>
            </w:r>
          </w:p>
        </w:tc>
      </w:tr>
      <w:tr w:rsidR="00D849E8" w14:paraId="40876E0A" w14:textId="77777777" w:rsidTr="00A9140F">
        <w:trPr>
          <w:trHeight w:val="360"/>
        </w:trPr>
        <w:tc>
          <w:tcPr>
            <w:tcW w:w="3012" w:type="dxa"/>
            <w:tcMar>
              <w:top w:w="100" w:type="dxa"/>
              <w:left w:w="0" w:type="dxa"/>
              <w:bottom w:w="100" w:type="dxa"/>
              <w:right w:w="60" w:type="dxa"/>
            </w:tcMar>
          </w:tcPr>
          <w:p w14:paraId="484E5C49" w14:textId="77777777" w:rsidR="00D849E8" w:rsidRDefault="00D849E8" w:rsidP="00A9140F">
            <w:pPr>
              <w:pStyle w:val="AnnexNumberedText"/>
              <w:spacing w:after="0"/>
              <w:ind w:left="293" w:hanging="293"/>
              <w:rPr>
                <w:szCs w:val="18"/>
              </w:rPr>
            </w:pPr>
            <w:r>
              <w:t>1)</w:t>
            </w:r>
            <w:r>
              <w:tab/>
              <w:t>Mildun loftslagsbreytinga</w:t>
            </w:r>
          </w:p>
        </w:tc>
        <w:tc>
          <w:tcPr>
            <w:tcW w:w="5724" w:type="dxa"/>
            <w:tcMar>
              <w:top w:w="100" w:type="dxa"/>
              <w:left w:w="60" w:type="dxa"/>
              <w:bottom w:w="100" w:type="dxa"/>
              <w:right w:w="0" w:type="dxa"/>
            </w:tcMar>
          </w:tcPr>
          <w:p w14:paraId="0137460F" w14:textId="77777777" w:rsidR="00D849E8" w:rsidRDefault="00D849E8" w:rsidP="00A9140F">
            <w:pPr>
              <w:pStyle w:val="AnnexTableCellLeft"/>
              <w:rPr>
                <w:szCs w:val="18"/>
              </w:rPr>
            </w:pPr>
            <w:r>
              <w:t>Skipin eru ekki ætluð til flutninga á jarðefnaeldsneyti.</w:t>
            </w:r>
          </w:p>
        </w:tc>
      </w:tr>
      <w:tr w:rsidR="00D849E8" w14:paraId="1EC4E7EE" w14:textId="77777777" w:rsidTr="00A9140F">
        <w:trPr>
          <w:trHeight w:val="360"/>
        </w:trPr>
        <w:tc>
          <w:tcPr>
            <w:tcW w:w="3012" w:type="dxa"/>
            <w:tcBorders>
              <w:bottom w:val="single" w:sz="4" w:space="0" w:color="auto"/>
            </w:tcBorders>
            <w:tcMar>
              <w:top w:w="100" w:type="dxa"/>
              <w:left w:w="0" w:type="dxa"/>
              <w:bottom w:w="100" w:type="dxa"/>
              <w:right w:w="60" w:type="dxa"/>
            </w:tcMar>
          </w:tcPr>
          <w:p w14:paraId="26953F24" w14:textId="77777777" w:rsidR="00D849E8" w:rsidRDefault="00D849E8" w:rsidP="00A9140F">
            <w:pPr>
              <w:pStyle w:val="AnnexNumberedText"/>
              <w:spacing w:after="0"/>
              <w:ind w:left="293" w:hanging="293"/>
              <w:rPr>
                <w:szCs w:val="18"/>
              </w:rPr>
            </w:pPr>
            <w:r>
              <w:t>3)</w:t>
            </w:r>
            <w:r>
              <w:tab/>
              <w:t>Sjálfbær notkun og verndun vatns- og sjávarauðlinda</w:t>
            </w:r>
          </w:p>
        </w:tc>
        <w:tc>
          <w:tcPr>
            <w:tcW w:w="5724" w:type="dxa"/>
            <w:tcBorders>
              <w:bottom w:val="single" w:sz="4" w:space="0" w:color="auto"/>
            </w:tcBorders>
            <w:tcMar>
              <w:top w:w="100" w:type="dxa"/>
              <w:left w:w="60" w:type="dxa"/>
              <w:bottom w:w="100" w:type="dxa"/>
              <w:right w:w="0" w:type="dxa"/>
            </w:tcMar>
          </w:tcPr>
          <w:p w14:paraId="46A40E49" w14:textId="77777777" w:rsidR="00D849E8" w:rsidRDefault="00D849E8" w:rsidP="00A9140F">
            <w:pPr>
              <w:pStyle w:val="AnnexTableCellLeft"/>
              <w:rPr>
                <w:szCs w:val="18"/>
              </w:rPr>
            </w:pPr>
            <w:r>
              <w:t>Starfsemin er í samræmi við viðmiðanirnar sem settar eru fram í viðbæti B við þennan viðauka.</w:t>
            </w:r>
          </w:p>
        </w:tc>
      </w:tr>
      <w:tr w:rsidR="00D849E8" w14:paraId="5CB5BC03" w14:textId="77777777" w:rsidTr="00A9140F">
        <w:trPr>
          <w:trHeight w:val="360"/>
        </w:trPr>
        <w:tc>
          <w:tcPr>
            <w:tcW w:w="3012" w:type="dxa"/>
            <w:tcBorders>
              <w:bottom w:val="nil"/>
            </w:tcBorders>
            <w:tcMar>
              <w:top w:w="100" w:type="dxa"/>
              <w:left w:w="0" w:type="dxa"/>
              <w:bottom w:w="100" w:type="dxa"/>
              <w:right w:w="60" w:type="dxa"/>
            </w:tcMar>
          </w:tcPr>
          <w:p w14:paraId="03024E09" w14:textId="77777777" w:rsidR="00D849E8" w:rsidRDefault="00D849E8" w:rsidP="00A9140F">
            <w:pPr>
              <w:pStyle w:val="AnnexNumberedText"/>
              <w:spacing w:after="0"/>
              <w:ind w:left="293" w:hanging="293"/>
              <w:rPr>
                <w:szCs w:val="18"/>
              </w:rPr>
            </w:pPr>
            <w:r>
              <w:t>4)</w:t>
            </w:r>
            <w:r>
              <w:tab/>
              <w:t>Umskipti yfir í hringrásarhagkerfi</w:t>
            </w:r>
          </w:p>
        </w:tc>
        <w:tc>
          <w:tcPr>
            <w:tcW w:w="5724" w:type="dxa"/>
            <w:tcBorders>
              <w:bottom w:val="nil"/>
            </w:tcBorders>
            <w:tcMar>
              <w:top w:w="100" w:type="dxa"/>
              <w:left w:w="60" w:type="dxa"/>
              <w:bottom w:w="100" w:type="dxa"/>
              <w:right w:w="0" w:type="dxa"/>
            </w:tcMar>
          </w:tcPr>
          <w:p w14:paraId="0A786812" w14:textId="77777777" w:rsidR="00D849E8" w:rsidRDefault="00D849E8" w:rsidP="00A9140F">
            <w:pPr>
              <w:pStyle w:val="AnnexTableCellLeft"/>
              <w:spacing w:after="120"/>
              <w:rPr>
                <w:szCs w:val="18"/>
              </w:rPr>
            </w:pPr>
            <w:r>
              <w:t>Ráðstafanir til úrgangsstjórnunar eru til staðar, bæði í notkunaráfanganum og þegar skipið er úr sér gengið, í samræmi við úrgangsmetakerfið.</w:t>
            </w:r>
          </w:p>
          <w:p w14:paraId="483D21E1" w14:textId="77777777" w:rsidR="00D849E8" w:rsidRDefault="00D849E8" w:rsidP="00A9140F">
            <w:pPr>
              <w:pStyle w:val="AnnexTableCellLeft"/>
              <w:spacing w:after="120"/>
              <w:rPr>
                <w:szCs w:val="18"/>
              </w:rPr>
            </w:pPr>
            <w:r>
              <w:t>Að því er varðar skip sem ganga fyrir rafhlöðum fela þessar ráðstafanir í sér endurnotkun og endurvinnslu á rafhlöðum og rafeindabúnaði, þ.m.t. mikilvæg hráefni í þeim.</w:t>
            </w:r>
          </w:p>
          <w:p w14:paraId="6C498D11" w14:textId="77777777" w:rsidR="00D849E8" w:rsidRDefault="00D849E8" w:rsidP="00A9140F">
            <w:pPr>
              <w:pStyle w:val="AnnexTableCellLeft"/>
              <w:rPr>
                <w:szCs w:val="18"/>
              </w:rPr>
            </w:pPr>
            <w:r>
              <w:t xml:space="preserve">Að því er varðar gömul skip yfir 500 </w:t>
            </w:r>
            <w:proofErr w:type="spellStart"/>
            <w:r>
              <w:t>brúttótonn</w:t>
            </w:r>
            <w:proofErr w:type="spellEnd"/>
            <w:r>
              <w:t xml:space="preserve"> og nýsmíðuð skip sem leysa þau af hólmi er starfsemin í samræmi við kröfurnar í reglugerð (ESB) nr. 1257/2013 að því er varðar birgðaskrána yfir hættuleg efni um borð. Skip sem eru höggvin í brotajárn eru endurunnin í stöðvum sem eru á Evrópuskránni yfir skipaendurvinnslustöðvar eins og mælt er fyrir um í ákvörðun fram</w:t>
            </w:r>
            <w:r>
              <w:lastRenderedPageBreak/>
              <w:t>kvæmdastjórnarinnar 2016/2323.</w:t>
            </w:r>
          </w:p>
        </w:tc>
      </w:tr>
      <w:tr w:rsidR="00D849E8" w14:paraId="31D3F12C" w14:textId="77777777" w:rsidTr="00A9140F">
        <w:trPr>
          <w:trHeight w:val="240"/>
        </w:trPr>
        <w:tc>
          <w:tcPr>
            <w:tcW w:w="3012" w:type="dxa"/>
            <w:tcBorders>
              <w:top w:val="single" w:sz="4" w:space="0" w:color="auto"/>
            </w:tcBorders>
            <w:tcMar>
              <w:top w:w="100" w:type="dxa"/>
              <w:left w:w="0" w:type="dxa"/>
              <w:bottom w:w="100" w:type="dxa"/>
              <w:right w:w="60" w:type="dxa"/>
            </w:tcMar>
          </w:tcPr>
          <w:p w14:paraId="42FA9C3A" w14:textId="77777777" w:rsidR="00D849E8" w:rsidRDefault="00D849E8" w:rsidP="00A9140F">
            <w:pPr>
              <w:pStyle w:val="AnnexTableCellLeft"/>
              <w:pageBreakBefore/>
              <w:rPr>
                <w:szCs w:val="18"/>
              </w:rPr>
            </w:pPr>
          </w:p>
        </w:tc>
        <w:tc>
          <w:tcPr>
            <w:tcW w:w="5724" w:type="dxa"/>
            <w:tcBorders>
              <w:top w:val="single" w:sz="4" w:space="0" w:color="auto"/>
            </w:tcBorders>
            <w:tcMar>
              <w:top w:w="100" w:type="dxa"/>
              <w:left w:w="60" w:type="dxa"/>
              <w:bottom w:w="100" w:type="dxa"/>
              <w:right w:w="0" w:type="dxa"/>
            </w:tcMar>
          </w:tcPr>
          <w:p w14:paraId="23482E72" w14:textId="77777777" w:rsidR="00D849E8" w:rsidRDefault="00D849E8" w:rsidP="00A9140F">
            <w:pPr>
              <w:pStyle w:val="AnnexTableCellLeft"/>
              <w:spacing w:after="160"/>
              <w:rPr>
                <w:szCs w:val="18"/>
              </w:rPr>
            </w:pPr>
            <w:r>
              <w:t>Starfsemin er í samræmi við tilskipun (ESB) 2019/883 að því er varðar verndun sjávarumhverfisins gegn neikvæðum áhrifum af losun úrgangs frá skipum.</w:t>
            </w:r>
          </w:p>
          <w:p w14:paraId="232A88EF" w14:textId="77777777" w:rsidR="00D849E8" w:rsidRDefault="00D849E8" w:rsidP="00A9140F">
            <w:pPr>
              <w:pStyle w:val="AnnexTableCellLeft"/>
              <w:rPr>
                <w:szCs w:val="18"/>
              </w:rPr>
            </w:pPr>
            <w:r>
              <w:t>Skipið er starfrækt í samræmi við V. viðauka við MARPOL-samning Alþjóðasiglingamálastofnunarinnar, einkum með það fyrir augum að framleiða minna magn af úrgangi og að draga úr löglegri losun með því að stjórna úrgangi þess á sjálfbæran og umhverfisvænan hátt.</w:t>
            </w:r>
          </w:p>
        </w:tc>
      </w:tr>
      <w:tr w:rsidR="00D849E8" w14:paraId="19C975CF" w14:textId="77777777" w:rsidTr="00A9140F">
        <w:trPr>
          <w:trHeight w:val="360"/>
        </w:trPr>
        <w:tc>
          <w:tcPr>
            <w:tcW w:w="3012" w:type="dxa"/>
            <w:tcMar>
              <w:top w:w="100" w:type="dxa"/>
              <w:left w:w="0" w:type="dxa"/>
              <w:bottom w:w="100" w:type="dxa"/>
              <w:right w:w="60" w:type="dxa"/>
            </w:tcMar>
          </w:tcPr>
          <w:p w14:paraId="2AD7EF3D" w14:textId="77777777" w:rsidR="00D849E8" w:rsidRDefault="00D849E8" w:rsidP="00A9140F">
            <w:pPr>
              <w:pStyle w:val="AnnexNumberedText"/>
              <w:ind w:left="293" w:hanging="293"/>
              <w:rPr>
                <w:szCs w:val="18"/>
              </w:rPr>
            </w:pPr>
            <w:r>
              <w:t>5)</w:t>
            </w:r>
            <w:r>
              <w:tab/>
              <w:t>Mengunarvarnir og eftirlit með mengun</w:t>
            </w:r>
          </w:p>
        </w:tc>
        <w:tc>
          <w:tcPr>
            <w:tcW w:w="5724" w:type="dxa"/>
            <w:tcMar>
              <w:top w:w="100" w:type="dxa"/>
              <w:left w:w="60" w:type="dxa"/>
              <w:bottom w:w="100" w:type="dxa"/>
              <w:right w:w="0" w:type="dxa"/>
            </w:tcMar>
          </w:tcPr>
          <w:p w14:paraId="3901D13A" w14:textId="77777777" w:rsidR="00D849E8" w:rsidRDefault="00D849E8" w:rsidP="00A9140F">
            <w:pPr>
              <w:pStyle w:val="AnnexTableCellLeft"/>
              <w:spacing w:after="160"/>
              <w:rPr>
                <w:szCs w:val="18"/>
              </w:rPr>
            </w:pPr>
            <w:r>
              <w:t xml:space="preserve">Að því er varðar samdrátt í losun </w:t>
            </w:r>
            <w:proofErr w:type="spellStart"/>
            <w:r>
              <w:t>brennisteinsoxíðs</w:t>
            </w:r>
            <w:proofErr w:type="spellEnd"/>
            <w:r>
              <w:t xml:space="preserve"> og efnisagna eru skip í samræmi við tilskipun (ESB) 2016/802 og reglu 14 (</w:t>
            </w:r>
            <w:r>
              <w:rPr>
                <w:rStyle w:val="Tilvsunneanmlsgrein"/>
                <w:sz w:val="18"/>
                <w:szCs w:val="18"/>
              </w:rPr>
              <w:footnoteReference w:id="863"/>
            </w:r>
            <w:r>
              <w:t>) í VI. viðauka við MARPOL-samning Alþjóðasiglingamálastofnunarinnar. Brennisteinsinnihaldið í eldsneytinu fer ekki yfir 0,5% af massa (heildarmörk fyrir brennistein) og 0,1% af massa á mengunarvarnarsvæðum sem Alþjóðasiglingamálastofnunin hefur skilgreint í Norðursjó og Eystrasalti (</w:t>
            </w:r>
            <w:r>
              <w:rPr>
                <w:rStyle w:val="Tilvsunneanmlsgrein"/>
                <w:sz w:val="18"/>
                <w:szCs w:val="18"/>
              </w:rPr>
              <w:footnoteReference w:id="864"/>
            </w:r>
            <w:r>
              <w:t>).</w:t>
            </w:r>
          </w:p>
          <w:p w14:paraId="15C45E49" w14:textId="77777777" w:rsidR="00D849E8" w:rsidRDefault="00D849E8" w:rsidP="00A9140F">
            <w:pPr>
              <w:pStyle w:val="AnnexTableCellLeft"/>
              <w:spacing w:after="160"/>
              <w:rPr>
                <w:szCs w:val="18"/>
              </w:rPr>
            </w:pPr>
            <w:r>
              <w:t xml:space="preserve">Að því er varðar losun </w:t>
            </w:r>
            <w:proofErr w:type="spellStart"/>
            <w:r>
              <w:t>köfnunarefnisoxíðs</w:t>
            </w:r>
            <w:proofErr w:type="spellEnd"/>
            <w:r>
              <w:t xml:space="preserve"> (</w:t>
            </w:r>
            <w:proofErr w:type="spellStart"/>
            <w:r>
              <w:t>NO</w:t>
            </w:r>
            <w:r>
              <w:rPr>
                <w:vertAlign w:val="subscript"/>
              </w:rPr>
              <w:t>x</w:t>
            </w:r>
            <w:proofErr w:type="spellEnd"/>
            <w:r>
              <w:t>) eru skip í samræmi við reglu 13 (</w:t>
            </w:r>
            <w:r>
              <w:rPr>
                <w:rStyle w:val="Tilvsunneanmlsgrein"/>
                <w:sz w:val="18"/>
                <w:szCs w:val="18"/>
              </w:rPr>
              <w:footnoteReference w:id="865"/>
            </w:r>
            <w:r>
              <w:t xml:space="preserve">) í VI. viðauka við MARPOL-samning Alþjóðasiglingamálastofnunarinnar. Krafan um </w:t>
            </w:r>
            <w:proofErr w:type="spellStart"/>
            <w:r>
              <w:t>NO</w:t>
            </w:r>
            <w:r>
              <w:rPr>
                <w:vertAlign w:val="subscript"/>
              </w:rPr>
              <w:t>x</w:t>
            </w:r>
            <w:proofErr w:type="spellEnd"/>
            <w:r>
              <w:t xml:space="preserve"> í þrepi II gildir um skip sem smíðuð voru eftir 2011. Einungis við </w:t>
            </w:r>
            <w:proofErr w:type="spellStart"/>
            <w:r>
              <w:t>starfrækslu</w:t>
            </w:r>
            <w:proofErr w:type="spellEnd"/>
            <w:r>
              <w:t xml:space="preserve"> á </w:t>
            </w:r>
            <w:proofErr w:type="spellStart"/>
            <w:r>
              <w:t>NO</w:t>
            </w:r>
            <w:r>
              <w:rPr>
                <w:vertAlign w:val="subscript"/>
              </w:rPr>
              <w:t>x</w:t>
            </w:r>
            <w:proofErr w:type="spellEnd"/>
            <w:r>
              <w:t xml:space="preserve">-mengunarvarnarsvæðum, sem komið var á samkvæmt reglum Alþjóðasiglingamálastofnunarinnar, uppfylla skip sem voru smíðuð eftir 1. janúar 2016 strangari kröfur um hreyfla (þrep III) til að draga úr losun </w:t>
            </w:r>
            <w:proofErr w:type="spellStart"/>
            <w:r>
              <w:t>NO</w:t>
            </w:r>
            <w:r>
              <w:rPr>
                <w:vertAlign w:val="subscript"/>
              </w:rPr>
              <w:t>x</w:t>
            </w:r>
            <w:proofErr w:type="spellEnd"/>
            <w:r>
              <w:t xml:space="preserve"> (</w:t>
            </w:r>
            <w:r>
              <w:rPr>
                <w:rStyle w:val="Tilvsunneanmlsgrein"/>
                <w:sz w:val="18"/>
                <w:szCs w:val="18"/>
              </w:rPr>
              <w:footnoteReference w:id="866"/>
            </w:r>
            <w:r>
              <w:t>).</w:t>
            </w:r>
          </w:p>
          <w:p w14:paraId="2961E38C" w14:textId="77777777" w:rsidR="00D849E8" w:rsidRDefault="00D849E8" w:rsidP="00A9140F">
            <w:pPr>
              <w:pStyle w:val="AnnexTableCellLeft"/>
              <w:spacing w:after="160"/>
              <w:rPr>
                <w:szCs w:val="18"/>
              </w:rPr>
            </w:pPr>
            <w:r>
              <w:t xml:space="preserve">Losun á </w:t>
            </w:r>
            <w:proofErr w:type="spellStart"/>
            <w:r>
              <w:t>svartvatni</w:t>
            </w:r>
            <w:proofErr w:type="spellEnd"/>
            <w:r>
              <w:t xml:space="preserve"> og grávatni er í samræmi við IV. viðauka við MARPOL-samning Alþjóðasiglingamálastofnunarinnar.</w:t>
            </w:r>
          </w:p>
          <w:p w14:paraId="2B634136" w14:textId="77777777" w:rsidR="00D849E8" w:rsidRDefault="00D849E8" w:rsidP="00A9140F">
            <w:pPr>
              <w:pStyle w:val="AnnexTableCellLeft"/>
              <w:rPr>
                <w:szCs w:val="18"/>
              </w:rPr>
            </w:pPr>
            <w:r>
              <w:t xml:space="preserve">Ráðstafanir eru til staðar til að lágmarka eiturhrif frá gróðurhindrandi málningu og </w:t>
            </w:r>
            <w:proofErr w:type="spellStart"/>
            <w:r>
              <w:t>sæfiefnum</w:t>
            </w:r>
            <w:proofErr w:type="spellEnd"/>
            <w:r>
              <w:t>, eins og mælt er fyrir um í reglugerð (ESB) nr. 528/2012 þar sem alþjóðasamningurinn um eftirlit með skaðlegum, gróðurhindrandi efnum og/eða búnaði á skipum, sem var samþykktur 5. október 2001, er tekinn upp í lög Sambandsins.</w:t>
            </w:r>
          </w:p>
        </w:tc>
      </w:tr>
      <w:tr w:rsidR="00D849E8" w14:paraId="0564CE9A" w14:textId="77777777" w:rsidTr="00A9140F">
        <w:trPr>
          <w:trHeight w:val="360"/>
        </w:trPr>
        <w:tc>
          <w:tcPr>
            <w:tcW w:w="3012" w:type="dxa"/>
            <w:tcMar>
              <w:top w:w="100" w:type="dxa"/>
              <w:left w:w="0" w:type="dxa"/>
              <w:bottom w:w="100" w:type="dxa"/>
              <w:right w:w="60" w:type="dxa"/>
            </w:tcMar>
          </w:tcPr>
          <w:p w14:paraId="60B93AB9" w14:textId="77777777" w:rsidR="00D849E8" w:rsidRDefault="00D849E8" w:rsidP="00A9140F">
            <w:pPr>
              <w:pStyle w:val="AnnexNumberedText"/>
              <w:ind w:left="293" w:hanging="293"/>
              <w:rPr>
                <w:szCs w:val="18"/>
              </w:rPr>
            </w:pPr>
            <w:r>
              <w:t>6)</w:t>
            </w:r>
            <w:r>
              <w:tab/>
              <w:t>Vernd og endurheimt líffræðilegrar fjölbreytni og vistkerfa</w:t>
            </w:r>
          </w:p>
        </w:tc>
        <w:tc>
          <w:tcPr>
            <w:tcW w:w="5724" w:type="dxa"/>
            <w:tcMar>
              <w:top w:w="100" w:type="dxa"/>
              <w:left w:w="60" w:type="dxa"/>
              <w:bottom w:w="100" w:type="dxa"/>
              <w:right w:w="0" w:type="dxa"/>
            </w:tcMar>
          </w:tcPr>
          <w:p w14:paraId="3D0EB1B6" w14:textId="77777777" w:rsidR="00D849E8" w:rsidRDefault="00D849E8" w:rsidP="00A9140F">
            <w:pPr>
              <w:pStyle w:val="AnnexTableCellLeft"/>
              <w:spacing w:after="160"/>
              <w:rPr>
                <w:szCs w:val="18"/>
              </w:rPr>
            </w:pPr>
            <w:r>
              <w:t>Komið er í veg fyrir losun kjölfestuvatns sem inniheldur framandi tegundir í samræmi við alþjóðasamninginn um stjórnun og meðhöndlun á kjölfestuvatni skipa og botnfalli í því.</w:t>
            </w:r>
          </w:p>
          <w:p w14:paraId="77C4592C" w14:textId="77777777" w:rsidR="00D849E8" w:rsidRDefault="00D849E8" w:rsidP="00A9140F">
            <w:pPr>
              <w:pStyle w:val="AnnexTableCellLeft"/>
              <w:spacing w:after="160"/>
              <w:rPr>
                <w:szCs w:val="18"/>
              </w:rPr>
            </w:pPr>
            <w:r>
              <w:t xml:space="preserve">Ráðstafanir eru til staðar til að koma í veg fyrir </w:t>
            </w:r>
            <w:proofErr w:type="spellStart"/>
            <w:r>
              <w:t>aðflutning</w:t>
            </w:r>
            <w:proofErr w:type="spellEnd"/>
            <w:r>
              <w:t xml:space="preserve"> framandi tegunda með ásætum á skipsskrokk og krókum og kimum skipa, að teknu tilliti til leiðbeininga Alþjóðasiglingamálastofnunarinnar um ásætur (</w:t>
            </w:r>
            <w:r>
              <w:rPr>
                <w:rStyle w:val="Tilvsunneanmlsgrein"/>
                <w:sz w:val="18"/>
                <w:szCs w:val="18"/>
              </w:rPr>
              <w:footnoteReference w:id="867"/>
            </w:r>
            <w:r>
              <w:t>).</w:t>
            </w:r>
          </w:p>
          <w:p w14:paraId="429DE6D1" w14:textId="77777777" w:rsidR="00D849E8" w:rsidRDefault="00D849E8" w:rsidP="00A9140F">
            <w:pPr>
              <w:pStyle w:val="AnnexTableCellLeft"/>
              <w:spacing w:after="160"/>
              <w:rPr>
                <w:szCs w:val="18"/>
              </w:rPr>
            </w:pPr>
            <w:r>
              <w:t>Hávaði og titringur er takmarkaður með því að nota skrúfur sem draga úr hávaða, hönnun skipsskrokksins eða vélbúnað um borð í samræmi við leiðbeiningarnar sem gefnar eru í leiðbeiningum Alþjóðasiglingamálastofnunarinnar um að draga úr hávaða neðansjávar (</w:t>
            </w:r>
            <w:r>
              <w:rPr>
                <w:rStyle w:val="Tilvsunneanmlsgrein"/>
                <w:sz w:val="18"/>
                <w:szCs w:val="18"/>
              </w:rPr>
              <w:footnoteReference w:id="868"/>
            </w:r>
            <w:r>
              <w:t>).</w:t>
            </w:r>
          </w:p>
          <w:p w14:paraId="3EACC741" w14:textId="77777777" w:rsidR="00D849E8" w:rsidRDefault="00D849E8" w:rsidP="00A9140F">
            <w:pPr>
              <w:pStyle w:val="AnnexTableCellLeft"/>
              <w:rPr>
                <w:szCs w:val="18"/>
              </w:rPr>
            </w:pPr>
            <w:r>
              <w:t xml:space="preserve">Í Sambandinu hindrar starfsemin ekki að góð umhverfisleg staða náist, eins og sett er fram í tilskipun 2008/56/EB, sem kallar á að viðeigandi ráðstafanir séu </w:t>
            </w:r>
            <w:r>
              <w:lastRenderedPageBreak/>
              <w:t>gerðar til að koma í veg fyrir eða draga úr áhrifum í tengslum við lýsingu 1 í þeirri tilskipun (líffræðileg fjölbreytni), 2 (framandi tegundir), 6 (heilleiki hafsbotns), 8 (</w:t>
            </w:r>
            <w:proofErr w:type="spellStart"/>
            <w:r>
              <w:t>aðskotaefni</w:t>
            </w:r>
            <w:proofErr w:type="spellEnd"/>
            <w:r>
              <w:t>), 10 (rusl í sjó) og 11 (hávaði/orka) og eins og sett er fram í ákvörðun framkvæmdastjórnarinnar (ESB) 2017/848 í tengslum við viðkomandi viðmiðanir og aðferðafræðilega staðla fyrir þær lýsingar, eftir því sem við á.</w:t>
            </w:r>
          </w:p>
        </w:tc>
      </w:tr>
    </w:tbl>
    <w:p w14:paraId="07569016" w14:textId="77777777" w:rsidR="00D849E8" w:rsidRDefault="00D849E8" w:rsidP="00D849E8">
      <w:pPr>
        <w:shd w:val="clear" w:color="auto" w:fill="auto"/>
        <w:spacing w:line="0" w:lineRule="auto"/>
        <w:jc w:val="left"/>
        <w:rPr>
          <w:color w:val="auto"/>
          <w14:ligatures w14:val="standard"/>
        </w:rPr>
      </w:pPr>
      <w:r>
        <w:lastRenderedPageBreak/>
        <w:br w:type="page"/>
      </w:r>
    </w:p>
    <w:p w14:paraId="1EE260EE" w14:textId="77777777" w:rsidR="00D849E8" w:rsidRDefault="00D849E8" w:rsidP="00D849E8">
      <w:pPr>
        <w:pStyle w:val="AnnexNumberedText"/>
        <w:ind w:left="504" w:hanging="504"/>
      </w:pPr>
      <w:r>
        <w:lastRenderedPageBreak/>
        <w:t>6.11.</w:t>
      </w:r>
      <w:r>
        <w:rPr>
          <w:b/>
        </w:rPr>
        <w:tab/>
        <w:t>Millilanda- og strandsiglingar með farþega</w:t>
      </w:r>
    </w:p>
    <w:p w14:paraId="6DAD4221" w14:textId="77777777" w:rsidR="00D849E8" w:rsidRDefault="00D849E8" w:rsidP="00D849E8">
      <w:pPr>
        <w:pStyle w:val="AnnexGrSeq3"/>
        <w:spacing w:after="120"/>
        <w:ind w:left="504"/>
        <w:jc w:val="both"/>
      </w:pPr>
      <w:r>
        <w:rPr>
          <w:i/>
        </w:rPr>
        <w:t>Lýsing á starfseminni</w:t>
      </w:r>
    </w:p>
    <w:p w14:paraId="2ACEEA9E" w14:textId="77777777" w:rsidR="00D849E8" w:rsidRDefault="00D849E8" w:rsidP="00D849E8">
      <w:pPr>
        <w:pStyle w:val="AnnexNormal"/>
        <w:ind w:left="504"/>
      </w:pPr>
      <w:r>
        <w:t xml:space="preserve">Kaup, fjármögnun, leiga (með eða án áhafnar) og </w:t>
      </w:r>
      <w:proofErr w:type="spellStart"/>
      <w:r>
        <w:t>starfræksla</w:t>
      </w:r>
      <w:proofErr w:type="spellEnd"/>
      <w:r>
        <w:t xml:space="preserve"> skipa sem eru hönnuð og útbúin til farþegaflutninga í millilanda- eða strandsiglingum, jafnt áætlunarferðir sem aðrar ferðir. Atvinnustarfsemin í þessum flokki nær yfir </w:t>
      </w:r>
      <w:proofErr w:type="spellStart"/>
      <w:r>
        <w:t>starfrækslu</w:t>
      </w:r>
      <w:proofErr w:type="spellEnd"/>
      <w:r>
        <w:t xml:space="preserve"> á ferjum, leigubátum (e. </w:t>
      </w:r>
      <w:proofErr w:type="spellStart"/>
      <w:r>
        <w:rPr>
          <w:i/>
          <w:iCs/>
        </w:rPr>
        <w:t>water</w:t>
      </w:r>
      <w:proofErr w:type="spellEnd"/>
      <w:r>
        <w:rPr>
          <w:i/>
          <w:iCs/>
        </w:rPr>
        <w:t xml:space="preserve"> taxi</w:t>
      </w:r>
      <w:r>
        <w:t>) og skoðunarferða-, skemmtisiglinga- og kynnisferðabátum.</w:t>
      </w:r>
    </w:p>
    <w:p w14:paraId="5F0B8856" w14:textId="77777777" w:rsidR="00D849E8" w:rsidRDefault="00D849E8" w:rsidP="00D849E8">
      <w:pPr>
        <w:pStyle w:val="AnnexNormal"/>
        <w:ind w:left="504"/>
      </w:pPr>
      <w:r>
        <w:t>Atvinnustarfsemin í þessum flokki gæti tengst nokkrum kóðum atvinnugreinaflokkunar Evrópusambandsins, einkum H50.10, N77.21 og N77.34, í samræmi við atvinnugreinaflokkunina sem komið var á með reglugerð (EB) nr. 1893/2006.</w:t>
      </w:r>
    </w:p>
    <w:p w14:paraId="587A3C62" w14:textId="77777777" w:rsidR="00D849E8" w:rsidRDefault="00D849E8" w:rsidP="00D849E8">
      <w:pPr>
        <w:pStyle w:val="AnnexGrSeq3"/>
        <w:ind w:left="504"/>
        <w:jc w:val="both"/>
      </w:pPr>
      <w:r>
        <w:rPr>
          <w:i/>
        </w:rPr>
        <w:t>Tæknileg matsviðmið</w:t>
      </w:r>
    </w:p>
    <w:tbl>
      <w:tblPr>
        <w:tblStyle w:val="EFTATable"/>
        <w:tblW w:w="8748" w:type="dxa"/>
        <w:tblInd w:w="504" w:type="dxa"/>
        <w:tblLayout w:type="fixed"/>
        <w:tblLook w:val="04A0" w:firstRow="1" w:lastRow="0" w:firstColumn="1" w:lastColumn="0" w:noHBand="0" w:noVBand="1"/>
      </w:tblPr>
      <w:tblGrid>
        <w:gridCol w:w="3036"/>
        <w:gridCol w:w="5712"/>
      </w:tblGrid>
      <w:tr w:rsidR="00D849E8" w14:paraId="0651CF5D" w14:textId="77777777" w:rsidTr="00A9140F">
        <w:trPr>
          <w:trHeight w:val="280"/>
        </w:trPr>
        <w:tc>
          <w:tcPr>
            <w:tcW w:w="8748" w:type="dxa"/>
            <w:gridSpan w:val="2"/>
            <w:tcBorders>
              <w:bottom w:val="single" w:sz="4" w:space="0" w:color="auto"/>
            </w:tcBorders>
            <w:tcMar>
              <w:left w:w="0" w:type="dxa"/>
              <w:right w:w="60" w:type="dxa"/>
            </w:tcMar>
          </w:tcPr>
          <w:p w14:paraId="646B6014" w14:textId="77777777" w:rsidR="00D849E8" w:rsidRDefault="00D849E8" w:rsidP="00A9140F">
            <w:pPr>
              <w:pStyle w:val="AnnexTableCellLeft"/>
              <w:spacing w:before="40" w:after="40"/>
            </w:pPr>
            <w:r>
              <w:t>Verulegt framlag til aðlögunar að loftslagsbreytingum</w:t>
            </w:r>
          </w:p>
        </w:tc>
      </w:tr>
      <w:tr w:rsidR="00D849E8" w14:paraId="3C46B503" w14:textId="77777777" w:rsidTr="00A9140F">
        <w:trPr>
          <w:trHeight w:val="360"/>
        </w:trPr>
        <w:tc>
          <w:tcPr>
            <w:tcW w:w="8748" w:type="dxa"/>
            <w:gridSpan w:val="2"/>
            <w:tcBorders>
              <w:bottom w:val="nil"/>
            </w:tcBorders>
            <w:tcMar>
              <w:left w:w="0" w:type="dxa"/>
              <w:right w:w="60" w:type="dxa"/>
            </w:tcMar>
          </w:tcPr>
          <w:p w14:paraId="0B8CCC13" w14:textId="77777777" w:rsidR="00D849E8" w:rsidRDefault="00D849E8" w:rsidP="00A9140F">
            <w:pPr>
              <w:pStyle w:val="AnnexNumberedText"/>
              <w:tabs>
                <w:tab w:val="left" w:pos="396"/>
              </w:tabs>
              <w:spacing w:after="16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337DAB9A" w14:textId="77777777" w:rsidR="00D849E8" w:rsidRDefault="00D849E8" w:rsidP="00A9140F">
            <w:pPr>
              <w:pStyle w:val="AnnexNumberedText"/>
              <w:tabs>
                <w:tab w:val="left" w:pos="396"/>
              </w:tabs>
              <w:spacing w:after="16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72CFD59" w14:textId="77777777" w:rsidR="00D849E8" w:rsidRDefault="00D849E8" w:rsidP="00A9140F">
            <w:pPr>
              <w:pStyle w:val="AnnexNumberedText"/>
              <w:spacing w:after="160"/>
              <w:rPr>
                <w:szCs w:val="18"/>
              </w:rPr>
            </w:pPr>
            <w:r>
              <w:t>a)</w:t>
            </w:r>
            <w:r>
              <w:tab/>
              <w:t>skimun á starfseminni til að greina hvaða efnislega loftslagsáhætta úr skránni í viðbæti A við þennan viðauka getur haft áhrif á árangurinn af atvinnustarfseminni á væntum líftíma hennar,</w:t>
            </w:r>
          </w:p>
          <w:p w14:paraId="14002756" w14:textId="77777777" w:rsidR="00D849E8" w:rsidRDefault="00D849E8" w:rsidP="00A9140F">
            <w:pPr>
              <w:pStyle w:val="AnnexNumberedText"/>
              <w:spacing w:after="16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4F1C636" w14:textId="77777777" w:rsidR="00D849E8" w:rsidRDefault="00D849E8" w:rsidP="00A9140F">
            <w:pPr>
              <w:pStyle w:val="AnnexNumberedText"/>
              <w:spacing w:after="160"/>
              <w:rPr>
                <w:szCs w:val="18"/>
              </w:rPr>
            </w:pPr>
            <w:r>
              <w:t>c)</w:t>
            </w:r>
            <w:r>
              <w:tab/>
              <w:t>mat á aðlögunarlausnum sem geta dregið úr greindri efnislegri loftslagsáhættu.</w:t>
            </w:r>
          </w:p>
          <w:p w14:paraId="2A4DF9C2" w14:textId="77777777" w:rsidR="00D849E8" w:rsidRDefault="00D849E8" w:rsidP="00A9140F">
            <w:pPr>
              <w:pStyle w:val="AnnexTableCellLeft"/>
              <w:spacing w:after="16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0C734FC9" w14:textId="77777777" w:rsidR="00D849E8" w:rsidRDefault="00D849E8" w:rsidP="00A9140F">
            <w:pPr>
              <w:pStyle w:val="AnnexNumberedText"/>
              <w:spacing w:after="1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3EC8905C" w14:textId="77777777" w:rsidR="00D849E8" w:rsidRDefault="00D849E8" w:rsidP="00A9140F">
            <w:pPr>
              <w:pStyle w:val="AnnexNumberedText"/>
              <w:spacing w:after="1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6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F56F80F" w14:textId="77777777" w:rsidR="00D849E8" w:rsidRDefault="00D849E8" w:rsidP="00A9140F">
            <w:pPr>
              <w:pStyle w:val="AnnexNumberedText"/>
              <w:tabs>
                <w:tab w:val="left" w:pos="396"/>
              </w:tabs>
              <w:spacing w:after="1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70"/>
            </w:r>
            <w:r>
              <w:t>), vísindalegt ritrýnt útgefið efni og líkön með opnum aðgangi (</w:t>
            </w:r>
            <w:r>
              <w:rPr>
                <w:rStyle w:val="Tilvsunneanmlsgrein"/>
                <w:sz w:val="18"/>
                <w:szCs w:val="18"/>
              </w:rPr>
              <w:footnoteReference w:id="871"/>
            </w:r>
            <w:r>
              <w:t>) eða gegn greiðslu.</w:t>
            </w:r>
          </w:p>
          <w:p w14:paraId="36771ABC" w14:textId="77777777" w:rsidR="00D849E8" w:rsidRDefault="00D849E8" w:rsidP="00A9140F">
            <w:pPr>
              <w:pStyle w:val="AnnexNumberedText"/>
              <w:tabs>
                <w:tab w:val="left" w:pos="396"/>
              </w:tabs>
              <w:spacing w:after="160"/>
              <w:ind w:left="0" w:firstLine="0"/>
              <w:rPr>
                <w:szCs w:val="18"/>
              </w:rPr>
            </w:pPr>
            <w:r>
              <w:t>4.</w:t>
            </w:r>
            <w:r>
              <w:tab/>
              <w:t>Aðlögunarlausnir sem komið er í framkvæmd:</w:t>
            </w:r>
          </w:p>
          <w:p w14:paraId="12497C7C" w14:textId="77777777" w:rsidR="00D849E8" w:rsidRDefault="00D849E8" w:rsidP="00A9140F">
            <w:pPr>
              <w:pStyle w:val="AnnexNumberedText"/>
              <w:spacing w:after="160"/>
              <w:rPr>
                <w:szCs w:val="18"/>
              </w:rPr>
            </w:pPr>
            <w:r>
              <w:t>a)</w:t>
            </w:r>
            <w:r>
              <w:tab/>
              <w:t>hafa ekki neikvæð áhrif á viðleitni til aðlögunar eða viðnám annars fólks, náttúru, menningararfleifðar, eigna og annarrar atvinnustarfsemi gegn efnislegri loftslagsáhættu,</w:t>
            </w:r>
          </w:p>
          <w:p w14:paraId="283960E3" w14:textId="77777777" w:rsidR="00D849E8" w:rsidRDefault="00D849E8" w:rsidP="00A9140F">
            <w:pPr>
              <w:pStyle w:val="AnnexNumberedText"/>
              <w:spacing w:after="0"/>
              <w:rPr>
                <w:szCs w:val="18"/>
              </w:rPr>
            </w:pPr>
            <w:r>
              <w:t>b)</w:t>
            </w:r>
            <w:r>
              <w:tab/>
              <w:t>eru með náttúrumiðaðar lausnir (</w:t>
            </w:r>
            <w:r>
              <w:rPr>
                <w:rStyle w:val="Tilvsunneanmlsgrein"/>
                <w:sz w:val="18"/>
                <w:szCs w:val="18"/>
              </w:rPr>
              <w:footnoteReference w:id="872"/>
            </w:r>
            <w:r>
              <w:t>) í forgangi eða treyst er á bláa eða græna innviði (</w:t>
            </w:r>
            <w:r>
              <w:rPr>
                <w:rStyle w:val="Tilvsunneanmlsgrein"/>
                <w:sz w:val="18"/>
                <w:szCs w:val="18"/>
              </w:rPr>
              <w:footnoteReference w:id="873"/>
            </w:r>
            <w:r>
              <w:t>) að því marki sem mögulegt er,</w:t>
            </w:r>
          </w:p>
        </w:tc>
      </w:tr>
      <w:tr w:rsidR="00D849E8" w14:paraId="57819C91" w14:textId="77777777" w:rsidTr="00A9140F">
        <w:trPr>
          <w:trHeight w:val="360"/>
        </w:trPr>
        <w:tc>
          <w:tcPr>
            <w:tcW w:w="8748" w:type="dxa"/>
            <w:gridSpan w:val="2"/>
            <w:tcBorders>
              <w:top w:val="nil"/>
            </w:tcBorders>
            <w:tcMar>
              <w:left w:w="0" w:type="dxa"/>
              <w:right w:w="60" w:type="dxa"/>
            </w:tcMar>
          </w:tcPr>
          <w:p w14:paraId="7F9B180A" w14:textId="77777777" w:rsidR="00D849E8" w:rsidRDefault="00D849E8" w:rsidP="00A9140F">
            <w:pPr>
              <w:pStyle w:val="AnnexNumberedText"/>
              <w:pageBreakBefore/>
              <w:spacing w:after="200"/>
            </w:pPr>
            <w:r>
              <w:lastRenderedPageBreak/>
              <w:t>c)</w:t>
            </w:r>
            <w:r>
              <w:tab/>
              <w:t>eru í samræmi við staðbundnar, geirabundnar, svæðisbundnar eða landsbundnar aðlögunarstefnur og -áætlanir,</w:t>
            </w:r>
          </w:p>
          <w:p w14:paraId="7BF643AC" w14:textId="77777777" w:rsidR="00D849E8" w:rsidRDefault="00D849E8"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18F0A0F"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6366A4CD" w14:textId="77777777" w:rsidTr="00A9140F">
        <w:trPr>
          <w:trHeight w:val="240"/>
        </w:trPr>
        <w:tc>
          <w:tcPr>
            <w:tcW w:w="8748" w:type="dxa"/>
            <w:gridSpan w:val="2"/>
            <w:tcMar>
              <w:top w:w="100" w:type="dxa"/>
              <w:left w:w="0" w:type="dxa"/>
              <w:bottom w:w="100" w:type="dxa"/>
              <w:right w:w="60" w:type="dxa"/>
            </w:tcMar>
          </w:tcPr>
          <w:p w14:paraId="22604C95" w14:textId="77777777" w:rsidR="00D849E8" w:rsidRDefault="00D849E8" w:rsidP="00A9140F">
            <w:pPr>
              <w:pStyle w:val="AnnexTableCellLeft"/>
            </w:pPr>
            <w:r>
              <w:t>Ekki valda umtalsverðu tjóni</w:t>
            </w:r>
          </w:p>
        </w:tc>
      </w:tr>
      <w:tr w:rsidR="00D849E8" w14:paraId="488588F2" w14:textId="77777777" w:rsidTr="00A9140F">
        <w:tc>
          <w:tcPr>
            <w:tcW w:w="3036" w:type="dxa"/>
            <w:tcMar>
              <w:top w:w="100" w:type="dxa"/>
              <w:left w:w="0" w:type="dxa"/>
              <w:bottom w:w="100" w:type="dxa"/>
              <w:right w:w="60" w:type="dxa"/>
            </w:tcMar>
          </w:tcPr>
          <w:p w14:paraId="73CD40E9" w14:textId="77777777" w:rsidR="00D849E8" w:rsidRDefault="00D849E8" w:rsidP="00A9140F">
            <w:pPr>
              <w:pStyle w:val="AnnexNumberedText"/>
              <w:spacing w:after="0"/>
              <w:ind w:left="293" w:hanging="293"/>
            </w:pPr>
            <w:r>
              <w:t>1)</w:t>
            </w:r>
            <w:r>
              <w:tab/>
              <w:t>Mildun loftslagsbreytinga</w:t>
            </w:r>
          </w:p>
        </w:tc>
        <w:tc>
          <w:tcPr>
            <w:tcW w:w="5712" w:type="dxa"/>
            <w:tcMar>
              <w:top w:w="100" w:type="dxa"/>
              <w:left w:w="60" w:type="dxa"/>
              <w:bottom w:w="100" w:type="dxa"/>
              <w:right w:w="0" w:type="dxa"/>
            </w:tcMar>
          </w:tcPr>
          <w:p w14:paraId="24400ED3" w14:textId="77777777" w:rsidR="00D849E8" w:rsidRDefault="00D849E8" w:rsidP="00A9140F">
            <w:pPr>
              <w:pStyle w:val="AnnexTableCellLeft"/>
            </w:pPr>
            <w:r>
              <w:t>Á ekki við</w:t>
            </w:r>
          </w:p>
        </w:tc>
      </w:tr>
      <w:tr w:rsidR="00D849E8" w14:paraId="7DE6450E" w14:textId="77777777" w:rsidTr="00A9140F">
        <w:tc>
          <w:tcPr>
            <w:tcW w:w="3036" w:type="dxa"/>
            <w:tcMar>
              <w:top w:w="100" w:type="dxa"/>
              <w:left w:w="0" w:type="dxa"/>
              <w:bottom w:w="100" w:type="dxa"/>
              <w:right w:w="60" w:type="dxa"/>
            </w:tcMar>
          </w:tcPr>
          <w:p w14:paraId="45E39304" w14:textId="77777777" w:rsidR="00D849E8" w:rsidRDefault="00D849E8" w:rsidP="00A9140F">
            <w:pPr>
              <w:pStyle w:val="AnnexNumberedText"/>
              <w:spacing w:after="0"/>
              <w:ind w:left="293" w:hanging="293"/>
            </w:pPr>
            <w:r>
              <w:t>3)</w:t>
            </w:r>
            <w:r>
              <w:tab/>
              <w:t>Sjálfbær notkun og verndun vatns- og sjávarauðlinda</w:t>
            </w:r>
          </w:p>
        </w:tc>
        <w:tc>
          <w:tcPr>
            <w:tcW w:w="5712" w:type="dxa"/>
            <w:tcMar>
              <w:top w:w="100" w:type="dxa"/>
              <w:left w:w="60" w:type="dxa"/>
              <w:bottom w:w="100" w:type="dxa"/>
              <w:right w:w="0" w:type="dxa"/>
            </w:tcMar>
          </w:tcPr>
          <w:p w14:paraId="468BD7E5" w14:textId="77777777" w:rsidR="00D849E8" w:rsidRDefault="00D849E8" w:rsidP="00A9140F">
            <w:pPr>
              <w:pStyle w:val="AnnexTableCellLeft"/>
            </w:pPr>
            <w:r>
              <w:t>Starfsemin er í samræmi við viðmiðanirnar sem settar eru fram í viðbæti B við þennan viðauka.</w:t>
            </w:r>
          </w:p>
        </w:tc>
      </w:tr>
      <w:tr w:rsidR="00D849E8" w14:paraId="020ADF0C" w14:textId="77777777" w:rsidTr="00A9140F">
        <w:tc>
          <w:tcPr>
            <w:tcW w:w="3036" w:type="dxa"/>
            <w:tcMar>
              <w:top w:w="100" w:type="dxa"/>
              <w:left w:w="0" w:type="dxa"/>
              <w:bottom w:w="100" w:type="dxa"/>
              <w:right w:w="60" w:type="dxa"/>
            </w:tcMar>
          </w:tcPr>
          <w:p w14:paraId="05F41443" w14:textId="77777777" w:rsidR="00D849E8" w:rsidRDefault="00D849E8" w:rsidP="00A9140F">
            <w:pPr>
              <w:pStyle w:val="AnnexNumberedText"/>
              <w:spacing w:after="0"/>
              <w:ind w:left="293" w:hanging="293"/>
            </w:pPr>
            <w:r>
              <w:t>4)</w:t>
            </w:r>
            <w:r>
              <w:tab/>
              <w:t>Umskipti yfir í hringrásarhagkerfi</w:t>
            </w:r>
          </w:p>
        </w:tc>
        <w:tc>
          <w:tcPr>
            <w:tcW w:w="5712" w:type="dxa"/>
            <w:tcMar>
              <w:top w:w="100" w:type="dxa"/>
              <w:left w:w="60" w:type="dxa"/>
              <w:bottom w:w="100" w:type="dxa"/>
              <w:right w:w="0" w:type="dxa"/>
            </w:tcMar>
          </w:tcPr>
          <w:p w14:paraId="7FBA10A6" w14:textId="77777777" w:rsidR="00D849E8" w:rsidRDefault="00D849E8" w:rsidP="00A9140F">
            <w:pPr>
              <w:pStyle w:val="AnnexTableCellLeft"/>
              <w:spacing w:after="160"/>
            </w:pPr>
            <w:r>
              <w:t>Ráðstafanir til úrgangsstjórnunar eru til staðar, bæði í notkunaráfanganum og þegar skipið er úr sér gengið, í samræmi við úrgangsmetakerfið.</w:t>
            </w:r>
          </w:p>
          <w:p w14:paraId="201DA6FE" w14:textId="77777777" w:rsidR="00D849E8" w:rsidRDefault="00D849E8" w:rsidP="00A9140F">
            <w:pPr>
              <w:pStyle w:val="AnnexTableCellLeft"/>
              <w:spacing w:after="160"/>
            </w:pPr>
            <w:r>
              <w:t>Að því er varðar skip sem ganga fyrir rafhlöðum fela þessar ráðstafanir í sér endurnotkun og endurvinnslu á rafhlöðum og rafeindabúnaði, þ.m.t. mikilvæg hráefni í þeim.</w:t>
            </w:r>
          </w:p>
          <w:p w14:paraId="2C9C2D53" w14:textId="77777777" w:rsidR="00D849E8" w:rsidRDefault="00D849E8" w:rsidP="00A9140F">
            <w:pPr>
              <w:pStyle w:val="AnnexTableCellLeft"/>
              <w:spacing w:after="160"/>
            </w:pPr>
            <w:r>
              <w:t xml:space="preserve">Að því er varðar gömul skip yfir 500 </w:t>
            </w:r>
            <w:proofErr w:type="spellStart"/>
            <w:r>
              <w:t>brúttótonn</w:t>
            </w:r>
            <w:proofErr w:type="spellEnd"/>
            <w:r>
              <w:t xml:space="preserve"> og nýsmíðuð skip sem leysa þau af hólmi er starfsemin í samræmi við kröfurnar í reglugerð (ESB) nr. 1257/2013 að því er varðar birgðaskrána yfir hættuleg efni. Skip sem eru höggvin í brotajárn eru endurunnin í stöðvum sem eru á Evrópuskránni yfir skipaendurvinnslustöðvar eins og mælt er fyrir um í ákvörðun framkvæmdastjórnarinnar 2016/2323.</w:t>
            </w:r>
          </w:p>
          <w:p w14:paraId="7E8394D4" w14:textId="77777777" w:rsidR="00D849E8" w:rsidRDefault="00D849E8" w:rsidP="00A9140F">
            <w:pPr>
              <w:pStyle w:val="AnnexTableCellLeft"/>
              <w:spacing w:after="160"/>
            </w:pPr>
            <w:r>
              <w:t>Starfsemin er í samræmi við tilskipun (ESB) 2019/883 að því er varðar verndun sjávarumhverfisins gegn neikvæðum áhrifum af losun úrgangs frá skipum.</w:t>
            </w:r>
          </w:p>
          <w:p w14:paraId="18F17464" w14:textId="77777777" w:rsidR="00D849E8" w:rsidRDefault="00D849E8" w:rsidP="00A9140F">
            <w:pPr>
              <w:pStyle w:val="AnnexTableCellLeft"/>
            </w:pPr>
            <w:r>
              <w:t>Skipið er starfrækt í samræmi við V. viðauka við MARPOL-samning Alþjóðasiglingamálastofnunarinnar, einkum með það fyrir augum að framleiða minna magn af úrgangi og að draga úr löglegri losun með því að stjórna úrgangi þess á sjálfbæran og umhverfisvænan hátt.</w:t>
            </w:r>
          </w:p>
        </w:tc>
      </w:tr>
      <w:tr w:rsidR="00D849E8" w14:paraId="6FABDCC7" w14:textId="77777777" w:rsidTr="00A9140F">
        <w:tc>
          <w:tcPr>
            <w:tcW w:w="3036" w:type="dxa"/>
            <w:tcMar>
              <w:top w:w="100" w:type="dxa"/>
              <w:left w:w="0" w:type="dxa"/>
              <w:bottom w:w="100" w:type="dxa"/>
              <w:right w:w="60" w:type="dxa"/>
            </w:tcMar>
          </w:tcPr>
          <w:p w14:paraId="761B841B" w14:textId="77777777" w:rsidR="00D849E8" w:rsidRDefault="00D849E8" w:rsidP="00A9140F">
            <w:pPr>
              <w:pStyle w:val="AnnexNumberedText"/>
              <w:spacing w:after="0"/>
              <w:ind w:left="293" w:hanging="293"/>
              <w:rPr>
                <w:szCs w:val="18"/>
              </w:rPr>
            </w:pPr>
            <w:r>
              <w:t>5)</w:t>
            </w:r>
            <w:r>
              <w:tab/>
              <w:t>Mengunarvarnir og eftirlit með mengun</w:t>
            </w:r>
          </w:p>
        </w:tc>
        <w:tc>
          <w:tcPr>
            <w:tcW w:w="5712" w:type="dxa"/>
            <w:tcMar>
              <w:top w:w="100" w:type="dxa"/>
              <w:left w:w="60" w:type="dxa"/>
              <w:bottom w:w="100" w:type="dxa"/>
              <w:right w:w="0" w:type="dxa"/>
            </w:tcMar>
          </w:tcPr>
          <w:p w14:paraId="18A7FB38" w14:textId="77777777" w:rsidR="00D849E8" w:rsidRDefault="00D849E8" w:rsidP="00A9140F">
            <w:pPr>
              <w:pStyle w:val="AnnexTableCellLeft"/>
              <w:spacing w:after="120"/>
              <w:rPr>
                <w:szCs w:val="18"/>
              </w:rPr>
            </w:pPr>
            <w:r>
              <w:t xml:space="preserve">Að því er varðar samdrátt í losun </w:t>
            </w:r>
            <w:proofErr w:type="spellStart"/>
            <w:r>
              <w:t>brennisteinsoxíðs</w:t>
            </w:r>
            <w:proofErr w:type="spellEnd"/>
            <w:r>
              <w:t xml:space="preserve"> og efnisagna eru skip í samræmi við tilskipun (ESB) 2016/802 og reglu 14 í VI. viðauka við MARPOL-samning Alþjóðasiglingamálastofnunarinnar. Brennisteinsinnihaldið í eldsneytinu fer ekki yfir 0,5% af massa (heildarmörk fyrir brennistein) og 0,1% af massa á mengunarvarnarsvæðum sem Alþjóðasiglingamálastofnunin hefur skilgreint í Norðursjó og Eystrasalti (</w:t>
            </w:r>
            <w:r>
              <w:rPr>
                <w:rStyle w:val="Tilvsunneanmlsgrein"/>
                <w:sz w:val="18"/>
                <w:szCs w:val="18"/>
              </w:rPr>
              <w:footnoteReference w:id="874"/>
            </w:r>
            <w:r>
              <w:t>).</w:t>
            </w:r>
          </w:p>
          <w:p w14:paraId="7F5D640A" w14:textId="77777777" w:rsidR="00D849E8" w:rsidRDefault="00D849E8" w:rsidP="00A9140F">
            <w:pPr>
              <w:pStyle w:val="AnnexTableCellLeft"/>
              <w:spacing w:after="120"/>
              <w:rPr>
                <w:szCs w:val="18"/>
              </w:rPr>
            </w:pPr>
            <w:r>
              <w:t xml:space="preserve">Að því er varðar losun </w:t>
            </w:r>
            <w:proofErr w:type="spellStart"/>
            <w:r>
              <w:t>köfnunarefnisoxíðs</w:t>
            </w:r>
            <w:proofErr w:type="spellEnd"/>
            <w:r>
              <w:t xml:space="preserve"> (</w:t>
            </w:r>
            <w:proofErr w:type="spellStart"/>
            <w:r>
              <w:t>NO</w:t>
            </w:r>
            <w:r>
              <w:rPr>
                <w:vertAlign w:val="subscript"/>
              </w:rPr>
              <w:t>x</w:t>
            </w:r>
            <w:proofErr w:type="spellEnd"/>
            <w:r>
              <w:t xml:space="preserve">) eru skip í samræmi við reglu 13 í VI. viðauka við MARPOL-samning Alþjóðasiglingamálastofnunarinnar. Krafan um </w:t>
            </w:r>
            <w:proofErr w:type="spellStart"/>
            <w:r>
              <w:t>NO</w:t>
            </w:r>
            <w:r>
              <w:rPr>
                <w:vertAlign w:val="subscript"/>
              </w:rPr>
              <w:t>x</w:t>
            </w:r>
            <w:proofErr w:type="spellEnd"/>
            <w:r>
              <w:t xml:space="preserve"> í þrepi II gildir um skip sem smíðuð voru eftir 2011. Einungis við </w:t>
            </w:r>
            <w:proofErr w:type="spellStart"/>
            <w:r>
              <w:t>starfrækslu</w:t>
            </w:r>
            <w:proofErr w:type="spellEnd"/>
            <w:r>
              <w:t xml:space="preserve"> á </w:t>
            </w:r>
            <w:proofErr w:type="spellStart"/>
            <w:r>
              <w:t>NO</w:t>
            </w:r>
            <w:r>
              <w:rPr>
                <w:vertAlign w:val="subscript"/>
              </w:rPr>
              <w:t>x</w:t>
            </w:r>
            <w:proofErr w:type="spellEnd"/>
            <w:r>
              <w:t xml:space="preserve">-mengunarvarnarsvæðum, sem komið var á samkvæmt reglum Alþjóðasiglingamálastofnunarinnar, uppfylla skip sem voru smíðuð eftir 1. janúar 2016 strangari kröfur um hreyfla (þrep III) til að draga úr losun </w:t>
            </w:r>
            <w:proofErr w:type="spellStart"/>
            <w:r>
              <w:t>NO</w:t>
            </w:r>
            <w:r>
              <w:rPr>
                <w:vertAlign w:val="subscript"/>
              </w:rPr>
              <w:t>x</w:t>
            </w:r>
            <w:proofErr w:type="spellEnd"/>
            <w:r>
              <w:t xml:space="preserve"> (</w:t>
            </w:r>
            <w:r>
              <w:rPr>
                <w:rStyle w:val="Tilvsunneanmlsgrein"/>
                <w:sz w:val="18"/>
                <w:szCs w:val="18"/>
              </w:rPr>
              <w:footnoteReference w:id="875"/>
            </w:r>
            <w:r>
              <w:t>).</w:t>
            </w:r>
          </w:p>
          <w:p w14:paraId="3CD3C586" w14:textId="77777777" w:rsidR="00D849E8" w:rsidRDefault="00D849E8" w:rsidP="00A9140F">
            <w:pPr>
              <w:pStyle w:val="AnnexTableCellLeft"/>
              <w:spacing w:after="120"/>
              <w:rPr>
                <w:szCs w:val="18"/>
              </w:rPr>
            </w:pPr>
            <w:r>
              <w:t xml:space="preserve">Losun á </w:t>
            </w:r>
            <w:proofErr w:type="spellStart"/>
            <w:r>
              <w:t>svartvatni</w:t>
            </w:r>
            <w:proofErr w:type="spellEnd"/>
            <w:r>
              <w:t xml:space="preserve"> og grávatni er í samræmi við IV. viðauka við MARPOL-samning Alþjóðasiglingamálastofnunarinnar.</w:t>
            </w:r>
          </w:p>
          <w:p w14:paraId="234D831E" w14:textId="77777777" w:rsidR="00D849E8" w:rsidRDefault="00D849E8" w:rsidP="00A9140F">
            <w:pPr>
              <w:pStyle w:val="AnnexTableCellLeft"/>
              <w:rPr>
                <w:szCs w:val="18"/>
              </w:rPr>
            </w:pPr>
            <w:r>
              <w:lastRenderedPageBreak/>
              <w:t xml:space="preserve">Ráðstafanir eru til staðar til að lágmarka eiturhrif frá gróðurhindrandi málningu og </w:t>
            </w:r>
            <w:proofErr w:type="spellStart"/>
            <w:r>
              <w:t>sæfiefnum</w:t>
            </w:r>
            <w:proofErr w:type="spellEnd"/>
            <w:r>
              <w:t>, eins og mælt er fyrir um í reglugerð (ESB) nr. 528/2012 þar sem alþjóðasamningurinn um eftirlit með skaðlegum, gróðurhindrandi efnum og/eða búnaði á skipum, sem var samþykktur 5. október 2001, er tekinn upp í lög Sambandsins.</w:t>
            </w:r>
          </w:p>
        </w:tc>
      </w:tr>
      <w:tr w:rsidR="00D849E8" w14:paraId="52B6F1FE" w14:textId="77777777" w:rsidTr="00A9140F">
        <w:tc>
          <w:tcPr>
            <w:tcW w:w="3036" w:type="dxa"/>
            <w:tcMar>
              <w:top w:w="100" w:type="dxa"/>
              <w:left w:w="0" w:type="dxa"/>
              <w:bottom w:w="100" w:type="dxa"/>
              <w:right w:w="60" w:type="dxa"/>
            </w:tcMar>
          </w:tcPr>
          <w:p w14:paraId="2F41B80E" w14:textId="77777777" w:rsidR="00D849E8" w:rsidRDefault="00D849E8" w:rsidP="00A9140F">
            <w:pPr>
              <w:pStyle w:val="AnnexNumberedText"/>
              <w:pageBreakBefore/>
              <w:spacing w:after="0"/>
              <w:ind w:left="293" w:hanging="293"/>
              <w:rPr>
                <w:szCs w:val="18"/>
              </w:rPr>
            </w:pPr>
            <w:r>
              <w:lastRenderedPageBreak/>
              <w:t>6)</w:t>
            </w:r>
            <w:r>
              <w:tab/>
              <w:t>Vernd og endurheimt líffræðilegrar fjölbreytni og vistkerfa</w:t>
            </w:r>
          </w:p>
        </w:tc>
        <w:tc>
          <w:tcPr>
            <w:tcW w:w="5712" w:type="dxa"/>
            <w:tcMar>
              <w:top w:w="100" w:type="dxa"/>
              <w:left w:w="60" w:type="dxa"/>
              <w:bottom w:w="100" w:type="dxa"/>
              <w:right w:w="0" w:type="dxa"/>
            </w:tcMar>
          </w:tcPr>
          <w:p w14:paraId="073EAB02" w14:textId="77777777" w:rsidR="00D849E8" w:rsidRDefault="00D849E8" w:rsidP="00A9140F">
            <w:pPr>
              <w:pStyle w:val="AnnexTableCellLeft"/>
              <w:spacing w:after="120"/>
              <w:rPr>
                <w:szCs w:val="18"/>
              </w:rPr>
            </w:pPr>
            <w:r>
              <w:t>Komið er í veg fyrir losun kjölfestuvatns sem inniheldur framandi tegundir í samræmi við alþjóðasamninginn um stjórnun og meðhöndlun á kjölfestuvatni skipa og botnfalli í því.</w:t>
            </w:r>
          </w:p>
          <w:p w14:paraId="0A332EDE" w14:textId="77777777" w:rsidR="00D849E8" w:rsidRDefault="00D849E8" w:rsidP="00A9140F">
            <w:pPr>
              <w:pStyle w:val="AnnexTableCellLeft"/>
              <w:spacing w:after="120"/>
              <w:rPr>
                <w:szCs w:val="18"/>
              </w:rPr>
            </w:pPr>
            <w:r>
              <w:t xml:space="preserve">Ráðstafanir eru til staðar til að koma í veg fyrir </w:t>
            </w:r>
            <w:proofErr w:type="spellStart"/>
            <w:r>
              <w:t>aðflutning</w:t>
            </w:r>
            <w:proofErr w:type="spellEnd"/>
            <w:r>
              <w:t xml:space="preserve"> framandi tegunda með ásætum á skipsskrokk og krókum og kimum skipa, að teknu tilliti til leiðbeininga Alþjóðasiglingamálastofnunarinnar um ásætur (</w:t>
            </w:r>
            <w:r>
              <w:rPr>
                <w:rStyle w:val="Tilvsunneanmlsgrein"/>
                <w:sz w:val="18"/>
                <w:szCs w:val="18"/>
              </w:rPr>
              <w:footnoteReference w:id="876"/>
            </w:r>
            <w:r>
              <w:t>).</w:t>
            </w:r>
          </w:p>
          <w:p w14:paraId="6899A488" w14:textId="77777777" w:rsidR="00D849E8" w:rsidRDefault="00D849E8" w:rsidP="00A9140F">
            <w:pPr>
              <w:pStyle w:val="AnnexTableCellLeft"/>
              <w:spacing w:after="120"/>
              <w:rPr>
                <w:szCs w:val="18"/>
              </w:rPr>
            </w:pPr>
            <w:r>
              <w:t>Hávaði og titringur er takmarkaður með því að nota skrúfur sem draga úr hávaða, hönnun skipsskrokksins eða vélbúnað um borð í samræmi við leiðbeiningarnar sem gefnar eru í leiðbeiningum Alþjóðasiglingamálastofnunarinnar um að draga úr hávaða neðansjávar (</w:t>
            </w:r>
            <w:r>
              <w:rPr>
                <w:rStyle w:val="Tilvsunneanmlsgrein"/>
                <w:sz w:val="18"/>
                <w:szCs w:val="18"/>
              </w:rPr>
              <w:footnoteReference w:id="877"/>
            </w:r>
            <w:r>
              <w:t>).</w:t>
            </w:r>
          </w:p>
          <w:p w14:paraId="6949E3D9" w14:textId="77777777" w:rsidR="00D849E8" w:rsidRDefault="00D849E8" w:rsidP="00A9140F">
            <w:pPr>
              <w:pStyle w:val="AnnexTableCellLeft"/>
              <w:rPr>
                <w:szCs w:val="18"/>
              </w:rPr>
            </w:pPr>
            <w:r>
              <w:t>Í Sambandinu hindrar starfsemin ekki að góð umhverfisleg staða náist, eins og sett er fram í tilskipun 2008/56/EB, sem kallar á að viðeigandi ráðstafanir séu gerðar til að koma í veg fyrir eða draga úr áhrifum í tengslum við lýsingu 1 í þeirri tilskipun (líffræðileg fjölbreytni), 2 (framandi tegundir), 6 (heilleiki hafsbotns), 8 (</w:t>
            </w:r>
            <w:proofErr w:type="spellStart"/>
            <w:r>
              <w:t>aðskotaefni</w:t>
            </w:r>
            <w:proofErr w:type="spellEnd"/>
            <w:r>
              <w:t>), 10 (rusl í sjó) og 11 (hávaði/orka) og eins og sett er fram í ákvörðun framkvæmdastjórnarinnar (ESB) 2017/848 í tengslum við viðkomandi viðmiðanir og aðferðafræðilega staðla fyrir þær lýsingar, eftir því sem við á.</w:t>
            </w:r>
          </w:p>
        </w:tc>
      </w:tr>
    </w:tbl>
    <w:p w14:paraId="4F6E8845" w14:textId="77777777" w:rsidR="00D849E8" w:rsidRDefault="00D849E8" w:rsidP="00D849E8">
      <w:pPr>
        <w:pStyle w:val="AnnexNumberedText"/>
        <w:ind w:left="504" w:hanging="504"/>
      </w:pPr>
      <w:r>
        <w:t>6.12.</w:t>
      </w:r>
      <w:r>
        <w:rPr>
          <w:b/>
        </w:rPr>
        <w:tab/>
        <w:t>Endurbætur á millilanda- og strandsiglingum með vörur og farþega</w:t>
      </w:r>
    </w:p>
    <w:p w14:paraId="5E6EA797" w14:textId="77777777" w:rsidR="00D849E8" w:rsidRDefault="00D849E8" w:rsidP="00D849E8">
      <w:pPr>
        <w:pStyle w:val="AnnexGrSeq3"/>
        <w:spacing w:after="120"/>
        <w:ind w:left="504"/>
        <w:jc w:val="both"/>
      </w:pPr>
      <w:r>
        <w:rPr>
          <w:i/>
        </w:rPr>
        <w:t>Lýsing á starfseminni</w:t>
      </w:r>
    </w:p>
    <w:p w14:paraId="5620349B" w14:textId="77777777" w:rsidR="00D849E8" w:rsidRDefault="00D849E8" w:rsidP="00D849E8">
      <w:pPr>
        <w:pStyle w:val="AnnexNormal"/>
        <w:spacing w:after="120"/>
        <w:ind w:left="504"/>
      </w:pPr>
      <w:r>
        <w:t xml:space="preserve">Endurbætur og uppfærsla á skipum sem eru ætluð og útbúin til vöru- eða farþegaflutninga í millilanda- eða strandsiglingum og skipa sem þörf er á fyrir hafnar- og hjálparstarfsemi, s.s. dráttarbátar, </w:t>
      </w:r>
      <w:proofErr w:type="spellStart"/>
      <w:r>
        <w:t>festarþjónustubátar</w:t>
      </w:r>
      <w:proofErr w:type="spellEnd"/>
      <w:r>
        <w:t>, hafnsögubátar, björgunarbátar og ísbrjótar.</w:t>
      </w:r>
    </w:p>
    <w:p w14:paraId="2C8EF59A" w14:textId="77777777" w:rsidR="00D849E8" w:rsidRDefault="00D849E8" w:rsidP="00D849E8">
      <w:pPr>
        <w:pStyle w:val="AnnexNormal"/>
        <w:spacing w:after="120"/>
        <w:ind w:left="504"/>
      </w:pPr>
      <w:r>
        <w:t>Atvinnustarfsemin í þessum flokki gæti tengst kóðum atvinnugreinaflokkunar Evrópusambandsins H50.10, H50.2, H52.22, C33.15, N77.21 og N.77.34 í samræmi við atvinnugreinaflokkunina sem komið var á með reglugerð (EB) nr. 1893/2006.</w:t>
      </w:r>
    </w:p>
    <w:p w14:paraId="0370DFE1"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16"/>
        <w:gridCol w:w="5820"/>
      </w:tblGrid>
      <w:tr w:rsidR="00D849E8" w14:paraId="46051D73" w14:textId="77777777" w:rsidTr="00A9140F">
        <w:trPr>
          <w:trHeight w:val="280"/>
        </w:trPr>
        <w:tc>
          <w:tcPr>
            <w:tcW w:w="8736" w:type="dxa"/>
            <w:gridSpan w:val="2"/>
            <w:tcBorders>
              <w:bottom w:val="single" w:sz="4" w:space="0" w:color="auto"/>
            </w:tcBorders>
            <w:tcMar>
              <w:left w:w="0" w:type="dxa"/>
              <w:right w:w="60" w:type="dxa"/>
            </w:tcMar>
          </w:tcPr>
          <w:p w14:paraId="1C49606E" w14:textId="77777777" w:rsidR="00D849E8" w:rsidRDefault="00D849E8" w:rsidP="00A9140F">
            <w:pPr>
              <w:pStyle w:val="AnnexTableCellLeft"/>
              <w:spacing w:before="40" w:after="40"/>
            </w:pPr>
            <w:r>
              <w:t xml:space="preserve">Verulegt framlag til </w:t>
            </w:r>
            <w:proofErr w:type="spellStart"/>
            <w:r>
              <w:t>mildunar</w:t>
            </w:r>
            <w:proofErr w:type="spellEnd"/>
            <w:r>
              <w:t xml:space="preserve"> loftslagsbreytinga</w:t>
            </w:r>
          </w:p>
        </w:tc>
      </w:tr>
      <w:tr w:rsidR="00D849E8" w14:paraId="3F1FBB44" w14:textId="77777777" w:rsidTr="00A9140F">
        <w:trPr>
          <w:trHeight w:val="360"/>
        </w:trPr>
        <w:tc>
          <w:tcPr>
            <w:tcW w:w="8736" w:type="dxa"/>
            <w:gridSpan w:val="2"/>
            <w:tcBorders>
              <w:bottom w:val="nil"/>
            </w:tcBorders>
            <w:tcMar>
              <w:left w:w="0" w:type="dxa"/>
              <w:right w:w="60" w:type="dxa"/>
            </w:tcMar>
          </w:tcPr>
          <w:p w14:paraId="4D47952D" w14:textId="77777777" w:rsidR="00D849E8" w:rsidRDefault="00D849E8" w:rsidP="00A9140F">
            <w:pPr>
              <w:pStyle w:val="AnnexNumberedText"/>
              <w:tabs>
                <w:tab w:val="left" w:pos="396"/>
              </w:tabs>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4E32B55D" w14:textId="77777777" w:rsidR="00D849E8" w:rsidRDefault="00D849E8" w:rsidP="00A9140F">
            <w:pPr>
              <w:pStyle w:val="AnnexNumberedText"/>
              <w:tabs>
                <w:tab w:val="left" w:pos="396"/>
              </w:tabs>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A649EB5" w14:textId="77777777" w:rsidR="00D849E8" w:rsidRDefault="00D849E8" w:rsidP="00A9140F">
            <w:pPr>
              <w:pStyle w:val="AnnexNumberedText"/>
              <w:rPr>
                <w:szCs w:val="18"/>
              </w:rPr>
            </w:pPr>
            <w:r>
              <w:t>a)</w:t>
            </w:r>
            <w:r>
              <w:tab/>
              <w:t>skimun á starfseminni til að greina hvaða efnislega loftslagsáhætta úr skránni í viðbæti A við þennan viðauka getur haft áhrif á árangurinn af atvinnustarfseminni á væntum líftíma hennar,</w:t>
            </w:r>
          </w:p>
          <w:p w14:paraId="51294B23" w14:textId="77777777" w:rsidR="00D849E8" w:rsidRDefault="00D849E8" w:rsidP="00A9140F">
            <w:pPr>
              <w:pStyle w:val="AnnexNumberedText"/>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8345F33" w14:textId="77777777" w:rsidR="00D849E8" w:rsidRDefault="00D849E8" w:rsidP="00A9140F">
            <w:pPr>
              <w:pStyle w:val="AnnexNumberedText"/>
              <w:rPr>
                <w:szCs w:val="18"/>
              </w:rPr>
            </w:pPr>
            <w:r>
              <w:t>c)</w:t>
            </w:r>
            <w:r>
              <w:tab/>
              <w:t>mat á aðlögunarlausnum sem geta dregið úr greindri efnislegri loftslagsáhættu.</w:t>
            </w:r>
          </w:p>
          <w:p w14:paraId="4C34E711" w14:textId="77777777" w:rsidR="00D849E8" w:rsidRDefault="00D849E8" w:rsidP="00A9140F">
            <w:pPr>
              <w:pStyle w:val="AnnexTableCellLeft"/>
              <w:spacing w:after="12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24915237"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w:t>
            </w:r>
            <w:r>
              <w:lastRenderedPageBreak/>
              <w:t>ing með minnsta viðeigandi kvarða,</w:t>
            </w:r>
          </w:p>
          <w:p w14:paraId="760BD60E" w14:textId="77777777" w:rsidR="00D849E8" w:rsidRDefault="00D849E8" w:rsidP="00A9140F">
            <w:pPr>
              <w:pStyle w:val="AnnexNumberedText"/>
              <w:spacing w:after="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78"/>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D849E8" w14:paraId="07622EFC" w14:textId="77777777" w:rsidTr="00A9140F">
        <w:trPr>
          <w:trHeight w:val="360"/>
        </w:trPr>
        <w:tc>
          <w:tcPr>
            <w:tcW w:w="8736" w:type="dxa"/>
            <w:gridSpan w:val="2"/>
            <w:tcBorders>
              <w:top w:val="nil"/>
            </w:tcBorders>
            <w:tcMar>
              <w:left w:w="0" w:type="dxa"/>
              <w:right w:w="60" w:type="dxa"/>
            </w:tcMar>
          </w:tcPr>
          <w:p w14:paraId="3F5FF3FF" w14:textId="77777777" w:rsidR="00D849E8" w:rsidRDefault="00D849E8" w:rsidP="00A9140F">
            <w:pPr>
              <w:pStyle w:val="AnnexNumberedText"/>
              <w:pageBreakBefore/>
              <w:tabs>
                <w:tab w:val="left" w:pos="396"/>
              </w:tabs>
              <w:spacing w:after="200"/>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79"/>
            </w:r>
            <w:r>
              <w:t>), vísindalegt ritrýnt útgefið efni og líkön með opnum aðgangi (</w:t>
            </w:r>
            <w:r>
              <w:rPr>
                <w:rStyle w:val="Tilvsunneanmlsgrein"/>
                <w:sz w:val="18"/>
                <w:szCs w:val="18"/>
              </w:rPr>
              <w:footnoteReference w:id="880"/>
            </w:r>
            <w:r>
              <w:t>) eða gegn greiðslu.</w:t>
            </w:r>
          </w:p>
          <w:p w14:paraId="5F2064BD"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78C57E19"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4B83844F"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881"/>
            </w:r>
            <w:r>
              <w:t>) í forgangi eða treyst er á bláa eða græna innviði (</w:t>
            </w:r>
            <w:r>
              <w:rPr>
                <w:rStyle w:val="Tilvsunneanmlsgrein"/>
                <w:sz w:val="18"/>
                <w:szCs w:val="18"/>
              </w:rPr>
              <w:footnoteReference w:id="882"/>
            </w:r>
            <w:r>
              <w:t>) að því marki sem mögulegt er,</w:t>
            </w:r>
          </w:p>
          <w:p w14:paraId="0F77B507"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7E687759"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08B79F2D"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11E88A13" w14:textId="77777777" w:rsidTr="00A9140F">
        <w:trPr>
          <w:trHeight w:val="240"/>
        </w:trPr>
        <w:tc>
          <w:tcPr>
            <w:tcW w:w="8736" w:type="dxa"/>
            <w:gridSpan w:val="2"/>
            <w:tcMar>
              <w:top w:w="100" w:type="dxa"/>
              <w:left w:w="0" w:type="dxa"/>
              <w:bottom w:w="100" w:type="dxa"/>
              <w:right w:w="60" w:type="dxa"/>
            </w:tcMar>
          </w:tcPr>
          <w:p w14:paraId="5CB11E69" w14:textId="77777777" w:rsidR="00D849E8" w:rsidRDefault="00D849E8" w:rsidP="00A9140F">
            <w:pPr>
              <w:pStyle w:val="AnnexTableCellLeft"/>
            </w:pPr>
            <w:r>
              <w:t>Ekki valda umtalsverðu tjóni</w:t>
            </w:r>
          </w:p>
        </w:tc>
      </w:tr>
      <w:tr w:rsidR="00D849E8" w14:paraId="3D536DA5" w14:textId="77777777" w:rsidTr="00A9140F">
        <w:trPr>
          <w:trHeight w:val="360"/>
        </w:trPr>
        <w:tc>
          <w:tcPr>
            <w:tcW w:w="2916" w:type="dxa"/>
            <w:tcMar>
              <w:top w:w="100" w:type="dxa"/>
              <w:left w:w="0" w:type="dxa"/>
              <w:bottom w:w="100" w:type="dxa"/>
              <w:right w:w="60" w:type="dxa"/>
            </w:tcMar>
          </w:tcPr>
          <w:p w14:paraId="2105ABE8" w14:textId="77777777" w:rsidR="00D849E8" w:rsidRDefault="00D849E8" w:rsidP="00A9140F">
            <w:pPr>
              <w:pStyle w:val="AnnexNumberedText"/>
              <w:spacing w:after="0"/>
              <w:ind w:left="293" w:hanging="293"/>
            </w:pPr>
            <w:r>
              <w:t>2)</w:t>
            </w:r>
            <w:r>
              <w:tab/>
              <w:t>Aðlögun að loftslagsbreytingum</w:t>
            </w:r>
          </w:p>
        </w:tc>
        <w:tc>
          <w:tcPr>
            <w:tcW w:w="5820" w:type="dxa"/>
            <w:tcMar>
              <w:top w:w="100" w:type="dxa"/>
              <w:left w:w="60" w:type="dxa"/>
              <w:bottom w:w="100" w:type="dxa"/>
              <w:right w:w="0" w:type="dxa"/>
            </w:tcMar>
          </w:tcPr>
          <w:p w14:paraId="71A0B52D" w14:textId="77777777" w:rsidR="00D849E8" w:rsidRDefault="00D849E8" w:rsidP="00A9140F">
            <w:pPr>
              <w:pStyle w:val="AnnexTableCellLeft"/>
            </w:pPr>
            <w:r>
              <w:t>Skipin eru ekki ætluð til flutninga á jarðefnaeldsneyti.</w:t>
            </w:r>
          </w:p>
        </w:tc>
      </w:tr>
      <w:tr w:rsidR="00D849E8" w14:paraId="6D6D00E4" w14:textId="77777777" w:rsidTr="00A9140F">
        <w:trPr>
          <w:trHeight w:val="360"/>
        </w:trPr>
        <w:tc>
          <w:tcPr>
            <w:tcW w:w="2916" w:type="dxa"/>
            <w:tcMar>
              <w:top w:w="100" w:type="dxa"/>
              <w:left w:w="0" w:type="dxa"/>
              <w:bottom w:w="100" w:type="dxa"/>
              <w:right w:w="60" w:type="dxa"/>
            </w:tcMar>
          </w:tcPr>
          <w:p w14:paraId="44A214CE" w14:textId="77777777" w:rsidR="00D849E8" w:rsidRDefault="00D849E8" w:rsidP="00A9140F">
            <w:pPr>
              <w:pStyle w:val="AnnexNumberedText"/>
              <w:spacing w:after="0"/>
              <w:ind w:left="293" w:hanging="293"/>
            </w:pPr>
            <w:r>
              <w:t>3)</w:t>
            </w:r>
            <w:r>
              <w:tab/>
              <w:t>Sjálfbær notkun og verndun vatns- og sjávarauðlinda</w:t>
            </w:r>
          </w:p>
        </w:tc>
        <w:tc>
          <w:tcPr>
            <w:tcW w:w="5820" w:type="dxa"/>
            <w:tcMar>
              <w:top w:w="100" w:type="dxa"/>
              <w:left w:w="60" w:type="dxa"/>
              <w:bottom w:w="100" w:type="dxa"/>
              <w:right w:w="0" w:type="dxa"/>
            </w:tcMar>
          </w:tcPr>
          <w:p w14:paraId="1904EFB7" w14:textId="77777777" w:rsidR="00D849E8" w:rsidRDefault="00D849E8" w:rsidP="00A9140F">
            <w:pPr>
              <w:pStyle w:val="AnnexTableCellLeft"/>
            </w:pPr>
            <w:r>
              <w:t>Starfsemin er í samræmi við viðmiðanirnar sem settar eru fram í viðbæti B við þennan viðauka.</w:t>
            </w:r>
          </w:p>
        </w:tc>
      </w:tr>
      <w:tr w:rsidR="00D849E8" w14:paraId="33BD5A34" w14:textId="77777777" w:rsidTr="00A9140F">
        <w:trPr>
          <w:trHeight w:val="360"/>
        </w:trPr>
        <w:tc>
          <w:tcPr>
            <w:tcW w:w="2916" w:type="dxa"/>
            <w:tcMar>
              <w:top w:w="100" w:type="dxa"/>
              <w:left w:w="0" w:type="dxa"/>
              <w:bottom w:w="100" w:type="dxa"/>
              <w:right w:w="60" w:type="dxa"/>
            </w:tcMar>
          </w:tcPr>
          <w:p w14:paraId="09C81AA0" w14:textId="77777777" w:rsidR="00D849E8" w:rsidRDefault="00D849E8" w:rsidP="00A9140F">
            <w:pPr>
              <w:pStyle w:val="AnnexNumberedText"/>
              <w:ind w:left="293" w:hanging="293"/>
            </w:pPr>
            <w:r>
              <w:t>4)</w:t>
            </w:r>
            <w:r>
              <w:tab/>
              <w:t>Umskipti yfir í hringrásarhagkerfi</w:t>
            </w:r>
          </w:p>
        </w:tc>
        <w:tc>
          <w:tcPr>
            <w:tcW w:w="5820" w:type="dxa"/>
            <w:tcMar>
              <w:top w:w="100" w:type="dxa"/>
              <w:left w:w="60" w:type="dxa"/>
              <w:bottom w:w="100" w:type="dxa"/>
              <w:right w:w="0" w:type="dxa"/>
            </w:tcMar>
          </w:tcPr>
          <w:p w14:paraId="5CB21FE6" w14:textId="77777777" w:rsidR="00D849E8" w:rsidRDefault="00D849E8" w:rsidP="00A9140F">
            <w:pPr>
              <w:pStyle w:val="AnnexTableCellLeft"/>
              <w:spacing w:after="200"/>
            </w:pPr>
            <w:r>
              <w:t>Ráðstafanir til úrgangsstjórnunar eru til staðar, bæði í notkunaráfanganum og þegar skipið er úr sér gengið, í samræmi við úrgangsmetakerfið.</w:t>
            </w:r>
          </w:p>
          <w:p w14:paraId="387EA81A" w14:textId="77777777" w:rsidR="00D849E8" w:rsidRDefault="00D849E8" w:rsidP="00A9140F">
            <w:pPr>
              <w:pStyle w:val="AnnexTableCellLeft"/>
              <w:spacing w:after="200"/>
            </w:pPr>
            <w:r>
              <w:t>Að því er varðar skip sem ganga fyrir rafhlöðum fela þessar ráðstafanir í sér endurnotkun og endurvinnslu á rafhlöðum og rafeindabúnaði, þ.m.t. mikilvæg hráefni í þeim.</w:t>
            </w:r>
          </w:p>
          <w:p w14:paraId="6E03B659" w14:textId="77777777" w:rsidR="00D849E8" w:rsidRDefault="00D849E8" w:rsidP="00A9140F">
            <w:pPr>
              <w:pStyle w:val="AnnexTableCellLeft"/>
              <w:spacing w:after="200"/>
            </w:pPr>
            <w:r>
              <w:t xml:space="preserve">Að því er varðar gömul skip yfir 500 </w:t>
            </w:r>
            <w:proofErr w:type="spellStart"/>
            <w:r>
              <w:t>brúttótonn</w:t>
            </w:r>
            <w:proofErr w:type="spellEnd"/>
            <w:r>
              <w:t xml:space="preserve"> og nýsmíðuð skip sem leysa þau af hólmi er starfsemin í samræmi við kröfurnar í reglugerð (ESB) nr. 1257/2013 að því er varðar birgðaskrána yfir hættuleg efni. Skip sem eru höggvin í brotajárn eru endurunnin í stöðvum sem eru á Evrópuskránni yfir skipaendurvinnslustöðvar eins og mælt er fyrir um í ákvörðun framkvæmdastjórnarinnar 2016/2323.</w:t>
            </w:r>
          </w:p>
          <w:p w14:paraId="1F776A6C" w14:textId="77777777" w:rsidR="00D849E8" w:rsidRDefault="00D849E8" w:rsidP="00A9140F">
            <w:pPr>
              <w:pStyle w:val="AnnexTableCellLeft"/>
              <w:spacing w:after="200"/>
            </w:pPr>
            <w:r>
              <w:t>Starfsemin er í samræmi við tilskipun (ESB) 2019/883 að því er varðar verndun sjávarumhverfisins gegn neikvæðum áhrifum af losun úrgangs frá skipum.</w:t>
            </w:r>
          </w:p>
          <w:p w14:paraId="433A6EE7" w14:textId="77777777" w:rsidR="00D849E8" w:rsidRDefault="00D849E8" w:rsidP="00A9140F">
            <w:pPr>
              <w:pStyle w:val="AnnexTableCellLeft"/>
            </w:pPr>
            <w:r>
              <w:t xml:space="preserve">Skipið er starfrækt í samræmi við V. viðauka við MARPOL-samning Alþjóðasiglingamálastofnunarinnar, einkum með það fyrir augum að framleiða minna </w:t>
            </w:r>
            <w:r>
              <w:lastRenderedPageBreak/>
              <w:t>magn af úrgangi og að draga úr löglegri losun með því að stjórna úrgangi þess á sjálfbæran og umhverfisvænan hátt.</w:t>
            </w:r>
          </w:p>
        </w:tc>
      </w:tr>
      <w:tr w:rsidR="00D849E8" w14:paraId="02937451" w14:textId="77777777" w:rsidTr="00A9140F">
        <w:trPr>
          <w:trHeight w:val="360"/>
        </w:trPr>
        <w:tc>
          <w:tcPr>
            <w:tcW w:w="2916" w:type="dxa"/>
            <w:tcMar>
              <w:top w:w="100" w:type="dxa"/>
              <w:left w:w="0" w:type="dxa"/>
              <w:bottom w:w="100" w:type="dxa"/>
              <w:right w:w="60" w:type="dxa"/>
            </w:tcMar>
          </w:tcPr>
          <w:p w14:paraId="023A3EE8" w14:textId="77777777" w:rsidR="00D849E8" w:rsidRDefault="00D849E8" w:rsidP="00A9140F">
            <w:pPr>
              <w:pStyle w:val="AnnexNumberedText"/>
              <w:pageBreakBefore/>
              <w:ind w:left="293" w:hanging="293"/>
              <w:rPr>
                <w:szCs w:val="18"/>
              </w:rPr>
            </w:pPr>
            <w:r>
              <w:lastRenderedPageBreak/>
              <w:t>5)</w:t>
            </w:r>
            <w:r>
              <w:tab/>
              <w:t>Mengunarvarnir og eftirlit með mengun</w:t>
            </w:r>
          </w:p>
        </w:tc>
        <w:tc>
          <w:tcPr>
            <w:tcW w:w="5820" w:type="dxa"/>
            <w:tcMar>
              <w:top w:w="100" w:type="dxa"/>
              <w:left w:w="60" w:type="dxa"/>
              <w:bottom w:w="100" w:type="dxa"/>
              <w:right w:w="0" w:type="dxa"/>
            </w:tcMar>
          </w:tcPr>
          <w:p w14:paraId="0F8BFEBC" w14:textId="77777777" w:rsidR="00D849E8" w:rsidRDefault="00D849E8" w:rsidP="00A9140F">
            <w:pPr>
              <w:pStyle w:val="AnnexTableCellLeft"/>
              <w:spacing w:after="200"/>
              <w:rPr>
                <w:szCs w:val="18"/>
              </w:rPr>
            </w:pPr>
            <w:r>
              <w:t xml:space="preserve">Að því er varðar samdrátt í losun </w:t>
            </w:r>
            <w:proofErr w:type="spellStart"/>
            <w:r>
              <w:t>brennisteinsoxíðs</w:t>
            </w:r>
            <w:proofErr w:type="spellEnd"/>
            <w:r>
              <w:t xml:space="preserve"> og efnisagna eru skip í samræmi við tilskipun (ESB) 2016/802 og reglu 14 í VI. viðauka við MARPOL-samning Alþjóðasiglingamálastofnunarinnar. Brennisteinsinnihaldið í eldsneytinu fer ekki yfir 0,5% af massa (heildarmörk fyrir brennistein) og 0,1% af massa á mengunarvarnarsvæðum sem Alþjóðasiglingamálastofnunin hefur skilgreint í Norðursjó og Eystrasalti (</w:t>
            </w:r>
            <w:r>
              <w:rPr>
                <w:rStyle w:val="Tilvsunneanmlsgrein"/>
                <w:sz w:val="18"/>
                <w:szCs w:val="18"/>
              </w:rPr>
              <w:footnoteReference w:id="883"/>
            </w:r>
            <w:r>
              <w:t>).</w:t>
            </w:r>
          </w:p>
          <w:p w14:paraId="08B82B79" w14:textId="77777777" w:rsidR="00D849E8" w:rsidRDefault="00D849E8" w:rsidP="00A9140F">
            <w:pPr>
              <w:pStyle w:val="AnnexTableCellLeft"/>
              <w:spacing w:after="200"/>
              <w:rPr>
                <w:szCs w:val="18"/>
              </w:rPr>
            </w:pPr>
            <w:r>
              <w:t xml:space="preserve">Að því er varðar losun </w:t>
            </w:r>
            <w:proofErr w:type="spellStart"/>
            <w:r>
              <w:t>köfnunarefnisoxíðs</w:t>
            </w:r>
            <w:proofErr w:type="spellEnd"/>
            <w:r>
              <w:t xml:space="preserve"> (</w:t>
            </w:r>
            <w:proofErr w:type="spellStart"/>
            <w:r>
              <w:t>NO</w:t>
            </w:r>
            <w:r>
              <w:rPr>
                <w:vertAlign w:val="subscript"/>
              </w:rPr>
              <w:t>x</w:t>
            </w:r>
            <w:proofErr w:type="spellEnd"/>
            <w:r>
              <w:t xml:space="preserve">) eru skip í samræmi við reglu 13 í VI. viðauka við MARPOL-samning Alþjóðasiglingamálastofnunarinnar. Krafan um </w:t>
            </w:r>
            <w:proofErr w:type="spellStart"/>
            <w:r>
              <w:t>NO</w:t>
            </w:r>
            <w:r>
              <w:rPr>
                <w:vertAlign w:val="subscript"/>
              </w:rPr>
              <w:t>x</w:t>
            </w:r>
            <w:proofErr w:type="spellEnd"/>
            <w:r>
              <w:t xml:space="preserve"> í þrepi II gildir um skip sem smíðuð voru eftir 2011. Einungis við </w:t>
            </w:r>
            <w:proofErr w:type="spellStart"/>
            <w:r>
              <w:t>starfrækslu</w:t>
            </w:r>
            <w:proofErr w:type="spellEnd"/>
            <w:r>
              <w:t xml:space="preserve"> á </w:t>
            </w:r>
            <w:proofErr w:type="spellStart"/>
            <w:r>
              <w:t>NO</w:t>
            </w:r>
            <w:r>
              <w:rPr>
                <w:vertAlign w:val="subscript"/>
              </w:rPr>
              <w:t>x</w:t>
            </w:r>
            <w:proofErr w:type="spellEnd"/>
            <w:r>
              <w:t xml:space="preserve">-mengunarvarnarsvæðum, sem komið var á samkvæmt reglum Alþjóðasiglingamálastofnunarinnar, uppfylla skip sem voru smíðuð eftir 1. janúar 2016 strangari kröfur um hreyfla (þrep III) til að draga úr losun </w:t>
            </w:r>
            <w:proofErr w:type="spellStart"/>
            <w:r>
              <w:t>NO</w:t>
            </w:r>
            <w:r>
              <w:rPr>
                <w:vertAlign w:val="subscript"/>
              </w:rPr>
              <w:t>x</w:t>
            </w:r>
            <w:proofErr w:type="spellEnd"/>
            <w:r>
              <w:t xml:space="preserve"> (</w:t>
            </w:r>
            <w:r>
              <w:rPr>
                <w:rStyle w:val="Tilvsunneanmlsgrein"/>
                <w:sz w:val="18"/>
                <w:szCs w:val="18"/>
              </w:rPr>
              <w:footnoteReference w:id="884"/>
            </w:r>
            <w:r>
              <w:t>).</w:t>
            </w:r>
          </w:p>
          <w:p w14:paraId="1C687BC7" w14:textId="77777777" w:rsidR="00D849E8" w:rsidRDefault="00D849E8" w:rsidP="00A9140F">
            <w:pPr>
              <w:pStyle w:val="AnnexTableCellLeft"/>
              <w:spacing w:after="200"/>
              <w:rPr>
                <w:szCs w:val="18"/>
              </w:rPr>
            </w:pPr>
            <w:r>
              <w:t xml:space="preserve">Losun á </w:t>
            </w:r>
            <w:proofErr w:type="spellStart"/>
            <w:r>
              <w:t>svartvatni</w:t>
            </w:r>
            <w:proofErr w:type="spellEnd"/>
            <w:r>
              <w:t xml:space="preserve"> og grávatni er í samræmi við IV. viðauka við MARPOL-samning Alþjóðasiglingamálastofnunarinnar.</w:t>
            </w:r>
          </w:p>
          <w:p w14:paraId="6F614B52" w14:textId="77777777" w:rsidR="00D849E8" w:rsidRDefault="00D849E8" w:rsidP="00A9140F">
            <w:pPr>
              <w:pStyle w:val="AnnexTableCellLeft"/>
              <w:rPr>
                <w:szCs w:val="18"/>
              </w:rPr>
            </w:pPr>
            <w:r>
              <w:t xml:space="preserve">Ráðstafanir eru til staðar til að lágmarka eiturhrif frá gróðurhindrandi málningu og </w:t>
            </w:r>
            <w:proofErr w:type="spellStart"/>
            <w:r>
              <w:t>sæfiefnum</w:t>
            </w:r>
            <w:proofErr w:type="spellEnd"/>
            <w:r>
              <w:t>, eins og mælt er fyrir um í reglugerð (ESB) nr. 528/2012 þar sem alþjóðasamningurinn um eftirlit með skaðlegum, gróðurhindrandi efnum og/eða búnaði á skipum, sem var samþykktur 5. október 2001, er tekinn upp í lög Sambandsins.</w:t>
            </w:r>
          </w:p>
        </w:tc>
      </w:tr>
      <w:tr w:rsidR="00D849E8" w14:paraId="6D575FC7" w14:textId="77777777" w:rsidTr="00A9140F">
        <w:trPr>
          <w:trHeight w:val="360"/>
        </w:trPr>
        <w:tc>
          <w:tcPr>
            <w:tcW w:w="2916" w:type="dxa"/>
            <w:tcMar>
              <w:top w:w="100" w:type="dxa"/>
              <w:left w:w="0" w:type="dxa"/>
              <w:bottom w:w="100" w:type="dxa"/>
              <w:right w:w="60" w:type="dxa"/>
            </w:tcMar>
          </w:tcPr>
          <w:p w14:paraId="6DE1EDB6" w14:textId="77777777" w:rsidR="00D849E8" w:rsidRDefault="00D849E8" w:rsidP="00A9140F">
            <w:pPr>
              <w:pStyle w:val="AnnexNumberedText"/>
              <w:ind w:left="293" w:hanging="293"/>
              <w:rPr>
                <w:szCs w:val="18"/>
              </w:rPr>
            </w:pPr>
            <w:r>
              <w:t>6)</w:t>
            </w:r>
            <w:r>
              <w:tab/>
              <w:t>Vernd og endurheimt líffræðilegrar fjölbreytni og vistkerfa</w:t>
            </w:r>
          </w:p>
        </w:tc>
        <w:tc>
          <w:tcPr>
            <w:tcW w:w="5820" w:type="dxa"/>
            <w:tcMar>
              <w:top w:w="100" w:type="dxa"/>
              <w:left w:w="60" w:type="dxa"/>
              <w:bottom w:w="100" w:type="dxa"/>
              <w:right w:w="0" w:type="dxa"/>
            </w:tcMar>
          </w:tcPr>
          <w:p w14:paraId="0F69585B" w14:textId="77777777" w:rsidR="00D849E8" w:rsidRDefault="00D849E8" w:rsidP="00A9140F">
            <w:pPr>
              <w:pStyle w:val="AnnexTableCellLeft"/>
              <w:spacing w:after="200"/>
              <w:rPr>
                <w:szCs w:val="18"/>
              </w:rPr>
            </w:pPr>
            <w:r>
              <w:t>Komið er í veg fyrir losun kjölfestuvatns sem inniheldur framandi tegundir í samræmi við alþjóðasamninginn um stjórnun og meðhöndlun á kjölfestuvatni skipa og botnfalli í því.</w:t>
            </w:r>
          </w:p>
          <w:p w14:paraId="576F6191" w14:textId="77777777" w:rsidR="00D849E8" w:rsidRDefault="00D849E8" w:rsidP="00A9140F">
            <w:pPr>
              <w:pStyle w:val="AnnexTableCellLeft"/>
              <w:spacing w:after="200"/>
              <w:rPr>
                <w:szCs w:val="18"/>
              </w:rPr>
            </w:pPr>
            <w:r>
              <w:t xml:space="preserve">Ráðstafanir eru til staðar til að koma í veg fyrir </w:t>
            </w:r>
            <w:proofErr w:type="spellStart"/>
            <w:r>
              <w:t>aðflutning</w:t>
            </w:r>
            <w:proofErr w:type="spellEnd"/>
            <w:r>
              <w:t xml:space="preserve"> framandi tegunda með ásætum á skipsskrokk og krókum og kimum skipa, að teknu tilliti til leiðbeininga Alþjóðasiglingamálastofnunarinnar um ásætur (</w:t>
            </w:r>
            <w:r>
              <w:rPr>
                <w:rStyle w:val="Tilvsunneanmlsgrein"/>
                <w:sz w:val="18"/>
                <w:szCs w:val="18"/>
              </w:rPr>
              <w:footnoteReference w:id="885"/>
            </w:r>
            <w:r>
              <w:t>).</w:t>
            </w:r>
          </w:p>
          <w:p w14:paraId="66FECE97" w14:textId="77777777" w:rsidR="00D849E8" w:rsidRDefault="00D849E8" w:rsidP="00A9140F">
            <w:pPr>
              <w:pStyle w:val="AnnexTableCellLeft"/>
              <w:spacing w:after="200"/>
              <w:rPr>
                <w:szCs w:val="18"/>
              </w:rPr>
            </w:pPr>
            <w:r>
              <w:t>Hávaði og titringur er takmarkaður með því að nota skrúfur sem draga úr hávaða, hönnun skipsskrokksins eða vélbúnað um borð í samræmi við leiðbeiningarnar sem gefnar eru í leiðbeiningum Alþjóðasiglingamálastofnunarinnar um að draga úr hávaða neðansjávar (</w:t>
            </w:r>
            <w:r>
              <w:rPr>
                <w:rStyle w:val="Tilvsunneanmlsgrein"/>
                <w:sz w:val="18"/>
                <w:szCs w:val="18"/>
              </w:rPr>
              <w:footnoteReference w:id="886"/>
            </w:r>
            <w:r>
              <w:t>).</w:t>
            </w:r>
          </w:p>
          <w:p w14:paraId="58486BAB" w14:textId="77777777" w:rsidR="00D849E8" w:rsidRDefault="00D849E8" w:rsidP="00A9140F">
            <w:pPr>
              <w:pStyle w:val="AnnexTableCellLeft"/>
              <w:rPr>
                <w:szCs w:val="18"/>
              </w:rPr>
            </w:pPr>
            <w:r>
              <w:t>Í Sambandinu hindrar starfsemin ekki að góð umhverfisleg staða náist, eins og sett er fram í tilskipun 2008/56/EB, sem kallar á að viðeigandi ráðstafanir séu gerðar til að koma í veg fyrir eða draga úr áhrifum í tengslum við lýsingu 1 í þeirri tilskipun (líffræðileg fjölbreytni), 2 (framandi tegundir), 6 (heilleiki hafsbotns), 8 (</w:t>
            </w:r>
            <w:proofErr w:type="spellStart"/>
            <w:r>
              <w:t>aðskotaefni</w:t>
            </w:r>
            <w:proofErr w:type="spellEnd"/>
            <w:r>
              <w:t>), 10 (rusl í sjó) og 11 (hávaði/orka) og eins og sett er fram í ákvörðun framkvæmdastjórnarinnar (ESB) 2017/848 í tengslum við viðkomandi viðmiðanir og aðferðafræðilega staðla fyrir þær lýsingar, eftir því sem við á.</w:t>
            </w:r>
          </w:p>
        </w:tc>
      </w:tr>
    </w:tbl>
    <w:p w14:paraId="4C023B45" w14:textId="77777777" w:rsidR="00D849E8" w:rsidRDefault="00D849E8" w:rsidP="00D849E8">
      <w:pPr>
        <w:pStyle w:val="AnnexNumberedText"/>
        <w:ind w:left="504" w:hanging="504"/>
      </w:pPr>
      <w:r>
        <w:t>6.13.</w:t>
      </w:r>
      <w:r>
        <w:rPr>
          <w:b/>
        </w:rPr>
        <w:tab/>
        <w:t>Grunnvirki fyrir ferlimál einstaklinga, nytjahjólaflutningastjórnun</w:t>
      </w:r>
    </w:p>
    <w:p w14:paraId="0CA8A827" w14:textId="77777777" w:rsidR="00D849E8" w:rsidRDefault="00D849E8" w:rsidP="00D849E8">
      <w:pPr>
        <w:pStyle w:val="AnnexGrSeq3"/>
        <w:spacing w:after="120"/>
        <w:ind w:left="504"/>
        <w:jc w:val="both"/>
      </w:pPr>
      <w:r>
        <w:rPr>
          <w:i/>
        </w:rPr>
        <w:lastRenderedPageBreak/>
        <w:t>Lýsing á starfseminni</w:t>
      </w:r>
    </w:p>
    <w:p w14:paraId="3D478ABA" w14:textId="77777777" w:rsidR="00D849E8" w:rsidRDefault="00D849E8" w:rsidP="00D849E8">
      <w:pPr>
        <w:pStyle w:val="AnnexNormal"/>
        <w:spacing w:after="500"/>
        <w:ind w:left="504"/>
      </w:pPr>
      <w:r>
        <w:t xml:space="preserve">Uppbygging, nútímavæðing, viðhald og </w:t>
      </w:r>
      <w:proofErr w:type="spellStart"/>
      <w:r>
        <w:t>starfræksla</w:t>
      </w:r>
      <w:proofErr w:type="spellEnd"/>
      <w:r>
        <w:t xml:space="preserve"> grunnvirkja fyrir ferlimál einstaklinga, þ.m.t. lagning vega, hraðbrautabrúa og undirganga og annarra grunnvirkja sem eru ætluð gangandi og hjólandi vegfarendum, með eða án </w:t>
      </w:r>
      <w:proofErr w:type="spellStart"/>
      <w:r>
        <w:t>rafaðstoðar</w:t>
      </w:r>
      <w:proofErr w:type="spellEnd"/>
      <w:r>
        <w:t>.</w:t>
      </w:r>
    </w:p>
    <w:p w14:paraId="7CA1E200" w14:textId="77777777" w:rsidR="00D849E8" w:rsidRDefault="00D849E8" w:rsidP="00D849E8">
      <w:pPr>
        <w:pStyle w:val="AnnexNormal"/>
        <w:spacing w:after="0"/>
        <w:ind w:left="504"/>
      </w:pPr>
      <w:r>
        <w:t>Atvinnustarfsemin í þessum flokki gæti tengst nokkrum kóðum atvinnugreinaflokkunar Evrópusambandsins, einkum F42.11, F42.12, F42.13, F43.21, F711 og F71.20, í samræmi við atvinnugreinaflokkunina sem komið var á með reglugerð (EB) nr. 1893/2006.</w:t>
      </w:r>
      <w:r>
        <w:br w:type="page"/>
      </w:r>
    </w:p>
    <w:p w14:paraId="6968116F" w14:textId="77777777" w:rsidR="00D849E8" w:rsidRDefault="00D849E8" w:rsidP="00D849E8">
      <w:pPr>
        <w:pStyle w:val="AnnexGrSeq3"/>
        <w:ind w:left="504"/>
        <w:jc w:val="both"/>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D849E8" w14:paraId="1E8CDE3D" w14:textId="77777777" w:rsidTr="00A9140F">
        <w:trPr>
          <w:trHeight w:val="280"/>
        </w:trPr>
        <w:tc>
          <w:tcPr>
            <w:tcW w:w="8736" w:type="dxa"/>
            <w:gridSpan w:val="2"/>
            <w:tcBorders>
              <w:bottom w:val="single" w:sz="4" w:space="0" w:color="auto"/>
            </w:tcBorders>
            <w:tcMar>
              <w:left w:w="0" w:type="dxa"/>
              <w:right w:w="60" w:type="dxa"/>
            </w:tcMar>
          </w:tcPr>
          <w:p w14:paraId="5871BDD8" w14:textId="77777777" w:rsidR="00D849E8" w:rsidRDefault="00D849E8" w:rsidP="00A9140F">
            <w:pPr>
              <w:pStyle w:val="AnnexTableCellLeft"/>
              <w:spacing w:before="40" w:after="40"/>
            </w:pPr>
            <w:r>
              <w:t>Verulegt framlag til aðlögunar að loftslagsbreytingum</w:t>
            </w:r>
          </w:p>
        </w:tc>
      </w:tr>
      <w:tr w:rsidR="00D849E8" w14:paraId="68461047" w14:textId="77777777" w:rsidTr="00A9140F">
        <w:trPr>
          <w:trHeight w:val="360"/>
        </w:trPr>
        <w:tc>
          <w:tcPr>
            <w:tcW w:w="8736" w:type="dxa"/>
            <w:gridSpan w:val="2"/>
            <w:tcBorders>
              <w:bottom w:val="nil"/>
            </w:tcBorders>
            <w:tcMar>
              <w:left w:w="0" w:type="dxa"/>
              <w:right w:w="60" w:type="dxa"/>
            </w:tcMar>
          </w:tcPr>
          <w:p w14:paraId="1D368AAD"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5072D162"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FD781D4"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699C8B10"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58FD7FA"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6A5D72A0"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1E03580B"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1555167"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87"/>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412080C2"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88"/>
            </w:r>
            <w:r>
              <w:t>), vísindalegt ritrýnt útgefið efni og líkön með opnum aðgangi (</w:t>
            </w:r>
            <w:r>
              <w:rPr>
                <w:rStyle w:val="Tilvsunneanmlsgrein"/>
                <w:sz w:val="18"/>
                <w:szCs w:val="18"/>
              </w:rPr>
              <w:footnoteReference w:id="889"/>
            </w:r>
            <w:r>
              <w:t>) eða gegn greiðslu.</w:t>
            </w:r>
          </w:p>
          <w:p w14:paraId="16F86FFE"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53ED1639"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497A7654"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890"/>
            </w:r>
            <w:r>
              <w:t>) í forgangi eða treyst er á bláa eða græna innviði (</w:t>
            </w:r>
            <w:r>
              <w:rPr>
                <w:rStyle w:val="Tilvsunneanmlsgrein"/>
                <w:sz w:val="18"/>
                <w:szCs w:val="18"/>
              </w:rPr>
              <w:footnoteReference w:id="891"/>
            </w:r>
            <w:r>
              <w:t>) að því marki sem mögulegt er,</w:t>
            </w:r>
          </w:p>
          <w:p w14:paraId="7A1A4463"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5CBE7BEE"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2A53DF1" w14:textId="77777777" w:rsidR="00D849E8" w:rsidRDefault="00D849E8" w:rsidP="00A9140F">
            <w:pPr>
              <w:pStyle w:val="AnnexNumberedText"/>
              <w:spacing w:after="0"/>
              <w:rPr>
                <w:szCs w:val="18"/>
              </w:rPr>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D849E8" w14:paraId="7C46E0E5" w14:textId="77777777" w:rsidTr="00A9140F">
        <w:trPr>
          <w:trHeight w:val="240"/>
        </w:trPr>
        <w:tc>
          <w:tcPr>
            <w:tcW w:w="8736" w:type="dxa"/>
            <w:gridSpan w:val="2"/>
            <w:tcBorders>
              <w:top w:val="single" w:sz="4" w:space="0" w:color="auto"/>
            </w:tcBorders>
            <w:tcMar>
              <w:top w:w="100" w:type="dxa"/>
              <w:left w:w="0" w:type="dxa"/>
              <w:bottom w:w="100" w:type="dxa"/>
              <w:right w:w="60" w:type="dxa"/>
            </w:tcMar>
          </w:tcPr>
          <w:p w14:paraId="62EB69CE" w14:textId="77777777" w:rsidR="00D849E8" w:rsidRDefault="00D849E8" w:rsidP="00A9140F">
            <w:pPr>
              <w:pStyle w:val="AnnexTableCellLeft"/>
              <w:pageBreakBefore/>
            </w:pPr>
            <w:r>
              <w:lastRenderedPageBreak/>
              <w:t>Ekki valda umtalsverðu tjóni</w:t>
            </w:r>
          </w:p>
        </w:tc>
      </w:tr>
      <w:tr w:rsidR="00D849E8" w14:paraId="002A1093" w14:textId="77777777" w:rsidTr="00A9140F">
        <w:tc>
          <w:tcPr>
            <w:tcW w:w="2988" w:type="dxa"/>
            <w:tcMar>
              <w:top w:w="100" w:type="dxa"/>
              <w:left w:w="0" w:type="dxa"/>
              <w:bottom w:w="100" w:type="dxa"/>
              <w:right w:w="60" w:type="dxa"/>
            </w:tcMar>
          </w:tcPr>
          <w:p w14:paraId="462EA1F5" w14:textId="77777777" w:rsidR="00D849E8" w:rsidRDefault="00D849E8" w:rsidP="00A9140F">
            <w:pPr>
              <w:pStyle w:val="AnnexNumberedText"/>
              <w:spacing w:after="0"/>
              <w:ind w:left="293" w:hanging="293"/>
            </w:pPr>
            <w:r>
              <w:t>1)</w:t>
            </w:r>
            <w:r>
              <w:tab/>
              <w:t>Mildun loftslagsbreytinga</w:t>
            </w:r>
          </w:p>
        </w:tc>
        <w:tc>
          <w:tcPr>
            <w:tcW w:w="5748" w:type="dxa"/>
            <w:tcMar>
              <w:top w:w="100" w:type="dxa"/>
              <w:left w:w="60" w:type="dxa"/>
              <w:bottom w:w="100" w:type="dxa"/>
              <w:right w:w="0" w:type="dxa"/>
            </w:tcMar>
          </w:tcPr>
          <w:p w14:paraId="06081C15" w14:textId="77777777" w:rsidR="00D849E8" w:rsidRDefault="00D849E8" w:rsidP="00A9140F">
            <w:pPr>
              <w:pStyle w:val="AnnexTableCellLeft"/>
            </w:pPr>
            <w:r>
              <w:t>Á ekki við</w:t>
            </w:r>
          </w:p>
        </w:tc>
      </w:tr>
      <w:tr w:rsidR="00D849E8" w14:paraId="1CD96A8A" w14:textId="77777777" w:rsidTr="00A9140F">
        <w:tc>
          <w:tcPr>
            <w:tcW w:w="2988" w:type="dxa"/>
            <w:tcMar>
              <w:top w:w="100" w:type="dxa"/>
              <w:left w:w="0" w:type="dxa"/>
              <w:bottom w:w="100" w:type="dxa"/>
              <w:right w:w="60" w:type="dxa"/>
            </w:tcMar>
          </w:tcPr>
          <w:p w14:paraId="68CA7AB1" w14:textId="77777777" w:rsidR="00D849E8" w:rsidRDefault="00D849E8" w:rsidP="00A9140F">
            <w:pPr>
              <w:pStyle w:val="AnnexNumberedText"/>
              <w:spacing w:after="0"/>
              <w:ind w:left="293" w:hanging="293"/>
            </w:pPr>
            <w:r>
              <w:t>3)</w:t>
            </w:r>
            <w:r>
              <w:tab/>
              <w:t>Sjálfbær notkun og verndun vatns- og sjávarauðlinda</w:t>
            </w:r>
          </w:p>
        </w:tc>
        <w:tc>
          <w:tcPr>
            <w:tcW w:w="5748" w:type="dxa"/>
            <w:tcMar>
              <w:top w:w="100" w:type="dxa"/>
              <w:left w:w="60" w:type="dxa"/>
              <w:bottom w:w="100" w:type="dxa"/>
              <w:right w:w="0" w:type="dxa"/>
            </w:tcMar>
          </w:tcPr>
          <w:p w14:paraId="3AD1C759" w14:textId="77777777" w:rsidR="00D849E8" w:rsidRDefault="00D849E8" w:rsidP="00A9140F">
            <w:pPr>
              <w:pStyle w:val="AnnexTableCellLeft"/>
            </w:pPr>
            <w:r>
              <w:t>Starfsemin er í samræmi við viðmiðanirnar sem settar eru fram í viðbæti B við þennan viðauka.</w:t>
            </w:r>
          </w:p>
        </w:tc>
      </w:tr>
      <w:tr w:rsidR="00D849E8" w14:paraId="07BD7673" w14:textId="77777777" w:rsidTr="00A9140F">
        <w:tc>
          <w:tcPr>
            <w:tcW w:w="2988" w:type="dxa"/>
            <w:tcMar>
              <w:top w:w="100" w:type="dxa"/>
              <w:left w:w="0" w:type="dxa"/>
              <w:bottom w:w="100" w:type="dxa"/>
              <w:right w:w="60" w:type="dxa"/>
            </w:tcMar>
          </w:tcPr>
          <w:p w14:paraId="5BD8F55D" w14:textId="77777777" w:rsidR="00D849E8" w:rsidRDefault="00D849E8" w:rsidP="00A9140F">
            <w:pPr>
              <w:pStyle w:val="AnnexNumberedText"/>
              <w:spacing w:after="0"/>
              <w:ind w:left="293" w:hanging="293"/>
              <w:rPr>
                <w:szCs w:val="18"/>
              </w:rPr>
            </w:pPr>
            <w:r>
              <w:t>4)</w:t>
            </w:r>
            <w:r>
              <w:tab/>
              <w:t>Umskipti yfir í hringrásarhagkerfi</w:t>
            </w:r>
          </w:p>
        </w:tc>
        <w:tc>
          <w:tcPr>
            <w:tcW w:w="5748" w:type="dxa"/>
            <w:tcMar>
              <w:top w:w="100" w:type="dxa"/>
              <w:left w:w="60" w:type="dxa"/>
              <w:bottom w:w="100" w:type="dxa"/>
              <w:right w:w="0" w:type="dxa"/>
            </w:tcMar>
          </w:tcPr>
          <w:p w14:paraId="2D49EAB2" w14:textId="77777777" w:rsidR="00D849E8" w:rsidRDefault="00D849E8" w:rsidP="00A9140F">
            <w:pPr>
              <w:pStyle w:val="AnnexTableCellLeft"/>
              <w:rPr>
                <w:szCs w:val="18"/>
              </w:rPr>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892"/>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849E8" w14:paraId="03012D42" w14:textId="77777777" w:rsidTr="00A9140F">
        <w:tc>
          <w:tcPr>
            <w:tcW w:w="2988" w:type="dxa"/>
            <w:tcMar>
              <w:top w:w="100" w:type="dxa"/>
              <w:left w:w="0" w:type="dxa"/>
              <w:bottom w:w="100" w:type="dxa"/>
              <w:right w:w="60" w:type="dxa"/>
            </w:tcMar>
          </w:tcPr>
          <w:p w14:paraId="0A75CDB5" w14:textId="77777777" w:rsidR="00D849E8" w:rsidRDefault="00D849E8" w:rsidP="00A9140F">
            <w:pPr>
              <w:pStyle w:val="AnnexNumberedText"/>
              <w:spacing w:after="0"/>
              <w:ind w:left="293" w:hanging="293"/>
            </w:pPr>
            <w:r>
              <w:t>5)</w:t>
            </w:r>
            <w:r>
              <w:tab/>
              <w:t>Mengunarvarnir og eftirlit með mengun</w:t>
            </w:r>
          </w:p>
        </w:tc>
        <w:tc>
          <w:tcPr>
            <w:tcW w:w="5748" w:type="dxa"/>
            <w:tcMar>
              <w:top w:w="100" w:type="dxa"/>
              <w:left w:w="60" w:type="dxa"/>
              <w:bottom w:w="100" w:type="dxa"/>
              <w:right w:w="0" w:type="dxa"/>
            </w:tcMar>
          </w:tcPr>
          <w:p w14:paraId="64614782" w14:textId="77777777" w:rsidR="00D849E8" w:rsidRDefault="00D849E8" w:rsidP="00A9140F">
            <w:pPr>
              <w:pStyle w:val="AnnexTableCellLeft"/>
            </w:pPr>
            <w:r>
              <w:t>Ráðstafanir eru gerðar til að draga úr hávaða, ryki og losun mengandi efna meðan byggingar- eða viðhaldsvinna stendur yfir.</w:t>
            </w:r>
          </w:p>
        </w:tc>
      </w:tr>
      <w:tr w:rsidR="00D849E8" w14:paraId="44BA5E9F" w14:textId="77777777" w:rsidTr="00A9140F">
        <w:tc>
          <w:tcPr>
            <w:tcW w:w="2988" w:type="dxa"/>
            <w:tcMar>
              <w:top w:w="100" w:type="dxa"/>
              <w:left w:w="0" w:type="dxa"/>
              <w:bottom w:w="100" w:type="dxa"/>
              <w:right w:w="60" w:type="dxa"/>
            </w:tcMar>
          </w:tcPr>
          <w:p w14:paraId="5F31E716" w14:textId="77777777" w:rsidR="00D849E8" w:rsidRDefault="00D849E8" w:rsidP="00A9140F">
            <w:pPr>
              <w:pStyle w:val="AnnexNumberedText"/>
              <w:spacing w:after="0"/>
              <w:ind w:left="293" w:hanging="293"/>
            </w:pPr>
            <w:r>
              <w:t>6)</w:t>
            </w:r>
            <w:r>
              <w:tab/>
              <w:t>Vernd og endurheimt líffræðilegrar fjölbreytni og vistkerfa</w:t>
            </w:r>
          </w:p>
        </w:tc>
        <w:tc>
          <w:tcPr>
            <w:tcW w:w="5748" w:type="dxa"/>
            <w:tcMar>
              <w:top w:w="100" w:type="dxa"/>
              <w:left w:w="60" w:type="dxa"/>
              <w:bottom w:w="100" w:type="dxa"/>
              <w:right w:w="0" w:type="dxa"/>
            </w:tcMar>
          </w:tcPr>
          <w:p w14:paraId="187B13FC" w14:textId="77777777" w:rsidR="00D849E8" w:rsidRDefault="00D849E8" w:rsidP="00A9140F">
            <w:pPr>
              <w:pStyle w:val="AnnexTableCellLeft"/>
            </w:pPr>
            <w:r>
              <w:t>Starfsemin er í samræmi við viðmiðanirnar sem settar eru fram í viðbæti D við þennan viðauka.</w:t>
            </w:r>
          </w:p>
        </w:tc>
      </w:tr>
    </w:tbl>
    <w:p w14:paraId="3CCCDCD1" w14:textId="77777777" w:rsidR="00D849E8" w:rsidRDefault="00D849E8" w:rsidP="00D849E8">
      <w:pPr>
        <w:pStyle w:val="AnnexNumberedText"/>
        <w:ind w:left="504" w:hanging="504"/>
      </w:pPr>
      <w:r>
        <w:t>6.14.</w:t>
      </w:r>
      <w:r>
        <w:rPr>
          <w:b/>
        </w:rPr>
        <w:tab/>
        <w:t>Grunnvirki fyrir flutninga með járnbrautum</w:t>
      </w:r>
    </w:p>
    <w:p w14:paraId="1A401CB6" w14:textId="77777777" w:rsidR="00D849E8" w:rsidRDefault="00D849E8" w:rsidP="00D849E8">
      <w:pPr>
        <w:pStyle w:val="AnnexGrSeq3"/>
        <w:spacing w:after="120"/>
        <w:ind w:left="504"/>
        <w:jc w:val="both"/>
        <w:rPr>
          <w:szCs w:val="18"/>
        </w:rPr>
      </w:pPr>
      <w:r>
        <w:rPr>
          <w:i/>
        </w:rPr>
        <w:t>Lýsing á starfseminni</w:t>
      </w:r>
    </w:p>
    <w:p w14:paraId="289A4357" w14:textId="77777777" w:rsidR="00D849E8" w:rsidRDefault="00D849E8" w:rsidP="00D849E8">
      <w:pPr>
        <w:pStyle w:val="AnnexNormal"/>
        <w:spacing w:after="400"/>
        <w:ind w:left="504"/>
        <w:rPr>
          <w:szCs w:val="18"/>
        </w:rPr>
      </w:pPr>
      <w:r>
        <w:t xml:space="preserve">Uppbygging, nútímavæðing, </w:t>
      </w:r>
      <w:proofErr w:type="spellStart"/>
      <w:r>
        <w:t>starfræksla</w:t>
      </w:r>
      <w:proofErr w:type="spellEnd"/>
      <w:r>
        <w:t xml:space="preserve"> og viðhald járnbrauta og undirganga, sem og brúa og jarðganga, stöðva, endastöðva, járnbrautarþjónustustöðva (</w:t>
      </w:r>
      <w:bookmarkStart w:id="104" w:name="NOTE_892"/>
      <w:r>
        <w:rPr>
          <w:rStyle w:val="Tilvsunneanmlsgrein"/>
          <w:sz w:val="18"/>
          <w:szCs w:val="18"/>
        </w:rPr>
        <w:footnoteReference w:id="893"/>
      </w:r>
      <w:bookmarkEnd w:id="104"/>
      <w:r>
        <w:t>), öryggis- og umferðarstjórnunarkerfa, þ.m.t. veiting arkitektaþjónustu, verkfræðiþjónustu, teikniþjónustu, eftirlits með byggingarframkvæmdum og landmælingaþjónustu og kortagerðarþjónustu o.þ.h. sem og framkvæmd eðlisfræðilegra og efnafræðilegra prófana og annarra greiningarprófana á öllum tegundum efniviða og vara.</w:t>
      </w:r>
    </w:p>
    <w:p w14:paraId="4116368C" w14:textId="77777777" w:rsidR="00D849E8" w:rsidRDefault="00D849E8" w:rsidP="00D849E8">
      <w:pPr>
        <w:pStyle w:val="AnnexNormal"/>
        <w:spacing w:after="400"/>
        <w:ind w:left="504"/>
        <w:rPr>
          <w:szCs w:val="18"/>
        </w:rPr>
      </w:pPr>
      <w:r>
        <w:t>Atvinnustarfsemin í þessum flokki gæti tengst nokkrum kóðum atvinnugreinaflokkunar Evrópusambandsins, einkum F42.12, F42.13, M71.12, M71.20, F43.21 og H52.21, í samræmi við atvinnugreinaflokkunina sem komið var á með reglugerð (EB) nr. 1893/2006.</w:t>
      </w:r>
    </w:p>
    <w:p w14:paraId="0C377FD0"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48"/>
        <w:gridCol w:w="5688"/>
      </w:tblGrid>
      <w:tr w:rsidR="00D849E8" w14:paraId="51BB2548" w14:textId="77777777" w:rsidTr="00A9140F">
        <w:trPr>
          <w:trHeight w:val="280"/>
        </w:trPr>
        <w:tc>
          <w:tcPr>
            <w:tcW w:w="8736" w:type="dxa"/>
            <w:gridSpan w:val="2"/>
            <w:tcBorders>
              <w:bottom w:val="single" w:sz="4" w:space="0" w:color="auto"/>
            </w:tcBorders>
            <w:tcMar>
              <w:left w:w="0" w:type="dxa"/>
              <w:right w:w="60" w:type="dxa"/>
            </w:tcMar>
          </w:tcPr>
          <w:p w14:paraId="482F1811" w14:textId="77777777" w:rsidR="00D849E8" w:rsidRDefault="00D849E8" w:rsidP="00A9140F">
            <w:pPr>
              <w:pStyle w:val="AnnexTableCellLeft"/>
              <w:spacing w:before="40" w:after="40"/>
            </w:pPr>
            <w:r>
              <w:t>Verulegt framlag til aðlögunar að loftslagsbreytingum</w:t>
            </w:r>
          </w:p>
        </w:tc>
      </w:tr>
      <w:tr w:rsidR="00D849E8" w14:paraId="4B1908A2" w14:textId="77777777" w:rsidTr="00A9140F">
        <w:trPr>
          <w:trHeight w:val="360"/>
        </w:trPr>
        <w:tc>
          <w:tcPr>
            <w:tcW w:w="8736" w:type="dxa"/>
            <w:gridSpan w:val="2"/>
            <w:tcBorders>
              <w:bottom w:val="nil"/>
            </w:tcBorders>
            <w:tcMar>
              <w:left w:w="0" w:type="dxa"/>
              <w:right w:w="60" w:type="dxa"/>
            </w:tcMar>
          </w:tcPr>
          <w:p w14:paraId="13922495" w14:textId="77777777" w:rsidR="00D849E8" w:rsidRDefault="00D849E8" w:rsidP="00A9140F">
            <w:pPr>
              <w:pStyle w:val="AnnexNumberedText"/>
              <w:tabs>
                <w:tab w:val="left" w:pos="396"/>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68923168" w14:textId="77777777" w:rsidR="00D849E8" w:rsidRDefault="00D849E8" w:rsidP="00A9140F">
            <w:pPr>
              <w:pStyle w:val="AnnexNumberedText"/>
              <w:tabs>
                <w:tab w:val="left" w:pos="396"/>
              </w:tabs>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B7E5559" w14:textId="77777777" w:rsidR="00D849E8" w:rsidRDefault="00D849E8" w:rsidP="00A9140F">
            <w:pPr>
              <w:pStyle w:val="AnnexNumberedText"/>
            </w:pPr>
            <w:r>
              <w:t>a)</w:t>
            </w:r>
            <w:r>
              <w:tab/>
              <w:t>skimun á starfseminni til að greina hvaða efnislega loftslagsáhætta úr skránni í viðbæti A við þennan viðauka getur haft áhrif á árangurinn af atvinnustarfseminni á væntum líftíma hennar,</w:t>
            </w:r>
          </w:p>
          <w:p w14:paraId="489D06C1" w14:textId="77777777" w:rsidR="00D849E8" w:rsidRDefault="00D849E8" w:rsidP="00A9140F">
            <w:pPr>
              <w:pStyle w:val="AnnexNumberedText"/>
              <w:spacing w:after="0"/>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tc>
      </w:tr>
      <w:tr w:rsidR="00D849E8" w14:paraId="40166262" w14:textId="77777777" w:rsidTr="00A9140F">
        <w:trPr>
          <w:trHeight w:val="360"/>
        </w:trPr>
        <w:tc>
          <w:tcPr>
            <w:tcW w:w="8736" w:type="dxa"/>
            <w:gridSpan w:val="2"/>
            <w:tcBorders>
              <w:top w:val="nil"/>
            </w:tcBorders>
            <w:tcMar>
              <w:left w:w="0" w:type="dxa"/>
              <w:right w:w="60" w:type="dxa"/>
            </w:tcMar>
          </w:tcPr>
          <w:p w14:paraId="1A6D059F" w14:textId="77777777" w:rsidR="00D849E8" w:rsidRDefault="00D849E8" w:rsidP="00A9140F">
            <w:pPr>
              <w:pStyle w:val="AnnexNumberedText"/>
              <w:pageBreakBefore/>
              <w:rPr>
                <w:szCs w:val="18"/>
              </w:rPr>
            </w:pPr>
            <w:r>
              <w:lastRenderedPageBreak/>
              <w:t>c)</w:t>
            </w:r>
            <w:r>
              <w:tab/>
              <w:t>mat á aðlögunarlausnum sem geta dregið úr greindri efnislegri loftslagsáhættu.</w:t>
            </w:r>
          </w:p>
          <w:p w14:paraId="637D6546" w14:textId="77777777" w:rsidR="00D849E8" w:rsidRDefault="00D849E8" w:rsidP="00A9140F">
            <w:pPr>
              <w:pStyle w:val="AnnexTableCellLeft"/>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5CA31754"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7C2D6BE"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89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8B52014" w14:textId="77777777" w:rsidR="00D849E8" w:rsidRDefault="00D849E8"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895"/>
            </w:r>
            <w:r>
              <w:t>), vísindalegt ritrýnt útgefið efni og líkön með opnum aðgangi (</w:t>
            </w:r>
            <w:r>
              <w:rPr>
                <w:rStyle w:val="Tilvsunneanmlsgrein"/>
                <w:sz w:val="18"/>
                <w:szCs w:val="18"/>
              </w:rPr>
              <w:footnoteReference w:id="896"/>
            </w:r>
            <w:r>
              <w:t>) eða gegn greiðslu.</w:t>
            </w:r>
          </w:p>
          <w:p w14:paraId="279C45DB"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3130AAF1"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331AA4DC"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897"/>
            </w:r>
            <w:r>
              <w:t>) í forgangi eða treyst er á bláa eða græna innviði (</w:t>
            </w:r>
            <w:r>
              <w:rPr>
                <w:rStyle w:val="Tilvsunneanmlsgrein"/>
                <w:sz w:val="18"/>
                <w:szCs w:val="18"/>
              </w:rPr>
              <w:footnoteReference w:id="898"/>
            </w:r>
            <w:r>
              <w:t>) að því marki sem mögulegt er,</w:t>
            </w:r>
          </w:p>
          <w:p w14:paraId="20336670"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6EED9A58"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2C4722FF"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015B8C7A" w14:textId="77777777" w:rsidTr="00A9140F">
        <w:trPr>
          <w:trHeight w:val="240"/>
        </w:trPr>
        <w:tc>
          <w:tcPr>
            <w:tcW w:w="8736" w:type="dxa"/>
            <w:gridSpan w:val="2"/>
            <w:tcMar>
              <w:top w:w="100" w:type="dxa"/>
              <w:left w:w="0" w:type="dxa"/>
              <w:bottom w:w="100" w:type="dxa"/>
              <w:right w:w="60" w:type="dxa"/>
            </w:tcMar>
          </w:tcPr>
          <w:p w14:paraId="35C929F6" w14:textId="77777777" w:rsidR="00D849E8" w:rsidRDefault="00D849E8" w:rsidP="00A9140F">
            <w:pPr>
              <w:pStyle w:val="AnnexTableCellLeft"/>
            </w:pPr>
            <w:r>
              <w:t>Ekki valda umtalsverðu tjóni</w:t>
            </w:r>
          </w:p>
        </w:tc>
      </w:tr>
      <w:tr w:rsidR="00D849E8" w14:paraId="42E0B9A0" w14:textId="77777777" w:rsidTr="00A9140F">
        <w:tc>
          <w:tcPr>
            <w:tcW w:w="3048" w:type="dxa"/>
            <w:tcMar>
              <w:top w:w="100" w:type="dxa"/>
              <w:left w:w="0" w:type="dxa"/>
              <w:bottom w:w="100" w:type="dxa"/>
              <w:right w:w="60" w:type="dxa"/>
            </w:tcMar>
          </w:tcPr>
          <w:p w14:paraId="3028CA16" w14:textId="77777777" w:rsidR="00D849E8" w:rsidRDefault="00D849E8" w:rsidP="00A9140F">
            <w:pPr>
              <w:pStyle w:val="AnnexNumberedText"/>
              <w:spacing w:after="0"/>
              <w:ind w:left="293" w:hanging="293"/>
            </w:pPr>
            <w:r>
              <w:t>1)</w:t>
            </w:r>
            <w:r>
              <w:tab/>
              <w:t>Mildun loftslagsbreytinga</w:t>
            </w:r>
          </w:p>
        </w:tc>
        <w:tc>
          <w:tcPr>
            <w:tcW w:w="5688" w:type="dxa"/>
            <w:tcMar>
              <w:top w:w="100" w:type="dxa"/>
              <w:left w:w="60" w:type="dxa"/>
              <w:bottom w:w="100" w:type="dxa"/>
              <w:right w:w="0" w:type="dxa"/>
            </w:tcMar>
          </w:tcPr>
          <w:p w14:paraId="27DD7673" w14:textId="77777777" w:rsidR="00D849E8" w:rsidRDefault="00D849E8" w:rsidP="00A9140F">
            <w:pPr>
              <w:pStyle w:val="AnnexTableCellLeft"/>
              <w:spacing w:after="200"/>
            </w:pPr>
            <w:r>
              <w:t>Grunnvirkið er ekki ætlað til flutnings eða geymslu á jarðefnaeldsneyti.</w:t>
            </w:r>
          </w:p>
          <w:p w14:paraId="7615F18E" w14:textId="77777777" w:rsidR="00D849E8" w:rsidRDefault="00D849E8" w:rsidP="00A9140F">
            <w:pPr>
              <w:pStyle w:val="AnnexTableCellLeft"/>
            </w:pPr>
            <w:r>
              <w:t xml:space="preserve">Ef um er að ræða nýtt grunnvirki eða meiri háttar endurnýjun hafa innviðirnir verið loftslagsvarðir (e. </w:t>
            </w:r>
            <w:proofErr w:type="spellStart"/>
            <w:r>
              <w:rPr>
                <w:i/>
                <w:iCs/>
              </w:rPr>
              <w:t>climate</w:t>
            </w:r>
            <w:proofErr w:type="spellEnd"/>
            <w:r>
              <w:rPr>
                <w:i/>
                <w:iCs/>
              </w:rPr>
              <w:t xml:space="preserve"> </w:t>
            </w:r>
            <w:proofErr w:type="spellStart"/>
            <w:r>
              <w:rPr>
                <w:i/>
                <w:iCs/>
              </w:rPr>
              <w:t>proofed</w:t>
            </w:r>
            <w:proofErr w:type="spellEnd"/>
            <w:r>
              <w:t xml:space="preserve">) í samræmi við viðeigandi loftslagsverndaraðferðir sem ná yfir kolefnisspor og skýrt skilgreindan dulinn kostnað (e. </w:t>
            </w:r>
            <w:proofErr w:type="spellStart"/>
            <w:r>
              <w:rPr>
                <w:i/>
                <w:iCs/>
              </w:rPr>
              <w:t>shadow</w:t>
            </w:r>
            <w:proofErr w:type="spellEnd"/>
            <w:r>
              <w:rPr>
                <w:i/>
                <w:iCs/>
              </w:rPr>
              <w:t xml:space="preserve"> </w:t>
            </w:r>
            <w:proofErr w:type="spellStart"/>
            <w:r>
              <w:rPr>
                <w:i/>
                <w:iCs/>
              </w:rPr>
              <w:t>cost</w:t>
            </w:r>
            <w:proofErr w:type="spellEnd"/>
            <w:r>
              <w:t>) af kolefni. Slíkt kolefnisspor nær yfir losun í umfangi 1–3 og sýnir fram á að grunnvirkið leiðir ekki til hlutfallslegrar viðbótarlosunar gróðurhúsalofttegunda, reiknað út á grundvelli varfærinna forsenda, gilda og málsmeðferðar.</w:t>
            </w:r>
          </w:p>
        </w:tc>
      </w:tr>
      <w:tr w:rsidR="00D849E8" w14:paraId="5F2740E1" w14:textId="77777777" w:rsidTr="00A9140F">
        <w:tc>
          <w:tcPr>
            <w:tcW w:w="3048" w:type="dxa"/>
            <w:tcMar>
              <w:top w:w="100" w:type="dxa"/>
              <w:left w:w="0" w:type="dxa"/>
              <w:bottom w:w="100" w:type="dxa"/>
              <w:right w:w="60" w:type="dxa"/>
            </w:tcMar>
          </w:tcPr>
          <w:p w14:paraId="423E1A0C" w14:textId="77777777" w:rsidR="00D849E8" w:rsidRDefault="00D849E8" w:rsidP="00A9140F">
            <w:pPr>
              <w:pStyle w:val="AnnexNumberedText"/>
              <w:spacing w:after="0"/>
              <w:ind w:left="293" w:hanging="293"/>
            </w:pPr>
            <w:r>
              <w:t>3)</w:t>
            </w:r>
            <w:r>
              <w:tab/>
              <w:t>Sjálfbær notkun og verndun vatns- og sjávarauðlinda</w:t>
            </w:r>
          </w:p>
        </w:tc>
        <w:tc>
          <w:tcPr>
            <w:tcW w:w="5688" w:type="dxa"/>
            <w:tcMar>
              <w:top w:w="100" w:type="dxa"/>
              <w:left w:w="60" w:type="dxa"/>
              <w:bottom w:w="100" w:type="dxa"/>
              <w:right w:w="0" w:type="dxa"/>
            </w:tcMar>
          </w:tcPr>
          <w:p w14:paraId="637A1FEA" w14:textId="77777777" w:rsidR="00D849E8" w:rsidRDefault="00D849E8" w:rsidP="00A9140F">
            <w:pPr>
              <w:pStyle w:val="AnnexTableCellLeft"/>
            </w:pPr>
            <w:r>
              <w:t>Starfsemin er í samræmi við viðmiðanirnar sem settar eru fram í viðbæti B við þennan viðauka.</w:t>
            </w:r>
          </w:p>
        </w:tc>
      </w:tr>
      <w:tr w:rsidR="00D849E8" w14:paraId="09553C6B" w14:textId="77777777" w:rsidTr="00A9140F">
        <w:tc>
          <w:tcPr>
            <w:tcW w:w="3048" w:type="dxa"/>
            <w:tcMar>
              <w:top w:w="100" w:type="dxa"/>
              <w:left w:w="0" w:type="dxa"/>
              <w:bottom w:w="100" w:type="dxa"/>
              <w:right w:w="60" w:type="dxa"/>
            </w:tcMar>
          </w:tcPr>
          <w:p w14:paraId="7FF0CEA7" w14:textId="77777777" w:rsidR="00D849E8" w:rsidRDefault="00D849E8" w:rsidP="00A9140F">
            <w:pPr>
              <w:pStyle w:val="AnnexNumberedText"/>
              <w:pageBreakBefore/>
              <w:spacing w:after="0"/>
              <w:ind w:left="293" w:hanging="293"/>
              <w:rPr>
                <w:szCs w:val="18"/>
              </w:rPr>
            </w:pPr>
            <w:r>
              <w:lastRenderedPageBreak/>
              <w:t>4)</w:t>
            </w:r>
            <w:r>
              <w:tab/>
              <w:t>Umskipti yfir í hringrásarhagkerfi</w:t>
            </w:r>
          </w:p>
        </w:tc>
        <w:tc>
          <w:tcPr>
            <w:tcW w:w="5688" w:type="dxa"/>
            <w:tcMar>
              <w:top w:w="100" w:type="dxa"/>
              <w:left w:w="60" w:type="dxa"/>
              <w:bottom w:w="100" w:type="dxa"/>
              <w:right w:w="0" w:type="dxa"/>
            </w:tcMar>
          </w:tcPr>
          <w:p w14:paraId="5434D17B" w14:textId="77777777" w:rsidR="00D849E8" w:rsidRDefault="00D849E8" w:rsidP="00A9140F">
            <w:pPr>
              <w:pStyle w:val="AnnexTableCellLeft"/>
              <w:rPr>
                <w:szCs w:val="18"/>
              </w:rPr>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899"/>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849E8" w14:paraId="6CFB510B" w14:textId="77777777" w:rsidTr="00A9140F">
        <w:tc>
          <w:tcPr>
            <w:tcW w:w="3048" w:type="dxa"/>
            <w:tcMar>
              <w:top w:w="100" w:type="dxa"/>
              <w:left w:w="0" w:type="dxa"/>
              <w:bottom w:w="100" w:type="dxa"/>
              <w:right w:w="60" w:type="dxa"/>
            </w:tcMar>
          </w:tcPr>
          <w:p w14:paraId="25FB9B75" w14:textId="77777777" w:rsidR="00D849E8" w:rsidRDefault="00D849E8" w:rsidP="00A9140F">
            <w:pPr>
              <w:pStyle w:val="AnnexNumberedText"/>
              <w:spacing w:after="0"/>
              <w:ind w:left="293" w:hanging="293"/>
            </w:pPr>
            <w:r>
              <w:t>5)</w:t>
            </w:r>
            <w:r>
              <w:tab/>
              <w:t>Mengunarvarnir og eftirlit með mengun</w:t>
            </w:r>
          </w:p>
        </w:tc>
        <w:tc>
          <w:tcPr>
            <w:tcW w:w="5688" w:type="dxa"/>
            <w:tcMar>
              <w:top w:w="100" w:type="dxa"/>
              <w:left w:w="60" w:type="dxa"/>
              <w:bottom w:w="100" w:type="dxa"/>
              <w:right w:w="0" w:type="dxa"/>
            </w:tcMar>
          </w:tcPr>
          <w:p w14:paraId="40878F07" w14:textId="77777777" w:rsidR="00D849E8" w:rsidRDefault="00D849E8" w:rsidP="00A9140F">
            <w:pPr>
              <w:pStyle w:val="AnnexTableCellLeft"/>
              <w:spacing w:after="200"/>
            </w:pPr>
            <w:r>
              <w:t xml:space="preserve">Eftir því sem við á, eftir því hversu viðkvæmt svæðið er sem verður fyrir áhrifum, einkum með hliðsjón af fjölda fólks sem verður fyrir áhrifum, eru hávaði og titringur frá notkun grunnvirkis milduð með því að taka í notkun opna skurði, </w:t>
            </w:r>
            <w:proofErr w:type="spellStart"/>
            <w:r>
              <w:t>veggtálma</w:t>
            </w:r>
            <w:proofErr w:type="spellEnd"/>
            <w:r>
              <w:t xml:space="preserve"> eða aðrar ráðstafanir og farið er að tilskipun 2002/49/EB.</w:t>
            </w:r>
          </w:p>
          <w:p w14:paraId="2B86C9E0" w14:textId="77777777" w:rsidR="00D849E8" w:rsidRDefault="00D849E8" w:rsidP="00A9140F">
            <w:pPr>
              <w:pStyle w:val="AnnexTableCellLeft"/>
            </w:pPr>
            <w:r>
              <w:t>Ráðstafanir eru gerðar til að draga úr hávaða, ryki og losun mengandi efna meðan byggingar- eða viðhaldsvinna stendur yfir.</w:t>
            </w:r>
          </w:p>
        </w:tc>
      </w:tr>
      <w:tr w:rsidR="00D849E8" w14:paraId="1C19D012" w14:textId="77777777" w:rsidTr="00A9140F">
        <w:tc>
          <w:tcPr>
            <w:tcW w:w="3048" w:type="dxa"/>
            <w:tcMar>
              <w:top w:w="100" w:type="dxa"/>
              <w:left w:w="0" w:type="dxa"/>
              <w:bottom w:w="100" w:type="dxa"/>
              <w:right w:w="60" w:type="dxa"/>
            </w:tcMar>
          </w:tcPr>
          <w:p w14:paraId="0060F575" w14:textId="77777777" w:rsidR="00D849E8" w:rsidRDefault="00D849E8" w:rsidP="00A9140F">
            <w:pPr>
              <w:pStyle w:val="AnnexNumberedText"/>
              <w:spacing w:after="0"/>
              <w:ind w:left="293" w:hanging="293"/>
            </w:pPr>
            <w:r>
              <w:t>6)</w:t>
            </w:r>
            <w:r>
              <w:tab/>
              <w:t>Vernd og endurheimt líffræðilegrar fjölbreytni og vistkerfa</w:t>
            </w:r>
          </w:p>
        </w:tc>
        <w:tc>
          <w:tcPr>
            <w:tcW w:w="5688" w:type="dxa"/>
            <w:tcMar>
              <w:top w:w="100" w:type="dxa"/>
              <w:left w:w="60" w:type="dxa"/>
              <w:bottom w:w="100" w:type="dxa"/>
              <w:right w:w="0" w:type="dxa"/>
            </w:tcMar>
          </w:tcPr>
          <w:p w14:paraId="22B530B2" w14:textId="77777777" w:rsidR="00D849E8" w:rsidRDefault="00D849E8" w:rsidP="00A9140F">
            <w:pPr>
              <w:pStyle w:val="AnnexTableCellLeft"/>
            </w:pPr>
            <w:r>
              <w:t>Starfsemin er í samræmi við viðmiðanirnar sem settar eru fram í viðbæti D við þennan viðauka.</w:t>
            </w:r>
          </w:p>
        </w:tc>
      </w:tr>
    </w:tbl>
    <w:p w14:paraId="254FF544" w14:textId="77777777" w:rsidR="00D849E8" w:rsidRDefault="00D849E8" w:rsidP="00D849E8">
      <w:pPr>
        <w:pStyle w:val="AnnexNumberedText"/>
        <w:ind w:left="504" w:hanging="504"/>
      </w:pPr>
      <w:r>
        <w:t>6.15.</w:t>
      </w:r>
      <w:r>
        <w:rPr>
          <w:b/>
        </w:rPr>
        <w:tab/>
        <w:t>Grunnvirki sem gera flutninga á vegum og almenningssamgöngur möguleg</w:t>
      </w:r>
    </w:p>
    <w:p w14:paraId="07810A6C" w14:textId="77777777" w:rsidR="00D849E8" w:rsidRDefault="00D849E8" w:rsidP="00D849E8">
      <w:pPr>
        <w:pStyle w:val="AnnexGrSeq3"/>
        <w:spacing w:after="120"/>
        <w:ind w:left="504"/>
        <w:jc w:val="both"/>
      </w:pPr>
      <w:r>
        <w:rPr>
          <w:i/>
        </w:rPr>
        <w:t>Lýsing á starfseminni</w:t>
      </w:r>
    </w:p>
    <w:p w14:paraId="7C79871B" w14:textId="77777777" w:rsidR="00D849E8" w:rsidRDefault="00D849E8" w:rsidP="00D849E8">
      <w:pPr>
        <w:pStyle w:val="AnnexNormal"/>
        <w:spacing w:after="400"/>
        <w:ind w:left="504"/>
      </w:pPr>
      <w:r>
        <w:t xml:space="preserve">Uppbygging, nútímavæðing, viðhald og rekstur hraðbrauta, gatna, vega, annarra </w:t>
      </w:r>
      <w:proofErr w:type="spellStart"/>
      <w:r>
        <w:t>akbrauta</w:t>
      </w:r>
      <w:proofErr w:type="spellEnd"/>
      <w:r>
        <w:t xml:space="preserve"> og gangbrauta, yfirborðsvinna á götum, vegum, þjóðvegum, brúm eða jarðgöngum og lagning flugbrauta, þ.m.t. veiting arkitektaþjónustu, verkfræðiþjónustu, teikniþjónustu, eftirlits með byggingarframkvæmdum og landmælingaþjónustu og kortagerðarþjónustu o.þ.h. sem og framkvæmd eðlisfræðilegra og efnafræðilegra prófana og annarra greiningarprófana á öllum tegundum efniviða og vara og að undanskilinni uppsetningu götuljósa og rafmagnsmerkja.</w:t>
      </w:r>
    </w:p>
    <w:p w14:paraId="5D4107A6" w14:textId="77777777" w:rsidR="00D849E8" w:rsidRDefault="00D849E8" w:rsidP="00D849E8">
      <w:pPr>
        <w:pStyle w:val="AnnexNormal"/>
        <w:spacing w:after="400"/>
        <w:ind w:left="504"/>
      </w:pPr>
      <w:r>
        <w:t>Atvinnustarfsemin í þessum flokki gæti flokkast undir nokkra kóða atvinnugreinaflokkunar Evrópusambandsins, einkum F42.11, F42.13, F71.1 og F71.20, í samræmi við atvinnugreinaflokkunina sem komið var á með reglugerð (EB) nr. 1893/2006.</w:t>
      </w:r>
    </w:p>
    <w:p w14:paraId="22CF5A6D"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5656A0DF" w14:textId="77777777" w:rsidTr="00A9140F">
        <w:trPr>
          <w:trHeight w:val="240"/>
        </w:trPr>
        <w:tc>
          <w:tcPr>
            <w:tcW w:w="8736" w:type="dxa"/>
            <w:gridSpan w:val="2"/>
            <w:tcBorders>
              <w:bottom w:val="single" w:sz="4" w:space="0" w:color="auto"/>
            </w:tcBorders>
            <w:tcMar>
              <w:left w:w="0" w:type="dxa"/>
              <w:right w:w="60" w:type="dxa"/>
            </w:tcMar>
          </w:tcPr>
          <w:p w14:paraId="07CCC963" w14:textId="77777777" w:rsidR="00D849E8" w:rsidRDefault="00D849E8" w:rsidP="00A9140F">
            <w:pPr>
              <w:pStyle w:val="AnnexTableCellLeft"/>
              <w:spacing w:before="40" w:after="40"/>
            </w:pPr>
            <w:r>
              <w:t>Verulegt framlag til aðlögunar að loftslagsbreytingum</w:t>
            </w:r>
          </w:p>
        </w:tc>
      </w:tr>
      <w:tr w:rsidR="00D849E8" w14:paraId="1D353B36" w14:textId="77777777" w:rsidTr="00A9140F">
        <w:trPr>
          <w:trHeight w:val="360"/>
        </w:trPr>
        <w:tc>
          <w:tcPr>
            <w:tcW w:w="8736" w:type="dxa"/>
            <w:gridSpan w:val="2"/>
            <w:tcBorders>
              <w:bottom w:val="nil"/>
            </w:tcBorders>
            <w:tcMar>
              <w:left w:w="0" w:type="dxa"/>
              <w:right w:w="60" w:type="dxa"/>
            </w:tcMar>
          </w:tcPr>
          <w:p w14:paraId="546676E8" w14:textId="77777777" w:rsidR="00D849E8" w:rsidRDefault="00D849E8"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79EC91B2" w14:textId="77777777" w:rsidR="00D849E8" w:rsidRDefault="00D849E8"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39E5DB1" w14:textId="77777777" w:rsidR="00D849E8" w:rsidRDefault="00D849E8"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6D7D04DF" w14:textId="77777777" w:rsidR="00D849E8" w:rsidRDefault="00D849E8" w:rsidP="00A9140F">
            <w:pPr>
              <w:pStyle w:val="AnnexNumberedText"/>
              <w:spacing w:after="200"/>
            </w:pPr>
            <w:r>
              <w:t>b)</w:t>
            </w:r>
            <w:r>
              <w:tab/>
              <w:t xml:space="preserve">ef metið er að starfsemin sé í áhættu vegna einnar eða fleiri efnislegrar loftslagsáhættu sem er skráð í viðbæti A við </w:t>
            </w:r>
            <w:r>
              <w:lastRenderedPageBreak/>
              <w:t>þennan viðauka, loftslagsáhættu- og veikleikamat til að meta hversu mikla þýðingu efnislega loftslagsáhættan hefur fyrir atvinnustarfsemina,</w:t>
            </w:r>
          </w:p>
          <w:p w14:paraId="7030DA57" w14:textId="77777777" w:rsidR="00D849E8" w:rsidRDefault="00D849E8" w:rsidP="00A9140F">
            <w:pPr>
              <w:pStyle w:val="AnnexNumberedText"/>
              <w:spacing w:after="0"/>
            </w:pPr>
            <w:r>
              <w:t>c)</w:t>
            </w:r>
            <w:r>
              <w:tab/>
              <w:t>mat á aðlögunarlausnum sem geta dregið úr greindri efnislegri loftslagsáhættu.</w:t>
            </w:r>
          </w:p>
        </w:tc>
      </w:tr>
      <w:tr w:rsidR="00D849E8" w14:paraId="771BCE02" w14:textId="77777777" w:rsidTr="00A9140F">
        <w:trPr>
          <w:trHeight w:val="360"/>
        </w:trPr>
        <w:tc>
          <w:tcPr>
            <w:tcW w:w="8736" w:type="dxa"/>
            <w:gridSpan w:val="2"/>
            <w:tcBorders>
              <w:top w:val="nil"/>
            </w:tcBorders>
            <w:tcMar>
              <w:left w:w="0" w:type="dxa"/>
              <w:right w:w="60" w:type="dxa"/>
            </w:tcMar>
          </w:tcPr>
          <w:p w14:paraId="1E2D46FC" w14:textId="77777777" w:rsidR="00D849E8" w:rsidRDefault="00D849E8" w:rsidP="00A9140F">
            <w:pPr>
              <w:pStyle w:val="AnnexTableCellLeft"/>
              <w:pageBreakBefore/>
              <w:spacing w:after="120"/>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4A08E625"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27206E9"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00"/>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B8000F1" w14:textId="77777777" w:rsidR="00D849E8" w:rsidRDefault="00D849E8"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01"/>
            </w:r>
            <w:r>
              <w:t>), vísindalegt ritrýnt útgefið efni og líkön með opnum aðgangi (</w:t>
            </w:r>
            <w:r>
              <w:rPr>
                <w:rStyle w:val="Tilvsunneanmlsgrein"/>
                <w:sz w:val="18"/>
                <w:szCs w:val="18"/>
              </w:rPr>
              <w:footnoteReference w:id="902"/>
            </w:r>
            <w:r>
              <w:t>) eða gegn greiðslu.</w:t>
            </w:r>
          </w:p>
          <w:p w14:paraId="78B117C1"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3CE95135"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5DDD2F1A"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903"/>
            </w:r>
            <w:r>
              <w:t>) í forgangi eða treyst er á bláa eða græna innviði (</w:t>
            </w:r>
            <w:r>
              <w:rPr>
                <w:rStyle w:val="Tilvsunneanmlsgrein"/>
                <w:sz w:val="18"/>
                <w:szCs w:val="18"/>
              </w:rPr>
              <w:footnoteReference w:id="904"/>
            </w:r>
            <w:r>
              <w:t>) að því marki sem mögulegt er,</w:t>
            </w:r>
          </w:p>
          <w:p w14:paraId="0964D1EA"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7BD5ACD6"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F547BBC"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26BEF035" w14:textId="77777777" w:rsidTr="00A9140F">
        <w:trPr>
          <w:trHeight w:val="240"/>
        </w:trPr>
        <w:tc>
          <w:tcPr>
            <w:tcW w:w="8736" w:type="dxa"/>
            <w:gridSpan w:val="2"/>
            <w:tcMar>
              <w:top w:w="100" w:type="dxa"/>
              <w:left w:w="0" w:type="dxa"/>
              <w:bottom w:w="100" w:type="dxa"/>
              <w:right w:w="60" w:type="dxa"/>
            </w:tcMar>
          </w:tcPr>
          <w:p w14:paraId="00BB2674" w14:textId="77777777" w:rsidR="00D849E8" w:rsidRDefault="00D849E8" w:rsidP="00A9140F">
            <w:pPr>
              <w:pStyle w:val="AnnexTableCellLeft"/>
            </w:pPr>
            <w:r>
              <w:t>Ekki valda umtalsverðu tjóni</w:t>
            </w:r>
          </w:p>
        </w:tc>
      </w:tr>
      <w:tr w:rsidR="00D849E8" w14:paraId="1B4688F0" w14:textId="77777777" w:rsidTr="00A9140F">
        <w:tc>
          <w:tcPr>
            <w:tcW w:w="2952" w:type="dxa"/>
            <w:tcMar>
              <w:top w:w="100" w:type="dxa"/>
              <w:left w:w="0" w:type="dxa"/>
              <w:bottom w:w="100" w:type="dxa"/>
              <w:right w:w="60" w:type="dxa"/>
            </w:tcMar>
          </w:tcPr>
          <w:p w14:paraId="0611E059" w14:textId="77777777" w:rsidR="00D849E8" w:rsidRDefault="00D849E8" w:rsidP="00A9140F">
            <w:pPr>
              <w:pStyle w:val="AnnexNumberedText"/>
              <w:spacing w:after="0"/>
              <w:ind w:left="293" w:hanging="293"/>
            </w:pPr>
            <w:r>
              <w:t>1)</w:t>
            </w:r>
            <w:r>
              <w:tab/>
              <w:t>Mildun loftslagsbreytinga</w:t>
            </w:r>
          </w:p>
        </w:tc>
        <w:tc>
          <w:tcPr>
            <w:tcW w:w="5784" w:type="dxa"/>
            <w:tcMar>
              <w:top w:w="100" w:type="dxa"/>
              <w:left w:w="60" w:type="dxa"/>
              <w:bottom w:w="100" w:type="dxa"/>
              <w:right w:w="0" w:type="dxa"/>
            </w:tcMar>
          </w:tcPr>
          <w:p w14:paraId="76D8730F" w14:textId="77777777" w:rsidR="00D849E8" w:rsidRDefault="00D849E8" w:rsidP="00A9140F">
            <w:pPr>
              <w:pStyle w:val="AnnexTableCellLeft"/>
              <w:spacing w:after="200"/>
            </w:pPr>
            <w:r>
              <w:t>Grunnvirkið er ekki ætlað til flutnings eða geymslu á jarðefnaeldsneyti.</w:t>
            </w:r>
          </w:p>
          <w:p w14:paraId="68C2FBE6" w14:textId="77777777" w:rsidR="00D849E8" w:rsidRDefault="00D849E8" w:rsidP="00A9140F">
            <w:pPr>
              <w:pStyle w:val="AnnexTableCellLeft"/>
            </w:pPr>
            <w:r>
              <w:t>Ef um er að ræða nýtt grunnvirki eða meiri háttar endurnýjun hafa innviðirnir verið loftslagsvarðir í samræmi við viðeigandi loftslagsverndaraðferðir sem ná yfir kolefnisspor og skýrt skilgreindan dulinn kostnað af kolefni. Slíkt kolefnisspor nær yfir losun í umfangi 1–3 og sýnir fram á að grunnvirkið leiðir ekki til hlutfallslegrar viðbótarlosunar gróðurhúsalofttegunda, reiknað út á grundvelli varfærinna forsenda, gilda og málsmeðferðar.</w:t>
            </w:r>
          </w:p>
        </w:tc>
      </w:tr>
      <w:tr w:rsidR="00D849E8" w14:paraId="7A175CC3" w14:textId="77777777" w:rsidTr="00A9140F">
        <w:tc>
          <w:tcPr>
            <w:tcW w:w="2952" w:type="dxa"/>
            <w:tcMar>
              <w:top w:w="100" w:type="dxa"/>
              <w:left w:w="0" w:type="dxa"/>
              <w:bottom w:w="100" w:type="dxa"/>
              <w:right w:w="60" w:type="dxa"/>
            </w:tcMar>
          </w:tcPr>
          <w:p w14:paraId="7C00259E" w14:textId="77777777" w:rsidR="00D849E8" w:rsidRDefault="00D849E8" w:rsidP="00A9140F">
            <w:pPr>
              <w:pStyle w:val="AnnexNumberedText"/>
              <w:spacing w:after="0"/>
              <w:ind w:left="293" w:hanging="293"/>
            </w:pPr>
            <w:r>
              <w:t>3)</w:t>
            </w:r>
            <w:r>
              <w:tab/>
              <w:t>Sjálfbær notkun og verndun vatns- og sjávarauðlinda</w:t>
            </w:r>
          </w:p>
        </w:tc>
        <w:tc>
          <w:tcPr>
            <w:tcW w:w="5784" w:type="dxa"/>
            <w:tcMar>
              <w:top w:w="100" w:type="dxa"/>
              <w:left w:w="60" w:type="dxa"/>
              <w:bottom w:w="100" w:type="dxa"/>
              <w:right w:w="0" w:type="dxa"/>
            </w:tcMar>
          </w:tcPr>
          <w:p w14:paraId="2CB014B6" w14:textId="77777777" w:rsidR="00D849E8" w:rsidRDefault="00D849E8" w:rsidP="00A9140F">
            <w:pPr>
              <w:pStyle w:val="AnnexTableCellLeft"/>
            </w:pPr>
            <w:r>
              <w:t>Starfsemin er í samræmi við viðmiðanirnar sem settar eru fram í viðbæti B við þennan viðauka.</w:t>
            </w:r>
          </w:p>
        </w:tc>
      </w:tr>
      <w:tr w:rsidR="00D849E8" w14:paraId="211043BD" w14:textId="77777777" w:rsidTr="00A9140F">
        <w:tc>
          <w:tcPr>
            <w:tcW w:w="2952" w:type="dxa"/>
            <w:tcMar>
              <w:top w:w="100" w:type="dxa"/>
              <w:left w:w="0" w:type="dxa"/>
              <w:bottom w:w="100" w:type="dxa"/>
              <w:right w:w="60" w:type="dxa"/>
            </w:tcMar>
          </w:tcPr>
          <w:p w14:paraId="6D4E8C17" w14:textId="77777777" w:rsidR="00D849E8" w:rsidRDefault="00D849E8" w:rsidP="00A9140F">
            <w:pPr>
              <w:pStyle w:val="AnnexNumberedText"/>
              <w:pageBreakBefore/>
              <w:spacing w:after="0"/>
              <w:ind w:left="293" w:hanging="293"/>
            </w:pPr>
            <w:r>
              <w:lastRenderedPageBreak/>
              <w:t>4)</w:t>
            </w:r>
            <w:r>
              <w:tab/>
              <w:t>Umskipti yfir í hringrásarhagkerfi</w:t>
            </w:r>
          </w:p>
        </w:tc>
        <w:tc>
          <w:tcPr>
            <w:tcW w:w="5784" w:type="dxa"/>
            <w:tcMar>
              <w:top w:w="100" w:type="dxa"/>
              <w:left w:w="60" w:type="dxa"/>
              <w:bottom w:w="100" w:type="dxa"/>
              <w:right w:w="0" w:type="dxa"/>
            </w:tcMar>
          </w:tcPr>
          <w:p w14:paraId="796133E1" w14:textId="77777777" w:rsidR="00D849E8" w:rsidRDefault="00D849E8"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905"/>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849E8" w14:paraId="420CD045" w14:textId="77777777" w:rsidTr="00A9140F">
        <w:tc>
          <w:tcPr>
            <w:tcW w:w="2952" w:type="dxa"/>
            <w:tcMar>
              <w:top w:w="100" w:type="dxa"/>
              <w:left w:w="0" w:type="dxa"/>
              <w:bottom w:w="100" w:type="dxa"/>
              <w:right w:w="60" w:type="dxa"/>
            </w:tcMar>
          </w:tcPr>
          <w:p w14:paraId="08036D06" w14:textId="77777777" w:rsidR="00D849E8" w:rsidRDefault="00D849E8" w:rsidP="00A9140F">
            <w:pPr>
              <w:pStyle w:val="AnnexNumberedText"/>
              <w:spacing w:after="0"/>
              <w:ind w:left="293" w:hanging="293"/>
            </w:pPr>
            <w:r>
              <w:t>5)</w:t>
            </w:r>
            <w:r>
              <w:tab/>
              <w:t>Mengunarvarnir og eftirlit með mengun</w:t>
            </w:r>
          </w:p>
        </w:tc>
        <w:tc>
          <w:tcPr>
            <w:tcW w:w="5784" w:type="dxa"/>
            <w:tcMar>
              <w:top w:w="100" w:type="dxa"/>
              <w:left w:w="60" w:type="dxa"/>
              <w:bottom w:w="100" w:type="dxa"/>
              <w:right w:w="0" w:type="dxa"/>
            </w:tcMar>
          </w:tcPr>
          <w:p w14:paraId="067A3DF9" w14:textId="77777777" w:rsidR="00D849E8" w:rsidRDefault="00D849E8" w:rsidP="00A9140F">
            <w:pPr>
              <w:pStyle w:val="AnnexTableCellLeft"/>
              <w:spacing w:after="200"/>
            </w:pPr>
            <w:r>
              <w:t xml:space="preserve">Þar sem við á eru hávaði og titringur frá notkun grunnvirkis milduð með því að taka í notkun opna skurði, </w:t>
            </w:r>
            <w:proofErr w:type="spellStart"/>
            <w:r>
              <w:t>veggtálma</w:t>
            </w:r>
            <w:proofErr w:type="spellEnd"/>
            <w:r>
              <w:t xml:space="preserve"> eða aðrar ráðstafanir og farið er að tilskipun 2002/49/EB.</w:t>
            </w:r>
          </w:p>
          <w:p w14:paraId="1AA8352D" w14:textId="77777777" w:rsidR="00D849E8" w:rsidRDefault="00D849E8" w:rsidP="00A9140F">
            <w:pPr>
              <w:pStyle w:val="AnnexTableCellLeft"/>
            </w:pPr>
            <w:r>
              <w:t>Ráðstafanir eru gerðar til að draga úr hávaða, ryki og losun mengandi efna meðan byggingar- eða viðhaldsvinna stendur yfir.</w:t>
            </w:r>
          </w:p>
        </w:tc>
      </w:tr>
      <w:tr w:rsidR="00D849E8" w14:paraId="1B8EF8CB" w14:textId="77777777" w:rsidTr="00A9140F">
        <w:tc>
          <w:tcPr>
            <w:tcW w:w="2952" w:type="dxa"/>
            <w:tcMar>
              <w:top w:w="100" w:type="dxa"/>
              <w:left w:w="0" w:type="dxa"/>
              <w:bottom w:w="100" w:type="dxa"/>
              <w:right w:w="60" w:type="dxa"/>
            </w:tcMar>
          </w:tcPr>
          <w:p w14:paraId="009EC781" w14:textId="77777777" w:rsidR="00D849E8" w:rsidRDefault="00D849E8" w:rsidP="00A9140F">
            <w:pPr>
              <w:pStyle w:val="AnnexNumberedText"/>
              <w:spacing w:after="0"/>
              <w:ind w:left="293" w:hanging="293"/>
            </w:pPr>
            <w:r>
              <w:t>6)</w:t>
            </w:r>
            <w:r>
              <w:tab/>
              <w:t>Vernd og endurheimt líffræðilegrar fjölbreytni og vistkerfa</w:t>
            </w:r>
          </w:p>
        </w:tc>
        <w:tc>
          <w:tcPr>
            <w:tcW w:w="5784" w:type="dxa"/>
            <w:tcMar>
              <w:top w:w="100" w:type="dxa"/>
              <w:left w:w="60" w:type="dxa"/>
              <w:bottom w:w="100" w:type="dxa"/>
              <w:right w:w="0" w:type="dxa"/>
            </w:tcMar>
          </w:tcPr>
          <w:p w14:paraId="66584A92" w14:textId="77777777" w:rsidR="00D849E8" w:rsidRDefault="00D849E8" w:rsidP="00A9140F">
            <w:pPr>
              <w:pStyle w:val="AnnexTableCellLeft"/>
              <w:spacing w:after="200"/>
            </w:pPr>
            <w:r>
              <w:t>Starfsemin er í samræmi við viðmiðanirnar sem settar eru fram í viðbæti D við þennan viðauka.</w:t>
            </w:r>
          </w:p>
          <w:p w14:paraId="6431B168" w14:textId="77777777" w:rsidR="00D849E8" w:rsidRDefault="00D849E8" w:rsidP="00A9140F">
            <w:pPr>
              <w:pStyle w:val="AnnexTableCellLeft"/>
              <w:spacing w:after="200"/>
            </w:pPr>
            <w:r>
              <w:t>Þar sem við á tryggir viðhald á gróðri meðfram samgöngugrunnvirkjum að ágengar tegundir breiðist ekki út.</w:t>
            </w:r>
          </w:p>
          <w:p w14:paraId="616FDD70" w14:textId="77777777" w:rsidR="00D849E8" w:rsidRDefault="00D849E8" w:rsidP="00A9140F">
            <w:pPr>
              <w:pStyle w:val="AnnexTableCellLeft"/>
            </w:pPr>
            <w:proofErr w:type="spellStart"/>
            <w:r>
              <w:t>Mildunarráðstöfunum</w:t>
            </w:r>
            <w:proofErr w:type="spellEnd"/>
            <w:r>
              <w:t xml:space="preserve"> hefur verið komið í framkvæmd til að komast hjá árekstrum við villtar lífverur.</w:t>
            </w:r>
          </w:p>
        </w:tc>
      </w:tr>
    </w:tbl>
    <w:p w14:paraId="56EB34D3" w14:textId="77777777" w:rsidR="00D849E8" w:rsidRDefault="00D849E8" w:rsidP="00D849E8">
      <w:pPr>
        <w:pStyle w:val="AnnexNumberedText"/>
        <w:ind w:left="504" w:hanging="504"/>
      </w:pPr>
      <w:r>
        <w:t>6.16.</w:t>
      </w:r>
      <w:r>
        <w:rPr>
          <w:b/>
        </w:rPr>
        <w:tab/>
        <w:t>Grunnvirki fyrir flutninga á sjó og vatnaleiðum</w:t>
      </w:r>
    </w:p>
    <w:p w14:paraId="18565B85" w14:textId="77777777" w:rsidR="00D849E8" w:rsidRDefault="00D849E8" w:rsidP="00D849E8">
      <w:pPr>
        <w:pStyle w:val="AnnexGrSeq3"/>
        <w:spacing w:after="120"/>
        <w:ind w:left="504"/>
        <w:jc w:val="both"/>
      </w:pPr>
      <w:r>
        <w:rPr>
          <w:i/>
        </w:rPr>
        <w:t>Lýsing á starfseminni</w:t>
      </w:r>
    </w:p>
    <w:p w14:paraId="4401C120" w14:textId="77777777" w:rsidR="00D849E8" w:rsidRDefault="00D849E8" w:rsidP="00D849E8">
      <w:pPr>
        <w:pStyle w:val="AnnexNormal"/>
        <w:spacing w:after="440"/>
        <w:ind w:left="504"/>
      </w:pPr>
      <w:r>
        <w:t xml:space="preserve">Uppbygging, nútímavæðing og </w:t>
      </w:r>
      <w:proofErr w:type="spellStart"/>
      <w:r>
        <w:t>starfræksla</w:t>
      </w:r>
      <w:proofErr w:type="spellEnd"/>
      <w:r>
        <w:t xml:space="preserve"> vatnaleiða, hafna og flóðgarða, smábátahafna, skipastiga, stífla og flóðgarða og annars, þ.m.t. veiting arkitektaþjónustu, verkfræðiþjónustu, teikniþjónustu, eftirlits með byggingarframkvæmdum og landmælingaþjónustu og kortagerðarþjónustu o.þ.h. sem og framkvæmd eðlisfræðilegra og efnafræðilegra prófana og annarra greiningarprófana á öllum tegundum efniviða og vara og að undanskilinni starfsemi á sviði </w:t>
      </w:r>
      <w:proofErr w:type="spellStart"/>
      <w:r>
        <w:t>verkefnastjórnunar</w:t>
      </w:r>
      <w:proofErr w:type="spellEnd"/>
      <w:r>
        <w:t xml:space="preserve"> við mannvirkjagerð.</w:t>
      </w:r>
    </w:p>
    <w:p w14:paraId="125AD13A" w14:textId="77777777" w:rsidR="00D849E8" w:rsidRDefault="00D849E8" w:rsidP="00D849E8">
      <w:pPr>
        <w:pStyle w:val="AnnexNormal"/>
        <w:spacing w:after="440"/>
        <w:ind w:left="504"/>
      </w:pPr>
      <w:r>
        <w:t>Atvinnustarfsemin í þessum flokki undanskilur dýpkun vatnaleiða.</w:t>
      </w:r>
    </w:p>
    <w:p w14:paraId="4119676D" w14:textId="77777777" w:rsidR="00D849E8" w:rsidRDefault="00D849E8" w:rsidP="00D849E8">
      <w:pPr>
        <w:pStyle w:val="AnnexNormal"/>
        <w:spacing w:after="440"/>
        <w:ind w:left="504"/>
      </w:pPr>
      <w:r>
        <w:t>Atvinnustarfsemin í þessum flokki gæti tengst nokkrum kóðum atvinnugreinaflokkunar Evrópusambandsins, einkum F42.91, F71.1 eða F71.20, í samræmi við atvinnugreinaflokkunina sem komið var á með reglugerð (EB) nr. 1893/2006.</w:t>
      </w:r>
    </w:p>
    <w:p w14:paraId="06A193C6"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6CD0AE8A" w14:textId="77777777" w:rsidTr="00A9140F">
        <w:trPr>
          <w:trHeight w:val="280"/>
        </w:trPr>
        <w:tc>
          <w:tcPr>
            <w:tcW w:w="8736" w:type="dxa"/>
            <w:gridSpan w:val="2"/>
            <w:tcBorders>
              <w:bottom w:val="single" w:sz="4" w:space="0" w:color="auto"/>
            </w:tcBorders>
            <w:tcMar>
              <w:left w:w="0" w:type="dxa"/>
              <w:right w:w="60" w:type="dxa"/>
            </w:tcMar>
          </w:tcPr>
          <w:p w14:paraId="7FAEB7DE" w14:textId="77777777" w:rsidR="00D849E8" w:rsidRDefault="00D849E8" w:rsidP="00A9140F">
            <w:pPr>
              <w:pStyle w:val="AnnexTableCellLeft"/>
              <w:spacing w:before="40" w:after="40"/>
            </w:pPr>
            <w:r>
              <w:t>Verulegt framlag til aðlögunar að loftslagsbreytingum</w:t>
            </w:r>
          </w:p>
        </w:tc>
      </w:tr>
      <w:tr w:rsidR="00D849E8" w14:paraId="3F55B954" w14:textId="77777777" w:rsidTr="00A9140F">
        <w:trPr>
          <w:trHeight w:val="360"/>
        </w:trPr>
        <w:tc>
          <w:tcPr>
            <w:tcW w:w="8736" w:type="dxa"/>
            <w:gridSpan w:val="2"/>
            <w:tcBorders>
              <w:bottom w:val="nil"/>
            </w:tcBorders>
            <w:tcMar>
              <w:left w:w="0" w:type="dxa"/>
              <w:right w:w="60" w:type="dxa"/>
            </w:tcMar>
          </w:tcPr>
          <w:p w14:paraId="1CC4DDBE" w14:textId="77777777" w:rsidR="00D849E8" w:rsidRDefault="00D849E8" w:rsidP="00A9140F">
            <w:pPr>
              <w:pStyle w:val="AnnexNumberedText"/>
              <w:tabs>
                <w:tab w:val="left" w:pos="396"/>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477B945F" w14:textId="77777777" w:rsidR="00D849E8" w:rsidRDefault="00D849E8" w:rsidP="00A9140F">
            <w:pPr>
              <w:pStyle w:val="AnnexNumberedText"/>
              <w:tabs>
                <w:tab w:val="left" w:pos="396"/>
              </w:tabs>
              <w:ind w:left="0" w:firstLine="0"/>
            </w:pPr>
            <w:r>
              <w:t>2.</w:t>
            </w:r>
            <w:r>
              <w:tab/>
              <w:t xml:space="preserve">Efnisleg loftslagsáhætta sem hefur mikla þýðingu fyrir starfsemina hefur verið greind meðal þeirra sem eru skráðar í viðbæti A við þennan viðauka með því að framkvæma traust loftslagsáhættu- og veikleikamat með eftirfarandi </w:t>
            </w:r>
            <w:r>
              <w:lastRenderedPageBreak/>
              <w:t>skrefum:</w:t>
            </w:r>
          </w:p>
          <w:p w14:paraId="6AF7CBE3" w14:textId="77777777" w:rsidR="00D849E8" w:rsidRDefault="00D849E8" w:rsidP="00A9140F">
            <w:pPr>
              <w:pStyle w:val="AnnexNumberedText"/>
              <w:spacing w:after="0"/>
            </w:pPr>
            <w:r>
              <w:t>a)</w:t>
            </w:r>
            <w:r>
              <w:tab/>
              <w:t>skimun á starfseminni til að greina hvaða efnislega loftslagsáhætta úr skránni í viðbæti A við þennan viðauka getur haft áhrif á árangurinn af atvinnustarfseminni á væntum líftíma hennar,</w:t>
            </w:r>
          </w:p>
        </w:tc>
      </w:tr>
      <w:tr w:rsidR="00D849E8" w14:paraId="40463967" w14:textId="77777777" w:rsidTr="00A9140F">
        <w:trPr>
          <w:trHeight w:val="360"/>
        </w:trPr>
        <w:tc>
          <w:tcPr>
            <w:tcW w:w="8736" w:type="dxa"/>
            <w:gridSpan w:val="2"/>
            <w:tcBorders>
              <w:top w:val="nil"/>
            </w:tcBorders>
            <w:tcMar>
              <w:left w:w="0" w:type="dxa"/>
              <w:right w:w="60" w:type="dxa"/>
            </w:tcMar>
          </w:tcPr>
          <w:p w14:paraId="56B39AB7" w14:textId="77777777" w:rsidR="00D849E8" w:rsidRDefault="00D849E8" w:rsidP="00A9140F">
            <w:pPr>
              <w:pStyle w:val="AnnexNumberedText"/>
              <w:pageBreakBefore/>
              <w:spacing w:after="220"/>
              <w:rPr>
                <w:szCs w:val="18"/>
              </w:rPr>
            </w:pPr>
            <w:r>
              <w:lastRenderedPageBreak/>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3433818" w14:textId="77777777" w:rsidR="00D849E8" w:rsidRDefault="00D849E8" w:rsidP="00A9140F">
            <w:pPr>
              <w:pStyle w:val="AnnexNumberedText"/>
              <w:spacing w:after="220"/>
              <w:rPr>
                <w:szCs w:val="18"/>
              </w:rPr>
            </w:pPr>
            <w:r>
              <w:t>c)</w:t>
            </w:r>
            <w:r>
              <w:tab/>
              <w:t>mat á aðlögunarlausnum sem geta dregið úr greindri efnislegri loftslagsáhættu.</w:t>
            </w:r>
          </w:p>
          <w:p w14:paraId="04CBD3DA" w14:textId="77777777" w:rsidR="00D849E8" w:rsidRDefault="00D849E8" w:rsidP="00A9140F">
            <w:pPr>
              <w:pStyle w:val="AnnexTableCellLeft"/>
              <w:spacing w:after="22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1A8B1196" w14:textId="77777777" w:rsidR="00D849E8" w:rsidRDefault="00D849E8" w:rsidP="00A9140F">
            <w:pPr>
              <w:pStyle w:val="AnnexNumberedText"/>
              <w:spacing w:after="22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42E7497" w14:textId="77777777" w:rsidR="00D849E8" w:rsidRDefault="00D849E8" w:rsidP="00A9140F">
            <w:pPr>
              <w:pStyle w:val="AnnexNumberedText"/>
              <w:spacing w:after="22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0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53BC189" w14:textId="77777777" w:rsidR="00D849E8" w:rsidRDefault="00D849E8" w:rsidP="00A9140F">
            <w:pPr>
              <w:pStyle w:val="AnnexNumberedText"/>
              <w:tabs>
                <w:tab w:val="left" w:pos="396"/>
              </w:tabs>
              <w:spacing w:after="22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07"/>
            </w:r>
            <w:r>
              <w:t>), vísindalegt ritrýnt útgefið efni og líkön með opnum aðgangi (</w:t>
            </w:r>
            <w:r>
              <w:rPr>
                <w:rStyle w:val="Tilvsunneanmlsgrein"/>
                <w:sz w:val="18"/>
                <w:szCs w:val="18"/>
              </w:rPr>
              <w:footnoteReference w:id="908"/>
            </w:r>
            <w:r>
              <w:t>) eða gegn greiðslu.</w:t>
            </w:r>
          </w:p>
          <w:p w14:paraId="407C8833" w14:textId="77777777" w:rsidR="00D849E8" w:rsidRDefault="00D849E8" w:rsidP="00A9140F">
            <w:pPr>
              <w:pStyle w:val="AnnexNumberedText"/>
              <w:tabs>
                <w:tab w:val="left" w:pos="396"/>
              </w:tabs>
              <w:spacing w:after="220"/>
              <w:ind w:left="0" w:firstLine="0"/>
              <w:rPr>
                <w:szCs w:val="18"/>
              </w:rPr>
            </w:pPr>
            <w:r>
              <w:t>4.</w:t>
            </w:r>
            <w:r>
              <w:tab/>
              <w:t>Aðlögunarlausnir sem komið er í framkvæmd:</w:t>
            </w:r>
          </w:p>
          <w:p w14:paraId="0481E7CB" w14:textId="77777777" w:rsidR="00D849E8" w:rsidRDefault="00D849E8" w:rsidP="00A9140F">
            <w:pPr>
              <w:pStyle w:val="AnnexNumberedText"/>
              <w:spacing w:after="220"/>
              <w:rPr>
                <w:szCs w:val="18"/>
              </w:rPr>
            </w:pPr>
            <w:r>
              <w:t>a)</w:t>
            </w:r>
            <w:r>
              <w:tab/>
              <w:t>hafa ekki neikvæð áhrif á viðleitni til aðlögunar eða viðnám annars fólks, náttúru, menningararfleifðar, eigna og annarrar atvinnustarfsemi gegn efnislegri loftslagsáhættu,</w:t>
            </w:r>
          </w:p>
          <w:p w14:paraId="06A6135E" w14:textId="77777777" w:rsidR="00D849E8" w:rsidRDefault="00D849E8" w:rsidP="00A9140F">
            <w:pPr>
              <w:pStyle w:val="AnnexNumberedText"/>
              <w:spacing w:after="220"/>
              <w:rPr>
                <w:szCs w:val="18"/>
              </w:rPr>
            </w:pPr>
            <w:r>
              <w:t>b)</w:t>
            </w:r>
            <w:r>
              <w:tab/>
              <w:t>eru með náttúrumiðaðar lausnir (</w:t>
            </w:r>
            <w:r>
              <w:rPr>
                <w:rStyle w:val="Tilvsunneanmlsgrein"/>
                <w:sz w:val="18"/>
                <w:szCs w:val="18"/>
              </w:rPr>
              <w:footnoteReference w:id="909"/>
            </w:r>
            <w:r>
              <w:t>) í forgangi eða treyst er á bláa eða græna innviði (</w:t>
            </w:r>
            <w:r>
              <w:rPr>
                <w:rStyle w:val="Tilvsunneanmlsgrein"/>
                <w:sz w:val="18"/>
                <w:szCs w:val="18"/>
              </w:rPr>
              <w:footnoteReference w:id="910"/>
            </w:r>
            <w:r>
              <w:t>) að því marki sem mögulegt er,</w:t>
            </w:r>
          </w:p>
          <w:p w14:paraId="2C41AE9A" w14:textId="77777777" w:rsidR="00D849E8" w:rsidRDefault="00D849E8" w:rsidP="00A9140F">
            <w:pPr>
              <w:pStyle w:val="AnnexNumberedText"/>
              <w:spacing w:after="220"/>
              <w:rPr>
                <w:szCs w:val="18"/>
              </w:rPr>
            </w:pPr>
            <w:r>
              <w:t>c)</w:t>
            </w:r>
            <w:r>
              <w:tab/>
              <w:t>eru í samræmi við staðbundnar, geirabundnar, svæðisbundnar eða landsbundnar aðlögunarstefnur og -áætlanir,</w:t>
            </w:r>
          </w:p>
          <w:p w14:paraId="6ED41F49" w14:textId="77777777" w:rsidR="00D849E8" w:rsidRDefault="00D849E8" w:rsidP="00A9140F">
            <w:pPr>
              <w:pStyle w:val="AnnexNumberedText"/>
              <w:spacing w:after="22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AC12F73"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7A65BE6F" w14:textId="77777777" w:rsidTr="00A9140F">
        <w:trPr>
          <w:trHeight w:val="240"/>
        </w:trPr>
        <w:tc>
          <w:tcPr>
            <w:tcW w:w="8736" w:type="dxa"/>
            <w:gridSpan w:val="2"/>
            <w:tcMar>
              <w:top w:w="100" w:type="dxa"/>
              <w:left w:w="0" w:type="dxa"/>
              <w:bottom w:w="100" w:type="dxa"/>
              <w:right w:w="60" w:type="dxa"/>
            </w:tcMar>
          </w:tcPr>
          <w:p w14:paraId="6114EA19" w14:textId="77777777" w:rsidR="00D849E8" w:rsidRDefault="00D849E8" w:rsidP="00A9140F">
            <w:pPr>
              <w:pStyle w:val="AnnexTableCellLeft"/>
            </w:pPr>
            <w:r>
              <w:t>Ekki valda umtalsverðu tjóni</w:t>
            </w:r>
          </w:p>
        </w:tc>
      </w:tr>
      <w:tr w:rsidR="00D849E8" w14:paraId="27EB8247" w14:textId="77777777" w:rsidTr="00A9140F">
        <w:tc>
          <w:tcPr>
            <w:tcW w:w="2952" w:type="dxa"/>
            <w:tcBorders>
              <w:bottom w:val="single" w:sz="4" w:space="0" w:color="auto"/>
            </w:tcBorders>
            <w:tcMar>
              <w:top w:w="100" w:type="dxa"/>
              <w:left w:w="0" w:type="dxa"/>
              <w:bottom w:w="100" w:type="dxa"/>
              <w:right w:w="60" w:type="dxa"/>
            </w:tcMar>
          </w:tcPr>
          <w:p w14:paraId="2C47A41B" w14:textId="77777777" w:rsidR="00D849E8" w:rsidRDefault="00D849E8" w:rsidP="00A9140F">
            <w:pPr>
              <w:pStyle w:val="AnnexNumberedText"/>
              <w:spacing w:after="0"/>
              <w:ind w:left="293" w:hanging="293"/>
            </w:pPr>
            <w:r>
              <w:t>1)</w:t>
            </w:r>
            <w:r>
              <w:tab/>
              <w:t>Mildun loftslagsbreytinga</w:t>
            </w:r>
          </w:p>
        </w:tc>
        <w:tc>
          <w:tcPr>
            <w:tcW w:w="5784" w:type="dxa"/>
            <w:tcBorders>
              <w:bottom w:val="single" w:sz="4" w:space="0" w:color="auto"/>
            </w:tcBorders>
            <w:tcMar>
              <w:top w:w="100" w:type="dxa"/>
              <w:left w:w="60" w:type="dxa"/>
              <w:bottom w:w="100" w:type="dxa"/>
              <w:right w:w="0" w:type="dxa"/>
            </w:tcMar>
          </w:tcPr>
          <w:p w14:paraId="536F7C58" w14:textId="77777777" w:rsidR="00D849E8" w:rsidRDefault="00D849E8" w:rsidP="00A9140F">
            <w:pPr>
              <w:pStyle w:val="AnnexTableCellLeft"/>
              <w:spacing w:after="120"/>
            </w:pPr>
            <w:r>
              <w:t>Grunnvirkið er ekki ætlað til flutnings eða geymslu á jarðefnaeldsneyti.</w:t>
            </w:r>
          </w:p>
          <w:p w14:paraId="77022251" w14:textId="77777777" w:rsidR="00D849E8" w:rsidRDefault="00D849E8" w:rsidP="00A9140F">
            <w:pPr>
              <w:pStyle w:val="AnnexTableCellLeft"/>
            </w:pPr>
            <w:r>
              <w:t>Ef um er að ræða nýtt grunnvirki eða meiri háttar endurnýjun hafa innviðirnir verið loftslagsvarðir í samræmi við viðeigandi loftslagsverndaraðferðir sem ná yfir kolefnisspor og skýrt skilgreindan dulinn kostnað af kolefni. Slíkt kolefnisspor nær yfir losun í umfangi 1–3 og sýnir fram á að grunnvirkið leiðir ekki til hlutfallslegrar viðbótarlosunar gróðurhúsalofttegunda, reiknað út á grundvelli varfærinna forsenda, gilda og málsmeðferðar.</w:t>
            </w:r>
          </w:p>
        </w:tc>
      </w:tr>
      <w:tr w:rsidR="00D849E8" w14:paraId="725FC582" w14:textId="77777777" w:rsidTr="00A9140F">
        <w:tc>
          <w:tcPr>
            <w:tcW w:w="2952" w:type="dxa"/>
            <w:tcBorders>
              <w:bottom w:val="nil"/>
            </w:tcBorders>
            <w:tcMar>
              <w:top w:w="100" w:type="dxa"/>
              <w:left w:w="0" w:type="dxa"/>
              <w:bottom w:w="100" w:type="dxa"/>
              <w:right w:w="60" w:type="dxa"/>
            </w:tcMar>
          </w:tcPr>
          <w:p w14:paraId="10F19338" w14:textId="77777777" w:rsidR="00D849E8" w:rsidRDefault="00D849E8" w:rsidP="00A9140F">
            <w:pPr>
              <w:pStyle w:val="AnnexNumberedText"/>
              <w:pageBreakBefore/>
              <w:spacing w:after="0"/>
              <w:ind w:left="293" w:hanging="293"/>
            </w:pPr>
            <w:r>
              <w:lastRenderedPageBreak/>
              <w:t>3)</w:t>
            </w:r>
            <w:r>
              <w:tab/>
              <w:t>Sjálfbær notkun og verndun vatns- og sjávarauðlinda</w:t>
            </w:r>
          </w:p>
        </w:tc>
        <w:tc>
          <w:tcPr>
            <w:tcW w:w="5784" w:type="dxa"/>
            <w:tcBorders>
              <w:bottom w:val="nil"/>
            </w:tcBorders>
            <w:tcMar>
              <w:top w:w="100" w:type="dxa"/>
              <w:left w:w="60" w:type="dxa"/>
              <w:bottom w:w="100" w:type="dxa"/>
              <w:right w:w="0" w:type="dxa"/>
            </w:tcMar>
          </w:tcPr>
          <w:p w14:paraId="1EA99261" w14:textId="77777777" w:rsidR="00D849E8" w:rsidRDefault="00D849E8" w:rsidP="00A9140F">
            <w:pPr>
              <w:pStyle w:val="AnnexTableCellLeft"/>
              <w:spacing w:after="300"/>
            </w:pPr>
            <w:r>
              <w:t xml:space="preserve">Starfsemin er í samræmi við ákvæðin í tilskipun 2000/60/EB, einkum við allar kröfurnar sem mælt er fyrir um í 4. gr. tilskipunarinnar. Í samræmi við 4. gr. tilskipunar 2000/60/EB og einkum 7. mgr. þeirrar greinar er unnið mat á áhrifunum af verkefninu áður en endurnýjað/byggt er til að meta öll möguleg áhrif þess á stöðu </w:t>
            </w:r>
            <w:proofErr w:type="spellStart"/>
            <w:r>
              <w:t>vatnshlota</w:t>
            </w:r>
            <w:proofErr w:type="spellEnd"/>
            <w:r>
              <w:t xml:space="preserve"> innan sama vatnasviðs og á vernduð búsvæði og tegundir sem eru háðar vatni með beinum hætti, einkum að teknu tilliti til sérstakra gönguslóða (e. </w:t>
            </w:r>
            <w:proofErr w:type="spellStart"/>
            <w:r>
              <w:rPr>
                <w:i/>
                <w:iCs/>
              </w:rPr>
              <w:t>migration</w:t>
            </w:r>
            <w:proofErr w:type="spellEnd"/>
            <w:r>
              <w:rPr>
                <w:i/>
                <w:iCs/>
              </w:rPr>
              <w:t xml:space="preserve"> </w:t>
            </w:r>
            <w:proofErr w:type="spellStart"/>
            <w:r>
              <w:rPr>
                <w:i/>
                <w:iCs/>
              </w:rPr>
              <w:t>corridor</w:t>
            </w:r>
            <w:proofErr w:type="spellEnd"/>
            <w:r>
              <w:t>), áa sem flæða frjálst eða vistkerfa nálægt óröskuðum aðstæðum.</w:t>
            </w:r>
          </w:p>
          <w:p w14:paraId="6A614E34" w14:textId="77777777" w:rsidR="00D849E8" w:rsidRDefault="00D849E8" w:rsidP="00A9140F">
            <w:pPr>
              <w:pStyle w:val="AnnexTableCellLeft"/>
              <w:spacing w:after="300"/>
            </w:pPr>
            <w:r>
              <w:t>Matið er byggt á nýlegum, yfirgripsmiklum og nákvæmum gögnum, þ.m.t. vöktunargögn um líffræðilega gæðaþætti sem eru sérstaklega næmir fyrir vatnsformfræðilegum breytingum og um stöðu vatnshlotsins sem búist er við sem afleiðingu af nýju starfseminni í samanburði við þá sem fyrir er.</w:t>
            </w:r>
          </w:p>
          <w:p w14:paraId="32021F39" w14:textId="77777777" w:rsidR="00D849E8" w:rsidRDefault="00D849E8" w:rsidP="00A9140F">
            <w:pPr>
              <w:pStyle w:val="AnnexTableCellLeft"/>
              <w:spacing w:after="300"/>
            </w:pPr>
            <w:r>
              <w:t>Einkum eru metin uppsöfnuð áhrif af þessu nýja verkefni með öðrum grunnvirkjum sem fyrir eru eða fyrirhuguð á vatnasviðinu.</w:t>
            </w:r>
          </w:p>
          <w:p w14:paraId="16748AA0" w14:textId="77777777" w:rsidR="00D849E8" w:rsidRDefault="00D849E8" w:rsidP="00A9140F">
            <w:pPr>
              <w:pStyle w:val="AnnexTableCellLeft"/>
              <w:spacing w:after="300"/>
            </w:pPr>
            <w:r>
              <w:t>Á grundvelli þessa mats á áhrifum hefur verið ákvarðað að verkefnið sé skipulagt þannig, með hönnun og staðsetningu og með mildandi ráðstöfunum, að það uppfylli eina af eftirfarandi kröfum:</w:t>
            </w:r>
          </w:p>
          <w:p w14:paraId="0FF6E974" w14:textId="77777777" w:rsidR="00D849E8" w:rsidRDefault="00D849E8" w:rsidP="00A9140F">
            <w:pPr>
              <w:pStyle w:val="AnnexNumberedText"/>
              <w:spacing w:after="300"/>
              <w:ind w:left="293" w:hanging="293"/>
            </w:pPr>
            <w:r>
              <w:t>a)</w:t>
            </w:r>
            <w:r>
              <w:tab/>
              <w:t>verkefnið hefur ekki í för með sér neina hnignun né stofnar því í hættu að ná góðri stöðu eða getu fyrir hið sérstaka vatnshlot sem það tengist,</w:t>
            </w:r>
          </w:p>
          <w:p w14:paraId="0E66CC01" w14:textId="77777777" w:rsidR="00D849E8" w:rsidRDefault="00D849E8" w:rsidP="00A9140F">
            <w:pPr>
              <w:pStyle w:val="AnnexNumberedText"/>
              <w:spacing w:after="300"/>
              <w:ind w:left="293" w:hanging="293"/>
            </w:pPr>
            <w:r>
              <w:t>b)</w:t>
            </w:r>
            <w:r>
              <w:tab/>
              <w:t>ef áhætta er á að verkefnið valdi hnignun eða stofni því í hættu að góð staða/geta náist fyrir hið sérstaka vatnshlot sem það tengist er slík hnignun ekki umtalsverð og er rökstudd með ítarlegu kostnaðar- og ábatamati þar sem sýnt er fram á hvort tveggja af eftirfarandi:</w:t>
            </w:r>
          </w:p>
          <w:p w14:paraId="18ACF312" w14:textId="77777777" w:rsidR="00D849E8" w:rsidRDefault="00D849E8" w:rsidP="00A9140F">
            <w:pPr>
              <w:pStyle w:val="AnnexNumberedText"/>
              <w:spacing w:after="300"/>
              <w:ind w:left="597" w:hanging="303"/>
            </w:pPr>
            <w:r>
              <w:t>i.</w:t>
            </w:r>
            <w:r>
              <w:tab/>
              <w:t>brýnar ástæður fyrir almannahagsmunum eða þá staðreynd að ávinningurinn sem búist er við af fyrirhuguðu verkefni á sviði siglingagrunnvirkja með tilliti til ábata fyrir mildun loftslagsbreytinga/aðlögun að loftslagsbreytingum vegur þyngra en sá kostnaður fyrir umhverfið og samfélagið sem hlýst af versnandi ástandi vatnsins,</w:t>
            </w:r>
          </w:p>
          <w:p w14:paraId="3DF5AF90" w14:textId="77777777" w:rsidR="00D849E8" w:rsidRDefault="00D849E8" w:rsidP="00A9140F">
            <w:pPr>
              <w:pStyle w:val="AnnexNumberedText"/>
              <w:spacing w:after="300"/>
              <w:ind w:left="597" w:hanging="303"/>
            </w:pPr>
            <w:r>
              <w:t>ii.</w:t>
            </w:r>
            <w:r>
              <w:tab/>
              <w:t xml:space="preserve">þá staðreynd að ekki er unnt að ná fram, af ástæðum sem varða tæknilegan </w:t>
            </w:r>
            <w:proofErr w:type="spellStart"/>
            <w:r>
              <w:t>framkvæmanleika</w:t>
            </w:r>
            <w:proofErr w:type="spellEnd"/>
            <w:r>
              <w:t xml:space="preserve"> eða óhóflegan kostnað, brýnum almannahagsmunum eða ávinningnum sem búist er við af verkefninu með öðrum aðferðum sem myndu leiða til betri </w:t>
            </w:r>
            <w:proofErr w:type="spellStart"/>
            <w:r>
              <w:t>umhverfislegrar</w:t>
            </w:r>
            <w:proofErr w:type="spellEnd"/>
            <w:r>
              <w:t xml:space="preserve"> niðurstöðu (s.s. náttúrumiðuð lausn, önnur staðsetning, endurreisn/endurnýjun grunnvirkja sem fyrir eru eða með því að nota tækni sem raskar ekki samfellu árinnar).</w:t>
            </w:r>
          </w:p>
          <w:p w14:paraId="155CFFBB" w14:textId="77777777" w:rsidR="00D849E8" w:rsidRDefault="00D849E8" w:rsidP="00A9140F">
            <w:pPr>
              <w:pStyle w:val="AnnexTableCellLeft"/>
              <w:spacing w:after="300"/>
            </w:pPr>
            <w:r>
              <w:t xml:space="preserve">Öllum </w:t>
            </w:r>
            <w:proofErr w:type="spellStart"/>
            <w:r>
              <w:t>mildunarráðstöfunum</w:t>
            </w:r>
            <w:proofErr w:type="spellEnd"/>
            <w:r>
              <w:t>, sem eru tæknilega mögulegar og vistfræðilega viðeigandi, hefur verið komið í framkvæmd til að draga úr neikvæðum áhrifum á vatn sem og á vernduð búsvæði og tegundir sem eru háðar vatni með beinum hætti.</w:t>
            </w:r>
          </w:p>
          <w:p w14:paraId="2BCB694C" w14:textId="77777777" w:rsidR="00D849E8" w:rsidRDefault="00D849E8" w:rsidP="00A9140F">
            <w:pPr>
              <w:pStyle w:val="AnnexTableCellLeft"/>
              <w:spacing w:after="300"/>
            </w:pPr>
            <w:proofErr w:type="spellStart"/>
            <w:r>
              <w:t>Mildunarráðstafanir</w:t>
            </w:r>
            <w:proofErr w:type="spellEnd"/>
            <w:r>
              <w:t xml:space="preserve"> fela í sér, þar sem við á og með hliðsjón af vistkerfum sem eru til staðar frá náttúrunnar hendi í </w:t>
            </w:r>
            <w:proofErr w:type="spellStart"/>
            <w:r>
              <w:t>vatnshlotum</w:t>
            </w:r>
            <w:proofErr w:type="spellEnd"/>
            <w:r>
              <w:t xml:space="preserve"> sem verða fyrir áhrifum:</w:t>
            </w:r>
          </w:p>
          <w:p w14:paraId="35936393" w14:textId="77777777" w:rsidR="00D849E8" w:rsidRDefault="00D849E8" w:rsidP="00A9140F">
            <w:pPr>
              <w:pStyle w:val="AnnexNumberedText"/>
              <w:spacing w:after="300"/>
              <w:ind w:left="283" w:hanging="283"/>
            </w:pPr>
            <w:r>
              <w:t>a)</w:t>
            </w:r>
            <w:r>
              <w:tab/>
              <w:t>ráðstafanir til að tryggja skilyrði sem eru eins lík óraskaðri samfellu og mögulegt er (þ.m.t. ráðstafanir til að tryggja langsniðs- og hliðarsamfellu, lágmarks vistrennsli og setflæði),</w:t>
            </w:r>
          </w:p>
        </w:tc>
      </w:tr>
      <w:tr w:rsidR="00D849E8" w14:paraId="0F392DB8" w14:textId="77777777" w:rsidTr="00A9140F">
        <w:tc>
          <w:tcPr>
            <w:tcW w:w="2952" w:type="dxa"/>
            <w:tcBorders>
              <w:top w:val="single" w:sz="4" w:space="0" w:color="auto"/>
            </w:tcBorders>
            <w:tcMar>
              <w:top w:w="100" w:type="dxa"/>
              <w:left w:w="0" w:type="dxa"/>
              <w:bottom w:w="100" w:type="dxa"/>
              <w:right w:w="60" w:type="dxa"/>
            </w:tcMar>
          </w:tcPr>
          <w:p w14:paraId="5F28F486" w14:textId="77777777" w:rsidR="00D849E8" w:rsidRDefault="00D849E8" w:rsidP="00A9140F">
            <w:pPr>
              <w:pStyle w:val="AnnexTableCellLeft"/>
              <w:pageBreakBefore/>
            </w:pPr>
          </w:p>
        </w:tc>
        <w:tc>
          <w:tcPr>
            <w:tcW w:w="5784" w:type="dxa"/>
            <w:tcBorders>
              <w:top w:val="single" w:sz="4" w:space="0" w:color="auto"/>
            </w:tcBorders>
            <w:tcMar>
              <w:top w:w="100" w:type="dxa"/>
              <w:left w:w="60" w:type="dxa"/>
              <w:bottom w:w="100" w:type="dxa"/>
              <w:right w:w="0" w:type="dxa"/>
            </w:tcMar>
          </w:tcPr>
          <w:p w14:paraId="4139B2E3" w14:textId="77777777" w:rsidR="00D849E8" w:rsidRDefault="00D849E8" w:rsidP="00A9140F">
            <w:pPr>
              <w:pStyle w:val="AnnexNumberedText"/>
              <w:ind w:left="293" w:hanging="293"/>
            </w:pPr>
            <w:r>
              <w:t>b)</w:t>
            </w:r>
            <w:r>
              <w:tab/>
              <w:t>ráðstafanir til að vernda eða efla formfræðileg skilyrði og búsvæði fyrir lagartegundir,</w:t>
            </w:r>
          </w:p>
          <w:p w14:paraId="5D90921E" w14:textId="77777777" w:rsidR="00D849E8" w:rsidRDefault="00D849E8" w:rsidP="00A9140F">
            <w:pPr>
              <w:pStyle w:val="AnnexNumberedText"/>
              <w:ind w:left="293" w:hanging="293"/>
            </w:pPr>
            <w:r>
              <w:t>c)</w:t>
            </w:r>
            <w:r>
              <w:tab/>
              <w:t xml:space="preserve">ráðstafanir til að draga úr neikvæðum áhrifum af </w:t>
            </w:r>
            <w:proofErr w:type="spellStart"/>
            <w:r>
              <w:t>ofauðgun</w:t>
            </w:r>
            <w:proofErr w:type="spellEnd"/>
            <w:r>
              <w:t>.</w:t>
            </w:r>
          </w:p>
          <w:p w14:paraId="0E427912" w14:textId="77777777" w:rsidR="00D849E8" w:rsidRDefault="00D849E8" w:rsidP="00A9140F">
            <w:pPr>
              <w:pStyle w:val="AnnexTableCellLeft"/>
              <w:spacing w:after="120"/>
            </w:pPr>
            <w:r>
              <w:t>Skilvirkni þessara ráðstafana er vöktuð í tengslum við heimild eða leyfi þar sem tilgreind eru skilyrði sem miða að því að ná góðri stöðu eða getu vatnshlotsins sem verður fyrir áhrifum.</w:t>
            </w:r>
          </w:p>
          <w:p w14:paraId="272B57CB" w14:textId="77777777" w:rsidR="00D849E8" w:rsidRDefault="00D849E8" w:rsidP="00A9140F">
            <w:pPr>
              <w:pStyle w:val="AnnexTableCellLeft"/>
              <w:spacing w:after="120"/>
            </w:pPr>
            <w:r>
              <w:t xml:space="preserve">Verkefnið stofnar því ekki í varanlega hættu að ná góðri stöðu/getu í neinu af </w:t>
            </w:r>
            <w:proofErr w:type="spellStart"/>
            <w:r>
              <w:t>vatnshlotunum</w:t>
            </w:r>
            <w:proofErr w:type="spellEnd"/>
            <w:r>
              <w:t xml:space="preserve"> á sama vatnasviðaumdæminu.</w:t>
            </w:r>
          </w:p>
          <w:p w14:paraId="44D3DFB0" w14:textId="77777777" w:rsidR="00D849E8" w:rsidRDefault="00D849E8" w:rsidP="00A9140F">
            <w:pPr>
              <w:pStyle w:val="AnnexTableCellLeft"/>
            </w:pPr>
            <w:r>
              <w:t>Í viðbót við mildandi ráðstafanirnar sem um getur hér að framan og ef við á er mótvægisaðgerðum komið í framkvæmd til að tryggja að verkefnið leiði ekki til þess að staða vatnasviða á sama vatnasviðaumdæminu versni frekar. Þessu er náð fram með því að koma aftur á (langsniðs- eða hliðar-)samfellu innan sama vatnasviðaumdæmisins að því marki að það vegi upp á móti röskun á samfellu sem fyrirhugað verkefni á sviði siglingagrunnvirkja kann að valda. Mótvægisaðgerðir hefjast áður en verkefninu er hrint í framkvæmd.</w:t>
            </w:r>
          </w:p>
        </w:tc>
      </w:tr>
      <w:tr w:rsidR="00D849E8" w14:paraId="2EE0EABB" w14:textId="77777777" w:rsidTr="00A9140F">
        <w:tc>
          <w:tcPr>
            <w:tcW w:w="2952" w:type="dxa"/>
            <w:tcMar>
              <w:top w:w="100" w:type="dxa"/>
              <w:left w:w="0" w:type="dxa"/>
              <w:bottom w:w="100" w:type="dxa"/>
              <w:right w:w="60" w:type="dxa"/>
            </w:tcMar>
          </w:tcPr>
          <w:p w14:paraId="1F9BA9F6" w14:textId="77777777" w:rsidR="00D849E8" w:rsidRDefault="00D849E8" w:rsidP="00A9140F">
            <w:pPr>
              <w:pStyle w:val="AnnexNumberedText"/>
              <w:spacing w:after="0"/>
              <w:ind w:left="293" w:hanging="293"/>
            </w:pPr>
            <w:r>
              <w:t>4)</w:t>
            </w:r>
            <w:r>
              <w:tab/>
              <w:t>Umskipti yfir í hringrásarhagkerfi</w:t>
            </w:r>
          </w:p>
        </w:tc>
        <w:tc>
          <w:tcPr>
            <w:tcW w:w="5784" w:type="dxa"/>
            <w:tcMar>
              <w:top w:w="100" w:type="dxa"/>
              <w:left w:w="60" w:type="dxa"/>
              <w:bottom w:w="100" w:type="dxa"/>
              <w:right w:w="0" w:type="dxa"/>
            </w:tcMar>
          </w:tcPr>
          <w:p w14:paraId="31D40C19" w14:textId="77777777" w:rsidR="00D849E8" w:rsidRDefault="00D849E8"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911"/>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849E8" w14:paraId="2DE3C8A2" w14:textId="77777777" w:rsidTr="00A9140F">
        <w:tc>
          <w:tcPr>
            <w:tcW w:w="2952" w:type="dxa"/>
            <w:tcMar>
              <w:top w:w="100" w:type="dxa"/>
              <w:left w:w="0" w:type="dxa"/>
              <w:bottom w:w="100" w:type="dxa"/>
              <w:right w:w="60" w:type="dxa"/>
            </w:tcMar>
          </w:tcPr>
          <w:p w14:paraId="0599E500" w14:textId="77777777" w:rsidR="00D849E8" w:rsidRDefault="00D849E8" w:rsidP="00A9140F">
            <w:pPr>
              <w:pStyle w:val="AnnexNumberedText"/>
              <w:spacing w:after="0"/>
              <w:ind w:left="293" w:hanging="293"/>
            </w:pPr>
            <w:r>
              <w:t>5)</w:t>
            </w:r>
            <w:r>
              <w:tab/>
              <w:t>Mengunarvarnir og eftirlit með mengun</w:t>
            </w:r>
          </w:p>
        </w:tc>
        <w:tc>
          <w:tcPr>
            <w:tcW w:w="5784" w:type="dxa"/>
            <w:tcMar>
              <w:top w:w="100" w:type="dxa"/>
              <w:left w:w="60" w:type="dxa"/>
              <w:bottom w:w="100" w:type="dxa"/>
              <w:right w:w="0" w:type="dxa"/>
            </w:tcMar>
          </w:tcPr>
          <w:p w14:paraId="7BF2D50A" w14:textId="77777777" w:rsidR="00D849E8" w:rsidRDefault="00D849E8" w:rsidP="00A9140F">
            <w:pPr>
              <w:pStyle w:val="AnnexTableCellLeft"/>
            </w:pPr>
            <w:r>
              <w:t>Ráðstafanir eru gerðar til að draga úr hávaða, ryki og losun mengandi efna meðan byggingar- eða viðhaldsvinna stendur yfir.</w:t>
            </w:r>
          </w:p>
        </w:tc>
      </w:tr>
      <w:tr w:rsidR="00D849E8" w14:paraId="72609E49" w14:textId="77777777" w:rsidTr="00A9140F">
        <w:tc>
          <w:tcPr>
            <w:tcW w:w="2952" w:type="dxa"/>
            <w:tcMar>
              <w:top w:w="100" w:type="dxa"/>
              <w:left w:w="0" w:type="dxa"/>
              <w:bottom w:w="100" w:type="dxa"/>
              <w:right w:w="60" w:type="dxa"/>
            </w:tcMar>
          </w:tcPr>
          <w:p w14:paraId="1694CD30" w14:textId="77777777" w:rsidR="00D849E8" w:rsidRDefault="00D849E8" w:rsidP="00A9140F">
            <w:pPr>
              <w:pStyle w:val="AnnexNumberedText"/>
              <w:spacing w:after="0"/>
              <w:ind w:left="293" w:hanging="293"/>
            </w:pPr>
            <w:r>
              <w:t>6)</w:t>
            </w:r>
            <w:r>
              <w:tab/>
              <w:t>Vernd og endurheimt líffræðilegrar fjölbreytni og vistkerfa</w:t>
            </w:r>
          </w:p>
        </w:tc>
        <w:tc>
          <w:tcPr>
            <w:tcW w:w="5784" w:type="dxa"/>
            <w:tcMar>
              <w:top w:w="100" w:type="dxa"/>
              <w:left w:w="60" w:type="dxa"/>
              <w:bottom w:w="100" w:type="dxa"/>
              <w:right w:w="0" w:type="dxa"/>
            </w:tcMar>
          </w:tcPr>
          <w:p w14:paraId="65907836" w14:textId="77777777" w:rsidR="00D849E8" w:rsidRDefault="00D849E8" w:rsidP="00A9140F">
            <w:pPr>
              <w:pStyle w:val="AnnexTableCellLeft"/>
            </w:pPr>
            <w:r>
              <w:t>Starfsemin er í samræmi við viðmiðanirnar sem settar eru fram í viðbæti D við þennan viðauka.</w:t>
            </w:r>
          </w:p>
        </w:tc>
      </w:tr>
    </w:tbl>
    <w:p w14:paraId="7FA53B38" w14:textId="77777777" w:rsidR="00D849E8" w:rsidRDefault="00D849E8" w:rsidP="00D849E8">
      <w:pPr>
        <w:pStyle w:val="AnnexNumberedText"/>
        <w:ind w:left="504" w:hanging="504"/>
      </w:pPr>
      <w:r>
        <w:t>6.17.</w:t>
      </w:r>
      <w:r>
        <w:rPr>
          <w:b/>
        </w:rPr>
        <w:tab/>
        <w:t>Grunnvirki flugvalla</w:t>
      </w:r>
    </w:p>
    <w:p w14:paraId="00DDD858" w14:textId="77777777" w:rsidR="00D849E8" w:rsidRDefault="00D849E8" w:rsidP="00D849E8">
      <w:pPr>
        <w:pStyle w:val="AnnexGrSeq3"/>
        <w:spacing w:after="120"/>
        <w:ind w:left="504"/>
        <w:jc w:val="both"/>
      </w:pPr>
      <w:r>
        <w:rPr>
          <w:i/>
        </w:rPr>
        <w:t>Lýsing á starfseminni</w:t>
      </w:r>
    </w:p>
    <w:p w14:paraId="59C16B54" w14:textId="77777777" w:rsidR="00D849E8" w:rsidRDefault="00D849E8" w:rsidP="00D849E8">
      <w:pPr>
        <w:pStyle w:val="AnnexNormal"/>
        <w:spacing w:after="500"/>
        <w:ind w:left="504"/>
      </w:pPr>
      <w:r>
        <w:t xml:space="preserve">Uppbygging, nútímavæðing, viðhald og rekstur grunnvirkja sem eru nauðsynleg til </w:t>
      </w:r>
      <w:proofErr w:type="spellStart"/>
      <w:r>
        <w:t>starfrækslu</w:t>
      </w:r>
      <w:proofErr w:type="spellEnd"/>
      <w:r>
        <w:t xml:space="preserve"> loftfara eða eigin starfsemi flugvallarins án koltvísýringslosunar gegnum útblástursrör sem og til að hafa til reiðu fasta </w:t>
      </w:r>
      <w:proofErr w:type="spellStart"/>
      <w:r>
        <w:t>rafaflgjafa</w:t>
      </w:r>
      <w:proofErr w:type="spellEnd"/>
      <w:r>
        <w:t xml:space="preserve"> á jörðu niðri og formeðhöndlað loft til kyrrstæðra loftfara.</w:t>
      </w:r>
    </w:p>
    <w:p w14:paraId="6C3F5AAB" w14:textId="77777777" w:rsidR="00D849E8" w:rsidRDefault="00D849E8" w:rsidP="00D849E8">
      <w:pPr>
        <w:pStyle w:val="AnnexNormal"/>
        <w:spacing w:after="500"/>
        <w:ind w:left="504"/>
      </w:pPr>
      <w:r>
        <w:t>Atvinnustarfsemin í þessum flokki gæti flokkast undir nokkra kóða atvinnugreinaflokkunar Evrópusambandsins, einkum F41.20 og F42.99, í samræmi við atvinnugreinaflokkunina sem komið var á með reglugerð (EB) nr. 1893/2006.</w:t>
      </w:r>
    </w:p>
    <w:p w14:paraId="55863FAA"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00"/>
        <w:gridCol w:w="5736"/>
      </w:tblGrid>
      <w:tr w:rsidR="00D849E8" w14:paraId="6F883801" w14:textId="77777777" w:rsidTr="00A9140F">
        <w:trPr>
          <w:trHeight w:val="280"/>
        </w:trPr>
        <w:tc>
          <w:tcPr>
            <w:tcW w:w="8736" w:type="dxa"/>
            <w:gridSpan w:val="2"/>
            <w:tcBorders>
              <w:bottom w:val="single" w:sz="4" w:space="0" w:color="auto"/>
            </w:tcBorders>
            <w:tcMar>
              <w:left w:w="0" w:type="dxa"/>
              <w:right w:w="60" w:type="dxa"/>
            </w:tcMar>
          </w:tcPr>
          <w:p w14:paraId="1A454C2E" w14:textId="77777777" w:rsidR="00D849E8" w:rsidRDefault="00D849E8" w:rsidP="00A9140F">
            <w:pPr>
              <w:pStyle w:val="AnnexTableCellLeft"/>
              <w:spacing w:before="40" w:after="40"/>
            </w:pPr>
            <w:r>
              <w:t>Verulegt framlag til aðlögunar að loftslagsbreytingum</w:t>
            </w:r>
          </w:p>
        </w:tc>
      </w:tr>
      <w:tr w:rsidR="00D849E8" w14:paraId="4E240F0F" w14:textId="77777777" w:rsidTr="00A9140F">
        <w:trPr>
          <w:trHeight w:val="360"/>
        </w:trPr>
        <w:tc>
          <w:tcPr>
            <w:tcW w:w="8736" w:type="dxa"/>
            <w:gridSpan w:val="2"/>
            <w:tcBorders>
              <w:bottom w:val="nil"/>
            </w:tcBorders>
            <w:tcMar>
              <w:left w:w="0" w:type="dxa"/>
              <w:right w:w="60" w:type="dxa"/>
            </w:tcMar>
          </w:tcPr>
          <w:p w14:paraId="57D98083" w14:textId="77777777" w:rsidR="00D849E8" w:rsidRDefault="00D849E8" w:rsidP="00A9140F">
            <w:pPr>
              <w:pStyle w:val="AnnexNumberedText"/>
              <w:tabs>
                <w:tab w:val="left" w:pos="396"/>
              </w:tabs>
              <w:spacing w:after="0"/>
              <w:ind w:left="0" w:firstLine="0"/>
            </w:pPr>
            <w:r>
              <w:lastRenderedPageBreak/>
              <w:t>1.</w:t>
            </w:r>
            <w:r>
              <w:tab/>
              <w:t>Í starfseminni hefur verið komið í framkvæmd efnislegum og óefnislegum lausnum („aðlögunarlausnum“) sem draga verulega úr helstu efnislegu loftslagsáhættunum sem hafa mikla þýðingu fyrir þessa starfsemi.</w:t>
            </w:r>
          </w:p>
        </w:tc>
      </w:tr>
      <w:tr w:rsidR="00D849E8" w14:paraId="54DF9667" w14:textId="77777777" w:rsidTr="00A9140F">
        <w:trPr>
          <w:trHeight w:val="360"/>
        </w:trPr>
        <w:tc>
          <w:tcPr>
            <w:tcW w:w="8736" w:type="dxa"/>
            <w:gridSpan w:val="2"/>
            <w:tcBorders>
              <w:top w:val="nil"/>
            </w:tcBorders>
            <w:tcMar>
              <w:left w:w="0" w:type="dxa"/>
              <w:right w:w="60" w:type="dxa"/>
            </w:tcMar>
          </w:tcPr>
          <w:p w14:paraId="58629AC0" w14:textId="77777777" w:rsidR="00D849E8" w:rsidRDefault="00D849E8" w:rsidP="00A9140F">
            <w:pPr>
              <w:pStyle w:val="AnnexNumberedText"/>
              <w:pageBreakBefore/>
              <w:tabs>
                <w:tab w:val="left" w:pos="396"/>
              </w:tabs>
              <w:spacing w:after="100"/>
              <w:ind w:left="0" w:firstLine="0"/>
              <w:rPr>
                <w:szCs w:val="18"/>
              </w:rPr>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9D78B98" w14:textId="77777777" w:rsidR="00D849E8" w:rsidRDefault="00D849E8" w:rsidP="00A9140F">
            <w:pPr>
              <w:pStyle w:val="AnnexNumberedText"/>
              <w:spacing w:after="1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D1329E0" w14:textId="77777777" w:rsidR="00D849E8" w:rsidRDefault="00D849E8" w:rsidP="00A9140F">
            <w:pPr>
              <w:pStyle w:val="AnnexNumberedText"/>
              <w:spacing w:after="1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33A402E" w14:textId="77777777" w:rsidR="00D849E8" w:rsidRDefault="00D849E8" w:rsidP="00A9140F">
            <w:pPr>
              <w:pStyle w:val="AnnexNumberedText"/>
              <w:spacing w:after="100"/>
              <w:rPr>
                <w:szCs w:val="18"/>
              </w:rPr>
            </w:pPr>
            <w:r>
              <w:t>c)</w:t>
            </w:r>
            <w:r>
              <w:tab/>
              <w:t>mat á aðlögunarlausnum sem geta dregið úr greindri efnislegri loftslagsáhættu.</w:t>
            </w:r>
          </w:p>
          <w:p w14:paraId="0CBCFB55" w14:textId="77777777" w:rsidR="00D849E8" w:rsidRDefault="00D849E8" w:rsidP="00A9140F">
            <w:pPr>
              <w:pStyle w:val="AnnexTableCellLeft"/>
              <w:spacing w:after="1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49029E75" w14:textId="77777777" w:rsidR="00D849E8" w:rsidRDefault="00D849E8" w:rsidP="00A9140F">
            <w:pPr>
              <w:pStyle w:val="AnnexNumberedText"/>
              <w:spacing w:after="1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0485B949" w14:textId="77777777" w:rsidR="00D849E8" w:rsidRDefault="00D849E8" w:rsidP="00A9140F">
            <w:pPr>
              <w:pStyle w:val="AnnexNumberedText"/>
              <w:spacing w:after="1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12"/>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921E3A3" w14:textId="77777777" w:rsidR="00D849E8" w:rsidRDefault="00D849E8" w:rsidP="00A9140F">
            <w:pPr>
              <w:pStyle w:val="AnnexNumberedText"/>
              <w:tabs>
                <w:tab w:val="left" w:pos="396"/>
              </w:tabs>
              <w:spacing w:after="1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13"/>
            </w:r>
            <w:r>
              <w:t>), vísindalegt ritrýnt útgefið efni og líkön með opnum aðgangi (</w:t>
            </w:r>
            <w:r>
              <w:rPr>
                <w:rStyle w:val="Tilvsunneanmlsgrein"/>
                <w:sz w:val="18"/>
                <w:szCs w:val="18"/>
              </w:rPr>
              <w:footnoteReference w:id="914"/>
            </w:r>
            <w:r>
              <w:t>) eða gegn greiðslu.</w:t>
            </w:r>
          </w:p>
          <w:p w14:paraId="4426ADF2" w14:textId="77777777" w:rsidR="00D849E8" w:rsidRDefault="00D849E8" w:rsidP="00A9140F">
            <w:pPr>
              <w:pStyle w:val="AnnexNumberedText"/>
              <w:tabs>
                <w:tab w:val="left" w:pos="396"/>
              </w:tabs>
              <w:spacing w:after="100"/>
              <w:ind w:left="0" w:firstLine="0"/>
              <w:rPr>
                <w:szCs w:val="18"/>
              </w:rPr>
            </w:pPr>
            <w:r>
              <w:t>4.</w:t>
            </w:r>
            <w:r>
              <w:tab/>
              <w:t>Aðlögunarlausnir sem komið er í framkvæmd:</w:t>
            </w:r>
          </w:p>
          <w:p w14:paraId="1AEBEC91" w14:textId="77777777" w:rsidR="00D849E8" w:rsidRDefault="00D849E8" w:rsidP="00A9140F">
            <w:pPr>
              <w:pStyle w:val="AnnexNumberedText"/>
              <w:spacing w:after="100"/>
              <w:rPr>
                <w:szCs w:val="18"/>
              </w:rPr>
            </w:pPr>
            <w:r>
              <w:t>a)</w:t>
            </w:r>
            <w:r>
              <w:tab/>
              <w:t>hafa ekki neikvæð áhrif á viðleitni til aðlögunar eða viðnám annars fólks, náttúru, menningararfleifðar, eigna og annarrar atvinnustarfsemi gegn efnislegri loftslagsáhættu,</w:t>
            </w:r>
          </w:p>
          <w:p w14:paraId="67DF2D5F" w14:textId="77777777" w:rsidR="00D849E8" w:rsidRDefault="00D849E8" w:rsidP="00A9140F">
            <w:pPr>
              <w:pStyle w:val="AnnexNumberedText"/>
              <w:spacing w:after="100"/>
              <w:rPr>
                <w:szCs w:val="18"/>
              </w:rPr>
            </w:pPr>
            <w:r>
              <w:t>b)</w:t>
            </w:r>
            <w:r>
              <w:tab/>
              <w:t>eru með náttúrumiðaðar lausnir (</w:t>
            </w:r>
            <w:r>
              <w:rPr>
                <w:rStyle w:val="Tilvsunneanmlsgrein"/>
                <w:sz w:val="18"/>
                <w:szCs w:val="18"/>
              </w:rPr>
              <w:footnoteReference w:id="915"/>
            </w:r>
            <w:r>
              <w:t>) í forgangi eða treyst er á bláa eða græna innviði (</w:t>
            </w:r>
            <w:r>
              <w:rPr>
                <w:rStyle w:val="Tilvsunneanmlsgrein"/>
                <w:sz w:val="18"/>
                <w:szCs w:val="18"/>
              </w:rPr>
              <w:footnoteReference w:id="916"/>
            </w:r>
            <w:r>
              <w:t>) að því marki sem mögulegt er,</w:t>
            </w:r>
          </w:p>
          <w:p w14:paraId="77DC8647" w14:textId="77777777" w:rsidR="00D849E8" w:rsidRDefault="00D849E8" w:rsidP="00A9140F">
            <w:pPr>
              <w:pStyle w:val="AnnexNumberedText"/>
              <w:spacing w:after="100"/>
              <w:rPr>
                <w:szCs w:val="18"/>
              </w:rPr>
            </w:pPr>
            <w:r>
              <w:t>c)</w:t>
            </w:r>
            <w:r>
              <w:tab/>
              <w:t>eru í samræmi við staðbundnar, geirabundnar, svæðisbundnar eða landsbundnar aðlögunarstefnur og -áætlanir,</w:t>
            </w:r>
          </w:p>
          <w:p w14:paraId="621839CB" w14:textId="77777777" w:rsidR="00D849E8" w:rsidRDefault="00D849E8" w:rsidP="00A9140F">
            <w:pPr>
              <w:pStyle w:val="AnnexNumberedText"/>
              <w:spacing w:after="1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66DFF14" w14:textId="77777777" w:rsidR="00D849E8" w:rsidRDefault="00D849E8" w:rsidP="00A9140F">
            <w:pPr>
              <w:pStyle w:val="AnnexNumberedText"/>
              <w:spacing w:after="10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499D1CB2" w14:textId="77777777" w:rsidTr="00A9140F">
        <w:trPr>
          <w:trHeight w:val="240"/>
        </w:trPr>
        <w:tc>
          <w:tcPr>
            <w:tcW w:w="8736" w:type="dxa"/>
            <w:gridSpan w:val="2"/>
            <w:tcMar>
              <w:top w:w="100" w:type="dxa"/>
              <w:left w:w="0" w:type="dxa"/>
              <w:bottom w:w="100" w:type="dxa"/>
              <w:right w:w="60" w:type="dxa"/>
            </w:tcMar>
          </w:tcPr>
          <w:p w14:paraId="2099DC17" w14:textId="77777777" w:rsidR="00D849E8" w:rsidRDefault="00D849E8" w:rsidP="00A9140F">
            <w:pPr>
              <w:pStyle w:val="AnnexTableCellLeft"/>
            </w:pPr>
            <w:r>
              <w:t>Ekki valda umtalsverðu tjóni</w:t>
            </w:r>
          </w:p>
        </w:tc>
      </w:tr>
      <w:tr w:rsidR="00D849E8" w14:paraId="49F68D19" w14:textId="77777777" w:rsidTr="00A9140F">
        <w:trPr>
          <w:trHeight w:val="360"/>
        </w:trPr>
        <w:tc>
          <w:tcPr>
            <w:tcW w:w="3000" w:type="dxa"/>
            <w:tcMar>
              <w:top w:w="100" w:type="dxa"/>
              <w:left w:w="0" w:type="dxa"/>
              <w:bottom w:w="100" w:type="dxa"/>
              <w:right w:w="60" w:type="dxa"/>
            </w:tcMar>
          </w:tcPr>
          <w:p w14:paraId="2B62B74D" w14:textId="77777777" w:rsidR="00D849E8" w:rsidRDefault="00D849E8" w:rsidP="00A9140F">
            <w:pPr>
              <w:pStyle w:val="AnnexNumberedText"/>
              <w:ind w:left="293" w:hanging="293"/>
            </w:pPr>
            <w:r>
              <w:t>1)</w:t>
            </w:r>
            <w:r>
              <w:tab/>
              <w:t>Mildun loftslagsbreytinga</w:t>
            </w:r>
          </w:p>
        </w:tc>
        <w:tc>
          <w:tcPr>
            <w:tcW w:w="5736" w:type="dxa"/>
            <w:tcMar>
              <w:top w:w="100" w:type="dxa"/>
              <w:left w:w="60" w:type="dxa"/>
              <w:bottom w:w="100" w:type="dxa"/>
              <w:right w:w="0" w:type="dxa"/>
            </w:tcMar>
          </w:tcPr>
          <w:p w14:paraId="051EC843" w14:textId="77777777" w:rsidR="00D849E8" w:rsidRDefault="00D849E8" w:rsidP="00A9140F">
            <w:pPr>
              <w:pStyle w:val="AnnexTableCellLeft"/>
              <w:spacing w:after="120"/>
            </w:pPr>
            <w:r>
              <w:t>Grunnvirkið er ekki ætlað til flutnings eða geymslu á jarðefnaeldsneyti.</w:t>
            </w:r>
          </w:p>
          <w:p w14:paraId="08F56A2A" w14:textId="77777777" w:rsidR="00D849E8" w:rsidRDefault="00D849E8" w:rsidP="00A9140F">
            <w:pPr>
              <w:pStyle w:val="AnnexTableCellLeft"/>
            </w:pPr>
            <w:r>
              <w:t>Ef um er að ræða nýtt grunnvirki eða meiri háttar endurnýjun hafa innviðirnir verið loftslagsvarðir í samræmi við viðeigandi loftslagsverndaraðferðir sem ná yfir kolefnisspor og skýrt skilgreindan dulinn kostnað af kolefni. Slíkt kolefnisspor nær yfir losun í umfangi 1–3 og sýnir fram á að grunnvirkið leiðir ekki til hlutfallslegrar viðbótarlosunar gróðurhúsalofttegunda, reiknað út á grundvelli varfærinna forsenda, gilda og málsmeðferðar.</w:t>
            </w:r>
          </w:p>
        </w:tc>
      </w:tr>
      <w:tr w:rsidR="00D849E8" w14:paraId="67B450BA" w14:textId="77777777" w:rsidTr="00A9140F">
        <w:trPr>
          <w:trHeight w:val="360"/>
        </w:trPr>
        <w:tc>
          <w:tcPr>
            <w:tcW w:w="3000" w:type="dxa"/>
            <w:tcMar>
              <w:top w:w="100" w:type="dxa"/>
              <w:left w:w="0" w:type="dxa"/>
              <w:bottom w:w="100" w:type="dxa"/>
              <w:right w:w="60" w:type="dxa"/>
            </w:tcMar>
          </w:tcPr>
          <w:p w14:paraId="128FC8A2" w14:textId="77777777" w:rsidR="00D849E8" w:rsidRDefault="00D849E8" w:rsidP="00A9140F">
            <w:pPr>
              <w:pStyle w:val="AnnexNumberedText"/>
              <w:pageBreakBefore/>
              <w:ind w:left="293" w:hanging="293"/>
            </w:pPr>
            <w:r>
              <w:lastRenderedPageBreak/>
              <w:t>3)</w:t>
            </w:r>
            <w:r>
              <w:tab/>
              <w:t>Sjálfbær notkun og verndun vatns- og sjávarauðlinda</w:t>
            </w:r>
          </w:p>
        </w:tc>
        <w:tc>
          <w:tcPr>
            <w:tcW w:w="5736" w:type="dxa"/>
            <w:tcMar>
              <w:top w:w="100" w:type="dxa"/>
              <w:left w:w="60" w:type="dxa"/>
              <w:bottom w:w="100" w:type="dxa"/>
              <w:right w:w="0" w:type="dxa"/>
            </w:tcMar>
          </w:tcPr>
          <w:p w14:paraId="3110AC72" w14:textId="77777777" w:rsidR="00D849E8" w:rsidRDefault="00D849E8" w:rsidP="00A9140F">
            <w:pPr>
              <w:pStyle w:val="AnnexTableCellLeft"/>
            </w:pPr>
            <w:r>
              <w:t>Starfsemin er í samræmi við viðmiðanirnar sem settar eru fram í viðbæti B við þennan viðauka.</w:t>
            </w:r>
          </w:p>
        </w:tc>
      </w:tr>
      <w:tr w:rsidR="00D849E8" w14:paraId="338A3417" w14:textId="77777777" w:rsidTr="00A9140F">
        <w:trPr>
          <w:trHeight w:val="360"/>
        </w:trPr>
        <w:tc>
          <w:tcPr>
            <w:tcW w:w="3000" w:type="dxa"/>
            <w:tcMar>
              <w:top w:w="100" w:type="dxa"/>
              <w:left w:w="0" w:type="dxa"/>
              <w:bottom w:w="100" w:type="dxa"/>
              <w:right w:w="60" w:type="dxa"/>
            </w:tcMar>
          </w:tcPr>
          <w:p w14:paraId="0B89DC12" w14:textId="77777777" w:rsidR="00D849E8" w:rsidRDefault="00D849E8" w:rsidP="00A9140F">
            <w:pPr>
              <w:pStyle w:val="AnnexNumberedText"/>
              <w:ind w:left="293" w:hanging="293"/>
            </w:pPr>
            <w:r>
              <w:t>4)</w:t>
            </w:r>
            <w:r>
              <w:tab/>
              <w:t>Umskipti yfir í hringrásarhagkerfi</w:t>
            </w:r>
          </w:p>
        </w:tc>
        <w:tc>
          <w:tcPr>
            <w:tcW w:w="5736" w:type="dxa"/>
            <w:tcMar>
              <w:top w:w="100" w:type="dxa"/>
              <w:left w:w="60" w:type="dxa"/>
              <w:bottom w:w="100" w:type="dxa"/>
              <w:right w:w="0" w:type="dxa"/>
            </w:tcMar>
          </w:tcPr>
          <w:p w14:paraId="42CC529D" w14:textId="77777777" w:rsidR="00D849E8" w:rsidRDefault="00D849E8" w:rsidP="00A9140F">
            <w:pPr>
              <w:pStyle w:val="AnnexTableCellLeft"/>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917"/>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tc>
      </w:tr>
      <w:tr w:rsidR="00D849E8" w14:paraId="35A99AEB" w14:textId="77777777" w:rsidTr="00A9140F">
        <w:trPr>
          <w:trHeight w:val="360"/>
        </w:trPr>
        <w:tc>
          <w:tcPr>
            <w:tcW w:w="3000" w:type="dxa"/>
            <w:tcMar>
              <w:top w:w="100" w:type="dxa"/>
              <w:left w:w="0" w:type="dxa"/>
              <w:bottom w:w="100" w:type="dxa"/>
              <w:right w:w="60" w:type="dxa"/>
            </w:tcMar>
          </w:tcPr>
          <w:p w14:paraId="57FD3523" w14:textId="77777777" w:rsidR="00D849E8" w:rsidRDefault="00D849E8" w:rsidP="00A9140F">
            <w:pPr>
              <w:pStyle w:val="AnnexNumberedText"/>
              <w:ind w:left="293" w:hanging="293"/>
            </w:pPr>
            <w:r>
              <w:t>5)</w:t>
            </w:r>
            <w:r>
              <w:tab/>
              <w:t>Mengunarvarnir og eftirlit með mengun</w:t>
            </w:r>
          </w:p>
        </w:tc>
        <w:tc>
          <w:tcPr>
            <w:tcW w:w="5736" w:type="dxa"/>
            <w:tcMar>
              <w:top w:w="100" w:type="dxa"/>
              <w:left w:w="60" w:type="dxa"/>
              <w:bottom w:w="100" w:type="dxa"/>
              <w:right w:w="0" w:type="dxa"/>
            </w:tcMar>
          </w:tcPr>
          <w:p w14:paraId="27EC774D" w14:textId="77777777" w:rsidR="00D849E8" w:rsidRDefault="00D849E8" w:rsidP="00A9140F">
            <w:pPr>
              <w:pStyle w:val="AnnexTableCellLeft"/>
            </w:pPr>
            <w:r>
              <w:t>Ráðstafanir eru gerðar til að draga úr hávaða, ryki og losun mengandi efna meðan byggingar- eða viðhaldsvinna stendur yfir.</w:t>
            </w:r>
          </w:p>
        </w:tc>
      </w:tr>
      <w:tr w:rsidR="00D849E8" w14:paraId="607F8B1E" w14:textId="77777777" w:rsidTr="00A9140F">
        <w:trPr>
          <w:trHeight w:val="360"/>
        </w:trPr>
        <w:tc>
          <w:tcPr>
            <w:tcW w:w="3000" w:type="dxa"/>
            <w:tcMar>
              <w:top w:w="100" w:type="dxa"/>
              <w:left w:w="0" w:type="dxa"/>
              <w:bottom w:w="100" w:type="dxa"/>
              <w:right w:w="60" w:type="dxa"/>
            </w:tcMar>
          </w:tcPr>
          <w:p w14:paraId="46A8E9F6" w14:textId="77777777" w:rsidR="00D849E8" w:rsidRDefault="00D849E8" w:rsidP="00A9140F">
            <w:pPr>
              <w:pStyle w:val="AnnexNumberedText"/>
              <w:ind w:left="293" w:hanging="293"/>
            </w:pPr>
            <w:r>
              <w:t>6)</w:t>
            </w:r>
            <w:r>
              <w:tab/>
              <w:t>Vernd og endurheimt líffræðilegrar fjölbreytni og vistkerfa</w:t>
            </w:r>
          </w:p>
        </w:tc>
        <w:tc>
          <w:tcPr>
            <w:tcW w:w="5736" w:type="dxa"/>
            <w:tcMar>
              <w:top w:w="100" w:type="dxa"/>
              <w:left w:w="60" w:type="dxa"/>
              <w:bottom w:w="100" w:type="dxa"/>
              <w:right w:w="0" w:type="dxa"/>
            </w:tcMar>
          </w:tcPr>
          <w:p w14:paraId="59244BDF" w14:textId="77777777" w:rsidR="00D849E8" w:rsidRDefault="00D849E8" w:rsidP="00A9140F">
            <w:pPr>
              <w:pStyle w:val="AnnexTableCellLeft"/>
            </w:pPr>
            <w:r>
              <w:t>Starfsemin er í samræmi við viðmiðanirnar sem settar eru fram í viðbæti D við þennan viðauka.</w:t>
            </w:r>
          </w:p>
        </w:tc>
      </w:tr>
    </w:tbl>
    <w:p w14:paraId="1808E753" w14:textId="77777777" w:rsidR="00D849E8" w:rsidRDefault="00D849E8" w:rsidP="00D849E8">
      <w:pPr>
        <w:pStyle w:val="AnnexNumberedText"/>
        <w:ind w:left="504" w:hanging="504"/>
        <w:rPr>
          <w:sz w:val="16"/>
        </w:rPr>
      </w:pPr>
      <w:r>
        <w:t>7.</w:t>
      </w:r>
      <w:r>
        <w:tab/>
      </w:r>
      <w:r>
        <w:rPr>
          <w:sz w:val="16"/>
        </w:rPr>
        <w:t>BYGGINGAR OG MANNVIRKJAGERÐ OG FASTEIGNIR</w:t>
      </w:r>
    </w:p>
    <w:p w14:paraId="289F246F" w14:textId="77777777" w:rsidR="00D849E8" w:rsidRDefault="00D849E8" w:rsidP="00D849E8">
      <w:pPr>
        <w:pStyle w:val="AnnexNumberedText"/>
        <w:ind w:left="504" w:hanging="504"/>
      </w:pPr>
      <w:r>
        <w:t>7.1.</w:t>
      </w:r>
      <w:r>
        <w:rPr>
          <w:b/>
        </w:rPr>
        <w:tab/>
        <w:t>Smíði nýrra bygginga</w:t>
      </w:r>
    </w:p>
    <w:p w14:paraId="7C458286" w14:textId="77777777" w:rsidR="00D849E8" w:rsidRDefault="00D849E8" w:rsidP="00D849E8">
      <w:pPr>
        <w:pStyle w:val="AnnexGrSeq3"/>
        <w:spacing w:after="120"/>
        <w:ind w:left="504"/>
        <w:jc w:val="both"/>
      </w:pPr>
      <w:r>
        <w:rPr>
          <w:i/>
        </w:rPr>
        <w:t>Lýsing á starfseminni</w:t>
      </w:r>
    </w:p>
    <w:p w14:paraId="11AD4478" w14:textId="77777777" w:rsidR="00D849E8" w:rsidRDefault="00D849E8" w:rsidP="00D849E8">
      <w:pPr>
        <w:pStyle w:val="AnnexNormal"/>
        <w:spacing w:after="120"/>
        <w:ind w:left="504"/>
      </w:pPr>
      <w:r>
        <w:t>Þróun á byggingarverkefnum í tengslum við íbúðarhúsnæði og aðrar byggingar en íbúðarhúsnæði með því að leiða saman fjárhagslegar, tæknilegar og efnislegar aðferðir til að láta byggingarverkefnið verða að veruleika og selja það síðar, sem og bygging fullbúins íbúðarhúsnæðis og annarra bygginga en íbúðarhúsnæðis fyrir eigin reikning til sölu eða gegn þóknun eða á grundvelli samnings.</w:t>
      </w:r>
    </w:p>
    <w:p w14:paraId="3F2877C0" w14:textId="77777777" w:rsidR="00D849E8" w:rsidRDefault="00D849E8" w:rsidP="00D849E8">
      <w:pPr>
        <w:pStyle w:val="AnnexNormal"/>
        <w:spacing w:after="120"/>
        <w:ind w:left="504"/>
      </w:pPr>
      <w:r>
        <w:t>Atvinnustarfsemin í þessum flokki gæti tengst nokkrum kóðum atvinnugreinaflokkunar Evrópusambandsins, einkum F41.1 og F41.2, þ.m.t. einnig starfsemi samkvæmt F43, í samræmi við atvinnugreinaflokkunina sem komið var á með reglugerð (EB) nr. 1893/2006.</w:t>
      </w:r>
    </w:p>
    <w:p w14:paraId="0E86D785" w14:textId="77777777" w:rsidR="00D849E8" w:rsidRDefault="00D849E8" w:rsidP="00D849E8">
      <w:pPr>
        <w:pStyle w:val="AnnexGrSeq3"/>
        <w:spacing w:after="120"/>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64"/>
        <w:gridCol w:w="5772"/>
      </w:tblGrid>
      <w:tr w:rsidR="00D849E8" w14:paraId="2D79B2EB" w14:textId="77777777" w:rsidTr="00A9140F">
        <w:trPr>
          <w:trHeight w:val="280"/>
        </w:trPr>
        <w:tc>
          <w:tcPr>
            <w:tcW w:w="8736" w:type="dxa"/>
            <w:gridSpan w:val="2"/>
            <w:tcBorders>
              <w:bottom w:val="single" w:sz="4" w:space="0" w:color="auto"/>
            </w:tcBorders>
            <w:tcMar>
              <w:left w:w="0" w:type="dxa"/>
              <w:right w:w="60" w:type="dxa"/>
            </w:tcMar>
          </w:tcPr>
          <w:p w14:paraId="6606C9D4" w14:textId="77777777" w:rsidR="00D849E8" w:rsidRDefault="00D849E8" w:rsidP="00A9140F">
            <w:pPr>
              <w:pStyle w:val="AnnexTableCellLeft"/>
              <w:spacing w:before="40" w:after="40"/>
            </w:pPr>
            <w:r>
              <w:t>Verulegt framlag til aðlögunar að loftslagsbreytingum</w:t>
            </w:r>
          </w:p>
        </w:tc>
      </w:tr>
      <w:tr w:rsidR="00D849E8" w14:paraId="4D7FDDE3" w14:textId="77777777" w:rsidTr="00A9140F">
        <w:trPr>
          <w:trHeight w:val="360"/>
        </w:trPr>
        <w:tc>
          <w:tcPr>
            <w:tcW w:w="8736" w:type="dxa"/>
            <w:gridSpan w:val="2"/>
            <w:tcBorders>
              <w:bottom w:val="nil"/>
            </w:tcBorders>
            <w:tcMar>
              <w:left w:w="0" w:type="dxa"/>
              <w:right w:w="60" w:type="dxa"/>
            </w:tcMar>
          </w:tcPr>
          <w:p w14:paraId="30D1A03D" w14:textId="77777777" w:rsidR="00D849E8" w:rsidRDefault="00D849E8" w:rsidP="00A9140F">
            <w:pPr>
              <w:pStyle w:val="AnnexNumberedText"/>
              <w:tabs>
                <w:tab w:val="left" w:pos="396"/>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74FD06D8" w14:textId="77777777" w:rsidR="00D849E8" w:rsidRDefault="00D849E8" w:rsidP="00A9140F">
            <w:pPr>
              <w:pStyle w:val="AnnexNumberedText"/>
              <w:tabs>
                <w:tab w:val="left" w:pos="396"/>
              </w:tabs>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9FC7FA3" w14:textId="77777777" w:rsidR="00D849E8" w:rsidRDefault="00D849E8" w:rsidP="00A9140F">
            <w:pPr>
              <w:pStyle w:val="AnnexNumberedText"/>
            </w:pPr>
            <w:r>
              <w:t>a)</w:t>
            </w:r>
            <w:r>
              <w:tab/>
              <w:t>skimun á starfseminni til að greina hvaða efnislega loftslagsáhætta úr skránni í viðbæti A við þennan viðauka getur haft áhrif á árangurinn af atvinnustarfseminni á væntum líftíma hennar,</w:t>
            </w:r>
          </w:p>
          <w:p w14:paraId="56B94ABC" w14:textId="77777777" w:rsidR="00D849E8" w:rsidRDefault="00D849E8" w:rsidP="00A9140F">
            <w:pPr>
              <w:pStyle w:val="AnnexNumberedText"/>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D74E2D2" w14:textId="77777777" w:rsidR="00D849E8" w:rsidRDefault="00D849E8" w:rsidP="00A9140F">
            <w:pPr>
              <w:pStyle w:val="AnnexNumberedText"/>
            </w:pPr>
            <w:r>
              <w:t>c)</w:t>
            </w:r>
            <w:r>
              <w:tab/>
              <w:t>mat á aðlögunarlausnum sem geta dregið úr greindri efnislegri loftslagsáhættu.</w:t>
            </w:r>
          </w:p>
          <w:p w14:paraId="282E4192" w14:textId="77777777" w:rsidR="00D849E8" w:rsidRDefault="00D849E8" w:rsidP="00A9140F">
            <w:pPr>
              <w:pStyle w:val="AnnexTableCellLeft"/>
              <w:spacing w:after="120"/>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1196491F" w14:textId="77777777" w:rsidR="00D849E8" w:rsidRDefault="00D849E8" w:rsidP="00A9140F">
            <w:pPr>
              <w:pStyle w:val="AnnexNumberedText"/>
              <w:spacing w:after="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tc>
      </w:tr>
      <w:tr w:rsidR="00D849E8" w14:paraId="22CC6AEA" w14:textId="77777777" w:rsidTr="00A9140F">
        <w:trPr>
          <w:trHeight w:val="360"/>
        </w:trPr>
        <w:tc>
          <w:tcPr>
            <w:tcW w:w="8736" w:type="dxa"/>
            <w:gridSpan w:val="2"/>
            <w:tcBorders>
              <w:top w:val="nil"/>
            </w:tcBorders>
            <w:tcMar>
              <w:left w:w="0" w:type="dxa"/>
              <w:right w:w="60" w:type="dxa"/>
            </w:tcMar>
          </w:tcPr>
          <w:p w14:paraId="3D702D13" w14:textId="77777777" w:rsidR="00D849E8" w:rsidRDefault="00D849E8" w:rsidP="00A9140F">
            <w:pPr>
              <w:pStyle w:val="AnnexNumberedText"/>
              <w:pageBreakBefore/>
              <w:rPr>
                <w:szCs w:val="18"/>
              </w:rPr>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18"/>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37E030D" w14:textId="77777777" w:rsidR="00D849E8" w:rsidRDefault="00D849E8"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19"/>
            </w:r>
            <w:r>
              <w:t>), vísindalegt ritrýnt útgefið efni og líkön með opnum aðgangi (</w:t>
            </w:r>
            <w:r>
              <w:rPr>
                <w:rStyle w:val="Tilvsunneanmlsgrein"/>
                <w:sz w:val="18"/>
                <w:szCs w:val="18"/>
              </w:rPr>
              <w:footnoteReference w:id="920"/>
            </w:r>
            <w:r>
              <w:t>) eða gegn greiðslu.</w:t>
            </w:r>
          </w:p>
          <w:p w14:paraId="6447D8B2"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33510FBD"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47D58ECA"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921"/>
            </w:r>
            <w:r>
              <w:t>) í forgangi eða treyst er á bláa eða græna innviði (</w:t>
            </w:r>
            <w:r>
              <w:rPr>
                <w:rStyle w:val="Tilvsunneanmlsgrein"/>
                <w:sz w:val="18"/>
                <w:szCs w:val="18"/>
              </w:rPr>
              <w:footnoteReference w:id="922"/>
            </w:r>
            <w:r>
              <w:t>) að því marki sem mögulegt er,</w:t>
            </w:r>
          </w:p>
          <w:p w14:paraId="66D3C002"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647A0AC1"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8FB7BE2"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67B4394D" w14:textId="77777777" w:rsidTr="00A9140F">
        <w:trPr>
          <w:trHeight w:val="240"/>
        </w:trPr>
        <w:tc>
          <w:tcPr>
            <w:tcW w:w="8736" w:type="dxa"/>
            <w:gridSpan w:val="2"/>
            <w:tcMar>
              <w:top w:w="100" w:type="dxa"/>
              <w:left w:w="0" w:type="dxa"/>
              <w:bottom w:w="100" w:type="dxa"/>
              <w:right w:w="60" w:type="dxa"/>
            </w:tcMar>
          </w:tcPr>
          <w:p w14:paraId="172E565F" w14:textId="77777777" w:rsidR="00D849E8" w:rsidRDefault="00D849E8" w:rsidP="00A9140F">
            <w:pPr>
              <w:pStyle w:val="AnnexTableCellLeft"/>
            </w:pPr>
            <w:r>
              <w:t>Ekki valda umtalsverðu tjóni</w:t>
            </w:r>
          </w:p>
        </w:tc>
      </w:tr>
      <w:tr w:rsidR="00D849E8" w14:paraId="27EDADF8" w14:textId="77777777" w:rsidTr="00A9140F">
        <w:tc>
          <w:tcPr>
            <w:tcW w:w="2964" w:type="dxa"/>
            <w:tcBorders>
              <w:bottom w:val="single" w:sz="4" w:space="0" w:color="auto"/>
            </w:tcBorders>
            <w:tcMar>
              <w:top w:w="100" w:type="dxa"/>
              <w:left w:w="0" w:type="dxa"/>
              <w:bottom w:w="100" w:type="dxa"/>
              <w:right w:w="60" w:type="dxa"/>
            </w:tcMar>
          </w:tcPr>
          <w:p w14:paraId="0807210F" w14:textId="77777777" w:rsidR="00D849E8" w:rsidRDefault="00D849E8" w:rsidP="00A9140F">
            <w:pPr>
              <w:pStyle w:val="AnnexNumberedText"/>
              <w:spacing w:after="0"/>
              <w:ind w:left="293" w:hanging="293"/>
              <w:rPr>
                <w:szCs w:val="18"/>
              </w:rPr>
            </w:pPr>
            <w:r>
              <w:t>1)</w:t>
            </w:r>
            <w:r>
              <w:tab/>
              <w:t>Mildun loftslagsbreytinga</w:t>
            </w:r>
          </w:p>
        </w:tc>
        <w:tc>
          <w:tcPr>
            <w:tcW w:w="5772" w:type="dxa"/>
            <w:tcBorders>
              <w:bottom w:val="single" w:sz="4" w:space="0" w:color="auto"/>
            </w:tcBorders>
            <w:tcMar>
              <w:top w:w="100" w:type="dxa"/>
              <w:left w:w="60" w:type="dxa"/>
              <w:bottom w:w="100" w:type="dxa"/>
              <w:right w:w="0" w:type="dxa"/>
            </w:tcMar>
          </w:tcPr>
          <w:p w14:paraId="148BE703" w14:textId="77777777" w:rsidR="00D849E8" w:rsidRDefault="00D849E8" w:rsidP="00A9140F">
            <w:pPr>
              <w:pStyle w:val="AnnexTableCellLeft"/>
              <w:spacing w:after="120"/>
              <w:rPr>
                <w:szCs w:val="18"/>
              </w:rPr>
            </w:pPr>
            <w:r>
              <w:t>Byggingin er ekki ætluð til vinnslu, geymslu, flutnings eða framleiðslu á jarðefnaeldsneyti.</w:t>
            </w:r>
          </w:p>
          <w:p w14:paraId="562A1829" w14:textId="77777777" w:rsidR="00D849E8" w:rsidRDefault="00D849E8" w:rsidP="00A9140F">
            <w:pPr>
              <w:pStyle w:val="AnnexTableCellLeft"/>
              <w:rPr>
                <w:szCs w:val="18"/>
              </w:rPr>
            </w:pPr>
            <w:r>
              <w:t>Frumorkuþörf (</w:t>
            </w:r>
            <w:r>
              <w:rPr>
                <w:rStyle w:val="Tilvsunneanmlsgrein"/>
                <w:sz w:val="18"/>
                <w:szCs w:val="18"/>
              </w:rPr>
              <w:footnoteReference w:id="923"/>
            </w:r>
            <w:r>
              <w:t>), þar sem orkunýting byggingar sem var reist kemur fram, fer ekki yfir viðmiðunarmörkin sem voru fastsett fyrir kröfurnar um nánast núllorkubyggingu í landsráðstöfunum til framkvæmdar tilskipun 2010/31/ESB. Orkunýtingin er vottuð með því að nota orkunýtingarvottorð.</w:t>
            </w:r>
          </w:p>
        </w:tc>
      </w:tr>
      <w:tr w:rsidR="00D849E8" w14:paraId="3FAB9D00" w14:textId="77777777" w:rsidTr="00A9140F">
        <w:tc>
          <w:tcPr>
            <w:tcW w:w="2964" w:type="dxa"/>
            <w:tcBorders>
              <w:bottom w:val="nil"/>
            </w:tcBorders>
            <w:tcMar>
              <w:top w:w="100" w:type="dxa"/>
              <w:left w:w="0" w:type="dxa"/>
              <w:bottom w:w="100" w:type="dxa"/>
              <w:right w:w="60" w:type="dxa"/>
            </w:tcMar>
          </w:tcPr>
          <w:p w14:paraId="6437CB19" w14:textId="77777777" w:rsidR="00D849E8" w:rsidRDefault="00D849E8" w:rsidP="00A9140F">
            <w:pPr>
              <w:pStyle w:val="AnnexNumberedText"/>
              <w:spacing w:after="0"/>
              <w:ind w:left="293" w:hanging="293"/>
            </w:pPr>
            <w:r>
              <w:t>3)</w:t>
            </w:r>
            <w:r>
              <w:tab/>
              <w:t>Sjálfbær notkun og verndun vatns- og sjávarauðlinda</w:t>
            </w:r>
          </w:p>
        </w:tc>
        <w:tc>
          <w:tcPr>
            <w:tcW w:w="5772" w:type="dxa"/>
            <w:tcBorders>
              <w:bottom w:val="nil"/>
            </w:tcBorders>
            <w:tcMar>
              <w:top w:w="100" w:type="dxa"/>
              <w:left w:w="60" w:type="dxa"/>
              <w:bottom w:w="100" w:type="dxa"/>
              <w:right w:w="0" w:type="dxa"/>
            </w:tcMar>
          </w:tcPr>
          <w:p w14:paraId="4B776D46" w14:textId="77777777" w:rsidR="00D849E8" w:rsidRDefault="00D849E8" w:rsidP="00A9140F">
            <w:pPr>
              <w:pStyle w:val="AnnexTableCellLeft"/>
              <w:spacing w:after="120"/>
            </w:pPr>
            <w:r>
              <w:t>Ef eftirfarandi vatnsbúnaður er uppsettur, að undanskilinni uppsetningu í íbúðarhúsnæðiseiningum, er tilgreind vatnsnotkun hans staðfest með gagnablaði fyrir vöruna, byggingarvottun eða fyrirliggjandi merkimiða vörunnar í Sambandinu í samræmi við tækniforskriftirnar sem mælt er fyrir um í viðbæti E við I. viðauka við þessa reglugerð:</w:t>
            </w:r>
          </w:p>
          <w:p w14:paraId="3FA8058C" w14:textId="77777777" w:rsidR="00D849E8" w:rsidRDefault="00D849E8" w:rsidP="00A9140F">
            <w:pPr>
              <w:pStyle w:val="AnnexNumberedText"/>
              <w:ind w:left="293" w:hanging="293"/>
            </w:pPr>
            <w:r>
              <w:t>a)</w:t>
            </w:r>
            <w:r>
              <w:tab/>
              <w:t>hámarksvatnsflæði í krönum á handlaugum og eldhúsvöskum nemur 6 lítrum/mín,</w:t>
            </w:r>
          </w:p>
          <w:p w14:paraId="2BE9B403" w14:textId="77777777" w:rsidR="00D849E8" w:rsidRDefault="00D849E8" w:rsidP="00A9140F">
            <w:pPr>
              <w:pStyle w:val="AnnexNumberedText"/>
              <w:spacing w:after="0"/>
              <w:ind w:left="293" w:hanging="293"/>
            </w:pPr>
            <w:r>
              <w:t>b)</w:t>
            </w:r>
            <w:r>
              <w:tab/>
              <w:t>hámarksvatnsflæði í sturtum nemur 8 lítrum/mín,</w:t>
            </w:r>
          </w:p>
        </w:tc>
      </w:tr>
      <w:tr w:rsidR="00D849E8" w14:paraId="5AC0043A" w14:textId="77777777" w:rsidTr="00A9140F">
        <w:tc>
          <w:tcPr>
            <w:tcW w:w="2964" w:type="dxa"/>
            <w:tcBorders>
              <w:top w:val="single" w:sz="4" w:space="0" w:color="auto"/>
            </w:tcBorders>
            <w:tcMar>
              <w:top w:w="100" w:type="dxa"/>
              <w:left w:w="0" w:type="dxa"/>
              <w:bottom w:w="100" w:type="dxa"/>
              <w:right w:w="60" w:type="dxa"/>
            </w:tcMar>
          </w:tcPr>
          <w:p w14:paraId="35B2CE89" w14:textId="77777777" w:rsidR="00D849E8" w:rsidRDefault="00D849E8" w:rsidP="00A9140F">
            <w:pPr>
              <w:pStyle w:val="AnnexTableCellLeft"/>
              <w:pageBreakBefore/>
            </w:pPr>
          </w:p>
        </w:tc>
        <w:tc>
          <w:tcPr>
            <w:tcW w:w="5772" w:type="dxa"/>
            <w:tcBorders>
              <w:top w:val="single" w:sz="4" w:space="0" w:color="auto"/>
            </w:tcBorders>
            <w:tcMar>
              <w:top w:w="100" w:type="dxa"/>
              <w:left w:w="60" w:type="dxa"/>
              <w:bottom w:w="100" w:type="dxa"/>
              <w:right w:w="0" w:type="dxa"/>
            </w:tcMar>
          </w:tcPr>
          <w:p w14:paraId="27AA26D4" w14:textId="77777777" w:rsidR="00D849E8" w:rsidRDefault="00D849E8" w:rsidP="00A9140F">
            <w:pPr>
              <w:pStyle w:val="AnnexNumberedText"/>
              <w:spacing w:after="200"/>
              <w:ind w:left="293" w:hanging="293"/>
            </w:pPr>
            <w:r>
              <w:t>c)</w:t>
            </w:r>
            <w:r>
              <w:tab/>
              <w:t xml:space="preserve">fullt </w:t>
            </w:r>
            <w:proofErr w:type="spellStart"/>
            <w:r>
              <w:t>skolmagn</w:t>
            </w:r>
            <w:proofErr w:type="spellEnd"/>
            <w:r>
              <w:t xml:space="preserve"> í salernum, þ.m.t. skálar og salerniskassar, nemur að hámarki 6 lítrum og mesta meðalskolmagn nemur 3,5 lítrum,</w:t>
            </w:r>
          </w:p>
          <w:p w14:paraId="45A04A50" w14:textId="77777777" w:rsidR="00D849E8" w:rsidRDefault="00D849E8" w:rsidP="00A9140F">
            <w:pPr>
              <w:pStyle w:val="AnnexNumberedText"/>
              <w:spacing w:after="200"/>
              <w:ind w:left="293" w:hanging="293"/>
            </w:pPr>
            <w:r>
              <w:t>d)</w:t>
            </w:r>
            <w:r>
              <w:tab/>
              <w:t xml:space="preserve">þvagskálar nota að hámarki 2 lítra/skál/klst. Fullt </w:t>
            </w:r>
            <w:proofErr w:type="spellStart"/>
            <w:r>
              <w:t>skolmagn</w:t>
            </w:r>
            <w:proofErr w:type="spellEnd"/>
            <w:r>
              <w:t xml:space="preserve"> í vatnsþvagskálum nemur að hámarki 1 lítra.</w:t>
            </w:r>
          </w:p>
          <w:p w14:paraId="314FBADA" w14:textId="77777777" w:rsidR="00D849E8" w:rsidRDefault="00D849E8" w:rsidP="00A9140F">
            <w:pPr>
              <w:pStyle w:val="AnnexTableCellLeft"/>
            </w:pPr>
            <w:r>
              <w:t>Til að koma í veg fyrir áhrif frá byggingarsvæði er starfsemin í samræmi við viðmiðanirnar sem settar eru fram í viðbæti B við þennan viðauka.</w:t>
            </w:r>
          </w:p>
        </w:tc>
      </w:tr>
      <w:tr w:rsidR="00D849E8" w14:paraId="3E58926E" w14:textId="77777777" w:rsidTr="00A9140F">
        <w:tc>
          <w:tcPr>
            <w:tcW w:w="2964" w:type="dxa"/>
            <w:tcMar>
              <w:top w:w="100" w:type="dxa"/>
              <w:left w:w="0" w:type="dxa"/>
              <w:bottom w:w="100" w:type="dxa"/>
              <w:right w:w="60" w:type="dxa"/>
            </w:tcMar>
          </w:tcPr>
          <w:p w14:paraId="136F0668" w14:textId="77777777" w:rsidR="00D849E8" w:rsidRDefault="00D849E8" w:rsidP="00A9140F">
            <w:pPr>
              <w:pStyle w:val="AnnexNumberedText"/>
              <w:spacing w:after="0"/>
              <w:ind w:left="293" w:hanging="293"/>
              <w:rPr>
                <w:szCs w:val="18"/>
              </w:rPr>
            </w:pPr>
            <w:r>
              <w:t>4)</w:t>
            </w:r>
            <w:r>
              <w:tab/>
              <w:t>Umskipti yfir í hringrásarhagkerfi</w:t>
            </w:r>
          </w:p>
        </w:tc>
        <w:tc>
          <w:tcPr>
            <w:tcW w:w="5772" w:type="dxa"/>
            <w:tcMar>
              <w:top w:w="100" w:type="dxa"/>
              <w:left w:w="60" w:type="dxa"/>
              <w:bottom w:w="100" w:type="dxa"/>
              <w:right w:w="0" w:type="dxa"/>
            </w:tcMar>
          </w:tcPr>
          <w:p w14:paraId="25557563" w14:textId="77777777" w:rsidR="00D849E8" w:rsidRDefault="00D849E8" w:rsidP="00A9140F">
            <w:pPr>
              <w:pStyle w:val="AnnexTableCellLeft"/>
              <w:spacing w:after="200"/>
              <w:rPr>
                <w:szCs w:val="18"/>
              </w:rPr>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924"/>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p w14:paraId="5A8513E1" w14:textId="77777777" w:rsidR="00D849E8" w:rsidRDefault="00D849E8" w:rsidP="00A9140F">
            <w:pPr>
              <w:pStyle w:val="AnnexTableCellLeft"/>
              <w:rPr>
                <w:szCs w:val="18"/>
              </w:rPr>
            </w:pPr>
            <w:r>
              <w:t>Hönnun bygginga og byggingatækni styðja við hringrásina og einkum er sýnt fram á, með tilvísun til ISO 20887 (</w:t>
            </w:r>
            <w:r>
              <w:rPr>
                <w:rStyle w:val="Tilvsunneanmlsgrein"/>
                <w:sz w:val="18"/>
                <w:szCs w:val="18"/>
              </w:rPr>
              <w:footnoteReference w:id="925"/>
            </w:r>
            <w:r>
              <w:t xml:space="preserve">) eða annarra staðla til að meta </w:t>
            </w:r>
            <w:proofErr w:type="spellStart"/>
            <w:r>
              <w:t>sundurhlutun</w:t>
            </w:r>
            <w:proofErr w:type="spellEnd"/>
            <w:r>
              <w:t xml:space="preserve"> eða aðlögunarhæfni bygginga, hvernig þær eru hannaðar til að vera </w:t>
            </w:r>
            <w:proofErr w:type="spellStart"/>
            <w:r>
              <w:t>auðlindanýtnari</w:t>
            </w:r>
            <w:proofErr w:type="spellEnd"/>
            <w:r>
              <w:t xml:space="preserve">, aðlögunarhæfari, sveigjanlegri og auðveldari til </w:t>
            </w:r>
            <w:proofErr w:type="spellStart"/>
            <w:r>
              <w:t>sundurhlutunar</w:t>
            </w:r>
            <w:proofErr w:type="spellEnd"/>
            <w:r>
              <w:t xml:space="preserve"> til að gera endurnotkun og endurvinnslu mögulega.</w:t>
            </w:r>
          </w:p>
        </w:tc>
      </w:tr>
      <w:tr w:rsidR="00D849E8" w14:paraId="184A03FD" w14:textId="77777777" w:rsidTr="00A9140F">
        <w:tc>
          <w:tcPr>
            <w:tcW w:w="2964" w:type="dxa"/>
            <w:tcMar>
              <w:top w:w="100" w:type="dxa"/>
              <w:left w:w="0" w:type="dxa"/>
              <w:bottom w:w="100" w:type="dxa"/>
              <w:right w:w="60" w:type="dxa"/>
            </w:tcMar>
          </w:tcPr>
          <w:p w14:paraId="66F64AD1" w14:textId="77777777" w:rsidR="00D849E8" w:rsidRDefault="00D849E8" w:rsidP="00A9140F">
            <w:pPr>
              <w:pStyle w:val="AnnexNumberedText"/>
              <w:spacing w:after="0"/>
              <w:ind w:left="293" w:hanging="293"/>
              <w:rPr>
                <w:szCs w:val="18"/>
              </w:rPr>
            </w:pPr>
            <w:r>
              <w:t>5)</w:t>
            </w:r>
            <w:r>
              <w:tab/>
              <w:t>Mengunarvarnir og eftirlit með mengun</w:t>
            </w:r>
          </w:p>
        </w:tc>
        <w:tc>
          <w:tcPr>
            <w:tcW w:w="5772" w:type="dxa"/>
            <w:tcMar>
              <w:top w:w="100" w:type="dxa"/>
              <w:left w:w="60" w:type="dxa"/>
              <w:bottom w:w="100" w:type="dxa"/>
              <w:right w:w="0" w:type="dxa"/>
            </w:tcMar>
          </w:tcPr>
          <w:p w14:paraId="11A1315C" w14:textId="77777777" w:rsidR="00D849E8" w:rsidRDefault="00D849E8" w:rsidP="00A9140F">
            <w:pPr>
              <w:pStyle w:val="AnnexTableCellLeft"/>
              <w:spacing w:after="200"/>
              <w:rPr>
                <w:szCs w:val="18"/>
              </w:rPr>
            </w:pPr>
            <w:r>
              <w:t>Byggingaríhlutir og byggingarefni sem eru notuð í bygginguna uppfylla viðmiðanirnar sem settar eru fram í viðbæti C við þennan viðauka.</w:t>
            </w:r>
          </w:p>
          <w:p w14:paraId="6FEF4C71" w14:textId="77777777" w:rsidR="00D849E8" w:rsidRDefault="00D849E8" w:rsidP="00A9140F">
            <w:pPr>
              <w:pStyle w:val="AnnexTableCellLeft"/>
              <w:spacing w:after="200"/>
              <w:rPr>
                <w:szCs w:val="18"/>
              </w:rPr>
            </w:pPr>
            <w:r>
              <w:t>Byggingaríhlutir og byggingarefni, sem eru notuð í bygginguna, sem geta komist í snertingu við íbúa (</w:t>
            </w:r>
            <w:r>
              <w:rPr>
                <w:rStyle w:val="Tilvsunneanmlsgrein"/>
                <w:sz w:val="18"/>
                <w:szCs w:val="18"/>
              </w:rPr>
              <w:footnoteReference w:id="926"/>
            </w:r>
            <w:r>
              <w:t xml:space="preserve">) losa minna en 0,06 mg af </w:t>
            </w:r>
            <w:proofErr w:type="spellStart"/>
            <w:r>
              <w:t>formaldehýði</w:t>
            </w:r>
            <w:proofErr w:type="spellEnd"/>
            <w:r>
              <w:t xml:space="preserve"> á hvern m</w:t>
            </w:r>
            <w:r>
              <w:rPr>
                <w:vertAlign w:val="superscript"/>
              </w:rPr>
              <w:t>3</w:t>
            </w:r>
            <w:r>
              <w:t xml:space="preserve"> af efni eða íhlut við prófun, í samræmi við skilyrðin sem eru tilgreind í XVII. viðauka við reglugerð (EB) nr. 1907/2006, og minna en 0,001 mg af öðrum krabbameinsvaldandi rokgjörnum, lífrænum efnasamböndum í undirflokkum 1A og 1B á hvern m</w:t>
            </w:r>
            <w:r>
              <w:rPr>
                <w:vertAlign w:val="superscript"/>
              </w:rPr>
              <w:t>3</w:t>
            </w:r>
            <w:r>
              <w:t xml:space="preserve"> af efni eða íhlut við prófun í samræmi við CEN/EN 16516 (</w:t>
            </w:r>
            <w:r>
              <w:rPr>
                <w:rStyle w:val="Tilvsunneanmlsgrein"/>
                <w:sz w:val="18"/>
                <w:szCs w:val="18"/>
              </w:rPr>
              <w:footnoteReference w:id="927"/>
            </w:r>
            <w:r>
              <w:t>) eða ISO 16000-3:2011 (</w:t>
            </w:r>
            <w:r>
              <w:rPr>
                <w:rStyle w:val="Tilvsunneanmlsgrein"/>
                <w:sz w:val="18"/>
                <w:szCs w:val="18"/>
              </w:rPr>
              <w:footnoteReference w:id="928"/>
            </w:r>
            <w:r>
              <w:t>) eða önnur jafngild stöðluð prófunarskilyrði og ákvörðunaraðferðir (</w:t>
            </w:r>
            <w:r>
              <w:rPr>
                <w:rStyle w:val="Tilvsunneanmlsgrein"/>
                <w:sz w:val="18"/>
                <w:szCs w:val="18"/>
              </w:rPr>
              <w:footnoteReference w:id="929"/>
            </w:r>
            <w:r>
              <w:t>).</w:t>
            </w:r>
          </w:p>
          <w:p w14:paraId="4A5489D4" w14:textId="77777777" w:rsidR="00D849E8" w:rsidRDefault="00D849E8" w:rsidP="00A9140F">
            <w:pPr>
              <w:pStyle w:val="AnnexTableCellLeft"/>
              <w:spacing w:after="200"/>
              <w:rPr>
                <w:szCs w:val="18"/>
              </w:rPr>
            </w:pPr>
            <w:r>
              <w:t xml:space="preserve">Ef nýja byggingin er á svæði sem er hugsanlega mengað (endurbyggingarsvæði) hefur svæðið verið rannsakað m.t.t. mögulegra </w:t>
            </w:r>
            <w:proofErr w:type="spellStart"/>
            <w:r>
              <w:t>aðskotaefna</w:t>
            </w:r>
            <w:proofErr w:type="spellEnd"/>
            <w:r>
              <w:t xml:space="preserve">, t.d. með notkun </w:t>
            </w:r>
            <w:proofErr w:type="spellStart"/>
            <w:r>
              <w:t>staðalsins</w:t>
            </w:r>
            <w:proofErr w:type="spellEnd"/>
            <w:r>
              <w:t xml:space="preserve"> ISO 18400 (</w:t>
            </w:r>
            <w:r>
              <w:rPr>
                <w:rStyle w:val="Tilvsunneanmlsgrein"/>
                <w:sz w:val="18"/>
                <w:szCs w:val="18"/>
              </w:rPr>
              <w:footnoteReference w:id="930"/>
            </w:r>
            <w:r>
              <w:t>).</w:t>
            </w:r>
          </w:p>
          <w:p w14:paraId="283870BE" w14:textId="77777777" w:rsidR="00D849E8" w:rsidRDefault="00D849E8" w:rsidP="00A9140F">
            <w:pPr>
              <w:pStyle w:val="AnnexTableCellLeft"/>
              <w:rPr>
                <w:szCs w:val="18"/>
              </w:rPr>
            </w:pPr>
            <w:r>
              <w:t>Ráðstafanir eru gerðar til að draga úr hávaða, ryki og losun mengandi efna meðan byggingar- eða viðhaldsvinna stendur yfir.</w:t>
            </w:r>
          </w:p>
        </w:tc>
      </w:tr>
      <w:tr w:rsidR="00D849E8" w14:paraId="6B9C0E95" w14:textId="77777777" w:rsidTr="00A9140F">
        <w:tc>
          <w:tcPr>
            <w:tcW w:w="2964" w:type="dxa"/>
            <w:tcMar>
              <w:top w:w="100" w:type="dxa"/>
              <w:left w:w="0" w:type="dxa"/>
              <w:bottom w:w="100" w:type="dxa"/>
              <w:right w:w="60" w:type="dxa"/>
            </w:tcMar>
          </w:tcPr>
          <w:p w14:paraId="6A87C804" w14:textId="77777777" w:rsidR="00D849E8" w:rsidRDefault="00D849E8" w:rsidP="00A9140F">
            <w:pPr>
              <w:pStyle w:val="AnnexNumberedText"/>
              <w:pageBreakBefore/>
              <w:spacing w:after="0"/>
              <w:ind w:left="293" w:hanging="293"/>
              <w:rPr>
                <w:szCs w:val="18"/>
              </w:rPr>
            </w:pPr>
            <w:r>
              <w:lastRenderedPageBreak/>
              <w:t>6)</w:t>
            </w:r>
            <w:r>
              <w:tab/>
              <w:t>Vernd og endurheimt líffræðilegrar fjölbreytni og vistkerfa</w:t>
            </w:r>
          </w:p>
        </w:tc>
        <w:tc>
          <w:tcPr>
            <w:tcW w:w="5772" w:type="dxa"/>
            <w:tcMar>
              <w:top w:w="100" w:type="dxa"/>
              <w:left w:w="60" w:type="dxa"/>
              <w:bottom w:w="100" w:type="dxa"/>
              <w:right w:w="0" w:type="dxa"/>
            </w:tcMar>
          </w:tcPr>
          <w:p w14:paraId="761129C0" w14:textId="77777777" w:rsidR="00D849E8" w:rsidRDefault="00D849E8" w:rsidP="00A9140F">
            <w:pPr>
              <w:pStyle w:val="AnnexTableCellLeft"/>
              <w:spacing w:after="200"/>
              <w:rPr>
                <w:szCs w:val="18"/>
              </w:rPr>
            </w:pPr>
            <w:r>
              <w:t>Starfsemin er í samræmi við viðmiðanirnar sem settar eru fram í viðbæti D við þennan viðauka.</w:t>
            </w:r>
          </w:p>
          <w:p w14:paraId="0B7BA4F6" w14:textId="77777777" w:rsidR="00D849E8" w:rsidRDefault="00D849E8" w:rsidP="00A9140F">
            <w:pPr>
              <w:pStyle w:val="AnnexTableCellLeft"/>
              <w:spacing w:after="200"/>
              <w:rPr>
                <w:szCs w:val="18"/>
              </w:rPr>
            </w:pPr>
            <w:r>
              <w:t>Nýja byggingin er ekki byggð á einu af eftirfarandi:</w:t>
            </w:r>
          </w:p>
          <w:p w14:paraId="21742EBC" w14:textId="77777777" w:rsidR="00D849E8" w:rsidRDefault="00D849E8" w:rsidP="00A9140F">
            <w:pPr>
              <w:pStyle w:val="AnnexNumberedText"/>
              <w:spacing w:after="200"/>
              <w:ind w:left="293" w:hanging="293"/>
              <w:rPr>
                <w:szCs w:val="18"/>
              </w:rPr>
            </w:pPr>
            <w:r>
              <w:t>a)</w:t>
            </w:r>
            <w:r>
              <w:tab/>
            </w:r>
            <w:proofErr w:type="spellStart"/>
            <w:r>
              <w:t>akurlandi</w:t>
            </w:r>
            <w:proofErr w:type="spellEnd"/>
            <w:r>
              <w:t xml:space="preserve"> og ræktuðu landi með frjósemi jarðvegs í meðallagi yfir í mikla og líffræðilega fjölbreytni neðanjarðar eins og um getur í LUCAS-vöktunarkerfi ESB (</w:t>
            </w:r>
            <w:r>
              <w:rPr>
                <w:rStyle w:val="Tilvsunneanmlsgrein"/>
                <w:sz w:val="18"/>
                <w:szCs w:val="18"/>
              </w:rPr>
              <w:footnoteReference w:id="931"/>
            </w:r>
            <w:r>
              <w:t>),</w:t>
            </w:r>
          </w:p>
          <w:p w14:paraId="0131B313" w14:textId="77777777" w:rsidR="00D849E8" w:rsidRDefault="00D849E8" w:rsidP="00A9140F">
            <w:pPr>
              <w:pStyle w:val="AnnexNumberedText"/>
              <w:spacing w:after="200"/>
              <w:ind w:left="293" w:hanging="293"/>
              <w:rPr>
                <w:szCs w:val="18"/>
              </w:rPr>
            </w:pPr>
            <w:r>
              <w:t>b)</w:t>
            </w:r>
            <w:r>
              <w:tab/>
              <w:t>ósnortnu landi sem viðurkennt er að hafi mikið gildi vegna líffræðilegrar fjölbreytni og landi sem þjónar hlutverki búsvæðis fyrir tegundir í hættu (plönturíki og dýraríki) sem eru skráð á evrópska rauðlistann (</w:t>
            </w:r>
            <w:r>
              <w:rPr>
                <w:rStyle w:val="Tilvsunneanmlsgrein"/>
                <w:sz w:val="18"/>
                <w:szCs w:val="18"/>
              </w:rPr>
              <w:footnoteReference w:id="932"/>
            </w:r>
            <w:r>
              <w:t>) eða rauðlista Alþjóðanáttúruverndarsambandsins (</w:t>
            </w:r>
            <w:r>
              <w:rPr>
                <w:rStyle w:val="Tilvsunneanmlsgrein"/>
                <w:sz w:val="18"/>
                <w:szCs w:val="18"/>
              </w:rPr>
              <w:footnoteReference w:id="933"/>
            </w:r>
            <w:r>
              <w:t>),</w:t>
            </w:r>
          </w:p>
          <w:p w14:paraId="6AAF8C08" w14:textId="77777777" w:rsidR="00D849E8" w:rsidRDefault="00D849E8" w:rsidP="00A9140F">
            <w:pPr>
              <w:pStyle w:val="AnnexNumberedText"/>
              <w:spacing w:after="0"/>
              <w:ind w:left="293" w:hanging="293"/>
              <w:rPr>
                <w:szCs w:val="18"/>
              </w:rPr>
            </w:pPr>
            <w:r>
              <w:t>c)</w:t>
            </w:r>
            <w:r>
              <w:tab/>
              <w:t>landi sem svarar til skilgreiningar á skógi eins og sett er fram í landslögum sem er notuð í landsbókhaldi yfir gróðurhúsalofttegundir eða, ef hún er ekki tiltæk, í samræmi við skilgreiningu Matvæla- og landbúnaðarstofnunar SÞ á skógi (</w:t>
            </w:r>
            <w:r>
              <w:rPr>
                <w:rStyle w:val="Tilvsunneanmlsgrein"/>
                <w:sz w:val="18"/>
                <w:szCs w:val="18"/>
              </w:rPr>
              <w:footnoteReference w:id="934"/>
            </w:r>
            <w:r>
              <w:t>).</w:t>
            </w:r>
          </w:p>
        </w:tc>
      </w:tr>
    </w:tbl>
    <w:p w14:paraId="5CE86336" w14:textId="77777777" w:rsidR="00D849E8" w:rsidRDefault="00D849E8" w:rsidP="00D849E8">
      <w:pPr>
        <w:pStyle w:val="AnnexNumberedText"/>
        <w:ind w:left="504" w:hanging="504"/>
      </w:pPr>
      <w:r>
        <w:t>7.2.</w:t>
      </w:r>
      <w:r>
        <w:rPr>
          <w:b/>
        </w:rPr>
        <w:tab/>
        <w:t>Endurnýjun bygginga sem fyrir eru</w:t>
      </w:r>
    </w:p>
    <w:p w14:paraId="5A32FCD6" w14:textId="77777777" w:rsidR="00D849E8" w:rsidRDefault="00D849E8" w:rsidP="00D849E8">
      <w:pPr>
        <w:pStyle w:val="AnnexGrSeq3"/>
        <w:spacing w:after="120"/>
        <w:ind w:left="504"/>
        <w:jc w:val="both"/>
      </w:pPr>
      <w:r>
        <w:rPr>
          <w:i/>
        </w:rPr>
        <w:t>Lýsing á starfseminni</w:t>
      </w:r>
    </w:p>
    <w:p w14:paraId="711A7EFF" w14:textId="77777777" w:rsidR="00D849E8" w:rsidRDefault="00D849E8" w:rsidP="00D849E8">
      <w:pPr>
        <w:pStyle w:val="AnnexNormal"/>
        <w:spacing w:after="300"/>
        <w:ind w:left="504"/>
      </w:pPr>
      <w:r>
        <w:t>Bygginga- og mannvirkjagerð eða undirbúningur þeirra.</w:t>
      </w:r>
    </w:p>
    <w:p w14:paraId="2086F400" w14:textId="77777777" w:rsidR="00D849E8" w:rsidRDefault="00D849E8" w:rsidP="00D849E8">
      <w:pPr>
        <w:pStyle w:val="AnnexNormal"/>
        <w:spacing w:after="300"/>
        <w:ind w:left="504"/>
      </w:pPr>
      <w:r>
        <w:t>Atvinnustarfsemin í þessum flokki gæti tengst nokkrum kóðum atvinnugreinaflokkunar Evrópusambandsins, einkum F41 og F43, í samræmi við atvinnugreinaflokkunina sem komið var á með reglugerð (EB) nr. 1893/2006.</w:t>
      </w:r>
    </w:p>
    <w:p w14:paraId="744B651C"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36"/>
        <w:gridCol w:w="5700"/>
      </w:tblGrid>
      <w:tr w:rsidR="00D849E8" w14:paraId="50A695C3" w14:textId="77777777" w:rsidTr="00A9140F">
        <w:trPr>
          <w:trHeight w:val="280"/>
        </w:trPr>
        <w:tc>
          <w:tcPr>
            <w:tcW w:w="8736" w:type="dxa"/>
            <w:gridSpan w:val="2"/>
            <w:tcBorders>
              <w:bottom w:val="single" w:sz="4" w:space="0" w:color="auto"/>
            </w:tcBorders>
            <w:tcMar>
              <w:left w:w="0" w:type="dxa"/>
              <w:right w:w="60" w:type="dxa"/>
            </w:tcMar>
          </w:tcPr>
          <w:p w14:paraId="0B72DD75" w14:textId="77777777" w:rsidR="00D849E8" w:rsidRDefault="00D849E8" w:rsidP="00A9140F">
            <w:pPr>
              <w:pStyle w:val="AnnexTableCellLeft"/>
              <w:spacing w:before="40" w:after="40"/>
            </w:pPr>
            <w:r>
              <w:t>Verulegt framlag til aðlögunar að loftslagsbreytingum</w:t>
            </w:r>
          </w:p>
        </w:tc>
      </w:tr>
      <w:tr w:rsidR="00D849E8" w14:paraId="24BE35BA" w14:textId="77777777" w:rsidTr="00A9140F">
        <w:trPr>
          <w:trHeight w:val="360"/>
        </w:trPr>
        <w:tc>
          <w:tcPr>
            <w:tcW w:w="8736" w:type="dxa"/>
            <w:gridSpan w:val="2"/>
            <w:tcBorders>
              <w:bottom w:val="nil"/>
            </w:tcBorders>
            <w:tcMar>
              <w:left w:w="0" w:type="dxa"/>
              <w:right w:w="60" w:type="dxa"/>
            </w:tcMar>
          </w:tcPr>
          <w:p w14:paraId="21CC45E3" w14:textId="77777777" w:rsidR="00D849E8" w:rsidRDefault="00D849E8" w:rsidP="00A9140F">
            <w:pPr>
              <w:pStyle w:val="AnnexNumberedText"/>
              <w:tabs>
                <w:tab w:val="left" w:pos="396"/>
              </w:tabs>
              <w:spacing w:after="24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34A1EC75" w14:textId="77777777" w:rsidR="00D849E8" w:rsidRDefault="00D849E8" w:rsidP="00A9140F">
            <w:pPr>
              <w:pStyle w:val="AnnexNumberedText"/>
              <w:tabs>
                <w:tab w:val="left" w:pos="396"/>
              </w:tabs>
              <w:spacing w:after="24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2F919EC" w14:textId="77777777" w:rsidR="00D849E8" w:rsidRDefault="00D849E8" w:rsidP="00A9140F">
            <w:pPr>
              <w:pStyle w:val="AnnexNumberedText"/>
              <w:spacing w:after="2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69644F45" w14:textId="77777777" w:rsidR="00D849E8" w:rsidRDefault="00D849E8" w:rsidP="00A9140F">
            <w:pPr>
              <w:pStyle w:val="AnnexNumberedText"/>
              <w:spacing w:after="2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4841F06B" w14:textId="77777777" w:rsidR="00D849E8" w:rsidRDefault="00D849E8" w:rsidP="00A9140F">
            <w:pPr>
              <w:pStyle w:val="AnnexNumberedText"/>
              <w:spacing w:after="240"/>
              <w:rPr>
                <w:szCs w:val="18"/>
              </w:rPr>
            </w:pPr>
            <w:r>
              <w:t>c)</w:t>
            </w:r>
            <w:r>
              <w:tab/>
              <w:t>mat á aðlögunarlausnum sem geta dregið úr greindri efnislegri loftslagsáhættu.</w:t>
            </w:r>
          </w:p>
          <w:p w14:paraId="24B1175C" w14:textId="77777777" w:rsidR="00D849E8" w:rsidRDefault="00D849E8" w:rsidP="00A9140F">
            <w:pPr>
              <w:pStyle w:val="AnnexTableCellLeft"/>
              <w:spacing w:after="2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8D9D9C6" w14:textId="77777777" w:rsidR="00D849E8" w:rsidRDefault="00D849E8" w:rsidP="00A9140F">
            <w:pPr>
              <w:pStyle w:val="AnnexNumberedText"/>
              <w:spacing w:after="2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w:t>
            </w:r>
            <w:r>
              <w:lastRenderedPageBreak/>
              <w:t>ing með minnsta viðeigandi kvarða,</w:t>
            </w:r>
          </w:p>
          <w:p w14:paraId="188440FF" w14:textId="77777777" w:rsidR="00D849E8" w:rsidRDefault="00D849E8" w:rsidP="00A9140F">
            <w:pPr>
              <w:pStyle w:val="AnnexNumberedText"/>
              <w:spacing w:after="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35"/>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D849E8" w14:paraId="647FDB53" w14:textId="77777777" w:rsidTr="00A9140F">
        <w:trPr>
          <w:trHeight w:val="360"/>
        </w:trPr>
        <w:tc>
          <w:tcPr>
            <w:tcW w:w="8736" w:type="dxa"/>
            <w:gridSpan w:val="2"/>
            <w:tcBorders>
              <w:top w:val="nil"/>
            </w:tcBorders>
            <w:tcMar>
              <w:left w:w="0" w:type="dxa"/>
              <w:right w:w="60" w:type="dxa"/>
            </w:tcMar>
          </w:tcPr>
          <w:p w14:paraId="301FF82A" w14:textId="77777777" w:rsidR="00D849E8" w:rsidRDefault="00D849E8" w:rsidP="00A9140F">
            <w:pPr>
              <w:pStyle w:val="AnnexNumberedText"/>
              <w:pageBreakBefore/>
              <w:tabs>
                <w:tab w:val="left" w:pos="396"/>
              </w:tabs>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36"/>
            </w:r>
            <w:r>
              <w:t>), vísindalegt ritrýnt útgefið efni og líkön með opnum aðgangi (</w:t>
            </w:r>
            <w:r>
              <w:rPr>
                <w:rStyle w:val="Tilvsunneanmlsgrein"/>
                <w:sz w:val="18"/>
                <w:szCs w:val="18"/>
              </w:rPr>
              <w:footnoteReference w:id="937"/>
            </w:r>
            <w:r>
              <w:t>) eða gegn greiðslu.</w:t>
            </w:r>
          </w:p>
          <w:p w14:paraId="558023B2"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2FE64599"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3008C192"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938"/>
            </w:r>
            <w:r>
              <w:t>) í forgangi eða treyst er á bláa eða græna innviði (</w:t>
            </w:r>
            <w:r>
              <w:rPr>
                <w:rStyle w:val="Tilvsunneanmlsgrein"/>
                <w:sz w:val="18"/>
                <w:szCs w:val="18"/>
              </w:rPr>
              <w:footnoteReference w:id="939"/>
            </w:r>
            <w:r>
              <w:t>) að því marki sem mögulegt er,</w:t>
            </w:r>
          </w:p>
          <w:p w14:paraId="5AF6C059"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473E0D05"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28647DE"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68EAFBAE" w14:textId="77777777" w:rsidTr="00A9140F">
        <w:trPr>
          <w:trHeight w:val="240"/>
        </w:trPr>
        <w:tc>
          <w:tcPr>
            <w:tcW w:w="8736" w:type="dxa"/>
            <w:gridSpan w:val="2"/>
            <w:tcMar>
              <w:top w:w="100" w:type="dxa"/>
              <w:left w:w="0" w:type="dxa"/>
              <w:bottom w:w="100" w:type="dxa"/>
              <w:right w:w="60" w:type="dxa"/>
            </w:tcMar>
          </w:tcPr>
          <w:p w14:paraId="180DEA87" w14:textId="77777777" w:rsidR="00D849E8" w:rsidRDefault="00D849E8" w:rsidP="00A9140F">
            <w:pPr>
              <w:pStyle w:val="AnnexTableCellLeft"/>
            </w:pPr>
            <w:r>
              <w:t>Ekki valda umtalsverðu tjóni</w:t>
            </w:r>
          </w:p>
        </w:tc>
      </w:tr>
      <w:tr w:rsidR="00D849E8" w14:paraId="53B58469" w14:textId="77777777" w:rsidTr="00A9140F">
        <w:tc>
          <w:tcPr>
            <w:tcW w:w="3036" w:type="dxa"/>
            <w:tcMar>
              <w:top w:w="100" w:type="dxa"/>
              <w:left w:w="0" w:type="dxa"/>
              <w:bottom w:w="100" w:type="dxa"/>
              <w:right w:w="60" w:type="dxa"/>
            </w:tcMar>
          </w:tcPr>
          <w:p w14:paraId="19C63CB9" w14:textId="77777777" w:rsidR="00D849E8" w:rsidRDefault="00D849E8" w:rsidP="00A9140F">
            <w:pPr>
              <w:pStyle w:val="AnnexNumberedText"/>
              <w:spacing w:after="0"/>
              <w:ind w:left="293" w:hanging="293"/>
            </w:pPr>
            <w:r>
              <w:t>1)</w:t>
            </w:r>
            <w:r>
              <w:tab/>
              <w:t>Mildun loftslagsbreytinga</w:t>
            </w:r>
          </w:p>
        </w:tc>
        <w:tc>
          <w:tcPr>
            <w:tcW w:w="5700" w:type="dxa"/>
            <w:tcMar>
              <w:top w:w="100" w:type="dxa"/>
              <w:left w:w="60" w:type="dxa"/>
              <w:bottom w:w="100" w:type="dxa"/>
              <w:right w:w="0" w:type="dxa"/>
            </w:tcMar>
          </w:tcPr>
          <w:p w14:paraId="65143802" w14:textId="77777777" w:rsidR="00D849E8" w:rsidRDefault="00D849E8" w:rsidP="00A9140F">
            <w:pPr>
              <w:pStyle w:val="AnnexTableCellLeft"/>
            </w:pPr>
            <w:r>
              <w:t>Byggingin er ekki ætluð til vinnslu, geymslu, flutnings eða framleiðslu á jarðefnaeldsneyti.</w:t>
            </w:r>
          </w:p>
        </w:tc>
      </w:tr>
      <w:tr w:rsidR="00D849E8" w14:paraId="20C9D5AC" w14:textId="77777777" w:rsidTr="00A9140F">
        <w:tc>
          <w:tcPr>
            <w:tcW w:w="3036" w:type="dxa"/>
            <w:tcMar>
              <w:top w:w="100" w:type="dxa"/>
              <w:left w:w="0" w:type="dxa"/>
              <w:bottom w:w="100" w:type="dxa"/>
              <w:right w:w="60" w:type="dxa"/>
            </w:tcMar>
          </w:tcPr>
          <w:p w14:paraId="75A58842" w14:textId="77777777" w:rsidR="00D849E8" w:rsidRDefault="00D849E8" w:rsidP="00A9140F">
            <w:pPr>
              <w:pStyle w:val="AnnexNumberedText"/>
              <w:spacing w:after="0"/>
              <w:ind w:left="293" w:hanging="293"/>
            </w:pPr>
            <w:r>
              <w:t>3)</w:t>
            </w:r>
            <w:r>
              <w:tab/>
              <w:t>Sjálfbær notkun og verndun vatns- og sjávarauðlinda</w:t>
            </w:r>
          </w:p>
        </w:tc>
        <w:tc>
          <w:tcPr>
            <w:tcW w:w="5700" w:type="dxa"/>
            <w:tcMar>
              <w:top w:w="100" w:type="dxa"/>
              <w:left w:w="60" w:type="dxa"/>
              <w:bottom w:w="100" w:type="dxa"/>
              <w:right w:w="0" w:type="dxa"/>
            </w:tcMar>
          </w:tcPr>
          <w:p w14:paraId="6A693D31" w14:textId="77777777" w:rsidR="00D849E8" w:rsidRDefault="00D849E8" w:rsidP="00A9140F">
            <w:pPr>
              <w:pStyle w:val="AnnexTableCellLeft"/>
              <w:spacing w:after="200"/>
            </w:pPr>
            <w:r>
              <w:t>Ef eftirfarandi vatnsbúnaður er uppsettur sem hluti af endurbótum, að undanskildum endurbótum á íbúðarhúsnæðiseiningum, er tilgreind vatnsnotkun hans staðfest með gagnablaði fyrir vöruna, byggingarvottun eða fyrirliggjandi merkimiða vörunnar í Sambandinu í samræmi við tækniforskriftirnar sem mælt er fyrir um í viðbæti E við I. viðauka við þessa reglugerð:</w:t>
            </w:r>
          </w:p>
          <w:p w14:paraId="625D6C52" w14:textId="77777777" w:rsidR="00D849E8" w:rsidRDefault="00D849E8" w:rsidP="00A9140F">
            <w:pPr>
              <w:pStyle w:val="AnnexNumberedText"/>
              <w:spacing w:after="200"/>
              <w:ind w:left="293" w:hanging="293"/>
            </w:pPr>
            <w:r>
              <w:t>a)</w:t>
            </w:r>
            <w:r>
              <w:tab/>
              <w:t>hámarksvatnsflæði í krönum á handlaugum og eldhúsvöskum nemur 6 lítrum/mín,</w:t>
            </w:r>
          </w:p>
          <w:p w14:paraId="351178BB" w14:textId="77777777" w:rsidR="00D849E8" w:rsidRDefault="00D849E8" w:rsidP="00A9140F">
            <w:pPr>
              <w:pStyle w:val="AnnexNumberedText"/>
              <w:spacing w:after="200"/>
              <w:ind w:left="293" w:hanging="293"/>
            </w:pPr>
            <w:r>
              <w:t>b)</w:t>
            </w:r>
            <w:r>
              <w:tab/>
              <w:t>hámarksvatnsflæði í sturtum nemur 8 lítrum/mín,</w:t>
            </w:r>
          </w:p>
          <w:p w14:paraId="7A5169D5" w14:textId="77777777" w:rsidR="00D849E8" w:rsidRDefault="00D849E8" w:rsidP="00A9140F">
            <w:pPr>
              <w:pStyle w:val="AnnexNumberedText"/>
              <w:spacing w:after="200"/>
              <w:ind w:left="293" w:hanging="293"/>
            </w:pPr>
            <w:r>
              <w:t>c)</w:t>
            </w:r>
            <w:r>
              <w:tab/>
              <w:t xml:space="preserve">fullt </w:t>
            </w:r>
            <w:proofErr w:type="spellStart"/>
            <w:r>
              <w:t>skolmagn</w:t>
            </w:r>
            <w:proofErr w:type="spellEnd"/>
            <w:r>
              <w:t xml:space="preserve"> í salernum, þ.m.t. skálar og salerniskassar, nemur að hámarki 6 lítrum og mesta meðalskolmagn nemur 3,5 lítrum,</w:t>
            </w:r>
          </w:p>
          <w:p w14:paraId="205610A9" w14:textId="77777777" w:rsidR="00D849E8" w:rsidRDefault="00D849E8" w:rsidP="00A9140F">
            <w:pPr>
              <w:pStyle w:val="AnnexNumberedText"/>
              <w:spacing w:after="0"/>
              <w:ind w:left="293" w:hanging="293"/>
            </w:pPr>
            <w:r>
              <w:t>d)</w:t>
            </w:r>
            <w:r>
              <w:tab/>
              <w:t xml:space="preserve">þvagskálar nota að hámarki 2 lítra/skál/klst. Fullt </w:t>
            </w:r>
            <w:proofErr w:type="spellStart"/>
            <w:r>
              <w:t>skolmagn</w:t>
            </w:r>
            <w:proofErr w:type="spellEnd"/>
            <w:r>
              <w:t xml:space="preserve"> í vatnsþvagskálum nemur að hámarki 1 lítra.</w:t>
            </w:r>
          </w:p>
        </w:tc>
      </w:tr>
      <w:tr w:rsidR="00D849E8" w14:paraId="63E5DDB9" w14:textId="77777777" w:rsidTr="00A9140F">
        <w:tc>
          <w:tcPr>
            <w:tcW w:w="3036" w:type="dxa"/>
            <w:tcMar>
              <w:top w:w="100" w:type="dxa"/>
              <w:left w:w="0" w:type="dxa"/>
              <w:bottom w:w="100" w:type="dxa"/>
              <w:right w:w="60" w:type="dxa"/>
            </w:tcMar>
          </w:tcPr>
          <w:p w14:paraId="7A16FCC0" w14:textId="77777777" w:rsidR="00D849E8" w:rsidRDefault="00D849E8" w:rsidP="00A9140F">
            <w:pPr>
              <w:pStyle w:val="AnnexNumberedText"/>
              <w:pageBreakBefore/>
              <w:spacing w:after="0"/>
              <w:ind w:left="293" w:hanging="293"/>
              <w:rPr>
                <w:szCs w:val="18"/>
              </w:rPr>
            </w:pPr>
            <w:r>
              <w:lastRenderedPageBreak/>
              <w:t>4)</w:t>
            </w:r>
            <w:r>
              <w:tab/>
              <w:t>Umskipti yfir í hringrásarhagkerfi</w:t>
            </w:r>
          </w:p>
        </w:tc>
        <w:tc>
          <w:tcPr>
            <w:tcW w:w="5700" w:type="dxa"/>
            <w:tcMar>
              <w:top w:w="100" w:type="dxa"/>
              <w:left w:w="60" w:type="dxa"/>
              <w:bottom w:w="100" w:type="dxa"/>
              <w:right w:w="0" w:type="dxa"/>
            </w:tcMar>
          </w:tcPr>
          <w:p w14:paraId="5EEB46B6" w14:textId="77777777" w:rsidR="00D849E8" w:rsidRDefault="00D849E8" w:rsidP="00A9140F">
            <w:pPr>
              <w:pStyle w:val="AnnexTableCellLeft"/>
              <w:spacing w:after="200"/>
              <w:rPr>
                <w:szCs w:val="18"/>
              </w:rPr>
            </w:pPr>
            <w:r>
              <w:t xml:space="preserve">Að minnsta kosti 70% (massahlutfall) af hættulausum úrgangi frá byggingar- og niðurrifsstarfsemi (að undanskildum náttúrulegum efnivið sem um getur í flokki 17 05 04 í Evrópsku úrgangsskránni sem komið var á fót með ákvörðun 2000/532/EB) sem verður til á byggingarsvæðinu eru undirbúin fyrir endurnotkun, endurvinnslu og aðra </w:t>
            </w:r>
            <w:proofErr w:type="spellStart"/>
            <w:r>
              <w:t>endurnýtingu</w:t>
            </w:r>
            <w:proofErr w:type="spellEnd"/>
            <w:r>
              <w:t xml:space="preserve"> efniviðar, þ.m.t. fyllingaraðgerðir þar sem úrgangur er notaður í staðinn fyrir aðra efniviði, í samræmi við úrgangsmetakerfið og aðferðarlýsingu ESB um meðferð úrgangs frá byggingar- og niðurrifsstarfsemi (</w:t>
            </w:r>
            <w:r>
              <w:rPr>
                <w:rStyle w:val="Tilvsunneanmlsgrein"/>
                <w:sz w:val="18"/>
                <w:szCs w:val="18"/>
              </w:rPr>
              <w:footnoteReference w:id="940"/>
            </w:r>
            <w:r>
              <w:t xml:space="preserve">). Rekstraraðilar takmarka myndun úrgangs í ferlum sem tengjast byggingu og niðurrifi, í samræmi við aðferðarlýsingu ESB um meðferð úrgangs frá byggingar- og niðurrifsstarfsemi, að teknu tilliti til bestu aðgengilegu tækni og með því að beita niðurrifi sem grundvallast á vali til að gera það kleift að fjarlægja og meðhöndla hættuleg efni á öruggan hátt og stuðla að endurnotkun og endurvinnslu í háum gæðaflokki með </w:t>
            </w:r>
            <w:proofErr w:type="spellStart"/>
            <w:r>
              <w:t>fjarlægingu</w:t>
            </w:r>
            <w:proofErr w:type="spellEnd"/>
            <w:r>
              <w:t xml:space="preserve"> efniviða sem grundvallast á vali og nota tiltæk flokkunarkerfi fyrir úrgang frá byggingar- og niðurrifsstarfsemi.</w:t>
            </w:r>
          </w:p>
          <w:p w14:paraId="0304A2CA" w14:textId="77777777" w:rsidR="00D849E8" w:rsidRDefault="00D849E8" w:rsidP="00A9140F">
            <w:pPr>
              <w:pStyle w:val="AnnexTableCellLeft"/>
              <w:rPr>
                <w:szCs w:val="18"/>
              </w:rPr>
            </w:pPr>
            <w:r>
              <w:t>Hönnun bygginga og byggingatækni styðja við hringrásina og einkum er sýnt fram á, með tilvísun til ISO 20887 (</w:t>
            </w:r>
            <w:r>
              <w:rPr>
                <w:rStyle w:val="Tilvsunneanmlsgrein"/>
                <w:sz w:val="18"/>
                <w:szCs w:val="18"/>
              </w:rPr>
              <w:footnoteReference w:id="941"/>
            </w:r>
            <w:r>
              <w:t xml:space="preserve">) eða annarra staðla til að meta </w:t>
            </w:r>
            <w:proofErr w:type="spellStart"/>
            <w:r>
              <w:t>sundurhlutun</w:t>
            </w:r>
            <w:proofErr w:type="spellEnd"/>
            <w:r>
              <w:t xml:space="preserve"> eða aðlögunarhæfni bygginga, hvernig þær eru hannaðar til að vera </w:t>
            </w:r>
            <w:proofErr w:type="spellStart"/>
            <w:r>
              <w:t>auðlindanýtnari</w:t>
            </w:r>
            <w:proofErr w:type="spellEnd"/>
            <w:r>
              <w:t xml:space="preserve">, aðlögunarhæfari, sveigjanlegri og auðveldari til </w:t>
            </w:r>
            <w:proofErr w:type="spellStart"/>
            <w:r>
              <w:t>sundurhlutunar</w:t>
            </w:r>
            <w:proofErr w:type="spellEnd"/>
            <w:r>
              <w:t xml:space="preserve"> til að gera endurnotkun og endurvinnslu mögulega.</w:t>
            </w:r>
          </w:p>
        </w:tc>
      </w:tr>
      <w:tr w:rsidR="00D849E8" w14:paraId="43F1CE5C" w14:textId="77777777" w:rsidTr="00A9140F">
        <w:tc>
          <w:tcPr>
            <w:tcW w:w="3036" w:type="dxa"/>
            <w:tcMar>
              <w:top w:w="100" w:type="dxa"/>
              <w:left w:w="0" w:type="dxa"/>
              <w:bottom w:w="100" w:type="dxa"/>
              <w:right w:w="60" w:type="dxa"/>
            </w:tcMar>
          </w:tcPr>
          <w:p w14:paraId="0477E0D9" w14:textId="77777777" w:rsidR="00D849E8" w:rsidRDefault="00D849E8" w:rsidP="00A9140F">
            <w:pPr>
              <w:pStyle w:val="AnnexNumberedText"/>
              <w:spacing w:after="0"/>
              <w:ind w:left="293" w:hanging="293"/>
              <w:rPr>
                <w:szCs w:val="18"/>
              </w:rPr>
            </w:pPr>
            <w:r>
              <w:t>5)</w:t>
            </w:r>
            <w:r>
              <w:tab/>
              <w:t>Mengunarvarnir og eftirlit með mengun</w:t>
            </w:r>
          </w:p>
        </w:tc>
        <w:tc>
          <w:tcPr>
            <w:tcW w:w="5700" w:type="dxa"/>
            <w:tcMar>
              <w:top w:w="100" w:type="dxa"/>
              <w:left w:w="60" w:type="dxa"/>
              <w:bottom w:w="100" w:type="dxa"/>
              <w:right w:w="0" w:type="dxa"/>
            </w:tcMar>
          </w:tcPr>
          <w:p w14:paraId="05F998C3" w14:textId="77777777" w:rsidR="00D849E8" w:rsidRDefault="00D849E8" w:rsidP="00A9140F">
            <w:pPr>
              <w:pStyle w:val="AnnexTableCellLeft"/>
              <w:spacing w:after="200"/>
              <w:rPr>
                <w:szCs w:val="18"/>
              </w:rPr>
            </w:pPr>
            <w:r>
              <w:t>Byggingaríhlutir og byggingarefni sem eru notuð í bygginguna uppfylla viðmiðanirnar sem settar eru fram í viðbæti C við þennan viðauka.</w:t>
            </w:r>
          </w:p>
          <w:p w14:paraId="53661F98" w14:textId="77777777" w:rsidR="00D849E8" w:rsidRDefault="00D849E8" w:rsidP="00A9140F">
            <w:pPr>
              <w:pStyle w:val="AnnexTableCellLeft"/>
              <w:spacing w:after="200"/>
              <w:rPr>
                <w:szCs w:val="18"/>
              </w:rPr>
            </w:pPr>
            <w:r>
              <w:t>Byggingaríhlutir og byggingarefni, sem eru notuð í bygginguna, sem geta komist í snertingu við íbúa (</w:t>
            </w:r>
            <w:r>
              <w:rPr>
                <w:rStyle w:val="Tilvsunneanmlsgrein"/>
                <w:sz w:val="18"/>
                <w:szCs w:val="18"/>
              </w:rPr>
              <w:footnoteReference w:id="942"/>
            </w:r>
            <w:r>
              <w:t xml:space="preserve">) losa minna en 0,06 mg af </w:t>
            </w:r>
            <w:proofErr w:type="spellStart"/>
            <w:r>
              <w:t>formaldehýði</w:t>
            </w:r>
            <w:proofErr w:type="spellEnd"/>
            <w:r>
              <w:t xml:space="preserve"> á hvern m</w:t>
            </w:r>
            <w:r>
              <w:rPr>
                <w:vertAlign w:val="superscript"/>
              </w:rPr>
              <w:t>3</w:t>
            </w:r>
            <w:r>
              <w:t xml:space="preserve"> af efni eða íhlut við prófun, í samræmi við skilyrðin sem eru tilgreind í XVII. viðauka við reglugerð (EB) nr. 1907/2006, og minna en 0,001 mg af öðrum krabbameinsvaldandi rokgjörnum, lífrænum efnasamböndum í undirflokkum 1A og 1B á hvern m</w:t>
            </w:r>
            <w:r>
              <w:rPr>
                <w:vertAlign w:val="superscript"/>
              </w:rPr>
              <w:t>3</w:t>
            </w:r>
            <w:r>
              <w:t xml:space="preserve"> af efni eða íhlut við prófun í samræmi við CEN/EN 16516 eða ISO 16000-3:2011 (</w:t>
            </w:r>
            <w:r>
              <w:rPr>
                <w:rStyle w:val="Tilvsunneanmlsgrein"/>
                <w:sz w:val="18"/>
                <w:szCs w:val="18"/>
              </w:rPr>
              <w:footnoteReference w:id="943"/>
            </w:r>
            <w:r>
              <w:t>) eða önnur jafngild stöðluð prófunarskilyrði og ákvörðunaraðferðir.</w:t>
            </w:r>
          </w:p>
          <w:p w14:paraId="0FD6F140" w14:textId="77777777" w:rsidR="00D849E8" w:rsidRDefault="00D849E8" w:rsidP="00A9140F">
            <w:pPr>
              <w:pStyle w:val="AnnexTableCellLeft"/>
              <w:rPr>
                <w:szCs w:val="18"/>
              </w:rPr>
            </w:pPr>
            <w:r>
              <w:t>Ráðstafanir eru gerðar til að draga úr hávaða, ryki og losun mengandi efna meðan byggingar- eða viðhaldsvinna stendur yfir.</w:t>
            </w:r>
          </w:p>
        </w:tc>
      </w:tr>
      <w:tr w:rsidR="00D849E8" w14:paraId="047A98E4" w14:textId="77777777" w:rsidTr="00A9140F">
        <w:tc>
          <w:tcPr>
            <w:tcW w:w="3036" w:type="dxa"/>
            <w:tcMar>
              <w:top w:w="100" w:type="dxa"/>
              <w:left w:w="0" w:type="dxa"/>
              <w:bottom w:w="100" w:type="dxa"/>
              <w:right w:w="60" w:type="dxa"/>
            </w:tcMar>
          </w:tcPr>
          <w:p w14:paraId="2E867C69" w14:textId="77777777" w:rsidR="00D849E8" w:rsidRDefault="00D849E8" w:rsidP="00A9140F">
            <w:pPr>
              <w:pStyle w:val="AnnexNumberedText"/>
              <w:spacing w:after="0"/>
              <w:ind w:left="293" w:hanging="293"/>
            </w:pPr>
            <w:r>
              <w:t>6)</w:t>
            </w:r>
            <w:r>
              <w:tab/>
              <w:t>Vernd og endurheimt líffræðilegrar fjölbreytni og vistkerfa</w:t>
            </w:r>
          </w:p>
        </w:tc>
        <w:tc>
          <w:tcPr>
            <w:tcW w:w="5700" w:type="dxa"/>
            <w:tcMar>
              <w:top w:w="100" w:type="dxa"/>
              <w:left w:w="60" w:type="dxa"/>
              <w:bottom w:w="100" w:type="dxa"/>
              <w:right w:w="0" w:type="dxa"/>
            </w:tcMar>
          </w:tcPr>
          <w:p w14:paraId="785F8B94" w14:textId="77777777" w:rsidR="00D849E8" w:rsidRDefault="00D849E8" w:rsidP="00A9140F">
            <w:pPr>
              <w:pStyle w:val="AnnexTableCellLeft"/>
            </w:pPr>
            <w:r>
              <w:t>Á ekki við.</w:t>
            </w:r>
          </w:p>
        </w:tc>
      </w:tr>
    </w:tbl>
    <w:p w14:paraId="6E481A7F" w14:textId="77777777" w:rsidR="00D849E8" w:rsidRDefault="00D849E8" w:rsidP="00D849E8">
      <w:pPr>
        <w:pStyle w:val="AnnexNumberedText"/>
        <w:ind w:left="504" w:hanging="504"/>
      </w:pPr>
      <w:r>
        <w:t>7.3.</w:t>
      </w:r>
      <w:r>
        <w:rPr>
          <w:b/>
        </w:rPr>
        <w:tab/>
        <w:t xml:space="preserve">Uppsetning, viðhald og viðgerðir á </w:t>
      </w:r>
      <w:proofErr w:type="spellStart"/>
      <w:r>
        <w:rPr>
          <w:b/>
        </w:rPr>
        <w:t>orkunýtnum</w:t>
      </w:r>
      <w:proofErr w:type="spellEnd"/>
      <w:r>
        <w:rPr>
          <w:b/>
        </w:rPr>
        <w:t xml:space="preserve"> búnaði</w:t>
      </w:r>
    </w:p>
    <w:p w14:paraId="5F2D78C4" w14:textId="77777777" w:rsidR="00D849E8" w:rsidRDefault="00D849E8" w:rsidP="00D849E8">
      <w:pPr>
        <w:pStyle w:val="AnnexGrSeq3"/>
        <w:spacing w:after="120"/>
        <w:ind w:left="504"/>
        <w:jc w:val="both"/>
      </w:pPr>
      <w:r>
        <w:rPr>
          <w:i/>
        </w:rPr>
        <w:t>Lýsing á starfseminni</w:t>
      </w:r>
    </w:p>
    <w:p w14:paraId="6E7ED024" w14:textId="77777777" w:rsidR="00D849E8" w:rsidRDefault="00D849E8" w:rsidP="00D849E8">
      <w:pPr>
        <w:pStyle w:val="AnnexNormal"/>
        <w:spacing w:after="400"/>
        <w:ind w:left="504"/>
      </w:pPr>
      <w:r>
        <w:t xml:space="preserve">Einstakar ráðstafanir til endurnýjunar sem samanstanda af uppsetningu, viðhaldi eða viðgerðum á </w:t>
      </w:r>
      <w:proofErr w:type="spellStart"/>
      <w:r>
        <w:t>orkunýtnum</w:t>
      </w:r>
      <w:proofErr w:type="spellEnd"/>
      <w:r>
        <w:t xml:space="preserve"> búnaði. Atvinnustarfsemin í þessum flokki samanstendur af einni af eftirfarandi einstökum ráðstöfunum, að því tilskildu að þær uppfylli lágmarkskröfur sem eru fastsettar fyrir einstaka íhluti og kerfi í gildandi landsráðstöfunum til framkvæmdar tilskipun 2010/31/ESB og, eftir atvikum, falli undir tvo hæstu </w:t>
      </w:r>
      <w:proofErr w:type="spellStart"/>
      <w:r>
        <w:t>orkunýtniflokkana</w:t>
      </w:r>
      <w:proofErr w:type="spellEnd"/>
      <w:r>
        <w:t xml:space="preserve"> sem eru í notkun í samræmi við reglugerð (ESB) 2017/1369 og framseldar gerðir sem samþykktar voru samkvæmt þeirri reglugerð:</w:t>
      </w:r>
    </w:p>
    <w:p w14:paraId="1203E639" w14:textId="77777777" w:rsidR="00D849E8" w:rsidRDefault="00D849E8" w:rsidP="00D849E8">
      <w:pPr>
        <w:pStyle w:val="AnnexNumberedText"/>
        <w:spacing w:after="0"/>
        <w:ind w:left="804"/>
      </w:pPr>
      <w:r>
        <w:t>a)</w:t>
      </w:r>
      <w:r>
        <w:tab/>
        <w:t xml:space="preserve">einangrun bætt við veðurhlífaríhluti sem fyrir eru, s.s. útveggi (þ.m.t. veggir sem eru þaktir gróðri), þök (þ.m.t. þök sem eru þakin gróðri), háaloft, kjallara og jarðhæðir (þ.m.t. ráðstafanir til að tryggja </w:t>
      </w:r>
      <w:proofErr w:type="spellStart"/>
      <w:r>
        <w:t>loftþéttni</w:t>
      </w:r>
      <w:proofErr w:type="spellEnd"/>
      <w:r>
        <w:t xml:space="preserve">, ráðstafanir til að </w:t>
      </w:r>
      <w:r>
        <w:lastRenderedPageBreak/>
        <w:t>draga úr áhrifum kuldabrúa og verkpalla) og vörur til að setja einangrunina á veðurhlífina (þ.m.t. festingar og límefni),</w:t>
      </w:r>
      <w:r>
        <w:br w:type="page"/>
      </w:r>
    </w:p>
    <w:p w14:paraId="3AA3D6F9" w14:textId="77777777" w:rsidR="00D849E8" w:rsidRDefault="00D849E8" w:rsidP="00D849E8">
      <w:pPr>
        <w:pStyle w:val="AnnexNumberedText"/>
        <w:spacing w:after="400"/>
        <w:ind w:left="804"/>
      </w:pPr>
      <w:r>
        <w:lastRenderedPageBreak/>
        <w:t>b)</w:t>
      </w:r>
      <w:r>
        <w:tab/>
        <w:t xml:space="preserve">gluggum sem fyrir eru er skipt út fyrir nýja </w:t>
      </w:r>
      <w:proofErr w:type="spellStart"/>
      <w:r>
        <w:t>orkunýtna</w:t>
      </w:r>
      <w:proofErr w:type="spellEnd"/>
      <w:r>
        <w:t xml:space="preserve"> glugga,</w:t>
      </w:r>
    </w:p>
    <w:p w14:paraId="3A7AE620" w14:textId="77777777" w:rsidR="00D849E8" w:rsidRDefault="00D849E8" w:rsidP="00D849E8">
      <w:pPr>
        <w:pStyle w:val="AnnexNumberedText"/>
        <w:spacing w:after="400"/>
        <w:ind w:left="804"/>
      </w:pPr>
      <w:r>
        <w:t>c)</w:t>
      </w:r>
      <w:r>
        <w:tab/>
        <w:t xml:space="preserve">útihurðum sem fyrir eru er skipt út fyrir nýjar </w:t>
      </w:r>
      <w:proofErr w:type="spellStart"/>
      <w:r>
        <w:t>orkunýtnar</w:t>
      </w:r>
      <w:proofErr w:type="spellEnd"/>
      <w:r>
        <w:t xml:space="preserve"> hurðir,</w:t>
      </w:r>
    </w:p>
    <w:p w14:paraId="17DB2109" w14:textId="77777777" w:rsidR="00D849E8" w:rsidRDefault="00D849E8" w:rsidP="00D849E8">
      <w:pPr>
        <w:pStyle w:val="AnnexNumberedText"/>
        <w:spacing w:after="400"/>
        <w:ind w:left="804"/>
      </w:pPr>
      <w:r>
        <w:t>d)</w:t>
      </w:r>
      <w:r>
        <w:tab/>
        <w:t xml:space="preserve">uppsetning og útskipti á </w:t>
      </w:r>
      <w:proofErr w:type="spellStart"/>
      <w:r>
        <w:t>orkunýtnum</w:t>
      </w:r>
      <w:proofErr w:type="spellEnd"/>
      <w:r>
        <w:t xml:space="preserve"> ljósgjöfum,</w:t>
      </w:r>
    </w:p>
    <w:p w14:paraId="4C8F0DB7" w14:textId="77777777" w:rsidR="00D849E8" w:rsidRDefault="00D849E8" w:rsidP="00D849E8">
      <w:pPr>
        <w:pStyle w:val="AnnexNumberedText"/>
        <w:spacing w:after="400"/>
        <w:ind w:left="804"/>
      </w:pPr>
      <w:r>
        <w:t>e)</w:t>
      </w:r>
      <w:r>
        <w:tab/>
        <w:t xml:space="preserve">uppsetning, útskipti, viðhald og viðgerðir á hita-, loftræsti- og loftjöfnunarkerfum og vatnshitakerfum, þ.m.t. búnaður sem tengist </w:t>
      </w:r>
      <w:proofErr w:type="spellStart"/>
      <w:r>
        <w:t>fjarhitunarþjónustu</w:t>
      </w:r>
      <w:proofErr w:type="spellEnd"/>
      <w:r>
        <w:t>, með hánýtinni tækni,</w:t>
      </w:r>
    </w:p>
    <w:p w14:paraId="270E0F35" w14:textId="77777777" w:rsidR="00D849E8" w:rsidRDefault="00D849E8" w:rsidP="00D849E8">
      <w:pPr>
        <w:pStyle w:val="AnnexNumberedText"/>
        <w:spacing w:after="400"/>
        <w:ind w:left="804"/>
      </w:pPr>
      <w:r>
        <w:t>f)</w:t>
      </w:r>
      <w:r>
        <w:tab/>
        <w:t xml:space="preserve">uppsetning vatns- og </w:t>
      </w:r>
      <w:proofErr w:type="spellStart"/>
      <w:r>
        <w:t>orkusparandi</w:t>
      </w:r>
      <w:proofErr w:type="spellEnd"/>
      <w:r>
        <w:t xml:space="preserve"> vatnsbúnaðar í eldhúsum og baðherbergjum sem uppfyllir tækniforskriftirnar sem settar eru fram í viðbæti A við I. viðauka við þessa reglugerð og, ef um er að ræða sturtulausnir, hámarksvatnsflæði blöndunarbúnaðar, frárennslis og krana á sturtum nemur 6 l/mín eða minna, sem er staðfest með fyrirliggjandi merkimiða á markaði Sambandsins.</w:t>
      </w:r>
    </w:p>
    <w:p w14:paraId="616A230B" w14:textId="77777777" w:rsidR="00D849E8" w:rsidRDefault="00D849E8" w:rsidP="00D849E8">
      <w:pPr>
        <w:pStyle w:val="AnnexNormal"/>
        <w:spacing w:after="400"/>
        <w:ind w:left="504"/>
      </w:pPr>
      <w:r>
        <w:t>Atvinnustarfsemin í þessum flokki gæti tengst nokkrum kóðum atvinnugreinaflokkunar Evrópusambandsins, einkum F42, F43, M71, C16, C17, C22, C23, C25, C27, C28, S95.21, S95.22 og C33.12, í samræmi við atvinnugreinaflokkunina sem komið var á með reglugerð (EB) nr. 1893/2006.</w:t>
      </w:r>
    </w:p>
    <w:p w14:paraId="3FCF3F14"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40"/>
        <w:gridCol w:w="5796"/>
      </w:tblGrid>
      <w:tr w:rsidR="00D849E8" w14:paraId="64EE18DE" w14:textId="77777777" w:rsidTr="00A9140F">
        <w:trPr>
          <w:trHeight w:val="280"/>
        </w:trPr>
        <w:tc>
          <w:tcPr>
            <w:tcW w:w="8736" w:type="dxa"/>
            <w:gridSpan w:val="2"/>
            <w:tcBorders>
              <w:bottom w:val="single" w:sz="4" w:space="0" w:color="auto"/>
            </w:tcBorders>
            <w:tcMar>
              <w:left w:w="0" w:type="dxa"/>
              <w:right w:w="60" w:type="dxa"/>
            </w:tcMar>
          </w:tcPr>
          <w:p w14:paraId="0CB3B331" w14:textId="77777777" w:rsidR="00D849E8" w:rsidRDefault="00D849E8" w:rsidP="00A9140F">
            <w:pPr>
              <w:pStyle w:val="AnnexTableCellLeft"/>
              <w:spacing w:before="40" w:after="40"/>
            </w:pPr>
            <w:r>
              <w:t>Verulegt framlag til aðlögunar að loftslagsbreytingum</w:t>
            </w:r>
          </w:p>
        </w:tc>
      </w:tr>
      <w:tr w:rsidR="00D849E8" w14:paraId="55BD17B3" w14:textId="77777777" w:rsidTr="00A9140F">
        <w:trPr>
          <w:trHeight w:val="360"/>
        </w:trPr>
        <w:tc>
          <w:tcPr>
            <w:tcW w:w="8736" w:type="dxa"/>
            <w:gridSpan w:val="2"/>
            <w:tcBorders>
              <w:bottom w:val="nil"/>
            </w:tcBorders>
            <w:tcMar>
              <w:left w:w="0" w:type="dxa"/>
              <w:right w:w="60" w:type="dxa"/>
            </w:tcMar>
          </w:tcPr>
          <w:p w14:paraId="1D3CF416"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466CB800"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3DBA0D4"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2BB5D423"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9980480"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57F18EC5"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8FF0789"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1AD10929"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4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0591D12" w14:textId="77777777" w:rsidR="00D849E8" w:rsidRDefault="00D849E8" w:rsidP="00A9140F">
            <w:pPr>
              <w:pStyle w:val="AnnexNumberedText"/>
              <w:tabs>
                <w:tab w:val="left" w:pos="396"/>
              </w:tabs>
              <w:spacing w:after="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45"/>
            </w:r>
            <w:r>
              <w:t>), vísindalegt ritrýnt útgefið efni og líkön með opnum aðgangi (</w:t>
            </w:r>
            <w:r>
              <w:rPr>
                <w:rStyle w:val="Tilvsunneanmlsgrein"/>
                <w:sz w:val="18"/>
                <w:szCs w:val="18"/>
              </w:rPr>
              <w:footnoteReference w:id="946"/>
            </w:r>
            <w:r>
              <w:t>) eða gegn greiðslu.</w:t>
            </w:r>
          </w:p>
        </w:tc>
      </w:tr>
      <w:tr w:rsidR="00D849E8" w14:paraId="0FC3DDED" w14:textId="77777777" w:rsidTr="00A9140F">
        <w:trPr>
          <w:trHeight w:val="360"/>
        </w:trPr>
        <w:tc>
          <w:tcPr>
            <w:tcW w:w="8736" w:type="dxa"/>
            <w:gridSpan w:val="2"/>
            <w:tcBorders>
              <w:top w:val="nil"/>
            </w:tcBorders>
            <w:tcMar>
              <w:left w:w="0" w:type="dxa"/>
              <w:right w:w="60" w:type="dxa"/>
            </w:tcMar>
          </w:tcPr>
          <w:p w14:paraId="524317E6" w14:textId="77777777" w:rsidR="00D849E8" w:rsidRDefault="00D849E8" w:rsidP="00A9140F">
            <w:pPr>
              <w:pStyle w:val="AnnexNumberedText"/>
              <w:pageBreakBefore/>
              <w:tabs>
                <w:tab w:val="left" w:pos="396"/>
              </w:tabs>
              <w:spacing w:after="300"/>
              <w:ind w:left="0" w:firstLine="0"/>
              <w:rPr>
                <w:szCs w:val="18"/>
              </w:rPr>
            </w:pPr>
            <w:r>
              <w:lastRenderedPageBreak/>
              <w:t>4.</w:t>
            </w:r>
            <w:r>
              <w:tab/>
              <w:t>Aðlögunarlausnir sem komið er í framkvæmd:</w:t>
            </w:r>
          </w:p>
          <w:p w14:paraId="72F8C5A4" w14:textId="77777777" w:rsidR="00D849E8" w:rsidRDefault="00D849E8" w:rsidP="00A9140F">
            <w:pPr>
              <w:pStyle w:val="AnnexNumberedText"/>
              <w:spacing w:after="300"/>
              <w:rPr>
                <w:szCs w:val="18"/>
              </w:rPr>
            </w:pPr>
            <w:r>
              <w:t>a)</w:t>
            </w:r>
            <w:r>
              <w:tab/>
              <w:t>hafa ekki neikvæð áhrif á viðleitni til aðlögunar eða viðnám annars fólks, náttúru, menningararfleifðar, eigna og annarrar atvinnustarfsemi gegn efnislegri loftslagsáhættu,</w:t>
            </w:r>
          </w:p>
          <w:p w14:paraId="4CC324C8" w14:textId="77777777" w:rsidR="00D849E8" w:rsidRDefault="00D849E8" w:rsidP="00A9140F">
            <w:pPr>
              <w:pStyle w:val="AnnexNumberedText"/>
              <w:spacing w:after="300"/>
              <w:rPr>
                <w:szCs w:val="18"/>
              </w:rPr>
            </w:pPr>
            <w:r>
              <w:t>b)</w:t>
            </w:r>
            <w:r>
              <w:tab/>
              <w:t>eru með náttúrumiðaðar lausnir (</w:t>
            </w:r>
            <w:r>
              <w:rPr>
                <w:rStyle w:val="Tilvsunneanmlsgrein"/>
                <w:sz w:val="18"/>
                <w:szCs w:val="18"/>
              </w:rPr>
              <w:footnoteReference w:id="947"/>
            </w:r>
            <w:r>
              <w:t>) í forgangi eða treyst er á bláa eða græna innviði (</w:t>
            </w:r>
            <w:r>
              <w:rPr>
                <w:rStyle w:val="Tilvsunneanmlsgrein"/>
                <w:sz w:val="18"/>
                <w:szCs w:val="18"/>
              </w:rPr>
              <w:footnoteReference w:id="948"/>
            </w:r>
            <w:r>
              <w:t>) að því marki sem mögulegt er,</w:t>
            </w:r>
          </w:p>
          <w:p w14:paraId="7566DE66" w14:textId="77777777" w:rsidR="00D849E8" w:rsidRDefault="00D849E8" w:rsidP="00A9140F">
            <w:pPr>
              <w:pStyle w:val="AnnexNumberedText"/>
              <w:spacing w:after="300"/>
              <w:rPr>
                <w:szCs w:val="18"/>
              </w:rPr>
            </w:pPr>
            <w:r>
              <w:t>c)</w:t>
            </w:r>
            <w:r>
              <w:tab/>
              <w:t>eru í samræmi við staðbundnar, geirabundnar, svæðisbundnar eða landsbundnar aðlögunarstefnur og -áætlanir,</w:t>
            </w:r>
          </w:p>
          <w:p w14:paraId="066EF5C8" w14:textId="77777777" w:rsidR="00D849E8" w:rsidRDefault="00D849E8" w:rsidP="00A9140F">
            <w:pPr>
              <w:pStyle w:val="AnnexNumberedText"/>
              <w:spacing w:after="3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9D79D8B"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03AB0318" w14:textId="77777777" w:rsidTr="00A9140F">
        <w:trPr>
          <w:trHeight w:val="240"/>
        </w:trPr>
        <w:tc>
          <w:tcPr>
            <w:tcW w:w="8736" w:type="dxa"/>
            <w:gridSpan w:val="2"/>
            <w:tcMar>
              <w:top w:w="100" w:type="dxa"/>
              <w:left w:w="0" w:type="dxa"/>
              <w:bottom w:w="100" w:type="dxa"/>
              <w:right w:w="60" w:type="dxa"/>
            </w:tcMar>
          </w:tcPr>
          <w:p w14:paraId="68258D4F" w14:textId="77777777" w:rsidR="00D849E8" w:rsidRDefault="00D849E8" w:rsidP="00A9140F">
            <w:pPr>
              <w:pStyle w:val="AnnexTableCellLeft"/>
            </w:pPr>
            <w:r>
              <w:t>Ekki valda umtalsverðu tjóni</w:t>
            </w:r>
          </w:p>
        </w:tc>
      </w:tr>
      <w:tr w:rsidR="00D849E8" w14:paraId="485C7070" w14:textId="77777777" w:rsidTr="00A9140F">
        <w:tc>
          <w:tcPr>
            <w:tcW w:w="2940" w:type="dxa"/>
            <w:tcMar>
              <w:top w:w="100" w:type="dxa"/>
              <w:left w:w="0" w:type="dxa"/>
              <w:bottom w:w="100" w:type="dxa"/>
              <w:right w:w="60" w:type="dxa"/>
            </w:tcMar>
          </w:tcPr>
          <w:p w14:paraId="52A258B4" w14:textId="77777777" w:rsidR="00D849E8" w:rsidRDefault="00D849E8" w:rsidP="00A9140F">
            <w:pPr>
              <w:pStyle w:val="AnnexNumberedText"/>
              <w:spacing w:after="0"/>
              <w:ind w:left="293" w:hanging="293"/>
            </w:pPr>
            <w:r>
              <w:t>2)</w:t>
            </w:r>
            <w:r>
              <w:tab/>
              <w:t>Mildun loftslagsbreytinga</w:t>
            </w:r>
          </w:p>
        </w:tc>
        <w:tc>
          <w:tcPr>
            <w:tcW w:w="5796" w:type="dxa"/>
            <w:tcMar>
              <w:top w:w="100" w:type="dxa"/>
              <w:left w:w="60" w:type="dxa"/>
              <w:bottom w:w="100" w:type="dxa"/>
              <w:right w:w="0" w:type="dxa"/>
            </w:tcMar>
          </w:tcPr>
          <w:p w14:paraId="3931D8F1" w14:textId="77777777" w:rsidR="00D849E8" w:rsidRDefault="00D849E8" w:rsidP="00A9140F">
            <w:pPr>
              <w:pStyle w:val="AnnexTableCellLeft"/>
            </w:pPr>
            <w:r>
              <w:t>Byggingin er ekki ætluð til vinnslu, geymslu, flutnings eða framleiðslu á jarðefnaeldsneyti.</w:t>
            </w:r>
          </w:p>
        </w:tc>
      </w:tr>
      <w:tr w:rsidR="00D849E8" w14:paraId="2499EB65" w14:textId="77777777" w:rsidTr="00A9140F">
        <w:tc>
          <w:tcPr>
            <w:tcW w:w="2940" w:type="dxa"/>
            <w:tcMar>
              <w:top w:w="100" w:type="dxa"/>
              <w:left w:w="0" w:type="dxa"/>
              <w:bottom w:w="100" w:type="dxa"/>
              <w:right w:w="60" w:type="dxa"/>
            </w:tcMar>
          </w:tcPr>
          <w:p w14:paraId="1D525F31" w14:textId="77777777" w:rsidR="00D849E8" w:rsidRDefault="00D849E8" w:rsidP="00A9140F">
            <w:pPr>
              <w:pStyle w:val="AnnexNumberedText"/>
              <w:spacing w:after="0"/>
              <w:ind w:left="293" w:hanging="293"/>
            </w:pPr>
            <w:r>
              <w:t>3)</w:t>
            </w:r>
            <w:r>
              <w:tab/>
              <w:t>Sjálfbær notkun og verndun vatns- og sjávarauðlinda</w:t>
            </w:r>
          </w:p>
        </w:tc>
        <w:tc>
          <w:tcPr>
            <w:tcW w:w="5796" w:type="dxa"/>
            <w:tcMar>
              <w:top w:w="100" w:type="dxa"/>
              <w:left w:w="60" w:type="dxa"/>
              <w:bottom w:w="100" w:type="dxa"/>
              <w:right w:w="0" w:type="dxa"/>
            </w:tcMar>
          </w:tcPr>
          <w:p w14:paraId="7C1AA0DB" w14:textId="77777777" w:rsidR="00D849E8" w:rsidRDefault="00D849E8" w:rsidP="00A9140F">
            <w:pPr>
              <w:pStyle w:val="AnnexTableCellLeft"/>
            </w:pPr>
            <w:r>
              <w:t>Á ekki við</w:t>
            </w:r>
          </w:p>
        </w:tc>
      </w:tr>
      <w:tr w:rsidR="00D849E8" w14:paraId="7DFE7EF4" w14:textId="77777777" w:rsidTr="00A9140F">
        <w:tc>
          <w:tcPr>
            <w:tcW w:w="2940" w:type="dxa"/>
            <w:tcMar>
              <w:top w:w="100" w:type="dxa"/>
              <w:left w:w="0" w:type="dxa"/>
              <w:bottom w:w="100" w:type="dxa"/>
              <w:right w:w="60" w:type="dxa"/>
            </w:tcMar>
          </w:tcPr>
          <w:p w14:paraId="3FE842A8" w14:textId="77777777" w:rsidR="00D849E8" w:rsidRDefault="00D849E8" w:rsidP="00A9140F">
            <w:pPr>
              <w:pStyle w:val="AnnexNumberedText"/>
              <w:spacing w:after="0"/>
              <w:ind w:left="293" w:hanging="293"/>
            </w:pPr>
            <w:r>
              <w:t>4)</w:t>
            </w:r>
            <w:r>
              <w:tab/>
              <w:t>Umskipti yfir í hringrásarhagkerfi</w:t>
            </w:r>
          </w:p>
        </w:tc>
        <w:tc>
          <w:tcPr>
            <w:tcW w:w="5796" w:type="dxa"/>
            <w:tcMar>
              <w:top w:w="100" w:type="dxa"/>
              <w:left w:w="60" w:type="dxa"/>
              <w:bottom w:w="100" w:type="dxa"/>
              <w:right w:w="0" w:type="dxa"/>
            </w:tcMar>
          </w:tcPr>
          <w:p w14:paraId="4C51ED04" w14:textId="77777777" w:rsidR="00D849E8" w:rsidRDefault="00D849E8" w:rsidP="00A9140F">
            <w:pPr>
              <w:pStyle w:val="AnnexTableCellLeft"/>
            </w:pPr>
            <w:r>
              <w:t>Á ekki við</w:t>
            </w:r>
          </w:p>
        </w:tc>
      </w:tr>
      <w:tr w:rsidR="00D849E8" w14:paraId="02A14540" w14:textId="77777777" w:rsidTr="00A9140F">
        <w:tc>
          <w:tcPr>
            <w:tcW w:w="2940" w:type="dxa"/>
            <w:tcMar>
              <w:top w:w="100" w:type="dxa"/>
              <w:left w:w="0" w:type="dxa"/>
              <w:bottom w:w="100" w:type="dxa"/>
              <w:right w:w="60" w:type="dxa"/>
            </w:tcMar>
          </w:tcPr>
          <w:p w14:paraId="275941F1" w14:textId="77777777" w:rsidR="00D849E8" w:rsidRDefault="00D849E8" w:rsidP="00A9140F">
            <w:pPr>
              <w:pStyle w:val="AnnexNumberedText"/>
              <w:spacing w:after="0"/>
              <w:ind w:left="293" w:hanging="293"/>
            </w:pPr>
            <w:r>
              <w:t>5)</w:t>
            </w:r>
            <w:r>
              <w:tab/>
              <w:t>Mengunarvarnir og eftirlit með mengun</w:t>
            </w:r>
          </w:p>
        </w:tc>
        <w:tc>
          <w:tcPr>
            <w:tcW w:w="5796" w:type="dxa"/>
            <w:tcMar>
              <w:top w:w="100" w:type="dxa"/>
              <w:left w:w="60" w:type="dxa"/>
              <w:bottom w:w="100" w:type="dxa"/>
              <w:right w:w="0" w:type="dxa"/>
            </w:tcMar>
          </w:tcPr>
          <w:p w14:paraId="26437239" w14:textId="77777777" w:rsidR="00D849E8" w:rsidRDefault="00D849E8" w:rsidP="00A9140F">
            <w:pPr>
              <w:pStyle w:val="AnnexTableCellLeft"/>
              <w:spacing w:after="200"/>
            </w:pPr>
            <w:r>
              <w:t>Byggingaríhlutir og byggingarefni uppfylla viðmiðanirnar sem settar eru fram í viðbæti C við þennan viðauka.</w:t>
            </w:r>
          </w:p>
          <w:p w14:paraId="0481CCFA" w14:textId="77777777" w:rsidR="00D849E8" w:rsidRDefault="00D849E8" w:rsidP="00A9140F">
            <w:pPr>
              <w:pStyle w:val="AnnexTableCellLeft"/>
            </w:pPr>
            <w:r>
              <w:t xml:space="preserve">Ef um er að ræða að varmaeinangrun er bætt á veðurhlíf sem fyrir er framkvæmir til þess bær sérfræðingur, sem er þjálfaður í rannsóknum á asbesti, byggingarrannsókn í samræmi við landslög. </w:t>
            </w:r>
            <w:proofErr w:type="spellStart"/>
            <w:r>
              <w:t>Sundurtaka</w:t>
            </w:r>
            <w:proofErr w:type="spellEnd"/>
            <w:r>
              <w:t xml:space="preserve"> einangrunarefnis sem inniheldur eða er líkleg til að innihalda asbest, brot eða vélræn borun eða </w:t>
            </w:r>
            <w:proofErr w:type="spellStart"/>
            <w:r>
              <w:t>skrúfun</w:t>
            </w:r>
            <w:proofErr w:type="spellEnd"/>
            <w:r>
              <w:t xml:space="preserve"> eða </w:t>
            </w:r>
            <w:proofErr w:type="spellStart"/>
            <w:r>
              <w:t>fjarlæging</w:t>
            </w:r>
            <w:proofErr w:type="spellEnd"/>
            <w:r>
              <w:t xml:space="preserve"> </w:t>
            </w:r>
            <w:proofErr w:type="spellStart"/>
            <w:r>
              <w:t>einangrunaplatna</w:t>
            </w:r>
            <w:proofErr w:type="spellEnd"/>
            <w:r>
              <w:t>, flísa og annars efniviðar sem inniheldur asbest er framkvæmd af starfsfólki sem hefur hlotið viðeigandi þjálfun, með heilbrigðiseftirliti fyrir, á meðan og eftir vinnuna, í samræmi við landslög.</w:t>
            </w:r>
          </w:p>
        </w:tc>
      </w:tr>
      <w:tr w:rsidR="00D849E8" w14:paraId="34B6AF40" w14:textId="77777777" w:rsidTr="00A9140F">
        <w:tc>
          <w:tcPr>
            <w:tcW w:w="2940" w:type="dxa"/>
            <w:tcMar>
              <w:top w:w="100" w:type="dxa"/>
              <w:left w:w="0" w:type="dxa"/>
              <w:bottom w:w="100" w:type="dxa"/>
              <w:right w:w="60" w:type="dxa"/>
            </w:tcMar>
          </w:tcPr>
          <w:p w14:paraId="7FEA6517" w14:textId="77777777" w:rsidR="00D849E8" w:rsidRDefault="00D849E8" w:rsidP="00A9140F">
            <w:pPr>
              <w:pStyle w:val="AnnexNumberedText"/>
              <w:spacing w:after="0"/>
              <w:ind w:left="293" w:hanging="293"/>
            </w:pPr>
            <w:r>
              <w:t>6)</w:t>
            </w:r>
            <w:r>
              <w:tab/>
              <w:t>Vernd og endurheimt líffræðilegrar fjölbreytni og vistkerfa</w:t>
            </w:r>
          </w:p>
        </w:tc>
        <w:tc>
          <w:tcPr>
            <w:tcW w:w="5796" w:type="dxa"/>
            <w:tcMar>
              <w:top w:w="100" w:type="dxa"/>
              <w:left w:w="60" w:type="dxa"/>
              <w:bottom w:w="100" w:type="dxa"/>
              <w:right w:w="0" w:type="dxa"/>
            </w:tcMar>
          </w:tcPr>
          <w:p w14:paraId="5E351014" w14:textId="77777777" w:rsidR="00D849E8" w:rsidRDefault="00D849E8" w:rsidP="00A9140F">
            <w:pPr>
              <w:pStyle w:val="AnnexTableCellLeft"/>
            </w:pPr>
            <w:r>
              <w:t>Á ekki við</w:t>
            </w:r>
          </w:p>
        </w:tc>
      </w:tr>
    </w:tbl>
    <w:p w14:paraId="5F6DF7E0" w14:textId="77777777" w:rsidR="00D849E8" w:rsidRDefault="00D849E8" w:rsidP="00D849E8">
      <w:pPr>
        <w:pStyle w:val="AnnexNumberedText"/>
        <w:ind w:left="504" w:hanging="504"/>
      </w:pPr>
      <w:r>
        <w:t>7.4.</w:t>
      </w:r>
      <w:r>
        <w:rPr>
          <w:b/>
        </w:rPr>
        <w:tab/>
        <w:t xml:space="preserve">Uppsetning, viðhald og viðgerðir á hleðslustöðvum fyrir </w:t>
      </w:r>
      <w:proofErr w:type="spellStart"/>
      <w:r>
        <w:rPr>
          <w:b/>
        </w:rPr>
        <w:t>rafknúin</w:t>
      </w:r>
      <w:proofErr w:type="spellEnd"/>
      <w:r>
        <w:rPr>
          <w:b/>
        </w:rPr>
        <w:t xml:space="preserve"> ökutæki í byggingum (og bílastæðum sem eru tengd byggingum)</w:t>
      </w:r>
    </w:p>
    <w:p w14:paraId="18CB2D1C" w14:textId="77777777" w:rsidR="00D849E8" w:rsidRDefault="00D849E8" w:rsidP="00D849E8">
      <w:pPr>
        <w:pStyle w:val="AnnexGrSeq3"/>
        <w:spacing w:after="120"/>
        <w:ind w:left="504"/>
        <w:jc w:val="both"/>
      </w:pPr>
      <w:r>
        <w:rPr>
          <w:i/>
        </w:rPr>
        <w:t>Lýsing á starfseminni</w:t>
      </w:r>
    </w:p>
    <w:p w14:paraId="458E51C1" w14:textId="77777777" w:rsidR="00D849E8" w:rsidRDefault="00D849E8" w:rsidP="00D849E8">
      <w:pPr>
        <w:pStyle w:val="AnnexNormal"/>
        <w:spacing w:after="500"/>
        <w:ind w:left="504"/>
      </w:pPr>
      <w:r>
        <w:t xml:space="preserve">Uppsetning, viðhald og viðgerðir á hleðslustöðvum fyrir </w:t>
      </w:r>
      <w:proofErr w:type="spellStart"/>
      <w:r>
        <w:t>rafknúin</w:t>
      </w:r>
      <w:proofErr w:type="spellEnd"/>
      <w:r>
        <w:t xml:space="preserve"> ökutæki í byggingum (og bílastæðum sem eru tengd byggingum).</w:t>
      </w:r>
    </w:p>
    <w:p w14:paraId="7FE336FF" w14:textId="77777777" w:rsidR="00D849E8" w:rsidRDefault="00D849E8" w:rsidP="00D849E8">
      <w:pPr>
        <w:pStyle w:val="AnnexNormal"/>
        <w:spacing w:after="0"/>
        <w:ind w:left="504"/>
      </w:pPr>
      <w:r>
        <w:lastRenderedPageBreak/>
        <w:t>Atvinnustarfsemin í þessum flokki gæti tengst nokkrum kóðum atvinnugreinaflokkunar Evrópusambandsins, einkum F42, F43, M71, C16, C17, C22, C23, C25, C27 eða C28, í samræmi við atvinnugreinaflokkunina sem komið var á með reglugerð (EB) nr. 1893/2006.</w:t>
      </w:r>
      <w:r>
        <w:br w:type="page"/>
      </w:r>
    </w:p>
    <w:p w14:paraId="4AC1C554" w14:textId="77777777" w:rsidR="00D849E8" w:rsidRDefault="00D849E8" w:rsidP="00D849E8">
      <w:pPr>
        <w:pStyle w:val="AnnexGrSeq3"/>
        <w:ind w:left="504"/>
        <w:jc w:val="both"/>
      </w:pPr>
      <w:r>
        <w:rPr>
          <w:i/>
        </w:rPr>
        <w:lastRenderedPageBreak/>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D849E8" w14:paraId="76A0C550" w14:textId="77777777" w:rsidTr="00A9140F">
        <w:trPr>
          <w:trHeight w:val="280"/>
        </w:trPr>
        <w:tc>
          <w:tcPr>
            <w:tcW w:w="8736" w:type="dxa"/>
            <w:gridSpan w:val="2"/>
            <w:tcBorders>
              <w:bottom w:val="single" w:sz="4" w:space="0" w:color="auto"/>
            </w:tcBorders>
            <w:tcMar>
              <w:left w:w="0" w:type="dxa"/>
              <w:right w:w="60" w:type="dxa"/>
            </w:tcMar>
          </w:tcPr>
          <w:p w14:paraId="06BC088D" w14:textId="77777777" w:rsidR="00D849E8" w:rsidRDefault="00D849E8" w:rsidP="00A9140F">
            <w:pPr>
              <w:pStyle w:val="AnnexTableCellLeft"/>
              <w:spacing w:before="40" w:after="40"/>
            </w:pPr>
            <w:r>
              <w:t>Verulegt framlag til aðlögunar að loftslagsbreytingum</w:t>
            </w:r>
          </w:p>
        </w:tc>
      </w:tr>
      <w:tr w:rsidR="00D849E8" w14:paraId="34825FA5" w14:textId="77777777" w:rsidTr="00A9140F">
        <w:trPr>
          <w:trHeight w:val="360"/>
        </w:trPr>
        <w:tc>
          <w:tcPr>
            <w:tcW w:w="8736" w:type="dxa"/>
            <w:gridSpan w:val="2"/>
            <w:tcBorders>
              <w:bottom w:val="nil"/>
            </w:tcBorders>
            <w:tcMar>
              <w:left w:w="0" w:type="dxa"/>
              <w:right w:w="60" w:type="dxa"/>
            </w:tcMar>
          </w:tcPr>
          <w:p w14:paraId="10BE81D4" w14:textId="77777777" w:rsidR="00D849E8" w:rsidRDefault="00D849E8" w:rsidP="00A9140F">
            <w:pPr>
              <w:pStyle w:val="AnnexNumberedText"/>
              <w:tabs>
                <w:tab w:val="left" w:pos="396"/>
              </w:tabs>
              <w:spacing w:after="20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77876DEA" w14:textId="77777777" w:rsidR="00D849E8" w:rsidRDefault="00D849E8" w:rsidP="00A9140F">
            <w:pPr>
              <w:pStyle w:val="AnnexNumberedText"/>
              <w:tabs>
                <w:tab w:val="left" w:pos="396"/>
              </w:tabs>
              <w:spacing w:after="20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190AA4A" w14:textId="77777777" w:rsidR="00D849E8" w:rsidRDefault="00D849E8" w:rsidP="00A9140F">
            <w:pPr>
              <w:pStyle w:val="AnnexNumberedText"/>
              <w:spacing w:after="200"/>
              <w:rPr>
                <w:szCs w:val="18"/>
              </w:rPr>
            </w:pPr>
            <w:r>
              <w:t>a)</w:t>
            </w:r>
            <w:r>
              <w:tab/>
              <w:t>skimun á starfseminni til að greina hvaða efnislega loftslagsáhætta úr skránni í viðbæti A við þennan viðauka getur haft áhrif á árangurinn af atvinnustarfseminni á væntum líftíma hennar,</w:t>
            </w:r>
          </w:p>
          <w:p w14:paraId="45E18B29" w14:textId="77777777" w:rsidR="00D849E8" w:rsidRDefault="00D849E8" w:rsidP="00A9140F">
            <w:pPr>
              <w:pStyle w:val="AnnexNumberedText"/>
              <w:spacing w:after="20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8A47929" w14:textId="77777777" w:rsidR="00D849E8" w:rsidRDefault="00D849E8" w:rsidP="00A9140F">
            <w:pPr>
              <w:pStyle w:val="AnnexNumberedText"/>
              <w:spacing w:after="200"/>
              <w:rPr>
                <w:szCs w:val="18"/>
              </w:rPr>
            </w:pPr>
            <w:r>
              <w:t>c)</w:t>
            </w:r>
            <w:r>
              <w:tab/>
              <w:t>mat á aðlögunarlausnum sem geta dregið úr greindri efnislegri loftslagsáhættu.</w:t>
            </w:r>
          </w:p>
          <w:p w14:paraId="58C90EDB" w14:textId="77777777" w:rsidR="00D849E8" w:rsidRDefault="00D849E8" w:rsidP="00A9140F">
            <w:pPr>
              <w:pStyle w:val="AnnexTableCellLeft"/>
              <w:spacing w:after="20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344BD63B"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C6653C6"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4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CA8B190"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50"/>
            </w:r>
            <w:r>
              <w:t>), vísindalegt ritrýnt útgefið efni og líkön með opnum aðgangi (</w:t>
            </w:r>
            <w:r>
              <w:rPr>
                <w:rStyle w:val="Tilvsunneanmlsgrein"/>
                <w:sz w:val="18"/>
                <w:szCs w:val="18"/>
              </w:rPr>
              <w:footnoteReference w:id="951"/>
            </w:r>
            <w:r>
              <w:t>) eða gegn greiðslu.</w:t>
            </w:r>
          </w:p>
          <w:p w14:paraId="4EB0CAF6"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6F671D8D"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61E5906C"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952"/>
            </w:r>
            <w:r>
              <w:t>) í forgangi eða treyst er á bláa eða græna innviði (</w:t>
            </w:r>
            <w:r>
              <w:rPr>
                <w:rStyle w:val="Tilvsunneanmlsgrein"/>
                <w:sz w:val="18"/>
                <w:szCs w:val="18"/>
              </w:rPr>
              <w:footnoteReference w:id="953"/>
            </w:r>
            <w:r>
              <w:t>) að því marki sem mögulegt er,</w:t>
            </w:r>
          </w:p>
          <w:p w14:paraId="3EE27625"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10DB4D66"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835015E" w14:textId="77777777" w:rsidR="00D849E8" w:rsidRDefault="00D849E8" w:rsidP="00A9140F">
            <w:pPr>
              <w:pStyle w:val="AnnexNumberedText"/>
              <w:spacing w:after="0"/>
              <w:rPr>
                <w:szCs w:val="18"/>
              </w:rPr>
            </w:pPr>
            <w:r>
              <w:t>e)</w:t>
            </w:r>
            <w:r>
              <w:tab/>
              <w:t xml:space="preserve">ef lausnin sem komið er í framkvæmd er efnisleg og samanstendur af starfsemi sem tæknileg matsviðmið hafa verið tilgreind fyrir í þessum viðauka er lausnin í samræmi við tæknileg matsviðmið um að valda ekki umtalsverðu tjóni </w:t>
            </w:r>
            <w:r>
              <w:lastRenderedPageBreak/>
              <w:t>fyrir þá starfsemi.</w:t>
            </w:r>
          </w:p>
        </w:tc>
      </w:tr>
      <w:tr w:rsidR="00D849E8" w14:paraId="6739C74B" w14:textId="77777777" w:rsidTr="00A9140F">
        <w:trPr>
          <w:trHeight w:val="240"/>
        </w:trPr>
        <w:tc>
          <w:tcPr>
            <w:tcW w:w="8736" w:type="dxa"/>
            <w:gridSpan w:val="2"/>
            <w:tcBorders>
              <w:top w:val="single" w:sz="4" w:space="0" w:color="auto"/>
            </w:tcBorders>
            <w:tcMar>
              <w:top w:w="100" w:type="dxa"/>
              <w:left w:w="0" w:type="dxa"/>
              <w:bottom w:w="100" w:type="dxa"/>
              <w:right w:w="60" w:type="dxa"/>
            </w:tcMar>
          </w:tcPr>
          <w:p w14:paraId="089C1762" w14:textId="77777777" w:rsidR="00D849E8" w:rsidRDefault="00D849E8" w:rsidP="00A9140F">
            <w:pPr>
              <w:pStyle w:val="AnnexTableCellLeft"/>
              <w:pageBreakBefore/>
            </w:pPr>
            <w:r>
              <w:lastRenderedPageBreak/>
              <w:t>Ekki valda umtalsverðu tjóni</w:t>
            </w:r>
          </w:p>
        </w:tc>
      </w:tr>
      <w:tr w:rsidR="00D849E8" w14:paraId="26F41AEF" w14:textId="77777777" w:rsidTr="00A9140F">
        <w:tc>
          <w:tcPr>
            <w:tcW w:w="2988" w:type="dxa"/>
            <w:tcMar>
              <w:top w:w="100" w:type="dxa"/>
              <w:left w:w="0" w:type="dxa"/>
              <w:bottom w:w="100" w:type="dxa"/>
              <w:right w:w="60" w:type="dxa"/>
            </w:tcMar>
          </w:tcPr>
          <w:p w14:paraId="2E9F6708" w14:textId="77777777" w:rsidR="00D849E8" w:rsidRDefault="00D849E8" w:rsidP="00A9140F">
            <w:pPr>
              <w:pStyle w:val="AnnexNumberedText"/>
              <w:spacing w:after="0"/>
              <w:ind w:left="293" w:hanging="293"/>
            </w:pPr>
            <w:r>
              <w:t>2)</w:t>
            </w:r>
            <w:r>
              <w:tab/>
              <w:t>Mildun loftslagsbreytinga</w:t>
            </w:r>
          </w:p>
        </w:tc>
        <w:tc>
          <w:tcPr>
            <w:tcW w:w="5748" w:type="dxa"/>
            <w:tcMar>
              <w:top w:w="100" w:type="dxa"/>
              <w:left w:w="60" w:type="dxa"/>
              <w:bottom w:w="100" w:type="dxa"/>
              <w:right w:w="0" w:type="dxa"/>
            </w:tcMar>
          </w:tcPr>
          <w:p w14:paraId="34406F21" w14:textId="77777777" w:rsidR="00D849E8" w:rsidRDefault="00D849E8" w:rsidP="00A9140F">
            <w:pPr>
              <w:pStyle w:val="AnnexTableCellLeft"/>
            </w:pPr>
            <w:r>
              <w:t>Byggingin er ekki ætluð til vinnslu, geymslu, flutnings eða framleiðslu á jarðefnaeldsneyti.</w:t>
            </w:r>
          </w:p>
        </w:tc>
      </w:tr>
      <w:tr w:rsidR="00D849E8" w14:paraId="7E432B45" w14:textId="77777777" w:rsidTr="00A9140F">
        <w:tc>
          <w:tcPr>
            <w:tcW w:w="2988" w:type="dxa"/>
            <w:tcMar>
              <w:top w:w="100" w:type="dxa"/>
              <w:left w:w="0" w:type="dxa"/>
              <w:bottom w:w="100" w:type="dxa"/>
              <w:right w:w="60" w:type="dxa"/>
            </w:tcMar>
          </w:tcPr>
          <w:p w14:paraId="7DBA0369" w14:textId="77777777" w:rsidR="00D849E8" w:rsidRDefault="00D849E8" w:rsidP="00A9140F">
            <w:pPr>
              <w:pStyle w:val="AnnexNumberedText"/>
              <w:spacing w:after="0"/>
              <w:ind w:left="293" w:hanging="293"/>
            </w:pPr>
            <w:r>
              <w:t>3)</w:t>
            </w:r>
            <w:r>
              <w:tab/>
              <w:t>Sjálfbær notkun og verndun vatns- og sjávarauðlinda</w:t>
            </w:r>
          </w:p>
        </w:tc>
        <w:tc>
          <w:tcPr>
            <w:tcW w:w="5748" w:type="dxa"/>
            <w:tcMar>
              <w:top w:w="100" w:type="dxa"/>
              <w:left w:w="60" w:type="dxa"/>
              <w:bottom w:w="100" w:type="dxa"/>
              <w:right w:w="0" w:type="dxa"/>
            </w:tcMar>
          </w:tcPr>
          <w:p w14:paraId="6421C303" w14:textId="77777777" w:rsidR="00D849E8" w:rsidRDefault="00D849E8" w:rsidP="00A9140F">
            <w:pPr>
              <w:pStyle w:val="AnnexTableCellLeft"/>
            </w:pPr>
            <w:r>
              <w:t>Á ekki við</w:t>
            </w:r>
          </w:p>
        </w:tc>
      </w:tr>
      <w:tr w:rsidR="00D849E8" w14:paraId="49EF9332" w14:textId="77777777" w:rsidTr="00A9140F">
        <w:tc>
          <w:tcPr>
            <w:tcW w:w="2988" w:type="dxa"/>
            <w:tcMar>
              <w:top w:w="100" w:type="dxa"/>
              <w:left w:w="0" w:type="dxa"/>
              <w:bottom w:w="100" w:type="dxa"/>
              <w:right w:w="60" w:type="dxa"/>
            </w:tcMar>
          </w:tcPr>
          <w:p w14:paraId="71DFE675" w14:textId="77777777" w:rsidR="00D849E8" w:rsidRDefault="00D849E8" w:rsidP="00A9140F">
            <w:pPr>
              <w:pStyle w:val="AnnexNumberedText"/>
              <w:spacing w:after="0"/>
              <w:ind w:left="293" w:hanging="293"/>
            </w:pPr>
            <w:r>
              <w:t>4)</w:t>
            </w:r>
            <w:r>
              <w:tab/>
              <w:t>Umskipti yfir í hringrásarhagkerfi</w:t>
            </w:r>
          </w:p>
        </w:tc>
        <w:tc>
          <w:tcPr>
            <w:tcW w:w="5748" w:type="dxa"/>
            <w:tcMar>
              <w:top w:w="100" w:type="dxa"/>
              <w:left w:w="60" w:type="dxa"/>
              <w:bottom w:w="100" w:type="dxa"/>
              <w:right w:w="0" w:type="dxa"/>
            </w:tcMar>
          </w:tcPr>
          <w:p w14:paraId="35990207" w14:textId="77777777" w:rsidR="00D849E8" w:rsidRDefault="00D849E8" w:rsidP="00A9140F">
            <w:pPr>
              <w:pStyle w:val="AnnexTableCellLeft"/>
            </w:pPr>
            <w:r>
              <w:t>Á ekki við</w:t>
            </w:r>
          </w:p>
        </w:tc>
      </w:tr>
      <w:tr w:rsidR="00D849E8" w14:paraId="0176C9D5" w14:textId="77777777" w:rsidTr="00A9140F">
        <w:tc>
          <w:tcPr>
            <w:tcW w:w="2988" w:type="dxa"/>
            <w:tcMar>
              <w:top w:w="100" w:type="dxa"/>
              <w:left w:w="0" w:type="dxa"/>
              <w:bottom w:w="100" w:type="dxa"/>
              <w:right w:w="60" w:type="dxa"/>
            </w:tcMar>
          </w:tcPr>
          <w:p w14:paraId="06EEB80A" w14:textId="77777777" w:rsidR="00D849E8" w:rsidRDefault="00D849E8" w:rsidP="00A9140F">
            <w:pPr>
              <w:pStyle w:val="AnnexNumberedText"/>
              <w:spacing w:after="0"/>
              <w:ind w:left="293" w:hanging="293"/>
            </w:pPr>
            <w:r>
              <w:t>5)</w:t>
            </w:r>
            <w:r>
              <w:tab/>
              <w:t>Mengunarvarnir og eftirlit með mengun</w:t>
            </w:r>
          </w:p>
        </w:tc>
        <w:tc>
          <w:tcPr>
            <w:tcW w:w="5748" w:type="dxa"/>
            <w:tcMar>
              <w:top w:w="100" w:type="dxa"/>
              <w:left w:w="60" w:type="dxa"/>
              <w:bottom w:w="100" w:type="dxa"/>
              <w:right w:w="0" w:type="dxa"/>
            </w:tcMar>
          </w:tcPr>
          <w:p w14:paraId="0F170711" w14:textId="77777777" w:rsidR="00D849E8" w:rsidRDefault="00D849E8" w:rsidP="00A9140F">
            <w:pPr>
              <w:pStyle w:val="AnnexTableCellLeft"/>
            </w:pPr>
            <w:r>
              <w:t>Á ekki við</w:t>
            </w:r>
          </w:p>
        </w:tc>
      </w:tr>
      <w:tr w:rsidR="00D849E8" w14:paraId="632F4218" w14:textId="77777777" w:rsidTr="00A9140F">
        <w:tc>
          <w:tcPr>
            <w:tcW w:w="2988" w:type="dxa"/>
            <w:tcMar>
              <w:top w:w="100" w:type="dxa"/>
              <w:left w:w="0" w:type="dxa"/>
              <w:bottom w:w="100" w:type="dxa"/>
              <w:right w:w="60" w:type="dxa"/>
            </w:tcMar>
          </w:tcPr>
          <w:p w14:paraId="45299BC3" w14:textId="77777777" w:rsidR="00D849E8" w:rsidRDefault="00D849E8" w:rsidP="00A9140F">
            <w:pPr>
              <w:pStyle w:val="AnnexNumberedText"/>
              <w:spacing w:after="0"/>
              <w:ind w:left="293" w:hanging="293"/>
            </w:pPr>
            <w:r>
              <w:t>6)</w:t>
            </w:r>
            <w:r>
              <w:tab/>
              <w:t>Vernd og endurheimt líffræðilegrar fjölbreytni og vistkerfa</w:t>
            </w:r>
          </w:p>
        </w:tc>
        <w:tc>
          <w:tcPr>
            <w:tcW w:w="5748" w:type="dxa"/>
            <w:tcMar>
              <w:top w:w="100" w:type="dxa"/>
              <w:left w:w="60" w:type="dxa"/>
              <w:bottom w:w="100" w:type="dxa"/>
              <w:right w:w="0" w:type="dxa"/>
            </w:tcMar>
          </w:tcPr>
          <w:p w14:paraId="68496832" w14:textId="77777777" w:rsidR="00D849E8" w:rsidRDefault="00D849E8" w:rsidP="00A9140F">
            <w:pPr>
              <w:pStyle w:val="AnnexTableCellLeft"/>
            </w:pPr>
            <w:r>
              <w:t>Á ekki við</w:t>
            </w:r>
          </w:p>
        </w:tc>
      </w:tr>
    </w:tbl>
    <w:p w14:paraId="27077D32" w14:textId="77777777" w:rsidR="00D849E8" w:rsidRDefault="00D849E8" w:rsidP="00D849E8">
      <w:pPr>
        <w:pStyle w:val="AnnexNumberedText"/>
        <w:ind w:left="504" w:hanging="504"/>
      </w:pPr>
      <w:r>
        <w:t>7.5.</w:t>
      </w:r>
      <w:r>
        <w:rPr>
          <w:b/>
        </w:rPr>
        <w:tab/>
        <w:t>Uppsetning, viðhald og viðgerðir á búnaði og tækjum til mælinga, stýringar og eftirlits með orkunýtingu bygginga</w:t>
      </w:r>
    </w:p>
    <w:p w14:paraId="655A9EE9" w14:textId="77777777" w:rsidR="00D849E8" w:rsidRDefault="00D849E8" w:rsidP="00D849E8">
      <w:pPr>
        <w:pStyle w:val="AnnexGrSeq3"/>
        <w:spacing w:after="120"/>
        <w:ind w:left="504"/>
        <w:jc w:val="both"/>
      </w:pPr>
      <w:r>
        <w:rPr>
          <w:i/>
        </w:rPr>
        <w:t>Lýsing á starfseminni</w:t>
      </w:r>
    </w:p>
    <w:p w14:paraId="608F2FE0" w14:textId="77777777" w:rsidR="00D849E8" w:rsidRDefault="00D849E8" w:rsidP="00D849E8">
      <w:pPr>
        <w:pStyle w:val="AnnexNormal"/>
        <w:spacing w:after="440"/>
        <w:ind w:left="504"/>
      </w:pPr>
      <w:r>
        <w:t>Uppsetning, viðhald og viðgerðir á búnaði og tækjum til mælinga, stýringar og eftirlits með orkunýtingu bygginga samanstendur af einni af eftirfarandi ráðstöfunum:</w:t>
      </w:r>
    </w:p>
    <w:p w14:paraId="702C9F68" w14:textId="77777777" w:rsidR="00D849E8" w:rsidRDefault="00D849E8" w:rsidP="00D849E8">
      <w:pPr>
        <w:pStyle w:val="AnnexNumberedText"/>
        <w:spacing w:after="440"/>
        <w:ind w:left="804"/>
      </w:pPr>
      <w:r>
        <w:t>a)</w:t>
      </w:r>
      <w:r>
        <w:tab/>
        <w:t xml:space="preserve">uppsetning, viðhald og viðgerðir á svæðisbundnum </w:t>
      </w:r>
      <w:proofErr w:type="spellStart"/>
      <w:r>
        <w:t>hitastillum</w:t>
      </w:r>
      <w:proofErr w:type="spellEnd"/>
      <w:r>
        <w:t xml:space="preserve">, </w:t>
      </w:r>
      <w:proofErr w:type="spellStart"/>
      <w:r>
        <w:t>snjallhitastillikerfum</w:t>
      </w:r>
      <w:proofErr w:type="spellEnd"/>
      <w:r>
        <w:t xml:space="preserve"> og skynjunarbúnaði, þ.m.t. hreyfi- og dagsbirtustýring,</w:t>
      </w:r>
    </w:p>
    <w:p w14:paraId="7AEC3C5C" w14:textId="77777777" w:rsidR="00D849E8" w:rsidRDefault="00D849E8" w:rsidP="00D849E8">
      <w:pPr>
        <w:pStyle w:val="AnnexNumberedText"/>
        <w:spacing w:after="440"/>
        <w:ind w:left="804"/>
      </w:pPr>
      <w:r>
        <w:t>b)</w:t>
      </w:r>
      <w:r>
        <w:tab/>
        <w:t>uppsetning, viðhald og viðgerðir á sjálfvirkum kerfum og stýrikerfum byggingar, orkustjórnunarkerfum byggingar, lýsingastjórnunarkerfum og orkustjórnunarkerfum,</w:t>
      </w:r>
    </w:p>
    <w:p w14:paraId="53D47EB2" w14:textId="77777777" w:rsidR="00D849E8" w:rsidRDefault="00D849E8" w:rsidP="00D849E8">
      <w:pPr>
        <w:pStyle w:val="AnnexNumberedText"/>
        <w:spacing w:after="440"/>
        <w:ind w:left="804"/>
      </w:pPr>
      <w:r>
        <w:t>c)</w:t>
      </w:r>
      <w:r>
        <w:tab/>
        <w:t xml:space="preserve">uppsetning, viðhald og viðgerðir á </w:t>
      </w:r>
      <w:proofErr w:type="spellStart"/>
      <w:r>
        <w:t>snjallmælum</w:t>
      </w:r>
      <w:proofErr w:type="spellEnd"/>
      <w:r>
        <w:t xml:space="preserve"> fyrir gas, varma, kælingu og raforku,</w:t>
      </w:r>
    </w:p>
    <w:p w14:paraId="1A0D5473" w14:textId="77777777" w:rsidR="00D849E8" w:rsidRDefault="00D849E8" w:rsidP="00D849E8">
      <w:pPr>
        <w:pStyle w:val="AnnexNumberedText"/>
        <w:spacing w:after="440"/>
        <w:ind w:left="804"/>
      </w:pPr>
      <w:r>
        <w:t>d)</w:t>
      </w:r>
      <w:r>
        <w:tab/>
        <w:t>uppsetning, viðhald og viðgerðir á útveggja- og þaklagnaeiningum með sóltjaldi eða sólarstýringu, þ.m.t. þær sem stuðla að gróðurvexti.</w:t>
      </w:r>
    </w:p>
    <w:p w14:paraId="0C6D74D4" w14:textId="77777777" w:rsidR="00D849E8" w:rsidRDefault="00D849E8" w:rsidP="00D849E8">
      <w:pPr>
        <w:pStyle w:val="AnnexNormal"/>
        <w:spacing w:after="440"/>
        <w:ind w:left="504"/>
      </w:pPr>
      <w:r>
        <w:t>Atvinnustarfsemin í þessum flokki gæti tengst nokkrum kóðum atvinnugreinaflokkunar Evrópusambandsins, einkum F42, F43, M71 og C16, C17, C22, C23, C25, C27 og C28, í samræmi við atvinnugreinaflokkunina sem komið var á með reglugerð (EB) nr. 1893/2006.</w:t>
      </w:r>
    </w:p>
    <w:p w14:paraId="5E27B391"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00"/>
        <w:gridCol w:w="5736"/>
      </w:tblGrid>
      <w:tr w:rsidR="00D849E8" w14:paraId="6630D820" w14:textId="77777777" w:rsidTr="00A9140F">
        <w:trPr>
          <w:trHeight w:val="280"/>
        </w:trPr>
        <w:tc>
          <w:tcPr>
            <w:tcW w:w="8736" w:type="dxa"/>
            <w:gridSpan w:val="2"/>
            <w:tcBorders>
              <w:bottom w:val="single" w:sz="4" w:space="0" w:color="auto"/>
            </w:tcBorders>
            <w:tcMar>
              <w:left w:w="0" w:type="dxa"/>
              <w:right w:w="60" w:type="dxa"/>
            </w:tcMar>
          </w:tcPr>
          <w:p w14:paraId="3420B79D" w14:textId="77777777" w:rsidR="00D849E8" w:rsidRDefault="00D849E8" w:rsidP="00A9140F">
            <w:pPr>
              <w:pStyle w:val="AnnexTableCellLeft"/>
              <w:spacing w:before="40" w:after="40"/>
            </w:pPr>
            <w:r>
              <w:t>Verulegt framlag til aðlögunar að loftslagsbreytingum</w:t>
            </w:r>
          </w:p>
        </w:tc>
      </w:tr>
      <w:tr w:rsidR="00D849E8" w14:paraId="0DDD499B" w14:textId="77777777" w:rsidTr="00A9140F">
        <w:trPr>
          <w:trHeight w:val="360"/>
        </w:trPr>
        <w:tc>
          <w:tcPr>
            <w:tcW w:w="8736" w:type="dxa"/>
            <w:gridSpan w:val="2"/>
            <w:tcBorders>
              <w:bottom w:val="nil"/>
            </w:tcBorders>
            <w:tcMar>
              <w:left w:w="0" w:type="dxa"/>
              <w:right w:w="60" w:type="dxa"/>
            </w:tcMar>
          </w:tcPr>
          <w:p w14:paraId="7AE03883" w14:textId="77777777" w:rsidR="00D849E8" w:rsidRDefault="00D849E8"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06E4E138" w14:textId="77777777" w:rsidR="00D849E8" w:rsidRDefault="00D849E8"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5A0DCEA" w14:textId="77777777" w:rsidR="00D849E8" w:rsidRDefault="00D849E8"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5747BFFE" w14:textId="77777777" w:rsidR="00D849E8" w:rsidRDefault="00D849E8" w:rsidP="00A9140F">
            <w:pPr>
              <w:pStyle w:val="AnnexNumberedText"/>
              <w:spacing w:after="20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69D5BF2" w14:textId="77777777" w:rsidR="00D849E8" w:rsidRDefault="00D849E8" w:rsidP="00A9140F">
            <w:pPr>
              <w:pStyle w:val="AnnexNumberedText"/>
              <w:spacing w:after="0"/>
            </w:pPr>
            <w:r>
              <w:lastRenderedPageBreak/>
              <w:t>c)</w:t>
            </w:r>
            <w:r>
              <w:tab/>
              <w:t>mat á aðlögunarlausnum sem geta dregið úr greindri efnislegri loftslagsáhættu.</w:t>
            </w:r>
          </w:p>
        </w:tc>
      </w:tr>
      <w:tr w:rsidR="00D849E8" w14:paraId="2CC891CA" w14:textId="77777777" w:rsidTr="00A9140F">
        <w:trPr>
          <w:trHeight w:val="360"/>
        </w:trPr>
        <w:tc>
          <w:tcPr>
            <w:tcW w:w="8736" w:type="dxa"/>
            <w:gridSpan w:val="2"/>
            <w:tcBorders>
              <w:top w:val="nil"/>
            </w:tcBorders>
            <w:tcMar>
              <w:left w:w="0" w:type="dxa"/>
              <w:right w:w="60" w:type="dxa"/>
            </w:tcMar>
          </w:tcPr>
          <w:p w14:paraId="7D5D67FE" w14:textId="77777777" w:rsidR="00D849E8" w:rsidRDefault="00D849E8" w:rsidP="00A9140F">
            <w:pPr>
              <w:pStyle w:val="AnnexTableCellLeft"/>
              <w:pageBreakBefore/>
              <w:spacing w:after="60"/>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036B6D51" w14:textId="77777777" w:rsidR="00D849E8" w:rsidRDefault="00D849E8" w:rsidP="00A9140F">
            <w:pPr>
              <w:pStyle w:val="AnnexNumberedText"/>
              <w:spacing w:after="6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B4D8196" w14:textId="77777777" w:rsidR="00D849E8" w:rsidRDefault="00D849E8" w:rsidP="00A9140F">
            <w:pPr>
              <w:pStyle w:val="AnnexNumberedText"/>
              <w:spacing w:after="6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5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77712411" w14:textId="77777777" w:rsidR="00D849E8" w:rsidRDefault="00D849E8" w:rsidP="00A9140F">
            <w:pPr>
              <w:pStyle w:val="AnnexNumberedText"/>
              <w:tabs>
                <w:tab w:val="left" w:pos="396"/>
              </w:tabs>
              <w:spacing w:after="6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55"/>
            </w:r>
            <w:r>
              <w:t>), vísindalegt ritrýnt útgefið efni og líkön með opnum aðgangi (</w:t>
            </w:r>
            <w:r>
              <w:rPr>
                <w:rStyle w:val="Tilvsunneanmlsgrein"/>
                <w:sz w:val="18"/>
                <w:szCs w:val="18"/>
              </w:rPr>
              <w:footnoteReference w:id="956"/>
            </w:r>
            <w:r>
              <w:t>) eða gegn greiðslu.</w:t>
            </w:r>
          </w:p>
          <w:p w14:paraId="4A819271" w14:textId="77777777" w:rsidR="00D849E8" w:rsidRDefault="00D849E8" w:rsidP="00A9140F">
            <w:pPr>
              <w:pStyle w:val="AnnexNumberedText"/>
              <w:tabs>
                <w:tab w:val="left" w:pos="396"/>
              </w:tabs>
              <w:spacing w:after="60"/>
              <w:ind w:left="0" w:firstLine="0"/>
              <w:rPr>
                <w:szCs w:val="18"/>
              </w:rPr>
            </w:pPr>
            <w:r>
              <w:t>4.</w:t>
            </w:r>
            <w:r>
              <w:tab/>
              <w:t>Aðlögunarlausnir sem komið er í framkvæmd:</w:t>
            </w:r>
          </w:p>
          <w:p w14:paraId="67DBD30A" w14:textId="77777777" w:rsidR="00D849E8" w:rsidRDefault="00D849E8" w:rsidP="00A9140F">
            <w:pPr>
              <w:pStyle w:val="AnnexNumberedText"/>
              <w:spacing w:after="60"/>
              <w:rPr>
                <w:szCs w:val="18"/>
              </w:rPr>
            </w:pPr>
            <w:r>
              <w:t>a)</w:t>
            </w:r>
            <w:r>
              <w:tab/>
              <w:t>hafa ekki neikvæð áhrif á viðleitni til aðlögunar eða viðnám annars fólks, náttúru, menningararfleifðar, eigna og annarrar atvinnustarfsemi gegn efnislegri loftslagsáhættu,</w:t>
            </w:r>
          </w:p>
          <w:p w14:paraId="773C063D" w14:textId="77777777" w:rsidR="00D849E8" w:rsidRDefault="00D849E8" w:rsidP="00A9140F">
            <w:pPr>
              <w:pStyle w:val="AnnexNumberedText"/>
              <w:spacing w:after="60"/>
              <w:rPr>
                <w:szCs w:val="18"/>
              </w:rPr>
            </w:pPr>
            <w:r>
              <w:t>b)</w:t>
            </w:r>
            <w:r>
              <w:tab/>
              <w:t>eru með náttúrumiðaðar lausnir (</w:t>
            </w:r>
            <w:r>
              <w:rPr>
                <w:rStyle w:val="Tilvsunneanmlsgrein"/>
                <w:sz w:val="18"/>
                <w:szCs w:val="18"/>
              </w:rPr>
              <w:footnoteReference w:id="957"/>
            </w:r>
            <w:r>
              <w:t>) í forgangi eða treyst er á bláa eða græna innviði (</w:t>
            </w:r>
            <w:r>
              <w:rPr>
                <w:rStyle w:val="Tilvsunneanmlsgrein"/>
                <w:sz w:val="18"/>
                <w:szCs w:val="18"/>
              </w:rPr>
              <w:footnoteReference w:id="958"/>
            </w:r>
            <w:r>
              <w:t>) að því marki sem mögulegt er,</w:t>
            </w:r>
          </w:p>
          <w:p w14:paraId="54C849AB" w14:textId="77777777" w:rsidR="00D849E8" w:rsidRDefault="00D849E8" w:rsidP="00A9140F">
            <w:pPr>
              <w:pStyle w:val="AnnexNumberedText"/>
              <w:spacing w:after="60"/>
              <w:rPr>
                <w:szCs w:val="18"/>
              </w:rPr>
            </w:pPr>
            <w:r>
              <w:t>c)</w:t>
            </w:r>
            <w:r>
              <w:tab/>
              <w:t>eru í samræmi við staðbundnar, geirabundnar, svæðisbundnar eða landsbundnar aðlögunarstefnur og -áætlanir,</w:t>
            </w:r>
          </w:p>
          <w:p w14:paraId="22BF1A89" w14:textId="77777777" w:rsidR="00D849E8" w:rsidRDefault="00D849E8" w:rsidP="00A9140F">
            <w:pPr>
              <w:pStyle w:val="AnnexNumberedText"/>
              <w:spacing w:after="6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869C573" w14:textId="77777777" w:rsidR="00D849E8" w:rsidRDefault="00D849E8" w:rsidP="00A9140F">
            <w:pPr>
              <w:pStyle w:val="AnnexNumberedText"/>
              <w:spacing w:after="6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47CD0753" w14:textId="77777777" w:rsidTr="00A9140F">
        <w:trPr>
          <w:trHeight w:val="240"/>
        </w:trPr>
        <w:tc>
          <w:tcPr>
            <w:tcW w:w="8736" w:type="dxa"/>
            <w:gridSpan w:val="2"/>
            <w:tcMar>
              <w:top w:w="100" w:type="dxa"/>
              <w:left w:w="0" w:type="dxa"/>
              <w:bottom w:w="100" w:type="dxa"/>
              <w:right w:w="60" w:type="dxa"/>
            </w:tcMar>
          </w:tcPr>
          <w:p w14:paraId="258DB106" w14:textId="77777777" w:rsidR="00D849E8" w:rsidRDefault="00D849E8" w:rsidP="00A9140F">
            <w:pPr>
              <w:pStyle w:val="AnnexTableCellLeft"/>
            </w:pPr>
            <w:r>
              <w:t>Ekki valda umtalsverðu tjóni</w:t>
            </w:r>
          </w:p>
        </w:tc>
      </w:tr>
      <w:tr w:rsidR="00D849E8" w14:paraId="6BD19549" w14:textId="77777777" w:rsidTr="00A9140F">
        <w:tc>
          <w:tcPr>
            <w:tcW w:w="3000" w:type="dxa"/>
            <w:tcMar>
              <w:top w:w="100" w:type="dxa"/>
              <w:left w:w="0" w:type="dxa"/>
              <w:bottom w:w="100" w:type="dxa"/>
              <w:right w:w="60" w:type="dxa"/>
            </w:tcMar>
          </w:tcPr>
          <w:p w14:paraId="1F9ED452" w14:textId="77777777" w:rsidR="00D849E8" w:rsidRDefault="00D849E8" w:rsidP="00A9140F">
            <w:pPr>
              <w:pStyle w:val="AnnexNumberedText"/>
              <w:spacing w:after="0"/>
              <w:ind w:left="293" w:hanging="293"/>
            </w:pPr>
            <w:r>
              <w:t>2)</w:t>
            </w:r>
            <w:r>
              <w:tab/>
              <w:t>Mildun loftslagsbreytinga</w:t>
            </w:r>
          </w:p>
        </w:tc>
        <w:tc>
          <w:tcPr>
            <w:tcW w:w="5736" w:type="dxa"/>
            <w:tcMar>
              <w:top w:w="100" w:type="dxa"/>
              <w:left w:w="60" w:type="dxa"/>
              <w:bottom w:w="100" w:type="dxa"/>
              <w:right w:w="0" w:type="dxa"/>
            </w:tcMar>
          </w:tcPr>
          <w:p w14:paraId="2B44071C" w14:textId="77777777" w:rsidR="00D849E8" w:rsidRDefault="00D849E8" w:rsidP="00A9140F">
            <w:pPr>
              <w:pStyle w:val="AnnexTableCellLeft"/>
            </w:pPr>
            <w:r>
              <w:t>Byggingin er ekki ætluð til vinnslu, geymslu, flutnings eða framleiðslu á jarðefnaeldsneyti.</w:t>
            </w:r>
          </w:p>
        </w:tc>
      </w:tr>
      <w:tr w:rsidR="00D849E8" w14:paraId="7EE031DD" w14:textId="77777777" w:rsidTr="00A9140F">
        <w:tc>
          <w:tcPr>
            <w:tcW w:w="3000" w:type="dxa"/>
            <w:tcMar>
              <w:top w:w="100" w:type="dxa"/>
              <w:left w:w="0" w:type="dxa"/>
              <w:bottom w:w="100" w:type="dxa"/>
              <w:right w:w="60" w:type="dxa"/>
            </w:tcMar>
          </w:tcPr>
          <w:p w14:paraId="625902BC" w14:textId="77777777" w:rsidR="00D849E8" w:rsidRDefault="00D849E8" w:rsidP="00A9140F">
            <w:pPr>
              <w:pStyle w:val="AnnexNumberedText"/>
              <w:spacing w:after="0"/>
              <w:ind w:left="293" w:hanging="293"/>
            </w:pPr>
            <w:r>
              <w:t>3)</w:t>
            </w:r>
            <w:r>
              <w:tab/>
              <w:t>Sjálfbær notkun og verndun vatns- og sjávarauðlinda</w:t>
            </w:r>
          </w:p>
        </w:tc>
        <w:tc>
          <w:tcPr>
            <w:tcW w:w="5736" w:type="dxa"/>
            <w:tcMar>
              <w:top w:w="100" w:type="dxa"/>
              <w:left w:w="60" w:type="dxa"/>
              <w:bottom w:w="100" w:type="dxa"/>
              <w:right w:w="0" w:type="dxa"/>
            </w:tcMar>
          </w:tcPr>
          <w:p w14:paraId="0BCAD1D3" w14:textId="77777777" w:rsidR="00D849E8" w:rsidRDefault="00D849E8" w:rsidP="00A9140F">
            <w:pPr>
              <w:pStyle w:val="AnnexTableCellLeft"/>
            </w:pPr>
            <w:r>
              <w:t>Á ekki við</w:t>
            </w:r>
          </w:p>
        </w:tc>
      </w:tr>
      <w:tr w:rsidR="00D849E8" w14:paraId="4E52AB4D" w14:textId="77777777" w:rsidTr="00A9140F">
        <w:tc>
          <w:tcPr>
            <w:tcW w:w="3000" w:type="dxa"/>
            <w:tcMar>
              <w:top w:w="100" w:type="dxa"/>
              <w:left w:w="0" w:type="dxa"/>
              <w:bottom w:w="100" w:type="dxa"/>
              <w:right w:w="60" w:type="dxa"/>
            </w:tcMar>
          </w:tcPr>
          <w:p w14:paraId="79E5DD8C" w14:textId="77777777" w:rsidR="00D849E8" w:rsidRDefault="00D849E8" w:rsidP="00A9140F">
            <w:pPr>
              <w:pStyle w:val="AnnexNumberedText"/>
              <w:spacing w:after="0"/>
              <w:ind w:left="293" w:hanging="293"/>
            </w:pPr>
            <w:r>
              <w:t>4)</w:t>
            </w:r>
            <w:r>
              <w:tab/>
              <w:t>Umskipti yfir í hringrásarhagkerfi</w:t>
            </w:r>
          </w:p>
        </w:tc>
        <w:tc>
          <w:tcPr>
            <w:tcW w:w="5736" w:type="dxa"/>
            <w:tcMar>
              <w:top w:w="100" w:type="dxa"/>
              <w:left w:w="60" w:type="dxa"/>
              <w:bottom w:w="100" w:type="dxa"/>
              <w:right w:w="0" w:type="dxa"/>
            </w:tcMar>
          </w:tcPr>
          <w:p w14:paraId="02714437" w14:textId="77777777" w:rsidR="00D849E8" w:rsidRDefault="00D849E8" w:rsidP="00A9140F">
            <w:pPr>
              <w:pStyle w:val="AnnexTableCellLeft"/>
            </w:pPr>
            <w:r>
              <w:t>Á ekki við</w:t>
            </w:r>
          </w:p>
        </w:tc>
      </w:tr>
      <w:tr w:rsidR="00D849E8" w14:paraId="4F2FC6FF" w14:textId="77777777" w:rsidTr="00A9140F">
        <w:tc>
          <w:tcPr>
            <w:tcW w:w="3000" w:type="dxa"/>
            <w:tcMar>
              <w:top w:w="100" w:type="dxa"/>
              <w:left w:w="0" w:type="dxa"/>
              <w:bottom w:w="100" w:type="dxa"/>
              <w:right w:w="60" w:type="dxa"/>
            </w:tcMar>
          </w:tcPr>
          <w:p w14:paraId="54828117" w14:textId="77777777" w:rsidR="00D849E8" w:rsidRDefault="00D849E8" w:rsidP="00A9140F">
            <w:pPr>
              <w:pStyle w:val="AnnexNumberedText"/>
              <w:spacing w:after="0"/>
              <w:ind w:left="293" w:hanging="293"/>
            </w:pPr>
            <w:r>
              <w:t>5)</w:t>
            </w:r>
            <w:r>
              <w:tab/>
              <w:t>Mengunarvarnir og eftirlit með mengun</w:t>
            </w:r>
          </w:p>
        </w:tc>
        <w:tc>
          <w:tcPr>
            <w:tcW w:w="5736" w:type="dxa"/>
            <w:tcMar>
              <w:top w:w="100" w:type="dxa"/>
              <w:left w:w="60" w:type="dxa"/>
              <w:bottom w:w="100" w:type="dxa"/>
              <w:right w:w="0" w:type="dxa"/>
            </w:tcMar>
          </w:tcPr>
          <w:p w14:paraId="2D9F3137" w14:textId="77777777" w:rsidR="00D849E8" w:rsidRDefault="00D849E8" w:rsidP="00A9140F">
            <w:pPr>
              <w:pStyle w:val="AnnexTableCellLeft"/>
            </w:pPr>
            <w:r>
              <w:t>Á ekki við</w:t>
            </w:r>
          </w:p>
        </w:tc>
      </w:tr>
      <w:tr w:rsidR="00D849E8" w14:paraId="1D521314" w14:textId="77777777" w:rsidTr="00A9140F">
        <w:tc>
          <w:tcPr>
            <w:tcW w:w="3000" w:type="dxa"/>
            <w:tcMar>
              <w:top w:w="100" w:type="dxa"/>
              <w:left w:w="0" w:type="dxa"/>
              <w:bottom w:w="100" w:type="dxa"/>
              <w:right w:w="60" w:type="dxa"/>
            </w:tcMar>
          </w:tcPr>
          <w:p w14:paraId="76F2116E" w14:textId="77777777" w:rsidR="00D849E8" w:rsidRDefault="00D849E8" w:rsidP="00A9140F">
            <w:pPr>
              <w:pStyle w:val="AnnexNumberedText"/>
              <w:spacing w:after="0"/>
              <w:ind w:left="293" w:hanging="293"/>
            </w:pPr>
            <w:r>
              <w:t>6)</w:t>
            </w:r>
            <w:r>
              <w:tab/>
              <w:t>Vernd og endurheimt líffræðilegrar fjölbreytni og vistkerfa</w:t>
            </w:r>
          </w:p>
        </w:tc>
        <w:tc>
          <w:tcPr>
            <w:tcW w:w="5736" w:type="dxa"/>
            <w:tcMar>
              <w:top w:w="100" w:type="dxa"/>
              <w:left w:w="60" w:type="dxa"/>
              <w:bottom w:w="100" w:type="dxa"/>
              <w:right w:w="0" w:type="dxa"/>
            </w:tcMar>
          </w:tcPr>
          <w:p w14:paraId="3F939F46" w14:textId="77777777" w:rsidR="00D849E8" w:rsidRDefault="00D849E8" w:rsidP="00A9140F">
            <w:pPr>
              <w:pStyle w:val="AnnexTableCellLeft"/>
            </w:pPr>
            <w:r>
              <w:t>Á ekki við</w:t>
            </w:r>
          </w:p>
        </w:tc>
      </w:tr>
    </w:tbl>
    <w:p w14:paraId="70B2A727" w14:textId="77777777" w:rsidR="00D849E8" w:rsidRDefault="00D849E8" w:rsidP="00D849E8">
      <w:pPr>
        <w:pStyle w:val="AnnexNumberedText"/>
        <w:ind w:left="504" w:hanging="504"/>
      </w:pPr>
      <w:r>
        <w:t>7.6.</w:t>
      </w:r>
      <w:r>
        <w:rPr>
          <w:b/>
        </w:rPr>
        <w:tab/>
        <w:t>Uppsetning, viðhald og viðgerðir á tækni á sviði endurnýjanlegrar orku</w:t>
      </w:r>
    </w:p>
    <w:p w14:paraId="10C3688D" w14:textId="77777777" w:rsidR="00D849E8" w:rsidRDefault="00D849E8" w:rsidP="00D849E8">
      <w:pPr>
        <w:pStyle w:val="AnnexGrSeq3"/>
        <w:spacing w:after="120"/>
        <w:ind w:left="504"/>
        <w:jc w:val="both"/>
      </w:pPr>
      <w:r>
        <w:rPr>
          <w:i/>
        </w:rPr>
        <w:t>Lýsing á starfseminni</w:t>
      </w:r>
    </w:p>
    <w:p w14:paraId="338E938F" w14:textId="77777777" w:rsidR="00D849E8" w:rsidRDefault="00D849E8" w:rsidP="00D849E8">
      <w:pPr>
        <w:pStyle w:val="AnnexNormal"/>
        <w:spacing w:after="120"/>
        <w:ind w:left="504"/>
      </w:pPr>
      <w:r>
        <w:t>Uppsetning, viðhald og viðgerðir á tækni á sviði endurnýjanlegrar orku á vettvangi, sem samanstendur af einni af eftirfarandi einstökum ráðstöfunum, ef hún er uppsett á vettvangi sem tæknilegt kerfi bygginga:</w:t>
      </w:r>
    </w:p>
    <w:p w14:paraId="7FBFA079" w14:textId="77777777" w:rsidR="00D849E8" w:rsidRDefault="00D849E8" w:rsidP="00D849E8">
      <w:pPr>
        <w:pStyle w:val="AnnexNumberedText"/>
        <w:ind w:left="804"/>
      </w:pPr>
      <w:r>
        <w:t>a)</w:t>
      </w:r>
      <w:r>
        <w:tab/>
        <w:t>uppsetning, viðhald og viðgerðir á sólarraforkukerfum og tilheyrandi tæknibúnaði,</w:t>
      </w:r>
    </w:p>
    <w:p w14:paraId="757C45C1" w14:textId="77777777" w:rsidR="00D849E8" w:rsidRDefault="00D849E8" w:rsidP="00D849E8">
      <w:pPr>
        <w:pStyle w:val="AnnexNumberedText"/>
        <w:spacing w:after="0"/>
        <w:ind w:left="804"/>
      </w:pPr>
      <w:r>
        <w:t>b)</w:t>
      </w:r>
      <w:r>
        <w:tab/>
        <w:t>uppsetning, viðhald og viðgerðir á sólarþiljum til að hita vatn og tilheyrandi tæknibúnaði,</w:t>
      </w:r>
      <w:r>
        <w:br w:type="page"/>
      </w:r>
    </w:p>
    <w:p w14:paraId="3B8CEA6F" w14:textId="77777777" w:rsidR="00D849E8" w:rsidRDefault="00D849E8" w:rsidP="00D849E8">
      <w:pPr>
        <w:pStyle w:val="AnnexNumberedText"/>
        <w:spacing w:after="300"/>
        <w:ind w:left="804"/>
      </w:pPr>
      <w:r>
        <w:lastRenderedPageBreak/>
        <w:t>c)</w:t>
      </w:r>
      <w:r>
        <w:tab/>
        <w:t>uppsetning, viðhald, viðgerðir og uppfærsla á varmadælum sem stuðla að því að ná markmiðunum fyrir endurnýjanlega orku á sviði varma og kælingar, í samræmi við tilskipun (ESB) 2018/2001, og tilheyrandi tæknibúnaði,</w:t>
      </w:r>
    </w:p>
    <w:p w14:paraId="280A7EC4" w14:textId="77777777" w:rsidR="00D849E8" w:rsidRDefault="00D849E8" w:rsidP="00D849E8">
      <w:pPr>
        <w:pStyle w:val="AnnexNumberedText"/>
        <w:spacing w:after="300"/>
        <w:ind w:left="804"/>
      </w:pPr>
      <w:r>
        <w:t>d)</w:t>
      </w:r>
      <w:r>
        <w:tab/>
        <w:t>uppsetning, viðhald og viðgerðir á vindhverflum og tilheyrandi tæknibúnaði,</w:t>
      </w:r>
    </w:p>
    <w:p w14:paraId="35ADE1E5" w14:textId="77777777" w:rsidR="00D849E8" w:rsidRDefault="00D849E8" w:rsidP="00D849E8">
      <w:pPr>
        <w:pStyle w:val="AnnexNumberedText"/>
        <w:spacing w:after="300"/>
        <w:ind w:left="804"/>
      </w:pPr>
      <w:r>
        <w:t>e)</w:t>
      </w:r>
      <w:r>
        <w:tab/>
        <w:t>uppsetning, viðhald og viðgerðir á sólargleypum og tilheyrandi tæknibúnaði,</w:t>
      </w:r>
    </w:p>
    <w:p w14:paraId="6ABFECF9" w14:textId="77777777" w:rsidR="00D849E8" w:rsidRDefault="00D849E8" w:rsidP="00D849E8">
      <w:pPr>
        <w:pStyle w:val="AnnexNumberedText"/>
        <w:spacing w:after="300"/>
        <w:ind w:left="804"/>
      </w:pPr>
      <w:r>
        <w:t>f)</w:t>
      </w:r>
      <w:r>
        <w:tab/>
        <w:t>uppsetning, viðhald og viðgerðir á varma- eða raforkugeymslueiningum og tilheyrandi tæknibúnaði,</w:t>
      </w:r>
    </w:p>
    <w:p w14:paraId="5FF3040A" w14:textId="77777777" w:rsidR="00D849E8" w:rsidRDefault="00D849E8" w:rsidP="00D849E8">
      <w:pPr>
        <w:pStyle w:val="AnnexNumberedText"/>
        <w:spacing w:after="300"/>
        <w:ind w:left="804"/>
      </w:pPr>
      <w:r>
        <w:t>g)</w:t>
      </w:r>
      <w:r>
        <w:tab/>
        <w:t xml:space="preserve">uppsetning, viðhald og viðgerðir á smáorkuverum fyrir </w:t>
      </w:r>
      <w:proofErr w:type="spellStart"/>
      <w:r>
        <w:t>samþætta</w:t>
      </w:r>
      <w:proofErr w:type="spellEnd"/>
      <w:r>
        <w:t xml:space="preserve"> varma- og raforkuvinnslu með góða </w:t>
      </w:r>
      <w:proofErr w:type="spellStart"/>
      <w:r>
        <w:t>orkunýtni</w:t>
      </w:r>
      <w:proofErr w:type="spellEnd"/>
      <w:r>
        <w:t>,</w:t>
      </w:r>
    </w:p>
    <w:p w14:paraId="08EEEFF1" w14:textId="77777777" w:rsidR="00D849E8" w:rsidRDefault="00D849E8" w:rsidP="00D849E8">
      <w:pPr>
        <w:pStyle w:val="AnnexNumberedText"/>
        <w:spacing w:after="300"/>
        <w:ind w:left="804"/>
      </w:pPr>
      <w:r>
        <w:t>h)</w:t>
      </w:r>
      <w:r>
        <w:tab/>
        <w:t>uppsetning, viðhald og viðgerðir á varmaskipta-/varmaendurvinnslukerfum.</w:t>
      </w:r>
    </w:p>
    <w:p w14:paraId="5177B123" w14:textId="77777777" w:rsidR="00D849E8" w:rsidRDefault="00D849E8" w:rsidP="00D849E8">
      <w:pPr>
        <w:pStyle w:val="AnnexNormal"/>
        <w:spacing w:after="300"/>
        <w:ind w:left="504"/>
      </w:pPr>
      <w:r>
        <w:t>Atvinnustarfsemin í þessum flokki gæti tengst nokkrum kóðum atvinnugreinaflokkunar Evrópusambandsins, einkum F42, F43, M71, C16, C17, C22, C23, C25, C27 eða C28, í samræmi við atvinnugreinaflokkunina sem komið var á með reglugerð (EB) nr. 1893/2006.</w:t>
      </w:r>
    </w:p>
    <w:p w14:paraId="77D37B94"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36"/>
        <w:gridCol w:w="5700"/>
      </w:tblGrid>
      <w:tr w:rsidR="00D849E8" w14:paraId="2C98BB39" w14:textId="77777777" w:rsidTr="00A9140F">
        <w:trPr>
          <w:trHeight w:val="280"/>
        </w:trPr>
        <w:tc>
          <w:tcPr>
            <w:tcW w:w="8736" w:type="dxa"/>
            <w:gridSpan w:val="2"/>
            <w:tcBorders>
              <w:bottom w:val="single" w:sz="4" w:space="0" w:color="auto"/>
            </w:tcBorders>
            <w:tcMar>
              <w:left w:w="0" w:type="dxa"/>
              <w:right w:w="60" w:type="dxa"/>
            </w:tcMar>
          </w:tcPr>
          <w:p w14:paraId="0738E43D" w14:textId="77777777" w:rsidR="00D849E8" w:rsidRDefault="00D849E8" w:rsidP="00A9140F">
            <w:pPr>
              <w:pStyle w:val="AnnexTableCellLeft"/>
              <w:spacing w:before="40" w:after="40"/>
            </w:pPr>
            <w:r>
              <w:t>Verulegt framlag til aðlögunar að loftslagsbreytingum</w:t>
            </w:r>
          </w:p>
        </w:tc>
      </w:tr>
      <w:tr w:rsidR="00D849E8" w14:paraId="7F6DE3F1" w14:textId="77777777" w:rsidTr="00A9140F">
        <w:trPr>
          <w:trHeight w:val="360"/>
        </w:trPr>
        <w:tc>
          <w:tcPr>
            <w:tcW w:w="8736" w:type="dxa"/>
            <w:gridSpan w:val="2"/>
            <w:tcBorders>
              <w:bottom w:val="nil"/>
            </w:tcBorders>
            <w:tcMar>
              <w:left w:w="0" w:type="dxa"/>
              <w:right w:w="60" w:type="dxa"/>
            </w:tcMar>
          </w:tcPr>
          <w:p w14:paraId="7A5342FC" w14:textId="77777777" w:rsidR="00D849E8" w:rsidRDefault="00D849E8" w:rsidP="00A9140F">
            <w:pPr>
              <w:pStyle w:val="AnnexNumberedText"/>
              <w:tabs>
                <w:tab w:val="left" w:pos="396"/>
              </w:tabs>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673DB01C" w14:textId="77777777" w:rsidR="00D849E8" w:rsidRDefault="00D849E8" w:rsidP="00A9140F">
            <w:pPr>
              <w:pStyle w:val="AnnexNumberedText"/>
              <w:tabs>
                <w:tab w:val="left" w:pos="396"/>
              </w:tabs>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49A1809" w14:textId="77777777" w:rsidR="00D849E8" w:rsidRDefault="00D849E8" w:rsidP="00A9140F">
            <w:pPr>
              <w:pStyle w:val="AnnexNumberedText"/>
              <w:rPr>
                <w:szCs w:val="18"/>
              </w:rPr>
            </w:pPr>
            <w:r>
              <w:t>a)</w:t>
            </w:r>
            <w:r>
              <w:tab/>
              <w:t>skimun á starfseminni til að greina hvaða efnislega loftslagsáhætta úr skránni í viðbæti A við þennan viðauka getur haft áhrif á árangurinn af atvinnustarfseminni á væntum líftíma hennar,</w:t>
            </w:r>
          </w:p>
          <w:p w14:paraId="6698E064" w14:textId="77777777" w:rsidR="00D849E8" w:rsidRDefault="00D849E8" w:rsidP="00A9140F">
            <w:pPr>
              <w:pStyle w:val="AnnexNumberedText"/>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11E55557" w14:textId="77777777" w:rsidR="00D849E8" w:rsidRDefault="00D849E8" w:rsidP="00A9140F">
            <w:pPr>
              <w:pStyle w:val="AnnexNumberedText"/>
              <w:rPr>
                <w:szCs w:val="18"/>
              </w:rPr>
            </w:pPr>
            <w:r>
              <w:t>c)</w:t>
            </w:r>
            <w:r>
              <w:tab/>
              <w:t>mat á aðlögunarlausnum sem geta dregið úr greindri efnislegri loftslagsáhættu.</w:t>
            </w:r>
          </w:p>
          <w:p w14:paraId="2607AB7F" w14:textId="77777777" w:rsidR="00D849E8" w:rsidRDefault="00D849E8" w:rsidP="00A9140F">
            <w:pPr>
              <w:pStyle w:val="AnnexTableCellLeft"/>
              <w:spacing w:after="12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0F4AE628"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476C36CA"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59"/>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D7ECE4F" w14:textId="77777777" w:rsidR="00D849E8" w:rsidRDefault="00D849E8" w:rsidP="00A9140F">
            <w:pPr>
              <w:pStyle w:val="AnnexNumberedText"/>
              <w:tabs>
                <w:tab w:val="left" w:pos="396"/>
              </w:tabs>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60"/>
            </w:r>
            <w:r>
              <w:t>), vísindalegt ritrýnt útgefið efni og líkön með opnum aðgangi (</w:t>
            </w:r>
            <w:r>
              <w:rPr>
                <w:rStyle w:val="Tilvsunneanmlsgrein"/>
                <w:sz w:val="18"/>
                <w:szCs w:val="18"/>
              </w:rPr>
              <w:footnoteReference w:id="961"/>
            </w:r>
            <w:r>
              <w:t>) eða gegn greiðslu.</w:t>
            </w:r>
          </w:p>
          <w:p w14:paraId="24BD67E5" w14:textId="77777777" w:rsidR="00D849E8" w:rsidRDefault="00D849E8" w:rsidP="00A9140F">
            <w:pPr>
              <w:pStyle w:val="AnnexNumberedText"/>
              <w:tabs>
                <w:tab w:val="left" w:pos="396"/>
              </w:tabs>
              <w:ind w:left="0" w:firstLine="0"/>
              <w:rPr>
                <w:szCs w:val="18"/>
              </w:rPr>
            </w:pPr>
            <w:r>
              <w:t>4.</w:t>
            </w:r>
            <w:r>
              <w:tab/>
              <w:t>Aðlögunarlausnir sem komið er í framkvæmd:</w:t>
            </w:r>
          </w:p>
          <w:p w14:paraId="114782B4" w14:textId="77777777" w:rsidR="00D849E8" w:rsidRDefault="00D849E8" w:rsidP="00A9140F">
            <w:pPr>
              <w:pStyle w:val="AnnexNumberedText"/>
              <w:spacing w:after="0"/>
              <w:rPr>
                <w:szCs w:val="18"/>
              </w:rPr>
            </w:pPr>
            <w:r>
              <w:t>a)</w:t>
            </w:r>
            <w:r>
              <w:tab/>
              <w:t>hafa ekki neikvæð áhrif á viðleitni til aðlögunar eða viðnám annars fólks, náttúru, menningararfleifðar, eigna og annarrar atvinnustarfsemi gegn efnislegri loftslagsáhættu,</w:t>
            </w:r>
          </w:p>
        </w:tc>
      </w:tr>
      <w:tr w:rsidR="00D849E8" w14:paraId="5041D761" w14:textId="77777777" w:rsidTr="00A9140F">
        <w:trPr>
          <w:trHeight w:val="360"/>
        </w:trPr>
        <w:tc>
          <w:tcPr>
            <w:tcW w:w="8736" w:type="dxa"/>
            <w:gridSpan w:val="2"/>
            <w:tcBorders>
              <w:top w:val="nil"/>
            </w:tcBorders>
            <w:tcMar>
              <w:left w:w="0" w:type="dxa"/>
              <w:right w:w="60" w:type="dxa"/>
            </w:tcMar>
          </w:tcPr>
          <w:p w14:paraId="35CE895D" w14:textId="77777777" w:rsidR="00D849E8" w:rsidRDefault="00D849E8" w:rsidP="00A9140F">
            <w:pPr>
              <w:pStyle w:val="AnnexNumberedText"/>
              <w:pageBreakBefore/>
              <w:rPr>
                <w:szCs w:val="18"/>
              </w:rPr>
            </w:pPr>
            <w:r>
              <w:lastRenderedPageBreak/>
              <w:t>b)</w:t>
            </w:r>
            <w:r>
              <w:tab/>
              <w:t>eru með náttúrumiðaðar lausnir (</w:t>
            </w:r>
            <w:r>
              <w:rPr>
                <w:rStyle w:val="Tilvsunneanmlsgrein"/>
                <w:sz w:val="18"/>
                <w:szCs w:val="18"/>
              </w:rPr>
              <w:footnoteReference w:id="962"/>
            </w:r>
            <w:r>
              <w:t>) í forgangi eða treyst er á bláa eða græna innviði (</w:t>
            </w:r>
            <w:r>
              <w:rPr>
                <w:rStyle w:val="Tilvsunneanmlsgrein"/>
                <w:sz w:val="18"/>
                <w:szCs w:val="18"/>
              </w:rPr>
              <w:footnoteReference w:id="963"/>
            </w:r>
            <w:r>
              <w:t>) að því marki sem mögulegt er,</w:t>
            </w:r>
          </w:p>
          <w:p w14:paraId="4F789584"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600CD5E6"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776B670"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0E358A87" w14:textId="77777777" w:rsidTr="00A9140F">
        <w:trPr>
          <w:trHeight w:val="240"/>
        </w:trPr>
        <w:tc>
          <w:tcPr>
            <w:tcW w:w="8736" w:type="dxa"/>
            <w:gridSpan w:val="2"/>
            <w:tcMar>
              <w:top w:w="100" w:type="dxa"/>
              <w:left w:w="0" w:type="dxa"/>
              <w:bottom w:w="100" w:type="dxa"/>
              <w:right w:w="60" w:type="dxa"/>
            </w:tcMar>
          </w:tcPr>
          <w:p w14:paraId="08F08546" w14:textId="77777777" w:rsidR="00D849E8" w:rsidRDefault="00D849E8" w:rsidP="00A9140F">
            <w:pPr>
              <w:pStyle w:val="AnnexTableCellLeft"/>
            </w:pPr>
            <w:r>
              <w:t>Ekki valda umtalsverðu tjóni</w:t>
            </w:r>
          </w:p>
        </w:tc>
      </w:tr>
      <w:tr w:rsidR="00D849E8" w14:paraId="58360C73" w14:textId="77777777" w:rsidTr="00A9140F">
        <w:tc>
          <w:tcPr>
            <w:tcW w:w="3036" w:type="dxa"/>
            <w:tcMar>
              <w:top w:w="100" w:type="dxa"/>
              <w:left w:w="0" w:type="dxa"/>
              <w:bottom w:w="100" w:type="dxa"/>
              <w:right w:w="60" w:type="dxa"/>
            </w:tcMar>
          </w:tcPr>
          <w:p w14:paraId="37100415" w14:textId="77777777" w:rsidR="00D849E8" w:rsidRDefault="00D849E8" w:rsidP="00A9140F">
            <w:pPr>
              <w:pStyle w:val="AnnexNumberedText"/>
              <w:spacing w:after="0"/>
              <w:ind w:left="293" w:hanging="293"/>
            </w:pPr>
            <w:r>
              <w:t>2)</w:t>
            </w:r>
            <w:r>
              <w:tab/>
              <w:t>Mildun loftslagsbreytinga</w:t>
            </w:r>
          </w:p>
        </w:tc>
        <w:tc>
          <w:tcPr>
            <w:tcW w:w="5700" w:type="dxa"/>
            <w:tcMar>
              <w:top w:w="100" w:type="dxa"/>
              <w:left w:w="60" w:type="dxa"/>
              <w:bottom w:w="100" w:type="dxa"/>
              <w:right w:w="0" w:type="dxa"/>
            </w:tcMar>
          </w:tcPr>
          <w:p w14:paraId="7C796574" w14:textId="77777777" w:rsidR="00D849E8" w:rsidRDefault="00D849E8" w:rsidP="00A9140F">
            <w:pPr>
              <w:pStyle w:val="AnnexTableCellLeft"/>
            </w:pPr>
            <w:r>
              <w:t>Byggingin er ekki ætluð til vinnslu, geymslu, flutnings eða framleiðslu á jarðefnaeldsneyti.</w:t>
            </w:r>
          </w:p>
        </w:tc>
      </w:tr>
      <w:tr w:rsidR="00D849E8" w14:paraId="1EB9F38F" w14:textId="77777777" w:rsidTr="00A9140F">
        <w:tc>
          <w:tcPr>
            <w:tcW w:w="3036" w:type="dxa"/>
            <w:tcMar>
              <w:top w:w="100" w:type="dxa"/>
              <w:left w:w="0" w:type="dxa"/>
              <w:bottom w:w="100" w:type="dxa"/>
              <w:right w:w="60" w:type="dxa"/>
            </w:tcMar>
          </w:tcPr>
          <w:p w14:paraId="2C88749D" w14:textId="77777777" w:rsidR="00D849E8" w:rsidRDefault="00D849E8" w:rsidP="00A9140F">
            <w:pPr>
              <w:pStyle w:val="AnnexNumberedText"/>
              <w:spacing w:after="0"/>
              <w:ind w:left="293" w:hanging="293"/>
            </w:pPr>
            <w:r>
              <w:t>3)</w:t>
            </w:r>
            <w:r>
              <w:tab/>
              <w:t>Sjálfbær notkun og verndun vatns- og sjávarauðlinda</w:t>
            </w:r>
          </w:p>
        </w:tc>
        <w:tc>
          <w:tcPr>
            <w:tcW w:w="5700" w:type="dxa"/>
            <w:tcMar>
              <w:top w:w="100" w:type="dxa"/>
              <w:left w:w="60" w:type="dxa"/>
              <w:bottom w:w="100" w:type="dxa"/>
              <w:right w:w="0" w:type="dxa"/>
            </w:tcMar>
          </w:tcPr>
          <w:p w14:paraId="09EE86E7" w14:textId="77777777" w:rsidR="00D849E8" w:rsidRDefault="00D849E8" w:rsidP="00A9140F">
            <w:pPr>
              <w:pStyle w:val="AnnexTableCellLeft"/>
            </w:pPr>
            <w:r>
              <w:t>Á ekki við</w:t>
            </w:r>
          </w:p>
        </w:tc>
      </w:tr>
      <w:tr w:rsidR="00D849E8" w14:paraId="727BA088" w14:textId="77777777" w:rsidTr="00A9140F">
        <w:tc>
          <w:tcPr>
            <w:tcW w:w="3036" w:type="dxa"/>
            <w:tcMar>
              <w:top w:w="100" w:type="dxa"/>
              <w:left w:w="0" w:type="dxa"/>
              <w:bottom w:w="100" w:type="dxa"/>
              <w:right w:w="60" w:type="dxa"/>
            </w:tcMar>
          </w:tcPr>
          <w:p w14:paraId="5EC16BCC" w14:textId="77777777" w:rsidR="00D849E8" w:rsidRDefault="00D849E8" w:rsidP="00A9140F">
            <w:pPr>
              <w:pStyle w:val="AnnexNumberedText"/>
              <w:spacing w:after="0"/>
              <w:ind w:left="293" w:hanging="293"/>
            </w:pPr>
            <w:r>
              <w:t>4)</w:t>
            </w:r>
            <w:r>
              <w:tab/>
              <w:t>Umskipti yfir í hringrásarhagkerfi</w:t>
            </w:r>
          </w:p>
        </w:tc>
        <w:tc>
          <w:tcPr>
            <w:tcW w:w="5700" w:type="dxa"/>
            <w:tcMar>
              <w:top w:w="100" w:type="dxa"/>
              <w:left w:w="60" w:type="dxa"/>
              <w:bottom w:w="100" w:type="dxa"/>
              <w:right w:w="0" w:type="dxa"/>
            </w:tcMar>
          </w:tcPr>
          <w:p w14:paraId="3D514973" w14:textId="77777777" w:rsidR="00D849E8" w:rsidRDefault="00D849E8" w:rsidP="00A9140F">
            <w:pPr>
              <w:pStyle w:val="AnnexTableCellLeft"/>
            </w:pPr>
            <w:r>
              <w:t>Á ekki við</w:t>
            </w:r>
          </w:p>
        </w:tc>
      </w:tr>
      <w:tr w:rsidR="00D849E8" w14:paraId="002C5094" w14:textId="77777777" w:rsidTr="00A9140F">
        <w:tc>
          <w:tcPr>
            <w:tcW w:w="3036" w:type="dxa"/>
            <w:tcMar>
              <w:top w:w="100" w:type="dxa"/>
              <w:left w:w="0" w:type="dxa"/>
              <w:bottom w:w="100" w:type="dxa"/>
              <w:right w:w="60" w:type="dxa"/>
            </w:tcMar>
          </w:tcPr>
          <w:p w14:paraId="0BCA86DB" w14:textId="77777777" w:rsidR="00D849E8" w:rsidRDefault="00D849E8" w:rsidP="00A9140F">
            <w:pPr>
              <w:pStyle w:val="AnnexNumberedText"/>
              <w:spacing w:after="0"/>
              <w:ind w:left="293" w:hanging="293"/>
            </w:pPr>
            <w:r>
              <w:t>5)</w:t>
            </w:r>
            <w:r>
              <w:tab/>
              <w:t>Mengunarvarnir og eftirlit með mengun</w:t>
            </w:r>
          </w:p>
        </w:tc>
        <w:tc>
          <w:tcPr>
            <w:tcW w:w="5700" w:type="dxa"/>
            <w:tcMar>
              <w:top w:w="100" w:type="dxa"/>
              <w:left w:w="60" w:type="dxa"/>
              <w:bottom w:w="100" w:type="dxa"/>
              <w:right w:w="0" w:type="dxa"/>
            </w:tcMar>
          </w:tcPr>
          <w:p w14:paraId="73A4465D" w14:textId="77777777" w:rsidR="00D849E8" w:rsidRDefault="00D849E8" w:rsidP="00A9140F">
            <w:pPr>
              <w:pStyle w:val="AnnexTableCellLeft"/>
            </w:pPr>
            <w:r>
              <w:t>Á ekki við</w:t>
            </w:r>
          </w:p>
        </w:tc>
      </w:tr>
      <w:tr w:rsidR="00D849E8" w14:paraId="05A3B3A3" w14:textId="77777777" w:rsidTr="00A9140F">
        <w:tc>
          <w:tcPr>
            <w:tcW w:w="3036" w:type="dxa"/>
            <w:tcMar>
              <w:top w:w="100" w:type="dxa"/>
              <w:left w:w="0" w:type="dxa"/>
              <w:bottom w:w="100" w:type="dxa"/>
              <w:right w:w="60" w:type="dxa"/>
            </w:tcMar>
          </w:tcPr>
          <w:p w14:paraId="3F1BFBBB" w14:textId="77777777" w:rsidR="00D849E8" w:rsidRDefault="00D849E8" w:rsidP="00A9140F">
            <w:pPr>
              <w:pStyle w:val="AnnexNumberedText"/>
              <w:spacing w:after="0"/>
              <w:ind w:left="293" w:hanging="293"/>
            </w:pPr>
            <w:r>
              <w:t>6)</w:t>
            </w:r>
            <w:r>
              <w:tab/>
              <w:t>Vernd og endurheimt líffræðilegrar fjölbreytni og vistkerfa</w:t>
            </w:r>
          </w:p>
        </w:tc>
        <w:tc>
          <w:tcPr>
            <w:tcW w:w="5700" w:type="dxa"/>
            <w:tcMar>
              <w:top w:w="100" w:type="dxa"/>
              <w:left w:w="60" w:type="dxa"/>
              <w:bottom w:w="100" w:type="dxa"/>
              <w:right w:w="0" w:type="dxa"/>
            </w:tcMar>
          </w:tcPr>
          <w:p w14:paraId="2F951718" w14:textId="77777777" w:rsidR="00D849E8" w:rsidRDefault="00D849E8" w:rsidP="00A9140F">
            <w:pPr>
              <w:pStyle w:val="AnnexTableCellLeft"/>
            </w:pPr>
            <w:r>
              <w:t>Á ekki við</w:t>
            </w:r>
          </w:p>
        </w:tc>
      </w:tr>
    </w:tbl>
    <w:p w14:paraId="742F255D" w14:textId="77777777" w:rsidR="00D849E8" w:rsidRDefault="00D849E8" w:rsidP="00D849E8">
      <w:pPr>
        <w:pStyle w:val="AnnexNumberedText"/>
        <w:ind w:left="504" w:hanging="504"/>
      </w:pPr>
      <w:r>
        <w:t>7.7.</w:t>
      </w:r>
      <w:r>
        <w:rPr>
          <w:b/>
        </w:rPr>
        <w:tab/>
        <w:t>Kaup og eignarhald á byggingum</w:t>
      </w:r>
    </w:p>
    <w:p w14:paraId="4FB966FB" w14:textId="77777777" w:rsidR="00D849E8" w:rsidRDefault="00D849E8" w:rsidP="00D849E8">
      <w:pPr>
        <w:pStyle w:val="AnnexGrSeq3"/>
        <w:spacing w:after="120"/>
        <w:ind w:left="504"/>
        <w:jc w:val="both"/>
      </w:pPr>
      <w:r>
        <w:rPr>
          <w:i/>
        </w:rPr>
        <w:t>Lýsing á starfseminni</w:t>
      </w:r>
    </w:p>
    <w:p w14:paraId="16B09150" w14:textId="77777777" w:rsidR="00D849E8" w:rsidRDefault="00D849E8" w:rsidP="00D849E8">
      <w:pPr>
        <w:pStyle w:val="AnnexNormal"/>
        <w:ind w:left="504"/>
      </w:pPr>
      <w:r>
        <w:t>Fasteignakaup og eignarhald á þeirri fasteign.</w:t>
      </w:r>
    </w:p>
    <w:p w14:paraId="0EC373A5" w14:textId="77777777" w:rsidR="00D849E8" w:rsidRDefault="00D849E8" w:rsidP="00D849E8">
      <w:pPr>
        <w:pStyle w:val="AnnexNormal"/>
        <w:ind w:left="504"/>
      </w:pPr>
      <w:r>
        <w:t>Atvinnustarfsemin í þessum flokki gæti tengst kóða atvinnugreinaflokkunar Evrópusambandsins L68 í samræmi við atvinnugreinaflokkunina sem komið var á með reglugerð (EB) nr. 1893/2006.</w:t>
      </w:r>
    </w:p>
    <w:p w14:paraId="7B3842A6"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64"/>
        <w:gridCol w:w="5772"/>
      </w:tblGrid>
      <w:tr w:rsidR="00D849E8" w14:paraId="1EC04B1D" w14:textId="77777777" w:rsidTr="00A9140F">
        <w:trPr>
          <w:trHeight w:val="280"/>
        </w:trPr>
        <w:tc>
          <w:tcPr>
            <w:tcW w:w="8736" w:type="dxa"/>
            <w:gridSpan w:val="2"/>
            <w:tcBorders>
              <w:bottom w:val="single" w:sz="4" w:space="0" w:color="auto"/>
            </w:tcBorders>
            <w:tcMar>
              <w:left w:w="0" w:type="dxa"/>
              <w:right w:w="60" w:type="dxa"/>
            </w:tcMar>
          </w:tcPr>
          <w:p w14:paraId="3861E5F9" w14:textId="77777777" w:rsidR="00D849E8" w:rsidRDefault="00D849E8" w:rsidP="00A9140F">
            <w:pPr>
              <w:pStyle w:val="AnnexTableCellLeft"/>
              <w:spacing w:before="40" w:after="40"/>
            </w:pPr>
            <w:r>
              <w:t>Verulegt framlag til aðlögunar að loftslagsbreytingum</w:t>
            </w:r>
          </w:p>
        </w:tc>
      </w:tr>
      <w:tr w:rsidR="00D849E8" w14:paraId="75166AE3" w14:textId="77777777" w:rsidTr="00A9140F">
        <w:trPr>
          <w:trHeight w:val="360"/>
        </w:trPr>
        <w:tc>
          <w:tcPr>
            <w:tcW w:w="8736" w:type="dxa"/>
            <w:gridSpan w:val="2"/>
            <w:tcBorders>
              <w:bottom w:val="nil"/>
            </w:tcBorders>
            <w:tcMar>
              <w:left w:w="0" w:type="dxa"/>
              <w:right w:w="60" w:type="dxa"/>
            </w:tcMar>
          </w:tcPr>
          <w:p w14:paraId="520E6037" w14:textId="77777777" w:rsidR="00D849E8" w:rsidRDefault="00D849E8" w:rsidP="00A9140F">
            <w:pPr>
              <w:pStyle w:val="AnnexNumberedText"/>
              <w:tabs>
                <w:tab w:val="left" w:pos="396"/>
              </w:tabs>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0C8DFF2A" w14:textId="77777777" w:rsidR="00D849E8" w:rsidRDefault="00D849E8" w:rsidP="00A9140F">
            <w:pPr>
              <w:pStyle w:val="AnnexNumberedText"/>
              <w:tabs>
                <w:tab w:val="left" w:pos="396"/>
              </w:tabs>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3E82B84A" w14:textId="77777777" w:rsidR="00D849E8" w:rsidRDefault="00D849E8" w:rsidP="00A9140F">
            <w:pPr>
              <w:pStyle w:val="AnnexNumberedText"/>
            </w:pPr>
            <w:r>
              <w:t>a)</w:t>
            </w:r>
            <w:r>
              <w:tab/>
              <w:t>skimun á starfseminni til að greina hvaða efnislega loftslagsáhætta úr skránni í viðbæti A við þennan viðauka getur haft áhrif á árangurinn af atvinnustarfseminni á væntum líftíma hennar,</w:t>
            </w:r>
          </w:p>
          <w:p w14:paraId="37E4B40B" w14:textId="77777777" w:rsidR="00D849E8" w:rsidRDefault="00D849E8" w:rsidP="00A9140F">
            <w:pPr>
              <w:pStyle w:val="AnnexNumberedText"/>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5BDBD692" w14:textId="77777777" w:rsidR="00D849E8" w:rsidRDefault="00D849E8" w:rsidP="00A9140F">
            <w:pPr>
              <w:pStyle w:val="AnnexNumberedText"/>
            </w:pPr>
            <w:r>
              <w:t>c)</w:t>
            </w:r>
            <w:r>
              <w:tab/>
              <w:t>mat á aðlögunarlausnum sem geta dregið úr greindri efnislegri loftslagsáhættu.</w:t>
            </w:r>
          </w:p>
          <w:p w14:paraId="1BC3914F" w14:textId="77777777" w:rsidR="00D849E8" w:rsidRDefault="00D849E8" w:rsidP="00A9140F">
            <w:pPr>
              <w:pStyle w:val="AnnexTableCellLeft"/>
              <w:spacing w:after="120"/>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38AA3740" w14:textId="77777777" w:rsidR="00D849E8" w:rsidRDefault="00D849E8" w:rsidP="00A9140F">
            <w:pPr>
              <w:pStyle w:val="AnnexNumberedText"/>
              <w:spacing w:after="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tc>
      </w:tr>
      <w:tr w:rsidR="00D849E8" w14:paraId="52F3164D" w14:textId="77777777" w:rsidTr="00A9140F">
        <w:trPr>
          <w:trHeight w:val="360"/>
        </w:trPr>
        <w:tc>
          <w:tcPr>
            <w:tcW w:w="8736" w:type="dxa"/>
            <w:gridSpan w:val="2"/>
            <w:tcBorders>
              <w:top w:val="nil"/>
            </w:tcBorders>
            <w:tcMar>
              <w:left w:w="0" w:type="dxa"/>
              <w:right w:w="60" w:type="dxa"/>
            </w:tcMar>
          </w:tcPr>
          <w:p w14:paraId="780F8218" w14:textId="77777777" w:rsidR="00D849E8" w:rsidRDefault="00D849E8" w:rsidP="00A9140F">
            <w:pPr>
              <w:pStyle w:val="AnnexNumberedText"/>
              <w:pageBreakBefore/>
              <w:spacing w:after="200"/>
              <w:rPr>
                <w:szCs w:val="18"/>
              </w:rPr>
            </w:pPr>
            <w:r>
              <w:lastRenderedPageBreak/>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64"/>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05FEC7D6"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65"/>
            </w:r>
            <w:r>
              <w:t>), vísindalegt ritrýnt útgefið efni og líkön með opnum aðgangi (</w:t>
            </w:r>
            <w:r>
              <w:rPr>
                <w:rStyle w:val="Tilvsunneanmlsgrein"/>
                <w:sz w:val="18"/>
                <w:szCs w:val="18"/>
              </w:rPr>
              <w:footnoteReference w:id="966"/>
            </w:r>
            <w:r>
              <w:t>) eða gegn greiðslu.</w:t>
            </w:r>
          </w:p>
          <w:p w14:paraId="1A450CA0"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66020C39"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779BC616"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967"/>
            </w:r>
            <w:r>
              <w:t>) í forgangi eða treyst er á bláa eða græna innviði (</w:t>
            </w:r>
            <w:r>
              <w:rPr>
                <w:rStyle w:val="Tilvsunneanmlsgrein"/>
                <w:sz w:val="18"/>
                <w:szCs w:val="18"/>
              </w:rPr>
              <w:footnoteReference w:id="968"/>
            </w:r>
            <w:r>
              <w:t>) að því marki sem mögulegt er,</w:t>
            </w:r>
          </w:p>
          <w:p w14:paraId="2E0B42F6"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0114B2B5"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12188D58"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14EF5D76" w14:textId="77777777" w:rsidTr="00A9140F">
        <w:tc>
          <w:tcPr>
            <w:tcW w:w="8736" w:type="dxa"/>
            <w:gridSpan w:val="2"/>
            <w:tcMar>
              <w:top w:w="100" w:type="dxa"/>
              <w:left w:w="0" w:type="dxa"/>
              <w:bottom w:w="100" w:type="dxa"/>
              <w:right w:w="60" w:type="dxa"/>
            </w:tcMar>
          </w:tcPr>
          <w:p w14:paraId="52AB6931" w14:textId="77777777" w:rsidR="00D849E8" w:rsidRDefault="00D849E8" w:rsidP="00A9140F">
            <w:pPr>
              <w:pStyle w:val="AnnexTableCellLeft"/>
            </w:pPr>
            <w:r>
              <w:t>Ekki valda umtalsverðu tjóni</w:t>
            </w:r>
          </w:p>
        </w:tc>
      </w:tr>
      <w:tr w:rsidR="00D849E8" w14:paraId="46616378" w14:textId="77777777" w:rsidTr="00A9140F">
        <w:tc>
          <w:tcPr>
            <w:tcW w:w="2964" w:type="dxa"/>
            <w:tcMar>
              <w:top w:w="100" w:type="dxa"/>
              <w:left w:w="0" w:type="dxa"/>
              <w:bottom w:w="100" w:type="dxa"/>
              <w:right w:w="60" w:type="dxa"/>
            </w:tcMar>
          </w:tcPr>
          <w:p w14:paraId="3DE1377B" w14:textId="77777777" w:rsidR="00D849E8" w:rsidRDefault="00D849E8" w:rsidP="00A9140F">
            <w:pPr>
              <w:pStyle w:val="AnnexNumberedText"/>
              <w:spacing w:after="0"/>
              <w:ind w:left="293" w:hanging="293"/>
              <w:rPr>
                <w:szCs w:val="18"/>
              </w:rPr>
            </w:pPr>
            <w:r>
              <w:t>1)</w:t>
            </w:r>
            <w:r>
              <w:tab/>
              <w:t>Mildun loftslagsbreytinga</w:t>
            </w:r>
          </w:p>
        </w:tc>
        <w:tc>
          <w:tcPr>
            <w:tcW w:w="5772" w:type="dxa"/>
            <w:tcMar>
              <w:top w:w="100" w:type="dxa"/>
              <w:left w:w="60" w:type="dxa"/>
              <w:bottom w:w="100" w:type="dxa"/>
              <w:right w:w="0" w:type="dxa"/>
            </w:tcMar>
          </w:tcPr>
          <w:p w14:paraId="041A4BB2" w14:textId="77777777" w:rsidR="00D849E8" w:rsidRDefault="00D849E8" w:rsidP="00A9140F">
            <w:pPr>
              <w:pStyle w:val="AnnexTableCellLeft"/>
              <w:spacing w:after="200"/>
              <w:rPr>
                <w:szCs w:val="18"/>
              </w:rPr>
            </w:pPr>
            <w:r>
              <w:t>Byggingin er ekki ætluð til vinnslu, geymslu, flutnings eða framleiðslu á jarðefnaeldsneyti.</w:t>
            </w:r>
          </w:p>
          <w:p w14:paraId="7FD68F40" w14:textId="77777777" w:rsidR="00D849E8" w:rsidRDefault="00D849E8" w:rsidP="00A9140F">
            <w:pPr>
              <w:pStyle w:val="AnnexTableCellLeft"/>
              <w:spacing w:after="200"/>
              <w:rPr>
                <w:szCs w:val="18"/>
              </w:rPr>
            </w:pPr>
            <w:r>
              <w:t>Að því er varðar byggingar sem eru byggðar fyrir 31. desember 2020 er byggingin a.m.k. með orkunýtingarvottorð í flokki C. Að öðrum kosti fellur byggingin innan efstu 30% af landsbundnum eða svæðisbundnum byggingarkosti, gefið upp sem frumorkuþörf og sýnt fram á það með fullnægjandi sönnunum, þar sem a.m.k. frammistaða viðkomandi eignar er borin saman við frammistöðu landsbundins eða svæðisbundins byggingarkosts sem var byggður fyrir 31. desember 2020 og a.m.k. gerður greinarmunur á íbúðarhúsnæði og öðrum byggingum en íbúðarhúsnæði.</w:t>
            </w:r>
          </w:p>
          <w:p w14:paraId="6542952A" w14:textId="77777777" w:rsidR="00D849E8" w:rsidRDefault="00D849E8" w:rsidP="00A9140F">
            <w:pPr>
              <w:pStyle w:val="AnnexTableCellLeft"/>
              <w:spacing w:after="200"/>
              <w:rPr>
                <w:szCs w:val="18"/>
              </w:rPr>
            </w:pPr>
            <w:r>
              <w:t>Að því er varðar byggingar sem eru byggðar eftir 31. desember 2020 fer frumorkuþörfin (</w:t>
            </w:r>
            <w:r>
              <w:rPr>
                <w:rStyle w:val="Tilvsunneanmlsgrein"/>
                <w:sz w:val="18"/>
                <w:szCs w:val="18"/>
              </w:rPr>
              <w:footnoteReference w:id="969"/>
            </w:r>
            <w:r>
              <w:t xml:space="preserve">), sem skilgreinir orkunýtingu byggingarinnar sem var reist, ekki yfir viðmiðunarmörkin sem voru fastsett fyrir kröfurnar um nánast núllorkubyggingu í landsráðstöfunum til framkvæmdar tilskipun 2010/31/ESB. </w:t>
            </w:r>
            <w:r>
              <w:lastRenderedPageBreak/>
              <w:t>Orkunýtingin er vottuð með því að nota orkunýtingarvottorð.</w:t>
            </w:r>
          </w:p>
        </w:tc>
      </w:tr>
      <w:tr w:rsidR="00D849E8" w14:paraId="344CF193" w14:textId="77777777" w:rsidTr="00A9140F">
        <w:tc>
          <w:tcPr>
            <w:tcW w:w="2964" w:type="dxa"/>
            <w:tcMar>
              <w:top w:w="100" w:type="dxa"/>
              <w:left w:w="0" w:type="dxa"/>
              <w:bottom w:w="100" w:type="dxa"/>
              <w:right w:w="60" w:type="dxa"/>
            </w:tcMar>
          </w:tcPr>
          <w:p w14:paraId="2131CC0F" w14:textId="77777777" w:rsidR="00D849E8" w:rsidRDefault="00D849E8" w:rsidP="00A9140F">
            <w:pPr>
              <w:pStyle w:val="AnnexNumberedText"/>
              <w:pageBreakBefore/>
              <w:spacing w:after="0"/>
              <w:ind w:left="293" w:hanging="293"/>
            </w:pPr>
            <w:r>
              <w:lastRenderedPageBreak/>
              <w:t>3)</w:t>
            </w:r>
            <w:r>
              <w:tab/>
              <w:t>Sjálfbær notkun og verndun vatns- og sjávarauðlinda</w:t>
            </w:r>
          </w:p>
        </w:tc>
        <w:tc>
          <w:tcPr>
            <w:tcW w:w="5772" w:type="dxa"/>
            <w:tcMar>
              <w:top w:w="100" w:type="dxa"/>
              <w:left w:w="60" w:type="dxa"/>
              <w:bottom w:w="100" w:type="dxa"/>
              <w:right w:w="0" w:type="dxa"/>
            </w:tcMar>
          </w:tcPr>
          <w:p w14:paraId="0E6E30A5" w14:textId="77777777" w:rsidR="00D849E8" w:rsidRDefault="00D849E8" w:rsidP="00A9140F">
            <w:pPr>
              <w:pStyle w:val="AnnexTableCellLeft"/>
            </w:pPr>
            <w:r>
              <w:t>Á ekki við</w:t>
            </w:r>
          </w:p>
        </w:tc>
      </w:tr>
      <w:tr w:rsidR="00D849E8" w14:paraId="630A6D3B" w14:textId="77777777" w:rsidTr="00A9140F">
        <w:tc>
          <w:tcPr>
            <w:tcW w:w="2964" w:type="dxa"/>
            <w:tcMar>
              <w:top w:w="100" w:type="dxa"/>
              <w:left w:w="0" w:type="dxa"/>
              <w:bottom w:w="100" w:type="dxa"/>
              <w:right w:w="60" w:type="dxa"/>
            </w:tcMar>
          </w:tcPr>
          <w:p w14:paraId="06DC60C2" w14:textId="77777777" w:rsidR="00D849E8" w:rsidRDefault="00D849E8" w:rsidP="00A9140F">
            <w:pPr>
              <w:pStyle w:val="AnnexNumberedText"/>
              <w:spacing w:after="0"/>
              <w:ind w:left="293" w:hanging="293"/>
            </w:pPr>
            <w:r>
              <w:t>4)</w:t>
            </w:r>
            <w:r>
              <w:tab/>
              <w:t>Umskipti yfir í hringrásarhagkerfi</w:t>
            </w:r>
          </w:p>
        </w:tc>
        <w:tc>
          <w:tcPr>
            <w:tcW w:w="5772" w:type="dxa"/>
            <w:tcMar>
              <w:top w:w="100" w:type="dxa"/>
              <w:left w:w="60" w:type="dxa"/>
              <w:bottom w:w="100" w:type="dxa"/>
              <w:right w:w="0" w:type="dxa"/>
            </w:tcMar>
          </w:tcPr>
          <w:p w14:paraId="4F78A979" w14:textId="77777777" w:rsidR="00D849E8" w:rsidRDefault="00D849E8" w:rsidP="00A9140F">
            <w:pPr>
              <w:pStyle w:val="AnnexTableCellLeft"/>
            </w:pPr>
            <w:r>
              <w:t>Á ekki við</w:t>
            </w:r>
          </w:p>
        </w:tc>
      </w:tr>
      <w:tr w:rsidR="00D849E8" w14:paraId="5CA0813E" w14:textId="77777777" w:rsidTr="00A9140F">
        <w:tc>
          <w:tcPr>
            <w:tcW w:w="2964" w:type="dxa"/>
            <w:tcMar>
              <w:top w:w="100" w:type="dxa"/>
              <w:left w:w="0" w:type="dxa"/>
              <w:bottom w:w="100" w:type="dxa"/>
              <w:right w:w="60" w:type="dxa"/>
            </w:tcMar>
          </w:tcPr>
          <w:p w14:paraId="220D6E51" w14:textId="77777777" w:rsidR="00D849E8" w:rsidRDefault="00D849E8" w:rsidP="00A9140F">
            <w:pPr>
              <w:pStyle w:val="AnnexNumberedText"/>
              <w:spacing w:after="0"/>
              <w:ind w:left="293" w:hanging="293"/>
            </w:pPr>
            <w:r>
              <w:t>5)</w:t>
            </w:r>
            <w:r>
              <w:tab/>
              <w:t>Mengunarvarnir og eftirlit með mengun</w:t>
            </w:r>
          </w:p>
        </w:tc>
        <w:tc>
          <w:tcPr>
            <w:tcW w:w="5772" w:type="dxa"/>
            <w:tcMar>
              <w:top w:w="100" w:type="dxa"/>
              <w:left w:w="60" w:type="dxa"/>
              <w:bottom w:w="100" w:type="dxa"/>
              <w:right w:w="0" w:type="dxa"/>
            </w:tcMar>
          </w:tcPr>
          <w:p w14:paraId="784DD2E5" w14:textId="77777777" w:rsidR="00D849E8" w:rsidRDefault="00D849E8" w:rsidP="00A9140F">
            <w:pPr>
              <w:pStyle w:val="AnnexTableCellLeft"/>
            </w:pPr>
            <w:r>
              <w:t>Á ekki við</w:t>
            </w:r>
          </w:p>
        </w:tc>
      </w:tr>
      <w:tr w:rsidR="00D849E8" w14:paraId="4C79A997" w14:textId="77777777" w:rsidTr="00A9140F">
        <w:tc>
          <w:tcPr>
            <w:tcW w:w="2964" w:type="dxa"/>
            <w:tcMar>
              <w:top w:w="100" w:type="dxa"/>
              <w:left w:w="0" w:type="dxa"/>
              <w:bottom w:w="100" w:type="dxa"/>
              <w:right w:w="60" w:type="dxa"/>
            </w:tcMar>
          </w:tcPr>
          <w:p w14:paraId="148B10A7" w14:textId="77777777" w:rsidR="00D849E8" w:rsidRDefault="00D849E8" w:rsidP="00A9140F">
            <w:pPr>
              <w:pStyle w:val="AnnexNumberedText"/>
              <w:spacing w:after="0"/>
              <w:ind w:left="293" w:hanging="293"/>
            </w:pPr>
            <w:r>
              <w:t>6)</w:t>
            </w:r>
            <w:r>
              <w:tab/>
              <w:t>Vernd og endurheimt líffræðilegrar fjölbreytni og vistkerfa</w:t>
            </w:r>
          </w:p>
        </w:tc>
        <w:tc>
          <w:tcPr>
            <w:tcW w:w="5772" w:type="dxa"/>
            <w:tcMar>
              <w:top w:w="100" w:type="dxa"/>
              <w:left w:w="60" w:type="dxa"/>
              <w:bottom w:w="100" w:type="dxa"/>
              <w:right w:w="0" w:type="dxa"/>
            </w:tcMar>
          </w:tcPr>
          <w:p w14:paraId="360A8413" w14:textId="77777777" w:rsidR="00D849E8" w:rsidRDefault="00D849E8" w:rsidP="00A9140F">
            <w:pPr>
              <w:pStyle w:val="AnnexTableCellLeft"/>
            </w:pPr>
            <w:r>
              <w:t>Á ekki við</w:t>
            </w:r>
          </w:p>
        </w:tc>
      </w:tr>
    </w:tbl>
    <w:p w14:paraId="726BD3C7" w14:textId="77777777" w:rsidR="00D849E8" w:rsidRDefault="00D849E8" w:rsidP="00D849E8">
      <w:pPr>
        <w:pStyle w:val="AnnexNumberedText"/>
        <w:ind w:left="504" w:hanging="504"/>
        <w:rPr>
          <w:sz w:val="16"/>
        </w:rPr>
      </w:pPr>
      <w:r>
        <w:t>8.</w:t>
      </w:r>
      <w:r>
        <w:tab/>
      </w:r>
      <w:r>
        <w:rPr>
          <w:sz w:val="16"/>
        </w:rPr>
        <w:t>UPPLÝSINGAR OG SAMSKIPTI</w:t>
      </w:r>
    </w:p>
    <w:p w14:paraId="2DA875E6" w14:textId="77777777" w:rsidR="00D849E8" w:rsidRDefault="00D849E8" w:rsidP="00D849E8">
      <w:pPr>
        <w:pStyle w:val="AnnexNumberedText"/>
        <w:ind w:left="504" w:hanging="504"/>
      </w:pPr>
      <w:r>
        <w:t>8.1.</w:t>
      </w:r>
      <w:r>
        <w:rPr>
          <w:b/>
        </w:rPr>
        <w:tab/>
        <w:t xml:space="preserve">Gagnavinnsla, </w:t>
      </w:r>
      <w:proofErr w:type="spellStart"/>
      <w:r>
        <w:rPr>
          <w:b/>
        </w:rPr>
        <w:t>hýsing</w:t>
      </w:r>
      <w:proofErr w:type="spellEnd"/>
      <w:r>
        <w:rPr>
          <w:b/>
        </w:rPr>
        <w:t xml:space="preserve"> og tengd starfsemi</w:t>
      </w:r>
    </w:p>
    <w:p w14:paraId="32BFD518" w14:textId="77777777" w:rsidR="00D849E8" w:rsidRDefault="00D849E8" w:rsidP="00D849E8">
      <w:pPr>
        <w:pStyle w:val="AnnexGrSeq3"/>
        <w:spacing w:after="120"/>
        <w:ind w:left="504"/>
        <w:jc w:val="both"/>
      </w:pPr>
      <w:r>
        <w:rPr>
          <w:i/>
        </w:rPr>
        <w:t>Lýsing á starfseminni</w:t>
      </w:r>
    </w:p>
    <w:p w14:paraId="045EB9B6" w14:textId="77777777" w:rsidR="00D849E8" w:rsidRDefault="00D849E8" w:rsidP="00D849E8">
      <w:pPr>
        <w:pStyle w:val="AnnexNormal"/>
        <w:ind w:left="504"/>
        <w:rPr>
          <w:szCs w:val="18"/>
        </w:rPr>
      </w:pPr>
      <w:r>
        <w:t>Geymsla, meðferð, stjórnun, flutningur, stýring, sýning, tenging, samskipti, sending eða móttaka fjölbreyttra gagna í gegnum gagnaver (</w:t>
      </w:r>
      <w:bookmarkStart w:id="105" w:name="NOTE_969"/>
      <w:r>
        <w:rPr>
          <w:rStyle w:val="Tilvsunneanmlsgrein"/>
          <w:sz w:val="18"/>
          <w:szCs w:val="18"/>
        </w:rPr>
        <w:footnoteReference w:id="970"/>
      </w:r>
      <w:bookmarkEnd w:id="105"/>
      <w:r>
        <w:t>), þ.m.t. tölvuvinnsla í nærumhverfi.</w:t>
      </w:r>
    </w:p>
    <w:p w14:paraId="4107333D" w14:textId="77777777" w:rsidR="00D849E8" w:rsidRDefault="00D849E8" w:rsidP="00D849E8">
      <w:pPr>
        <w:pStyle w:val="AnnexNormal"/>
        <w:ind w:left="504"/>
      </w:pPr>
      <w:r>
        <w:t>Atvinnustarfsemin í þessum flokki gæti tengst kóða atvinnugreinaflokkunar Evrópusambandsins J63.1.1 í samræmi við atvinnugreinaflokkunina sem komið var á með reglugerð (EB) nr. 1893/2006.</w:t>
      </w:r>
    </w:p>
    <w:p w14:paraId="4C4586DF"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04"/>
        <w:gridCol w:w="5832"/>
      </w:tblGrid>
      <w:tr w:rsidR="00D849E8" w14:paraId="0B7B5125" w14:textId="77777777" w:rsidTr="00A9140F">
        <w:trPr>
          <w:trHeight w:val="280"/>
        </w:trPr>
        <w:tc>
          <w:tcPr>
            <w:tcW w:w="8736" w:type="dxa"/>
            <w:gridSpan w:val="2"/>
            <w:tcBorders>
              <w:bottom w:val="single" w:sz="4" w:space="0" w:color="auto"/>
            </w:tcBorders>
            <w:tcMar>
              <w:left w:w="0" w:type="dxa"/>
              <w:right w:w="60" w:type="dxa"/>
            </w:tcMar>
          </w:tcPr>
          <w:p w14:paraId="2253FF71" w14:textId="77777777" w:rsidR="00D849E8" w:rsidRDefault="00D849E8" w:rsidP="00A9140F">
            <w:pPr>
              <w:pStyle w:val="AnnexTableCellLeft"/>
              <w:spacing w:before="40" w:after="40"/>
            </w:pPr>
            <w:r>
              <w:t>Verulegt framlag til aðlögunar að loftslagsbreytingum</w:t>
            </w:r>
          </w:p>
        </w:tc>
      </w:tr>
      <w:tr w:rsidR="00D849E8" w14:paraId="2B3D5E0D" w14:textId="77777777" w:rsidTr="00A9140F">
        <w:trPr>
          <w:trHeight w:val="360"/>
        </w:trPr>
        <w:tc>
          <w:tcPr>
            <w:tcW w:w="8736" w:type="dxa"/>
            <w:gridSpan w:val="2"/>
            <w:tcBorders>
              <w:bottom w:val="nil"/>
            </w:tcBorders>
            <w:tcMar>
              <w:left w:w="0" w:type="dxa"/>
              <w:right w:w="60" w:type="dxa"/>
            </w:tcMar>
          </w:tcPr>
          <w:p w14:paraId="14E4A9AC" w14:textId="77777777" w:rsidR="00D849E8" w:rsidRDefault="00D849E8" w:rsidP="00A9140F">
            <w:pPr>
              <w:pStyle w:val="AnnexNumberedText"/>
              <w:tabs>
                <w:tab w:val="left" w:pos="396"/>
              </w:tabs>
              <w:spacing w:after="18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234DEBED" w14:textId="77777777" w:rsidR="00D849E8" w:rsidRDefault="00D849E8" w:rsidP="00A9140F">
            <w:pPr>
              <w:pStyle w:val="AnnexNumberedText"/>
              <w:tabs>
                <w:tab w:val="left" w:pos="396"/>
              </w:tabs>
              <w:spacing w:after="18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7F609EA9" w14:textId="77777777" w:rsidR="00D849E8" w:rsidRDefault="00D849E8" w:rsidP="00A9140F">
            <w:pPr>
              <w:pStyle w:val="AnnexNumberedText"/>
              <w:spacing w:after="180"/>
              <w:rPr>
                <w:szCs w:val="18"/>
              </w:rPr>
            </w:pPr>
            <w:r>
              <w:t>a)</w:t>
            </w:r>
            <w:r>
              <w:tab/>
              <w:t>skimun á starfseminni til að greina hvaða efnislega loftslagsáhætta úr skránni í viðbæti A við þennan viðauka getur haft áhrif á árangurinn af atvinnustarfseminni á væntum líftíma hennar,</w:t>
            </w:r>
          </w:p>
          <w:p w14:paraId="38B3C91C" w14:textId="77777777" w:rsidR="00D849E8" w:rsidRDefault="00D849E8" w:rsidP="00A9140F">
            <w:pPr>
              <w:pStyle w:val="AnnexNumberedText"/>
              <w:spacing w:after="18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436F9A2" w14:textId="77777777" w:rsidR="00D849E8" w:rsidRDefault="00D849E8" w:rsidP="00A9140F">
            <w:pPr>
              <w:pStyle w:val="AnnexNumberedText"/>
              <w:spacing w:after="180"/>
              <w:rPr>
                <w:szCs w:val="18"/>
              </w:rPr>
            </w:pPr>
            <w:r>
              <w:t>c)</w:t>
            </w:r>
            <w:r>
              <w:tab/>
              <w:t>mat á aðlögunarlausnum sem geta dregið úr greindri efnislegri loftslagsáhættu.</w:t>
            </w:r>
          </w:p>
          <w:p w14:paraId="2C139A1D" w14:textId="77777777" w:rsidR="00D849E8" w:rsidRDefault="00D849E8" w:rsidP="00A9140F">
            <w:pPr>
              <w:pStyle w:val="AnnexTableCellLeft"/>
              <w:spacing w:after="18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070C1159" w14:textId="77777777" w:rsidR="00D849E8" w:rsidRDefault="00D849E8" w:rsidP="00A9140F">
            <w:pPr>
              <w:pStyle w:val="AnnexNumberedText"/>
              <w:spacing w:after="18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5022965" w14:textId="77777777" w:rsidR="00D849E8" w:rsidRDefault="00D849E8" w:rsidP="00A9140F">
            <w:pPr>
              <w:pStyle w:val="AnnexNumberedText"/>
              <w:spacing w:after="18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7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EFAEC05" w14:textId="77777777" w:rsidR="00D849E8" w:rsidRDefault="00D849E8" w:rsidP="00A9140F">
            <w:pPr>
              <w:pStyle w:val="AnnexNumberedText"/>
              <w:tabs>
                <w:tab w:val="left" w:pos="396"/>
              </w:tabs>
              <w:spacing w:after="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72"/>
            </w:r>
            <w:r>
              <w:t>), vísindalegt ritrýnt útgefið efni og líkön með opnum aðgangi (</w:t>
            </w:r>
            <w:r>
              <w:rPr>
                <w:rStyle w:val="Tilvsunneanmlsgrein"/>
                <w:sz w:val="18"/>
                <w:szCs w:val="18"/>
              </w:rPr>
              <w:footnoteReference w:id="973"/>
            </w:r>
            <w:r>
              <w:t>) eða gegn greiðslu.</w:t>
            </w:r>
          </w:p>
        </w:tc>
      </w:tr>
      <w:tr w:rsidR="00D849E8" w14:paraId="23688D7A" w14:textId="77777777" w:rsidTr="00A9140F">
        <w:trPr>
          <w:trHeight w:val="360"/>
        </w:trPr>
        <w:tc>
          <w:tcPr>
            <w:tcW w:w="8736" w:type="dxa"/>
            <w:gridSpan w:val="2"/>
            <w:tcBorders>
              <w:top w:val="nil"/>
            </w:tcBorders>
            <w:tcMar>
              <w:left w:w="0" w:type="dxa"/>
              <w:right w:w="60" w:type="dxa"/>
            </w:tcMar>
          </w:tcPr>
          <w:p w14:paraId="6C4DD14B" w14:textId="77777777" w:rsidR="00D849E8" w:rsidRDefault="00D849E8" w:rsidP="00A9140F">
            <w:pPr>
              <w:pStyle w:val="AnnexNumberedText"/>
              <w:pageBreakBefore/>
              <w:tabs>
                <w:tab w:val="left" w:pos="396"/>
              </w:tabs>
              <w:spacing w:after="100"/>
              <w:ind w:left="0" w:firstLine="0"/>
              <w:rPr>
                <w:szCs w:val="18"/>
              </w:rPr>
            </w:pPr>
            <w:r>
              <w:lastRenderedPageBreak/>
              <w:t>4.</w:t>
            </w:r>
            <w:r>
              <w:tab/>
              <w:t>Aðlögunarlausnir sem komið er í framkvæmd:</w:t>
            </w:r>
          </w:p>
          <w:p w14:paraId="00630969" w14:textId="77777777" w:rsidR="00D849E8" w:rsidRDefault="00D849E8" w:rsidP="00A9140F">
            <w:pPr>
              <w:pStyle w:val="AnnexNumberedText"/>
              <w:spacing w:after="100"/>
              <w:rPr>
                <w:szCs w:val="18"/>
              </w:rPr>
            </w:pPr>
            <w:r>
              <w:t>a)</w:t>
            </w:r>
            <w:r>
              <w:tab/>
              <w:t>hafa ekki neikvæð áhrif á viðleitni til aðlögunar eða viðnám annars fólks, náttúru, menningararfleifðar, eigna og annarrar atvinnustarfsemi gegn efnislegri loftslagsáhættu,</w:t>
            </w:r>
          </w:p>
          <w:p w14:paraId="726CA8A1" w14:textId="77777777" w:rsidR="00D849E8" w:rsidRDefault="00D849E8" w:rsidP="00A9140F">
            <w:pPr>
              <w:pStyle w:val="AnnexNumberedText"/>
              <w:spacing w:after="100"/>
              <w:rPr>
                <w:szCs w:val="18"/>
              </w:rPr>
            </w:pPr>
            <w:r>
              <w:t>b)</w:t>
            </w:r>
            <w:r>
              <w:tab/>
              <w:t>eru með náttúrumiðaðar lausnir (</w:t>
            </w:r>
            <w:r>
              <w:rPr>
                <w:rStyle w:val="Tilvsunneanmlsgrein"/>
                <w:sz w:val="18"/>
                <w:szCs w:val="18"/>
              </w:rPr>
              <w:footnoteReference w:id="974"/>
            </w:r>
            <w:r>
              <w:t>) í forgangi eða treyst er á bláa eða græna innviði (</w:t>
            </w:r>
            <w:r>
              <w:rPr>
                <w:rStyle w:val="Tilvsunneanmlsgrein"/>
                <w:sz w:val="18"/>
                <w:szCs w:val="18"/>
              </w:rPr>
              <w:footnoteReference w:id="975"/>
            </w:r>
            <w:r>
              <w:t>) að því marki sem mögulegt er,</w:t>
            </w:r>
          </w:p>
          <w:p w14:paraId="4D8E1E20" w14:textId="77777777" w:rsidR="00D849E8" w:rsidRDefault="00D849E8" w:rsidP="00A9140F">
            <w:pPr>
              <w:pStyle w:val="AnnexNumberedText"/>
              <w:spacing w:after="100"/>
              <w:rPr>
                <w:szCs w:val="18"/>
              </w:rPr>
            </w:pPr>
            <w:r>
              <w:t>c)</w:t>
            </w:r>
            <w:r>
              <w:tab/>
              <w:t>eru í samræmi við staðbundnar, geirabundnar, svæðisbundnar eða landsbundnar aðlögunarstefnur og -áætlanir,</w:t>
            </w:r>
          </w:p>
          <w:p w14:paraId="6026A098" w14:textId="77777777" w:rsidR="00D849E8" w:rsidRDefault="00D849E8" w:rsidP="00A9140F">
            <w:pPr>
              <w:pStyle w:val="AnnexNumberedText"/>
              <w:spacing w:after="1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4EBC16F" w14:textId="77777777" w:rsidR="00D849E8" w:rsidRDefault="00D849E8" w:rsidP="00A9140F">
            <w:pPr>
              <w:pStyle w:val="AnnexNumberedText"/>
              <w:spacing w:after="10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417649E8" w14:textId="77777777" w:rsidTr="00A9140F">
        <w:trPr>
          <w:trHeight w:val="240"/>
        </w:trPr>
        <w:tc>
          <w:tcPr>
            <w:tcW w:w="8736" w:type="dxa"/>
            <w:gridSpan w:val="2"/>
            <w:tcMar>
              <w:top w:w="60" w:type="dxa"/>
              <w:left w:w="0" w:type="dxa"/>
              <w:bottom w:w="60" w:type="dxa"/>
              <w:right w:w="60" w:type="dxa"/>
            </w:tcMar>
          </w:tcPr>
          <w:p w14:paraId="7D08461A" w14:textId="77777777" w:rsidR="00D849E8" w:rsidRDefault="00D849E8" w:rsidP="00A9140F">
            <w:pPr>
              <w:pStyle w:val="AnnexTableCellLeft"/>
              <w:rPr>
                <w:szCs w:val="18"/>
              </w:rPr>
            </w:pPr>
            <w:r>
              <w:t>Ekki valda umtalsverðu tjóni</w:t>
            </w:r>
          </w:p>
        </w:tc>
      </w:tr>
      <w:tr w:rsidR="00D849E8" w14:paraId="0A2E3D61" w14:textId="77777777" w:rsidTr="00A9140F">
        <w:tc>
          <w:tcPr>
            <w:tcW w:w="2904" w:type="dxa"/>
            <w:tcMar>
              <w:top w:w="60" w:type="dxa"/>
              <w:left w:w="0" w:type="dxa"/>
              <w:bottom w:w="60" w:type="dxa"/>
              <w:right w:w="60" w:type="dxa"/>
            </w:tcMar>
          </w:tcPr>
          <w:p w14:paraId="71FE29DC" w14:textId="77777777" w:rsidR="00D849E8" w:rsidRDefault="00D849E8" w:rsidP="00A9140F">
            <w:pPr>
              <w:pStyle w:val="AnnexNumberedText"/>
              <w:spacing w:after="0"/>
              <w:ind w:left="293" w:hanging="293"/>
              <w:rPr>
                <w:szCs w:val="18"/>
              </w:rPr>
            </w:pPr>
            <w:r>
              <w:t>1)</w:t>
            </w:r>
            <w:r>
              <w:tab/>
              <w:t>Mildun loftslagsbreytinga</w:t>
            </w:r>
          </w:p>
        </w:tc>
        <w:tc>
          <w:tcPr>
            <w:tcW w:w="5832" w:type="dxa"/>
            <w:tcMar>
              <w:top w:w="60" w:type="dxa"/>
              <w:left w:w="60" w:type="dxa"/>
              <w:bottom w:w="60" w:type="dxa"/>
              <w:right w:w="0" w:type="dxa"/>
            </w:tcMar>
          </w:tcPr>
          <w:p w14:paraId="3E98E24B" w14:textId="77777777" w:rsidR="00D849E8" w:rsidRDefault="00D849E8" w:rsidP="00A9140F">
            <w:pPr>
              <w:pStyle w:val="AnnexTableCellLeft"/>
              <w:rPr>
                <w:szCs w:val="18"/>
              </w:rPr>
            </w:pPr>
            <w:r>
              <w:t>Í starfseminni hefur verið sýnt fram á ýtrustu viðleitni til að innleiða allar viðeigandi starfsvenjur sem eru skráðar sem „</w:t>
            </w:r>
            <w:proofErr w:type="spellStart"/>
            <w:r>
              <w:t>væntar</w:t>
            </w:r>
            <w:proofErr w:type="spellEnd"/>
            <w:r>
              <w:t xml:space="preserve"> starfsvenjur“ í nýjustu útgáfu evrópskra siðareglna um </w:t>
            </w:r>
            <w:proofErr w:type="spellStart"/>
            <w:r>
              <w:t>orkunýtni</w:t>
            </w:r>
            <w:proofErr w:type="spellEnd"/>
            <w:r>
              <w:t xml:space="preserve"> gagnavera (</w:t>
            </w:r>
            <w:r>
              <w:rPr>
                <w:rStyle w:val="Tilvsunneanmlsgrein"/>
                <w:sz w:val="18"/>
                <w:szCs w:val="18"/>
              </w:rPr>
              <w:footnoteReference w:id="976"/>
            </w:r>
            <w:r>
              <w:t xml:space="preserve">), eða í CEN-CENELEC-skjali CLC TR50600-99-1 „Data </w:t>
            </w:r>
            <w:proofErr w:type="spellStart"/>
            <w:r>
              <w:t>centre</w:t>
            </w:r>
            <w:proofErr w:type="spellEnd"/>
            <w:r>
              <w:t xml:space="preserve"> </w:t>
            </w:r>
            <w:proofErr w:type="spellStart"/>
            <w:r>
              <w:t>facilities</w:t>
            </w:r>
            <w:proofErr w:type="spellEnd"/>
            <w:r>
              <w:t xml:space="preserve"> </w:t>
            </w:r>
            <w:proofErr w:type="spellStart"/>
            <w:r>
              <w:t>and</w:t>
            </w:r>
            <w:proofErr w:type="spellEnd"/>
            <w:r>
              <w:t xml:space="preserve"> </w:t>
            </w:r>
            <w:proofErr w:type="spellStart"/>
            <w:r>
              <w:t>infrastructures</w:t>
            </w:r>
            <w:proofErr w:type="spellEnd"/>
            <w:r>
              <w:t xml:space="preserve"> - Part 99-1: </w:t>
            </w:r>
            <w:proofErr w:type="spellStart"/>
            <w:r>
              <w:t>Recommended</w:t>
            </w:r>
            <w:proofErr w:type="spellEnd"/>
            <w:r>
              <w:t xml:space="preserve"> </w:t>
            </w:r>
            <w:proofErr w:type="spellStart"/>
            <w:r>
              <w:t>practices</w:t>
            </w:r>
            <w:proofErr w:type="spellEnd"/>
            <w:r>
              <w:t xml:space="preserve"> for </w:t>
            </w:r>
            <w:proofErr w:type="spellStart"/>
            <w:r>
              <w:t>energy</w:t>
            </w:r>
            <w:proofErr w:type="spellEnd"/>
            <w:r>
              <w:t xml:space="preserve"> </w:t>
            </w:r>
            <w:proofErr w:type="spellStart"/>
            <w:r>
              <w:t>management</w:t>
            </w:r>
            <w:proofErr w:type="spellEnd"/>
            <w:r>
              <w:t>“ (</w:t>
            </w:r>
            <w:r>
              <w:rPr>
                <w:rStyle w:val="Tilvsunneanmlsgrein"/>
                <w:sz w:val="18"/>
                <w:szCs w:val="18"/>
              </w:rPr>
              <w:footnoteReference w:id="977"/>
            </w:r>
            <w:r>
              <w:t xml:space="preserve">) og allar </w:t>
            </w:r>
            <w:proofErr w:type="spellStart"/>
            <w:r>
              <w:t>væntar</w:t>
            </w:r>
            <w:proofErr w:type="spellEnd"/>
            <w:r>
              <w:t xml:space="preserve"> starfsvenjur hafa verið innleiddar sem hefur verið úthlutað hámarksgildinu 5 samkvæmt nýjustu útgáfu evrópsku siðareglnanna um </w:t>
            </w:r>
            <w:proofErr w:type="spellStart"/>
            <w:r>
              <w:t>orkunýtni</w:t>
            </w:r>
            <w:proofErr w:type="spellEnd"/>
            <w:r>
              <w:t xml:space="preserve"> gagnavera.</w:t>
            </w:r>
          </w:p>
        </w:tc>
      </w:tr>
      <w:tr w:rsidR="00D849E8" w14:paraId="3972C249" w14:textId="77777777" w:rsidTr="00A9140F">
        <w:tc>
          <w:tcPr>
            <w:tcW w:w="2904" w:type="dxa"/>
            <w:tcMar>
              <w:top w:w="60" w:type="dxa"/>
              <w:left w:w="0" w:type="dxa"/>
              <w:bottom w:w="60" w:type="dxa"/>
              <w:right w:w="60" w:type="dxa"/>
            </w:tcMar>
          </w:tcPr>
          <w:p w14:paraId="2AF55575" w14:textId="77777777" w:rsidR="00D849E8" w:rsidRDefault="00D849E8" w:rsidP="00A9140F">
            <w:pPr>
              <w:pStyle w:val="AnnexNumberedText"/>
              <w:spacing w:after="0"/>
              <w:ind w:left="293" w:hanging="293"/>
              <w:rPr>
                <w:szCs w:val="18"/>
              </w:rPr>
            </w:pPr>
            <w:r>
              <w:t>3)</w:t>
            </w:r>
            <w:r>
              <w:tab/>
              <w:t>Sjálfbær notkun og verndun vatns- og sjávarauðlinda</w:t>
            </w:r>
          </w:p>
        </w:tc>
        <w:tc>
          <w:tcPr>
            <w:tcW w:w="5832" w:type="dxa"/>
            <w:tcMar>
              <w:top w:w="60" w:type="dxa"/>
              <w:left w:w="60" w:type="dxa"/>
              <w:bottom w:w="60" w:type="dxa"/>
              <w:right w:w="0" w:type="dxa"/>
            </w:tcMar>
          </w:tcPr>
          <w:p w14:paraId="20DC2B38" w14:textId="77777777" w:rsidR="00D849E8" w:rsidRDefault="00D849E8" w:rsidP="00A9140F">
            <w:pPr>
              <w:pStyle w:val="AnnexTableCellLeft"/>
              <w:rPr>
                <w:szCs w:val="18"/>
              </w:rPr>
            </w:pPr>
            <w:r>
              <w:t>Starfsemin er í samræmi við viðmiðanirnar sem settar eru fram í viðbæti B við þennan viðauka.</w:t>
            </w:r>
          </w:p>
        </w:tc>
      </w:tr>
      <w:tr w:rsidR="00D849E8" w14:paraId="0FBAE592" w14:textId="77777777" w:rsidTr="00A9140F">
        <w:tc>
          <w:tcPr>
            <w:tcW w:w="2904" w:type="dxa"/>
            <w:tcMar>
              <w:top w:w="60" w:type="dxa"/>
              <w:left w:w="0" w:type="dxa"/>
              <w:bottom w:w="60" w:type="dxa"/>
              <w:right w:w="60" w:type="dxa"/>
            </w:tcMar>
          </w:tcPr>
          <w:p w14:paraId="0294342E" w14:textId="77777777" w:rsidR="00D849E8" w:rsidRDefault="00D849E8" w:rsidP="00A9140F">
            <w:pPr>
              <w:pStyle w:val="AnnexNumberedText"/>
              <w:spacing w:after="0"/>
              <w:ind w:left="293" w:hanging="293"/>
              <w:rPr>
                <w:szCs w:val="18"/>
              </w:rPr>
            </w:pPr>
            <w:r>
              <w:t>4)</w:t>
            </w:r>
            <w:r>
              <w:tab/>
              <w:t>Umskipti yfir í hringrásarhagkerfi</w:t>
            </w:r>
          </w:p>
        </w:tc>
        <w:tc>
          <w:tcPr>
            <w:tcW w:w="5832" w:type="dxa"/>
            <w:tcMar>
              <w:top w:w="60" w:type="dxa"/>
              <w:left w:w="60" w:type="dxa"/>
              <w:bottom w:w="60" w:type="dxa"/>
              <w:right w:w="0" w:type="dxa"/>
            </w:tcMar>
          </w:tcPr>
          <w:p w14:paraId="0AA26B08" w14:textId="77777777" w:rsidR="00D849E8" w:rsidRDefault="00D849E8" w:rsidP="00A9140F">
            <w:pPr>
              <w:pStyle w:val="AnnexTableCellLeft"/>
              <w:spacing w:after="100"/>
              <w:rPr>
                <w:szCs w:val="18"/>
              </w:rPr>
            </w:pPr>
            <w:r>
              <w:t>Búnaðurinn sem er notaður uppfyllir kröfurnar sem mælt er fyrir um í tilskipun 2009/125/EB fyrir netþjóna og gagnageymsluvörur.</w:t>
            </w:r>
          </w:p>
          <w:p w14:paraId="13F0CCBB" w14:textId="77777777" w:rsidR="00D849E8" w:rsidRDefault="00D849E8" w:rsidP="00A9140F">
            <w:pPr>
              <w:pStyle w:val="AnnexTableCellLeft"/>
              <w:spacing w:after="100"/>
              <w:rPr>
                <w:szCs w:val="18"/>
              </w:rPr>
            </w:pPr>
            <w:r>
              <w:t>Búnaðurinn sem er notaður inniheldur ekki efni sem sæta takmörkunum og skráð eru í II. viðauka við tilskipun 2011/65/ESB, nema því aðeins að styrkur miðað við þyngd ósamsettra efna fari ekki yfir hámarksgildin sem eru skráð í þann viðauka.</w:t>
            </w:r>
          </w:p>
          <w:p w14:paraId="17EADC99" w14:textId="77777777" w:rsidR="00D849E8" w:rsidRDefault="00D849E8" w:rsidP="00A9140F">
            <w:pPr>
              <w:pStyle w:val="AnnexTableCellLeft"/>
              <w:spacing w:after="100"/>
              <w:rPr>
                <w:szCs w:val="18"/>
              </w:rPr>
            </w:pPr>
            <w:r>
              <w:t xml:space="preserve">Úrgangsstjórnunaráætlun er til staðar og tryggir hámarksendurvinnslu </w:t>
            </w:r>
            <w:proofErr w:type="spellStart"/>
            <w:r>
              <w:t>raf</w:t>
            </w:r>
            <w:proofErr w:type="spellEnd"/>
            <w:r>
              <w:t>- og rafeindabúnaðar við lok vistferilsins, þ.m.t. með samningsbundnu samkomulagi við samstarfsaðila um endurvinnslu, endurspeglast í fjárhagslegum spám eða opinberum skjölum um verkefnið.</w:t>
            </w:r>
          </w:p>
          <w:p w14:paraId="281D866E" w14:textId="77777777" w:rsidR="00D849E8" w:rsidRDefault="00D849E8" w:rsidP="00A9140F">
            <w:pPr>
              <w:pStyle w:val="AnnexTableCellLeft"/>
              <w:rPr>
                <w:szCs w:val="18"/>
              </w:rPr>
            </w:pPr>
            <w:r>
              <w:t xml:space="preserve">Við lok vistferils fer búnaðurinn í gegnum undirbúning fyrir endurnotkun, </w:t>
            </w:r>
            <w:proofErr w:type="spellStart"/>
            <w:r>
              <w:t>endurnýtingu</w:t>
            </w:r>
            <w:proofErr w:type="spellEnd"/>
            <w:r>
              <w:t xml:space="preserve"> eða endurvinnslu, eða rétta meðhöndlun, þ.m.t. að allir vökvar eru fjarlægðir og sérmeðhöndlun í samræmi við VII. viðauka við tilskipun 2012/19/ESB.</w:t>
            </w:r>
          </w:p>
        </w:tc>
      </w:tr>
      <w:tr w:rsidR="00D849E8" w14:paraId="0AFB0CCB" w14:textId="77777777" w:rsidTr="00A9140F">
        <w:tc>
          <w:tcPr>
            <w:tcW w:w="2904" w:type="dxa"/>
            <w:tcMar>
              <w:top w:w="60" w:type="dxa"/>
              <w:left w:w="0" w:type="dxa"/>
              <w:bottom w:w="60" w:type="dxa"/>
              <w:right w:w="60" w:type="dxa"/>
            </w:tcMar>
          </w:tcPr>
          <w:p w14:paraId="1005C555" w14:textId="77777777" w:rsidR="00D849E8" w:rsidRDefault="00D849E8" w:rsidP="00A9140F">
            <w:pPr>
              <w:pStyle w:val="AnnexNumberedText"/>
              <w:spacing w:after="0"/>
              <w:ind w:left="293" w:hanging="293"/>
              <w:rPr>
                <w:szCs w:val="18"/>
              </w:rPr>
            </w:pPr>
            <w:r>
              <w:t>5)</w:t>
            </w:r>
            <w:r>
              <w:tab/>
              <w:t>Mengunarvarnir og eftirlit með mengun</w:t>
            </w:r>
          </w:p>
        </w:tc>
        <w:tc>
          <w:tcPr>
            <w:tcW w:w="5832" w:type="dxa"/>
            <w:tcMar>
              <w:top w:w="60" w:type="dxa"/>
              <w:left w:w="60" w:type="dxa"/>
              <w:bottom w:w="60" w:type="dxa"/>
              <w:right w:w="0" w:type="dxa"/>
            </w:tcMar>
          </w:tcPr>
          <w:p w14:paraId="486FFAF3" w14:textId="77777777" w:rsidR="00D849E8" w:rsidRDefault="00D849E8" w:rsidP="00A9140F">
            <w:pPr>
              <w:pStyle w:val="AnnexTableCellLeft"/>
              <w:rPr>
                <w:szCs w:val="18"/>
              </w:rPr>
            </w:pPr>
            <w:r>
              <w:t>Á ekki við</w:t>
            </w:r>
          </w:p>
        </w:tc>
      </w:tr>
      <w:tr w:rsidR="00D849E8" w14:paraId="359C4DE3" w14:textId="77777777" w:rsidTr="00A9140F">
        <w:tc>
          <w:tcPr>
            <w:tcW w:w="2904" w:type="dxa"/>
            <w:tcMar>
              <w:top w:w="60" w:type="dxa"/>
              <w:left w:w="0" w:type="dxa"/>
              <w:bottom w:w="60" w:type="dxa"/>
              <w:right w:w="60" w:type="dxa"/>
            </w:tcMar>
          </w:tcPr>
          <w:p w14:paraId="5C266EB5" w14:textId="77777777" w:rsidR="00D849E8" w:rsidRDefault="00D849E8" w:rsidP="00A9140F">
            <w:pPr>
              <w:pStyle w:val="AnnexNumberedText"/>
              <w:spacing w:after="0"/>
              <w:ind w:left="293" w:hanging="293"/>
              <w:rPr>
                <w:szCs w:val="18"/>
              </w:rPr>
            </w:pPr>
            <w:r>
              <w:t>6)</w:t>
            </w:r>
            <w:r>
              <w:tab/>
              <w:t>Vernd og endurheimt líffræðilegrar fjölbreytni og vistkerfa</w:t>
            </w:r>
          </w:p>
        </w:tc>
        <w:tc>
          <w:tcPr>
            <w:tcW w:w="5832" w:type="dxa"/>
            <w:tcMar>
              <w:top w:w="60" w:type="dxa"/>
              <w:left w:w="60" w:type="dxa"/>
              <w:bottom w:w="60" w:type="dxa"/>
              <w:right w:w="0" w:type="dxa"/>
            </w:tcMar>
          </w:tcPr>
          <w:p w14:paraId="497200FA" w14:textId="77777777" w:rsidR="00D849E8" w:rsidRDefault="00D849E8" w:rsidP="00A9140F">
            <w:pPr>
              <w:pStyle w:val="AnnexTableCellLeft"/>
              <w:rPr>
                <w:szCs w:val="18"/>
              </w:rPr>
            </w:pPr>
            <w:r>
              <w:t>Á ekki við</w:t>
            </w:r>
          </w:p>
        </w:tc>
      </w:tr>
    </w:tbl>
    <w:p w14:paraId="4864D9DA" w14:textId="77777777" w:rsidR="00D849E8" w:rsidRDefault="00D849E8" w:rsidP="00D849E8">
      <w:pPr>
        <w:shd w:val="clear" w:color="auto" w:fill="auto"/>
        <w:spacing w:line="0" w:lineRule="auto"/>
        <w:jc w:val="left"/>
        <w:rPr>
          <w:color w:val="auto"/>
          <w14:ligatures w14:val="standard"/>
        </w:rPr>
      </w:pPr>
      <w:r>
        <w:br w:type="page"/>
      </w:r>
    </w:p>
    <w:p w14:paraId="6006589C" w14:textId="77777777" w:rsidR="00D849E8" w:rsidRDefault="00D849E8" w:rsidP="00D849E8">
      <w:pPr>
        <w:pStyle w:val="AnnexNumberedText"/>
        <w:ind w:left="504" w:hanging="504"/>
      </w:pPr>
      <w:r>
        <w:lastRenderedPageBreak/>
        <w:t>8.2.</w:t>
      </w:r>
      <w:r>
        <w:rPr>
          <w:b/>
        </w:rPr>
        <w:tab/>
        <w:t>Tölvuforritun, ráðgjöf og tengd starfsemi</w:t>
      </w:r>
    </w:p>
    <w:p w14:paraId="6E823F65" w14:textId="77777777" w:rsidR="00D849E8" w:rsidRDefault="00D849E8" w:rsidP="00D849E8">
      <w:pPr>
        <w:pStyle w:val="AnnexGrSeq3"/>
        <w:spacing w:after="120"/>
        <w:ind w:left="504"/>
        <w:jc w:val="both"/>
      </w:pPr>
      <w:r>
        <w:rPr>
          <w:i/>
        </w:rPr>
        <w:t>Lýsing á starfseminni</w:t>
      </w:r>
    </w:p>
    <w:p w14:paraId="15C70705" w14:textId="77777777" w:rsidR="00D849E8" w:rsidRDefault="00D849E8" w:rsidP="00D849E8">
      <w:pPr>
        <w:pStyle w:val="AnnexNormal"/>
        <w:ind w:left="504"/>
      </w:pPr>
      <w:r>
        <w:t xml:space="preserve">Veiting sérfræðiþekkingar á sviði upplýsingatækni: forritun, breytingar, prófanir og stuðningur við hugbúnað; skipulagning og hönnun tölvukerfa sem </w:t>
      </w:r>
      <w:proofErr w:type="spellStart"/>
      <w:r>
        <w:t>samþætta</w:t>
      </w:r>
      <w:proofErr w:type="spellEnd"/>
      <w:r>
        <w:t xml:space="preserve"> tölvuvélbúnað, hugbúnað og fjarskiptatækni; stjórnun og rekstur tölvukerfa eða gagnavinnslustöðva viðskiptavina á vettvangi og önnur sérfræðileg og tæknileg tölvutengd starfsemi.</w:t>
      </w:r>
    </w:p>
    <w:p w14:paraId="0F651214" w14:textId="77777777" w:rsidR="00D849E8" w:rsidRDefault="00D849E8" w:rsidP="00D849E8">
      <w:pPr>
        <w:pStyle w:val="AnnexNormal"/>
        <w:ind w:left="504"/>
      </w:pPr>
      <w:r>
        <w:t>Atvinnustarfsemin í þessum flokki gæti tengst kóða atvinnugreinaflokkunar Evrópusambandsins J62 í samræmi við atvinnugreinaflokkunina sem komið var á með reglugerð (EB) nr. 1893/2006.</w:t>
      </w:r>
    </w:p>
    <w:p w14:paraId="337332C7"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D849E8" w14:paraId="0C548099" w14:textId="77777777" w:rsidTr="00A9140F">
        <w:trPr>
          <w:trHeight w:val="280"/>
        </w:trPr>
        <w:tc>
          <w:tcPr>
            <w:tcW w:w="8736" w:type="dxa"/>
            <w:gridSpan w:val="2"/>
            <w:tcBorders>
              <w:bottom w:val="single" w:sz="4" w:space="0" w:color="auto"/>
            </w:tcBorders>
            <w:tcMar>
              <w:left w:w="0" w:type="dxa"/>
              <w:right w:w="60" w:type="dxa"/>
            </w:tcMar>
          </w:tcPr>
          <w:p w14:paraId="656FC7E5" w14:textId="77777777" w:rsidR="00D849E8" w:rsidRDefault="00D849E8" w:rsidP="00A9140F">
            <w:pPr>
              <w:pStyle w:val="AnnexTableCellLeft"/>
              <w:spacing w:before="40" w:after="40"/>
            </w:pPr>
            <w:r>
              <w:t>Verulegt framlag til aðlögunar að loftslagsbreytingum</w:t>
            </w:r>
          </w:p>
        </w:tc>
      </w:tr>
      <w:tr w:rsidR="00D849E8" w14:paraId="49A9A3C9" w14:textId="77777777" w:rsidTr="00A9140F">
        <w:trPr>
          <w:trHeight w:val="360"/>
        </w:trPr>
        <w:tc>
          <w:tcPr>
            <w:tcW w:w="8736" w:type="dxa"/>
            <w:gridSpan w:val="2"/>
            <w:tcBorders>
              <w:bottom w:val="nil"/>
            </w:tcBorders>
            <w:tcMar>
              <w:left w:w="0" w:type="dxa"/>
              <w:right w:w="60" w:type="dxa"/>
            </w:tcMar>
          </w:tcPr>
          <w:p w14:paraId="20D63058" w14:textId="77777777" w:rsidR="00D849E8" w:rsidRDefault="00D849E8" w:rsidP="00A9140F">
            <w:pPr>
              <w:pStyle w:val="AnnexNumberedText"/>
              <w:tabs>
                <w:tab w:val="left" w:pos="396"/>
              </w:tabs>
              <w:spacing w:after="140"/>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540973BD" w14:textId="77777777" w:rsidR="00D849E8" w:rsidRDefault="00D849E8" w:rsidP="00A9140F">
            <w:pPr>
              <w:pStyle w:val="AnnexNumberedText"/>
              <w:tabs>
                <w:tab w:val="left" w:pos="396"/>
              </w:tabs>
              <w:spacing w:after="140"/>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09A9F65A" w14:textId="77777777" w:rsidR="00D849E8" w:rsidRDefault="00D849E8" w:rsidP="00A9140F">
            <w:pPr>
              <w:pStyle w:val="AnnexNumberedText"/>
              <w:spacing w:after="140"/>
              <w:rPr>
                <w:szCs w:val="18"/>
              </w:rPr>
            </w:pPr>
            <w:r>
              <w:t>a)</w:t>
            </w:r>
            <w:r>
              <w:tab/>
              <w:t>skimun á starfseminni til að greina hvaða efnislega loftslagsáhætta úr skránni í viðbæti A við þennan viðauka getur haft áhrif á árangurinn af atvinnustarfseminni á væntum líftíma hennar,</w:t>
            </w:r>
          </w:p>
          <w:p w14:paraId="585C8242" w14:textId="77777777" w:rsidR="00D849E8" w:rsidRDefault="00D849E8" w:rsidP="00A9140F">
            <w:pPr>
              <w:pStyle w:val="AnnexNumberedText"/>
              <w:spacing w:after="14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FFDF437" w14:textId="77777777" w:rsidR="00D849E8" w:rsidRDefault="00D849E8" w:rsidP="00A9140F">
            <w:pPr>
              <w:pStyle w:val="AnnexNumberedText"/>
              <w:spacing w:after="140"/>
              <w:rPr>
                <w:szCs w:val="18"/>
              </w:rPr>
            </w:pPr>
            <w:r>
              <w:t>c)</w:t>
            </w:r>
            <w:r>
              <w:tab/>
              <w:t>mat á aðlögunarlausnum sem geta dregið úr greindri efnislegri loftslagsáhættu.</w:t>
            </w:r>
          </w:p>
          <w:p w14:paraId="7C8EE4CD" w14:textId="77777777" w:rsidR="00D849E8" w:rsidRDefault="00D849E8" w:rsidP="00A9140F">
            <w:pPr>
              <w:pStyle w:val="AnnexTableCellLeft"/>
              <w:spacing w:after="14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10EC925F" w14:textId="77777777" w:rsidR="00D849E8" w:rsidRDefault="00D849E8" w:rsidP="00A9140F">
            <w:pPr>
              <w:pStyle w:val="AnnexNumberedText"/>
              <w:spacing w:after="14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5EB810C4" w14:textId="77777777" w:rsidR="00D849E8" w:rsidRDefault="00D849E8" w:rsidP="00A9140F">
            <w:pPr>
              <w:pStyle w:val="AnnexNumberedText"/>
              <w:spacing w:after="1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78"/>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6680944" w14:textId="77777777" w:rsidR="00D849E8" w:rsidRDefault="00D849E8" w:rsidP="00A9140F">
            <w:pPr>
              <w:pStyle w:val="AnnexNumberedText"/>
              <w:tabs>
                <w:tab w:val="left" w:pos="396"/>
              </w:tabs>
              <w:spacing w:after="1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79"/>
            </w:r>
            <w:r>
              <w:t>), vísindalegt ritrýnt útgefið efni og líkön með opnum aðgangi (</w:t>
            </w:r>
            <w:r>
              <w:rPr>
                <w:rStyle w:val="Tilvsunneanmlsgrein"/>
                <w:sz w:val="18"/>
                <w:szCs w:val="18"/>
              </w:rPr>
              <w:footnoteReference w:id="980"/>
            </w:r>
            <w:r>
              <w:t>) eða gegn greiðslu.</w:t>
            </w:r>
          </w:p>
          <w:p w14:paraId="70385C47" w14:textId="77777777" w:rsidR="00D849E8" w:rsidRDefault="00D849E8" w:rsidP="00A9140F">
            <w:pPr>
              <w:pStyle w:val="AnnexNumberedText"/>
              <w:tabs>
                <w:tab w:val="left" w:pos="396"/>
              </w:tabs>
              <w:spacing w:after="140"/>
              <w:ind w:left="0" w:firstLine="0"/>
              <w:rPr>
                <w:szCs w:val="18"/>
              </w:rPr>
            </w:pPr>
            <w:r>
              <w:t>4.</w:t>
            </w:r>
            <w:r>
              <w:tab/>
              <w:t>Aðlögunarlausnir sem komið er í framkvæmd:</w:t>
            </w:r>
          </w:p>
          <w:p w14:paraId="3D39032F" w14:textId="77777777" w:rsidR="00D849E8" w:rsidRDefault="00D849E8" w:rsidP="00A9140F">
            <w:pPr>
              <w:pStyle w:val="AnnexNumberedText"/>
              <w:spacing w:after="140"/>
              <w:rPr>
                <w:szCs w:val="18"/>
              </w:rPr>
            </w:pPr>
            <w:r>
              <w:t>a)</w:t>
            </w:r>
            <w:r>
              <w:tab/>
              <w:t>hafa ekki neikvæð áhrif á viðleitni til aðlögunar eða viðnám annars fólks, náttúru, menningararfleifðar, eigna og annarrar atvinnustarfsemi gegn efnislegri loftslagsáhættu,</w:t>
            </w:r>
          </w:p>
          <w:p w14:paraId="4F3BF16C" w14:textId="77777777" w:rsidR="00D849E8" w:rsidRDefault="00D849E8" w:rsidP="00A9140F">
            <w:pPr>
              <w:pStyle w:val="AnnexNumberedText"/>
              <w:spacing w:after="0"/>
              <w:rPr>
                <w:szCs w:val="18"/>
              </w:rPr>
            </w:pPr>
            <w:r>
              <w:t>b)</w:t>
            </w:r>
            <w:r>
              <w:tab/>
              <w:t>eru með náttúrumiðaðar lausnir (</w:t>
            </w:r>
            <w:r>
              <w:rPr>
                <w:rStyle w:val="Tilvsunneanmlsgrein"/>
                <w:sz w:val="18"/>
                <w:szCs w:val="18"/>
              </w:rPr>
              <w:footnoteReference w:id="981"/>
            </w:r>
            <w:r>
              <w:t>) í forgangi eða treyst er á bláa eða græna innviði (</w:t>
            </w:r>
            <w:r>
              <w:rPr>
                <w:rStyle w:val="Tilvsunneanmlsgrein"/>
                <w:sz w:val="18"/>
                <w:szCs w:val="18"/>
              </w:rPr>
              <w:footnoteReference w:id="982"/>
            </w:r>
            <w:r>
              <w:t>) að því marki sem mögulegt er,</w:t>
            </w:r>
          </w:p>
        </w:tc>
      </w:tr>
      <w:tr w:rsidR="00D849E8" w14:paraId="50036DBC" w14:textId="77777777" w:rsidTr="00A9140F">
        <w:trPr>
          <w:trHeight w:val="360"/>
        </w:trPr>
        <w:tc>
          <w:tcPr>
            <w:tcW w:w="8736" w:type="dxa"/>
            <w:gridSpan w:val="2"/>
            <w:tcBorders>
              <w:top w:val="nil"/>
            </w:tcBorders>
            <w:tcMar>
              <w:left w:w="0" w:type="dxa"/>
              <w:right w:w="60" w:type="dxa"/>
            </w:tcMar>
          </w:tcPr>
          <w:p w14:paraId="0BFD30E9" w14:textId="77777777" w:rsidR="00D849E8" w:rsidRDefault="00D849E8" w:rsidP="00A9140F">
            <w:pPr>
              <w:pStyle w:val="AnnexNumberedText"/>
              <w:pageBreakBefore/>
              <w:spacing w:after="200"/>
            </w:pPr>
            <w:r>
              <w:lastRenderedPageBreak/>
              <w:t>c)</w:t>
            </w:r>
            <w:r>
              <w:tab/>
              <w:t>eru í samræmi við staðbundnar, geirabundnar, svæðisbundnar eða landsbundnar aðlögunarstefnur og -áætlanir,</w:t>
            </w:r>
          </w:p>
          <w:p w14:paraId="0B4A1AC9" w14:textId="77777777" w:rsidR="00D849E8" w:rsidRDefault="00D849E8"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4F25714"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3F067C5E" w14:textId="77777777" w:rsidTr="00A9140F">
        <w:trPr>
          <w:trHeight w:val="240"/>
        </w:trPr>
        <w:tc>
          <w:tcPr>
            <w:tcW w:w="8736" w:type="dxa"/>
            <w:gridSpan w:val="2"/>
            <w:tcMar>
              <w:top w:w="100" w:type="dxa"/>
              <w:left w:w="0" w:type="dxa"/>
              <w:bottom w:w="100" w:type="dxa"/>
              <w:right w:w="60" w:type="dxa"/>
            </w:tcMar>
          </w:tcPr>
          <w:p w14:paraId="2E95AC79" w14:textId="77777777" w:rsidR="00D849E8" w:rsidRDefault="00D849E8" w:rsidP="00A9140F">
            <w:pPr>
              <w:pStyle w:val="AnnexTableCellLeft"/>
            </w:pPr>
            <w:r>
              <w:t>Ekki valda umtalsverðu tjóni</w:t>
            </w:r>
          </w:p>
        </w:tc>
      </w:tr>
      <w:tr w:rsidR="00D849E8" w14:paraId="35380F1B" w14:textId="77777777" w:rsidTr="00A9140F">
        <w:tc>
          <w:tcPr>
            <w:tcW w:w="2988" w:type="dxa"/>
            <w:tcMar>
              <w:top w:w="100" w:type="dxa"/>
              <w:left w:w="0" w:type="dxa"/>
              <w:bottom w:w="100" w:type="dxa"/>
              <w:right w:w="60" w:type="dxa"/>
            </w:tcMar>
          </w:tcPr>
          <w:p w14:paraId="76DDF6E4" w14:textId="77777777" w:rsidR="00D849E8" w:rsidRDefault="00D849E8" w:rsidP="00A9140F">
            <w:pPr>
              <w:pStyle w:val="AnnexNumberedText"/>
              <w:spacing w:after="0"/>
              <w:ind w:left="293" w:hanging="293"/>
            </w:pPr>
            <w:r>
              <w:t>1)</w:t>
            </w:r>
            <w:r>
              <w:tab/>
              <w:t>Mildun loftslagsbreytinga</w:t>
            </w:r>
          </w:p>
        </w:tc>
        <w:tc>
          <w:tcPr>
            <w:tcW w:w="5748" w:type="dxa"/>
            <w:tcMar>
              <w:top w:w="100" w:type="dxa"/>
              <w:left w:w="60" w:type="dxa"/>
              <w:bottom w:w="100" w:type="dxa"/>
              <w:right w:w="0" w:type="dxa"/>
            </w:tcMar>
          </w:tcPr>
          <w:p w14:paraId="3C557360" w14:textId="77777777" w:rsidR="00D849E8" w:rsidRDefault="00D849E8" w:rsidP="00A9140F">
            <w:pPr>
              <w:pStyle w:val="AnnexTableCellLeft"/>
            </w:pPr>
            <w:r>
              <w:t>Á ekki við</w:t>
            </w:r>
          </w:p>
        </w:tc>
      </w:tr>
      <w:tr w:rsidR="00D849E8" w14:paraId="3C50E4FF" w14:textId="77777777" w:rsidTr="00A9140F">
        <w:tc>
          <w:tcPr>
            <w:tcW w:w="2988" w:type="dxa"/>
            <w:tcMar>
              <w:top w:w="100" w:type="dxa"/>
              <w:left w:w="0" w:type="dxa"/>
              <w:bottom w:w="100" w:type="dxa"/>
              <w:right w:w="60" w:type="dxa"/>
            </w:tcMar>
          </w:tcPr>
          <w:p w14:paraId="42A8417F" w14:textId="77777777" w:rsidR="00D849E8" w:rsidRDefault="00D849E8" w:rsidP="00A9140F">
            <w:pPr>
              <w:pStyle w:val="AnnexNumberedText"/>
              <w:spacing w:after="0"/>
              <w:ind w:left="293" w:hanging="293"/>
            </w:pPr>
            <w:r>
              <w:t>3)</w:t>
            </w:r>
            <w:r>
              <w:tab/>
              <w:t>Sjálfbær notkun og verndun vatns- og sjávarauðlinda</w:t>
            </w:r>
          </w:p>
        </w:tc>
        <w:tc>
          <w:tcPr>
            <w:tcW w:w="5748" w:type="dxa"/>
            <w:tcMar>
              <w:top w:w="100" w:type="dxa"/>
              <w:left w:w="60" w:type="dxa"/>
              <w:bottom w:w="100" w:type="dxa"/>
              <w:right w:w="0" w:type="dxa"/>
            </w:tcMar>
          </w:tcPr>
          <w:p w14:paraId="4BE571F0" w14:textId="77777777" w:rsidR="00D849E8" w:rsidRDefault="00D849E8" w:rsidP="00A9140F">
            <w:pPr>
              <w:pStyle w:val="AnnexTableCellLeft"/>
            </w:pPr>
            <w:r>
              <w:t>Á ekki við</w:t>
            </w:r>
          </w:p>
        </w:tc>
      </w:tr>
      <w:tr w:rsidR="00D849E8" w14:paraId="37B52C98" w14:textId="77777777" w:rsidTr="00A9140F">
        <w:tc>
          <w:tcPr>
            <w:tcW w:w="2988" w:type="dxa"/>
            <w:tcMar>
              <w:top w:w="100" w:type="dxa"/>
              <w:left w:w="0" w:type="dxa"/>
              <w:bottom w:w="100" w:type="dxa"/>
              <w:right w:w="60" w:type="dxa"/>
            </w:tcMar>
          </w:tcPr>
          <w:p w14:paraId="066DD831" w14:textId="77777777" w:rsidR="00D849E8" w:rsidRDefault="00D849E8" w:rsidP="00A9140F">
            <w:pPr>
              <w:pStyle w:val="AnnexNumberedText"/>
              <w:spacing w:after="0"/>
              <w:ind w:left="293" w:hanging="293"/>
            </w:pPr>
            <w:r>
              <w:t>4)</w:t>
            </w:r>
            <w:r>
              <w:tab/>
              <w:t>Umskipti yfir í hringrásarhagkerfi</w:t>
            </w:r>
          </w:p>
        </w:tc>
        <w:tc>
          <w:tcPr>
            <w:tcW w:w="5748" w:type="dxa"/>
            <w:tcMar>
              <w:top w:w="100" w:type="dxa"/>
              <w:left w:w="60" w:type="dxa"/>
              <w:bottom w:w="100" w:type="dxa"/>
              <w:right w:w="0" w:type="dxa"/>
            </w:tcMar>
          </w:tcPr>
          <w:p w14:paraId="3F0B8334" w14:textId="77777777" w:rsidR="00D849E8" w:rsidRDefault="00D849E8" w:rsidP="00A9140F">
            <w:pPr>
              <w:pStyle w:val="AnnexTableCellLeft"/>
            </w:pPr>
            <w:r>
              <w:t>Á ekki við</w:t>
            </w:r>
          </w:p>
        </w:tc>
      </w:tr>
      <w:tr w:rsidR="00D849E8" w14:paraId="684B354B" w14:textId="77777777" w:rsidTr="00A9140F">
        <w:tc>
          <w:tcPr>
            <w:tcW w:w="2988" w:type="dxa"/>
            <w:tcMar>
              <w:top w:w="100" w:type="dxa"/>
              <w:left w:w="0" w:type="dxa"/>
              <w:bottom w:w="100" w:type="dxa"/>
              <w:right w:w="60" w:type="dxa"/>
            </w:tcMar>
          </w:tcPr>
          <w:p w14:paraId="3C7CA0BB" w14:textId="77777777" w:rsidR="00D849E8" w:rsidRDefault="00D849E8" w:rsidP="00A9140F">
            <w:pPr>
              <w:pStyle w:val="AnnexNumberedText"/>
              <w:spacing w:after="0"/>
              <w:ind w:left="293" w:hanging="293"/>
            </w:pPr>
            <w:r>
              <w:t>5)</w:t>
            </w:r>
            <w:r>
              <w:tab/>
              <w:t>Mengunarvarnir og eftirlit með mengun</w:t>
            </w:r>
          </w:p>
        </w:tc>
        <w:tc>
          <w:tcPr>
            <w:tcW w:w="5748" w:type="dxa"/>
            <w:tcMar>
              <w:top w:w="100" w:type="dxa"/>
              <w:left w:w="60" w:type="dxa"/>
              <w:bottom w:w="100" w:type="dxa"/>
              <w:right w:w="0" w:type="dxa"/>
            </w:tcMar>
          </w:tcPr>
          <w:p w14:paraId="142EF3C9" w14:textId="77777777" w:rsidR="00D849E8" w:rsidRDefault="00D849E8" w:rsidP="00A9140F">
            <w:pPr>
              <w:pStyle w:val="AnnexTableCellLeft"/>
            </w:pPr>
            <w:r>
              <w:t>Á ekki við</w:t>
            </w:r>
          </w:p>
        </w:tc>
      </w:tr>
      <w:tr w:rsidR="00D849E8" w14:paraId="4AD52E4E" w14:textId="77777777" w:rsidTr="00A9140F">
        <w:tc>
          <w:tcPr>
            <w:tcW w:w="2988" w:type="dxa"/>
            <w:tcMar>
              <w:top w:w="100" w:type="dxa"/>
              <w:left w:w="0" w:type="dxa"/>
              <w:bottom w:w="100" w:type="dxa"/>
              <w:right w:w="60" w:type="dxa"/>
            </w:tcMar>
          </w:tcPr>
          <w:p w14:paraId="28485ED5" w14:textId="77777777" w:rsidR="00D849E8" w:rsidRDefault="00D849E8" w:rsidP="00A9140F">
            <w:pPr>
              <w:pStyle w:val="AnnexNumberedText"/>
              <w:spacing w:after="0"/>
              <w:ind w:left="293" w:hanging="293"/>
            </w:pPr>
            <w:r>
              <w:t>6)</w:t>
            </w:r>
            <w:r>
              <w:tab/>
              <w:t>Vernd og endurheimt líffræðilegrar fjölbreytni og vistkerfa</w:t>
            </w:r>
          </w:p>
        </w:tc>
        <w:tc>
          <w:tcPr>
            <w:tcW w:w="5748" w:type="dxa"/>
            <w:tcMar>
              <w:top w:w="100" w:type="dxa"/>
              <w:left w:w="60" w:type="dxa"/>
              <w:bottom w:w="100" w:type="dxa"/>
              <w:right w:w="0" w:type="dxa"/>
            </w:tcMar>
          </w:tcPr>
          <w:p w14:paraId="7B6ACA05" w14:textId="77777777" w:rsidR="00D849E8" w:rsidRDefault="00D849E8" w:rsidP="00A9140F">
            <w:pPr>
              <w:pStyle w:val="AnnexTableCellLeft"/>
            </w:pPr>
            <w:r>
              <w:t>Á ekki við</w:t>
            </w:r>
          </w:p>
        </w:tc>
      </w:tr>
    </w:tbl>
    <w:p w14:paraId="6F5E565A" w14:textId="77777777" w:rsidR="00D849E8" w:rsidRDefault="00D849E8" w:rsidP="00D849E8">
      <w:pPr>
        <w:pStyle w:val="AnnexNumberedText"/>
        <w:ind w:left="504" w:hanging="504"/>
      </w:pPr>
      <w:r>
        <w:t>8.3.</w:t>
      </w:r>
      <w:r>
        <w:rPr>
          <w:b/>
        </w:rPr>
        <w:tab/>
        <w:t>Útvarps- og sjónvarpssendingar, dagskrárgerð</w:t>
      </w:r>
    </w:p>
    <w:p w14:paraId="1123A9BE" w14:textId="77777777" w:rsidR="00D849E8" w:rsidRDefault="00D849E8" w:rsidP="00D849E8">
      <w:pPr>
        <w:pStyle w:val="AnnexGrSeq3"/>
        <w:spacing w:after="120"/>
        <w:ind w:left="504"/>
        <w:jc w:val="both"/>
      </w:pPr>
      <w:r>
        <w:rPr>
          <w:i/>
        </w:rPr>
        <w:t>Lýsing á starfseminni</w:t>
      </w:r>
    </w:p>
    <w:p w14:paraId="203398FF" w14:textId="77777777" w:rsidR="00D849E8" w:rsidRDefault="00D849E8" w:rsidP="00D849E8">
      <w:pPr>
        <w:pStyle w:val="AnnexNormal"/>
        <w:spacing w:after="500"/>
        <w:ind w:left="504"/>
      </w:pPr>
      <w:r>
        <w:t xml:space="preserve">Útvarps- og sjónvarpssendingar og dagskrárgerð felur í sér að búa til efni eða öðlast rétt til að dreifa efni og í framhaldinu að senda efnið út, s.s. útvarps-, sjónvarps- og stafrænar skemmtidagskrár, fréttir, umræðuþættir og þess háttar, þ.m.t. stafrænar útsendingar sem eru alla jafna </w:t>
      </w:r>
      <w:proofErr w:type="spellStart"/>
      <w:r>
        <w:t>samþættar</w:t>
      </w:r>
      <w:proofErr w:type="spellEnd"/>
      <w:r>
        <w:t xml:space="preserve"> við útvarps- eða sjónvarpsútsendingar. Hægt er að framkvæma útsendinguna með því að nota mismunandi tækni, þráðlaust, í gegnum gervihnött, gegnum kapalkerfi eða gegnum Netið. Þetta tekur einnig til framleiðslu þátta sem í eðli sínu eru alla jafna ætlaðir þröngum hópi (takmörkuð framsetning, s.s. fréttaþættir, íþróttaþættir, fræðsluþættir og æskulýðsmiðaðir þættir) í áskrift eða gegn gjaldi til þriðja aðila með það fyrir augum að senda þá út síðar til almennings.</w:t>
      </w:r>
    </w:p>
    <w:p w14:paraId="7681203C" w14:textId="77777777" w:rsidR="00D849E8" w:rsidRDefault="00D849E8" w:rsidP="00D849E8">
      <w:pPr>
        <w:pStyle w:val="AnnexNormal"/>
        <w:spacing w:after="500"/>
        <w:ind w:left="504"/>
      </w:pPr>
      <w:r>
        <w:t>Atvinnustarfsemin í þessum flokki gæti tengst kóða atvinnugreinaflokkunar Evrópusambandsins J60 í samræmi við atvinnugreinaflokkunina sem komið var á með reglugerð (EB) nr. 1893/2006.</w:t>
      </w:r>
    </w:p>
    <w:p w14:paraId="52BEA770" w14:textId="77777777" w:rsidR="00D849E8" w:rsidRDefault="00D849E8" w:rsidP="00D849E8">
      <w:pPr>
        <w:pStyle w:val="AnnexNormal"/>
        <w:spacing w:after="500"/>
        <w:ind w:left="504"/>
      </w:pPr>
      <w:r>
        <w:t xml:space="preserve">Ef atvinnustarfsemi í þessum flokki uppfyllir viðmiðunina um verulegt framlag sem tilgreint er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772A6773"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D849E8" w14:paraId="272C350B" w14:textId="77777777" w:rsidTr="00A9140F">
        <w:trPr>
          <w:trHeight w:val="280"/>
        </w:trPr>
        <w:tc>
          <w:tcPr>
            <w:tcW w:w="8736" w:type="dxa"/>
            <w:gridSpan w:val="2"/>
            <w:tcBorders>
              <w:bottom w:val="single" w:sz="4" w:space="0" w:color="auto"/>
            </w:tcBorders>
            <w:tcMar>
              <w:left w:w="0" w:type="dxa"/>
              <w:right w:w="60" w:type="dxa"/>
            </w:tcMar>
          </w:tcPr>
          <w:p w14:paraId="30CF98F8" w14:textId="77777777" w:rsidR="00D849E8" w:rsidRDefault="00D849E8" w:rsidP="00A9140F">
            <w:pPr>
              <w:pStyle w:val="AnnexTableCellLeft"/>
              <w:spacing w:before="40" w:after="40"/>
            </w:pPr>
            <w:r>
              <w:t>Verulegt framlag til aðlögunar að loftslagsbreytingum</w:t>
            </w:r>
          </w:p>
        </w:tc>
      </w:tr>
      <w:tr w:rsidR="00D849E8" w14:paraId="4D46407C" w14:textId="77777777" w:rsidTr="00A9140F">
        <w:trPr>
          <w:trHeight w:val="360"/>
        </w:trPr>
        <w:tc>
          <w:tcPr>
            <w:tcW w:w="8736" w:type="dxa"/>
            <w:gridSpan w:val="2"/>
            <w:tcBorders>
              <w:bottom w:val="nil"/>
            </w:tcBorders>
            <w:tcMar>
              <w:left w:w="0" w:type="dxa"/>
              <w:right w:w="60" w:type="dxa"/>
            </w:tcMar>
          </w:tcPr>
          <w:p w14:paraId="65FB9D64" w14:textId="77777777" w:rsidR="00D849E8" w:rsidRDefault="00D849E8" w:rsidP="00A9140F">
            <w:pPr>
              <w:pStyle w:val="AnnexNumberedText"/>
              <w:tabs>
                <w:tab w:val="left" w:pos="396"/>
              </w:tabs>
              <w:spacing w:after="20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00D20097" w14:textId="77777777" w:rsidR="00D849E8" w:rsidRDefault="00D849E8" w:rsidP="00A9140F">
            <w:pPr>
              <w:pStyle w:val="AnnexNumberedText"/>
              <w:tabs>
                <w:tab w:val="left" w:pos="396"/>
              </w:tabs>
              <w:spacing w:after="20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136D4C9E" w14:textId="77777777" w:rsidR="00D849E8" w:rsidRDefault="00D849E8" w:rsidP="00A9140F">
            <w:pPr>
              <w:pStyle w:val="AnnexNumberedText"/>
              <w:spacing w:after="200"/>
            </w:pPr>
            <w:r>
              <w:t>a)</w:t>
            </w:r>
            <w:r>
              <w:tab/>
              <w:t>skimun á starfseminni til að greina hvaða efnislega loftslagsáhætta úr skránni í viðbæti A við þennan viðauka getur haft áhrif á árangurinn af atvinnustarfseminni á væntum líftíma hennar,</w:t>
            </w:r>
          </w:p>
          <w:p w14:paraId="6320FFDF" w14:textId="77777777" w:rsidR="00D849E8" w:rsidRDefault="00D849E8" w:rsidP="00A9140F">
            <w:pPr>
              <w:pStyle w:val="AnnexNumberedText"/>
              <w:spacing w:after="200"/>
            </w:pPr>
            <w:r>
              <w:t>b)</w:t>
            </w:r>
            <w:r>
              <w:tab/>
              <w:t xml:space="preserve">ef metið er að starfsemin sé í áhættu vegna einnar eða fleiri efnislegrar loftslagsáhættu sem er skráð í viðbæti A við </w:t>
            </w:r>
            <w:r>
              <w:lastRenderedPageBreak/>
              <w:t>þennan viðauka, loftslagsáhættu- og veikleikamat til að meta hversu mikla þýðingu efnislega loftslagsáhættan hefur fyrir atvinnustarfsemina,</w:t>
            </w:r>
          </w:p>
          <w:p w14:paraId="0404F561" w14:textId="77777777" w:rsidR="00D849E8" w:rsidRDefault="00D849E8" w:rsidP="00A9140F">
            <w:pPr>
              <w:pStyle w:val="AnnexNumberedText"/>
              <w:spacing w:after="0"/>
            </w:pPr>
            <w:r>
              <w:t>c)</w:t>
            </w:r>
            <w:r>
              <w:tab/>
              <w:t>mat á aðlögunarlausnum sem geta dregið úr greindri efnislegri loftslagsáhættu.</w:t>
            </w:r>
          </w:p>
        </w:tc>
      </w:tr>
      <w:tr w:rsidR="00D849E8" w14:paraId="3E391EC6" w14:textId="77777777" w:rsidTr="00A9140F">
        <w:trPr>
          <w:trHeight w:val="360"/>
        </w:trPr>
        <w:tc>
          <w:tcPr>
            <w:tcW w:w="8736" w:type="dxa"/>
            <w:gridSpan w:val="2"/>
            <w:tcBorders>
              <w:top w:val="nil"/>
            </w:tcBorders>
            <w:tcMar>
              <w:left w:w="0" w:type="dxa"/>
              <w:right w:w="60" w:type="dxa"/>
            </w:tcMar>
          </w:tcPr>
          <w:p w14:paraId="1B24C25F" w14:textId="77777777" w:rsidR="00D849E8" w:rsidRDefault="00D849E8" w:rsidP="00A9140F">
            <w:pPr>
              <w:pStyle w:val="AnnexTableCellLeft"/>
              <w:pageBreakBefore/>
              <w:spacing w:after="200"/>
              <w:rPr>
                <w:szCs w:val="18"/>
              </w:rPr>
            </w:pPr>
            <w:r>
              <w:lastRenderedPageBreak/>
              <w:t xml:space="preserve">Loftslagsáhættu- og veikleikamatið er í réttu hlutfalli við umfang starfseminnar og </w:t>
            </w:r>
            <w:proofErr w:type="spellStart"/>
            <w:r>
              <w:t>væntan</w:t>
            </w:r>
            <w:proofErr w:type="spellEnd"/>
            <w:r>
              <w:t xml:space="preserve"> líftíma hennar þannig að:</w:t>
            </w:r>
          </w:p>
          <w:p w14:paraId="6C416A82" w14:textId="77777777" w:rsidR="00D849E8" w:rsidRDefault="00D849E8" w:rsidP="00A9140F">
            <w:pPr>
              <w:pStyle w:val="AnnexNumberedText"/>
              <w:spacing w:after="20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49FFFAE" w14:textId="77777777" w:rsidR="00D849E8" w:rsidRDefault="00D849E8" w:rsidP="00A9140F">
            <w:pPr>
              <w:pStyle w:val="AnnexNumberedText"/>
              <w:spacing w:after="20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83"/>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92072D4" w14:textId="77777777" w:rsidR="00D849E8" w:rsidRDefault="00D849E8" w:rsidP="00A9140F">
            <w:pPr>
              <w:pStyle w:val="AnnexNumberedText"/>
              <w:tabs>
                <w:tab w:val="left" w:pos="396"/>
              </w:tabs>
              <w:spacing w:after="20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84"/>
            </w:r>
            <w:r>
              <w:t>), vísindalegt ritrýnt útgefið efni og líkön með opnum aðgangi (</w:t>
            </w:r>
            <w:r>
              <w:rPr>
                <w:rStyle w:val="Tilvsunneanmlsgrein"/>
                <w:sz w:val="18"/>
                <w:szCs w:val="18"/>
              </w:rPr>
              <w:footnoteReference w:id="985"/>
            </w:r>
            <w:r>
              <w:t>) eða gegn greiðslu.</w:t>
            </w:r>
          </w:p>
          <w:p w14:paraId="5CE206D5" w14:textId="77777777" w:rsidR="00D849E8" w:rsidRDefault="00D849E8" w:rsidP="00A9140F">
            <w:pPr>
              <w:pStyle w:val="AnnexNumberedText"/>
              <w:tabs>
                <w:tab w:val="left" w:pos="396"/>
              </w:tabs>
              <w:spacing w:after="200"/>
              <w:ind w:left="0" w:firstLine="0"/>
              <w:rPr>
                <w:szCs w:val="18"/>
              </w:rPr>
            </w:pPr>
            <w:r>
              <w:t>4.</w:t>
            </w:r>
            <w:r>
              <w:tab/>
              <w:t>Aðlögunarlausnir sem komið er í framkvæmd:</w:t>
            </w:r>
          </w:p>
          <w:p w14:paraId="662CEEB8" w14:textId="77777777" w:rsidR="00D849E8" w:rsidRDefault="00D849E8" w:rsidP="00A9140F">
            <w:pPr>
              <w:pStyle w:val="AnnexNumberedText"/>
              <w:spacing w:after="200"/>
              <w:rPr>
                <w:szCs w:val="18"/>
              </w:rPr>
            </w:pPr>
            <w:r>
              <w:t>a)</w:t>
            </w:r>
            <w:r>
              <w:tab/>
              <w:t>hafa ekki neikvæð áhrif á viðleitni til aðlögunar eða viðnám annars fólks, náttúru, menningararfleifðar, eigna og annarrar atvinnustarfsemi gegn efnislegri loftslagsáhættu,</w:t>
            </w:r>
          </w:p>
          <w:p w14:paraId="64CF04C6" w14:textId="77777777" w:rsidR="00D849E8" w:rsidRDefault="00D849E8" w:rsidP="00A9140F">
            <w:pPr>
              <w:pStyle w:val="AnnexNumberedText"/>
              <w:spacing w:after="200"/>
              <w:rPr>
                <w:szCs w:val="18"/>
              </w:rPr>
            </w:pPr>
            <w:r>
              <w:t>b)</w:t>
            </w:r>
            <w:r>
              <w:tab/>
              <w:t>eru með náttúrumiðaðar lausnir (</w:t>
            </w:r>
            <w:r>
              <w:rPr>
                <w:rStyle w:val="Tilvsunneanmlsgrein"/>
                <w:sz w:val="18"/>
                <w:szCs w:val="18"/>
              </w:rPr>
              <w:footnoteReference w:id="986"/>
            </w:r>
            <w:r>
              <w:t>) í forgangi eða treyst er á bláa eða græna innviði (</w:t>
            </w:r>
            <w:r>
              <w:rPr>
                <w:rStyle w:val="Tilvsunneanmlsgrein"/>
                <w:sz w:val="18"/>
                <w:szCs w:val="18"/>
              </w:rPr>
              <w:footnoteReference w:id="987"/>
            </w:r>
            <w:r>
              <w:t>) að því marki sem mögulegt er,</w:t>
            </w:r>
          </w:p>
          <w:p w14:paraId="74F70A66" w14:textId="77777777" w:rsidR="00D849E8" w:rsidRDefault="00D849E8" w:rsidP="00A9140F">
            <w:pPr>
              <w:pStyle w:val="AnnexNumberedText"/>
              <w:spacing w:after="200"/>
              <w:rPr>
                <w:szCs w:val="18"/>
              </w:rPr>
            </w:pPr>
            <w:r>
              <w:t>c)</w:t>
            </w:r>
            <w:r>
              <w:tab/>
              <w:t>eru í samræmi við staðbundnar, geirabundnar, svæðisbundnar eða landsbundnar aðlögunarstefnur og -áætlanir,</w:t>
            </w:r>
          </w:p>
          <w:p w14:paraId="4456EF87" w14:textId="77777777" w:rsidR="00D849E8" w:rsidRDefault="00D849E8" w:rsidP="00A9140F">
            <w:pPr>
              <w:pStyle w:val="AnnexNumberedText"/>
              <w:spacing w:after="20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62FED47" w14:textId="77777777" w:rsidR="00D849E8" w:rsidRDefault="00D849E8" w:rsidP="00A9140F">
            <w:pPr>
              <w:pStyle w:val="AnnexNumberedText"/>
              <w:spacing w:after="200"/>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07AE9177" w14:textId="77777777" w:rsidR="00D849E8" w:rsidRDefault="00D849E8" w:rsidP="00A9140F">
            <w:pPr>
              <w:pStyle w:val="AnnexNumberedText"/>
              <w:tabs>
                <w:tab w:val="left" w:pos="396"/>
              </w:tabs>
              <w:spacing w:after="200"/>
              <w:ind w:left="0" w:firstLine="0"/>
              <w:rPr>
                <w:szCs w:val="18"/>
              </w:rPr>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4F0F3F72" w14:textId="77777777" w:rsidR="00D849E8" w:rsidRDefault="00D849E8" w:rsidP="00A9140F">
            <w:pPr>
              <w:pStyle w:val="AnnexNumberedText"/>
              <w:spacing w:after="200"/>
              <w:rPr>
                <w:szCs w:val="18"/>
              </w:rPr>
            </w:pPr>
            <w:r>
              <w:t>a)</w:t>
            </w:r>
            <w:r>
              <w:tab/>
              <w:t>auki viðnám gegn efnislegri loftslagsáhættu fyrir annað fólk, náttúru, menningararfleifð, eignir og aðra atvinnustarfsemi,</w:t>
            </w:r>
          </w:p>
          <w:p w14:paraId="1701E19E" w14:textId="77777777" w:rsidR="00D849E8" w:rsidRDefault="00D849E8" w:rsidP="00A9140F">
            <w:pPr>
              <w:pStyle w:val="AnnexNumberedText"/>
              <w:rPr>
                <w:szCs w:val="18"/>
              </w:rPr>
            </w:pPr>
            <w:r>
              <w:t>b)</w:t>
            </w:r>
            <w:r>
              <w:tab/>
              <w:t>stuðli að aðlögunarviðleitni annars fólks, náttúru, menningararfleifðar, eigna og annarrar atvinnustarfsemi.</w:t>
            </w:r>
          </w:p>
        </w:tc>
      </w:tr>
      <w:tr w:rsidR="00D849E8" w14:paraId="31285870" w14:textId="77777777" w:rsidTr="00A9140F">
        <w:trPr>
          <w:trHeight w:val="240"/>
        </w:trPr>
        <w:tc>
          <w:tcPr>
            <w:tcW w:w="8736" w:type="dxa"/>
            <w:gridSpan w:val="2"/>
            <w:tcMar>
              <w:top w:w="100" w:type="dxa"/>
              <w:left w:w="0" w:type="dxa"/>
              <w:bottom w:w="100" w:type="dxa"/>
              <w:right w:w="60" w:type="dxa"/>
            </w:tcMar>
          </w:tcPr>
          <w:p w14:paraId="305E6A7F" w14:textId="77777777" w:rsidR="00D849E8" w:rsidRDefault="00D849E8" w:rsidP="00A9140F">
            <w:pPr>
              <w:pStyle w:val="AnnexTableCellLeft"/>
            </w:pPr>
            <w:r>
              <w:t>Ekki valda umtalsverðu tjóni</w:t>
            </w:r>
          </w:p>
        </w:tc>
      </w:tr>
      <w:tr w:rsidR="00D849E8" w14:paraId="7D384054" w14:textId="77777777" w:rsidTr="00A9140F">
        <w:tc>
          <w:tcPr>
            <w:tcW w:w="2988" w:type="dxa"/>
            <w:tcMar>
              <w:top w:w="100" w:type="dxa"/>
              <w:left w:w="0" w:type="dxa"/>
              <w:bottom w:w="100" w:type="dxa"/>
              <w:right w:w="60" w:type="dxa"/>
            </w:tcMar>
          </w:tcPr>
          <w:p w14:paraId="73D59368" w14:textId="77777777" w:rsidR="00D849E8" w:rsidRDefault="00D849E8" w:rsidP="00A9140F">
            <w:pPr>
              <w:pStyle w:val="AnnexNumberedText"/>
              <w:spacing w:after="0"/>
              <w:ind w:left="293" w:hanging="293"/>
            </w:pPr>
            <w:r>
              <w:t>1)</w:t>
            </w:r>
            <w:r>
              <w:tab/>
              <w:t>Mildun loftslagsbreytinga</w:t>
            </w:r>
          </w:p>
        </w:tc>
        <w:tc>
          <w:tcPr>
            <w:tcW w:w="5748" w:type="dxa"/>
            <w:tcMar>
              <w:top w:w="100" w:type="dxa"/>
              <w:left w:w="60" w:type="dxa"/>
              <w:bottom w:w="100" w:type="dxa"/>
              <w:right w:w="0" w:type="dxa"/>
            </w:tcMar>
          </w:tcPr>
          <w:p w14:paraId="6384EB00" w14:textId="77777777" w:rsidR="00D849E8" w:rsidRDefault="00D849E8" w:rsidP="00A9140F">
            <w:pPr>
              <w:pStyle w:val="AnnexTableCellLeft"/>
            </w:pPr>
            <w:r>
              <w:t>Á ekki við</w:t>
            </w:r>
          </w:p>
        </w:tc>
      </w:tr>
      <w:tr w:rsidR="00D849E8" w14:paraId="6BB863E4" w14:textId="77777777" w:rsidTr="00A9140F">
        <w:tc>
          <w:tcPr>
            <w:tcW w:w="2988" w:type="dxa"/>
            <w:tcMar>
              <w:top w:w="100" w:type="dxa"/>
              <w:left w:w="0" w:type="dxa"/>
              <w:bottom w:w="100" w:type="dxa"/>
              <w:right w:w="60" w:type="dxa"/>
            </w:tcMar>
          </w:tcPr>
          <w:p w14:paraId="7208D4D8" w14:textId="77777777" w:rsidR="00D849E8" w:rsidRDefault="00D849E8" w:rsidP="00A9140F">
            <w:pPr>
              <w:pStyle w:val="AnnexNumberedText"/>
              <w:spacing w:after="0"/>
              <w:ind w:left="293" w:hanging="293"/>
            </w:pPr>
            <w:r>
              <w:t>3)</w:t>
            </w:r>
            <w:r>
              <w:tab/>
              <w:t>Sjálfbær notkun og verndun vatns- og sjávarauðlinda</w:t>
            </w:r>
          </w:p>
        </w:tc>
        <w:tc>
          <w:tcPr>
            <w:tcW w:w="5748" w:type="dxa"/>
            <w:tcMar>
              <w:top w:w="100" w:type="dxa"/>
              <w:left w:w="60" w:type="dxa"/>
              <w:bottom w:w="100" w:type="dxa"/>
              <w:right w:w="0" w:type="dxa"/>
            </w:tcMar>
          </w:tcPr>
          <w:p w14:paraId="57DA45E6" w14:textId="77777777" w:rsidR="00D849E8" w:rsidRDefault="00D849E8" w:rsidP="00A9140F">
            <w:pPr>
              <w:pStyle w:val="AnnexTableCellLeft"/>
            </w:pPr>
            <w:r>
              <w:t>Á ekki við</w:t>
            </w:r>
          </w:p>
        </w:tc>
      </w:tr>
      <w:tr w:rsidR="00D849E8" w14:paraId="14E1135F" w14:textId="77777777" w:rsidTr="00A9140F">
        <w:tc>
          <w:tcPr>
            <w:tcW w:w="2988" w:type="dxa"/>
            <w:tcMar>
              <w:top w:w="100" w:type="dxa"/>
              <w:left w:w="0" w:type="dxa"/>
              <w:bottom w:w="100" w:type="dxa"/>
              <w:right w:w="60" w:type="dxa"/>
            </w:tcMar>
          </w:tcPr>
          <w:p w14:paraId="1BDD0BC7" w14:textId="77777777" w:rsidR="00D849E8" w:rsidRDefault="00D849E8" w:rsidP="00A9140F">
            <w:pPr>
              <w:pStyle w:val="AnnexNumberedText"/>
              <w:pageBreakBefore/>
              <w:spacing w:after="0"/>
              <w:ind w:left="293" w:hanging="293"/>
            </w:pPr>
            <w:r>
              <w:lastRenderedPageBreak/>
              <w:t>4)</w:t>
            </w:r>
            <w:r>
              <w:tab/>
              <w:t>Umskipti yfir í hringrásarhagkerfi</w:t>
            </w:r>
          </w:p>
        </w:tc>
        <w:tc>
          <w:tcPr>
            <w:tcW w:w="5748" w:type="dxa"/>
            <w:tcMar>
              <w:top w:w="100" w:type="dxa"/>
              <w:left w:w="60" w:type="dxa"/>
              <w:bottom w:w="100" w:type="dxa"/>
              <w:right w:w="0" w:type="dxa"/>
            </w:tcMar>
          </w:tcPr>
          <w:p w14:paraId="0A19A524" w14:textId="77777777" w:rsidR="00D849E8" w:rsidRDefault="00D849E8" w:rsidP="00A9140F">
            <w:pPr>
              <w:pStyle w:val="AnnexTableCellLeft"/>
            </w:pPr>
            <w:r>
              <w:t>Á ekki við</w:t>
            </w:r>
          </w:p>
        </w:tc>
      </w:tr>
      <w:tr w:rsidR="00D849E8" w14:paraId="462065F0" w14:textId="77777777" w:rsidTr="00A9140F">
        <w:tc>
          <w:tcPr>
            <w:tcW w:w="2988" w:type="dxa"/>
            <w:tcMar>
              <w:top w:w="100" w:type="dxa"/>
              <w:left w:w="0" w:type="dxa"/>
              <w:bottom w:w="100" w:type="dxa"/>
              <w:right w:w="60" w:type="dxa"/>
            </w:tcMar>
          </w:tcPr>
          <w:p w14:paraId="19B0ED52" w14:textId="77777777" w:rsidR="00D849E8" w:rsidRDefault="00D849E8" w:rsidP="00A9140F">
            <w:pPr>
              <w:pStyle w:val="AnnexNumberedText"/>
              <w:spacing w:after="0"/>
              <w:ind w:left="293" w:hanging="293"/>
            </w:pPr>
            <w:r>
              <w:t>5)</w:t>
            </w:r>
            <w:r>
              <w:tab/>
              <w:t>Mengunarvarnir og eftirlit með mengun</w:t>
            </w:r>
          </w:p>
        </w:tc>
        <w:tc>
          <w:tcPr>
            <w:tcW w:w="5748" w:type="dxa"/>
            <w:tcMar>
              <w:top w:w="100" w:type="dxa"/>
              <w:left w:w="60" w:type="dxa"/>
              <w:bottom w:w="100" w:type="dxa"/>
              <w:right w:w="0" w:type="dxa"/>
            </w:tcMar>
          </w:tcPr>
          <w:p w14:paraId="338D130B" w14:textId="77777777" w:rsidR="00D849E8" w:rsidRDefault="00D849E8" w:rsidP="00A9140F">
            <w:pPr>
              <w:pStyle w:val="AnnexTableCellLeft"/>
            </w:pPr>
            <w:r>
              <w:t>Á ekki við</w:t>
            </w:r>
          </w:p>
        </w:tc>
      </w:tr>
      <w:tr w:rsidR="00D849E8" w14:paraId="27F4AB59" w14:textId="77777777" w:rsidTr="00A9140F">
        <w:tc>
          <w:tcPr>
            <w:tcW w:w="2988" w:type="dxa"/>
            <w:tcMar>
              <w:top w:w="100" w:type="dxa"/>
              <w:left w:w="0" w:type="dxa"/>
              <w:bottom w:w="100" w:type="dxa"/>
              <w:right w:w="60" w:type="dxa"/>
            </w:tcMar>
          </w:tcPr>
          <w:p w14:paraId="63F372F7" w14:textId="77777777" w:rsidR="00D849E8" w:rsidRDefault="00D849E8" w:rsidP="00A9140F">
            <w:pPr>
              <w:pStyle w:val="AnnexNumberedText"/>
              <w:spacing w:after="0"/>
              <w:ind w:left="293" w:hanging="293"/>
            </w:pPr>
            <w:r>
              <w:t>6)</w:t>
            </w:r>
            <w:r>
              <w:tab/>
              <w:t>Vernd og endurheimt líffræðilegrar fjölbreytni og vistkerfa</w:t>
            </w:r>
          </w:p>
        </w:tc>
        <w:tc>
          <w:tcPr>
            <w:tcW w:w="5748" w:type="dxa"/>
            <w:tcMar>
              <w:top w:w="100" w:type="dxa"/>
              <w:left w:w="60" w:type="dxa"/>
              <w:bottom w:w="100" w:type="dxa"/>
              <w:right w:w="0" w:type="dxa"/>
            </w:tcMar>
          </w:tcPr>
          <w:p w14:paraId="0D8E5236" w14:textId="77777777" w:rsidR="00D849E8" w:rsidRDefault="00D849E8" w:rsidP="00A9140F">
            <w:pPr>
              <w:pStyle w:val="AnnexTableCellLeft"/>
            </w:pPr>
            <w:r>
              <w:t>Á ekki við</w:t>
            </w:r>
          </w:p>
        </w:tc>
      </w:tr>
    </w:tbl>
    <w:p w14:paraId="705E44FA" w14:textId="77777777" w:rsidR="00D849E8" w:rsidRDefault="00D849E8" w:rsidP="00D849E8">
      <w:pPr>
        <w:pStyle w:val="AnnexNumberedText"/>
        <w:ind w:left="504" w:hanging="504"/>
        <w:rPr>
          <w:sz w:val="16"/>
        </w:rPr>
      </w:pPr>
      <w:r>
        <w:t>9.</w:t>
      </w:r>
      <w:r>
        <w:tab/>
      </w:r>
      <w:r>
        <w:rPr>
          <w:sz w:val="16"/>
        </w:rPr>
        <w:t>SÉRFRÆÐILEG, VÍSINDALEG OG TÆKNILEG STARFSEMI</w:t>
      </w:r>
    </w:p>
    <w:p w14:paraId="6B892E3E" w14:textId="77777777" w:rsidR="00D849E8" w:rsidRDefault="00D849E8" w:rsidP="00D849E8">
      <w:pPr>
        <w:pStyle w:val="AnnexNumberedText"/>
        <w:ind w:left="504" w:hanging="504"/>
      </w:pPr>
      <w:r>
        <w:t>9.1.</w:t>
      </w:r>
      <w:r>
        <w:rPr>
          <w:b/>
        </w:rPr>
        <w:tab/>
        <w:t>Verkfræðistarfsemi og tengd tæknileg ráðgjöf sem miðast við aðlögun að loftslagsbreytingum</w:t>
      </w:r>
    </w:p>
    <w:p w14:paraId="08BFF172" w14:textId="77777777" w:rsidR="00D849E8" w:rsidRDefault="00D849E8" w:rsidP="00D849E8">
      <w:pPr>
        <w:pStyle w:val="AnnexGrSeq3"/>
        <w:spacing w:after="120"/>
        <w:ind w:left="504"/>
        <w:jc w:val="both"/>
      </w:pPr>
      <w:r>
        <w:rPr>
          <w:i/>
        </w:rPr>
        <w:t>Lýsing á starfseminni</w:t>
      </w:r>
    </w:p>
    <w:p w14:paraId="469E4BB3" w14:textId="77777777" w:rsidR="00D849E8" w:rsidRDefault="00D849E8" w:rsidP="00D849E8">
      <w:pPr>
        <w:pStyle w:val="AnnexNormal"/>
        <w:ind w:left="504"/>
      </w:pPr>
      <w:r>
        <w:t>Verkfræðistarfsemi og tengd tæknileg ráðgjöf sem miðast við aðlögun að loftslagsbreytingum.</w:t>
      </w:r>
    </w:p>
    <w:p w14:paraId="41CAEF17" w14:textId="77777777" w:rsidR="00D849E8" w:rsidRDefault="00D849E8" w:rsidP="00D849E8">
      <w:pPr>
        <w:pStyle w:val="AnnexNormal"/>
        <w:ind w:left="504"/>
      </w:pPr>
      <w:r>
        <w:t>Atvinnustarfsemin í þessum flokki gæti tengst kóða atvinnugreinaflokkunar Evrópusambandsins M71.12 í samræmi við atvinnugreinaflokkunina sem komið var á með reglugerð (EB) nr. 1893/20061.</w:t>
      </w:r>
    </w:p>
    <w:p w14:paraId="21430FC3" w14:textId="77777777" w:rsidR="00D849E8" w:rsidRDefault="00D849E8" w:rsidP="00D849E8">
      <w:pPr>
        <w:pStyle w:val="AnnexNormal"/>
        <w:ind w:left="504"/>
      </w:pPr>
      <w:r>
        <w:t xml:space="preserve">Atvinnustarfsemi í þessum flokki er starfsemi sem gerir annarri starfsemi kleift að stuðla að umhverfismarkmiðum, eins og um getur í </w:t>
      </w:r>
      <w:proofErr w:type="spellStart"/>
      <w:r>
        <w:t>b-lið</w:t>
      </w:r>
      <w:proofErr w:type="spellEnd"/>
      <w:r>
        <w:t xml:space="preserve"> 1. mgr. 11. gr. reglugerðar (ESB) 2020/852, þegar hún uppfyllir tæknilegu matsviðmiðin sem eru tilgreind í þessum þætti.</w:t>
      </w:r>
    </w:p>
    <w:p w14:paraId="24C06D7B"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72"/>
        <w:gridCol w:w="5664"/>
      </w:tblGrid>
      <w:tr w:rsidR="00D849E8" w14:paraId="53A95DCE" w14:textId="77777777" w:rsidTr="00A9140F">
        <w:trPr>
          <w:trHeight w:val="280"/>
        </w:trPr>
        <w:tc>
          <w:tcPr>
            <w:tcW w:w="8736" w:type="dxa"/>
            <w:gridSpan w:val="2"/>
            <w:tcBorders>
              <w:bottom w:val="single" w:sz="4" w:space="0" w:color="auto"/>
            </w:tcBorders>
            <w:tcMar>
              <w:left w:w="0" w:type="dxa"/>
              <w:right w:w="60" w:type="dxa"/>
            </w:tcMar>
          </w:tcPr>
          <w:p w14:paraId="0534BFA9" w14:textId="77777777" w:rsidR="00D849E8" w:rsidRDefault="00D849E8" w:rsidP="00A9140F">
            <w:pPr>
              <w:pStyle w:val="AnnexTableCellLeft"/>
              <w:spacing w:before="40" w:after="40"/>
            </w:pPr>
            <w:r>
              <w:t>Verulegt framlag til aðlögunar að loftslagsbreytingum</w:t>
            </w:r>
          </w:p>
        </w:tc>
      </w:tr>
      <w:tr w:rsidR="00D849E8" w14:paraId="2F11707C" w14:textId="77777777" w:rsidTr="00A9140F">
        <w:trPr>
          <w:trHeight w:val="360"/>
        </w:trPr>
        <w:tc>
          <w:tcPr>
            <w:tcW w:w="8736" w:type="dxa"/>
            <w:gridSpan w:val="2"/>
            <w:tcBorders>
              <w:bottom w:val="nil"/>
            </w:tcBorders>
            <w:tcMar>
              <w:left w:w="0" w:type="dxa"/>
              <w:right w:w="60" w:type="dxa"/>
            </w:tcMar>
          </w:tcPr>
          <w:p w14:paraId="23809682" w14:textId="77777777" w:rsidR="00D849E8" w:rsidRDefault="00D849E8" w:rsidP="00A9140F">
            <w:pPr>
              <w:pStyle w:val="AnnexTableCellLeft"/>
              <w:spacing w:after="160"/>
              <w:rPr>
                <w:szCs w:val="18"/>
              </w:rPr>
            </w:pPr>
            <w:r>
              <w:t>Atvinnustarfsemin miðar aðallega að því að láta í té ráðgjafaþjónustu sem hjálpar einni atvinnustarfsemi eða fleiri, sem tæknileg matsviðmið hafa verið fastsett fyrir í þessum viðauka, til að uppfylla þessar viðkomandi viðmiðanir um verulegt framlag til aðlögunar að loftslagsbreytingum ásamt því að virða viðeigandi viðmiðanir um að valda ekki umtalsverðu tjóni fyrir önnur almenn umhverfismarkmið.</w:t>
            </w:r>
          </w:p>
          <w:p w14:paraId="171AB792" w14:textId="77777777" w:rsidR="00D849E8" w:rsidRDefault="00D849E8" w:rsidP="00A9140F">
            <w:pPr>
              <w:pStyle w:val="AnnexTableCellLeft"/>
              <w:spacing w:after="160"/>
              <w:rPr>
                <w:szCs w:val="18"/>
              </w:rPr>
            </w:pPr>
            <w:r>
              <w:t>Atvinnustarfsemin er í samræmi við eina af eftirfarandi viðmiðunum:</w:t>
            </w:r>
          </w:p>
          <w:p w14:paraId="7701144F" w14:textId="77777777" w:rsidR="00D849E8" w:rsidRDefault="00D849E8" w:rsidP="00A9140F">
            <w:pPr>
              <w:pStyle w:val="AnnexNumberedText"/>
              <w:spacing w:after="160"/>
              <w:rPr>
                <w:szCs w:val="18"/>
              </w:rPr>
            </w:pPr>
            <w:r>
              <w:t>a)</w:t>
            </w:r>
            <w:r>
              <w:tab/>
              <w:t>í henni er notuð nýjasta tækni við líkanasmíði sem:</w:t>
            </w:r>
          </w:p>
          <w:p w14:paraId="7F750458" w14:textId="77777777" w:rsidR="00D849E8" w:rsidRDefault="00D849E8" w:rsidP="00A9140F">
            <w:pPr>
              <w:pStyle w:val="AnnexNumberedText"/>
              <w:spacing w:after="160"/>
              <w:ind w:left="653" w:hanging="353"/>
              <w:rPr>
                <w:szCs w:val="18"/>
              </w:rPr>
            </w:pPr>
            <w:r>
              <w:t>i.</w:t>
            </w:r>
            <w:r>
              <w:tab/>
              <w:t>endurspeglar á tilhlýðilegan hátt áhættu vegna loftslagsbreytinga,</w:t>
            </w:r>
          </w:p>
          <w:p w14:paraId="4734A8AB" w14:textId="77777777" w:rsidR="00D849E8" w:rsidRDefault="00D849E8" w:rsidP="00A9140F">
            <w:pPr>
              <w:pStyle w:val="AnnexNumberedText"/>
              <w:spacing w:after="160"/>
              <w:ind w:left="653" w:hanging="353"/>
              <w:rPr>
                <w:szCs w:val="18"/>
              </w:rPr>
            </w:pPr>
            <w:r>
              <w:t>ii.</w:t>
            </w:r>
            <w:r>
              <w:tab/>
              <w:t>treystir ekki eingöngu á sögulega þróun,</w:t>
            </w:r>
          </w:p>
          <w:p w14:paraId="4A3775F9" w14:textId="77777777" w:rsidR="00D849E8" w:rsidRDefault="00D849E8" w:rsidP="00A9140F">
            <w:pPr>
              <w:pStyle w:val="AnnexNumberedText"/>
              <w:spacing w:after="160"/>
              <w:ind w:left="653" w:hanging="353"/>
              <w:rPr>
                <w:szCs w:val="18"/>
              </w:rPr>
            </w:pPr>
            <w:r>
              <w:t>iii.</w:t>
            </w:r>
            <w:r>
              <w:tab/>
              <w:t>samþættir framsýnar sviðsmyndir,</w:t>
            </w:r>
          </w:p>
          <w:p w14:paraId="4CB5A0BB" w14:textId="77777777" w:rsidR="00D849E8" w:rsidRDefault="00D849E8" w:rsidP="00A9140F">
            <w:pPr>
              <w:pStyle w:val="AnnexNumberedText"/>
              <w:spacing w:after="160"/>
              <w:rPr>
                <w:szCs w:val="18"/>
              </w:rPr>
            </w:pPr>
            <w:r>
              <w:t>b)</w:t>
            </w:r>
            <w:r>
              <w:tab/>
              <w:t>í henni eru þróuð loftslagslíkön og -framreikningar, þjónusta og mat á áhrifum, bestu aðgengilegu vísindi fyrir veikleika- og áhættugreiningar og tengd aðferðarfræði í samræmi við nýjustu skýrslur milliríkjanefndarinnar um loftslagsbreytingar og vísindalegt ritrýnt útgefið efni.</w:t>
            </w:r>
          </w:p>
          <w:p w14:paraId="6EE40683" w14:textId="77777777" w:rsidR="00D849E8" w:rsidRDefault="00D849E8" w:rsidP="00A9140F">
            <w:pPr>
              <w:pStyle w:val="AnnexTableCellLeft"/>
              <w:spacing w:after="160"/>
              <w:rPr>
                <w:szCs w:val="18"/>
              </w:rPr>
            </w:pPr>
            <w:r>
              <w:t>Í atvinnustarfseminni eru fjarlægðar hindranir gagnvart aðlögun á sviði upplýsinga, fjárhags, tækni og getu.</w:t>
            </w:r>
          </w:p>
          <w:p w14:paraId="3CDAD4F6" w14:textId="77777777" w:rsidR="00D849E8" w:rsidRDefault="00D849E8" w:rsidP="00A9140F">
            <w:pPr>
              <w:pStyle w:val="AnnexTableCellLeft"/>
              <w:spacing w:after="160"/>
              <w:rPr>
                <w:szCs w:val="18"/>
              </w:rPr>
            </w:pPr>
            <w:r>
              <w:t>Möguleikinn á að draga úr verulegum áhrifum vegna loftslagsáhættu er kortlagður með traustu mati á loftslagsáhættu í markatvinnustarfseminni.</w:t>
            </w:r>
          </w:p>
          <w:p w14:paraId="3228C77F" w14:textId="77777777" w:rsidR="00D849E8" w:rsidRDefault="00D849E8" w:rsidP="00A9140F">
            <w:pPr>
              <w:pStyle w:val="AnnexTableCellLeft"/>
              <w:spacing w:after="160"/>
              <w:rPr>
                <w:szCs w:val="18"/>
              </w:rPr>
            </w:pPr>
            <w:r>
              <w:t xml:space="preserve">Í starfsemi innan arkitektahönnunar er tekið tillit til leiðbeininga um loftslagsvernd, loftslagstengdra hættulíkana og gert kleift að aðlaga byggingar og grunnvirki, þ.m.t. byggingarreglugerðir og </w:t>
            </w:r>
            <w:proofErr w:type="spellStart"/>
            <w:r>
              <w:t>samþætt</w:t>
            </w:r>
            <w:proofErr w:type="spellEnd"/>
            <w:r>
              <w:t xml:space="preserve"> stjórnunarkerfi.</w:t>
            </w:r>
          </w:p>
          <w:p w14:paraId="617A1CB7" w14:textId="77777777" w:rsidR="00D849E8" w:rsidRDefault="00D849E8" w:rsidP="00A9140F">
            <w:pPr>
              <w:pStyle w:val="AnnexTableCellLeft"/>
              <w:spacing w:after="160"/>
              <w:rPr>
                <w:szCs w:val="18"/>
              </w:rPr>
            </w:pPr>
            <w:r>
              <w:t>Aðlögunarlausnir sem komið er í framkvæmd:</w:t>
            </w:r>
          </w:p>
          <w:p w14:paraId="24AC808F" w14:textId="77777777" w:rsidR="00D849E8" w:rsidRDefault="00D849E8" w:rsidP="00A9140F">
            <w:pPr>
              <w:pStyle w:val="AnnexNumberedText"/>
              <w:spacing w:after="160"/>
              <w:rPr>
                <w:szCs w:val="18"/>
              </w:rPr>
            </w:pPr>
            <w:r>
              <w:t>a)</w:t>
            </w:r>
            <w:r>
              <w:tab/>
              <w:t>hafa ekki neikvæð áhrif á viðleitni til aðlögunar eða viðnám annars fólks, náttúru, menningararfleifðar, eigna og annarrar atvinnustarfsemi gegn efnislegri loftslagsáhættu,</w:t>
            </w:r>
          </w:p>
          <w:p w14:paraId="08CCACE5" w14:textId="77777777" w:rsidR="00D849E8" w:rsidRDefault="00D849E8" w:rsidP="00A9140F">
            <w:pPr>
              <w:pStyle w:val="AnnexNumberedText"/>
              <w:spacing w:after="0"/>
              <w:rPr>
                <w:szCs w:val="18"/>
              </w:rPr>
            </w:pPr>
            <w:r>
              <w:t>b)</w:t>
            </w:r>
            <w:r>
              <w:tab/>
              <w:t>eru með náttúrumiðaðar lausnir (</w:t>
            </w:r>
            <w:r>
              <w:rPr>
                <w:rStyle w:val="Tilvsunneanmlsgrein"/>
                <w:sz w:val="18"/>
                <w:szCs w:val="18"/>
              </w:rPr>
              <w:footnoteReference w:id="988"/>
            </w:r>
            <w:r>
              <w:t>) í forgangi eða treyst er á bláa eða græna innviði (</w:t>
            </w:r>
            <w:r>
              <w:rPr>
                <w:rStyle w:val="Tilvsunneanmlsgrein"/>
                <w:sz w:val="18"/>
                <w:szCs w:val="18"/>
              </w:rPr>
              <w:footnoteReference w:id="989"/>
            </w:r>
            <w:r>
              <w:t>) að því marki sem mögulegt er,</w:t>
            </w:r>
          </w:p>
        </w:tc>
      </w:tr>
      <w:tr w:rsidR="00D849E8" w14:paraId="738D6F9A" w14:textId="77777777" w:rsidTr="00A9140F">
        <w:trPr>
          <w:trHeight w:val="360"/>
        </w:trPr>
        <w:tc>
          <w:tcPr>
            <w:tcW w:w="8736" w:type="dxa"/>
            <w:gridSpan w:val="2"/>
            <w:tcBorders>
              <w:top w:val="nil"/>
            </w:tcBorders>
            <w:tcMar>
              <w:left w:w="0" w:type="dxa"/>
              <w:right w:w="60" w:type="dxa"/>
            </w:tcMar>
          </w:tcPr>
          <w:p w14:paraId="4B150DBA" w14:textId="77777777" w:rsidR="00D849E8" w:rsidRDefault="00D849E8" w:rsidP="00A9140F">
            <w:pPr>
              <w:pStyle w:val="AnnexNumberedText"/>
              <w:pageBreakBefore/>
              <w:spacing w:after="200"/>
            </w:pPr>
            <w:r>
              <w:lastRenderedPageBreak/>
              <w:t>c)</w:t>
            </w:r>
            <w:r>
              <w:tab/>
              <w:t>eru í samræmi við staðbundnar, geirabundnar, svæðisbundnar eða landsbundnar aðlögunarstefnur og -áætlanir,</w:t>
            </w:r>
          </w:p>
          <w:p w14:paraId="01BC79C2" w14:textId="77777777" w:rsidR="00D849E8" w:rsidRDefault="00D849E8" w:rsidP="00A9140F">
            <w:pPr>
              <w:pStyle w:val="AnnexNumberedText"/>
              <w:spacing w:after="20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3697AB25" w14:textId="77777777" w:rsidR="00D849E8" w:rsidRDefault="00D849E8" w:rsidP="00A9140F">
            <w:pPr>
              <w:pStyle w:val="AnnexNumberedText"/>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43DADFF4" w14:textId="77777777" w:rsidTr="00A9140F">
        <w:trPr>
          <w:trHeight w:val="240"/>
        </w:trPr>
        <w:tc>
          <w:tcPr>
            <w:tcW w:w="8736" w:type="dxa"/>
            <w:gridSpan w:val="2"/>
            <w:tcMar>
              <w:top w:w="100" w:type="dxa"/>
              <w:left w:w="0" w:type="dxa"/>
              <w:bottom w:w="100" w:type="dxa"/>
              <w:right w:w="60" w:type="dxa"/>
            </w:tcMar>
          </w:tcPr>
          <w:p w14:paraId="13FF4A87" w14:textId="77777777" w:rsidR="00D849E8" w:rsidRDefault="00D849E8" w:rsidP="00A9140F">
            <w:pPr>
              <w:pStyle w:val="AnnexTableCellLeft"/>
            </w:pPr>
            <w:r>
              <w:t>Ekki valda umtalsverðu tjóni</w:t>
            </w:r>
          </w:p>
        </w:tc>
      </w:tr>
      <w:tr w:rsidR="00D849E8" w14:paraId="5D62BFF7" w14:textId="77777777" w:rsidTr="00A9140F">
        <w:tc>
          <w:tcPr>
            <w:tcW w:w="3072" w:type="dxa"/>
            <w:tcMar>
              <w:top w:w="100" w:type="dxa"/>
              <w:left w:w="0" w:type="dxa"/>
              <w:bottom w:w="100" w:type="dxa"/>
              <w:right w:w="60" w:type="dxa"/>
            </w:tcMar>
          </w:tcPr>
          <w:p w14:paraId="3ECE7559" w14:textId="77777777" w:rsidR="00D849E8" w:rsidRDefault="00D849E8" w:rsidP="00A9140F">
            <w:pPr>
              <w:pStyle w:val="AnnexNumberedText"/>
              <w:spacing w:after="0"/>
              <w:ind w:left="293" w:hanging="293"/>
            </w:pPr>
            <w:r>
              <w:t>1)</w:t>
            </w:r>
            <w:r>
              <w:tab/>
              <w:t>Mildun loftslagsbreytinga</w:t>
            </w:r>
          </w:p>
        </w:tc>
        <w:tc>
          <w:tcPr>
            <w:tcW w:w="5664" w:type="dxa"/>
            <w:tcMar>
              <w:top w:w="100" w:type="dxa"/>
              <w:left w:w="60" w:type="dxa"/>
              <w:bottom w:w="100" w:type="dxa"/>
              <w:right w:w="0" w:type="dxa"/>
            </w:tcMar>
          </w:tcPr>
          <w:p w14:paraId="1178ABC8" w14:textId="77777777" w:rsidR="00D849E8" w:rsidRDefault="00D849E8" w:rsidP="00A9140F">
            <w:pPr>
              <w:pStyle w:val="AnnexTableCellLeft"/>
            </w:pPr>
            <w:r>
              <w:t>Starfsemin er ekki stunduð í þeim tilgangi að vinna eða flytja jarðefnaeldsneyti.</w:t>
            </w:r>
          </w:p>
        </w:tc>
      </w:tr>
      <w:tr w:rsidR="00D849E8" w14:paraId="7169150D" w14:textId="77777777" w:rsidTr="00A9140F">
        <w:tc>
          <w:tcPr>
            <w:tcW w:w="3072" w:type="dxa"/>
            <w:tcMar>
              <w:top w:w="100" w:type="dxa"/>
              <w:left w:w="0" w:type="dxa"/>
              <w:bottom w:w="100" w:type="dxa"/>
              <w:right w:w="60" w:type="dxa"/>
            </w:tcMar>
          </w:tcPr>
          <w:p w14:paraId="306B5C4B" w14:textId="77777777" w:rsidR="00D849E8" w:rsidRDefault="00D849E8" w:rsidP="00A9140F">
            <w:pPr>
              <w:pStyle w:val="AnnexNumberedText"/>
              <w:spacing w:after="0"/>
              <w:ind w:left="293" w:hanging="293"/>
            </w:pPr>
            <w:r>
              <w:t>3)</w:t>
            </w:r>
            <w:r>
              <w:tab/>
              <w:t>Sjálfbær notkun og verndun vatns- og sjávarauðlinda</w:t>
            </w:r>
          </w:p>
        </w:tc>
        <w:tc>
          <w:tcPr>
            <w:tcW w:w="5664" w:type="dxa"/>
            <w:tcMar>
              <w:top w:w="100" w:type="dxa"/>
              <w:left w:w="60" w:type="dxa"/>
              <w:bottom w:w="100" w:type="dxa"/>
              <w:right w:w="0" w:type="dxa"/>
            </w:tcMar>
          </w:tcPr>
          <w:p w14:paraId="21C082DD" w14:textId="77777777" w:rsidR="00D849E8" w:rsidRDefault="00D849E8" w:rsidP="00A9140F">
            <w:pPr>
              <w:pStyle w:val="AnnexTableCellLeft"/>
            </w:pPr>
            <w:r>
              <w:t>Starfsemin er í samræmi við viðmiðanirnar sem settar eru fram í viðbæti B við þennan viðauka.</w:t>
            </w:r>
          </w:p>
        </w:tc>
      </w:tr>
      <w:tr w:rsidR="00D849E8" w14:paraId="0D20674C" w14:textId="77777777" w:rsidTr="00A9140F">
        <w:tc>
          <w:tcPr>
            <w:tcW w:w="3072" w:type="dxa"/>
            <w:tcMar>
              <w:top w:w="100" w:type="dxa"/>
              <w:left w:w="0" w:type="dxa"/>
              <w:bottom w:w="100" w:type="dxa"/>
              <w:right w:w="60" w:type="dxa"/>
            </w:tcMar>
          </w:tcPr>
          <w:p w14:paraId="67597979" w14:textId="77777777" w:rsidR="00D849E8" w:rsidRDefault="00D849E8" w:rsidP="00A9140F">
            <w:pPr>
              <w:pStyle w:val="AnnexNumberedText"/>
              <w:spacing w:after="0"/>
              <w:ind w:left="293" w:hanging="293"/>
            </w:pPr>
            <w:r>
              <w:t>4)</w:t>
            </w:r>
            <w:r>
              <w:tab/>
              <w:t>Umskipti yfir í hringrásarhagkerfi</w:t>
            </w:r>
          </w:p>
        </w:tc>
        <w:tc>
          <w:tcPr>
            <w:tcW w:w="5664" w:type="dxa"/>
            <w:tcMar>
              <w:top w:w="100" w:type="dxa"/>
              <w:left w:w="60" w:type="dxa"/>
              <w:bottom w:w="100" w:type="dxa"/>
              <w:right w:w="0" w:type="dxa"/>
            </w:tcMar>
          </w:tcPr>
          <w:p w14:paraId="6E960A92" w14:textId="77777777" w:rsidR="00D849E8" w:rsidRDefault="00D849E8" w:rsidP="00A9140F">
            <w:pPr>
              <w:pStyle w:val="AnnexTableCellLeft"/>
            </w:pPr>
            <w:r>
              <w:t>Á ekki við</w:t>
            </w:r>
          </w:p>
        </w:tc>
      </w:tr>
      <w:tr w:rsidR="00D849E8" w14:paraId="20CE33F6" w14:textId="77777777" w:rsidTr="00A9140F">
        <w:tc>
          <w:tcPr>
            <w:tcW w:w="3072" w:type="dxa"/>
            <w:tcMar>
              <w:top w:w="100" w:type="dxa"/>
              <w:left w:w="0" w:type="dxa"/>
              <w:bottom w:w="100" w:type="dxa"/>
              <w:right w:w="60" w:type="dxa"/>
            </w:tcMar>
          </w:tcPr>
          <w:p w14:paraId="2F278396" w14:textId="77777777" w:rsidR="00D849E8" w:rsidRDefault="00D849E8" w:rsidP="00A9140F">
            <w:pPr>
              <w:pStyle w:val="AnnexNumberedText"/>
              <w:spacing w:after="0"/>
              <w:ind w:left="293" w:hanging="293"/>
            </w:pPr>
            <w:r>
              <w:t>5)</w:t>
            </w:r>
            <w:r>
              <w:tab/>
              <w:t>Mengunarvarnir og eftirlit með mengun</w:t>
            </w:r>
          </w:p>
        </w:tc>
        <w:tc>
          <w:tcPr>
            <w:tcW w:w="5664" w:type="dxa"/>
            <w:tcMar>
              <w:top w:w="100" w:type="dxa"/>
              <w:left w:w="60" w:type="dxa"/>
              <w:bottom w:w="100" w:type="dxa"/>
              <w:right w:w="0" w:type="dxa"/>
            </w:tcMar>
          </w:tcPr>
          <w:p w14:paraId="19EFD515" w14:textId="77777777" w:rsidR="00D849E8" w:rsidRDefault="00D849E8" w:rsidP="00A9140F">
            <w:pPr>
              <w:pStyle w:val="AnnexTableCellLeft"/>
            </w:pPr>
            <w:r>
              <w:t>Á ekki við</w:t>
            </w:r>
          </w:p>
        </w:tc>
      </w:tr>
      <w:tr w:rsidR="00D849E8" w14:paraId="3168C580" w14:textId="77777777" w:rsidTr="00A9140F">
        <w:tc>
          <w:tcPr>
            <w:tcW w:w="3072" w:type="dxa"/>
            <w:tcMar>
              <w:top w:w="100" w:type="dxa"/>
              <w:left w:w="0" w:type="dxa"/>
              <w:bottom w:w="100" w:type="dxa"/>
              <w:right w:w="60" w:type="dxa"/>
            </w:tcMar>
          </w:tcPr>
          <w:p w14:paraId="21AC3A16" w14:textId="77777777" w:rsidR="00D849E8" w:rsidRDefault="00D849E8" w:rsidP="00A9140F">
            <w:pPr>
              <w:pStyle w:val="AnnexNumberedText"/>
              <w:spacing w:after="0"/>
              <w:ind w:left="293" w:hanging="293"/>
            </w:pPr>
            <w:r>
              <w:t>6)</w:t>
            </w:r>
            <w:r>
              <w:tab/>
              <w:t>Vernd og endurheimt líffræðilegrar fjölbreytni og vistkerfa</w:t>
            </w:r>
          </w:p>
        </w:tc>
        <w:tc>
          <w:tcPr>
            <w:tcW w:w="5664" w:type="dxa"/>
            <w:tcMar>
              <w:top w:w="100" w:type="dxa"/>
              <w:left w:w="60" w:type="dxa"/>
              <w:bottom w:w="100" w:type="dxa"/>
              <w:right w:w="0" w:type="dxa"/>
            </w:tcMar>
          </w:tcPr>
          <w:p w14:paraId="673D3009" w14:textId="77777777" w:rsidR="00D849E8" w:rsidRDefault="00D849E8" w:rsidP="00A9140F">
            <w:pPr>
              <w:pStyle w:val="AnnexTableCellLeft"/>
            </w:pPr>
            <w:r>
              <w:t>Á ekki við</w:t>
            </w:r>
          </w:p>
        </w:tc>
      </w:tr>
    </w:tbl>
    <w:p w14:paraId="1B6D9F7C" w14:textId="77777777" w:rsidR="00D849E8" w:rsidRDefault="00D849E8" w:rsidP="00D849E8">
      <w:pPr>
        <w:pStyle w:val="AnnexNumberedText"/>
        <w:ind w:left="504" w:hanging="504"/>
      </w:pPr>
      <w:r>
        <w:t>9.2.</w:t>
      </w:r>
      <w:r>
        <w:rPr>
          <w:b/>
        </w:rPr>
        <w:tab/>
        <w:t>Rannsóknir nátengdar markaði, þróun og nýsköpun</w:t>
      </w:r>
    </w:p>
    <w:p w14:paraId="578C25AC" w14:textId="77777777" w:rsidR="00D849E8" w:rsidRDefault="00D849E8" w:rsidP="00D849E8">
      <w:pPr>
        <w:pStyle w:val="AnnexGrSeq3"/>
        <w:spacing w:after="120"/>
        <w:ind w:left="504"/>
        <w:jc w:val="both"/>
      </w:pPr>
      <w:r>
        <w:rPr>
          <w:i/>
        </w:rPr>
        <w:t>Lýsing á starfseminni</w:t>
      </w:r>
    </w:p>
    <w:p w14:paraId="368E1838" w14:textId="77777777" w:rsidR="00D849E8" w:rsidRDefault="00D849E8" w:rsidP="00D849E8">
      <w:pPr>
        <w:pStyle w:val="AnnexNormal"/>
        <w:spacing w:after="280"/>
        <w:ind w:left="504"/>
      </w:pPr>
      <w:r>
        <w:t>Rannsóknir, hagnýtar rannsóknir og tilraunaþróun á sviði lausna, úrvinnslu, tækni, viðskiptalíkana og annarra vara sem eru ætlaðar til aðlögunar að loftslagsbreytingum.</w:t>
      </w:r>
    </w:p>
    <w:p w14:paraId="0443E2EE" w14:textId="77777777" w:rsidR="00D849E8" w:rsidRDefault="00D849E8" w:rsidP="00D849E8">
      <w:pPr>
        <w:pStyle w:val="AnnexNormal"/>
        <w:spacing w:after="280"/>
        <w:ind w:left="504"/>
      </w:pPr>
      <w:r>
        <w:t>Atvinnustarfsemin í þessum flokki gæti tengst kóða atvinnugreinaflokkunar Evrópusambandsins M72 eða, að því er varðar rannsóknir sem eru óaðskiljanlegur hluti af þeirri atvinnustarfsemi sem tæknileg matsviðmið eru tilgreind fyrir í þessum viðauka, kóðum atvinnugreinaflokkunar Evrópusambandsins sem eru settir fram í öðrum þáttum þessa viðauka í samræmi við atvinnugreinaflokkunina sem komið var á með reglugerð (EB) nr. 1893/2006.</w:t>
      </w:r>
    </w:p>
    <w:p w14:paraId="3B657BFC" w14:textId="77777777" w:rsidR="00D849E8" w:rsidRDefault="00D849E8" w:rsidP="00D849E8">
      <w:pPr>
        <w:pStyle w:val="AnnexNormal"/>
        <w:spacing w:after="300"/>
        <w:ind w:left="504"/>
      </w:pPr>
      <w:r>
        <w:t xml:space="preserve">Atvinnustarfsemi í þessum flokki er starfsemi sem gerir annarri starfsemi kleift að stuðla að umhverfismarkmiðum, eins og um getur í </w:t>
      </w:r>
      <w:proofErr w:type="spellStart"/>
      <w:r>
        <w:t>b-lið</w:t>
      </w:r>
      <w:proofErr w:type="spellEnd"/>
      <w:r>
        <w:t xml:space="preserve"> 1. mgr. 11. gr. reglugerðar (ESB) 2020/852, þegar hún uppfyllir tæknilegu matsviðmiðin sem sett eru fram í þessum þætti.</w:t>
      </w:r>
    </w:p>
    <w:p w14:paraId="3F523CE0"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76"/>
        <w:gridCol w:w="5760"/>
      </w:tblGrid>
      <w:tr w:rsidR="00D849E8" w14:paraId="11C4FE3D" w14:textId="77777777" w:rsidTr="00A9140F">
        <w:trPr>
          <w:trHeight w:val="280"/>
        </w:trPr>
        <w:tc>
          <w:tcPr>
            <w:tcW w:w="8736" w:type="dxa"/>
            <w:gridSpan w:val="2"/>
            <w:tcBorders>
              <w:bottom w:val="single" w:sz="4" w:space="0" w:color="auto"/>
            </w:tcBorders>
            <w:tcMar>
              <w:left w:w="0" w:type="dxa"/>
              <w:right w:w="60" w:type="dxa"/>
            </w:tcMar>
          </w:tcPr>
          <w:p w14:paraId="50F63E68" w14:textId="77777777" w:rsidR="00D849E8" w:rsidRDefault="00D849E8" w:rsidP="00A9140F">
            <w:pPr>
              <w:pStyle w:val="AnnexTableCellLeft"/>
              <w:spacing w:before="40" w:after="40"/>
            </w:pPr>
            <w:r>
              <w:t>Verulegt framlag til aðlögunar að loftslagsbreytingum</w:t>
            </w:r>
          </w:p>
        </w:tc>
      </w:tr>
      <w:tr w:rsidR="00D849E8" w14:paraId="46948DF1" w14:textId="77777777" w:rsidTr="00A9140F">
        <w:trPr>
          <w:trHeight w:val="360"/>
        </w:trPr>
        <w:tc>
          <w:tcPr>
            <w:tcW w:w="8736" w:type="dxa"/>
            <w:gridSpan w:val="2"/>
            <w:tcBorders>
              <w:bottom w:val="nil"/>
            </w:tcBorders>
            <w:tcMar>
              <w:left w:w="0" w:type="dxa"/>
              <w:right w:w="60" w:type="dxa"/>
            </w:tcMar>
          </w:tcPr>
          <w:p w14:paraId="4D5A3790" w14:textId="77777777" w:rsidR="00D849E8" w:rsidRDefault="00D849E8" w:rsidP="00A9140F">
            <w:pPr>
              <w:pStyle w:val="AnnexNumberedText"/>
              <w:tabs>
                <w:tab w:val="left" w:pos="396"/>
              </w:tabs>
              <w:ind w:left="0" w:firstLine="0"/>
              <w:rPr>
                <w:szCs w:val="18"/>
              </w:rPr>
            </w:pPr>
            <w:r>
              <w:t>1.</w:t>
            </w:r>
            <w:r>
              <w:tab/>
              <w:t>Í atvinnustarfseminni eru rannsóknir og nýsköpun eða þróaðar lausnir, tækni, vara, úrvinnsla eða viðskiptalíkön, þ.m.t. náttúrumiðaðar og náttúrusprottnar lausnir (</w:t>
            </w:r>
            <w:r>
              <w:rPr>
                <w:rStyle w:val="Tilvsunneanmlsgrein"/>
                <w:sz w:val="18"/>
                <w:szCs w:val="18"/>
              </w:rPr>
              <w:footnoteReference w:id="990"/>
            </w:r>
            <w:r>
              <w:t>), sem eru ætluð til að gera einni eða fleiri tegundum starfsemi, sem tæknileg matsviðmið hafa verið tilgreind fyrir í þessum viðauka, kleift að uppfylla viðkomandi viðmiðanir um verulegt framlag til aðlögunar að loftslagsbreytingum til að auka viðnám þeirra gegn loftslagsbreytingum ásamt því að virða viðeigandi viðmiðanir um að valda ekki umtalsverðu tjóni fyrir önnur almenn umhverfismarkmið.</w:t>
            </w:r>
          </w:p>
          <w:p w14:paraId="19125B25" w14:textId="77777777" w:rsidR="00D849E8" w:rsidRDefault="00D849E8" w:rsidP="00A9140F">
            <w:pPr>
              <w:pStyle w:val="AnnexNumberedText"/>
              <w:tabs>
                <w:tab w:val="left" w:pos="396"/>
              </w:tabs>
              <w:ind w:left="0" w:firstLine="0"/>
              <w:rPr>
                <w:szCs w:val="18"/>
              </w:rPr>
            </w:pPr>
            <w:r>
              <w:t>2.</w:t>
            </w:r>
            <w:r>
              <w:tab/>
              <w:t xml:space="preserve">Ef rannsökuð, þróuð eða nýsköpuð tækni, vara eða önnur lausn gerir nú þegar einni eða fleiri tegundum starfsemi, </w:t>
            </w:r>
            <w:r>
              <w:lastRenderedPageBreak/>
              <w:t>sem fjallað er um í þessum viðauka, kleift að uppfylla tæknileg matsviðmiði um verulegt framlag er í rannsókna-, þróunar- og nýsköpunarstarfseminni lögð áhersla á afhendingu tækni, vara eða annarra lausna með nýjum umtalsverðum ávinningi, s.s. betri árangri eða lægri kostnaði.</w:t>
            </w:r>
          </w:p>
          <w:p w14:paraId="703F4705" w14:textId="77777777" w:rsidR="00D849E8" w:rsidRDefault="00D849E8" w:rsidP="00A9140F">
            <w:pPr>
              <w:pStyle w:val="AnnexNumberedText"/>
              <w:tabs>
                <w:tab w:val="left" w:pos="396"/>
              </w:tabs>
              <w:spacing w:after="0"/>
              <w:ind w:left="0" w:firstLine="0"/>
              <w:rPr>
                <w:szCs w:val="18"/>
              </w:rPr>
            </w:pPr>
            <w:r>
              <w:t>3.</w:t>
            </w:r>
            <w:r>
              <w:tab/>
              <w:t>Í atvinnustarfseminni eru fjarlægðar hindranir gagnvart aðlögun á sviði upplýsinga, fjárhags, tækni og getu með nýjum eða bættum lausnum, tækni, vörum, ferlum eða viðskiptalíkönum, þ.m.t. náttúrumiðaðar lausnir.</w:t>
            </w:r>
          </w:p>
        </w:tc>
      </w:tr>
      <w:tr w:rsidR="00D849E8" w14:paraId="47D77792" w14:textId="77777777" w:rsidTr="00A9140F">
        <w:trPr>
          <w:trHeight w:val="360"/>
        </w:trPr>
        <w:tc>
          <w:tcPr>
            <w:tcW w:w="8736" w:type="dxa"/>
            <w:gridSpan w:val="2"/>
            <w:tcBorders>
              <w:top w:val="nil"/>
            </w:tcBorders>
            <w:tcMar>
              <w:left w:w="0" w:type="dxa"/>
              <w:right w:w="60" w:type="dxa"/>
            </w:tcMar>
          </w:tcPr>
          <w:p w14:paraId="4C162B98" w14:textId="77777777" w:rsidR="00D849E8" w:rsidRDefault="00D849E8" w:rsidP="00A9140F">
            <w:pPr>
              <w:pStyle w:val="AnnexNumberedText"/>
              <w:pageBreakBefore/>
              <w:tabs>
                <w:tab w:val="left" w:pos="396"/>
              </w:tabs>
              <w:spacing w:after="500"/>
              <w:ind w:left="0" w:firstLine="0"/>
              <w:rPr>
                <w:szCs w:val="18"/>
              </w:rPr>
            </w:pPr>
            <w:r>
              <w:lastRenderedPageBreak/>
              <w:t>4.</w:t>
            </w:r>
            <w:r>
              <w:tab/>
              <w:t>Í atvinnustarfseminni er möguleiki á að draga úr verulegum áhrifum vegna loftslagsáhættu, sem greindist með traustu mati á loftslagsáhættu í annarri atvinnustarfsemi, með þróun, rannsóknum eða nýsköpun lausna, tækni, vara, úrvinnslu eða viðskiptalíkana og a.m.k. hefur verið sýnt fram á getu til að draga úr áhættu í rekstrarumhverfi (</w:t>
            </w:r>
            <w:r>
              <w:rPr>
                <w:rStyle w:val="Tilvsunneanmlsgrein"/>
                <w:sz w:val="18"/>
                <w:szCs w:val="18"/>
              </w:rPr>
              <w:footnoteReference w:id="991"/>
            </w:r>
            <w:r>
              <w:t>), fyrir markaðssetningu og er rökstutt enn frekar með a.m.k. einum af eftirfarandi þáttum:</w:t>
            </w:r>
          </w:p>
          <w:p w14:paraId="09934648" w14:textId="77777777" w:rsidR="00D849E8" w:rsidRDefault="00D849E8" w:rsidP="00A9140F">
            <w:pPr>
              <w:pStyle w:val="AnnexNumberedText"/>
              <w:spacing w:after="500"/>
              <w:rPr>
                <w:szCs w:val="18"/>
              </w:rPr>
            </w:pPr>
            <w:r>
              <w:t>a)</w:t>
            </w:r>
            <w:r>
              <w:tab/>
              <w:t>fyrsta notkun á einkaleyfi, sem ekki er eldra en 10 ára, sem tengist lausninni, tækninni, vörunni, úrvinnslunni eða viðskiptalíkaninu,</w:t>
            </w:r>
          </w:p>
          <w:p w14:paraId="71FBE662" w14:textId="77777777" w:rsidR="00D849E8" w:rsidRDefault="00D849E8" w:rsidP="00A9140F">
            <w:pPr>
              <w:pStyle w:val="AnnexNumberedText"/>
              <w:spacing w:after="500"/>
              <w:rPr>
                <w:szCs w:val="18"/>
              </w:rPr>
            </w:pPr>
            <w:r>
              <w:t>b)</w:t>
            </w:r>
            <w:r>
              <w:tab/>
              <w:t>annað form hugverkaréttar sem tengist lausninni, tækninni, vörunni, úrvinnslunni eða viðskiptalíkaninu, s.s. viðskiptaleyndarmál, vörumerki eða höfundarréttur,</w:t>
            </w:r>
          </w:p>
          <w:p w14:paraId="67C24093" w14:textId="77777777" w:rsidR="00D849E8" w:rsidRDefault="00D849E8" w:rsidP="00A9140F">
            <w:pPr>
              <w:pStyle w:val="AnnexNumberedText"/>
              <w:spacing w:after="500"/>
              <w:rPr>
                <w:szCs w:val="18"/>
              </w:rPr>
            </w:pPr>
            <w:r>
              <w:t>c)</w:t>
            </w:r>
            <w:r>
              <w:tab/>
              <w:t xml:space="preserve">leyfi frá </w:t>
            </w:r>
            <w:proofErr w:type="spellStart"/>
            <w:r>
              <w:t>lögbæru</w:t>
            </w:r>
            <w:proofErr w:type="spellEnd"/>
            <w:r>
              <w:t xml:space="preserve"> yfirvaldi til að starfrækja sýnistöðvar sem tengjast lausninni, tækninni, vörunni, úrvinnslunni eða viðskiptalíkaninu meðan á sýniverkefninu stendur.</w:t>
            </w:r>
          </w:p>
          <w:p w14:paraId="223434BA" w14:textId="77777777" w:rsidR="00D849E8" w:rsidRDefault="00D849E8" w:rsidP="00A9140F">
            <w:pPr>
              <w:pStyle w:val="AnnexNumberedText"/>
              <w:tabs>
                <w:tab w:val="left" w:pos="396"/>
              </w:tabs>
              <w:ind w:left="0" w:firstLine="0"/>
              <w:rPr>
                <w:szCs w:val="18"/>
              </w:rPr>
            </w:pPr>
            <w:r>
              <w:t>5.</w:t>
            </w:r>
            <w:r>
              <w:tab/>
              <w:t>Í atvinnustarfseminni eru notaðir nýjustu loftslagsframreikningar og mat á áhrifum, bestu aðgengilegu vísindi fyrir veikleika- og áhættugreiningar og tengd aðferðarfræði í samræmi við nýjustu skýrslur milliríkjanefndarinnar um loftslagsbreytingar og vísindalegt ritrýnt útgefið efni sem viðmiðun fyrir lausnirnar, tæknina, vörurnar, úrvinnsluna og viðskiptalíkönin sem eru þróuð.</w:t>
            </w:r>
          </w:p>
        </w:tc>
      </w:tr>
      <w:tr w:rsidR="00D849E8" w14:paraId="62C5C687" w14:textId="77777777" w:rsidTr="00A9140F">
        <w:trPr>
          <w:trHeight w:val="240"/>
        </w:trPr>
        <w:tc>
          <w:tcPr>
            <w:tcW w:w="8736" w:type="dxa"/>
            <w:gridSpan w:val="2"/>
            <w:tcMar>
              <w:top w:w="100" w:type="dxa"/>
              <w:left w:w="0" w:type="dxa"/>
              <w:bottom w:w="100" w:type="dxa"/>
              <w:right w:w="60" w:type="dxa"/>
            </w:tcMar>
          </w:tcPr>
          <w:p w14:paraId="3012F821" w14:textId="77777777" w:rsidR="00D849E8" w:rsidRDefault="00D849E8" w:rsidP="00A9140F">
            <w:pPr>
              <w:pStyle w:val="AnnexTableCellLeft"/>
            </w:pPr>
            <w:r>
              <w:t>Ekki valda umtalsverðu tjóni</w:t>
            </w:r>
          </w:p>
        </w:tc>
      </w:tr>
      <w:tr w:rsidR="00D849E8" w14:paraId="0764A981" w14:textId="77777777" w:rsidTr="00A9140F">
        <w:tc>
          <w:tcPr>
            <w:tcW w:w="2976" w:type="dxa"/>
            <w:tcMar>
              <w:top w:w="100" w:type="dxa"/>
              <w:left w:w="0" w:type="dxa"/>
              <w:bottom w:w="100" w:type="dxa"/>
              <w:right w:w="60" w:type="dxa"/>
            </w:tcMar>
          </w:tcPr>
          <w:p w14:paraId="585E2041" w14:textId="77777777" w:rsidR="00D849E8" w:rsidRDefault="00D849E8" w:rsidP="00A9140F">
            <w:pPr>
              <w:pStyle w:val="AnnexNumberedText"/>
              <w:spacing w:after="0"/>
              <w:ind w:left="293" w:hanging="293"/>
            </w:pPr>
            <w:r>
              <w:t>1)</w:t>
            </w:r>
            <w:r>
              <w:tab/>
              <w:t>Mildun loftslagsbreytinga</w:t>
            </w:r>
          </w:p>
        </w:tc>
        <w:tc>
          <w:tcPr>
            <w:tcW w:w="5760" w:type="dxa"/>
            <w:tcMar>
              <w:top w:w="100" w:type="dxa"/>
              <w:left w:w="60" w:type="dxa"/>
              <w:bottom w:w="100" w:type="dxa"/>
              <w:right w:w="0" w:type="dxa"/>
            </w:tcMar>
          </w:tcPr>
          <w:p w14:paraId="2E083714" w14:textId="77777777" w:rsidR="00D849E8" w:rsidRDefault="00D849E8" w:rsidP="00A9140F">
            <w:pPr>
              <w:pStyle w:val="AnnexTableCellLeft"/>
              <w:spacing w:after="400"/>
            </w:pPr>
            <w:r>
              <w:t>Starfsemin er ekki stunduð í þeim tilgangi að vinna, flytja eða nota jarðefnaeldsneyti.</w:t>
            </w:r>
          </w:p>
          <w:p w14:paraId="0C35CF76" w14:textId="77777777" w:rsidR="00D849E8" w:rsidRDefault="00D849E8" w:rsidP="00A9140F">
            <w:pPr>
              <w:pStyle w:val="AnnexTableCellLeft"/>
            </w:pPr>
            <w:r>
              <w:t>Framreikningar um losun gróðurhúsalofttegunda á vistferlinum frá rannsökuðu tækninni, vörunni eða annarri lausn grefur ekki undan markmiðum um mildun gróðurhúsalofttegunda samkvæmt Parísarsamningnum eða hindrar notkun lausna til að milda loftslagsbreytingar.</w:t>
            </w:r>
          </w:p>
        </w:tc>
      </w:tr>
      <w:tr w:rsidR="00D849E8" w14:paraId="3E892CDD" w14:textId="77777777" w:rsidTr="00A9140F">
        <w:tc>
          <w:tcPr>
            <w:tcW w:w="2976" w:type="dxa"/>
            <w:tcMar>
              <w:top w:w="100" w:type="dxa"/>
              <w:left w:w="0" w:type="dxa"/>
              <w:bottom w:w="100" w:type="dxa"/>
              <w:right w:w="60" w:type="dxa"/>
            </w:tcMar>
          </w:tcPr>
          <w:p w14:paraId="3BC75FDA" w14:textId="77777777" w:rsidR="00D849E8" w:rsidRDefault="00D849E8" w:rsidP="00A9140F">
            <w:pPr>
              <w:pStyle w:val="AnnexNumberedText"/>
              <w:spacing w:after="0"/>
              <w:ind w:left="293" w:hanging="293"/>
            </w:pPr>
            <w:r>
              <w:t>3)</w:t>
            </w:r>
            <w:r>
              <w:tab/>
              <w:t>Sjálfbær notkun og verndun vatns- og sjávarauðlinda</w:t>
            </w:r>
          </w:p>
        </w:tc>
        <w:tc>
          <w:tcPr>
            <w:tcW w:w="5760" w:type="dxa"/>
            <w:tcMar>
              <w:top w:w="100" w:type="dxa"/>
              <w:left w:w="60" w:type="dxa"/>
              <w:bottom w:w="100" w:type="dxa"/>
              <w:right w:w="0" w:type="dxa"/>
            </w:tcMar>
          </w:tcPr>
          <w:p w14:paraId="6AB50B8E" w14:textId="77777777" w:rsidR="00D849E8" w:rsidRDefault="00D849E8" w:rsidP="00A9140F">
            <w:pPr>
              <w:pStyle w:val="AnnexTableCellLeft"/>
            </w:pPr>
            <w:r>
              <w:t xml:space="preserve">Sérhver möguleg áhætta fyrir góða stöðu eða gott </w:t>
            </w:r>
            <w:proofErr w:type="spellStart"/>
            <w:r>
              <w:t>vistmegin</w:t>
            </w:r>
            <w:proofErr w:type="spellEnd"/>
            <w:r>
              <w:t xml:space="preserve"> </w:t>
            </w:r>
            <w:proofErr w:type="spellStart"/>
            <w:r>
              <w:t>vatnshlota</w:t>
            </w:r>
            <w:proofErr w:type="spellEnd"/>
            <w:r>
              <w:t>, þ.m.t. yfirborðsvatn og grunnvatn, eða fyrir góða umhverfislega stöðu hafsvæða frá rannsökuðu tækninni, vörunni eða annarri lausn er metin og tekið á henni.</w:t>
            </w:r>
          </w:p>
        </w:tc>
      </w:tr>
      <w:tr w:rsidR="00D849E8" w14:paraId="29830764" w14:textId="77777777" w:rsidTr="00A9140F">
        <w:tc>
          <w:tcPr>
            <w:tcW w:w="2976" w:type="dxa"/>
            <w:tcMar>
              <w:top w:w="100" w:type="dxa"/>
              <w:left w:w="0" w:type="dxa"/>
              <w:bottom w:w="100" w:type="dxa"/>
              <w:right w:w="60" w:type="dxa"/>
            </w:tcMar>
          </w:tcPr>
          <w:p w14:paraId="2F8AF1CD" w14:textId="77777777" w:rsidR="00D849E8" w:rsidRDefault="00D849E8" w:rsidP="00A9140F">
            <w:pPr>
              <w:pStyle w:val="AnnexNumberedText"/>
              <w:spacing w:after="0"/>
              <w:ind w:left="293" w:hanging="293"/>
            </w:pPr>
            <w:r>
              <w:t>4)</w:t>
            </w:r>
            <w:r>
              <w:tab/>
              <w:t>Umskipti yfir í hringrásarhagkerfi</w:t>
            </w:r>
          </w:p>
        </w:tc>
        <w:tc>
          <w:tcPr>
            <w:tcW w:w="5760" w:type="dxa"/>
            <w:tcMar>
              <w:top w:w="100" w:type="dxa"/>
              <w:left w:w="60" w:type="dxa"/>
              <w:bottom w:w="100" w:type="dxa"/>
              <w:right w:w="0" w:type="dxa"/>
            </w:tcMar>
          </w:tcPr>
          <w:p w14:paraId="006B254F" w14:textId="77777777" w:rsidR="00D849E8" w:rsidRDefault="00D849E8" w:rsidP="00A9140F">
            <w:pPr>
              <w:pStyle w:val="AnnexTableCellLeft"/>
            </w:pPr>
            <w:r>
              <w:t xml:space="preserve">Sérhver möguleg áhætta fyrir markmið hringrásarhagkerfisins frá rannsökuðu tækninni, vörunni eða annarri lausn er metin og tekið á henni með því að hafa í huga mismunandi hugsanlegt umtalsvert tjón eins og sett er fram í </w:t>
            </w:r>
            <w:proofErr w:type="spellStart"/>
            <w:r>
              <w:t>d-lið</w:t>
            </w:r>
            <w:proofErr w:type="spellEnd"/>
            <w:r>
              <w:t xml:space="preserve"> 1. mgr. 17. gr. reglugerðar (ESB) 2020/852.</w:t>
            </w:r>
          </w:p>
        </w:tc>
      </w:tr>
      <w:tr w:rsidR="00D849E8" w14:paraId="375E98AE" w14:textId="77777777" w:rsidTr="00A9140F">
        <w:tc>
          <w:tcPr>
            <w:tcW w:w="2976" w:type="dxa"/>
            <w:tcMar>
              <w:top w:w="100" w:type="dxa"/>
              <w:left w:w="0" w:type="dxa"/>
              <w:bottom w:w="100" w:type="dxa"/>
              <w:right w:w="60" w:type="dxa"/>
            </w:tcMar>
          </w:tcPr>
          <w:p w14:paraId="22BF49F1" w14:textId="77777777" w:rsidR="00D849E8" w:rsidRDefault="00D849E8" w:rsidP="00A9140F">
            <w:pPr>
              <w:pStyle w:val="AnnexNumberedText"/>
              <w:spacing w:after="0"/>
              <w:ind w:left="293" w:hanging="293"/>
            </w:pPr>
            <w:r>
              <w:t>5)</w:t>
            </w:r>
            <w:r>
              <w:tab/>
              <w:t>Mengunarvarnir og eftirlit með mengun</w:t>
            </w:r>
          </w:p>
        </w:tc>
        <w:tc>
          <w:tcPr>
            <w:tcW w:w="5760" w:type="dxa"/>
            <w:tcMar>
              <w:top w:w="100" w:type="dxa"/>
              <w:left w:w="60" w:type="dxa"/>
              <w:bottom w:w="100" w:type="dxa"/>
              <w:right w:w="0" w:type="dxa"/>
            </w:tcMar>
          </w:tcPr>
          <w:p w14:paraId="1F8473E3" w14:textId="77777777" w:rsidR="00D849E8" w:rsidRDefault="00D849E8" w:rsidP="00A9140F">
            <w:pPr>
              <w:pStyle w:val="AnnexTableCellLeft"/>
            </w:pPr>
            <w:r>
              <w:t>Sérhver möguleg áhætta á að valda verulegri aukningu á losun mengunarefna í andrúmsloft, vatn eða jarðveg frá rannsökuðu tækninni, vörunni eða annarri lausn er metin og tekið á henni.</w:t>
            </w:r>
          </w:p>
        </w:tc>
      </w:tr>
      <w:tr w:rsidR="00D849E8" w14:paraId="57B92C05" w14:textId="77777777" w:rsidTr="00A9140F">
        <w:tc>
          <w:tcPr>
            <w:tcW w:w="2976" w:type="dxa"/>
            <w:tcMar>
              <w:top w:w="100" w:type="dxa"/>
              <w:left w:w="0" w:type="dxa"/>
              <w:bottom w:w="100" w:type="dxa"/>
              <w:right w:w="60" w:type="dxa"/>
            </w:tcMar>
          </w:tcPr>
          <w:p w14:paraId="431418CD" w14:textId="77777777" w:rsidR="00D849E8" w:rsidRDefault="00D849E8" w:rsidP="00A9140F">
            <w:pPr>
              <w:pStyle w:val="AnnexNumberedText"/>
              <w:spacing w:after="0"/>
              <w:ind w:left="293" w:hanging="293"/>
            </w:pPr>
            <w:r>
              <w:t>6)</w:t>
            </w:r>
            <w:r>
              <w:tab/>
              <w:t>Vernd og endurheimt líffræðilegrar fjölbreytni og vistkerfa</w:t>
            </w:r>
          </w:p>
        </w:tc>
        <w:tc>
          <w:tcPr>
            <w:tcW w:w="5760" w:type="dxa"/>
            <w:tcMar>
              <w:top w:w="100" w:type="dxa"/>
              <w:left w:w="60" w:type="dxa"/>
              <w:bottom w:w="100" w:type="dxa"/>
              <w:right w:w="0" w:type="dxa"/>
            </w:tcMar>
          </w:tcPr>
          <w:p w14:paraId="75083A80" w14:textId="77777777" w:rsidR="00D849E8" w:rsidRDefault="00D849E8" w:rsidP="00A9140F">
            <w:pPr>
              <w:pStyle w:val="AnnexTableCellLeft"/>
            </w:pPr>
            <w:r>
              <w:t>Sérhver möguleg áhætta fyrir gott ástand eða viðnám vistkerfa eða fyrir varðveislustöðu búsvæða og tegunda, m.a. þeirra sem hafa mikla þýðingu fyrir Sambandið, frá rannsökuðu tækninni, vörunni eða annarri lausn er metin og tekið á henni.</w:t>
            </w:r>
          </w:p>
        </w:tc>
      </w:tr>
    </w:tbl>
    <w:p w14:paraId="75DAAED4" w14:textId="77777777" w:rsidR="00D849E8" w:rsidRDefault="00D849E8" w:rsidP="00D849E8">
      <w:pPr>
        <w:shd w:val="clear" w:color="auto" w:fill="auto"/>
        <w:spacing w:line="0" w:lineRule="auto"/>
        <w:jc w:val="left"/>
        <w:rPr>
          <w:color w:val="auto"/>
          <w14:ligatures w14:val="standard"/>
        </w:rPr>
      </w:pPr>
      <w:r>
        <w:br w:type="page"/>
      </w:r>
    </w:p>
    <w:p w14:paraId="6171F43F" w14:textId="77777777" w:rsidR="00D849E8" w:rsidRDefault="00D849E8" w:rsidP="00D849E8">
      <w:pPr>
        <w:pStyle w:val="AnnexNumberedText"/>
        <w:ind w:left="504" w:hanging="504"/>
        <w:rPr>
          <w:sz w:val="16"/>
        </w:rPr>
      </w:pPr>
      <w:r>
        <w:lastRenderedPageBreak/>
        <w:t>10.</w:t>
      </w:r>
      <w:r>
        <w:tab/>
      </w:r>
      <w:r>
        <w:rPr>
          <w:sz w:val="16"/>
        </w:rPr>
        <w:t>FJÁRMÁLA- OG VÁTRYGGINGASTARFSEMI</w:t>
      </w:r>
    </w:p>
    <w:p w14:paraId="6BB41131" w14:textId="77777777" w:rsidR="00D849E8" w:rsidRDefault="00D849E8" w:rsidP="00D849E8">
      <w:pPr>
        <w:pStyle w:val="AnnexNumberedText"/>
        <w:ind w:left="504" w:hanging="504"/>
      </w:pPr>
      <w:r>
        <w:t>10.1.</w:t>
      </w:r>
      <w:r>
        <w:rPr>
          <w:b/>
        </w:rPr>
        <w:tab/>
        <w:t xml:space="preserve">Skaðatrygging: trygging vegna loftslagstengds </w:t>
      </w:r>
      <w:proofErr w:type="spellStart"/>
      <w:r>
        <w:rPr>
          <w:b/>
        </w:rPr>
        <w:t>háska</w:t>
      </w:r>
      <w:proofErr w:type="spellEnd"/>
    </w:p>
    <w:p w14:paraId="76046BC0" w14:textId="77777777" w:rsidR="00D849E8" w:rsidRDefault="00D849E8" w:rsidP="00D849E8">
      <w:pPr>
        <w:pStyle w:val="AnnexGrSeq3"/>
        <w:spacing w:after="120"/>
        <w:ind w:left="504"/>
        <w:jc w:val="both"/>
      </w:pPr>
      <w:r>
        <w:rPr>
          <w:i/>
        </w:rPr>
        <w:t>Lýsing á starfseminni</w:t>
      </w:r>
    </w:p>
    <w:p w14:paraId="22A694C5" w14:textId="77777777" w:rsidR="00D849E8" w:rsidRDefault="00D849E8" w:rsidP="00D849E8">
      <w:pPr>
        <w:pStyle w:val="AnnexNormal"/>
        <w:spacing w:after="180"/>
        <w:ind w:left="504"/>
      </w:pPr>
      <w:r>
        <w:t>Veiting eftirfarandi tryggingaþjónustu (önnur en líftrygging), eins og skilgreint er í I. viðauka við framselda reglugerð framkvæmdastjórnarinnar (ESB) 2015/35 frá 10. október 2014 (</w:t>
      </w:r>
      <w:bookmarkStart w:id="106" w:name="NOTE_991"/>
      <w:r>
        <w:rPr>
          <w:rStyle w:val="Tilvsunneanmlsgrein"/>
          <w:sz w:val="18"/>
          <w:szCs w:val="18"/>
        </w:rPr>
        <w:footnoteReference w:id="992"/>
      </w:r>
      <w:bookmarkEnd w:id="106"/>
      <w:r>
        <w:t xml:space="preserve">), í tengslum við tryggingu vegna loftslagstengds </w:t>
      </w:r>
      <w:proofErr w:type="spellStart"/>
      <w:r>
        <w:t>háska</w:t>
      </w:r>
      <w:proofErr w:type="spellEnd"/>
      <w:r>
        <w:t xml:space="preserve"> sem sett er fram í viðbæti A við þennan viðauka:</w:t>
      </w:r>
    </w:p>
    <w:p w14:paraId="6BA61252" w14:textId="77777777" w:rsidR="00D849E8" w:rsidRDefault="00D849E8" w:rsidP="00D849E8">
      <w:pPr>
        <w:pStyle w:val="AnnexNumberedText"/>
        <w:spacing w:after="180"/>
        <w:ind w:left="804"/>
      </w:pPr>
      <w:r>
        <w:t>a)</w:t>
      </w:r>
      <w:r>
        <w:tab/>
      </w:r>
      <w:proofErr w:type="spellStart"/>
      <w:r>
        <w:t>vátrygging</w:t>
      </w:r>
      <w:proofErr w:type="spellEnd"/>
      <w:r>
        <w:t xml:space="preserve"> vegna sjúkrakostnaðar,</w:t>
      </w:r>
    </w:p>
    <w:p w14:paraId="5D19BBF0" w14:textId="77777777" w:rsidR="00D849E8" w:rsidRDefault="00D849E8" w:rsidP="00D849E8">
      <w:pPr>
        <w:pStyle w:val="AnnexNumberedText"/>
        <w:spacing w:after="180"/>
        <w:ind w:left="804"/>
      </w:pPr>
      <w:r>
        <w:t>b)</w:t>
      </w:r>
      <w:r>
        <w:tab/>
      </w:r>
      <w:proofErr w:type="spellStart"/>
      <w:r>
        <w:t>vátrygging</w:t>
      </w:r>
      <w:proofErr w:type="spellEnd"/>
      <w:r>
        <w:t xml:space="preserve"> vegna tekjuverndar,</w:t>
      </w:r>
    </w:p>
    <w:p w14:paraId="3F4BD29C" w14:textId="77777777" w:rsidR="00D849E8" w:rsidRDefault="00D849E8" w:rsidP="00D849E8">
      <w:pPr>
        <w:pStyle w:val="AnnexNumberedText"/>
        <w:spacing w:after="180"/>
        <w:ind w:left="804"/>
      </w:pPr>
      <w:r>
        <w:t>c)</w:t>
      </w:r>
      <w:r>
        <w:tab/>
        <w:t>atvinnuslysatrygging,</w:t>
      </w:r>
    </w:p>
    <w:p w14:paraId="5ADB7E24" w14:textId="77777777" w:rsidR="00D849E8" w:rsidRDefault="00D849E8" w:rsidP="00D849E8">
      <w:pPr>
        <w:pStyle w:val="AnnexNumberedText"/>
        <w:spacing w:after="180"/>
        <w:ind w:left="804"/>
      </w:pPr>
      <w:r>
        <w:t>d)</w:t>
      </w:r>
      <w:r>
        <w:tab/>
        <w:t>ábyrgðartrygging vegna ökutækja,</w:t>
      </w:r>
    </w:p>
    <w:p w14:paraId="31831241" w14:textId="77777777" w:rsidR="00D849E8" w:rsidRDefault="00D849E8" w:rsidP="00D849E8">
      <w:pPr>
        <w:pStyle w:val="AnnexNumberedText"/>
        <w:spacing w:after="180"/>
        <w:ind w:left="804"/>
      </w:pPr>
      <w:r>
        <w:t>e)</w:t>
      </w:r>
      <w:r>
        <w:tab/>
        <w:t>önnur ökutækjatrygging,</w:t>
      </w:r>
    </w:p>
    <w:p w14:paraId="0C602607" w14:textId="77777777" w:rsidR="00D849E8" w:rsidRDefault="00D849E8" w:rsidP="00D849E8">
      <w:pPr>
        <w:pStyle w:val="AnnexNumberedText"/>
        <w:spacing w:after="180"/>
        <w:ind w:left="804"/>
      </w:pPr>
      <w:r>
        <w:t>f)</w:t>
      </w:r>
      <w:r>
        <w:tab/>
        <w:t>sjó-, flug- og farmtrygging,</w:t>
      </w:r>
    </w:p>
    <w:p w14:paraId="5F9F88EC" w14:textId="77777777" w:rsidR="00D849E8" w:rsidRDefault="00D849E8" w:rsidP="00D849E8">
      <w:pPr>
        <w:pStyle w:val="AnnexNumberedText"/>
        <w:spacing w:after="180"/>
        <w:ind w:left="804"/>
      </w:pPr>
      <w:r>
        <w:t>g)</w:t>
      </w:r>
      <w:r>
        <w:tab/>
      </w:r>
      <w:proofErr w:type="spellStart"/>
      <w:r>
        <w:t>vátrygging</w:t>
      </w:r>
      <w:proofErr w:type="spellEnd"/>
      <w:r>
        <w:t xml:space="preserve"> vegna bruna og annars eignatjóns,</w:t>
      </w:r>
    </w:p>
    <w:p w14:paraId="0654B049" w14:textId="77777777" w:rsidR="00D849E8" w:rsidRDefault="00D849E8" w:rsidP="00D849E8">
      <w:pPr>
        <w:pStyle w:val="AnnexNumberedText"/>
        <w:spacing w:after="180"/>
        <w:ind w:left="804"/>
      </w:pPr>
      <w:r>
        <w:t>h)</w:t>
      </w:r>
      <w:r>
        <w:tab/>
        <w:t>ferðamannaaðstoð.</w:t>
      </w:r>
    </w:p>
    <w:p w14:paraId="79FB9F3B" w14:textId="77777777" w:rsidR="00D849E8" w:rsidRDefault="00D849E8" w:rsidP="00D849E8">
      <w:pPr>
        <w:pStyle w:val="AnnexNormal"/>
        <w:spacing w:after="180"/>
        <w:ind w:left="504"/>
      </w:pPr>
      <w:r>
        <w:t>Atvinnustarfsemin í þessum flokki gæti tengst kóða atvinnugreinaflokkunar Evrópusambandsins K65.12 í samræmi við atvinnugreinaflokkunina sem komið var á með reglugerð (EB) nr. 1893/2006.</w:t>
      </w:r>
    </w:p>
    <w:p w14:paraId="45189BE9" w14:textId="77777777" w:rsidR="00D849E8" w:rsidRDefault="00D849E8" w:rsidP="00D849E8">
      <w:pPr>
        <w:pStyle w:val="AnnexNormal"/>
        <w:spacing w:after="180"/>
        <w:ind w:left="504"/>
      </w:pPr>
      <w:r>
        <w:t xml:space="preserve">Atvinnustarfsemi í þessum flokki er starfsemi sem gerir annarri starfsemi kleift að stuðla að umhverfismarkmiðum, eins og um getur í </w:t>
      </w:r>
      <w:proofErr w:type="spellStart"/>
      <w:r>
        <w:t>b-lið</w:t>
      </w:r>
      <w:proofErr w:type="spellEnd"/>
      <w:r>
        <w:t xml:space="preserve"> 1. mgr. 11. gr. reglugerðar (ESB) 2020/852, þegar hún uppfyllir tæknilegu matsviðmiðin sem sett eru fram í þessum þætti.</w:t>
      </w:r>
    </w:p>
    <w:p w14:paraId="5C220EB0"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16"/>
        <w:gridCol w:w="5820"/>
      </w:tblGrid>
      <w:tr w:rsidR="00D849E8" w14:paraId="38E1EC3B" w14:textId="77777777" w:rsidTr="00A9140F">
        <w:trPr>
          <w:trHeight w:val="280"/>
        </w:trPr>
        <w:tc>
          <w:tcPr>
            <w:tcW w:w="8736" w:type="dxa"/>
            <w:gridSpan w:val="2"/>
            <w:tcBorders>
              <w:bottom w:val="single" w:sz="4" w:space="0" w:color="auto"/>
            </w:tcBorders>
            <w:tcMar>
              <w:left w:w="0" w:type="dxa"/>
              <w:right w:w="60" w:type="dxa"/>
            </w:tcMar>
          </w:tcPr>
          <w:p w14:paraId="219A55FF" w14:textId="77777777" w:rsidR="00D849E8" w:rsidRDefault="00D849E8" w:rsidP="00A9140F">
            <w:pPr>
              <w:pStyle w:val="AnnexTableCellLeft"/>
              <w:spacing w:before="40" w:after="40"/>
            </w:pPr>
            <w:r>
              <w:t>Verulegt framlag til aðlögunar að loftslagsbreytingum</w:t>
            </w:r>
          </w:p>
        </w:tc>
      </w:tr>
      <w:tr w:rsidR="00D849E8" w14:paraId="2BC0C169" w14:textId="77777777" w:rsidTr="00A9140F">
        <w:trPr>
          <w:trHeight w:val="240"/>
        </w:trPr>
        <w:tc>
          <w:tcPr>
            <w:tcW w:w="8736" w:type="dxa"/>
            <w:gridSpan w:val="2"/>
            <w:tcBorders>
              <w:bottom w:val="nil"/>
            </w:tcBorders>
            <w:tcMar>
              <w:left w:w="0" w:type="dxa"/>
              <w:right w:w="60" w:type="dxa"/>
            </w:tcMar>
          </w:tcPr>
          <w:p w14:paraId="4E30700B" w14:textId="77777777" w:rsidR="00D849E8" w:rsidRDefault="00D849E8" w:rsidP="00A9140F">
            <w:pPr>
              <w:pStyle w:val="AnnexNumberedText"/>
              <w:tabs>
                <w:tab w:val="left" w:pos="396"/>
              </w:tabs>
              <w:ind w:left="0" w:firstLine="0"/>
            </w:pPr>
            <w:r>
              <w:t>1.</w:t>
            </w:r>
            <w:r>
              <w:rPr>
                <w:i/>
              </w:rPr>
              <w:tab/>
              <w:t>Forysta við líkanasmíði og verðlagningu loftslagsáhætta:</w:t>
            </w:r>
          </w:p>
          <w:p w14:paraId="33474351" w14:textId="77777777" w:rsidR="00D849E8" w:rsidRDefault="00D849E8" w:rsidP="00A9140F">
            <w:pPr>
              <w:pStyle w:val="AnnexNumberedText"/>
              <w:tabs>
                <w:tab w:val="left" w:pos="396"/>
              </w:tabs>
              <w:ind w:left="0" w:firstLine="0"/>
            </w:pPr>
            <w:r>
              <w:t>1.1.</w:t>
            </w:r>
            <w:r>
              <w:tab/>
              <w:t xml:space="preserve">Í </w:t>
            </w:r>
            <w:proofErr w:type="spellStart"/>
            <w:r>
              <w:t>vátryggingastarfseminni</w:t>
            </w:r>
            <w:proofErr w:type="spellEnd"/>
            <w:r>
              <w:t xml:space="preserve"> er notuð nýjasta tækni við líkanasmíði sem:</w:t>
            </w:r>
          </w:p>
          <w:p w14:paraId="4FEE54CA" w14:textId="77777777" w:rsidR="00D849E8" w:rsidRDefault="00D849E8" w:rsidP="00A9140F">
            <w:pPr>
              <w:pStyle w:val="AnnexNumberedText"/>
            </w:pPr>
            <w:r>
              <w:t>a)</w:t>
            </w:r>
            <w:r>
              <w:tab/>
              <w:t>endurspeglar á tilhlýðilegan hátt áhættu vegna loftslagsbreytinga,</w:t>
            </w:r>
          </w:p>
          <w:p w14:paraId="0537A579" w14:textId="77777777" w:rsidR="00D849E8" w:rsidRDefault="00D849E8" w:rsidP="00A9140F">
            <w:pPr>
              <w:pStyle w:val="AnnexNumberedText"/>
            </w:pPr>
            <w:r>
              <w:t>b)</w:t>
            </w:r>
            <w:r>
              <w:tab/>
              <w:t>treystir ekki eingöngu á sögulega þróun,</w:t>
            </w:r>
          </w:p>
          <w:p w14:paraId="42D3CF80" w14:textId="77777777" w:rsidR="00D849E8" w:rsidRDefault="00D849E8" w:rsidP="00A9140F">
            <w:pPr>
              <w:pStyle w:val="AnnexNumberedText"/>
            </w:pPr>
            <w:r>
              <w:t>c)</w:t>
            </w:r>
            <w:r>
              <w:tab/>
              <w:t>samþættir framsýnar sviðsmyndir.</w:t>
            </w:r>
          </w:p>
          <w:p w14:paraId="52CC3259" w14:textId="77777777" w:rsidR="00D849E8" w:rsidRDefault="00D849E8" w:rsidP="00A9140F">
            <w:pPr>
              <w:pStyle w:val="AnnexNumberedText"/>
              <w:tabs>
                <w:tab w:val="left" w:pos="396"/>
              </w:tabs>
              <w:ind w:left="0" w:firstLine="0"/>
            </w:pPr>
            <w:r>
              <w:t>1.2.</w:t>
            </w:r>
            <w:r>
              <w:tab/>
            </w:r>
            <w:proofErr w:type="spellStart"/>
            <w:r>
              <w:t>Vátryggjandinn</w:t>
            </w:r>
            <w:proofErr w:type="spellEnd"/>
            <w:r>
              <w:t xml:space="preserve"> birtir opinberlega upplýsingar um hvernig tekið er tillit til áhættu vegna loftslagsbreytinga í </w:t>
            </w:r>
            <w:proofErr w:type="spellStart"/>
            <w:r>
              <w:t>vátryggingastarfseminni</w:t>
            </w:r>
            <w:proofErr w:type="spellEnd"/>
            <w:r>
              <w:t>.</w:t>
            </w:r>
          </w:p>
          <w:p w14:paraId="7EB459CB" w14:textId="77777777" w:rsidR="00D849E8" w:rsidRDefault="00D849E8" w:rsidP="00A9140F">
            <w:pPr>
              <w:pStyle w:val="AnnexNumberedText"/>
              <w:tabs>
                <w:tab w:val="left" w:pos="396"/>
              </w:tabs>
              <w:ind w:left="0" w:firstLine="0"/>
            </w:pPr>
            <w:r>
              <w:t>1.3.</w:t>
            </w:r>
            <w:r>
              <w:tab/>
              <w:t xml:space="preserve">Að undanskildum lagalegum hömlum á samningsskilyrði og tryggingariðgjöld skapar </w:t>
            </w:r>
            <w:proofErr w:type="spellStart"/>
            <w:r>
              <w:t>vátryggingastarfsemin</w:t>
            </w:r>
            <w:proofErr w:type="spellEnd"/>
            <w:r>
              <w:t xml:space="preserve"> hvata til að draga úr áhættu með því að fastsetja (</w:t>
            </w:r>
            <w:proofErr w:type="spellStart"/>
            <w:r>
              <w:t>fyrirfram</w:t>
            </w:r>
            <w:proofErr w:type="spellEnd"/>
            <w:r>
              <w:t xml:space="preserve">) skilyrði fyrir </w:t>
            </w:r>
            <w:proofErr w:type="spellStart"/>
            <w:r>
              <w:t>vátryggingavernd</w:t>
            </w:r>
            <w:proofErr w:type="spellEnd"/>
            <w:r>
              <w:t xml:space="preserve"> vegna áhættu og með því að gegna hlutverki verðmörkunar fyrir áhættu. Að því er varðar þennan lið má líta á lækkuð iðgjöld eða frádrátt, sem byggjast mögulega á stuðningsupplýsingum um yfirstandandi/mögulegar aðgerðir, til </w:t>
            </w:r>
            <w:proofErr w:type="spellStart"/>
            <w:r>
              <w:t>vátryggingartaka</w:t>
            </w:r>
            <w:proofErr w:type="spellEnd"/>
            <w:r>
              <w:t xml:space="preserve"> sem vernda eign eða starfsemi gegn tjóni af náttúruhamförum sem hvata til að draga úr áhættu.</w:t>
            </w:r>
          </w:p>
          <w:p w14:paraId="67E5BC4D" w14:textId="77777777" w:rsidR="00D849E8" w:rsidRDefault="00D849E8" w:rsidP="00A9140F">
            <w:pPr>
              <w:pStyle w:val="AnnexNumberedText"/>
              <w:tabs>
                <w:tab w:val="left" w:pos="396"/>
              </w:tabs>
              <w:spacing w:after="400"/>
              <w:ind w:left="0" w:firstLine="0"/>
            </w:pPr>
            <w:r>
              <w:t>1.4.</w:t>
            </w:r>
            <w:r>
              <w:tab/>
              <w:t xml:space="preserve">Eftir loftslagsáhættuatburð veitir </w:t>
            </w:r>
            <w:proofErr w:type="spellStart"/>
            <w:r>
              <w:t>vátryggjandinn</w:t>
            </w:r>
            <w:proofErr w:type="spellEnd"/>
            <w:r>
              <w:t xml:space="preserve"> upplýsingar um skilyrðin fyrir því að unnt sé að endurnýja eða viðhalda tryggingavernd innan ramma </w:t>
            </w:r>
            <w:proofErr w:type="spellStart"/>
            <w:r>
              <w:t>vátryggingastarfseminnar</w:t>
            </w:r>
            <w:proofErr w:type="spellEnd"/>
            <w:r>
              <w:t xml:space="preserve"> og einkum ávinninginn af því að byggja betur í þessu samhengi.</w:t>
            </w:r>
          </w:p>
          <w:p w14:paraId="7375C40A" w14:textId="77777777" w:rsidR="00D849E8" w:rsidRDefault="00D849E8" w:rsidP="00A9140F">
            <w:pPr>
              <w:pStyle w:val="AnnexNumberedText"/>
              <w:tabs>
                <w:tab w:val="left" w:pos="396"/>
              </w:tabs>
              <w:ind w:left="0" w:firstLine="0"/>
            </w:pPr>
            <w:r>
              <w:t>2.</w:t>
            </w:r>
            <w:r>
              <w:rPr>
                <w:i/>
              </w:rPr>
              <w:tab/>
              <w:t>Vöruhönnun</w:t>
            </w:r>
          </w:p>
          <w:p w14:paraId="07EEAD52" w14:textId="77777777" w:rsidR="00D849E8" w:rsidRDefault="00D849E8" w:rsidP="00A9140F">
            <w:pPr>
              <w:pStyle w:val="AnnexNumberedText"/>
              <w:tabs>
                <w:tab w:val="left" w:pos="396"/>
              </w:tabs>
              <w:ind w:left="0" w:firstLine="0"/>
            </w:pPr>
            <w:r>
              <w:t>2.1.</w:t>
            </w:r>
            <w:r>
              <w:tab/>
              <w:t xml:space="preserve">Með </w:t>
            </w:r>
            <w:proofErr w:type="spellStart"/>
            <w:r>
              <w:t>vátryggingaafurðum</w:t>
            </w:r>
            <w:proofErr w:type="spellEnd"/>
            <w:r>
              <w:t xml:space="preserve"> sem eru seldar innan ramma </w:t>
            </w:r>
            <w:proofErr w:type="spellStart"/>
            <w:r>
              <w:t>vátryggingastarfseminnar</w:t>
            </w:r>
            <w:proofErr w:type="spellEnd"/>
            <w:r>
              <w:t xml:space="preserve"> er boðin áhættutengd umbun fyrir </w:t>
            </w:r>
            <w:r>
              <w:lastRenderedPageBreak/>
              <w:t xml:space="preserve">forvarnaraðgerðir sem </w:t>
            </w:r>
            <w:proofErr w:type="spellStart"/>
            <w:r>
              <w:t>vátryggingatakar</w:t>
            </w:r>
            <w:proofErr w:type="spellEnd"/>
            <w:r>
              <w:t xml:space="preserve"> grípa til.</w:t>
            </w:r>
          </w:p>
          <w:p w14:paraId="6A7BD5AA" w14:textId="77777777" w:rsidR="00D849E8" w:rsidRDefault="00D849E8" w:rsidP="00A9140F">
            <w:pPr>
              <w:pStyle w:val="AnnexTableCellLeft"/>
            </w:pPr>
            <w:r>
              <w:t xml:space="preserve">Að því er varðar þennan lið er heimilt að líta svo á, ef </w:t>
            </w:r>
            <w:proofErr w:type="spellStart"/>
            <w:r>
              <w:t>vátryggingartakinn</w:t>
            </w:r>
            <w:proofErr w:type="spellEnd"/>
            <w:r>
              <w:t xml:space="preserve"> hefur fjárfest í aðlögunarráðstöfunum, að lægri iðgjöld séu áhættutengd umbun fyrir forvarnaraðgerðir sem </w:t>
            </w:r>
            <w:proofErr w:type="spellStart"/>
            <w:r>
              <w:t>vátryggingatakar</w:t>
            </w:r>
            <w:proofErr w:type="spellEnd"/>
            <w:r>
              <w:t xml:space="preserve"> grípa til.</w:t>
            </w:r>
          </w:p>
        </w:tc>
      </w:tr>
      <w:tr w:rsidR="00D849E8" w14:paraId="1E4A9A3B" w14:textId="77777777" w:rsidTr="00A9140F">
        <w:trPr>
          <w:trHeight w:val="240"/>
        </w:trPr>
        <w:tc>
          <w:tcPr>
            <w:tcW w:w="8736" w:type="dxa"/>
            <w:gridSpan w:val="2"/>
            <w:tcBorders>
              <w:top w:val="nil"/>
            </w:tcBorders>
            <w:tcMar>
              <w:left w:w="0" w:type="dxa"/>
              <w:right w:w="60" w:type="dxa"/>
            </w:tcMar>
          </w:tcPr>
          <w:p w14:paraId="1CC8AD24" w14:textId="77777777" w:rsidR="00D849E8" w:rsidRDefault="00D849E8" w:rsidP="00A9140F">
            <w:pPr>
              <w:pStyle w:val="AnnexTableCellLeft"/>
              <w:pageBreakBefore/>
              <w:spacing w:after="200"/>
            </w:pPr>
            <w:r>
              <w:lastRenderedPageBreak/>
              <w:t xml:space="preserve">Þrátt fyrir þennan lið er unnt, með </w:t>
            </w:r>
            <w:proofErr w:type="spellStart"/>
            <w:r>
              <w:t>vátryggingaafurðum</w:t>
            </w:r>
            <w:proofErr w:type="spellEnd"/>
            <w:r>
              <w:t xml:space="preserve">, að bjóða viðskiptavinum upp á ráðstafanir í tengslum við eign, starfsemi eða fólk sem koma í veg fyrir eða vernda gegn náttúruhamförum ef lagalegar hömlur á samningsskilyrði og tryggingariðgjöld koma í veg fyrir að </w:t>
            </w:r>
            <w:proofErr w:type="spellStart"/>
            <w:r>
              <w:t>vátrygginga</w:t>
            </w:r>
            <w:proofErr w:type="spellEnd"/>
            <w:r>
              <w:t xml:space="preserve">- eða </w:t>
            </w:r>
            <w:proofErr w:type="spellStart"/>
            <w:r>
              <w:t>endurtryggingafyrirtæki</w:t>
            </w:r>
            <w:proofErr w:type="spellEnd"/>
            <w:r>
              <w:t xml:space="preserve"> veiti áhættutengda umbun. Slíkar ráðstafanir má bjóða viðskiptavinum sem upplýsingar eða ráðgjöf um loftslagsáhættu og forvarnarráðstafanir sem viðskiptavinirnir geta gripið til.</w:t>
            </w:r>
          </w:p>
          <w:p w14:paraId="59A7094E" w14:textId="77777777" w:rsidR="00D849E8" w:rsidRDefault="00D849E8" w:rsidP="00A9140F">
            <w:pPr>
              <w:pStyle w:val="AnnexNumberedText"/>
              <w:tabs>
                <w:tab w:val="left" w:pos="396"/>
              </w:tabs>
              <w:spacing w:after="600"/>
              <w:ind w:left="0" w:firstLine="0"/>
            </w:pPr>
            <w:r>
              <w:t>2.2.</w:t>
            </w:r>
            <w:r>
              <w:tab/>
              <w:t xml:space="preserve">Dreifingaráætlun fyrir slíkar afurðir tekur til ráðstafana til að tryggja að </w:t>
            </w:r>
            <w:proofErr w:type="spellStart"/>
            <w:r>
              <w:t>vátryggingatakar</w:t>
            </w:r>
            <w:proofErr w:type="spellEnd"/>
            <w:r>
              <w:t xml:space="preserve"> séu upplýstir um mikilvægi forvarnarráðstafana sem þeir geta gripið til að því er varðar skilmála og skilyrði </w:t>
            </w:r>
            <w:proofErr w:type="spellStart"/>
            <w:r>
              <w:t>vátryggingaverndarinnar</w:t>
            </w:r>
            <w:proofErr w:type="spellEnd"/>
            <w:r>
              <w:t xml:space="preserve">, þ.m.t. hvers konar áhrif slíkra ráðstafana á </w:t>
            </w:r>
            <w:proofErr w:type="spellStart"/>
            <w:r>
              <w:t>vátryggingaverndina</w:t>
            </w:r>
            <w:proofErr w:type="spellEnd"/>
            <w:r>
              <w:t xml:space="preserve"> eða iðgjaldastigið.</w:t>
            </w:r>
          </w:p>
          <w:p w14:paraId="781CDD42" w14:textId="77777777" w:rsidR="00D849E8" w:rsidRDefault="00D849E8" w:rsidP="00A9140F">
            <w:pPr>
              <w:pStyle w:val="AnnexNumberedText"/>
              <w:tabs>
                <w:tab w:val="left" w:pos="396"/>
              </w:tabs>
              <w:spacing w:after="200"/>
              <w:ind w:left="0" w:firstLine="0"/>
            </w:pPr>
            <w:r>
              <w:t>3.</w:t>
            </w:r>
            <w:r>
              <w:rPr>
                <w:i/>
              </w:rPr>
              <w:tab/>
              <w:t xml:space="preserve">Nýjar lausnir í </w:t>
            </w:r>
            <w:proofErr w:type="spellStart"/>
            <w:r>
              <w:rPr>
                <w:i/>
              </w:rPr>
              <w:t>vátryggingavernd</w:t>
            </w:r>
            <w:proofErr w:type="spellEnd"/>
            <w:r>
              <w:rPr>
                <w:i/>
              </w:rPr>
              <w:t>:</w:t>
            </w:r>
          </w:p>
          <w:p w14:paraId="06612AB6" w14:textId="77777777" w:rsidR="00D849E8" w:rsidRDefault="00D849E8" w:rsidP="00A9140F">
            <w:pPr>
              <w:pStyle w:val="AnnexNumberedText"/>
              <w:tabs>
                <w:tab w:val="left" w:pos="396"/>
              </w:tabs>
              <w:spacing w:after="200"/>
              <w:ind w:left="0" w:firstLine="0"/>
              <w:rPr>
                <w:szCs w:val="18"/>
              </w:rPr>
            </w:pPr>
            <w:r>
              <w:t>3.1.</w:t>
            </w:r>
            <w:r>
              <w:tab/>
              <w:t xml:space="preserve">Með </w:t>
            </w:r>
            <w:proofErr w:type="spellStart"/>
            <w:r>
              <w:t>vátryggingaafurðum</w:t>
            </w:r>
            <w:proofErr w:type="spellEnd"/>
            <w:r>
              <w:t xml:space="preserve"> sem eru seldar innan ramma </w:t>
            </w:r>
            <w:proofErr w:type="spellStart"/>
            <w:r>
              <w:t>vátryggingastarfsemi</w:t>
            </w:r>
            <w:proofErr w:type="spellEnd"/>
            <w:r>
              <w:t xml:space="preserve"> er boðin vernd gegn loftslagstengdum </w:t>
            </w:r>
            <w:proofErr w:type="spellStart"/>
            <w:r>
              <w:t>háska</w:t>
            </w:r>
            <w:proofErr w:type="spellEnd"/>
            <w:r>
              <w:t xml:space="preserve"> (</w:t>
            </w:r>
            <w:r>
              <w:rPr>
                <w:rStyle w:val="Tilvsunneanmlsgrein"/>
                <w:sz w:val="18"/>
                <w:szCs w:val="18"/>
              </w:rPr>
              <w:footnoteReference w:id="993"/>
            </w:r>
            <w:r>
              <w:t xml:space="preserve">) þegar kröfur og þarfir </w:t>
            </w:r>
            <w:proofErr w:type="spellStart"/>
            <w:r>
              <w:t>vátryggingartaka</w:t>
            </w:r>
            <w:proofErr w:type="spellEnd"/>
            <w:r>
              <w:t xml:space="preserve"> kalla eftir því.</w:t>
            </w:r>
          </w:p>
          <w:p w14:paraId="58B033CD" w14:textId="77777777" w:rsidR="00D849E8" w:rsidRDefault="00D849E8" w:rsidP="00A9140F">
            <w:pPr>
              <w:pStyle w:val="AnnexNumberedText"/>
              <w:tabs>
                <w:tab w:val="left" w:pos="396"/>
              </w:tabs>
              <w:spacing w:after="600"/>
              <w:ind w:left="0" w:firstLine="0"/>
              <w:rPr>
                <w:szCs w:val="18"/>
              </w:rPr>
            </w:pPr>
            <w:r>
              <w:t>3.2.</w:t>
            </w:r>
            <w:r>
              <w:tab/>
              <w:t xml:space="preserve">Með hliðsjón af kröfum og þörfum einstakra viðskiptavina geta afurðir innihaldið lausnir varðandi yfirfærslu sértækrar áhættu, s.s. vernd gegn truflun á viðskiptum, ófyrirséðri truflun á viðskiptum, öðrum óefnislegum skaðatengdum tjónaþáttum, keðjuverkunum og innbyrðis hæði hætta (afleiddum </w:t>
            </w:r>
            <w:proofErr w:type="spellStart"/>
            <w:r>
              <w:t>háska</w:t>
            </w:r>
            <w:proofErr w:type="spellEnd"/>
            <w:r>
              <w:t>), keðjuáhrifum af samverkandi náttúrulegum og tæknilegum hættum, bilunum í mikilvægum innviðum.</w:t>
            </w:r>
          </w:p>
          <w:p w14:paraId="7AC01556" w14:textId="77777777" w:rsidR="00D849E8" w:rsidRDefault="00D849E8" w:rsidP="00A9140F">
            <w:pPr>
              <w:pStyle w:val="AnnexNumberedText"/>
              <w:tabs>
                <w:tab w:val="left" w:pos="396"/>
              </w:tabs>
              <w:spacing w:after="200"/>
              <w:ind w:left="0" w:firstLine="0"/>
              <w:rPr>
                <w:szCs w:val="18"/>
              </w:rPr>
            </w:pPr>
            <w:r>
              <w:t>4.</w:t>
            </w:r>
            <w:r>
              <w:rPr>
                <w:i/>
              </w:rPr>
              <w:tab/>
              <w:t>Samnýting gagna:</w:t>
            </w:r>
          </w:p>
          <w:p w14:paraId="35FF8A97" w14:textId="77777777" w:rsidR="00D849E8" w:rsidRDefault="00D849E8" w:rsidP="00A9140F">
            <w:pPr>
              <w:pStyle w:val="AnnexNumberedText"/>
              <w:tabs>
                <w:tab w:val="left" w:pos="396"/>
              </w:tabs>
              <w:spacing w:after="200"/>
              <w:ind w:left="0" w:firstLine="0"/>
            </w:pPr>
            <w:r>
              <w:t>4.1.</w:t>
            </w:r>
            <w:r>
              <w:tab/>
              <w:t>Að teknu tilhlýðilegu tilliti til reglugerðar Evrópuþingsins og ráðsins (ESB) 2016/679 (</w:t>
            </w:r>
            <w:r>
              <w:rPr>
                <w:rStyle w:val="Tilvsunneanmlsgrein"/>
                <w:sz w:val="18"/>
                <w:szCs w:val="18"/>
              </w:rPr>
              <w:footnoteReference w:id="994"/>
            </w:r>
            <w:r>
              <w:t xml:space="preserve">) er verulegur hluti gagna um tap sem tengist starfsemi </w:t>
            </w:r>
            <w:proofErr w:type="spellStart"/>
            <w:r>
              <w:t>vátryggjanda</w:t>
            </w:r>
            <w:proofErr w:type="spellEnd"/>
            <w:r>
              <w:t xml:space="preserve"> gerður aðgengilegur, án endurgjalds, til eins eða fleiri opinberra yfirvalda í þeim tilgangi að gera greinandi rannsókn. Þessi opinberu yfirvöld lýsa því yfir að notkun gagnanna sé í þeim tilgangi að auka aðlögun þjóðfélagsins að loftslagsbreytingum á landsvæði, í landi eða alþjóðlega og </w:t>
            </w:r>
            <w:proofErr w:type="spellStart"/>
            <w:r>
              <w:t>vátryggjandinn</w:t>
            </w:r>
            <w:proofErr w:type="spellEnd"/>
            <w:r>
              <w:t xml:space="preserve"> gerir gögnin aðgengileg á nákvæmnistigi sem er fullnægjandi fyrir þá notkun sem viðkomandi opinber yfirvöld hafa tilgreint.</w:t>
            </w:r>
          </w:p>
          <w:p w14:paraId="2774908F" w14:textId="77777777" w:rsidR="00D849E8" w:rsidRDefault="00D849E8" w:rsidP="00A9140F">
            <w:pPr>
              <w:pStyle w:val="AnnexNumberedText"/>
              <w:tabs>
                <w:tab w:val="left" w:pos="396"/>
              </w:tabs>
              <w:spacing w:after="600"/>
              <w:ind w:left="0" w:firstLine="0"/>
            </w:pPr>
            <w:r>
              <w:t>4.2.</w:t>
            </w:r>
            <w:r>
              <w:tab/>
              <w:t xml:space="preserve">Ef </w:t>
            </w:r>
            <w:proofErr w:type="spellStart"/>
            <w:r>
              <w:t>vátryggjandinn</w:t>
            </w:r>
            <w:proofErr w:type="spellEnd"/>
            <w:r>
              <w:t xml:space="preserve"> hefur ekki enn deilt slíkum gögnum með opinberu yfirvaldi í fyrrnefndum tilgangi hefur hann lýst yfir ásetningi um að gera gögn sín aðgengileg, án endurgjalds, til þriðju aðila sem hafa hagsmuna að gæta og hefur tilgreint við hvaða skilyrði er hægt að deila slíkum gögnum. Þessi yfirlýsing um ásetning um að deila tiltækum gögnum er auðveldlega aðgengileg, þ.m.t. á vefsetri </w:t>
            </w:r>
            <w:proofErr w:type="spellStart"/>
            <w:r>
              <w:t>vátryggjandans</w:t>
            </w:r>
            <w:proofErr w:type="spellEnd"/>
            <w:r>
              <w:t>, fyrir viðkomandi opinber yfirvöld.</w:t>
            </w:r>
          </w:p>
          <w:p w14:paraId="3DDA7F4A" w14:textId="77777777" w:rsidR="00D849E8" w:rsidRDefault="00D849E8" w:rsidP="00A9140F">
            <w:pPr>
              <w:pStyle w:val="AnnexNumberedText"/>
              <w:tabs>
                <w:tab w:val="left" w:pos="396"/>
              </w:tabs>
              <w:spacing w:after="200"/>
              <w:ind w:left="0" w:firstLine="0"/>
            </w:pPr>
            <w:r>
              <w:t>5.</w:t>
            </w:r>
            <w:r>
              <w:rPr>
                <w:i/>
              </w:rPr>
              <w:tab/>
              <w:t>Hátt þjónustustig eftir hamfaraástand:</w:t>
            </w:r>
          </w:p>
          <w:p w14:paraId="0251FC59" w14:textId="77777777" w:rsidR="00D849E8" w:rsidRDefault="00D849E8" w:rsidP="00A9140F">
            <w:pPr>
              <w:pStyle w:val="AnnexTableCellLeft"/>
            </w:pPr>
            <w:r>
              <w:t xml:space="preserve">Unnið er úr kröfum innan ramma </w:t>
            </w:r>
            <w:proofErr w:type="spellStart"/>
            <w:r>
              <w:t>vátryggingastarfsemi</w:t>
            </w:r>
            <w:proofErr w:type="spellEnd"/>
            <w:r>
              <w:t>, bæði yfirstandandi og þeim sem stafa af stórum tapatburðum sem eru afleiðing af loftslagsáhættu, af sanngirni gagnvart viðskiptavinum, í samræmi við strangar kröfur um meðhöndlun krafna og tímanlega í samræmi við gildandi lög og enginn misbrestur hefur orðið á því í tengslum við nýlega stóra tapatburði. Upplýsingar, að því er varðar málsmeðferðarreglur vegna viðbótarráðstafana ef um er að ræða stóra tapatburði, eru aðgengilegar öllum.</w:t>
            </w:r>
          </w:p>
        </w:tc>
      </w:tr>
      <w:tr w:rsidR="00D849E8" w14:paraId="69A97DF3" w14:textId="77777777" w:rsidTr="00A9140F">
        <w:trPr>
          <w:trHeight w:val="240"/>
        </w:trPr>
        <w:tc>
          <w:tcPr>
            <w:tcW w:w="8736" w:type="dxa"/>
            <w:gridSpan w:val="2"/>
            <w:tcMar>
              <w:top w:w="100" w:type="dxa"/>
              <w:left w:w="0" w:type="dxa"/>
              <w:bottom w:w="100" w:type="dxa"/>
              <w:right w:w="60" w:type="dxa"/>
            </w:tcMar>
          </w:tcPr>
          <w:p w14:paraId="2F0B903F" w14:textId="77777777" w:rsidR="00D849E8" w:rsidRDefault="00D849E8" w:rsidP="00A9140F">
            <w:pPr>
              <w:pStyle w:val="AnnexTableCellLeft"/>
            </w:pPr>
            <w:r>
              <w:t>Ekki valda umtalsverðu tjóni</w:t>
            </w:r>
          </w:p>
        </w:tc>
      </w:tr>
      <w:tr w:rsidR="00D849E8" w14:paraId="3434435F" w14:textId="77777777" w:rsidTr="00A9140F">
        <w:tc>
          <w:tcPr>
            <w:tcW w:w="2916" w:type="dxa"/>
            <w:tcMar>
              <w:top w:w="100" w:type="dxa"/>
              <w:left w:w="0" w:type="dxa"/>
              <w:bottom w:w="100" w:type="dxa"/>
              <w:right w:w="60" w:type="dxa"/>
            </w:tcMar>
          </w:tcPr>
          <w:p w14:paraId="2651D4E8" w14:textId="77777777" w:rsidR="00D849E8" w:rsidRDefault="00D849E8" w:rsidP="00A9140F">
            <w:pPr>
              <w:pStyle w:val="AnnexNumberedText"/>
              <w:spacing w:after="0"/>
              <w:ind w:left="293" w:hanging="293"/>
            </w:pPr>
            <w:r>
              <w:t>1)</w:t>
            </w:r>
            <w:r>
              <w:tab/>
              <w:t>Mildun loftslagsbreytinga</w:t>
            </w:r>
          </w:p>
        </w:tc>
        <w:tc>
          <w:tcPr>
            <w:tcW w:w="5820" w:type="dxa"/>
            <w:tcMar>
              <w:top w:w="100" w:type="dxa"/>
              <w:left w:w="60" w:type="dxa"/>
              <w:bottom w:w="100" w:type="dxa"/>
              <w:right w:w="0" w:type="dxa"/>
            </w:tcMar>
          </w:tcPr>
          <w:p w14:paraId="2C6184E6" w14:textId="77777777" w:rsidR="00D849E8" w:rsidRDefault="00D849E8" w:rsidP="00A9140F">
            <w:pPr>
              <w:pStyle w:val="AnnexTableCellLeft"/>
            </w:pPr>
            <w:r>
              <w:t xml:space="preserve">Þessi starfsemi nær ekki yfir </w:t>
            </w:r>
            <w:proofErr w:type="spellStart"/>
            <w:r>
              <w:t>vátryggingu</w:t>
            </w:r>
            <w:proofErr w:type="spellEnd"/>
            <w:r>
              <w:t xml:space="preserve"> vegna vinnslu, geymslu, flutnings eða framleiðslu jarðefnaeldsneytis eða </w:t>
            </w:r>
            <w:proofErr w:type="spellStart"/>
            <w:r>
              <w:t>vátryggingu</w:t>
            </w:r>
            <w:proofErr w:type="spellEnd"/>
            <w:r>
              <w:t xml:space="preserve"> farartækja, fasteignar eða annarra eigna sem eru ætlaðar í slíkum tilgangi.</w:t>
            </w:r>
          </w:p>
        </w:tc>
      </w:tr>
      <w:tr w:rsidR="00D849E8" w14:paraId="469C0919" w14:textId="77777777" w:rsidTr="00A9140F">
        <w:tc>
          <w:tcPr>
            <w:tcW w:w="2916" w:type="dxa"/>
            <w:tcMar>
              <w:top w:w="100" w:type="dxa"/>
              <w:left w:w="0" w:type="dxa"/>
              <w:bottom w:w="100" w:type="dxa"/>
              <w:right w:w="60" w:type="dxa"/>
            </w:tcMar>
          </w:tcPr>
          <w:p w14:paraId="540968DB" w14:textId="77777777" w:rsidR="00D849E8" w:rsidRDefault="00D849E8" w:rsidP="00A9140F">
            <w:pPr>
              <w:pStyle w:val="AnnexNumberedText"/>
              <w:spacing w:after="0"/>
              <w:ind w:left="293" w:hanging="293"/>
            </w:pPr>
            <w:r>
              <w:t>3)</w:t>
            </w:r>
            <w:r>
              <w:tab/>
              <w:t>Sjálfbær notkun og verndun vatns- og sjávarauðlinda</w:t>
            </w:r>
          </w:p>
        </w:tc>
        <w:tc>
          <w:tcPr>
            <w:tcW w:w="5820" w:type="dxa"/>
            <w:tcMar>
              <w:top w:w="100" w:type="dxa"/>
              <w:left w:w="60" w:type="dxa"/>
              <w:bottom w:w="100" w:type="dxa"/>
              <w:right w:w="0" w:type="dxa"/>
            </w:tcMar>
          </w:tcPr>
          <w:p w14:paraId="08086F21" w14:textId="77777777" w:rsidR="00D849E8" w:rsidRDefault="00D849E8" w:rsidP="00A9140F">
            <w:pPr>
              <w:pStyle w:val="AnnexTableCellLeft"/>
            </w:pPr>
            <w:r>
              <w:t>Á ekki við</w:t>
            </w:r>
          </w:p>
        </w:tc>
      </w:tr>
      <w:tr w:rsidR="00D849E8" w14:paraId="4B989B03" w14:textId="77777777" w:rsidTr="00A9140F">
        <w:tc>
          <w:tcPr>
            <w:tcW w:w="2916" w:type="dxa"/>
            <w:tcMar>
              <w:top w:w="100" w:type="dxa"/>
              <w:left w:w="0" w:type="dxa"/>
              <w:bottom w:w="100" w:type="dxa"/>
              <w:right w:w="60" w:type="dxa"/>
            </w:tcMar>
          </w:tcPr>
          <w:p w14:paraId="6B15E231" w14:textId="77777777" w:rsidR="00D849E8" w:rsidRDefault="00D849E8" w:rsidP="00A9140F">
            <w:pPr>
              <w:pStyle w:val="AnnexNumberedText"/>
              <w:spacing w:after="0"/>
              <w:ind w:left="293" w:hanging="293"/>
            </w:pPr>
            <w:r>
              <w:lastRenderedPageBreak/>
              <w:t>4)</w:t>
            </w:r>
            <w:r>
              <w:tab/>
              <w:t>Umskipti yfir í hringrásarhagkerfi</w:t>
            </w:r>
          </w:p>
        </w:tc>
        <w:tc>
          <w:tcPr>
            <w:tcW w:w="5820" w:type="dxa"/>
            <w:tcMar>
              <w:top w:w="100" w:type="dxa"/>
              <w:left w:w="60" w:type="dxa"/>
              <w:bottom w:w="100" w:type="dxa"/>
              <w:right w:w="0" w:type="dxa"/>
            </w:tcMar>
          </w:tcPr>
          <w:p w14:paraId="41935109" w14:textId="77777777" w:rsidR="00D849E8" w:rsidRDefault="00D849E8" w:rsidP="00A9140F">
            <w:pPr>
              <w:pStyle w:val="AnnexTableCellLeft"/>
            </w:pPr>
            <w:r>
              <w:t>Á ekki við</w:t>
            </w:r>
          </w:p>
        </w:tc>
      </w:tr>
      <w:tr w:rsidR="00D849E8" w14:paraId="740CEE5B" w14:textId="77777777" w:rsidTr="00A9140F">
        <w:tc>
          <w:tcPr>
            <w:tcW w:w="2916" w:type="dxa"/>
            <w:tcMar>
              <w:top w:w="100" w:type="dxa"/>
              <w:left w:w="0" w:type="dxa"/>
              <w:bottom w:w="100" w:type="dxa"/>
              <w:right w:w="60" w:type="dxa"/>
            </w:tcMar>
          </w:tcPr>
          <w:p w14:paraId="387FACA3" w14:textId="77777777" w:rsidR="00D849E8" w:rsidRDefault="00D849E8" w:rsidP="00A9140F">
            <w:pPr>
              <w:pStyle w:val="AnnexNumberedText"/>
              <w:pageBreakBefore/>
              <w:spacing w:after="0"/>
              <w:ind w:left="293" w:hanging="293"/>
            </w:pPr>
            <w:r>
              <w:lastRenderedPageBreak/>
              <w:t>5)</w:t>
            </w:r>
            <w:r>
              <w:tab/>
              <w:t>Mengunarvarnir og eftirlit með mengun</w:t>
            </w:r>
          </w:p>
        </w:tc>
        <w:tc>
          <w:tcPr>
            <w:tcW w:w="5820" w:type="dxa"/>
            <w:tcMar>
              <w:top w:w="100" w:type="dxa"/>
              <w:left w:w="60" w:type="dxa"/>
              <w:bottom w:w="100" w:type="dxa"/>
              <w:right w:w="0" w:type="dxa"/>
            </w:tcMar>
          </w:tcPr>
          <w:p w14:paraId="150ECE4C" w14:textId="77777777" w:rsidR="00D849E8" w:rsidRDefault="00D849E8" w:rsidP="00A9140F">
            <w:pPr>
              <w:pStyle w:val="AnnexTableCellLeft"/>
            </w:pPr>
            <w:r>
              <w:t>Á ekki við</w:t>
            </w:r>
          </w:p>
        </w:tc>
      </w:tr>
      <w:tr w:rsidR="00D849E8" w14:paraId="5CDD4059" w14:textId="77777777" w:rsidTr="00A9140F">
        <w:tc>
          <w:tcPr>
            <w:tcW w:w="2916" w:type="dxa"/>
            <w:tcMar>
              <w:top w:w="100" w:type="dxa"/>
              <w:left w:w="0" w:type="dxa"/>
              <w:bottom w:w="100" w:type="dxa"/>
              <w:right w:w="60" w:type="dxa"/>
            </w:tcMar>
          </w:tcPr>
          <w:p w14:paraId="2F211478" w14:textId="77777777" w:rsidR="00D849E8" w:rsidRDefault="00D849E8" w:rsidP="00A9140F">
            <w:pPr>
              <w:pStyle w:val="AnnexNumberedText"/>
              <w:spacing w:after="0"/>
              <w:ind w:left="293" w:hanging="293"/>
            </w:pPr>
            <w:r>
              <w:t>6)</w:t>
            </w:r>
            <w:r>
              <w:tab/>
              <w:t>Vernd og endurheimt líffræðilegrar fjölbreytni og vistkerfa</w:t>
            </w:r>
          </w:p>
        </w:tc>
        <w:tc>
          <w:tcPr>
            <w:tcW w:w="5820" w:type="dxa"/>
            <w:tcMar>
              <w:top w:w="100" w:type="dxa"/>
              <w:left w:w="60" w:type="dxa"/>
              <w:bottom w:w="100" w:type="dxa"/>
              <w:right w:w="0" w:type="dxa"/>
            </w:tcMar>
          </w:tcPr>
          <w:p w14:paraId="231AF95E" w14:textId="77777777" w:rsidR="00D849E8" w:rsidRDefault="00D849E8" w:rsidP="00A9140F">
            <w:pPr>
              <w:pStyle w:val="AnnexTableCellLeft"/>
            </w:pPr>
            <w:r>
              <w:t>Á ekki við</w:t>
            </w:r>
          </w:p>
        </w:tc>
      </w:tr>
    </w:tbl>
    <w:p w14:paraId="2EFA6ED3" w14:textId="77777777" w:rsidR="00D849E8" w:rsidRDefault="00D849E8" w:rsidP="00D849E8">
      <w:pPr>
        <w:pStyle w:val="AnnexNumberedText"/>
        <w:ind w:left="504" w:hanging="504"/>
      </w:pPr>
      <w:r>
        <w:t>10.2.</w:t>
      </w:r>
      <w:r>
        <w:rPr>
          <w:b/>
        </w:rPr>
        <w:tab/>
      </w:r>
      <w:proofErr w:type="spellStart"/>
      <w:r>
        <w:rPr>
          <w:b/>
        </w:rPr>
        <w:t>Endurtrygging</w:t>
      </w:r>
      <w:proofErr w:type="spellEnd"/>
    </w:p>
    <w:p w14:paraId="587A5BFC" w14:textId="77777777" w:rsidR="00D849E8" w:rsidRDefault="00D849E8" w:rsidP="00D849E8">
      <w:pPr>
        <w:pStyle w:val="AnnexGrSeq3"/>
        <w:spacing w:after="120"/>
        <w:ind w:left="504"/>
        <w:jc w:val="both"/>
      </w:pPr>
      <w:r>
        <w:rPr>
          <w:i/>
        </w:rPr>
        <w:t>Lýsing á starfseminni</w:t>
      </w:r>
    </w:p>
    <w:p w14:paraId="6927A963" w14:textId="77777777" w:rsidR="00D849E8" w:rsidRDefault="00D849E8" w:rsidP="00D849E8">
      <w:pPr>
        <w:pStyle w:val="AnnexNormal"/>
        <w:spacing w:after="400"/>
        <w:ind w:left="504"/>
      </w:pPr>
      <w:r>
        <w:t xml:space="preserve">Tryggingavernd vegna áhættu sem stafar af loftslagstengdum </w:t>
      </w:r>
      <w:proofErr w:type="spellStart"/>
      <w:r>
        <w:t>háska</w:t>
      </w:r>
      <w:proofErr w:type="spellEnd"/>
      <w:r>
        <w:t xml:space="preserve">, sem sett er fram í viðbæti A við þennan viðauka, sem </w:t>
      </w:r>
      <w:proofErr w:type="spellStart"/>
      <w:r>
        <w:t>vátryggjandinn</w:t>
      </w:r>
      <w:proofErr w:type="spellEnd"/>
      <w:r>
        <w:t xml:space="preserve"> afsalar sér til </w:t>
      </w:r>
      <w:proofErr w:type="spellStart"/>
      <w:r>
        <w:t>endurtryggjandans</w:t>
      </w:r>
      <w:proofErr w:type="spellEnd"/>
      <w:r>
        <w:t xml:space="preserve">. Tryggingaverndin er sett fram í samningi milli </w:t>
      </w:r>
      <w:proofErr w:type="spellStart"/>
      <w:r>
        <w:t>vátryggjanda</w:t>
      </w:r>
      <w:proofErr w:type="spellEnd"/>
      <w:r>
        <w:t xml:space="preserve"> og </w:t>
      </w:r>
      <w:proofErr w:type="spellStart"/>
      <w:r>
        <w:t>endurtryggjanda</w:t>
      </w:r>
      <w:proofErr w:type="spellEnd"/>
      <w:r>
        <w:t xml:space="preserve"> þar sem afurðir </w:t>
      </w:r>
      <w:proofErr w:type="spellStart"/>
      <w:r>
        <w:t>vátryggjandans</w:t>
      </w:r>
      <w:proofErr w:type="spellEnd"/>
      <w:r>
        <w:t xml:space="preserve"> („undirliggjandi afurð“), þaðan sem afsalaða áhættan er </w:t>
      </w:r>
      <w:proofErr w:type="spellStart"/>
      <w:r>
        <w:t>upprunnin</w:t>
      </w:r>
      <w:proofErr w:type="spellEnd"/>
      <w:r>
        <w:t xml:space="preserve">, eru tilgreindar. </w:t>
      </w:r>
      <w:proofErr w:type="spellStart"/>
      <w:r>
        <w:t>Endurtryggingamiðlari</w:t>
      </w:r>
      <w:proofErr w:type="spellEnd"/>
      <w:r>
        <w:t xml:space="preserve"> (</w:t>
      </w:r>
      <w:bookmarkStart w:id="107" w:name="NOTE_994"/>
      <w:r>
        <w:rPr>
          <w:rStyle w:val="Tilvsunneanmlsgrein"/>
          <w:sz w:val="18"/>
          <w:szCs w:val="18"/>
        </w:rPr>
        <w:footnoteReference w:id="995"/>
      </w:r>
      <w:bookmarkEnd w:id="107"/>
      <w:r>
        <w:t xml:space="preserve">) getur tekið þátt í undirbúningi eða frágangi á samningsbundnu samkomulagi milli </w:t>
      </w:r>
      <w:proofErr w:type="spellStart"/>
      <w:r>
        <w:t>vátryggjandans</w:t>
      </w:r>
      <w:proofErr w:type="spellEnd"/>
      <w:r>
        <w:t xml:space="preserve"> og </w:t>
      </w:r>
      <w:proofErr w:type="spellStart"/>
      <w:r>
        <w:t>endurtryggjandans</w:t>
      </w:r>
      <w:proofErr w:type="spellEnd"/>
      <w:r>
        <w:t>.</w:t>
      </w:r>
    </w:p>
    <w:p w14:paraId="319A28D0" w14:textId="77777777" w:rsidR="00D849E8" w:rsidRDefault="00D849E8" w:rsidP="00D849E8">
      <w:pPr>
        <w:pStyle w:val="AnnexNormal"/>
        <w:spacing w:after="400"/>
        <w:ind w:left="504"/>
      </w:pPr>
      <w:r>
        <w:t>Atvinnustarfsemin í þessum flokki gæti tengst kóða atvinnugreinaflokkunar Evrópusambandsins K65.20 í samræmi við atvinnugreinaflokkunina sem komið var á með reglugerð (EB) nr. 1893/2006.</w:t>
      </w:r>
    </w:p>
    <w:p w14:paraId="021C71FB" w14:textId="77777777" w:rsidR="00D849E8" w:rsidRDefault="00D849E8" w:rsidP="00D849E8">
      <w:pPr>
        <w:pStyle w:val="AnnexNormal"/>
        <w:spacing w:after="400"/>
        <w:ind w:left="504"/>
      </w:pPr>
      <w:r>
        <w:t xml:space="preserve">Atvinnustarfsemi í þessum flokki er starfsemi sem gerir annarri starfsemi kleift að stuðla að umhverfismarkmiðum, eins og um getur í </w:t>
      </w:r>
      <w:proofErr w:type="spellStart"/>
      <w:r>
        <w:t>b-lið</w:t>
      </w:r>
      <w:proofErr w:type="spellEnd"/>
      <w:r>
        <w:t xml:space="preserve"> 1. mgr. 11. gr. reglugerðar (ESB) 2020/852, þegar hún uppfyllir tæknilegu matsviðmiðin sem sett eru fram í þessum þætti.</w:t>
      </w:r>
    </w:p>
    <w:p w14:paraId="184D696D"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28"/>
        <w:gridCol w:w="5808"/>
      </w:tblGrid>
      <w:tr w:rsidR="00D849E8" w14:paraId="57FEE367" w14:textId="77777777" w:rsidTr="00A9140F">
        <w:trPr>
          <w:trHeight w:val="280"/>
        </w:trPr>
        <w:tc>
          <w:tcPr>
            <w:tcW w:w="8736" w:type="dxa"/>
            <w:gridSpan w:val="2"/>
            <w:tcBorders>
              <w:bottom w:val="single" w:sz="4" w:space="0" w:color="auto"/>
            </w:tcBorders>
            <w:tcMar>
              <w:left w:w="0" w:type="dxa"/>
              <w:right w:w="60" w:type="dxa"/>
            </w:tcMar>
          </w:tcPr>
          <w:p w14:paraId="6CD239C3" w14:textId="77777777" w:rsidR="00D849E8" w:rsidRDefault="00D849E8" w:rsidP="00A9140F">
            <w:pPr>
              <w:pStyle w:val="AnnexTableCellLeft"/>
              <w:spacing w:before="40" w:after="40"/>
            </w:pPr>
            <w:r>
              <w:t>Verulegt framlag til aðlögunar að loftslagsbreytingum</w:t>
            </w:r>
          </w:p>
        </w:tc>
      </w:tr>
      <w:tr w:rsidR="00D849E8" w14:paraId="7345F8D3" w14:textId="77777777" w:rsidTr="00A9140F">
        <w:trPr>
          <w:trHeight w:val="360"/>
        </w:trPr>
        <w:tc>
          <w:tcPr>
            <w:tcW w:w="8736" w:type="dxa"/>
            <w:gridSpan w:val="2"/>
            <w:tcBorders>
              <w:bottom w:val="nil"/>
            </w:tcBorders>
            <w:tcMar>
              <w:left w:w="0" w:type="dxa"/>
              <w:right w:w="60" w:type="dxa"/>
            </w:tcMar>
          </w:tcPr>
          <w:p w14:paraId="6866C01B" w14:textId="77777777" w:rsidR="00D849E8" w:rsidRDefault="00D849E8" w:rsidP="00A9140F">
            <w:pPr>
              <w:pStyle w:val="AnnexNumberedText"/>
              <w:tabs>
                <w:tab w:val="left" w:pos="396"/>
              </w:tabs>
              <w:ind w:left="0" w:firstLine="0"/>
            </w:pPr>
            <w:r>
              <w:t>1.</w:t>
            </w:r>
            <w:r>
              <w:rPr>
                <w:i/>
              </w:rPr>
              <w:tab/>
              <w:t>Forysta við líkanasmíði og verðlagningu loftslagsáhætta:</w:t>
            </w:r>
          </w:p>
          <w:p w14:paraId="48E4B5E8" w14:textId="77777777" w:rsidR="00D849E8" w:rsidRDefault="00D849E8" w:rsidP="00A9140F">
            <w:pPr>
              <w:pStyle w:val="AnnexNumberedText"/>
              <w:tabs>
                <w:tab w:val="left" w:pos="396"/>
              </w:tabs>
              <w:ind w:left="0" w:firstLine="0"/>
            </w:pPr>
            <w:r>
              <w:t>1.1.</w:t>
            </w:r>
            <w:r>
              <w:tab/>
              <w:t xml:space="preserve">Í </w:t>
            </w:r>
            <w:proofErr w:type="spellStart"/>
            <w:r>
              <w:t>endurtryggingastarfseminni</w:t>
            </w:r>
            <w:proofErr w:type="spellEnd"/>
            <w:r>
              <w:t xml:space="preserve"> er notuð nýjasta tækni við líkanasmíði sem:</w:t>
            </w:r>
          </w:p>
          <w:p w14:paraId="092366EB" w14:textId="77777777" w:rsidR="00D849E8" w:rsidRDefault="00D849E8" w:rsidP="00A9140F">
            <w:pPr>
              <w:pStyle w:val="AnnexNumberedText"/>
            </w:pPr>
            <w:r>
              <w:t>a)</w:t>
            </w:r>
            <w:r>
              <w:tab/>
              <w:t xml:space="preserve">er notað til að endurspegla á tilhlýðilegan hátt </w:t>
            </w:r>
            <w:proofErr w:type="spellStart"/>
            <w:r>
              <w:t>váhrif</w:t>
            </w:r>
            <w:proofErr w:type="spellEnd"/>
            <w:r>
              <w:t xml:space="preserve">, hættu og veikleika gagnvart áhættu vegna loftslagsbreytinga í iðgjaldastiginu, sem og aðgerðir sem </w:t>
            </w:r>
            <w:proofErr w:type="spellStart"/>
            <w:r>
              <w:t>vátryggingatakar</w:t>
            </w:r>
            <w:proofErr w:type="spellEnd"/>
            <w:r>
              <w:t xml:space="preserve"> </w:t>
            </w:r>
            <w:proofErr w:type="spellStart"/>
            <w:r>
              <w:t>vátryggjandans</w:t>
            </w:r>
            <w:proofErr w:type="spellEnd"/>
            <w:r>
              <w:t xml:space="preserve"> grípa til í því skyni að vernda tryggðu eignina eða starfsemina fyrir þessari áhættu ef </w:t>
            </w:r>
            <w:proofErr w:type="spellStart"/>
            <w:r>
              <w:t>vátryggjandinn</w:t>
            </w:r>
            <w:proofErr w:type="spellEnd"/>
            <w:r>
              <w:t xml:space="preserve"> veitir </w:t>
            </w:r>
            <w:proofErr w:type="spellStart"/>
            <w:r>
              <w:t>endurtryggjandanum</w:t>
            </w:r>
            <w:proofErr w:type="spellEnd"/>
            <w:r>
              <w:t xml:space="preserve"> slíkar upplýsingar,</w:t>
            </w:r>
          </w:p>
          <w:p w14:paraId="2E2FEC7C" w14:textId="77777777" w:rsidR="00D849E8" w:rsidRDefault="00D849E8" w:rsidP="00A9140F">
            <w:pPr>
              <w:pStyle w:val="AnnexNumberedText"/>
            </w:pPr>
            <w:r>
              <w:t>b)</w:t>
            </w:r>
            <w:r>
              <w:tab/>
              <w:t>treystir ekki eingöngu á sögulega þróun,</w:t>
            </w:r>
          </w:p>
          <w:p w14:paraId="7F9023D7" w14:textId="77777777" w:rsidR="00D849E8" w:rsidRDefault="00D849E8" w:rsidP="00A9140F">
            <w:pPr>
              <w:pStyle w:val="AnnexNumberedText"/>
            </w:pPr>
            <w:r>
              <w:t>c)</w:t>
            </w:r>
            <w:r>
              <w:tab/>
              <w:t>samþættir framsýnar sviðsmyndir.</w:t>
            </w:r>
          </w:p>
          <w:p w14:paraId="57BBE44B" w14:textId="77777777" w:rsidR="00D849E8" w:rsidRDefault="00D849E8" w:rsidP="00A9140F">
            <w:pPr>
              <w:pStyle w:val="AnnexNumberedText"/>
              <w:tabs>
                <w:tab w:val="left" w:pos="396"/>
              </w:tabs>
              <w:spacing w:after="500"/>
              <w:ind w:left="0" w:firstLine="0"/>
            </w:pPr>
            <w:r>
              <w:t>1.2.</w:t>
            </w:r>
            <w:r>
              <w:tab/>
            </w:r>
            <w:proofErr w:type="spellStart"/>
            <w:r>
              <w:t>Endurtryggjandinn</w:t>
            </w:r>
            <w:proofErr w:type="spellEnd"/>
            <w:r>
              <w:t xml:space="preserve"> birtir opinberlega upplýsingar um hvernig tekið er tillit til áhættunnar, sem stafar af loftslagstengdum </w:t>
            </w:r>
            <w:proofErr w:type="spellStart"/>
            <w:r>
              <w:t>háska</w:t>
            </w:r>
            <w:proofErr w:type="spellEnd"/>
            <w:r>
              <w:t xml:space="preserve">, í </w:t>
            </w:r>
            <w:proofErr w:type="spellStart"/>
            <w:r>
              <w:t>endurtryggingastarfseminni</w:t>
            </w:r>
            <w:proofErr w:type="spellEnd"/>
            <w:r>
              <w:t>.</w:t>
            </w:r>
          </w:p>
          <w:p w14:paraId="5E31EE61" w14:textId="77777777" w:rsidR="00D849E8" w:rsidRDefault="00D849E8" w:rsidP="00A9140F">
            <w:pPr>
              <w:pStyle w:val="AnnexNumberedText"/>
              <w:tabs>
                <w:tab w:val="left" w:pos="396"/>
              </w:tabs>
              <w:ind w:left="0" w:firstLine="0"/>
            </w:pPr>
            <w:r>
              <w:t>2.</w:t>
            </w:r>
            <w:r>
              <w:rPr>
                <w:i/>
              </w:rPr>
              <w:tab/>
              <w:t xml:space="preserve">Stuðningur við þróun og afhendingu á viðeigandi </w:t>
            </w:r>
            <w:proofErr w:type="spellStart"/>
            <w:r>
              <w:rPr>
                <w:i/>
              </w:rPr>
              <w:t>skaðaendurtryggingaafurðum</w:t>
            </w:r>
            <w:proofErr w:type="spellEnd"/>
            <w:r>
              <w:rPr>
                <w:i/>
              </w:rPr>
              <w:t>:</w:t>
            </w:r>
          </w:p>
          <w:p w14:paraId="3C92F6F9" w14:textId="77777777" w:rsidR="00D849E8" w:rsidRDefault="00D849E8" w:rsidP="00A9140F">
            <w:pPr>
              <w:pStyle w:val="AnnexNumberedText"/>
              <w:tabs>
                <w:tab w:val="left" w:pos="396"/>
              </w:tabs>
              <w:ind w:left="0" w:firstLine="0"/>
            </w:pPr>
            <w:r>
              <w:t>2.1.</w:t>
            </w:r>
            <w:r>
              <w:tab/>
              <w:t xml:space="preserve">Undirliggjandi afurðir </w:t>
            </w:r>
            <w:proofErr w:type="spellStart"/>
            <w:r>
              <w:t>endurtryggingastarfseminnar</w:t>
            </w:r>
            <w:proofErr w:type="spellEnd"/>
            <w:r>
              <w:t xml:space="preserve"> ná yfir áhættu sem stafar af loftslagstengdum </w:t>
            </w:r>
            <w:proofErr w:type="spellStart"/>
            <w:r>
              <w:t>háska</w:t>
            </w:r>
            <w:proofErr w:type="spellEnd"/>
            <w:r>
              <w:t xml:space="preserve"> og umbuna, á grundvelli áhættu og með fyrirvara um lagalegar hömlur á samningsskilyrði og tryggingariðgjöld, fyrir forvarnaraðgerðir sem </w:t>
            </w:r>
            <w:proofErr w:type="spellStart"/>
            <w:r>
              <w:t>vátryggingatakar</w:t>
            </w:r>
            <w:proofErr w:type="spellEnd"/>
            <w:r>
              <w:t xml:space="preserve"> </w:t>
            </w:r>
            <w:proofErr w:type="spellStart"/>
            <w:r>
              <w:t>vátryggjandans</w:t>
            </w:r>
            <w:proofErr w:type="spellEnd"/>
            <w:r>
              <w:t xml:space="preserve"> grípa til.</w:t>
            </w:r>
          </w:p>
          <w:p w14:paraId="6D199256" w14:textId="77777777" w:rsidR="00D849E8" w:rsidRDefault="00D849E8" w:rsidP="00A9140F">
            <w:pPr>
              <w:pStyle w:val="AnnexNumberedText"/>
              <w:tabs>
                <w:tab w:val="left" w:pos="396"/>
              </w:tabs>
              <w:ind w:left="0" w:firstLine="0"/>
            </w:pPr>
            <w:r>
              <w:t>2.2.</w:t>
            </w:r>
            <w:r>
              <w:tab/>
            </w:r>
            <w:proofErr w:type="spellStart"/>
            <w:r>
              <w:t>Endurtryggingastarfsemin</w:t>
            </w:r>
            <w:proofErr w:type="spellEnd"/>
            <w:r>
              <w:t xml:space="preserve"> er í samræmi við eina af eftirfarandi viðmiðunum:</w:t>
            </w:r>
          </w:p>
          <w:p w14:paraId="090FCBF5" w14:textId="77777777" w:rsidR="00D849E8" w:rsidRDefault="00D849E8" w:rsidP="00A9140F">
            <w:pPr>
              <w:pStyle w:val="AnnexNumberedText"/>
            </w:pPr>
            <w:r>
              <w:t>a)</w:t>
            </w:r>
            <w:r>
              <w:tab/>
              <w:t xml:space="preserve">ef </w:t>
            </w:r>
            <w:proofErr w:type="spellStart"/>
            <w:r>
              <w:t>vátryggjandinn</w:t>
            </w:r>
            <w:proofErr w:type="spellEnd"/>
            <w:r>
              <w:t xml:space="preserve"> óskar þess hefur </w:t>
            </w:r>
            <w:proofErr w:type="spellStart"/>
            <w:r>
              <w:t>endurtryggjandinn</w:t>
            </w:r>
            <w:proofErr w:type="spellEnd"/>
            <w:r>
              <w:t xml:space="preserve"> samband við </w:t>
            </w:r>
            <w:proofErr w:type="spellStart"/>
            <w:r>
              <w:t>vátryggjandann</w:t>
            </w:r>
            <w:proofErr w:type="spellEnd"/>
            <w:r>
              <w:t xml:space="preserve">, annaðhvort beint eða fyrir milligöngu </w:t>
            </w:r>
            <w:proofErr w:type="spellStart"/>
            <w:r>
              <w:t>endurtryggingamiðlara</w:t>
            </w:r>
            <w:proofErr w:type="spellEnd"/>
            <w:r>
              <w:t>, meðan þróun undirliggjandi afurðar stendur yfir með því að:</w:t>
            </w:r>
          </w:p>
          <w:p w14:paraId="3E1019E5" w14:textId="77777777" w:rsidR="00D849E8" w:rsidRDefault="00D849E8" w:rsidP="00A9140F">
            <w:pPr>
              <w:pStyle w:val="AnnexNumberedText"/>
              <w:ind w:left="603" w:hanging="303"/>
            </w:pPr>
            <w:r>
              <w:t>i.</w:t>
            </w:r>
            <w:r>
              <w:tab/>
              <w:t xml:space="preserve">ræða um mögulegar </w:t>
            </w:r>
            <w:proofErr w:type="spellStart"/>
            <w:r>
              <w:t>endurtryggingalausnir</w:t>
            </w:r>
            <w:proofErr w:type="spellEnd"/>
            <w:r>
              <w:t xml:space="preserve"> sem </w:t>
            </w:r>
            <w:proofErr w:type="spellStart"/>
            <w:r>
              <w:t>endurtryggjandinn</w:t>
            </w:r>
            <w:proofErr w:type="spellEnd"/>
            <w:r>
              <w:t xml:space="preserve"> er reiðubúinn að bjóða í tengslum við þá afurð. Lokaafurðin er sett á markað með því að nota eina af </w:t>
            </w:r>
            <w:proofErr w:type="spellStart"/>
            <w:r>
              <w:t>endurtryggingalausnunum</w:t>
            </w:r>
            <w:proofErr w:type="spellEnd"/>
            <w:r>
              <w:t xml:space="preserve"> sem rætt var um við </w:t>
            </w:r>
            <w:proofErr w:type="spellStart"/>
            <w:r>
              <w:t>endurtryggjandann</w:t>
            </w:r>
            <w:proofErr w:type="spellEnd"/>
            <w:r>
              <w:t xml:space="preserve"> meðan þróunarfasi afurðarinnar stóð yfir,</w:t>
            </w:r>
          </w:p>
          <w:p w14:paraId="0ABE4042" w14:textId="77777777" w:rsidR="00D849E8" w:rsidRDefault="00D849E8" w:rsidP="00A9140F">
            <w:pPr>
              <w:pStyle w:val="AnnexNumberedText"/>
              <w:ind w:left="603" w:hanging="303"/>
            </w:pPr>
            <w:r>
              <w:t>ii.</w:t>
            </w:r>
            <w:r>
              <w:tab/>
              <w:t xml:space="preserve">útvega gögn eða aðra tækniráðgjöf sem gerir </w:t>
            </w:r>
            <w:proofErr w:type="spellStart"/>
            <w:r>
              <w:t>vátryggjandanum</w:t>
            </w:r>
            <w:proofErr w:type="spellEnd"/>
            <w:r>
              <w:t xml:space="preserve"> kleift að verðleggja tryggingavernd fyrir áhættur sem stafa af loftslagstengdum </w:t>
            </w:r>
            <w:proofErr w:type="spellStart"/>
            <w:r>
              <w:t>háska</w:t>
            </w:r>
            <w:proofErr w:type="spellEnd"/>
            <w:r>
              <w:t xml:space="preserve">, sem og áhættutengda umbun fyrir forvarnaraðgerðir sem </w:t>
            </w:r>
            <w:proofErr w:type="spellStart"/>
            <w:r>
              <w:t>vátryggingatakar</w:t>
            </w:r>
            <w:proofErr w:type="spellEnd"/>
            <w:r>
              <w:t xml:space="preserve"> </w:t>
            </w:r>
            <w:proofErr w:type="spellStart"/>
            <w:r>
              <w:lastRenderedPageBreak/>
              <w:t>vátryggjandans</w:t>
            </w:r>
            <w:proofErr w:type="spellEnd"/>
            <w:r>
              <w:t xml:space="preserve"> grípa til,</w:t>
            </w:r>
          </w:p>
          <w:p w14:paraId="3FB3E431" w14:textId="77777777" w:rsidR="00D849E8" w:rsidRDefault="00D849E8" w:rsidP="00A9140F">
            <w:pPr>
              <w:pStyle w:val="AnnexNumberedText"/>
              <w:spacing w:after="0"/>
            </w:pPr>
            <w:r>
              <w:t>b)</w:t>
            </w:r>
            <w:r>
              <w:tab/>
              <w:t xml:space="preserve">líklegt er að </w:t>
            </w:r>
            <w:proofErr w:type="spellStart"/>
            <w:r>
              <w:t>vátryggjandinn</w:t>
            </w:r>
            <w:proofErr w:type="spellEnd"/>
            <w:r>
              <w:t xml:space="preserve"> minnki eða segi upp tryggingavernd sinni innan ramma undirliggjandi afurðar án </w:t>
            </w:r>
            <w:proofErr w:type="spellStart"/>
            <w:r>
              <w:t>endurtryggingasamkomulagsins</w:t>
            </w:r>
            <w:proofErr w:type="spellEnd"/>
            <w:r>
              <w:t xml:space="preserve"> eða sambærilegs </w:t>
            </w:r>
            <w:proofErr w:type="spellStart"/>
            <w:r>
              <w:t>endurtryggingasamkomulags</w:t>
            </w:r>
            <w:proofErr w:type="spellEnd"/>
            <w:r>
              <w:t>,</w:t>
            </w:r>
          </w:p>
        </w:tc>
      </w:tr>
      <w:tr w:rsidR="00D849E8" w14:paraId="55A30B6E" w14:textId="77777777" w:rsidTr="00A9140F">
        <w:trPr>
          <w:trHeight w:val="240"/>
        </w:trPr>
        <w:tc>
          <w:tcPr>
            <w:tcW w:w="8736" w:type="dxa"/>
            <w:gridSpan w:val="2"/>
            <w:tcBorders>
              <w:top w:val="nil"/>
            </w:tcBorders>
            <w:tcMar>
              <w:left w:w="0" w:type="dxa"/>
              <w:right w:w="60" w:type="dxa"/>
            </w:tcMar>
          </w:tcPr>
          <w:p w14:paraId="5E67AC5D" w14:textId="77777777" w:rsidR="00D849E8" w:rsidRDefault="00D849E8" w:rsidP="00A9140F">
            <w:pPr>
              <w:pStyle w:val="AnnexNumberedText"/>
              <w:pageBreakBefore/>
              <w:spacing w:after="200"/>
            </w:pPr>
            <w:r>
              <w:lastRenderedPageBreak/>
              <w:t>c)</w:t>
            </w:r>
            <w:r>
              <w:tab/>
            </w:r>
            <w:proofErr w:type="spellStart"/>
            <w:r>
              <w:t>endurtryggjandinn</w:t>
            </w:r>
            <w:proofErr w:type="spellEnd"/>
            <w:r>
              <w:t xml:space="preserve"> lætur í té, sem hluta af viðskiptasambandinu við </w:t>
            </w:r>
            <w:proofErr w:type="spellStart"/>
            <w:r>
              <w:t>vátryggjandann</w:t>
            </w:r>
            <w:proofErr w:type="spellEnd"/>
            <w:r>
              <w:t xml:space="preserve"> eða </w:t>
            </w:r>
            <w:proofErr w:type="spellStart"/>
            <w:r>
              <w:t>endurtryggingamiðlarann</w:t>
            </w:r>
            <w:proofErr w:type="spellEnd"/>
            <w:r>
              <w:t xml:space="preserve">, gögn eða aðra tækniráðgjöf eða hvort tveggja sem gerir </w:t>
            </w:r>
            <w:proofErr w:type="spellStart"/>
            <w:r>
              <w:t>vátryggjandanum</w:t>
            </w:r>
            <w:proofErr w:type="spellEnd"/>
            <w:r>
              <w:t xml:space="preserve"> kleift að bjóða tryggingavernd gegn áhættum sem stafa af loftslagstengdum </w:t>
            </w:r>
            <w:proofErr w:type="spellStart"/>
            <w:r>
              <w:t>háska</w:t>
            </w:r>
            <w:proofErr w:type="spellEnd"/>
            <w:r>
              <w:t xml:space="preserve"> og tryggingaverndin gefur einnig möguleika á áhættutengdri umbun fyrir forvarnaraðgerðir sem </w:t>
            </w:r>
            <w:proofErr w:type="spellStart"/>
            <w:r>
              <w:t>vátryggingatakar</w:t>
            </w:r>
            <w:proofErr w:type="spellEnd"/>
            <w:r>
              <w:t xml:space="preserve"> </w:t>
            </w:r>
            <w:proofErr w:type="spellStart"/>
            <w:r>
              <w:t>vátryggjandans</w:t>
            </w:r>
            <w:proofErr w:type="spellEnd"/>
            <w:r>
              <w:t xml:space="preserve"> grípa til.</w:t>
            </w:r>
          </w:p>
          <w:p w14:paraId="4A4C5369" w14:textId="77777777" w:rsidR="00D849E8" w:rsidRDefault="00D849E8" w:rsidP="00A9140F">
            <w:pPr>
              <w:pStyle w:val="AnnexNumberedText"/>
              <w:tabs>
                <w:tab w:val="left" w:pos="396"/>
              </w:tabs>
              <w:spacing w:after="500"/>
              <w:ind w:left="0" w:firstLine="0"/>
            </w:pPr>
            <w:r>
              <w:t>2.3.</w:t>
            </w:r>
            <w:r>
              <w:tab/>
              <w:t xml:space="preserve">Ef </w:t>
            </w:r>
            <w:proofErr w:type="spellStart"/>
            <w:r>
              <w:t>endurtryggingaafurð</w:t>
            </w:r>
            <w:proofErr w:type="spellEnd"/>
            <w:r>
              <w:t xml:space="preserve"> gildir á eignasafnsstigi undirliggjandi afurða getur einungis hluti af undirliggjandi afurðum </w:t>
            </w:r>
            <w:proofErr w:type="spellStart"/>
            <w:r>
              <w:t>endurtryggingastarfseminnar</w:t>
            </w:r>
            <w:proofErr w:type="spellEnd"/>
            <w:r>
              <w:t xml:space="preserve"> náð yfir áhættur sem stafa af loftslagstengdum </w:t>
            </w:r>
            <w:proofErr w:type="spellStart"/>
            <w:r>
              <w:t>háska</w:t>
            </w:r>
            <w:proofErr w:type="spellEnd"/>
            <w:r>
              <w:t xml:space="preserve"> og umbunað, á grundvelli áhættu, fyrir forvarnaraðgerðir sem </w:t>
            </w:r>
            <w:proofErr w:type="spellStart"/>
            <w:r>
              <w:t>vátryggingatakar</w:t>
            </w:r>
            <w:proofErr w:type="spellEnd"/>
            <w:r>
              <w:t xml:space="preserve"> </w:t>
            </w:r>
            <w:proofErr w:type="spellStart"/>
            <w:r>
              <w:t>vátryggjandans</w:t>
            </w:r>
            <w:proofErr w:type="spellEnd"/>
            <w:r>
              <w:t xml:space="preserve"> grípa til að því er varðar lið 2.1. Í því tilviki getur </w:t>
            </w:r>
            <w:proofErr w:type="spellStart"/>
            <w:r>
              <w:t>endurtryggjandinn</w:t>
            </w:r>
            <w:proofErr w:type="spellEnd"/>
            <w:r>
              <w:t xml:space="preserve"> auðkennt þann hluta </w:t>
            </w:r>
            <w:proofErr w:type="spellStart"/>
            <w:r>
              <w:t>endurtryggingaiðgjaldanna</w:t>
            </w:r>
            <w:proofErr w:type="spellEnd"/>
            <w:r>
              <w:t xml:space="preserve"> sem tengjast þessum undirliggjandi afurðum.</w:t>
            </w:r>
          </w:p>
          <w:p w14:paraId="6D28C500" w14:textId="77777777" w:rsidR="00D849E8" w:rsidRDefault="00D849E8" w:rsidP="00A9140F">
            <w:pPr>
              <w:pStyle w:val="AnnexNumberedText"/>
              <w:tabs>
                <w:tab w:val="left" w:pos="396"/>
              </w:tabs>
              <w:spacing w:after="200"/>
              <w:ind w:left="0" w:firstLine="0"/>
            </w:pPr>
            <w:r>
              <w:t>3.</w:t>
            </w:r>
            <w:r>
              <w:rPr>
                <w:i/>
              </w:rPr>
              <w:tab/>
              <w:t xml:space="preserve">Nýjar lausnir í </w:t>
            </w:r>
            <w:proofErr w:type="spellStart"/>
            <w:r>
              <w:rPr>
                <w:i/>
              </w:rPr>
              <w:t>endurtryggingavernd</w:t>
            </w:r>
            <w:proofErr w:type="spellEnd"/>
            <w:r>
              <w:rPr>
                <w:i/>
              </w:rPr>
              <w:t>:</w:t>
            </w:r>
          </w:p>
          <w:p w14:paraId="501A7361" w14:textId="77777777" w:rsidR="00D849E8" w:rsidRDefault="00D849E8" w:rsidP="00A9140F">
            <w:pPr>
              <w:pStyle w:val="AnnexNumberedText"/>
              <w:tabs>
                <w:tab w:val="left" w:pos="396"/>
              </w:tabs>
              <w:spacing w:after="200"/>
              <w:ind w:left="0" w:firstLine="0"/>
            </w:pPr>
            <w:r>
              <w:t>3.1.</w:t>
            </w:r>
            <w:r>
              <w:tab/>
              <w:t xml:space="preserve">Með </w:t>
            </w:r>
            <w:proofErr w:type="spellStart"/>
            <w:r>
              <w:t>endurtryggingaafurðum</w:t>
            </w:r>
            <w:proofErr w:type="spellEnd"/>
            <w:r>
              <w:t xml:space="preserve"> sem eru seldar innan ramma </w:t>
            </w:r>
            <w:proofErr w:type="spellStart"/>
            <w:r>
              <w:t>endurtryggingastarfsemi</w:t>
            </w:r>
            <w:proofErr w:type="spellEnd"/>
            <w:r>
              <w:t xml:space="preserve"> er boðin tryggingavernd gegn áhættum sem stafa af loftslagstengdum </w:t>
            </w:r>
            <w:proofErr w:type="spellStart"/>
            <w:r>
              <w:t>háska</w:t>
            </w:r>
            <w:proofErr w:type="spellEnd"/>
            <w:r>
              <w:t xml:space="preserve"> þegar kröfur og þarfir viðskiptavina </w:t>
            </w:r>
            <w:proofErr w:type="spellStart"/>
            <w:r>
              <w:t>vátryggjandans</w:t>
            </w:r>
            <w:proofErr w:type="spellEnd"/>
            <w:r>
              <w:t xml:space="preserve">, byggt á undirliggjandi afurðum, kalla eftir því. Slíkar </w:t>
            </w:r>
            <w:proofErr w:type="spellStart"/>
            <w:r>
              <w:t>vátryggingaafurðir</w:t>
            </w:r>
            <w:proofErr w:type="spellEnd"/>
            <w:r>
              <w:t xml:space="preserve"> endurspegla á viðeigandi hátt áhættutengda umbun fyrir forvarnaraðgerðir sem </w:t>
            </w:r>
            <w:proofErr w:type="spellStart"/>
            <w:r>
              <w:t>vátryggingatakar</w:t>
            </w:r>
            <w:proofErr w:type="spellEnd"/>
            <w:r>
              <w:t xml:space="preserve"> </w:t>
            </w:r>
            <w:proofErr w:type="spellStart"/>
            <w:r>
              <w:t>vátryggjandans</w:t>
            </w:r>
            <w:proofErr w:type="spellEnd"/>
            <w:r>
              <w:t xml:space="preserve"> grípa til.</w:t>
            </w:r>
          </w:p>
          <w:p w14:paraId="21C93D1C" w14:textId="77777777" w:rsidR="00D849E8" w:rsidRDefault="00D849E8" w:rsidP="00A9140F">
            <w:pPr>
              <w:pStyle w:val="AnnexNumberedText"/>
              <w:tabs>
                <w:tab w:val="left" w:pos="396"/>
              </w:tabs>
              <w:spacing w:after="500"/>
              <w:ind w:left="0" w:firstLine="0"/>
            </w:pPr>
            <w:r>
              <w:t>3.2.</w:t>
            </w:r>
            <w:r>
              <w:tab/>
              <w:t xml:space="preserve">Með hliðsjón af kröfum og þörfum einstakra viðskiptavina </w:t>
            </w:r>
            <w:proofErr w:type="spellStart"/>
            <w:r>
              <w:t>vátryggjandans</w:t>
            </w:r>
            <w:proofErr w:type="spellEnd"/>
            <w:r>
              <w:t xml:space="preserve"> geta </w:t>
            </w:r>
            <w:proofErr w:type="spellStart"/>
            <w:r>
              <w:t>endurtryggingaafurðir</w:t>
            </w:r>
            <w:proofErr w:type="spellEnd"/>
            <w:r>
              <w:t xml:space="preserve"> innihaldið lausnir varðandi yfirfærslu sértækrar áhættu sem geta innihaldið vernd gegn truflun á viðskiptum, ófyrirséðri truflun á viðskiptum, öðrum óefnislegum skaðatengdum tjónaþáttum, keðjuverkunum og innbyrðis hæði hætta (afleiddum </w:t>
            </w:r>
            <w:proofErr w:type="spellStart"/>
            <w:r>
              <w:t>háska</w:t>
            </w:r>
            <w:proofErr w:type="spellEnd"/>
            <w:r>
              <w:t>), keðjuáhrifum af samverkandi náttúrulegum og tæknilegum hættum eða bilunum í mikilvægum innviðum.</w:t>
            </w:r>
          </w:p>
          <w:p w14:paraId="403A3217" w14:textId="77777777" w:rsidR="00D849E8" w:rsidRDefault="00D849E8" w:rsidP="00A9140F">
            <w:pPr>
              <w:pStyle w:val="AnnexNumberedText"/>
              <w:tabs>
                <w:tab w:val="left" w:pos="396"/>
              </w:tabs>
              <w:spacing w:after="200"/>
              <w:ind w:left="0" w:firstLine="0"/>
            </w:pPr>
            <w:r>
              <w:t>4.</w:t>
            </w:r>
            <w:r>
              <w:rPr>
                <w:i/>
              </w:rPr>
              <w:tab/>
              <w:t>Samnýting gagna:</w:t>
            </w:r>
          </w:p>
          <w:p w14:paraId="13A06ACF" w14:textId="77777777" w:rsidR="00D849E8" w:rsidRDefault="00D849E8" w:rsidP="00A9140F">
            <w:pPr>
              <w:pStyle w:val="AnnexNumberedText"/>
              <w:tabs>
                <w:tab w:val="left" w:pos="396"/>
              </w:tabs>
              <w:spacing w:after="200"/>
              <w:ind w:left="0" w:firstLine="0"/>
            </w:pPr>
            <w:r>
              <w:t>4.1.</w:t>
            </w:r>
            <w:r>
              <w:tab/>
              <w:t xml:space="preserve">Að teknu tilhlýðilegu tilliti til reglugerðar (ESB) 2016/679 er verulegur hluti gagna um tap sem tengist starfsemi </w:t>
            </w:r>
            <w:proofErr w:type="spellStart"/>
            <w:r>
              <w:t>vátryggjanda</w:t>
            </w:r>
            <w:proofErr w:type="spellEnd"/>
            <w:r>
              <w:t xml:space="preserve"> gerður aðgengilegur, án endurgjalds, til eins eða fleiri opinberra yfirvalda í þeim tilgangi að gera greinandi rannsókn. Opinberu yfirvöldin lýsa því yfir að notkun gagnanna sé í þeim tilgangi að auka aðlögun þjóðfélagsins að loftslagsbreytingum á landsvæði, í landi eða alþjóðlega og </w:t>
            </w:r>
            <w:proofErr w:type="spellStart"/>
            <w:r>
              <w:t>endurtryggjandinn</w:t>
            </w:r>
            <w:proofErr w:type="spellEnd"/>
            <w:r>
              <w:t xml:space="preserve"> gerir gögnin aðgengileg á nákvæmnistigi sem er fullnægjandi fyrir þá notkun sem viðkomandi opinber yfirvöld hafa tilgreint</w:t>
            </w:r>
          </w:p>
          <w:p w14:paraId="0C2E417F" w14:textId="77777777" w:rsidR="00D849E8" w:rsidRDefault="00D849E8" w:rsidP="00A9140F">
            <w:pPr>
              <w:pStyle w:val="AnnexNumberedText"/>
              <w:tabs>
                <w:tab w:val="left" w:pos="396"/>
              </w:tabs>
              <w:spacing w:after="500"/>
              <w:ind w:left="0" w:firstLine="0"/>
            </w:pPr>
            <w:r>
              <w:t>4.2.</w:t>
            </w:r>
            <w:r>
              <w:tab/>
              <w:t xml:space="preserve">Ef </w:t>
            </w:r>
            <w:proofErr w:type="spellStart"/>
            <w:r>
              <w:t>endurtryggjandinn</w:t>
            </w:r>
            <w:proofErr w:type="spellEnd"/>
            <w:r>
              <w:t xml:space="preserve"> hefur ekki enn deilt slíkum gögnum með opinberu yfirvaldi í fyrrnefndum tilgangi hefur hann lýst yfir ásetningi um að gera gögn sín aðgengileg, án endurgjalds, til þriðju aðila sem hafa hagsmuna að gæta og hefur tilgreint við hvaða skilyrði er hægt að deila slíkum gögnum. Þessi yfirlýsing um ásetning um að deila tiltækum gögnum er auðveldlega aðgengileg, þ.m.t. á vefsetri </w:t>
            </w:r>
            <w:proofErr w:type="spellStart"/>
            <w:r>
              <w:t>endurtryggjandans</w:t>
            </w:r>
            <w:proofErr w:type="spellEnd"/>
            <w:r>
              <w:t>, fyrir viðkomandi opinber yfirvöld.</w:t>
            </w:r>
          </w:p>
          <w:p w14:paraId="659364C0" w14:textId="77777777" w:rsidR="00D849E8" w:rsidRDefault="00D849E8" w:rsidP="00A9140F">
            <w:pPr>
              <w:pStyle w:val="AnnexNumberedText"/>
              <w:tabs>
                <w:tab w:val="left" w:pos="396"/>
              </w:tabs>
              <w:spacing w:after="200"/>
              <w:ind w:left="0" w:firstLine="0"/>
            </w:pPr>
            <w:r>
              <w:t>5.</w:t>
            </w:r>
            <w:r>
              <w:rPr>
                <w:i/>
              </w:rPr>
              <w:tab/>
              <w:t>Hátt þjónustustig eftir hamfaraástand:</w:t>
            </w:r>
          </w:p>
          <w:p w14:paraId="628CFBC1" w14:textId="77777777" w:rsidR="00D849E8" w:rsidRDefault="00D849E8" w:rsidP="00A9140F">
            <w:pPr>
              <w:pStyle w:val="AnnexTableCellLeft"/>
            </w:pPr>
            <w:r>
              <w:t xml:space="preserve">Unnið er úr kröfum innan ramma </w:t>
            </w:r>
            <w:proofErr w:type="spellStart"/>
            <w:r>
              <w:t>endurtryggingastarfsemi</w:t>
            </w:r>
            <w:proofErr w:type="spellEnd"/>
            <w:r>
              <w:t xml:space="preserve">, bæði yfirstandandi og þeim sem stafa af stórum tapatburðum sem eru afleiðing af loftslagsáhættu, af sanngirni gagnvart viðskiptavinum, í samræmi við strangar kröfur um meðhöndlun krafna og tímanlega í samræmi við gildandi lög og enginn misbrestur hefur orðið á því í tengslum við nýlega stóra tapatburði. Eftir því sem við á veitir </w:t>
            </w:r>
            <w:proofErr w:type="spellStart"/>
            <w:r>
              <w:t>endurtryggjandinn</w:t>
            </w:r>
            <w:proofErr w:type="spellEnd"/>
            <w:r>
              <w:t xml:space="preserve"> </w:t>
            </w:r>
            <w:proofErr w:type="spellStart"/>
            <w:r>
              <w:t>vátryggjandanum</w:t>
            </w:r>
            <w:proofErr w:type="spellEnd"/>
            <w:r>
              <w:t xml:space="preserve"> eða </w:t>
            </w:r>
            <w:proofErr w:type="spellStart"/>
            <w:r>
              <w:t>endurtryggingamiðlaranum</w:t>
            </w:r>
            <w:proofErr w:type="spellEnd"/>
            <w:r>
              <w:t xml:space="preserve"> stuðning við að meta kröfur frá undirliggjandi afurð. Upplýsingar, að því er varðar málsmeðferðarreglur vegna viðbótarráðstafana </w:t>
            </w:r>
            <w:proofErr w:type="spellStart"/>
            <w:r>
              <w:t>endurtryggjandans</w:t>
            </w:r>
            <w:proofErr w:type="spellEnd"/>
            <w:r>
              <w:t xml:space="preserve"> ef um er að ræða stóra tapatburði, eru aðgengilegar öllum.</w:t>
            </w:r>
          </w:p>
        </w:tc>
      </w:tr>
      <w:tr w:rsidR="00D849E8" w14:paraId="222F1BA7" w14:textId="77777777" w:rsidTr="00A9140F">
        <w:trPr>
          <w:trHeight w:val="240"/>
        </w:trPr>
        <w:tc>
          <w:tcPr>
            <w:tcW w:w="8736" w:type="dxa"/>
            <w:gridSpan w:val="2"/>
            <w:tcMar>
              <w:top w:w="100" w:type="dxa"/>
              <w:left w:w="0" w:type="dxa"/>
              <w:bottom w:w="100" w:type="dxa"/>
              <w:right w:w="60" w:type="dxa"/>
            </w:tcMar>
          </w:tcPr>
          <w:p w14:paraId="6AFA5F83" w14:textId="77777777" w:rsidR="00D849E8" w:rsidRDefault="00D849E8" w:rsidP="00A9140F">
            <w:pPr>
              <w:pStyle w:val="AnnexTableCellLeft"/>
            </w:pPr>
            <w:r>
              <w:t>Ekki valda umtalsverðu tjóni</w:t>
            </w:r>
          </w:p>
        </w:tc>
      </w:tr>
      <w:tr w:rsidR="00D849E8" w14:paraId="0910BCB9" w14:textId="77777777" w:rsidTr="00A9140F">
        <w:tc>
          <w:tcPr>
            <w:tcW w:w="2928" w:type="dxa"/>
            <w:tcMar>
              <w:top w:w="100" w:type="dxa"/>
              <w:left w:w="0" w:type="dxa"/>
              <w:bottom w:w="100" w:type="dxa"/>
              <w:right w:w="60" w:type="dxa"/>
            </w:tcMar>
          </w:tcPr>
          <w:p w14:paraId="0444A146" w14:textId="77777777" w:rsidR="00D849E8" w:rsidRDefault="00D849E8" w:rsidP="00A9140F">
            <w:pPr>
              <w:pStyle w:val="AnnexNumberedText"/>
              <w:spacing w:after="0"/>
              <w:ind w:left="293" w:hanging="293"/>
            </w:pPr>
            <w:r>
              <w:t>1)</w:t>
            </w:r>
            <w:r>
              <w:tab/>
              <w:t>Mildun loftslagsbreytinga</w:t>
            </w:r>
          </w:p>
        </w:tc>
        <w:tc>
          <w:tcPr>
            <w:tcW w:w="5808" w:type="dxa"/>
            <w:tcMar>
              <w:top w:w="100" w:type="dxa"/>
              <w:left w:w="60" w:type="dxa"/>
              <w:bottom w:w="100" w:type="dxa"/>
              <w:right w:w="0" w:type="dxa"/>
            </w:tcMar>
          </w:tcPr>
          <w:p w14:paraId="57EBB878" w14:textId="77777777" w:rsidR="00D849E8" w:rsidRDefault="00D849E8" w:rsidP="00A9140F">
            <w:pPr>
              <w:pStyle w:val="AnnexTableCellLeft"/>
            </w:pPr>
            <w:proofErr w:type="spellStart"/>
            <w:r>
              <w:t>Endurtryggingastarfsemin</w:t>
            </w:r>
            <w:proofErr w:type="spellEnd"/>
            <w:r>
              <w:t xml:space="preserve"> nær ekki yfir </w:t>
            </w:r>
            <w:proofErr w:type="spellStart"/>
            <w:r>
              <w:t>afsölun</w:t>
            </w:r>
            <w:proofErr w:type="spellEnd"/>
            <w:r>
              <w:t xml:space="preserve"> </w:t>
            </w:r>
            <w:proofErr w:type="spellStart"/>
            <w:r>
              <w:t>vátryggingar</w:t>
            </w:r>
            <w:proofErr w:type="spellEnd"/>
            <w:r>
              <w:t xml:space="preserve"> vegna vinnslu, geymslu, flutnings eða framleiðslu jarðefnaeldsneytis eða </w:t>
            </w:r>
            <w:proofErr w:type="spellStart"/>
            <w:r>
              <w:t>afsölun</w:t>
            </w:r>
            <w:proofErr w:type="spellEnd"/>
            <w:r>
              <w:t xml:space="preserve"> </w:t>
            </w:r>
            <w:proofErr w:type="spellStart"/>
            <w:r>
              <w:t>vátryggingar</w:t>
            </w:r>
            <w:proofErr w:type="spellEnd"/>
            <w:r>
              <w:t xml:space="preserve"> vegna farartækja, fasteignar eða annarra eigna sem eru ætlaðar í slíkum tilgangi.</w:t>
            </w:r>
          </w:p>
        </w:tc>
      </w:tr>
      <w:tr w:rsidR="00D849E8" w14:paraId="524C4022" w14:textId="77777777" w:rsidTr="00A9140F">
        <w:tc>
          <w:tcPr>
            <w:tcW w:w="2928" w:type="dxa"/>
            <w:tcMar>
              <w:top w:w="100" w:type="dxa"/>
              <w:left w:w="0" w:type="dxa"/>
              <w:bottom w:w="100" w:type="dxa"/>
              <w:right w:w="60" w:type="dxa"/>
            </w:tcMar>
          </w:tcPr>
          <w:p w14:paraId="6224B29D" w14:textId="77777777" w:rsidR="00D849E8" w:rsidRDefault="00D849E8" w:rsidP="00A9140F">
            <w:pPr>
              <w:pStyle w:val="AnnexNumberedText"/>
              <w:spacing w:after="0"/>
              <w:ind w:left="293" w:hanging="293"/>
            </w:pPr>
            <w:r>
              <w:t>3)</w:t>
            </w:r>
            <w:r>
              <w:tab/>
              <w:t>Sjálfbær notkun og verndun vatns- og sjávarauðlinda</w:t>
            </w:r>
          </w:p>
        </w:tc>
        <w:tc>
          <w:tcPr>
            <w:tcW w:w="5808" w:type="dxa"/>
            <w:tcMar>
              <w:top w:w="100" w:type="dxa"/>
              <w:left w:w="60" w:type="dxa"/>
              <w:bottom w:w="100" w:type="dxa"/>
              <w:right w:w="0" w:type="dxa"/>
            </w:tcMar>
          </w:tcPr>
          <w:p w14:paraId="34E50DB9" w14:textId="77777777" w:rsidR="00D849E8" w:rsidRDefault="00D849E8" w:rsidP="00A9140F">
            <w:pPr>
              <w:pStyle w:val="AnnexTableCellLeft"/>
            </w:pPr>
            <w:r>
              <w:t>Á ekki við</w:t>
            </w:r>
          </w:p>
        </w:tc>
      </w:tr>
      <w:tr w:rsidR="00D849E8" w14:paraId="3E924798" w14:textId="77777777" w:rsidTr="00A9140F">
        <w:tc>
          <w:tcPr>
            <w:tcW w:w="2928" w:type="dxa"/>
            <w:tcMar>
              <w:top w:w="100" w:type="dxa"/>
              <w:left w:w="0" w:type="dxa"/>
              <w:bottom w:w="100" w:type="dxa"/>
              <w:right w:w="60" w:type="dxa"/>
            </w:tcMar>
          </w:tcPr>
          <w:p w14:paraId="52452E98" w14:textId="77777777" w:rsidR="00D849E8" w:rsidRDefault="00D849E8" w:rsidP="00A9140F">
            <w:pPr>
              <w:pStyle w:val="AnnexNumberedText"/>
              <w:spacing w:after="0"/>
              <w:ind w:left="293" w:hanging="293"/>
            </w:pPr>
            <w:r>
              <w:t>4)</w:t>
            </w:r>
            <w:r>
              <w:tab/>
              <w:t>Umskipti yfir í hringrásarhagkerfi</w:t>
            </w:r>
          </w:p>
        </w:tc>
        <w:tc>
          <w:tcPr>
            <w:tcW w:w="5808" w:type="dxa"/>
            <w:tcMar>
              <w:top w:w="100" w:type="dxa"/>
              <w:left w:w="60" w:type="dxa"/>
              <w:bottom w:w="100" w:type="dxa"/>
              <w:right w:w="0" w:type="dxa"/>
            </w:tcMar>
          </w:tcPr>
          <w:p w14:paraId="431959AE" w14:textId="77777777" w:rsidR="00D849E8" w:rsidRDefault="00D849E8" w:rsidP="00A9140F">
            <w:pPr>
              <w:pStyle w:val="AnnexTableCellLeft"/>
            </w:pPr>
            <w:r>
              <w:t>Á ekki við</w:t>
            </w:r>
          </w:p>
        </w:tc>
      </w:tr>
      <w:tr w:rsidR="00D849E8" w14:paraId="5368DCDC" w14:textId="77777777" w:rsidTr="00A9140F">
        <w:tc>
          <w:tcPr>
            <w:tcW w:w="2928" w:type="dxa"/>
            <w:tcMar>
              <w:top w:w="100" w:type="dxa"/>
              <w:left w:w="0" w:type="dxa"/>
              <w:bottom w:w="100" w:type="dxa"/>
              <w:right w:w="60" w:type="dxa"/>
            </w:tcMar>
          </w:tcPr>
          <w:p w14:paraId="0CD174D4" w14:textId="77777777" w:rsidR="00D849E8" w:rsidRDefault="00D849E8" w:rsidP="00A9140F">
            <w:pPr>
              <w:pStyle w:val="AnnexNumberedText"/>
              <w:pageBreakBefore/>
              <w:spacing w:after="0"/>
              <w:ind w:left="293" w:hanging="293"/>
            </w:pPr>
            <w:r>
              <w:lastRenderedPageBreak/>
              <w:t>5)</w:t>
            </w:r>
            <w:r>
              <w:tab/>
              <w:t>Mengunarvarnir og eftirlit með mengun</w:t>
            </w:r>
          </w:p>
        </w:tc>
        <w:tc>
          <w:tcPr>
            <w:tcW w:w="5808" w:type="dxa"/>
            <w:tcMar>
              <w:top w:w="100" w:type="dxa"/>
              <w:left w:w="60" w:type="dxa"/>
              <w:bottom w:w="100" w:type="dxa"/>
              <w:right w:w="0" w:type="dxa"/>
            </w:tcMar>
          </w:tcPr>
          <w:p w14:paraId="5A7B9DFD" w14:textId="77777777" w:rsidR="00D849E8" w:rsidRDefault="00D849E8" w:rsidP="00A9140F">
            <w:pPr>
              <w:pStyle w:val="AnnexTableCellLeft"/>
            </w:pPr>
            <w:r>
              <w:t>Á ekki við</w:t>
            </w:r>
          </w:p>
        </w:tc>
      </w:tr>
      <w:tr w:rsidR="00D849E8" w14:paraId="5E8696F2" w14:textId="77777777" w:rsidTr="00A9140F">
        <w:tc>
          <w:tcPr>
            <w:tcW w:w="2928" w:type="dxa"/>
            <w:tcMar>
              <w:top w:w="100" w:type="dxa"/>
              <w:left w:w="0" w:type="dxa"/>
              <w:bottom w:w="100" w:type="dxa"/>
              <w:right w:w="60" w:type="dxa"/>
            </w:tcMar>
          </w:tcPr>
          <w:p w14:paraId="78EDB79D" w14:textId="77777777" w:rsidR="00D849E8" w:rsidRDefault="00D849E8" w:rsidP="00A9140F">
            <w:pPr>
              <w:pStyle w:val="AnnexNumberedText"/>
              <w:spacing w:after="0"/>
              <w:ind w:left="293" w:hanging="293"/>
            </w:pPr>
            <w:r>
              <w:t>6)</w:t>
            </w:r>
            <w:r>
              <w:tab/>
              <w:t>Vernd og endurheimt líffræðilegrar fjölbreytni og vistkerfa</w:t>
            </w:r>
          </w:p>
        </w:tc>
        <w:tc>
          <w:tcPr>
            <w:tcW w:w="5808" w:type="dxa"/>
            <w:tcMar>
              <w:top w:w="100" w:type="dxa"/>
              <w:left w:w="60" w:type="dxa"/>
              <w:bottom w:w="100" w:type="dxa"/>
              <w:right w:w="0" w:type="dxa"/>
            </w:tcMar>
          </w:tcPr>
          <w:p w14:paraId="52A9FE1E" w14:textId="77777777" w:rsidR="00D849E8" w:rsidRDefault="00D849E8" w:rsidP="00A9140F">
            <w:pPr>
              <w:pStyle w:val="AnnexTableCellLeft"/>
            </w:pPr>
            <w:r>
              <w:t>Á ekki við</w:t>
            </w:r>
          </w:p>
        </w:tc>
      </w:tr>
    </w:tbl>
    <w:p w14:paraId="6C5997C8" w14:textId="77777777" w:rsidR="00D849E8" w:rsidRDefault="00D849E8" w:rsidP="00D849E8">
      <w:pPr>
        <w:pStyle w:val="AnnexNumberedText"/>
        <w:ind w:left="504" w:hanging="504"/>
        <w:rPr>
          <w:sz w:val="16"/>
        </w:rPr>
      </w:pPr>
      <w:r>
        <w:t>11.</w:t>
      </w:r>
      <w:r>
        <w:tab/>
      </w:r>
      <w:r>
        <w:rPr>
          <w:sz w:val="16"/>
        </w:rPr>
        <w:t>MENNTUN</w:t>
      </w:r>
    </w:p>
    <w:p w14:paraId="4420B3A4" w14:textId="77777777" w:rsidR="00D849E8" w:rsidRDefault="00D849E8" w:rsidP="00D849E8">
      <w:pPr>
        <w:pStyle w:val="AnnexGrSeq2"/>
        <w:spacing w:after="120"/>
        <w:ind w:left="504"/>
        <w:jc w:val="both"/>
      </w:pPr>
      <w:r>
        <w:rPr>
          <w:i/>
        </w:rPr>
        <w:t>Lýsing á starfseminni</w:t>
      </w:r>
    </w:p>
    <w:p w14:paraId="35986848" w14:textId="77777777" w:rsidR="00D849E8" w:rsidRDefault="00D849E8" w:rsidP="00D849E8">
      <w:pPr>
        <w:pStyle w:val="AnnexNormal"/>
        <w:ind w:left="504"/>
      </w:pPr>
      <w:r>
        <w:t xml:space="preserve">Opinber eða einkarekin fræðsla á hvaða stigi sem er eða fyrir hvaða starfsgrein sem er. Kennslan getur farið fram munnlega eða skriflega og getur átt sér stað gegnum útvarp, sjónvarp, Netið eða með bréfaskiptum. Hún felur í sér fræðslu á vegum mismunandi stofnana í almenna skólakerfinu á mismunandi stigum sem og </w:t>
      </w:r>
      <w:proofErr w:type="spellStart"/>
      <w:r>
        <w:t>fullorðinsfræðslu</w:t>
      </w:r>
      <w:proofErr w:type="spellEnd"/>
      <w:r>
        <w:t xml:space="preserve"> og </w:t>
      </w:r>
      <w:proofErr w:type="spellStart"/>
      <w:r>
        <w:t>læsisverkefni</w:t>
      </w:r>
      <w:proofErr w:type="spellEnd"/>
      <w:r>
        <w:t>, þ.m.t. herskóli, háskóli og fangelsisskóli á viðkomandi stigum.</w:t>
      </w:r>
    </w:p>
    <w:p w14:paraId="32E5537F" w14:textId="77777777" w:rsidR="00D849E8" w:rsidRDefault="00D849E8" w:rsidP="00D849E8">
      <w:pPr>
        <w:pStyle w:val="AnnexNormal"/>
        <w:ind w:left="504"/>
      </w:pPr>
      <w:r>
        <w:t>Atvinnustarfsemin í þessum flokki gæti tengst kóða atvinnugreinaflokkunar Evrópusambandsins P85 í samræmi við atvinnugreinaflokkunina sem komið var á með reglugerð (EB) nr. 1893/2006.</w:t>
      </w:r>
    </w:p>
    <w:p w14:paraId="22C0F19A" w14:textId="77777777" w:rsidR="00D849E8" w:rsidRDefault="00D849E8" w:rsidP="00D849E8">
      <w:pPr>
        <w:pStyle w:val="AnnexNormal"/>
        <w:ind w:left="504"/>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5F0158D7" w14:textId="77777777" w:rsidR="00D849E8" w:rsidRDefault="00D849E8" w:rsidP="00D849E8">
      <w:pPr>
        <w:pStyle w:val="AnnexGrSeq2"/>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3012"/>
        <w:gridCol w:w="5724"/>
      </w:tblGrid>
      <w:tr w:rsidR="00D849E8" w14:paraId="6C01F938" w14:textId="77777777" w:rsidTr="00A9140F">
        <w:trPr>
          <w:trHeight w:val="280"/>
        </w:trPr>
        <w:tc>
          <w:tcPr>
            <w:tcW w:w="8736" w:type="dxa"/>
            <w:gridSpan w:val="2"/>
            <w:tcBorders>
              <w:bottom w:val="single" w:sz="4" w:space="0" w:color="auto"/>
            </w:tcBorders>
            <w:tcMar>
              <w:left w:w="0" w:type="dxa"/>
              <w:right w:w="60" w:type="dxa"/>
            </w:tcMar>
          </w:tcPr>
          <w:p w14:paraId="51BA1D46" w14:textId="77777777" w:rsidR="00D849E8" w:rsidRDefault="00D849E8" w:rsidP="00A9140F">
            <w:pPr>
              <w:pStyle w:val="AnnexTableCellLeft"/>
              <w:spacing w:before="40" w:after="40"/>
            </w:pPr>
            <w:r>
              <w:t>Verulegt framlag til aðlögunar að loftslagsbreytingum</w:t>
            </w:r>
          </w:p>
        </w:tc>
      </w:tr>
      <w:tr w:rsidR="00D849E8" w14:paraId="036972FC" w14:textId="77777777" w:rsidTr="00A9140F">
        <w:trPr>
          <w:trHeight w:val="360"/>
        </w:trPr>
        <w:tc>
          <w:tcPr>
            <w:tcW w:w="8736" w:type="dxa"/>
            <w:gridSpan w:val="2"/>
            <w:tcBorders>
              <w:bottom w:val="nil"/>
            </w:tcBorders>
            <w:tcMar>
              <w:left w:w="0" w:type="dxa"/>
              <w:right w:w="60" w:type="dxa"/>
            </w:tcMar>
          </w:tcPr>
          <w:p w14:paraId="22C2BDAD" w14:textId="77777777" w:rsidR="00D849E8" w:rsidRDefault="00D849E8" w:rsidP="00A9140F">
            <w:pPr>
              <w:pStyle w:val="AnnexNumberedText"/>
              <w:tabs>
                <w:tab w:val="left" w:pos="396"/>
              </w:tabs>
              <w:ind w:left="0" w:firstLine="0"/>
              <w:rPr>
                <w:szCs w:val="18"/>
              </w:rPr>
            </w:pPr>
            <w:r>
              <w:t>1.</w:t>
            </w:r>
            <w:r>
              <w:tab/>
              <w:t>Í starfseminni hefur verið komið í framkvæmd efnislegum og óefnislegum lausnum („aðlögunarlausnum“) sem draga verulega úr helstu efnislegu loftslagsáhættunum sem hafa mikla þýðingu fyrir þessa starfsemi.</w:t>
            </w:r>
          </w:p>
          <w:p w14:paraId="23F351B8" w14:textId="77777777" w:rsidR="00D849E8" w:rsidRDefault="00D849E8" w:rsidP="00A9140F">
            <w:pPr>
              <w:pStyle w:val="AnnexNumberedText"/>
              <w:tabs>
                <w:tab w:val="left" w:pos="396"/>
              </w:tabs>
              <w:ind w:left="0" w:firstLine="0"/>
              <w:rPr>
                <w:szCs w:val="18"/>
              </w:rPr>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892B857" w14:textId="77777777" w:rsidR="00D849E8" w:rsidRDefault="00D849E8" w:rsidP="00A9140F">
            <w:pPr>
              <w:pStyle w:val="AnnexNumberedText"/>
              <w:rPr>
                <w:szCs w:val="18"/>
              </w:rPr>
            </w:pPr>
            <w:r>
              <w:t>a)</w:t>
            </w:r>
            <w:r>
              <w:tab/>
              <w:t>skimun á starfseminni til að greina hvaða efnislega loftslagsáhætta úr skránni í viðbæti A við þennan viðauka getur haft áhrif á árangurinn af atvinnustarfseminni á væntum líftíma hennar,</w:t>
            </w:r>
          </w:p>
          <w:p w14:paraId="3FB6B9CC" w14:textId="77777777" w:rsidR="00D849E8" w:rsidRDefault="00D849E8" w:rsidP="00A9140F">
            <w:pPr>
              <w:pStyle w:val="AnnexNumberedText"/>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600298EE" w14:textId="77777777" w:rsidR="00D849E8" w:rsidRDefault="00D849E8" w:rsidP="00A9140F">
            <w:pPr>
              <w:pStyle w:val="AnnexNumberedText"/>
              <w:rPr>
                <w:szCs w:val="18"/>
              </w:rPr>
            </w:pPr>
            <w:r>
              <w:t>c)</w:t>
            </w:r>
            <w:r>
              <w:tab/>
              <w:t>mat á aðlögunarlausnum sem geta dregið úr greindri efnislegri loftslagsáhættu.</w:t>
            </w:r>
          </w:p>
          <w:p w14:paraId="5EB1C9C9" w14:textId="77777777" w:rsidR="00D849E8" w:rsidRDefault="00D849E8" w:rsidP="00A9140F">
            <w:pPr>
              <w:pStyle w:val="AnnexTableCellLeft"/>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6597105D" w14:textId="77777777" w:rsidR="00D849E8" w:rsidRDefault="00D849E8" w:rsidP="00A9140F">
            <w:pPr>
              <w:pStyle w:val="AnnexNumberedText"/>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F5BB2A6" w14:textId="77777777" w:rsidR="00D849E8" w:rsidRDefault="00D849E8" w:rsidP="00A9140F">
            <w:pPr>
              <w:pStyle w:val="AnnexNumberedText"/>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99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2BE1759B" w14:textId="77777777" w:rsidR="00D849E8" w:rsidRDefault="00D849E8" w:rsidP="00A9140F">
            <w:pPr>
              <w:pStyle w:val="AnnexNumberedText"/>
              <w:tabs>
                <w:tab w:val="left" w:pos="396"/>
              </w:tabs>
              <w:spacing w:after="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997"/>
            </w:r>
            <w:r>
              <w:t>), vísindalegt ritrýnt útgefið efni og líkön með opnum aðgangi (</w:t>
            </w:r>
            <w:r>
              <w:rPr>
                <w:rStyle w:val="Tilvsunneanmlsgrein"/>
                <w:sz w:val="18"/>
                <w:szCs w:val="18"/>
              </w:rPr>
              <w:footnoteReference w:id="998"/>
            </w:r>
            <w:r>
              <w:t>) eða gegn greiðslu.</w:t>
            </w:r>
          </w:p>
        </w:tc>
      </w:tr>
      <w:tr w:rsidR="00D849E8" w14:paraId="2BADAB8C" w14:textId="77777777" w:rsidTr="00A9140F">
        <w:trPr>
          <w:trHeight w:val="360"/>
        </w:trPr>
        <w:tc>
          <w:tcPr>
            <w:tcW w:w="8736" w:type="dxa"/>
            <w:gridSpan w:val="2"/>
            <w:tcBorders>
              <w:top w:val="nil"/>
            </w:tcBorders>
            <w:tcMar>
              <w:left w:w="0" w:type="dxa"/>
              <w:right w:w="60" w:type="dxa"/>
            </w:tcMar>
          </w:tcPr>
          <w:p w14:paraId="7F6CDF72" w14:textId="77777777" w:rsidR="00D849E8" w:rsidRDefault="00D849E8" w:rsidP="00A9140F">
            <w:pPr>
              <w:pStyle w:val="AnnexNumberedText"/>
              <w:pageBreakBefore/>
              <w:tabs>
                <w:tab w:val="left" w:pos="396"/>
              </w:tabs>
              <w:ind w:left="0" w:firstLine="0"/>
              <w:rPr>
                <w:szCs w:val="18"/>
              </w:rPr>
            </w:pPr>
            <w:r>
              <w:lastRenderedPageBreak/>
              <w:t>4.</w:t>
            </w:r>
            <w:r>
              <w:tab/>
              <w:t>Aðlögunarlausnir sem komið er í framkvæmd:</w:t>
            </w:r>
          </w:p>
          <w:p w14:paraId="0EC51792" w14:textId="77777777" w:rsidR="00D849E8" w:rsidRDefault="00D849E8" w:rsidP="00A9140F">
            <w:pPr>
              <w:pStyle w:val="AnnexNumberedText"/>
              <w:rPr>
                <w:szCs w:val="18"/>
              </w:rPr>
            </w:pPr>
            <w:r>
              <w:t>a)</w:t>
            </w:r>
            <w:r>
              <w:tab/>
              <w:t>hafa ekki neikvæð áhrif á viðleitni til aðlögunar eða viðnám annars fólks, náttúru, menningararfleifðar, eigna og annarrar atvinnustarfsemi gegn efnislegri loftslagsáhættu,</w:t>
            </w:r>
          </w:p>
          <w:p w14:paraId="3A25F8F5" w14:textId="77777777" w:rsidR="00D849E8" w:rsidRDefault="00D849E8" w:rsidP="00A9140F">
            <w:pPr>
              <w:pStyle w:val="AnnexNumberedText"/>
              <w:rPr>
                <w:szCs w:val="18"/>
              </w:rPr>
            </w:pPr>
            <w:r>
              <w:t>b)</w:t>
            </w:r>
            <w:r>
              <w:tab/>
              <w:t>eru með náttúrumiðaðar lausnir (</w:t>
            </w:r>
            <w:r>
              <w:rPr>
                <w:rStyle w:val="Tilvsunneanmlsgrein"/>
                <w:sz w:val="18"/>
                <w:szCs w:val="18"/>
              </w:rPr>
              <w:footnoteReference w:id="999"/>
            </w:r>
            <w:r>
              <w:t>) í forgangi eða treyst er á bláa eða græna innviði (</w:t>
            </w:r>
            <w:r>
              <w:rPr>
                <w:rStyle w:val="Tilvsunneanmlsgrein"/>
                <w:sz w:val="18"/>
                <w:szCs w:val="18"/>
              </w:rPr>
              <w:footnoteReference w:id="1000"/>
            </w:r>
            <w:r>
              <w:t>) að því marki sem mögulegt er,</w:t>
            </w:r>
          </w:p>
          <w:p w14:paraId="5DCC9C54" w14:textId="77777777" w:rsidR="00D849E8" w:rsidRDefault="00D849E8" w:rsidP="00A9140F">
            <w:pPr>
              <w:pStyle w:val="AnnexNumberedText"/>
              <w:rPr>
                <w:szCs w:val="18"/>
              </w:rPr>
            </w:pPr>
            <w:r>
              <w:t>c)</w:t>
            </w:r>
            <w:r>
              <w:tab/>
              <w:t>eru í samræmi við staðbundnar, geirabundnar, svæðisbundnar eða landsbundnar aðlögunarstefnur og -áætlanir,</w:t>
            </w:r>
          </w:p>
          <w:p w14:paraId="0D962DBE" w14:textId="77777777" w:rsidR="00D849E8" w:rsidRDefault="00D849E8" w:rsidP="00A9140F">
            <w:pPr>
              <w:pStyle w:val="AnnexNumberedText"/>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56582BA"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3254F5F5" w14:textId="77777777" w:rsidR="00D849E8" w:rsidRDefault="00D849E8" w:rsidP="00A9140F">
            <w:pPr>
              <w:pStyle w:val="AnnexNumberedText"/>
              <w:tabs>
                <w:tab w:val="left" w:pos="396"/>
              </w:tabs>
              <w:ind w:left="0" w:firstLine="0"/>
              <w:rPr>
                <w:szCs w:val="18"/>
              </w:rPr>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006C906C" w14:textId="77777777" w:rsidR="00D849E8" w:rsidRDefault="00D849E8" w:rsidP="00A9140F">
            <w:pPr>
              <w:pStyle w:val="AnnexNumberedText"/>
              <w:rPr>
                <w:szCs w:val="18"/>
              </w:rPr>
            </w:pPr>
            <w:r>
              <w:t>a)</w:t>
            </w:r>
            <w:r>
              <w:tab/>
              <w:t>auki viðnám gegn efnislegri loftslagsáhættu fyrir annað fólk, náttúru, menningararfleifð, eignir og aðra atvinnustarfsemi,</w:t>
            </w:r>
          </w:p>
          <w:p w14:paraId="5FED3F99" w14:textId="77777777" w:rsidR="00D849E8" w:rsidRDefault="00D849E8" w:rsidP="00A9140F">
            <w:pPr>
              <w:pStyle w:val="AnnexNumberedText"/>
              <w:rPr>
                <w:szCs w:val="18"/>
              </w:rPr>
            </w:pPr>
            <w:r>
              <w:t>b)</w:t>
            </w:r>
            <w:r>
              <w:tab/>
              <w:t>stuðli að aðlögunarviðleitni annars fólks, náttúru, menningararfleifðar, eigna og annarrar atvinnustarfsemi.</w:t>
            </w:r>
          </w:p>
        </w:tc>
      </w:tr>
      <w:tr w:rsidR="00D849E8" w14:paraId="126D183F" w14:textId="77777777" w:rsidTr="00A9140F">
        <w:trPr>
          <w:trHeight w:val="240"/>
        </w:trPr>
        <w:tc>
          <w:tcPr>
            <w:tcW w:w="8736" w:type="dxa"/>
            <w:gridSpan w:val="2"/>
            <w:tcMar>
              <w:top w:w="80" w:type="dxa"/>
              <w:left w:w="0" w:type="dxa"/>
              <w:bottom w:w="80" w:type="dxa"/>
              <w:right w:w="60" w:type="dxa"/>
            </w:tcMar>
          </w:tcPr>
          <w:p w14:paraId="409AEC6E" w14:textId="77777777" w:rsidR="00D849E8" w:rsidRDefault="00D849E8" w:rsidP="00A9140F">
            <w:pPr>
              <w:pStyle w:val="AnnexTableCellLeft"/>
            </w:pPr>
            <w:r>
              <w:t>Ekki valda umtalsverðu tjóni</w:t>
            </w:r>
          </w:p>
        </w:tc>
      </w:tr>
      <w:tr w:rsidR="00D849E8" w14:paraId="4BD0AE1E" w14:textId="77777777" w:rsidTr="00A9140F">
        <w:tc>
          <w:tcPr>
            <w:tcW w:w="3012" w:type="dxa"/>
            <w:tcMar>
              <w:top w:w="80" w:type="dxa"/>
              <w:left w:w="0" w:type="dxa"/>
              <w:bottom w:w="80" w:type="dxa"/>
              <w:right w:w="60" w:type="dxa"/>
            </w:tcMar>
          </w:tcPr>
          <w:p w14:paraId="7E47EC05" w14:textId="77777777" w:rsidR="00D849E8" w:rsidRDefault="00D849E8" w:rsidP="00A9140F">
            <w:pPr>
              <w:pStyle w:val="AnnexNumberedText"/>
              <w:spacing w:after="0"/>
              <w:ind w:left="293" w:hanging="293"/>
            </w:pPr>
            <w:r>
              <w:t>1)</w:t>
            </w:r>
            <w:r>
              <w:tab/>
              <w:t>Mildun loftslagsbreytinga</w:t>
            </w:r>
          </w:p>
        </w:tc>
        <w:tc>
          <w:tcPr>
            <w:tcW w:w="5724" w:type="dxa"/>
            <w:tcMar>
              <w:top w:w="80" w:type="dxa"/>
              <w:left w:w="60" w:type="dxa"/>
              <w:bottom w:w="80" w:type="dxa"/>
              <w:right w:w="0" w:type="dxa"/>
            </w:tcMar>
          </w:tcPr>
          <w:p w14:paraId="2836726E" w14:textId="77777777" w:rsidR="00D849E8" w:rsidRDefault="00D849E8" w:rsidP="00A9140F">
            <w:pPr>
              <w:pStyle w:val="AnnexTableCellLeft"/>
            </w:pPr>
            <w:r>
              <w:t>Á ekki við</w:t>
            </w:r>
          </w:p>
        </w:tc>
      </w:tr>
      <w:tr w:rsidR="00D849E8" w14:paraId="0EB632C1" w14:textId="77777777" w:rsidTr="00A9140F">
        <w:tc>
          <w:tcPr>
            <w:tcW w:w="3012" w:type="dxa"/>
            <w:tcMar>
              <w:top w:w="80" w:type="dxa"/>
              <w:left w:w="0" w:type="dxa"/>
              <w:bottom w:w="80" w:type="dxa"/>
              <w:right w:w="60" w:type="dxa"/>
            </w:tcMar>
          </w:tcPr>
          <w:p w14:paraId="1FB48BAB" w14:textId="77777777" w:rsidR="00D849E8" w:rsidRDefault="00D849E8" w:rsidP="00A9140F">
            <w:pPr>
              <w:pStyle w:val="AnnexNumberedText"/>
              <w:spacing w:after="0"/>
              <w:ind w:left="293" w:hanging="293"/>
            </w:pPr>
            <w:r>
              <w:t>3)</w:t>
            </w:r>
            <w:r>
              <w:tab/>
              <w:t>Sjálfbær notkun og verndun vatns- og sjávarauðlinda</w:t>
            </w:r>
          </w:p>
        </w:tc>
        <w:tc>
          <w:tcPr>
            <w:tcW w:w="5724" w:type="dxa"/>
            <w:tcMar>
              <w:top w:w="80" w:type="dxa"/>
              <w:left w:w="60" w:type="dxa"/>
              <w:bottom w:w="80" w:type="dxa"/>
              <w:right w:w="0" w:type="dxa"/>
            </w:tcMar>
          </w:tcPr>
          <w:p w14:paraId="6C5EDFA2" w14:textId="77777777" w:rsidR="00D849E8" w:rsidRDefault="00D849E8" w:rsidP="00A9140F">
            <w:pPr>
              <w:pStyle w:val="AnnexTableCellLeft"/>
            </w:pPr>
            <w:r>
              <w:t>Á ekki við</w:t>
            </w:r>
          </w:p>
        </w:tc>
      </w:tr>
      <w:tr w:rsidR="00D849E8" w14:paraId="396C2EF7" w14:textId="77777777" w:rsidTr="00A9140F">
        <w:tc>
          <w:tcPr>
            <w:tcW w:w="3012" w:type="dxa"/>
            <w:tcMar>
              <w:top w:w="80" w:type="dxa"/>
              <w:left w:w="0" w:type="dxa"/>
              <w:bottom w:w="80" w:type="dxa"/>
              <w:right w:w="60" w:type="dxa"/>
            </w:tcMar>
          </w:tcPr>
          <w:p w14:paraId="7EC5D4FA" w14:textId="77777777" w:rsidR="00D849E8" w:rsidRDefault="00D849E8" w:rsidP="00A9140F">
            <w:pPr>
              <w:pStyle w:val="AnnexNumberedText"/>
              <w:spacing w:after="0"/>
              <w:ind w:left="293" w:hanging="293"/>
            </w:pPr>
            <w:r>
              <w:t>4)</w:t>
            </w:r>
            <w:r>
              <w:tab/>
              <w:t>Umskipti yfir í hringrásarhagkerfi</w:t>
            </w:r>
          </w:p>
        </w:tc>
        <w:tc>
          <w:tcPr>
            <w:tcW w:w="5724" w:type="dxa"/>
            <w:tcMar>
              <w:top w:w="80" w:type="dxa"/>
              <w:left w:w="60" w:type="dxa"/>
              <w:bottom w:w="80" w:type="dxa"/>
              <w:right w:w="0" w:type="dxa"/>
            </w:tcMar>
          </w:tcPr>
          <w:p w14:paraId="068863E0" w14:textId="77777777" w:rsidR="00D849E8" w:rsidRDefault="00D849E8" w:rsidP="00A9140F">
            <w:pPr>
              <w:pStyle w:val="AnnexTableCellLeft"/>
            </w:pPr>
            <w:r>
              <w:t>Á ekki við</w:t>
            </w:r>
          </w:p>
        </w:tc>
      </w:tr>
      <w:tr w:rsidR="00D849E8" w14:paraId="5974D3FB" w14:textId="77777777" w:rsidTr="00A9140F">
        <w:tc>
          <w:tcPr>
            <w:tcW w:w="3012" w:type="dxa"/>
            <w:tcMar>
              <w:top w:w="80" w:type="dxa"/>
              <w:left w:w="0" w:type="dxa"/>
              <w:bottom w:w="80" w:type="dxa"/>
              <w:right w:w="60" w:type="dxa"/>
            </w:tcMar>
          </w:tcPr>
          <w:p w14:paraId="0652821D" w14:textId="77777777" w:rsidR="00D849E8" w:rsidRDefault="00D849E8" w:rsidP="00A9140F">
            <w:pPr>
              <w:pStyle w:val="AnnexNumberedText"/>
              <w:spacing w:after="0"/>
              <w:ind w:left="293" w:hanging="293"/>
            </w:pPr>
            <w:r>
              <w:t>5)</w:t>
            </w:r>
            <w:r>
              <w:tab/>
              <w:t>Mengunarvarnir og eftirlit með mengun</w:t>
            </w:r>
          </w:p>
        </w:tc>
        <w:tc>
          <w:tcPr>
            <w:tcW w:w="5724" w:type="dxa"/>
            <w:tcMar>
              <w:top w:w="80" w:type="dxa"/>
              <w:left w:w="60" w:type="dxa"/>
              <w:bottom w:w="80" w:type="dxa"/>
              <w:right w:w="0" w:type="dxa"/>
            </w:tcMar>
          </w:tcPr>
          <w:p w14:paraId="265657D9" w14:textId="77777777" w:rsidR="00D849E8" w:rsidRDefault="00D849E8" w:rsidP="00A9140F">
            <w:pPr>
              <w:pStyle w:val="AnnexTableCellLeft"/>
            </w:pPr>
            <w:r>
              <w:t>Á ekki við</w:t>
            </w:r>
          </w:p>
        </w:tc>
      </w:tr>
      <w:tr w:rsidR="00D849E8" w14:paraId="5656E61E" w14:textId="77777777" w:rsidTr="00A9140F">
        <w:tc>
          <w:tcPr>
            <w:tcW w:w="3012" w:type="dxa"/>
            <w:tcMar>
              <w:top w:w="80" w:type="dxa"/>
              <w:left w:w="0" w:type="dxa"/>
              <w:bottom w:w="80" w:type="dxa"/>
              <w:right w:w="60" w:type="dxa"/>
            </w:tcMar>
          </w:tcPr>
          <w:p w14:paraId="71F52E34" w14:textId="77777777" w:rsidR="00D849E8" w:rsidRDefault="00D849E8" w:rsidP="00A9140F">
            <w:pPr>
              <w:pStyle w:val="AnnexNumberedText"/>
              <w:spacing w:after="0"/>
              <w:ind w:left="293" w:hanging="293"/>
            </w:pPr>
            <w:r>
              <w:t>6)</w:t>
            </w:r>
            <w:r>
              <w:tab/>
              <w:t>Vernd og endurheimt líffræðilegrar fjölbreytni og vistkerfa</w:t>
            </w:r>
          </w:p>
        </w:tc>
        <w:tc>
          <w:tcPr>
            <w:tcW w:w="5724" w:type="dxa"/>
            <w:tcMar>
              <w:top w:w="80" w:type="dxa"/>
              <w:left w:w="60" w:type="dxa"/>
              <w:bottom w:w="80" w:type="dxa"/>
              <w:right w:w="0" w:type="dxa"/>
            </w:tcMar>
          </w:tcPr>
          <w:p w14:paraId="65FA81EA" w14:textId="77777777" w:rsidR="00D849E8" w:rsidRDefault="00D849E8" w:rsidP="00A9140F">
            <w:pPr>
              <w:pStyle w:val="AnnexTableCellLeft"/>
            </w:pPr>
            <w:r>
              <w:t>Á ekki við</w:t>
            </w:r>
          </w:p>
        </w:tc>
      </w:tr>
    </w:tbl>
    <w:p w14:paraId="5EC6ED41" w14:textId="77777777" w:rsidR="00D849E8" w:rsidRDefault="00D849E8" w:rsidP="00D849E8">
      <w:pPr>
        <w:pStyle w:val="AnnexNumberedText"/>
        <w:ind w:left="504" w:hanging="504"/>
        <w:rPr>
          <w:sz w:val="16"/>
        </w:rPr>
      </w:pPr>
      <w:r>
        <w:t>12.</w:t>
      </w:r>
      <w:r>
        <w:tab/>
      </w:r>
      <w:r>
        <w:rPr>
          <w:sz w:val="16"/>
        </w:rPr>
        <w:t>HEILBRIGÐIS- OG FÉLAGSÞJÓNUSTA</w:t>
      </w:r>
    </w:p>
    <w:p w14:paraId="1088C715" w14:textId="77777777" w:rsidR="00D849E8" w:rsidRDefault="00D849E8" w:rsidP="00D849E8">
      <w:pPr>
        <w:pStyle w:val="AnnexNumberedText"/>
        <w:ind w:left="504" w:hanging="504"/>
      </w:pPr>
      <w:r>
        <w:t>12.1.</w:t>
      </w:r>
      <w:r>
        <w:rPr>
          <w:b/>
        </w:rPr>
        <w:tab/>
        <w:t>Umönnun á dvalarheimilum</w:t>
      </w:r>
    </w:p>
    <w:p w14:paraId="6A4A3CC1" w14:textId="77777777" w:rsidR="00D849E8" w:rsidRDefault="00D849E8" w:rsidP="00D849E8">
      <w:pPr>
        <w:pStyle w:val="AnnexGrSeq3"/>
        <w:spacing w:after="120"/>
        <w:ind w:left="504"/>
        <w:jc w:val="both"/>
      </w:pPr>
      <w:r>
        <w:rPr>
          <w:i/>
        </w:rPr>
        <w:t>Lýsing á starfseminni</w:t>
      </w:r>
    </w:p>
    <w:p w14:paraId="3D09A6EF" w14:textId="77777777" w:rsidR="00D849E8" w:rsidRDefault="00D849E8" w:rsidP="00D849E8">
      <w:pPr>
        <w:pStyle w:val="AnnexNormal"/>
        <w:spacing w:after="120"/>
        <w:ind w:left="504"/>
      </w:pPr>
      <w:r>
        <w:t xml:space="preserve">Veiting heimahjúkrunar ásamt </w:t>
      </w:r>
      <w:proofErr w:type="spellStart"/>
      <w:r>
        <w:t>hjúkrun</w:t>
      </w:r>
      <w:proofErr w:type="spellEnd"/>
      <w:r>
        <w:t xml:space="preserve">, eftirliti eða annars konar umönnun sem íbúarnir hafa þörf fyrir. Aðstaðan er mikilvægur hluti af vinnsluferlinu og umönnunin, sem veitt er, er blanda af heilbrigðis- og félagsþjónustu þar sem heilbrigðisþjónustan er að stærstum hluta veitt sem </w:t>
      </w:r>
      <w:proofErr w:type="spellStart"/>
      <w:r>
        <w:t>hjúkrunarþjónusta</w:t>
      </w:r>
      <w:proofErr w:type="spellEnd"/>
      <w:r>
        <w:t>.</w:t>
      </w:r>
    </w:p>
    <w:p w14:paraId="3655EB1A" w14:textId="77777777" w:rsidR="00D849E8" w:rsidRDefault="00D849E8" w:rsidP="00D849E8">
      <w:pPr>
        <w:pStyle w:val="AnnexNormal"/>
        <w:spacing w:after="120"/>
        <w:ind w:left="504"/>
      </w:pPr>
      <w:r>
        <w:t>Atvinnustarfsemin í þessum flokki gæti tengst kóða atvinnugreinaflokkunar Evrópusambandsins Q87 í samræmi við atvinnugreinaflokkunina sem komið var á með reglugerð (EB) nr. 1893/2006.</w:t>
      </w:r>
    </w:p>
    <w:p w14:paraId="19291AD7" w14:textId="77777777" w:rsidR="00D849E8" w:rsidRDefault="00D849E8" w:rsidP="00D849E8">
      <w:pPr>
        <w:pStyle w:val="AnnexGrSeq3"/>
        <w:spacing w:after="120"/>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88"/>
        <w:gridCol w:w="5748"/>
      </w:tblGrid>
      <w:tr w:rsidR="00D849E8" w14:paraId="27493239" w14:textId="77777777" w:rsidTr="00A9140F">
        <w:trPr>
          <w:trHeight w:val="280"/>
        </w:trPr>
        <w:tc>
          <w:tcPr>
            <w:tcW w:w="8736" w:type="dxa"/>
            <w:gridSpan w:val="2"/>
            <w:tcBorders>
              <w:bottom w:val="single" w:sz="4" w:space="0" w:color="auto"/>
            </w:tcBorders>
            <w:tcMar>
              <w:left w:w="0" w:type="dxa"/>
              <w:right w:w="60" w:type="dxa"/>
            </w:tcMar>
          </w:tcPr>
          <w:p w14:paraId="58F76E24" w14:textId="77777777" w:rsidR="00D849E8" w:rsidRDefault="00D849E8" w:rsidP="00A9140F">
            <w:pPr>
              <w:pStyle w:val="AnnexTableCellLeft"/>
              <w:spacing w:before="40" w:after="40"/>
            </w:pPr>
            <w:r>
              <w:t>Verulegt framlag til aðlögunar að loftslagsbreytingum</w:t>
            </w:r>
          </w:p>
        </w:tc>
      </w:tr>
      <w:tr w:rsidR="00D849E8" w14:paraId="4ACEB452" w14:textId="77777777" w:rsidTr="00A9140F">
        <w:trPr>
          <w:trHeight w:val="360"/>
        </w:trPr>
        <w:tc>
          <w:tcPr>
            <w:tcW w:w="8736" w:type="dxa"/>
            <w:gridSpan w:val="2"/>
            <w:tcBorders>
              <w:bottom w:val="nil"/>
            </w:tcBorders>
            <w:tcMar>
              <w:top w:w="100" w:type="dxa"/>
              <w:left w:w="0" w:type="dxa"/>
              <w:right w:w="60" w:type="dxa"/>
            </w:tcMar>
          </w:tcPr>
          <w:p w14:paraId="3E1871B3" w14:textId="77777777" w:rsidR="00D849E8" w:rsidRDefault="00D849E8" w:rsidP="00A9140F">
            <w:pPr>
              <w:pStyle w:val="AnnexNumberedText"/>
              <w:tabs>
                <w:tab w:val="left" w:pos="396"/>
              </w:tabs>
              <w:spacing w:after="0"/>
              <w:ind w:left="0" w:firstLine="0"/>
            </w:pPr>
            <w:r>
              <w:lastRenderedPageBreak/>
              <w:t>1.</w:t>
            </w:r>
            <w:r>
              <w:tab/>
              <w:t>Í starfseminni hefur verið komið í framkvæmd efnislegum og óefnislegum lausnum („aðlögunarlausnum“) sem draga verulega úr helstu efnislegu loftslagsáhættunum sem hafa mikla þýðingu fyrir þessa starfsemi.</w:t>
            </w:r>
          </w:p>
        </w:tc>
      </w:tr>
      <w:tr w:rsidR="00D849E8" w14:paraId="30777D2E" w14:textId="77777777" w:rsidTr="00A9140F">
        <w:trPr>
          <w:trHeight w:val="360"/>
        </w:trPr>
        <w:tc>
          <w:tcPr>
            <w:tcW w:w="8736" w:type="dxa"/>
            <w:gridSpan w:val="2"/>
            <w:tcBorders>
              <w:top w:val="nil"/>
            </w:tcBorders>
            <w:tcMar>
              <w:left w:w="0" w:type="dxa"/>
              <w:right w:w="60" w:type="dxa"/>
            </w:tcMar>
          </w:tcPr>
          <w:p w14:paraId="76E894E3" w14:textId="77777777" w:rsidR="00D849E8" w:rsidRDefault="00D849E8" w:rsidP="00A9140F">
            <w:pPr>
              <w:pStyle w:val="AnnexNumberedText"/>
              <w:pageBreakBefore/>
              <w:tabs>
                <w:tab w:val="left" w:pos="396"/>
              </w:tabs>
              <w:spacing w:after="180"/>
              <w:ind w:left="0" w:firstLine="0"/>
              <w:rPr>
                <w:szCs w:val="18"/>
              </w:rPr>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3A4C645" w14:textId="77777777" w:rsidR="00D849E8" w:rsidRDefault="00D849E8" w:rsidP="00A9140F">
            <w:pPr>
              <w:pStyle w:val="AnnexNumberedText"/>
              <w:spacing w:after="180"/>
              <w:rPr>
                <w:szCs w:val="18"/>
              </w:rPr>
            </w:pPr>
            <w:r>
              <w:t>a)</w:t>
            </w:r>
            <w:r>
              <w:tab/>
              <w:t>skimun á starfseminni til að greina hvaða efnislega loftslagsáhætta úr skránni í viðbæti A við þennan viðauka getur haft áhrif á árangurinn af atvinnustarfseminni á væntum líftíma hennar,</w:t>
            </w:r>
          </w:p>
          <w:p w14:paraId="73571E01" w14:textId="77777777" w:rsidR="00D849E8" w:rsidRDefault="00D849E8" w:rsidP="00A9140F">
            <w:pPr>
              <w:pStyle w:val="AnnexNumberedText"/>
              <w:spacing w:after="180"/>
              <w:rPr>
                <w:szCs w:val="18"/>
              </w:rPr>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7026FD81" w14:textId="77777777" w:rsidR="00D849E8" w:rsidRDefault="00D849E8" w:rsidP="00A9140F">
            <w:pPr>
              <w:pStyle w:val="AnnexNumberedText"/>
              <w:spacing w:after="180"/>
              <w:rPr>
                <w:szCs w:val="18"/>
              </w:rPr>
            </w:pPr>
            <w:r>
              <w:t>c)</w:t>
            </w:r>
            <w:r>
              <w:tab/>
              <w:t>mat á aðlögunarlausnum sem geta dregið úr greindri efnislegri loftslagsáhættu.</w:t>
            </w:r>
          </w:p>
          <w:p w14:paraId="22D8227E" w14:textId="77777777" w:rsidR="00D849E8" w:rsidRDefault="00D849E8" w:rsidP="00A9140F">
            <w:pPr>
              <w:pStyle w:val="AnnexTableCellLeft"/>
              <w:spacing w:after="180"/>
              <w:rPr>
                <w:szCs w:val="18"/>
              </w:rPr>
            </w:pPr>
            <w:r>
              <w:t xml:space="preserve">Loftslagsáhættu- og veikleikamatið er í réttu hlutfalli við umfang starfseminnar og </w:t>
            </w:r>
            <w:proofErr w:type="spellStart"/>
            <w:r>
              <w:t>væntan</w:t>
            </w:r>
            <w:proofErr w:type="spellEnd"/>
            <w:r>
              <w:t xml:space="preserve"> líftíma hennar þannig að:</w:t>
            </w:r>
          </w:p>
          <w:p w14:paraId="58B01383" w14:textId="77777777" w:rsidR="00D849E8" w:rsidRDefault="00D849E8" w:rsidP="00A9140F">
            <w:pPr>
              <w:pStyle w:val="AnnexNumberedText"/>
              <w:spacing w:after="180"/>
              <w:rPr>
                <w:szCs w:val="18"/>
              </w:rPr>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5E97D53" w14:textId="77777777" w:rsidR="00D849E8" w:rsidRDefault="00D849E8" w:rsidP="00A9140F">
            <w:pPr>
              <w:pStyle w:val="AnnexNumberedText"/>
              <w:spacing w:after="18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100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1979D935" w14:textId="77777777" w:rsidR="00D849E8" w:rsidRDefault="00D849E8" w:rsidP="00A9140F">
            <w:pPr>
              <w:pStyle w:val="AnnexNumberedText"/>
              <w:tabs>
                <w:tab w:val="left" w:pos="396"/>
              </w:tabs>
              <w:spacing w:after="18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1002"/>
            </w:r>
            <w:r>
              <w:t>), vísindalegt ritrýnt útgefið efni og líkön með opnum aðgangi (</w:t>
            </w:r>
            <w:r>
              <w:rPr>
                <w:rStyle w:val="Tilvsunneanmlsgrein"/>
                <w:sz w:val="18"/>
                <w:szCs w:val="18"/>
              </w:rPr>
              <w:footnoteReference w:id="1003"/>
            </w:r>
            <w:r>
              <w:t>) eða gegn greiðslu.</w:t>
            </w:r>
          </w:p>
          <w:p w14:paraId="728E8A10" w14:textId="77777777" w:rsidR="00D849E8" w:rsidRDefault="00D849E8" w:rsidP="00A9140F">
            <w:pPr>
              <w:pStyle w:val="AnnexNumberedText"/>
              <w:tabs>
                <w:tab w:val="left" w:pos="396"/>
              </w:tabs>
              <w:spacing w:after="180"/>
              <w:ind w:left="0" w:firstLine="0"/>
              <w:rPr>
                <w:szCs w:val="18"/>
              </w:rPr>
            </w:pPr>
            <w:r>
              <w:t>4.</w:t>
            </w:r>
            <w:r>
              <w:tab/>
              <w:t>Aðlögunarlausnir sem komið er í framkvæmd:</w:t>
            </w:r>
          </w:p>
          <w:p w14:paraId="61537069" w14:textId="77777777" w:rsidR="00D849E8" w:rsidRDefault="00D849E8" w:rsidP="00A9140F">
            <w:pPr>
              <w:pStyle w:val="AnnexNumberedText"/>
              <w:spacing w:after="180"/>
              <w:rPr>
                <w:szCs w:val="18"/>
              </w:rPr>
            </w:pPr>
            <w:r>
              <w:t>a)</w:t>
            </w:r>
            <w:r>
              <w:tab/>
              <w:t>hafa ekki neikvæð áhrif á viðleitni til aðlögunar eða viðnám annars fólks, náttúru, menningararfleifðar, eigna og annarrar atvinnustarfsemi gegn efnislegri loftslagsáhættu,</w:t>
            </w:r>
          </w:p>
          <w:p w14:paraId="590C5BDD" w14:textId="77777777" w:rsidR="00D849E8" w:rsidRDefault="00D849E8" w:rsidP="00A9140F">
            <w:pPr>
              <w:pStyle w:val="AnnexNumberedText"/>
              <w:spacing w:after="180"/>
              <w:rPr>
                <w:szCs w:val="18"/>
              </w:rPr>
            </w:pPr>
            <w:r>
              <w:t>b)</w:t>
            </w:r>
            <w:r>
              <w:tab/>
              <w:t>eru með náttúrumiðaðar lausnir (</w:t>
            </w:r>
            <w:r>
              <w:rPr>
                <w:rStyle w:val="Tilvsunneanmlsgrein"/>
                <w:sz w:val="18"/>
                <w:szCs w:val="18"/>
              </w:rPr>
              <w:footnoteReference w:id="1004"/>
            </w:r>
            <w:r>
              <w:t>) í forgangi eða treyst er á bláa eða græna innviði (</w:t>
            </w:r>
            <w:r>
              <w:rPr>
                <w:rStyle w:val="Tilvsunneanmlsgrein"/>
                <w:sz w:val="18"/>
                <w:szCs w:val="18"/>
              </w:rPr>
              <w:footnoteReference w:id="1005"/>
            </w:r>
            <w:r>
              <w:t>) að því marki sem mögulegt er,</w:t>
            </w:r>
          </w:p>
          <w:p w14:paraId="4A2D0075" w14:textId="77777777" w:rsidR="00D849E8" w:rsidRDefault="00D849E8" w:rsidP="00A9140F">
            <w:pPr>
              <w:pStyle w:val="AnnexNumberedText"/>
              <w:spacing w:after="180"/>
              <w:rPr>
                <w:szCs w:val="18"/>
              </w:rPr>
            </w:pPr>
            <w:r>
              <w:t>c)</w:t>
            </w:r>
            <w:r>
              <w:tab/>
              <w:t>eru í samræmi við staðbundnar, geirabundnar, svæðisbundnar eða landsbundnar aðlögunarstefnur og -áætlanir,</w:t>
            </w:r>
          </w:p>
          <w:p w14:paraId="3B7753CF" w14:textId="77777777" w:rsidR="00D849E8" w:rsidRDefault="00D849E8" w:rsidP="00A9140F">
            <w:pPr>
              <w:pStyle w:val="AnnexNumberedText"/>
              <w:spacing w:after="18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6BD6F4BA" w14:textId="77777777" w:rsidR="00D849E8" w:rsidRDefault="00D849E8" w:rsidP="00A9140F">
            <w:pPr>
              <w:pStyle w:val="AnnexNumberedText"/>
              <w:rPr>
                <w:szCs w:val="18"/>
              </w:rPr>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tc>
      </w:tr>
      <w:tr w:rsidR="00D849E8" w14:paraId="667CAAD3" w14:textId="77777777" w:rsidTr="00A9140F">
        <w:trPr>
          <w:trHeight w:val="240"/>
        </w:trPr>
        <w:tc>
          <w:tcPr>
            <w:tcW w:w="8736" w:type="dxa"/>
            <w:gridSpan w:val="2"/>
            <w:tcMar>
              <w:top w:w="100" w:type="dxa"/>
              <w:left w:w="0" w:type="dxa"/>
              <w:bottom w:w="100" w:type="dxa"/>
              <w:right w:w="60" w:type="dxa"/>
            </w:tcMar>
          </w:tcPr>
          <w:p w14:paraId="730A200E" w14:textId="77777777" w:rsidR="00D849E8" w:rsidRDefault="00D849E8" w:rsidP="00A9140F">
            <w:pPr>
              <w:pStyle w:val="AnnexTableCellLeft"/>
            </w:pPr>
            <w:r>
              <w:t>Ekki valda umtalsverðu tjóni</w:t>
            </w:r>
          </w:p>
        </w:tc>
      </w:tr>
      <w:tr w:rsidR="00D849E8" w14:paraId="576106B1" w14:textId="77777777" w:rsidTr="00A9140F">
        <w:tc>
          <w:tcPr>
            <w:tcW w:w="2988" w:type="dxa"/>
            <w:tcMar>
              <w:top w:w="100" w:type="dxa"/>
              <w:left w:w="0" w:type="dxa"/>
              <w:bottom w:w="100" w:type="dxa"/>
              <w:right w:w="60" w:type="dxa"/>
            </w:tcMar>
          </w:tcPr>
          <w:p w14:paraId="57B256AA" w14:textId="77777777" w:rsidR="00D849E8" w:rsidRDefault="00D849E8" w:rsidP="00A9140F">
            <w:pPr>
              <w:pStyle w:val="AnnexNumberedText"/>
              <w:spacing w:after="0"/>
              <w:ind w:left="293" w:hanging="293"/>
            </w:pPr>
            <w:r>
              <w:t>1)</w:t>
            </w:r>
            <w:r>
              <w:tab/>
              <w:t>Mildun loftslagsbreytinga</w:t>
            </w:r>
          </w:p>
        </w:tc>
        <w:tc>
          <w:tcPr>
            <w:tcW w:w="5748" w:type="dxa"/>
            <w:tcMar>
              <w:top w:w="100" w:type="dxa"/>
              <w:left w:w="60" w:type="dxa"/>
              <w:bottom w:w="100" w:type="dxa"/>
              <w:right w:w="0" w:type="dxa"/>
            </w:tcMar>
          </w:tcPr>
          <w:p w14:paraId="6FB394D1" w14:textId="77777777" w:rsidR="00D849E8" w:rsidRDefault="00D849E8" w:rsidP="00A9140F">
            <w:pPr>
              <w:pStyle w:val="AnnexTableCellLeft"/>
            </w:pPr>
            <w:r>
              <w:t>Á ekki við</w:t>
            </w:r>
          </w:p>
        </w:tc>
      </w:tr>
      <w:tr w:rsidR="00D849E8" w14:paraId="746D525D" w14:textId="77777777" w:rsidTr="00A9140F">
        <w:tc>
          <w:tcPr>
            <w:tcW w:w="2988" w:type="dxa"/>
            <w:tcMar>
              <w:top w:w="100" w:type="dxa"/>
              <w:left w:w="0" w:type="dxa"/>
              <w:bottom w:w="100" w:type="dxa"/>
              <w:right w:w="60" w:type="dxa"/>
            </w:tcMar>
          </w:tcPr>
          <w:p w14:paraId="404A9C60" w14:textId="77777777" w:rsidR="00D849E8" w:rsidRDefault="00D849E8" w:rsidP="00A9140F">
            <w:pPr>
              <w:pStyle w:val="AnnexNumberedText"/>
              <w:spacing w:after="0"/>
              <w:ind w:left="293" w:hanging="293"/>
            </w:pPr>
            <w:r>
              <w:t>3)</w:t>
            </w:r>
            <w:r>
              <w:tab/>
              <w:t xml:space="preserve">Sjálfbær notkun og verndun vatns- </w:t>
            </w:r>
            <w:r>
              <w:lastRenderedPageBreak/>
              <w:t>og sjávarauðlinda</w:t>
            </w:r>
          </w:p>
        </w:tc>
        <w:tc>
          <w:tcPr>
            <w:tcW w:w="5748" w:type="dxa"/>
            <w:tcMar>
              <w:top w:w="100" w:type="dxa"/>
              <w:left w:w="60" w:type="dxa"/>
              <w:bottom w:w="100" w:type="dxa"/>
              <w:right w:w="0" w:type="dxa"/>
            </w:tcMar>
          </w:tcPr>
          <w:p w14:paraId="095DF42F" w14:textId="77777777" w:rsidR="00D849E8" w:rsidRDefault="00D849E8" w:rsidP="00A9140F">
            <w:pPr>
              <w:pStyle w:val="AnnexTableCellLeft"/>
            </w:pPr>
            <w:r>
              <w:lastRenderedPageBreak/>
              <w:t>Á ekki við</w:t>
            </w:r>
          </w:p>
        </w:tc>
      </w:tr>
      <w:tr w:rsidR="00D849E8" w14:paraId="1F27644D" w14:textId="77777777" w:rsidTr="00A9140F">
        <w:tc>
          <w:tcPr>
            <w:tcW w:w="2988" w:type="dxa"/>
            <w:tcMar>
              <w:top w:w="100" w:type="dxa"/>
              <w:left w:w="0" w:type="dxa"/>
              <w:bottom w:w="100" w:type="dxa"/>
              <w:right w:w="60" w:type="dxa"/>
            </w:tcMar>
          </w:tcPr>
          <w:p w14:paraId="20FDA8D5" w14:textId="77777777" w:rsidR="00D849E8" w:rsidRDefault="00D849E8" w:rsidP="00A9140F">
            <w:pPr>
              <w:pStyle w:val="AnnexNumberedText"/>
              <w:pageBreakBefore/>
              <w:spacing w:after="0"/>
              <w:ind w:left="293" w:hanging="293"/>
            </w:pPr>
            <w:r>
              <w:lastRenderedPageBreak/>
              <w:t>4)</w:t>
            </w:r>
            <w:r>
              <w:tab/>
              <w:t>Umskipti yfir í hringrásarhagkerfi</w:t>
            </w:r>
          </w:p>
        </w:tc>
        <w:tc>
          <w:tcPr>
            <w:tcW w:w="5748" w:type="dxa"/>
            <w:tcMar>
              <w:top w:w="100" w:type="dxa"/>
              <w:left w:w="60" w:type="dxa"/>
              <w:bottom w:w="100" w:type="dxa"/>
              <w:right w:w="0" w:type="dxa"/>
            </w:tcMar>
          </w:tcPr>
          <w:p w14:paraId="3E42AE59" w14:textId="77777777" w:rsidR="00D849E8" w:rsidRDefault="00D849E8" w:rsidP="00A9140F">
            <w:pPr>
              <w:pStyle w:val="AnnexTableCellLeft"/>
            </w:pPr>
            <w:r>
              <w:t>Á ekki við</w:t>
            </w:r>
          </w:p>
        </w:tc>
      </w:tr>
      <w:tr w:rsidR="00D849E8" w14:paraId="2D94C564" w14:textId="77777777" w:rsidTr="00A9140F">
        <w:tc>
          <w:tcPr>
            <w:tcW w:w="2988" w:type="dxa"/>
            <w:tcMar>
              <w:top w:w="100" w:type="dxa"/>
              <w:left w:w="0" w:type="dxa"/>
              <w:bottom w:w="100" w:type="dxa"/>
              <w:right w:w="60" w:type="dxa"/>
            </w:tcMar>
          </w:tcPr>
          <w:p w14:paraId="453F9AE4" w14:textId="77777777" w:rsidR="00D849E8" w:rsidRDefault="00D849E8" w:rsidP="00A9140F">
            <w:pPr>
              <w:pStyle w:val="AnnexNumberedText"/>
              <w:spacing w:after="0"/>
              <w:ind w:left="293" w:hanging="293"/>
            </w:pPr>
            <w:r>
              <w:t>5)</w:t>
            </w:r>
            <w:r>
              <w:tab/>
              <w:t>Mengunarvarnir og eftirlit með mengun</w:t>
            </w:r>
          </w:p>
        </w:tc>
        <w:tc>
          <w:tcPr>
            <w:tcW w:w="5748" w:type="dxa"/>
            <w:tcMar>
              <w:top w:w="100" w:type="dxa"/>
              <w:left w:w="60" w:type="dxa"/>
              <w:bottom w:w="100" w:type="dxa"/>
              <w:right w:w="0" w:type="dxa"/>
            </w:tcMar>
          </w:tcPr>
          <w:p w14:paraId="3425EA28" w14:textId="77777777" w:rsidR="00D849E8" w:rsidRDefault="00D849E8" w:rsidP="00A9140F">
            <w:pPr>
              <w:pStyle w:val="AnnexTableCellLeft"/>
            </w:pPr>
            <w:r>
              <w:t>Úrgangsstjórnunaráætlun er til staðar og tryggir 1) örugga og umhverfisvæna meðhöndlun á hættulegum úrgangi (einkum eitraður eða smitandi úrgangur) og lyfjum og 2) hámarksendurnotkun eða endurvinnslu á hættulausum úrgangi, þ.m.t. með samningsbundnu samkomulagi við samstarfsaðila um meðhöndlun úrgangs.</w:t>
            </w:r>
          </w:p>
        </w:tc>
      </w:tr>
      <w:tr w:rsidR="00D849E8" w14:paraId="5984FEAE" w14:textId="77777777" w:rsidTr="00A9140F">
        <w:tc>
          <w:tcPr>
            <w:tcW w:w="2988" w:type="dxa"/>
            <w:tcMar>
              <w:top w:w="100" w:type="dxa"/>
              <w:left w:w="0" w:type="dxa"/>
              <w:bottom w:w="100" w:type="dxa"/>
              <w:right w:w="60" w:type="dxa"/>
            </w:tcMar>
          </w:tcPr>
          <w:p w14:paraId="3F656465" w14:textId="77777777" w:rsidR="00D849E8" w:rsidRDefault="00D849E8" w:rsidP="00A9140F">
            <w:pPr>
              <w:pStyle w:val="AnnexNumberedText"/>
              <w:spacing w:after="0"/>
              <w:ind w:left="293" w:hanging="293"/>
            </w:pPr>
            <w:r>
              <w:t>6)</w:t>
            </w:r>
            <w:r>
              <w:tab/>
              <w:t>Vernd og endurheimt líffræðilegrar fjölbreytni og vistkerfa</w:t>
            </w:r>
          </w:p>
        </w:tc>
        <w:tc>
          <w:tcPr>
            <w:tcW w:w="5748" w:type="dxa"/>
            <w:tcMar>
              <w:top w:w="100" w:type="dxa"/>
              <w:left w:w="60" w:type="dxa"/>
              <w:bottom w:w="100" w:type="dxa"/>
              <w:right w:w="0" w:type="dxa"/>
            </w:tcMar>
          </w:tcPr>
          <w:p w14:paraId="2FC95314" w14:textId="77777777" w:rsidR="00D849E8" w:rsidRDefault="00D849E8" w:rsidP="00A9140F">
            <w:pPr>
              <w:pStyle w:val="AnnexTableCellLeft"/>
            </w:pPr>
            <w:r>
              <w:t>Á ekki við</w:t>
            </w:r>
          </w:p>
        </w:tc>
      </w:tr>
    </w:tbl>
    <w:p w14:paraId="5E2B3FF0" w14:textId="77777777" w:rsidR="00D849E8" w:rsidRDefault="00D849E8" w:rsidP="00D849E8">
      <w:pPr>
        <w:pStyle w:val="AnnexNumberedText"/>
        <w:ind w:left="504" w:hanging="504"/>
        <w:rPr>
          <w:sz w:val="16"/>
        </w:rPr>
      </w:pPr>
      <w:r>
        <w:t>13.</w:t>
      </w:r>
      <w:r>
        <w:tab/>
      </w:r>
      <w:r>
        <w:rPr>
          <w:sz w:val="16"/>
        </w:rPr>
        <w:t>MENNINGAR-, ÍÞRÓTTA- OG TÓMSTUNDASTARFSEMI</w:t>
      </w:r>
    </w:p>
    <w:p w14:paraId="3C40B527" w14:textId="77777777" w:rsidR="00D849E8" w:rsidRDefault="00D849E8" w:rsidP="00D849E8">
      <w:pPr>
        <w:pStyle w:val="AnnexNumberedText"/>
        <w:ind w:left="504" w:hanging="504"/>
      </w:pPr>
      <w:r>
        <w:t>13.1.</w:t>
      </w:r>
      <w:r>
        <w:rPr>
          <w:b/>
        </w:rPr>
        <w:tab/>
        <w:t>Skapandi starfsemi, menningar- og tómstundastarfsemi</w:t>
      </w:r>
    </w:p>
    <w:p w14:paraId="19726047" w14:textId="77777777" w:rsidR="00D849E8" w:rsidRDefault="00D849E8" w:rsidP="00D849E8">
      <w:pPr>
        <w:pStyle w:val="AnnexGrSeq3"/>
        <w:spacing w:after="120"/>
        <w:ind w:left="504"/>
        <w:jc w:val="both"/>
      </w:pPr>
      <w:r>
        <w:rPr>
          <w:i/>
        </w:rPr>
        <w:t>Lýsing á starfseminni</w:t>
      </w:r>
    </w:p>
    <w:p w14:paraId="53E445BB" w14:textId="77777777" w:rsidR="00D849E8" w:rsidRDefault="00D849E8" w:rsidP="00D849E8">
      <w:pPr>
        <w:pStyle w:val="AnnexNormal"/>
        <w:spacing w:after="300"/>
        <w:ind w:left="504"/>
      </w:pPr>
      <w:r>
        <w:t>Skapandi starfsemi, menningar- og tómstundastarfsemi nær yfir veitingu þjónustu til að koma til móts við áhuga viðskiptavina þeirra á menningu og tómstundum. Þetta felur í sér framleiðslu og kynningu á og þátttöku í listflutningi, viðburðum eða sýningum sem eru ætlaðar til áhorfs fyrir almenning og veitingu listrænnar, skapandi eða tæknilegrar kunnáttu við framleiðslu listrænna afurða og listviðburða. Í þessari starfsemi er undanskilinn rekstur safna af hvaða tegund sem er, grasagarða og dýragarða, varðveisla sögulegra staða og starfsemi þjóðgarða, fjárhættustarfsemi og veðmálastarfsemi sem og íþrótta- og afþreyingar- og tómstundastarfsemi.</w:t>
      </w:r>
    </w:p>
    <w:p w14:paraId="7753EAC6" w14:textId="77777777" w:rsidR="00D849E8" w:rsidRDefault="00D849E8" w:rsidP="00D849E8">
      <w:pPr>
        <w:pStyle w:val="AnnexNormal"/>
        <w:spacing w:after="300"/>
        <w:ind w:left="504"/>
      </w:pPr>
      <w:r>
        <w:t>Atvinnustarfsemin í þessum flokki gæti tengst kóða atvinnugreinaflokkunar Evrópusambandsins R90 í samræmi við atvinnugreinaflokkunina sem komið var á með reglugerð (EB) nr. 1893/2006.</w:t>
      </w:r>
    </w:p>
    <w:p w14:paraId="6962B7F2" w14:textId="77777777" w:rsidR="00D849E8" w:rsidRDefault="00D849E8" w:rsidP="00D849E8">
      <w:pPr>
        <w:pStyle w:val="AnnexNormal"/>
        <w:spacing w:after="300"/>
        <w:ind w:left="504"/>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0B37AF3C"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28"/>
        <w:gridCol w:w="5808"/>
      </w:tblGrid>
      <w:tr w:rsidR="00D849E8" w14:paraId="27C5109C" w14:textId="77777777" w:rsidTr="00A9140F">
        <w:trPr>
          <w:trHeight w:val="240"/>
        </w:trPr>
        <w:tc>
          <w:tcPr>
            <w:tcW w:w="8736" w:type="dxa"/>
            <w:gridSpan w:val="2"/>
            <w:tcBorders>
              <w:bottom w:val="single" w:sz="4" w:space="0" w:color="auto"/>
            </w:tcBorders>
            <w:tcMar>
              <w:left w:w="0" w:type="dxa"/>
              <w:right w:w="60" w:type="dxa"/>
            </w:tcMar>
          </w:tcPr>
          <w:p w14:paraId="724A4EFC" w14:textId="77777777" w:rsidR="00D849E8" w:rsidRDefault="00D849E8" w:rsidP="00A9140F">
            <w:pPr>
              <w:pStyle w:val="AnnexTableCellLeft"/>
              <w:spacing w:before="40" w:after="40"/>
            </w:pPr>
            <w:r>
              <w:t>Verulegt framlag til aðlögunar að loftslagsbreytingum</w:t>
            </w:r>
          </w:p>
        </w:tc>
      </w:tr>
      <w:tr w:rsidR="00D849E8" w14:paraId="15E99E22" w14:textId="77777777" w:rsidTr="00A9140F">
        <w:trPr>
          <w:trHeight w:val="360"/>
        </w:trPr>
        <w:tc>
          <w:tcPr>
            <w:tcW w:w="8736" w:type="dxa"/>
            <w:gridSpan w:val="2"/>
            <w:tcBorders>
              <w:bottom w:val="nil"/>
            </w:tcBorders>
            <w:tcMar>
              <w:left w:w="0" w:type="dxa"/>
              <w:right w:w="60" w:type="dxa"/>
            </w:tcMar>
          </w:tcPr>
          <w:p w14:paraId="4E1AFC46" w14:textId="77777777" w:rsidR="00D849E8" w:rsidRDefault="00D849E8" w:rsidP="00A9140F">
            <w:pPr>
              <w:pStyle w:val="AnnexNumberedText"/>
              <w:tabs>
                <w:tab w:val="left" w:pos="396"/>
              </w:tabs>
              <w:spacing w:after="16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7C4CEDD5" w14:textId="77777777" w:rsidR="00D849E8" w:rsidRDefault="00D849E8" w:rsidP="00A9140F">
            <w:pPr>
              <w:pStyle w:val="AnnexNumberedText"/>
              <w:tabs>
                <w:tab w:val="left" w:pos="396"/>
              </w:tabs>
              <w:spacing w:after="16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2E4CED81" w14:textId="77777777" w:rsidR="00D849E8" w:rsidRDefault="00D849E8" w:rsidP="00A9140F">
            <w:pPr>
              <w:pStyle w:val="AnnexNumberedText"/>
              <w:spacing w:after="160"/>
            </w:pPr>
            <w:r>
              <w:t>a)</w:t>
            </w:r>
            <w:r>
              <w:tab/>
              <w:t>skimun á starfseminni til að greina hvaða efnislega loftslagsáhætta úr skránni í viðbæti A við þennan viðauka getur haft áhrif á árangurinn af atvinnustarfseminni á væntum líftíma hennar,</w:t>
            </w:r>
          </w:p>
          <w:p w14:paraId="584041B5" w14:textId="77777777" w:rsidR="00D849E8" w:rsidRDefault="00D849E8" w:rsidP="00A9140F">
            <w:pPr>
              <w:pStyle w:val="AnnexNumberedText"/>
              <w:spacing w:after="16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425A069" w14:textId="77777777" w:rsidR="00D849E8" w:rsidRDefault="00D849E8" w:rsidP="00A9140F">
            <w:pPr>
              <w:pStyle w:val="AnnexNumberedText"/>
              <w:spacing w:after="160"/>
            </w:pPr>
            <w:r>
              <w:t>c)</w:t>
            </w:r>
            <w:r>
              <w:tab/>
              <w:t>mat á aðlögunarlausnum sem geta dregið úr greindri efnislegri loftslagsáhættu.</w:t>
            </w:r>
          </w:p>
          <w:p w14:paraId="2287A5F3" w14:textId="77777777" w:rsidR="00D849E8" w:rsidRDefault="00D849E8" w:rsidP="00A9140F">
            <w:pPr>
              <w:pStyle w:val="AnnexTableCellLeft"/>
              <w:spacing w:after="160"/>
            </w:pPr>
            <w:r>
              <w:t xml:space="preserve">Loftslagsáhættu- og veikleikamatið er í réttu hlutfalli við umfang starfseminnar og </w:t>
            </w:r>
            <w:proofErr w:type="spellStart"/>
            <w:r>
              <w:t>væntan</w:t>
            </w:r>
            <w:proofErr w:type="spellEnd"/>
            <w:r>
              <w:t xml:space="preserve"> líftíma hennar þannig að:</w:t>
            </w:r>
          </w:p>
          <w:p w14:paraId="48F631E5" w14:textId="77777777" w:rsidR="00D849E8" w:rsidRDefault="00D849E8" w:rsidP="00A9140F">
            <w:pPr>
              <w:pStyle w:val="AnnexNumberedText"/>
              <w:spacing w:after="16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27E4F722" w14:textId="77777777" w:rsidR="00D849E8" w:rsidRDefault="00D849E8" w:rsidP="00A9140F">
            <w:pPr>
              <w:pStyle w:val="AnnexNumberedText"/>
              <w:spacing w:after="0"/>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100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tc>
      </w:tr>
      <w:tr w:rsidR="00D849E8" w14:paraId="6F6355A9" w14:textId="77777777" w:rsidTr="00A9140F">
        <w:trPr>
          <w:trHeight w:val="360"/>
        </w:trPr>
        <w:tc>
          <w:tcPr>
            <w:tcW w:w="8736" w:type="dxa"/>
            <w:gridSpan w:val="2"/>
            <w:tcBorders>
              <w:top w:val="nil"/>
            </w:tcBorders>
            <w:tcMar>
              <w:left w:w="0" w:type="dxa"/>
              <w:right w:w="60" w:type="dxa"/>
            </w:tcMar>
          </w:tcPr>
          <w:p w14:paraId="3E643C78" w14:textId="77777777" w:rsidR="00D849E8" w:rsidRDefault="00D849E8" w:rsidP="00A9140F">
            <w:pPr>
              <w:pStyle w:val="AnnexNumberedText"/>
              <w:pageBreakBefore/>
              <w:tabs>
                <w:tab w:val="left" w:pos="396"/>
              </w:tabs>
              <w:ind w:left="0" w:firstLine="0"/>
              <w:rPr>
                <w:szCs w:val="18"/>
              </w:rPr>
            </w:pPr>
            <w:r>
              <w:lastRenderedPageBreak/>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1007"/>
            </w:r>
            <w:r>
              <w:t>), vísindalegt ritrýnt útgefið efni og líkön með opnum aðgangi (</w:t>
            </w:r>
            <w:r>
              <w:rPr>
                <w:rStyle w:val="Tilvsunneanmlsgrein"/>
                <w:sz w:val="18"/>
                <w:szCs w:val="18"/>
              </w:rPr>
              <w:footnoteReference w:id="1008"/>
            </w:r>
            <w:r>
              <w:t>) eða gegn greiðslu.</w:t>
            </w:r>
          </w:p>
          <w:p w14:paraId="26709153" w14:textId="77777777" w:rsidR="00D849E8" w:rsidRDefault="00D849E8" w:rsidP="00A9140F">
            <w:pPr>
              <w:pStyle w:val="AnnexNumberedText"/>
              <w:pageBreakBefore/>
              <w:tabs>
                <w:tab w:val="left" w:pos="396"/>
              </w:tabs>
              <w:ind w:left="0" w:firstLine="0"/>
              <w:rPr>
                <w:szCs w:val="18"/>
              </w:rPr>
            </w:pPr>
            <w:r>
              <w:t>4.</w:t>
            </w:r>
            <w:r>
              <w:tab/>
              <w:t>Aðlögunarlausnir sem komið er í framkvæmd:</w:t>
            </w:r>
          </w:p>
          <w:p w14:paraId="4783ECCD" w14:textId="77777777" w:rsidR="00D849E8" w:rsidRDefault="00D849E8" w:rsidP="00A9140F">
            <w:pPr>
              <w:pStyle w:val="AnnexNumberedText"/>
              <w:pageBreakBefore/>
              <w:rPr>
                <w:szCs w:val="18"/>
              </w:rPr>
            </w:pPr>
            <w:r>
              <w:t>a)</w:t>
            </w:r>
            <w:r>
              <w:tab/>
              <w:t>hafa ekki neikvæð áhrif á viðleitni til aðlögunar eða viðnám annars fólks, náttúru, menningararfleifðar, eigna og annarrar atvinnustarfsemi gegn efnislegri loftslagsáhættu,</w:t>
            </w:r>
          </w:p>
          <w:p w14:paraId="2B205189" w14:textId="77777777" w:rsidR="00D849E8" w:rsidRDefault="00D849E8" w:rsidP="00A9140F">
            <w:pPr>
              <w:pStyle w:val="AnnexNumberedText"/>
              <w:pageBreakBefore/>
              <w:rPr>
                <w:szCs w:val="18"/>
              </w:rPr>
            </w:pPr>
            <w:r>
              <w:t>b)</w:t>
            </w:r>
            <w:r>
              <w:tab/>
              <w:t>eru með náttúrumiðaðar lausnir (</w:t>
            </w:r>
            <w:r>
              <w:rPr>
                <w:rStyle w:val="Tilvsunneanmlsgrein"/>
                <w:sz w:val="18"/>
                <w:szCs w:val="18"/>
              </w:rPr>
              <w:footnoteReference w:id="1009"/>
            </w:r>
            <w:r>
              <w:t>) í forgangi eða treyst er á bláa eða græna innviði (</w:t>
            </w:r>
            <w:r>
              <w:rPr>
                <w:rStyle w:val="Tilvsunneanmlsgrein"/>
                <w:sz w:val="18"/>
                <w:szCs w:val="18"/>
              </w:rPr>
              <w:footnoteReference w:id="1010"/>
            </w:r>
            <w:r>
              <w:t>) að því marki sem mögulegt er,</w:t>
            </w:r>
          </w:p>
          <w:p w14:paraId="11E4BF2D" w14:textId="77777777" w:rsidR="00D849E8" w:rsidRDefault="00D849E8" w:rsidP="00A9140F">
            <w:pPr>
              <w:pStyle w:val="AnnexNumberedText"/>
              <w:pageBreakBefore/>
              <w:rPr>
                <w:szCs w:val="18"/>
              </w:rPr>
            </w:pPr>
            <w:r>
              <w:t>c)</w:t>
            </w:r>
            <w:r>
              <w:tab/>
              <w:t>eru í samræmi við staðbundnar, geirabundnar, svæðisbundnar eða landsbundnar aðlögunarstefnur og -áætlanir,</w:t>
            </w:r>
          </w:p>
          <w:p w14:paraId="0F86E2FD" w14:textId="77777777" w:rsidR="00D849E8" w:rsidRDefault="00D849E8" w:rsidP="00A9140F">
            <w:pPr>
              <w:pStyle w:val="AnnexNumberedText"/>
              <w:pageBreakBefore/>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44BEBBE2" w14:textId="77777777" w:rsidR="00D849E8" w:rsidRDefault="00D849E8" w:rsidP="00A9140F">
            <w:pPr>
              <w:pStyle w:val="AnnexNumberedText"/>
              <w:pageBreakBefore/>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643A9AE0" w14:textId="77777777" w:rsidR="00D849E8" w:rsidRDefault="00D849E8" w:rsidP="00A9140F">
            <w:pPr>
              <w:pStyle w:val="AnnexNumberedText"/>
              <w:pageBreakBefore/>
              <w:tabs>
                <w:tab w:val="left" w:pos="396"/>
              </w:tabs>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3754720C" w14:textId="77777777" w:rsidR="00D849E8" w:rsidRDefault="00D849E8" w:rsidP="00A9140F">
            <w:pPr>
              <w:pStyle w:val="AnnexNumberedText"/>
              <w:pageBreakBefore/>
            </w:pPr>
            <w:r>
              <w:t>a)</w:t>
            </w:r>
            <w:r>
              <w:tab/>
              <w:t>auki viðnám gegn efnislegri loftslagsáhættu fyrir annað fólk, náttúru, menningararfleifð, eignir og aðra atvinnustarfsemi,</w:t>
            </w:r>
          </w:p>
          <w:p w14:paraId="3DA7F4B3" w14:textId="77777777" w:rsidR="00D849E8" w:rsidRDefault="00D849E8" w:rsidP="00A9140F">
            <w:pPr>
              <w:pStyle w:val="AnnexNumberedText"/>
              <w:pageBreakBefore/>
            </w:pPr>
            <w:r>
              <w:t>b)</w:t>
            </w:r>
            <w:r>
              <w:tab/>
              <w:t>stuðli að aðlögunarviðleitni annars fólks, náttúru, menningararfleifðar, eigna og annarrar atvinnustarfsemi.</w:t>
            </w:r>
          </w:p>
        </w:tc>
      </w:tr>
      <w:tr w:rsidR="00D849E8" w14:paraId="5ABF6A54" w14:textId="77777777" w:rsidTr="00A9140F">
        <w:tc>
          <w:tcPr>
            <w:tcW w:w="8736" w:type="dxa"/>
            <w:gridSpan w:val="2"/>
            <w:tcMar>
              <w:top w:w="60" w:type="dxa"/>
              <w:left w:w="0" w:type="dxa"/>
              <w:bottom w:w="60" w:type="dxa"/>
              <w:right w:w="60" w:type="dxa"/>
            </w:tcMar>
          </w:tcPr>
          <w:p w14:paraId="50DA1E0B" w14:textId="77777777" w:rsidR="00D849E8" w:rsidRDefault="00D849E8" w:rsidP="00A9140F">
            <w:pPr>
              <w:pStyle w:val="AnnexTableCellLeft"/>
            </w:pPr>
            <w:r>
              <w:t>Ekki valda umtalsverðu tjóni</w:t>
            </w:r>
          </w:p>
        </w:tc>
      </w:tr>
      <w:tr w:rsidR="00D849E8" w14:paraId="60BE3505" w14:textId="77777777" w:rsidTr="00A9140F">
        <w:tc>
          <w:tcPr>
            <w:tcW w:w="2928" w:type="dxa"/>
            <w:tcMar>
              <w:top w:w="60" w:type="dxa"/>
              <w:left w:w="0" w:type="dxa"/>
              <w:bottom w:w="60" w:type="dxa"/>
              <w:right w:w="60" w:type="dxa"/>
            </w:tcMar>
          </w:tcPr>
          <w:p w14:paraId="7C5F0CA7" w14:textId="77777777" w:rsidR="00D849E8" w:rsidRDefault="00D849E8" w:rsidP="00A9140F">
            <w:pPr>
              <w:pStyle w:val="AnnexNumberedText"/>
              <w:spacing w:after="0"/>
              <w:ind w:left="293" w:hanging="293"/>
            </w:pPr>
            <w:r>
              <w:t>1)</w:t>
            </w:r>
            <w:r>
              <w:tab/>
              <w:t>Mildun loftslagsbreytinga</w:t>
            </w:r>
          </w:p>
        </w:tc>
        <w:tc>
          <w:tcPr>
            <w:tcW w:w="5808" w:type="dxa"/>
            <w:tcMar>
              <w:top w:w="60" w:type="dxa"/>
              <w:left w:w="60" w:type="dxa"/>
              <w:bottom w:w="60" w:type="dxa"/>
              <w:right w:w="0" w:type="dxa"/>
            </w:tcMar>
          </w:tcPr>
          <w:p w14:paraId="65755156" w14:textId="77777777" w:rsidR="00D849E8" w:rsidRDefault="00D849E8" w:rsidP="00A9140F">
            <w:pPr>
              <w:pStyle w:val="AnnexTableCellLeft"/>
            </w:pPr>
            <w:r>
              <w:t>Á ekki við</w:t>
            </w:r>
          </w:p>
        </w:tc>
      </w:tr>
      <w:tr w:rsidR="00D849E8" w14:paraId="579933B0" w14:textId="77777777" w:rsidTr="00A9140F">
        <w:tc>
          <w:tcPr>
            <w:tcW w:w="2928" w:type="dxa"/>
            <w:tcMar>
              <w:top w:w="60" w:type="dxa"/>
              <w:left w:w="0" w:type="dxa"/>
              <w:bottom w:w="60" w:type="dxa"/>
              <w:right w:w="60" w:type="dxa"/>
            </w:tcMar>
          </w:tcPr>
          <w:p w14:paraId="7C04E66A" w14:textId="77777777" w:rsidR="00D849E8" w:rsidRDefault="00D849E8" w:rsidP="00A9140F">
            <w:pPr>
              <w:pStyle w:val="AnnexNumberedText"/>
              <w:spacing w:after="0"/>
              <w:ind w:left="293" w:hanging="293"/>
            </w:pPr>
            <w:r>
              <w:t>3)</w:t>
            </w:r>
            <w:r>
              <w:tab/>
              <w:t>Sjálfbær notkun og verndun vatns- og sjávarauðlinda</w:t>
            </w:r>
          </w:p>
        </w:tc>
        <w:tc>
          <w:tcPr>
            <w:tcW w:w="5808" w:type="dxa"/>
            <w:tcMar>
              <w:top w:w="60" w:type="dxa"/>
              <w:left w:w="60" w:type="dxa"/>
              <w:bottom w:w="60" w:type="dxa"/>
              <w:right w:w="0" w:type="dxa"/>
            </w:tcMar>
          </w:tcPr>
          <w:p w14:paraId="63087C66" w14:textId="77777777" w:rsidR="00D849E8" w:rsidRDefault="00D849E8" w:rsidP="00A9140F">
            <w:pPr>
              <w:pStyle w:val="AnnexTableCellLeft"/>
            </w:pPr>
            <w:r>
              <w:t>Á ekki við</w:t>
            </w:r>
          </w:p>
        </w:tc>
      </w:tr>
      <w:tr w:rsidR="00D849E8" w14:paraId="6EA11B0C" w14:textId="77777777" w:rsidTr="00A9140F">
        <w:tc>
          <w:tcPr>
            <w:tcW w:w="2928" w:type="dxa"/>
            <w:tcMar>
              <w:top w:w="60" w:type="dxa"/>
              <w:left w:w="0" w:type="dxa"/>
              <w:bottom w:w="60" w:type="dxa"/>
              <w:right w:w="60" w:type="dxa"/>
            </w:tcMar>
          </w:tcPr>
          <w:p w14:paraId="2B60D097" w14:textId="77777777" w:rsidR="00D849E8" w:rsidRDefault="00D849E8" w:rsidP="00A9140F">
            <w:pPr>
              <w:pStyle w:val="AnnexNumberedText"/>
              <w:spacing w:after="0"/>
              <w:ind w:left="293" w:hanging="293"/>
            </w:pPr>
            <w:r>
              <w:t>4)</w:t>
            </w:r>
            <w:r>
              <w:tab/>
              <w:t>Umskipti yfir í hringrásarhagkerfi</w:t>
            </w:r>
          </w:p>
        </w:tc>
        <w:tc>
          <w:tcPr>
            <w:tcW w:w="5808" w:type="dxa"/>
            <w:tcMar>
              <w:top w:w="60" w:type="dxa"/>
              <w:left w:w="60" w:type="dxa"/>
              <w:bottom w:w="60" w:type="dxa"/>
              <w:right w:w="0" w:type="dxa"/>
            </w:tcMar>
          </w:tcPr>
          <w:p w14:paraId="3C2EE8AD" w14:textId="77777777" w:rsidR="00D849E8" w:rsidRDefault="00D849E8" w:rsidP="00A9140F">
            <w:pPr>
              <w:pStyle w:val="AnnexTableCellLeft"/>
            </w:pPr>
            <w:r>
              <w:t>Á ekki við</w:t>
            </w:r>
          </w:p>
        </w:tc>
      </w:tr>
      <w:tr w:rsidR="00D849E8" w14:paraId="4E0E965D" w14:textId="77777777" w:rsidTr="00A9140F">
        <w:tc>
          <w:tcPr>
            <w:tcW w:w="2928" w:type="dxa"/>
            <w:tcMar>
              <w:top w:w="60" w:type="dxa"/>
              <w:left w:w="0" w:type="dxa"/>
              <w:bottom w:w="60" w:type="dxa"/>
              <w:right w:w="60" w:type="dxa"/>
            </w:tcMar>
          </w:tcPr>
          <w:p w14:paraId="35979246" w14:textId="77777777" w:rsidR="00D849E8" w:rsidRDefault="00D849E8" w:rsidP="00A9140F">
            <w:pPr>
              <w:pStyle w:val="AnnexNumberedText"/>
              <w:spacing w:after="0"/>
              <w:ind w:left="293" w:hanging="293"/>
            </w:pPr>
            <w:r>
              <w:t>5)</w:t>
            </w:r>
            <w:r>
              <w:tab/>
              <w:t>Mengunarvarnir og eftirlit með mengun</w:t>
            </w:r>
          </w:p>
        </w:tc>
        <w:tc>
          <w:tcPr>
            <w:tcW w:w="5808" w:type="dxa"/>
            <w:tcMar>
              <w:top w:w="60" w:type="dxa"/>
              <w:left w:w="60" w:type="dxa"/>
              <w:bottom w:w="60" w:type="dxa"/>
              <w:right w:w="0" w:type="dxa"/>
            </w:tcMar>
          </w:tcPr>
          <w:p w14:paraId="12D34519" w14:textId="77777777" w:rsidR="00D849E8" w:rsidRDefault="00D849E8" w:rsidP="00A9140F">
            <w:pPr>
              <w:pStyle w:val="AnnexTableCellLeft"/>
            </w:pPr>
            <w:r>
              <w:t>Á ekki við</w:t>
            </w:r>
          </w:p>
        </w:tc>
      </w:tr>
      <w:tr w:rsidR="00D849E8" w14:paraId="11ED284A" w14:textId="77777777" w:rsidTr="00A9140F">
        <w:tc>
          <w:tcPr>
            <w:tcW w:w="2928" w:type="dxa"/>
            <w:tcMar>
              <w:top w:w="60" w:type="dxa"/>
              <w:left w:w="0" w:type="dxa"/>
              <w:bottom w:w="60" w:type="dxa"/>
              <w:right w:w="60" w:type="dxa"/>
            </w:tcMar>
          </w:tcPr>
          <w:p w14:paraId="20AB562A" w14:textId="77777777" w:rsidR="00D849E8" w:rsidRDefault="00D849E8" w:rsidP="00A9140F">
            <w:pPr>
              <w:pStyle w:val="AnnexNumberedText"/>
              <w:spacing w:after="0"/>
              <w:ind w:left="293" w:hanging="293"/>
            </w:pPr>
            <w:r>
              <w:t>6)</w:t>
            </w:r>
            <w:r>
              <w:tab/>
              <w:t>Vernd og endurheimt líffræðilegrar fjölbreytni og vistkerfa</w:t>
            </w:r>
          </w:p>
        </w:tc>
        <w:tc>
          <w:tcPr>
            <w:tcW w:w="5808" w:type="dxa"/>
            <w:tcMar>
              <w:top w:w="60" w:type="dxa"/>
              <w:left w:w="60" w:type="dxa"/>
              <w:bottom w:w="60" w:type="dxa"/>
              <w:right w:w="0" w:type="dxa"/>
            </w:tcMar>
          </w:tcPr>
          <w:p w14:paraId="68153DB5" w14:textId="77777777" w:rsidR="00D849E8" w:rsidRDefault="00D849E8" w:rsidP="00A9140F">
            <w:pPr>
              <w:pStyle w:val="AnnexTableCellLeft"/>
            </w:pPr>
            <w:r>
              <w:t>Á ekki við</w:t>
            </w:r>
          </w:p>
        </w:tc>
      </w:tr>
    </w:tbl>
    <w:p w14:paraId="522F6910" w14:textId="77777777" w:rsidR="00D849E8" w:rsidRDefault="00D849E8" w:rsidP="00D849E8">
      <w:pPr>
        <w:pStyle w:val="AnnexNumberedText"/>
        <w:ind w:left="504" w:hanging="504"/>
      </w:pPr>
      <w:r>
        <w:t>13.2.</w:t>
      </w:r>
      <w:r>
        <w:rPr>
          <w:b/>
        </w:rPr>
        <w:tab/>
        <w:t>Bókasöfn, skjalavarsla, söfn og menningarstarfsemi</w:t>
      </w:r>
    </w:p>
    <w:p w14:paraId="7FDE5DE8" w14:textId="77777777" w:rsidR="00D849E8" w:rsidRDefault="00D849E8" w:rsidP="00D849E8">
      <w:pPr>
        <w:pStyle w:val="AnnexGrSeq3"/>
        <w:spacing w:after="120"/>
        <w:ind w:left="504"/>
        <w:jc w:val="both"/>
      </w:pPr>
      <w:r>
        <w:rPr>
          <w:i/>
        </w:rPr>
        <w:t>Lýsing á starfseminni</w:t>
      </w:r>
    </w:p>
    <w:p w14:paraId="10C577FB" w14:textId="77777777" w:rsidR="00D849E8" w:rsidRDefault="00D849E8" w:rsidP="00D849E8">
      <w:pPr>
        <w:pStyle w:val="AnnexNormal"/>
        <w:spacing w:after="0"/>
        <w:ind w:left="504"/>
      </w:pPr>
      <w:r>
        <w:t xml:space="preserve">Bókasöfn, skjalavarsla, söfn og menningarstarfsemi fela í sér starfsemi bókasafna og skjalasafna, rekstur safna af hvaða tegund sem er, grasagarða og dýragarða, </w:t>
      </w:r>
      <w:proofErr w:type="spellStart"/>
      <w:r>
        <w:t>starfrækslu</w:t>
      </w:r>
      <w:proofErr w:type="spellEnd"/>
      <w:r>
        <w:t xml:space="preserve"> sögulegra staða og starfsemi þjóðgarða. Þessi starfsemi felur einnig í sér varðveislu og sýningu á hlutum, stöðum og náttúruundrum sem hafa sögulega, menningarlega eða menntunarlega þýðingu, þ.m.t. heimsminjastaðir. Í þessari starfsemi er undanskilin íþrótta- og afþreyingar- og tómstundastarfsemi, s.s. </w:t>
      </w:r>
      <w:proofErr w:type="spellStart"/>
      <w:r>
        <w:t>starfræksla</w:t>
      </w:r>
      <w:proofErr w:type="spellEnd"/>
      <w:r>
        <w:t xml:space="preserve"> baðstranda og tómstundagarða.</w:t>
      </w:r>
      <w:r>
        <w:br w:type="page"/>
      </w:r>
    </w:p>
    <w:p w14:paraId="0298A4D7" w14:textId="77777777" w:rsidR="00D849E8" w:rsidRDefault="00D849E8" w:rsidP="00D849E8">
      <w:pPr>
        <w:pStyle w:val="AnnexNormal"/>
        <w:ind w:left="504"/>
      </w:pPr>
      <w:r>
        <w:lastRenderedPageBreak/>
        <w:t>Atvinnustarfsemin í þessum flokki gæti tengst kóða atvinnugreinaflokkunar Evrópusambandsins R91 í samræmi við atvinnugreinaflokkunina sem komið var á með reglugerð (EB) nr. 1893/2006.</w:t>
      </w:r>
    </w:p>
    <w:p w14:paraId="34F8789D" w14:textId="77777777" w:rsidR="00D849E8" w:rsidRDefault="00D849E8" w:rsidP="00D849E8">
      <w:pPr>
        <w:pStyle w:val="AnnexNormal"/>
        <w:ind w:left="504"/>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3B37F4D5" w14:textId="77777777" w:rsidR="00D849E8" w:rsidRDefault="00D849E8" w:rsidP="00D849E8">
      <w:pPr>
        <w:pStyle w:val="AnnexGrSeq3"/>
        <w:ind w:left="504"/>
        <w:jc w:val="both"/>
      </w:pPr>
      <w:r>
        <w:rPr>
          <w:i/>
        </w:rPr>
        <w:t>Tæknileg matsviðmið</w:t>
      </w:r>
    </w:p>
    <w:tbl>
      <w:tblPr>
        <w:tblStyle w:val="EFTATable"/>
        <w:tblW w:w="8736" w:type="dxa"/>
        <w:tblInd w:w="504" w:type="dxa"/>
        <w:tblLayout w:type="fixed"/>
        <w:tblLook w:val="04A0" w:firstRow="1" w:lastRow="0" w:firstColumn="1" w:lastColumn="0" w:noHBand="0" w:noVBand="1"/>
      </w:tblPr>
      <w:tblGrid>
        <w:gridCol w:w="2952"/>
        <w:gridCol w:w="5784"/>
      </w:tblGrid>
      <w:tr w:rsidR="00D849E8" w14:paraId="773C76F2" w14:textId="77777777" w:rsidTr="00A9140F">
        <w:trPr>
          <w:trHeight w:val="240"/>
        </w:trPr>
        <w:tc>
          <w:tcPr>
            <w:tcW w:w="8736" w:type="dxa"/>
            <w:gridSpan w:val="2"/>
            <w:tcBorders>
              <w:bottom w:val="single" w:sz="4" w:space="0" w:color="auto"/>
            </w:tcBorders>
            <w:tcMar>
              <w:left w:w="0" w:type="dxa"/>
              <w:right w:w="60" w:type="dxa"/>
            </w:tcMar>
          </w:tcPr>
          <w:p w14:paraId="6CB85908" w14:textId="77777777" w:rsidR="00D849E8" w:rsidRDefault="00D849E8" w:rsidP="00A9140F">
            <w:pPr>
              <w:pStyle w:val="AnnexTableCellLeft"/>
              <w:spacing w:before="40" w:after="40"/>
            </w:pPr>
            <w:r>
              <w:t>Verulegt framlag til aðlögunar að loftslagsbreytingum</w:t>
            </w:r>
          </w:p>
        </w:tc>
      </w:tr>
      <w:tr w:rsidR="00D849E8" w14:paraId="0055218C" w14:textId="77777777" w:rsidTr="00A9140F">
        <w:trPr>
          <w:trHeight w:val="360"/>
        </w:trPr>
        <w:tc>
          <w:tcPr>
            <w:tcW w:w="8736" w:type="dxa"/>
            <w:gridSpan w:val="2"/>
            <w:tcBorders>
              <w:bottom w:val="nil"/>
            </w:tcBorders>
            <w:tcMar>
              <w:left w:w="0" w:type="dxa"/>
              <w:right w:w="60" w:type="dxa"/>
            </w:tcMar>
          </w:tcPr>
          <w:p w14:paraId="65AC299B" w14:textId="77777777" w:rsidR="00D849E8" w:rsidRDefault="00D849E8" w:rsidP="00A9140F">
            <w:pPr>
              <w:pStyle w:val="AnnexNumberedText"/>
              <w:tabs>
                <w:tab w:val="left" w:pos="396"/>
              </w:tabs>
              <w:spacing w:after="140"/>
              <w:ind w:left="0" w:firstLine="0"/>
            </w:pPr>
            <w:r>
              <w:t>1.</w:t>
            </w:r>
            <w:r>
              <w:tab/>
              <w:t>Í starfseminni hefur verið komið í framkvæmd efnislegum og óefnislegum lausnum („aðlögunarlausnum“) sem draga verulega úr helstu efnislegu loftslagsáhættunum sem hafa mikla þýðingu fyrir þessa starfsemi.</w:t>
            </w:r>
          </w:p>
          <w:p w14:paraId="18C51DB7" w14:textId="77777777" w:rsidR="00D849E8" w:rsidRDefault="00D849E8" w:rsidP="00A9140F">
            <w:pPr>
              <w:pStyle w:val="AnnexNumberedText"/>
              <w:tabs>
                <w:tab w:val="left" w:pos="396"/>
              </w:tabs>
              <w:spacing w:after="140"/>
              <w:ind w:left="0" w:firstLine="0"/>
            </w:pPr>
            <w:r>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5D11B95D" w14:textId="77777777" w:rsidR="00D849E8" w:rsidRDefault="00D849E8" w:rsidP="00A9140F">
            <w:pPr>
              <w:pStyle w:val="AnnexNumberedText"/>
              <w:spacing w:after="140"/>
            </w:pPr>
            <w:r>
              <w:t>a)</w:t>
            </w:r>
            <w:r>
              <w:tab/>
              <w:t>skimun á starfseminni til að greina hvaða efnislega loftslagsáhætta úr skránni í viðbæti A við þennan viðauka getur haft áhrif á árangurinn af atvinnustarfseminni á væntum líftíma hennar,</w:t>
            </w:r>
          </w:p>
          <w:p w14:paraId="0C01145B" w14:textId="77777777" w:rsidR="00D849E8" w:rsidRDefault="00D849E8" w:rsidP="00A9140F">
            <w:pPr>
              <w:pStyle w:val="AnnexNumberedText"/>
              <w:spacing w:after="1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2076AC4B" w14:textId="77777777" w:rsidR="00D849E8" w:rsidRDefault="00D849E8" w:rsidP="00A9140F">
            <w:pPr>
              <w:pStyle w:val="AnnexNumberedText"/>
              <w:spacing w:after="140"/>
            </w:pPr>
            <w:r>
              <w:t>c)</w:t>
            </w:r>
            <w:r>
              <w:tab/>
              <w:t>mat á aðlögunarlausnum sem geta dregið úr greindri efnislegri loftslagsáhættu.</w:t>
            </w:r>
          </w:p>
          <w:p w14:paraId="03BC8CCC" w14:textId="77777777" w:rsidR="00D849E8" w:rsidRDefault="00D849E8" w:rsidP="00A9140F">
            <w:pPr>
              <w:pStyle w:val="AnnexTableCellLeft"/>
              <w:spacing w:after="140"/>
            </w:pPr>
            <w:r>
              <w:t xml:space="preserve">Loftslagsáhættu- og veikleikamatið er í réttu hlutfalli við umfang starfseminnar og </w:t>
            </w:r>
            <w:proofErr w:type="spellStart"/>
            <w:r>
              <w:t>væntan</w:t>
            </w:r>
            <w:proofErr w:type="spellEnd"/>
            <w:r>
              <w:t xml:space="preserve"> líftíma hennar þannig að:</w:t>
            </w:r>
          </w:p>
          <w:p w14:paraId="73720F86" w14:textId="77777777" w:rsidR="00D849E8" w:rsidRDefault="00D849E8" w:rsidP="00A9140F">
            <w:pPr>
              <w:pStyle w:val="AnnexNumberedText"/>
              <w:spacing w:after="14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79CA8854" w14:textId="77777777" w:rsidR="00D849E8" w:rsidRDefault="00D849E8" w:rsidP="00A9140F">
            <w:pPr>
              <w:pStyle w:val="AnnexNumberedText"/>
              <w:spacing w:after="1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1011"/>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69DCFA12" w14:textId="77777777" w:rsidR="00D849E8" w:rsidRDefault="00D849E8" w:rsidP="00A9140F">
            <w:pPr>
              <w:pStyle w:val="AnnexNumberedText"/>
              <w:tabs>
                <w:tab w:val="left" w:pos="396"/>
              </w:tabs>
              <w:spacing w:after="1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1012"/>
            </w:r>
            <w:r>
              <w:t>), vísindalegt ritrýnt útgefið efni og líkön með opnum aðgangi (</w:t>
            </w:r>
            <w:r>
              <w:rPr>
                <w:rStyle w:val="Tilvsunneanmlsgrein"/>
                <w:sz w:val="18"/>
                <w:szCs w:val="18"/>
              </w:rPr>
              <w:footnoteReference w:id="1013"/>
            </w:r>
            <w:r>
              <w:t>) eða gegn greiðslu.</w:t>
            </w:r>
          </w:p>
          <w:p w14:paraId="5D72729B" w14:textId="77777777" w:rsidR="00D849E8" w:rsidRDefault="00D849E8" w:rsidP="00A9140F">
            <w:pPr>
              <w:pStyle w:val="AnnexNumberedText"/>
              <w:tabs>
                <w:tab w:val="left" w:pos="396"/>
              </w:tabs>
              <w:spacing w:after="140"/>
              <w:ind w:left="0" w:firstLine="0"/>
              <w:rPr>
                <w:szCs w:val="18"/>
              </w:rPr>
            </w:pPr>
            <w:r>
              <w:t>4.</w:t>
            </w:r>
            <w:r>
              <w:tab/>
              <w:t>Aðlögunarlausnir sem komið er í framkvæmd:</w:t>
            </w:r>
          </w:p>
          <w:p w14:paraId="0AA39DFF" w14:textId="77777777" w:rsidR="00D849E8" w:rsidRDefault="00D849E8" w:rsidP="00A9140F">
            <w:pPr>
              <w:pStyle w:val="AnnexNumberedText"/>
              <w:spacing w:after="140"/>
              <w:rPr>
                <w:szCs w:val="18"/>
              </w:rPr>
            </w:pPr>
            <w:r>
              <w:t>a)</w:t>
            </w:r>
            <w:r>
              <w:tab/>
              <w:t>hafa ekki neikvæð áhrif á viðleitni til aðlögunar eða viðnám annars fólks, náttúru, menningararfleifðar, eigna og annarrar atvinnustarfsemi gegn efnislegri loftslagsáhættu,</w:t>
            </w:r>
          </w:p>
          <w:p w14:paraId="41F0F283" w14:textId="77777777" w:rsidR="00D849E8" w:rsidRDefault="00D849E8" w:rsidP="00A9140F">
            <w:pPr>
              <w:pStyle w:val="AnnexNumberedText"/>
              <w:spacing w:after="140"/>
              <w:rPr>
                <w:szCs w:val="18"/>
              </w:rPr>
            </w:pPr>
            <w:r>
              <w:t>b)</w:t>
            </w:r>
            <w:r>
              <w:tab/>
              <w:t>eru með náttúrumiðaðar lausnir (</w:t>
            </w:r>
            <w:r>
              <w:rPr>
                <w:rStyle w:val="Tilvsunneanmlsgrein"/>
                <w:sz w:val="18"/>
                <w:szCs w:val="18"/>
              </w:rPr>
              <w:footnoteReference w:id="1014"/>
            </w:r>
            <w:r>
              <w:t>) í forgangi eða treyst er á bláa eða græna innviði (</w:t>
            </w:r>
            <w:r>
              <w:rPr>
                <w:rStyle w:val="Tilvsunneanmlsgrein"/>
                <w:sz w:val="18"/>
                <w:szCs w:val="18"/>
              </w:rPr>
              <w:footnoteReference w:id="1015"/>
            </w:r>
            <w:r>
              <w:t>) að því marki sem mögulegt er,</w:t>
            </w:r>
          </w:p>
          <w:p w14:paraId="5394723E" w14:textId="77777777" w:rsidR="00D849E8" w:rsidRDefault="00D849E8" w:rsidP="00A9140F">
            <w:pPr>
              <w:pStyle w:val="AnnexNumberedText"/>
              <w:spacing w:after="140"/>
              <w:rPr>
                <w:szCs w:val="18"/>
              </w:rPr>
            </w:pPr>
            <w:r>
              <w:t>c)</w:t>
            </w:r>
            <w:r>
              <w:tab/>
              <w:t>eru í samræmi við staðbundnar, geirabundnar, svæðisbundnar eða landsbundnar aðlögunarstefnur og -áætlanir,</w:t>
            </w:r>
          </w:p>
          <w:p w14:paraId="00EF8886" w14:textId="77777777" w:rsidR="00D849E8" w:rsidRDefault="00D849E8" w:rsidP="00A9140F">
            <w:pPr>
              <w:pStyle w:val="AnnexNumberedText"/>
              <w:spacing w:after="0"/>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w:t>
            </w:r>
            <w:r>
              <w:lastRenderedPageBreak/>
              <w:t>vísar eru ekki uppfylltir,</w:t>
            </w:r>
          </w:p>
        </w:tc>
      </w:tr>
      <w:tr w:rsidR="00D849E8" w14:paraId="0A49FAD7" w14:textId="77777777" w:rsidTr="00A9140F">
        <w:trPr>
          <w:trHeight w:val="360"/>
        </w:trPr>
        <w:tc>
          <w:tcPr>
            <w:tcW w:w="8736" w:type="dxa"/>
            <w:gridSpan w:val="2"/>
            <w:tcBorders>
              <w:top w:val="nil"/>
            </w:tcBorders>
            <w:tcMar>
              <w:left w:w="0" w:type="dxa"/>
              <w:right w:w="60" w:type="dxa"/>
            </w:tcMar>
          </w:tcPr>
          <w:p w14:paraId="5CF4B96C" w14:textId="77777777" w:rsidR="00D849E8" w:rsidRDefault="00D849E8" w:rsidP="00A9140F">
            <w:pPr>
              <w:pStyle w:val="AnnexNumberedText"/>
              <w:pageBreakBefore/>
              <w:spacing w:after="200"/>
            </w:pPr>
            <w:r>
              <w:lastRenderedPageBreak/>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337A471A" w14:textId="77777777" w:rsidR="00D849E8" w:rsidRDefault="00D849E8" w:rsidP="00A9140F">
            <w:pPr>
              <w:pStyle w:val="AnnexNumberedText"/>
              <w:tabs>
                <w:tab w:val="left" w:pos="396"/>
              </w:tabs>
              <w:spacing w:after="20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einu af eftirfarandi meginmarkmiðum:</w:t>
            </w:r>
          </w:p>
          <w:p w14:paraId="75067CDF" w14:textId="77777777" w:rsidR="00D849E8" w:rsidRDefault="00D849E8" w:rsidP="00A9140F">
            <w:pPr>
              <w:pStyle w:val="AnnexNumberedText"/>
              <w:spacing w:after="200"/>
            </w:pPr>
            <w:r>
              <w:t>a)</w:t>
            </w:r>
            <w:r>
              <w:tab/>
              <w:t>auki viðnám gegn efnislegri loftslagsáhættu fyrir annað fólk, náttúru, menningararfleifð, eignir og aðra atvinnustarfsemi,</w:t>
            </w:r>
          </w:p>
          <w:p w14:paraId="14F15B58" w14:textId="77777777" w:rsidR="00D849E8" w:rsidRDefault="00D849E8" w:rsidP="00A9140F">
            <w:pPr>
              <w:pStyle w:val="AnnexNumberedText"/>
            </w:pPr>
            <w:r>
              <w:t>b)</w:t>
            </w:r>
            <w:r>
              <w:tab/>
              <w:t>stuðli að aðlögunarviðleitni annars fólks, náttúru, menningararfleifðar, eigna og annarrar atvinnustarfsemi.</w:t>
            </w:r>
          </w:p>
        </w:tc>
      </w:tr>
      <w:tr w:rsidR="00D849E8" w14:paraId="5DBE6622" w14:textId="77777777" w:rsidTr="00A9140F">
        <w:tc>
          <w:tcPr>
            <w:tcW w:w="8736" w:type="dxa"/>
            <w:gridSpan w:val="2"/>
            <w:tcMar>
              <w:top w:w="100" w:type="dxa"/>
              <w:left w:w="0" w:type="dxa"/>
              <w:bottom w:w="100" w:type="dxa"/>
              <w:right w:w="60" w:type="dxa"/>
            </w:tcMar>
          </w:tcPr>
          <w:p w14:paraId="5328C29A" w14:textId="77777777" w:rsidR="00D849E8" w:rsidRDefault="00D849E8" w:rsidP="00A9140F">
            <w:pPr>
              <w:pStyle w:val="AnnexTableCellLeft"/>
            </w:pPr>
            <w:r>
              <w:t>Ekki valda umtalsverðu tjóni</w:t>
            </w:r>
          </w:p>
        </w:tc>
      </w:tr>
      <w:tr w:rsidR="00D849E8" w14:paraId="1A166625" w14:textId="77777777" w:rsidTr="00A9140F">
        <w:tc>
          <w:tcPr>
            <w:tcW w:w="2952" w:type="dxa"/>
            <w:tcMar>
              <w:top w:w="100" w:type="dxa"/>
              <w:left w:w="0" w:type="dxa"/>
              <w:bottom w:w="100" w:type="dxa"/>
              <w:right w:w="60" w:type="dxa"/>
            </w:tcMar>
          </w:tcPr>
          <w:p w14:paraId="6C611E89" w14:textId="77777777" w:rsidR="00D849E8" w:rsidRDefault="00D849E8" w:rsidP="00A9140F">
            <w:pPr>
              <w:pStyle w:val="AnnexNumberedText"/>
              <w:spacing w:after="0"/>
              <w:ind w:left="293" w:hanging="293"/>
            </w:pPr>
            <w:r>
              <w:t>1)</w:t>
            </w:r>
            <w:r>
              <w:tab/>
              <w:t>Mildun loftslagsbreytinga</w:t>
            </w:r>
          </w:p>
        </w:tc>
        <w:tc>
          <w:tcPr>
            <w:tcW w:w="5784" w:type="dxa"/>
            <w:tcMar>
              <w:top w:w="100" w:type="dxa"/>
              <w:left w:w="60" w:type="dxa"/>
              <w:bottom w:w="100" w:type="dxa"/>
              <w:right w:w="0" w:type="dxa"/>
            </w:tcMar>
          </w:tcPr>
          <w:p w14:paraId="64DD5518" w14:textId="77777777" w:rsidR="00D849E8" w:rsidRDefault="00D849E8" w:rsidP="00A9140F">
            <w:pPr>
              <w:pStyle w:val="AnnexTableCellLeft"/>
            </w:pPr>
            <w:r>
              <w:t>Á ekki við</w:t>
            </w:r>
          </w:p>
        </w:tc>
      </w:tr>
      <w:tr w:rsidR="00D849E8" w14:paraId="0EAF47AF" w14:textId="77777777" w:rsidTr="00A9140F">
        <w:tc>
          <w:tcPr>
            <w:tcW w:w="2952" w:type="dxa"/>
            <w:tcMar>
              <w:top w:w="100" w:type="dxa"/>
              <w:left w:w="0" w:type="dxa"/>
              <w:bottom w:w="100" w:type="dxa"/>
              <w:right w:w="60" w:type="dxa"/>
            </w:tcMar>
          </w:tcPr>
          <w:p w14:paraId="6859468C" w14:textId="77777777" w:rsidR="00D849E8" w:rsidRDefault="00D849E8" w:rsidP="00A9140F">
            <w:pPr>
              <w:pStyle w:val="AnnexNumberedText"/>
              <w:spacing w:after="0"/>
              <w:ind w:left="293" w:hanging="293"/>
            </w:pPr>
            <w:r>
              <w:t>3)</w:t>
            </w:r>
            <w:r>
              <w:tab/>
              <w:t>Sjálfbær notkun og verndun vatns- og sjávarauðlinda</w:t>
            </w:r>
          </w:p>
        </w:tc>
        <w:tc>
          <w:tcPr>
            <w:tcW w:w="5784" w:type="dxa"/>
            <w:tcMar>
              <w:top w:w="100" w:type="dxa"/>
              <w:left w:w="60" w:type="dxa"/>
              <w:bottom w:w="100" w:type="dxa"/>
              <w:right w:w="0" w:type="dxa"/>
            </w:tcMar>
          </w:tcPr>
          <w:p w14:paraId="43F45009" w14:textId="77777777" w:rsidR="00D849E8" w:rsidRDefault="00D849E8" w:rsidP="00A9140F">
            <w:pPr>
              <w:pStyle w:val="AnnexTableCellLeft"/>
            </w:pPr>
            <w:r>
              <w:t>Á ekki við</w:t>
            </w:r>
          </w:p>
        </w:tc>
      </w:tr>
      <w:tr w:rsidR="00D849E8" w14:paraId="754A87AA" w14:textId="77777777" w:rsidTr="00A9140F">
        <w:tc>
          <w:tcPr>
            <w:tcW w:w="2952" w:type="dxa"/>
            <w:tcMar>
              <w:top w:w="100" w:type="dxa"/>
              <w:left w:w="0" w:type="dxa"/>
              <w:bottom w:w="100" w:type="dxa"/>
              <w:right w:w="60" w:type="dxa"/>
            </w:tcMar>
          </w:tcPr>
          <w:p w14:paraId="755DB2F4" w14:textId="77777777" w:rsidR="00D849E8" w:rsidRDefault="00D849E8" w:rsidP="00A9140F">
            <w:pPr>
              <w:pStyle w:val="AnnexNumberedText"/>
              <w:spacing w:after="0"/>
              <w:ind w:left="293" w:hanging="293"/>
            </w:pPr>
            <w:r>
              <w:t>4)</w:t>
            </w:r>
            <w:r>
              <w:tab/>
              <w:t>Umskipti yfir í hringrásarhagkerfi</w:t>
            </w:r>
          </w:p>
        </w:tc>
        <w:tc>
          <w:tcPr>
            <w:tcW w:w="5784" w:type="dxa"/>
            <w:tcMar>
              <w:top w:w="100" w:type="dxa"/>
              <w:left w:w="60" w:type="dxa"/>
              <w:bottom w:w="100" w:type="dxa"/>
              <w:right w:w="0" w:type="dxa"/>
            </w:tcMar>
          </w:tcPr>
          <w:p w14:paraId="26A72531" w14:textId="77777777" w:rsidR="00D849E8" w:rsidRDefault="00D849E8" w:rsidP="00A9140F">
            <w:pPr>
              <w:pStyle w:val="AnnexTableCellLeft"/>
            </w:pPr>
            <w:r>
              <w:t>Á ekki við</w:t>
            </w:r>
          </w:p>
        </w:tc>
      </w:tr>
      <w:tr w:rsidR="00D849E8" w14:paraId="09937F8D" w14:textId="77777777" w:rsidTr="00A9140F">
        <w:tc>
          <w:tcPr>
            <w:tcW w:w="2952" w:type="dxa"/>
            <w:tcMar>
              <w:top w:w="100" w:type="dxa"/>
              <w:left w:w="0" w:type="dxa"/>
              <w:bottom w:w="100" w:type="dxa"/>
              <w:right w:w="60" w:type="dxa"/>
            </w:tcMar>
          </w:tcPr>
          <w:p w14:paraId="47436DCF" w14:textId="77777777" w:rsidR="00D849E8" w:rsidRDefault="00D849E8" w:rsidP="00A9140F">
            <w:pPr>
              <w:pStyle w:val="AnnexNumberedText"/>
              <w:spacing w:after="0"/>
              <w:ind w:left="293" w:hanging="293"/>
            </w:pPr>
            <w:r>
              <w:t>5)</w:t>
            </w:r>
            <w:r>
              <w:tab/>
              <w:t>Mengunarvarnir og eftirlit með mengun</w:t>
            </w:r>
          </w:p>
        </w:tc>
        <w:tc>
          <w:tcPr>
            <w:tcW w:w="5784" w:type="dxa"/>
            <w:tcMar>
              <w:top w:w="100" w:type="dxa"/>
              <w:left w:w="60" w:type="dxa"/>
              <w:bottom w:w="100" w:type="dxa"/>
              <w:right w:w="0" w:type="dxa"/>
            </w:tcMar>
          </w:tcPr>
          <w:p w14:paraId="00D86B28" w14:textId="77777777" w:rsidR="00D849E8" w:rsidRDefault="00D849E8" w:rsidP="00A9140F">
            <w:pPr>
              <w:pStyle w:val="AnnexTableCellLeft"/>
            </w:pPr>
            <w:r>
              <w:t>Á ekki við</w:t>
            </w:r>
          </w:p>
        </w:tc>
      </w:tr>
      <w:tr w:rsidR="00D849E8" w14:paraId="6D42DD94" w14:textId="77777777" w:rsidTr="00A9140F">
        <w:tc>
          <w:tcPr>
            <w:tcW w:w="2952" w:type="dxa"/>
            <w:tcMar>
              <w:top w:w="100" w:type="dxa"/>
              <w:left w:w="0" w:type="dxa"/>
              <w:bottom w:w="100" w:type="dxa"/>
              <w:right w:w="60" w:type="dxa"/>
            </w:tcMar>
          </w:tcPr>
          <w:p w14:paraId="7A910987" w14:textId="77777777" w:rsidR="00D849E8" w:rsidRDefault="00D849E8" w:rsidP="00A9140F">
            <w:pPr>
              <w:pStyle w:val="AnnexNumberedText"/>
              <w:spacing w:after="0"/>
              <w:ind w:left="293" w:hanging="293"/>
            </w:pPr>
            <w:r>
              <w:t>6)</w:t>
            </w:r>
            <w:r>
              <w:tab/>
              <w:t>Vernd og endurheimt líffræðilegrar fjölbreytni og vistkerfa</w:t>
            </w:r>
          </w:p>
        </w:tc>
        <w:tc>
          <w:tcPr>
            <w:tcW w:w="5784" w:type="dxa"/>
            <w:tcMar>
              <w:top w:w="100" w:type="dxa"/>
              <w:left w:w="60" w:type="dxa"/>
              <w:bottom w:w="100" w:type="dxa"/>
              <w:right w:w="0" w:type="dxa"/>
            </w:tcMar>
          </w:tcPr>
          <w:p w14:paraId="29278C6C" w14:textId="77777777" w:rsidR="00D849E8" w:rsidRDefault="00D849E8" w:rsidP="00A9140F">
            <w:pPr>
              <w:pStyle w:val="AnnexTableCellLeft"/>
            </w:pPr>
            <w:r>
              <w:t>Á ekki við</w:t>
            </w:r>
          </w:p>
        </w:tc>
      </w:tr>
    </w:tbl>
    <w:p w14:paraId="393B6882" w14:textId="77777777" w:rsidR="00D849E8" w:rsidRDefault="00D849E8" w:rsidP="00D849E8">
      <w:pPr>
        <w:pStyle w:val="AnnexNumberedText"/>
        <w:ind w:left="504" w:hanging="504"/>
      </w:pPr>
      <w:r>
        <w:t>13.3.</w:t>
      </w:r>
      <w:r>
        <w:rPr>
          <w:b/>
        </w:rPr>
        <w:tab/>
        <w:t>Útgáfustarfsemi á sviði framleiðslu á kvikmyndum, myndböndum og sjónvarpsefni, hljóðupptöku og tónlist</w:t>
      </w:r>
    </w:p>
    <w:p w14:paraId="372512E0" w14:textId="77777777" w:rsidR="00D849E8" w:rsidRDefault="00D849E8" w:rsidP="00D849E8">
      <w:pPr>
        <w:pStyle w:val="AnnexGrSeq3"/>
        <w:ind w:left="504"/>
        <w:jc w:val="both"/>
      </w:pPr>
      <w:r>
        <w:rPr>
          <w:i/>
        </w:rPr>
        <w:t>Lýsing á starfseminni</w:t>
      </w:r>
    </w:p>
    <w:p w14:paraId="2451F870" w14:textId="77777777" w:rsidR="00D849E8" w:rsidRDefault="00D849E8" w:rsidP="00D849E8">
      <w:pPr>
        <w:pStyle w:val="AnnexNormal"/>
        <w:spacing w:after="700"/>
        <w:ind w:left="504"/>
      </w:pPr>
      <w:r>
        <w:t>Útgáfustarfsemi á sviði framleiðslu á kvikmyndum, myndböndum og sjónvarpsefni, hljóðupptöku og tónlist felur í sér framleiðslu á leiknum kvikmyndum og heimildarmyndum, hvort heldur sem er á filmu, myndbandi eða diski til beinnar sýningar í kvikmyndahúsum eða til útsendingar í sjónvarpi, stoðstarfsemi, s.s. ritstjórn, klipping eða hljóðsetning, dreifing kvikmynda og annarrar kvikmyndaframleiðslu til annars iðnaðar sem og sýningu kvikmynda eða annarrar kvikmyndaframleiðslu. Kaup og sala á dreifingarrétti kvikmynda eða annarrar kvikmyndaframleiðslu fellur einnig þar undir. Þessi starfsemi felur einnig í sér hljóðupptökur, þ.m.t. framleiðsla á upprunalegu hljóðrituðu efni, útgáfu, kynningu og dreifingu þeirra, útgáfu á tónlist sem og hljóðritunarþjónustu í hljóðveri eða annars staðar.</w:t>
      </w:r>
    </w:p>
    <w:p w14:paraId="77B4AB17" w14:textId="77777777" w:rsidR="00D849E8" w:rsidRDefault="00D849E8" w:rsidP="00D849E8">
      <w:pPr>
        <w:pStyle w:val="AnnexNormal"/>
        <w:spacing w:after="700"/>
        <w:ind w:left="504"/>
      </w:pPr>
      <w:r>
        <w:t>Atvinnustarfsemin í þessum flokki gæti tengst kóða atvinnugreinaflokkunar Evrópusambandsins J59 í samræmi við atvinnugreinaflokkunina sem komið var á með reglugerð (EB) nr. 1893/2006.</w:t>
      </w:r>
    </w:p>
    <w:p w14:paraId="6914795B" w14:textId="77777777" w:rsidR="00D849E8" w:rsidRDefault="00D849E8" w:rsidP="00D849E8">
      <w:pPr>
        <w:pStyle w:val="AnnexNormal"/>
        <w:spacing w:after="700"/>
        <w:ind w:left="504"/>
      </w:pPr>
      <w:r>
        <w:t xml:space="preserve">Ef atvinnustarfsemi í þessum flokki uppfyllir viðmiðunina um verulegt framlag sem er tilgreind í 5. lið er starfsemin atvinnustarfsemi sem gerir annarri starfsemi kleift að stuðla að umhverfismarkmiðum, eins og um getur í </w:t>
      </w:r>
      <w:proofErr w:type="spellStart"/>
      <w:r>
        <w:t>b-lið</w:t>
      </w:r>
      <w:proofErr w:type="spellEnd"/>
      <w:r>
        <w:t xml:space="preserve"> 1. mgr. 11. gr. reglugerðar (ESB) 2020/852, að því tilskildu að hún uppfylli tæknileg matsviðmið sem sett eru fram í þessum þætti.</w:t>
      </w:r>
    </w:p>
    <w:p w14:paraId="51807664" w14:textId="77777777" w:rsidR="00D849E8" w:rsidRDefault="00D849E8" w:rsidP="00D849E8">
      <w:pPr>
        <w:pStyle w:val="AnnexGrSeq3"/>
        <w:ind w:left="504"/>
        <w:jc w:val="both"/>
      </w:pPr>
      <w:r>
        <w:rPr>
          <w:i/>
        </w:rPr>
        <w:t>Tæknileg matsviðmið</w:t>
      </w:r>
    </w:p>
    <w:tbl>
      <w:tblPr>
        <w:tblStyle w:val="EFTATable"/>
        <w:tblW w:w="8739" w:type="dxa"/>
        <w:tblInd w:w="504" w:type="dxa"/>
        <w:tblLayout w:type="fixed"/>
        <w:tblLook w:val="04A0" w:firstRow="1" w:lastRow="0" w:firstColumn="1" w:lastColumn="0" w:noHBand="0" w:noVBand="1"/>
      </w:tblPr>
      <w:tblGrid>
        <w:gridCol w:w="2844"/>
        <w:gridCol w:w="5895"/>
      </w:tblGrid>
      <w:tr w:rsidR="00D849E8" w14:paraId="78DF99E5" w14:textId="77777777" w:rsidTr="00A9140F">
        <w:trPr>
          <w:trHeight w:val="241"/>
        </w:trPr>
        <w:tc>
          <w:tcPr>
            <w:tcW w:w="8739" w:type="dxa"/>
            <w:gridSpan w:val="2"/>
            <w:tcBorders>
              <w:bottom w:val="single" w:sz="4" w:space="0" w:color="auto"/>
            </w:tcBorders>
            <w:tcMar>
              <w:left w:w="0" w:type="dxa"/>
              <w:right w:w="60" w:type="dxa"/>
            </w:tcMar>
          </w:tcPr>
          <w:p w14:paraId="484ACE77" w14:textId="77777777" w:rsidR="00D849E8" w:rsidRDefault="00D849E8" w:rsidP="00A9140F">
            <w:pPr>
              <w:pStyle w:val="AnnexTableCellLeft"/>
              <w:spacing w:before="40" w:after="40"/>
            </w:pPr>
            <w:r>
              <w:t>Verulegt framlag til aðlögunar að loftslagsbreytingum</w:t>
            </w:r>
          </w:p>
        </w:tc>
      </w:tr>
      <w:tr w:rsidR="00D849E8" w14:paraId="25774F9D" w14:textId="77777777" w:rsidTr="00A9140F">
        <w:trPr>
          <w:trHeight w:val="361"/>
        </w:trPr>
        <w:tc>
          <w:tcPr>
            <w:tcW w:w="8739" w:type="dxa"/>
            <w:gridSpan w:val="2"/>
            <w:tcBorders>
              <w:bottom w:val="nil"/>
            </w:tcBorders>
            <w:tcMar>
              <w:top w:w="100" w:type="dxa"/>
              <w:left w:w="0" w:type="dxa"/>
              <w:right w:w="60" w:type="dxa"/>
            </w:tcMar>
          </w:tcPr>
          <w:p w14:paraId="351FF142" w14:textId="77777777" w:rsidR="00D849E8" w:rsidRDefault="00D849E8" w:rsidP="00A9140F">
            <w:pPr>
              <w:pStyle w:val="AnnexNumberedText"/>
              <w:tabs>
                <w:tab w:val="left" w:pos="396"/>
              </w:tabs>
              <w:spacing w:after="0"/>
              <w:ind w:left="0" w:firstLine="0"/>
            </w:pPr>
            <w:r>
              <w:t>1.</w:t>
            </w:r>
            <w:r>
              <w:tab/>
              <w:t>Í starfseminni hefur verið komið í framkvæmd efnislegum og óefnislegum lausnum („aðlögunarlausnum“) sem draga verulega úr helstu efnislegu loftslagsáhættunum sem hafa mikla þýðingu fyrir þessa starfsemi.</w:t>
            </w:r>
          </w:p>
        </w:tc>
      </w:tr>
      <w:tr w:rsidR="00D849E8" w14:paraId="237201AA" w14:textId="77777777" w:rsidTr="00A9140F">
        <w:trPr>
          <w:trHeight w:val="361"/>
        </w:trPr>
        <w:tc>
          <w:tcPr>
            <w:tcW w:w="8739" w:type="dxa"/>
            <w:gridSpan w:val="2"/>
            <w:tcBorders>
              <w:top w:val="nil"/>
              <w:bottom w:val="nil"/>
            </w:tcBorders>
            <w:tcMar>
              <w:left w:w="0" w:type="dxa"/>
              <w:right w:w="60" w:type="dxa"/>
            </w:tcMar>
          </w:tcPr>
          <w:p w14:paraId="6D35FD51" w14:textId="77777777" w:rsidR="00D849E8" w:rsidRDefault="00D849E8" w:rsidP="00A9140F">
            <w:pPr>
              <w:pStyle w:val="AnnexNumberedText"/>
              <w:pageBreakBefore/>
              <w:tabs>
                <w:tab w:val="left" w:pos="396"/>
              </w:tabs>
              <w:spacing w:after="140"/>
              <w:ind w:left="0" w:firstLine="0"/>
            </w:pPr>
            <w:r>
              <w:lastRenderedPageBreak/>
              <w:t>2.</w:t>
            </w:r>
            <w:r>
              <w:tab/>
              <w:t>Efnisleg loftslagsáhætta sem hefur mikla þýðingu fyrir starfsemina hefur verið greind meðal þeirra sem eru skráðar í viðbæti A við þennan viðauka með því að framkvæma traust loftslagsáhættu- og veikleikamat með eftirfarandi skrefum:</w:t>
            </w:r>
          </w:p>
          <w:p w14:paraId="4B4410F9" w14:textId="77777777" w:rsidR="00D849E8" w:rsidRDefault="00D849E8" w:rsidP="00A9140F">
            <w:pPr>
              <w:pStyle w:val="AnnexNumberedText"/>
              <w:pageBreakBefore/>
              <w:spacing w:after="140"/>
            </w:pPr>
            <w:r>
              <w:t>a)</w:t>
            </w:r>
            <w:r>
              <w:tab/>
              <w:t>skimun á starfseminni til að greina hvaða efnislega loftslagsáhætta úr skránni í viðbæti A við þennan viðauka getur haft áhrif á árangurinn af atvinnustarfseminni á væntum líftíma hennar,</w:t>
            </w:r>
          </w:p>
          <w:p w14:paraId="0D4C06BD" w14:textId="77777777" w:rsidR="00D849E8" w:rsidRDefault="00D849E8" w:rsidP="00A9140F">
            <w:pPr>
              <w:pStyle w:val="AnnexNumberedText"/>
              <w:pageBreakBefore/>
              <w:spacing w:after="140"/>
            </w:pPr>
            <w:r>
              <w:t>b)</w:t>
            </w:r>
            <w:r>
              <w:tab/>
              <w:t>ef metið er að starfsemin sé í áhættu vegna einnar eða fleiri efnislegrar loftslagsáhættu sem er skráð í viðbæti A við þennan viðauka, loftslagsáhættu- og veikleikamat til að meta hversu mikla þýðingu efnislega loftslagsáhættan hefur fyrir atvinnustarfsemina,</w:t>
            </w:r>
          </w:p>
          <w:p w14:paraId="38AB31D0" w14:textId="77777777" w:rsidR="00D849E8" w:rsidRDefault="00D849E8" w:rsidP="00A9140F">
            <w:pPr>
              <w:pStyle w:val="AnnexNumberedText"/>
              <w:pageBreakBefore/>
              <w:spacing w:after="140"/>
            </w:pPr>
            <w:r>
              <w:t>c)</w:t>
            </w:r>
            <w:r>
              <w:tab/>
              <w:t>mat á aðlögunarlausnum sem geta dregið úr greindri efnislegri loftslagsáhættu.</w:t>
            </w:r>
          </w:p>
          <w:p w14:paraId="1AA2D866" w14:textId="77777777" w:rsidR="00D849E8" w:rsidRDefault="00D849E8" w:rsidP="00A9140F">
            <w:pPr>
              <w:pStyle w:val="AnnexTableCellLeft"/>
              <w:pageBreakBefore/>
              <w:spacing w:after="140"/>
            </w:pPr>
            <w:r>
              <w:t xml:space="preserve">Loftslagsáhættu- og veikleikamatið er í réttu hlutfalli við umfang starfseminnar og </w:t>
            </w:r>
            <w:proofErr w:type="spellStart"/>
            <w:r>
              <w:t>væntan</w:t>
            </w:r>
            <w:proofErr w:type="spellEnd"/>
            <w:r>
              <w:t xml:space="preserve"> líftíma hennar þannig að:</w:t>
            </w:r>
          </w:p>
          <w:p w14:paraId="745480BE" w14:textId="77777777" w:rsidR="00D849E8" w:rsidRDefault="00D849E8" w:rsidP="00A9140F">
            <w:pPr>
              <w:pStyle w:val="AnnexNumberedText"/>
              <w:pageBreakBefore/>
              <w:spacing w:after="140"/>
            </w:pPr>
            <w:r>
              <w:t>a)</w:t>
            </w:r>
            <w:r>
              <w:tab/>
              <w:t xml:space="preserve">mat á starfsemi með </w:t>
            </w:r>
            <w:proofErr w:type="spellStart"/>
            <w:r>
              <w:t>væntan</w:t>
            </w:r>
            <w:proofErr w:type="spellEnd"/>
            <w:r>
              <w:t xml:space="preserve"> líftíma sem er styttri en 10 ár er a.m.k. framkvæmt með því að nota loftslagsframreikning með minnsta viðeigandi kvarða,</w:t>
            </w:r>
          </w:p>
          <w:p w14:paraId="68DBE1FF" w14:textId="77777777" w:rsidR="00D849E8" w:rsidRDefault="00D849E8" w:rsidP="00A9140F">
            <w:pPr>
              <w:pStyle w:val="AnnexNumberedText"/>
              <w:pageBreakBefore/>
              <w:spacing w:after="140"/>
              <w:rPr>
                <w:szCs w:val="18"/>
              </w:rPr>
            </w:pPr>
            <w:r>
              <w:t>b)</w:t>
            </w:r>
            <w:r>
              <w:tab/>
              <w:t>mat á allri annarri starfsemi er framkvæmt með því að nota nýjasta loftslagsframreikninginn með mestu fáanlegu upplausninni þvert á fyrirliggjandi framtíðarsviðsmyndir (</w:t>
            </w:r>
            <w:r>
              <w:rPr>
                <w:rStyle w:val="Tilvsunneanmlsgrein"/>
                <w:sz w:val="18"/>
                <w:szCs w:val="18"/>
              </w:rPr>
              <w:footnoteReference w:id="1016"/>
            </w:r>
            <w:r>
              <w:t xml:space="preserve">) sem eru í samræmi við </w:t>
            </w:r>
            <w:proofErr w:type="spellStart"/>
            <w:r>
              <w:t>væntan</w:t>
            </w:r>
            <w:proofErr w:type="spellEnd"/>
            <w:r>
              <w:t xml:space="preserve"> líftíma starfseminnar, þ.m.t. að minnsta kosti 10 til 30 ára loftslagsframreikningssviðsmyndir fyrir meiri háttar fjárfestingar.</w:t>
            </w:r>
          </w:p>
          <w:p w14:paraId="5679DFE8" w14:textId="77777777" w:rsidR="00D849E8" w:rsidRDefault="00D849E8" w:rsidP="00A9140F">
            <w:pPr>
              <w:pStyle w:val="AnnexNumberedText"/>
              <w:pageBreakBefore/>
              <w:tabs>
                <w:tab w:val="left" w:pos="396"/>
              </w:tabs>
              <w:spacing w:after="140"/>
              <w:ind w:left="0" w:firstLine="0"/>
              <w:rPr>
                <w:szCs w:val="18"/>
              </w:rPr>
            </w:pPr>
            <w:r>
              <w:t>3.</w:t>
            </w:r>
            <w:r>
              <w:tab/>
              <w:t>Loftslagsframreikningar og mat á áhrifum byggjast á bestu starfsvenjum og tiltækum leiðbeiningum og tekið er tillit til nýjustu vísinda við veikleika- og áhættugreiningar og tengdra aðferða í samræmi við nýjustu skýrslur milliríkjanefndarinnar um loftslagsbreytingar (</w:t>
            </w:r>
            <w:r>
              <w:rPr>
                <w:rStyle w:val="Tilvsunneanmlsgrein"/>
                <w:sz w:val="18"/>
                <w:szCs w:val="18"/>
              </w:rPr>
              <w:footnoteReference w:id="1017"/>
            </w:r>
            <w:r>
              <w:t>), vísindalegt ritrýnt útgefið efni og líkön með opnum aðgangi (</w:t>
            </w:r>
            <w:r>
              <w:rPr>
                <w:rStyle w:val="Tilvsunneanmlsgrein"/>
                <w:sz w:val="18"/>
                <w:szCs w:val="18"/>
              </w:rPr>
              <w:footnoteReference w:id="1018"/>
            </w:r>
            <w:r>
              <w:t>) eða gegn greiðslu.</w:t>
            </w:r>
          </w:p>
          <w:p w14:paraId="1C8FB32E" w14:textId="77777777" w:rsidR="00D849E8" w:rsidRDefault="00D849E8" w:rsidP="00A9140F">
            <w:pPr>
              <w:pStyle w:val="AnnexNumberedText"/>
              <w:pageBreakBefore/>
              <w:tabs>
                <w:tab w:val="left" w:pos="396"/>
              </w:tabs>
              <w:spacing w:after="140"/>
              <w:ind w:left="0" w:firstLine="0"/>
              <w:rPr>
                <w:szCs w:val="18"/>
              </w:rPr>
            </w:pPr>
            <w:r>
              <w:t>4.</w:t>
            </w:r>
            <w:r>
              <w:tab/>
              <w:t>Aðlögunarlausnir sem komið er í framkvæmd:</w:t>
            </w:r>
          </w:p>
          <w:p w14:paraId="4FD9B4C4" w14:textId="77777777" w:rsidR="00D849E8" w:rsidRDefault="00D849E8" w:rsidP="00A9140F">
            <w:pPr>
              <w:pStyle w:val="AnnexNumberedText"/>
              <w:pageBreakBefore/>
              <w:spacing w:after="140"/>
              <w:rPr>
                <w:szCs w:val="18"/>
              </w:rPr>
            </w:pPr>
            <w:r>
              <w:t>a)</w:t>
            </w:r>
            <w:r>
              <w:tab/>
              <w:t>hafa ekki neikvæð áhrif á viðleitni til aðlögunar eða viðnám annars fólks, náttúru, menningararfleifðar, eigna og annarrar atvinnustarfsemi gegn efnislegri loftslagsáhættu,</w:t>
            </w:r>
          </w:p>
          <w:p w14:paraId="6DF8A0DC" w14:textId="77777777" w:rsidR="00D849E8" w:rsidRDefault="00D849E8" w:rsidP="00A9140F">
            <w:pPr>
              <w:pStyle w:val="AnnexNumberedText"/>
              <w:pageBreakBefore/>
              <w:spacing w:after="140"/>
              <w:rPr>
                <w:szCs w:val="18"/>
              </w:rPr>
            </w:pPr>
            <w:r>
              <w:t>b)</w:t>
            </w:r>
            <w:r>
              <w:tab/>
              <w:t>eru með náttúrumiðaðar lausnir (</w:t>
            </w:r>
            <w:r>
              <w:rPr>
                <w:rStyle w:val="Tilvsunneanmlsgrein"/>
                <w:sz w:val="18"/>
                <w:szCs w:val="18"/>
              </w:rPr>
              <w:footnoteReference w:id="1019"/>
            </w:r>
            <w:r>
              <w:t>) í forgangi eða treyst er á bláa eða græna innviði (</w:t>
            </w:r>
            <w:r>
              <w:rPr>
                <w:rStyle w:val="Tilvsunneanmlsgrein"/>
                <w:sz w:val="18"/>
                <w:szCs w:val="18"/>
              </w:rPr>
              <w:footnoteReference w:id="1020"/>
            </w:r>
            <w:r>
              <w:t>) að því marki sem mögulegt er,</w:t>
            </w:r>
          </w:p>
          <w:p w14:paraId="76401A12" w14:textId="77777777" w:rsidR="00D849E8" w:rsidRDefault="00D849E8" w:rsidP="00A9140F">
            <w:pPr>
              <w:pStyle w:val="AnnexNumberedText"/>
              <w:pageBreakBefore/>
              <w:spacing w:after="140"/>
              <w:rPr>
                <w:szCs w:val="18"/>
              </w:rPr>
            </w:pPr>
            <w:r>
              <w:t>c)</w:t>
            </w:r>
            <w:r>
              <w:tab/>
              <w:t>eru í samræmi við staðbundnar, geirabundnar, svæðisbundnar eða landsbundnar aðlögunarstefnur og -áætlanir,</w:t>
            </w:r>
          </w:p>
          <w:p w14:paraId="14351203" w14:textId="77777777" w:rsidR="00D849E8" w:rsidRDefault="00D849E8" w:rsidP="00A9140F">
            <w:pPr>
              <w:pStyle w:val="AnnexNumberedText"/>
              <w:pageBreakBefore/>
              <w:spacing w:after="140"/>
              <w:rPr>
                <w:szCs w:val="18"/>
              </w:rPr>
            </w:pPr>
            <w:r>
              <w:t>d)</w:t>
            </w:r>
            <w:r>
              <w:tab/>
              <w:t xml:space="preserve">eru </w:t>
            </w:r>
            <w:proofErr w:type="spellStart"/>
            <w:r>
              <w:t>vaktaðar</w:t>
            </w:r>
            <w:proofErr w:type="spellEnd"/>
            <w:r>
              <w:t xml:space="preserve"> og mældar samkvæmt </w:t>
            </w:r>
            <w:proofErr w:type="spellStart"/>
            <w:r>
              <w:t>fyrirframskilgreindum</w:t>
            </w:r>
            <w:proofErr w:type="spellEnd"/>
            <w:r>
              <w:t xml:space="preserve"> vísum og aðgerðir til úrbóta teknar til athugunar ef þessir vísar eru ekki uppfylltir,</w:t>
            </w:r>
          </w:p>
          <w:p w14:paraId="5300BF1A" w14:textId="77777777" w:rsidR="00D849E8" w:rsidRDefault="00D849E8" w:rsidP="00A9140F">
            <w:pPr>
              <w:pStyle w:val="AnnexNumberedText"/>
              <w:pageBreakBefore/>
              <w:spacing w:after="140"/>
            </w:pPr>
            <w:r>
              <w:t>e)</w:t>
            </w:r>
            <w:r>
              <w:tab/>
              <w:t>ef lausnin sem komið er í framkvæmd er efnisleg og samanstendur af starfsemi sem tæknileg matsviðmið hafa verið tilgreind fyrir í þessum viðauka er lausnin í samræmi við tæknileg matsviðmið um að valda ekki umtalsverðu tjóni fyrir þá starfsemi.</w:t>
            </w:r>
          </w:p>
          <w:p w14:paraId="5EB02342" w14:textId="77777777" w:rsidR="00D849E8" w:rsidRDefault="00D849E8" w:rsidP="00A9140F">
            <w:pPr>
              <w:pStyle w:val="AnnexNumberedText"/>
              <w:pageBreakBefore/>
              <w:tabs>
                <w:tab w:val="left" w:pos="396"/>
              </w:tabs>
              <w:spacing w:after="140"/>
              <w:ind w:left="0" w:firstLine="0"/>
            </w:pPr>
            <w:r>
              <w:t>5.</w:t>
            </w:r>
            <w:r>
              <w:tab/>
              <w:t xml:space="preserve">Til að starfsemi teljist vera starfsemi sem gerir annarri starfsemi kleift að stuðla að umhverfismarkmiðum, eins og um getur í </w:t>
            </w:r>
            <w:proofErr w:type="spellStart"/>
            <w:r>
              <w:t>b-lið</w:t>
            </w:r>
            <w:proofErr w:type="spellEnd"/>
            <w:r>
              <w:t xml:space="preserve"> 1. mgr. 11. gr. reglugerðar (ESB) 2020/852, sýnir rekstraraðilinn fram á, með mati á núverandi loftslagsáhættu og loftslagsáhættu í framtíðinni, þ.m.t. óvissu og byggt á traustum gögnum, að starfsemin láti í té tækni, vöru, þjónustu, upplýsingar eða starfshætti eða stuðli að notkun þeirra með eftirfarandi meginmarkmiðum:</w:t>
            </w:r>
          </w:p>
          <w:p w14:paraId="26457A83" w14:textId="77777777" w:rsidR="00D849E8" w:rsidRDefault="00D849E8" w:rsidP="00A9140F">
            <w:pPr>
              <w:pStyle w:val="AnnexNumberedText"/>
              <w:pageBreakBefore/>
              <w:spacing w:after="140"/>
            </w:pPr>
            <w:r>
              <w:t>a)</w:t>
            </w:r>
            <w:r>
              <w:tab/>
              <w:t>auki viðnám gegn efnislegri loftslagsáhættu fyrir annað fólk, náttúru, menningararfleifð, eignir og aðra atvinnustarfsemi eða</w:t>
            </w:r>
          </w:p>
          <w:p w14:paraId="5279BDC5" w14:textId="77777777" w:rsidR="00D849E8" w:rsidRDefault="00D849E8" w:rsidP="00A9140F">
            <w:pPr>
              <w:pStyle w:val="AnnexNumberedText"/>
              <w:pageBreakBefore/>
              <w:spacing w:after="0"/>
            </w:pPr>
            <w:r>
              <w:t>b)</w:t>
            </w:r>
            <w:r>
              <w:tab/>
              <w:t>stuðli að aðlögunarviðleitni annars fólks, náttúru, menningararfleifðar, eigna og annarrar atvinnustarfsemi.</w:t>
            </w:r>
          </w:p>
        </w:tc>
      </w:tr>
      <w:tr w:rsidR="00D849E8" w14:paraId="6368B45E" w14:textId="77777777" w:rsidTr="00A9140F">
        <w:tc>
          <w:tcPr>
            <w:tcW w:w="8739" w:type="dxa"/>
            <w:gridSpan w:val="2"/>
            <w:tcBorders>
              <w:top w:val="single" w:sz="4" w:space="0" w:color="auto"/>
            </w:tcBorders>
            <w:tcMar>
              <w:top w:w="60" w:type="dxa"/>
              <w:left w:w="0" w:type="dxa"/>
              <w:bottom w:w="60" w:type="dxa"/>
              <w:right w:w="60" w:type="dxa"/>
            </w:tcMar>
          </w:tcPr>
          <w:p w14:paraId="67B69B17" w14:textId="77777777" w:rsidR="00D849E8" w:rsidRDefault="00D849E8" w:rsidP="00A9140F">
            <w:pPr>
              <w:pStyle w:val="AnnexTableCellLeft"/>
              <w:pageBreakBefore/>
            </w:pPr>
            <w:r>
              <w:lastRenderedPageBreak/>
              <w:t>Ekki valda umtalsverðu tjóni</w:t>
            </w:r>
          </w:p>
        </w:tc>
      </w:tr>
      <w:tr w:rsidR="00D849E8" w14:paraId="16D697B6" w14:textId="77777777" w:rsidTr="00A9140F">
        <w:tc>
          <w:tcPr>
            <w:tcW w:w="2844" w:type="dxa"/>
            <w:tcMar>
              <w:top w:w="60" w:type="dxa"/>
              <w:left w:w="0" w:type="dxa"/>
              <w:bottom w:w="60" w:type="dxa"/>
              <w:right w:w="60" w:type="dxa"/>
            </w:tcMar>
          </w:tcPr>
          <w:p w14:paraId="42DC7362" w14:textId="77777777" w:rsidR="00D849E8" w:rsidRDefault="00D849E8" w:rsidP="00A9140F">
            <w:pPr>
              <w:pStyle w:val="AnnexNumberedText"/>
              <w:spacing w:after="0"/>
              <w:ind w:left="293" w:hanging="293"/>
            </w:pPr>
            <w:r>
              <w:t>1)</w:t>
            </w:r>
            <w:r>
              <w:tab/>
              <w:t>Mildun loftslagsbreytinga</w:t>
            </w:r>
          </w:p>
        </w:tc>
        <w:tc>
          <w:tcPr>
            <w:tcW w:w="5895" w:type="dxa"/>
            <w:tcMar>
              <w:top w:w="60" w:type="dxa"/>
              <w:left w:w="60" w:type="dxa"/>
              <w:bottom w:w="60" w:type="dxa"/>
              <w:right w:w="60" w:type="dxa"/>
            </w:tcMar>
          </w:tcPr>
          <w:p w14:paraId="1E434C66" w14:textId="77777777" w:rsidR="00D849E8" w:rsidRDefault="00D849E8" w:rsidP="00A9140F">
            <w:pPr>
              <w:pStyle w:val="AnnexTableCellLeft"/>
            </w:pPr>
            <w:r>
              <w:t>Á ekki við</w:t>
            </w:r>
          </w:p>
        </w:tc>
      </w:tr>
      <w:tr w:rsidR="00D849E8" w14:paraId="63590406" w14:textId="77777777" w:rsidTr="00A9140F">
        <w:tc>
          <w:tcPr>
            <w:tcW w:w="2844" w:type="dxa"/>
            <w:tcMar>
              <w:top w:w="60" w:type="dxa"/>
              <w:left w:w="0" w:type="dxa"/>
              <w:bottom w:w="60" w:type="dxa"/>
              <w:right w:w="60" w:type="dxa"/>
            </w:tcMar>
          </w:tcPr>
          <w:p w14:paraId="4186CC80" w14:textId="77777777" w:rsidR="00D849E8" w:rsidRDefault="00D849E8" w:rsidP="00A9140F">
            <w:pPr>
              <w:pStyle w:val="AnnexNumberedText"/>
              <w:spacing w:after="0"/>
              <w:ind w:left="293" w:hanging="293"/>
            </w:pPr>
            <w:r>
              <w:t>3)</w:t>
            </w:r>
            <w:r>
              <w:tab/>
              <w:t>Sjálfbær notkun og verndun vatns- og sjávarauðlinda</w:t>
            </w:r>
          </w:p>
        </w:tc>
        <w:tc>
          <w:tcPr>
            <w:tcW w:w="5895" w:type="dxa"/>
            <w:tcMar>
              <w:top w:w="60" w:type="dxa"/>
              <w:left w:w="60" w:type="dxa"/>
              <w:bottom w:w="60" w:type="dxa"/>
              <w:right w:w="60" w:type="dxa"/>
            </w:tcMar>
          </w:tcPr>
          <w:p w14:paraId="6B602ADB" w14:textId="77777777" w:rsidR="00D849E8" w:rsidRDefault="00D849E8" w:rsidP="00A9140F">
            <w:pPr>
              <w:pStyle w:val="AnnexTableCellLeft"/>
            </w:pPr>
            <w:r>
              <w:t>Á ekki við</w:t>
            </w:r>
          </w:p>
        </w:tc>
      </w:tr>
      <w:tr w:rsidR="00D849E8" w14:paraId="05C095B9" w14:textId="77777777" w:rsidTr="00A9140F">
        <w:tc>
          <w:tcPr>
            <w:tcW w:w="2844" w:type="dxa"/>
            <w:tcMar>
              <w:top w:w="60" w:type="dxa"/>
              <w:left w:w="0" w:type="dxa"/>
              <w:bottom w:w="60" w:type="dxa"/>
              <w:right w:w="60" w:type="dxa"/>
            </w:tcMar>
          </w:tcPr>
          <w:p w14:paraId="68FC4CBE" w14:textId="77777777" w:rsidR="00D849E8" w:rsidRDefault="00D849E8" w:rsidP="00A9140F">
            <w:pPr>
              <w:pStyle w:val="AnnexNumberedText"/>
              <w:spacing w:after="0"/>
              <w:ind w:left="293" w:hanging="293"/>
            </w:pPr>
            <w:r>
              <w:t>4)</w:t>
            </w:r>
            <w:r>
              <w:tab/>
              <w:t>Umskipti yfir í hringrásarhagkerfi</w:t>
            </w:r>
          </w:p>
        </w:tc>
        <w:tc>
          <w:tcPr>
            <w:tcW w:w="5895" w:type="dxa"/>
            <w:tcMar>
              <w:top w:w="60" w:type="dxa"/>
              <w:left w:w="60" w:type="dxa"/>
              <w:bottom w:w="60" w:type="dxa"/>
              <w:right w:w="60" w:type="dxa"/>
            </w:tcMar>
          </w:tcPr>
          <w:p w14:paraId="32190AD0" w14:textId="77777777" w:rsidR="00D849E8" w:rsidRDefault="00D849E8" w:rsidP="00A9140F">
            <w:pPr>
              <w:pStyle w:val="AnnexTableCellLeft"/>
            </w:pPr>
            <w:r>
              <w:t>Á ekki við</w:t>
            </w:r>
          </w:p>
        </w:tc>
      </w:tr>
      <w:tr w:rsidR="00D849E8" w14:paraId="394408C2" w14:textId="77777777" w:rsidTr="00A9140F">
        <w:tc>
          <w:tcPr>
            <w:tcW w:w="2844" w:type="dxa"/>
            <w:tcMar>
              <w:top w:w="60" w:type="dxa"/>
              <w:left w:w="0" w:type="dxa"/>
              <w:bottom w:w="60" w:type="dxa"/>
              <w:right w:w="60" w:type="dxa"/>
            </w:tcMar>
          </w:tcPr>
          <w:p w14:paraId="483C8A9C" w14:textId="77777777" w:rsidR="00D849E8" w:rsidRDefault="00D849E8" w:rsidP="00A9140F">
            <w:pPr>
              <w:pStyle w:val="AnnexNumberedText"/>
              <w:spacing w:after="0"/>
              <w:ind w:left="293" w:hanging="293"/>
            </w:pPr>
            <w:r>
              <w:t>5)</w:t>
            </w:r>
            <w:r>
              <w:tab/>
              <w:t>Mengunarvarnir og eftirlit með mengun</w:t>
            </w:r>
          </w:p>
        </w:tc>
        <w:tc>
          <w:tcPr>
            <w:tcW w:w="5895" w:type="dxa"/>
            <w:tcMar>
              <w:top w:w="60" w:type="dxa"/>
              <w:left w:w="60" w:type="dxa"/>
              <w:bottom w:w="60" w:type="dxa"/>
              <w:right w:w="60" w:type="dxa"/>
            </w:tcMar>
          </w:tcPr>
          <w:p w14:paraId="559E698C" w14:textId="77777777" w:rsidR="00D849E8" w:rsidRDefault="00D849E8" w:rsidP="00A9140F">
            <w:pPr>
              <w:pStyle w:val="AnnexTableCellLeft"/>
            </w:pPr>
            <w:r>
              <w:t>Á ekki við</w:t>
            </w:r>
          </w:p>
        </w:tc>
      </w:tr>
      <w:tr w:rsidR="00D849E8" w14:paraId="5908ECDA" w14:textId="77777777" w:rsidTr="00A9140F">
        <w:tc>
          <w:tcPr>
            <w:tcW w:w="2844" w:type="dxa"/>
            <w:tcMar>
              <w:top w:w="60" w:type="dxa"/>
              <w:left w:w="0" w:type="dxa"/>
              <w:bottom w:w="60" w:type="dxa"/>
              <w:right w:w="60" w:type="dxa"/>
            </w:tcMar>
          </w:tcPr>
          <w:p w14:paraId="0210DFB5" w14:textId="77777777" w:rsidR="00D849E8" w:rsidRDefault="00D849E8" w:rsidP="00A9140F">
            <w:pPr>
              <w:pStyle w:val="AnnexNumberedText"/>
              <w:spacing w:after="0"/>
              <w:ind w:left="293" w:hanging="293"/>
            </w:pPr>
            <w:r>
              <w:t>6)</w:t>
            </w:r>
            <w:r>
              <w:tab/>
              <w:t>Vernd og endurheimt líffræðilegrar fjölbreytni og vistkerfa</w:t>
            </w:r>
          </w:p>
        </w:tc>
        <w:tc>
          <w:tcPr>
            <w:tcW w:w="5895" w:type="dxa"/>
            <w:tcMar>
              <w:top w:w="60" w:type="dxa"/>
              <w:left w:w="60" w:type="dxa"/>
              <w:bottom w:w="60" w:type="dxa"/>
              <w:right w:w="60" w:type="dxa"/>
            </w:tcMar>
          </w:tcPr>
          <w:p w14:paraId="5C62E570" w14:textId="77777777" w:rsidR="00D849E8" w:rsidRDefault="00D849E8" w:rsidP="00A9140F">
            <w:pPr>
              <w:pStyle w:val="AnnexTableCellLeft"/>
            </w:pPr>
            <w:r>
              <w:t>Á ekki við</w:t>
            </w:r>
          </w:p>
        </w:tc>
      </w:tr>
    </w:tbl>
    <w:p w14:paraId="46735F01" w14:textId="77777777" w:rsidR="00D849E8" w:rsidRDefault="00D849E8" w:rsidP="00D849E8">
      <w:pPr>
        <w:pStyle w:val="AnnexTI"/>
        <w:jc w:val="both"/>
        <w:rPr>
          <w:i w:val="0"/>
          <w:sz w:val="18"/>
        </w:rPr>
      </w:pPr>
    </w:p>
    <w:p w14:paraId="53109436" w14:textId="77777777" w:rsidR="00D849E8" w:rsidRDefault="00D849E8" w:rsidP="00D849E8">
      <w:pPr>
        <w:pStyle w:val="AnnexTI"/>
        <w:sectPr w:rsidR="00D849E8">
          <w:headerReference w:type="default" r:id="rId9"/>
          <w:footnotePr>
            <w:numRestart w:val="eachSect"/>
          </w:footnotePr>
          <w:pgSz w:w="11906" w:h="16838" w:code="9"/>
          <w:pgMar w:top="1680" w:right="1333" w:bottom="840" w:left="1333" w:header="920" w:footer="280" w:gutter="0"/>
          <w:cols w:space="708"/>
          <w:docGrid w:linePitch="360"/>
        </w:sectPr>
      </w:pPr>
    </w:p>
    <w:p w14:paraId="3E12B635" w14:textId="77777777" w:rsidR="00D849E8" w:rsidRDefault="00D849E8" w:rsidP="00D849E8">
      <w:pPr>
        <w:pStyle w:val="AnnexTI"/>
      </w:pPr>
      <w:r>
        <w:lastRenderedPageBreak/>
        <w:t>Viðbætir A</w:t>
      </w:r>
    </w:p>
    <w:p w14:paraId="6EE4D9E1" w14:textId="77777777" w:rsidR="00D849E8" w:rsidRDefault="00D849E8" w:rsidP="00D849E8">
      <w:pPr>
        <w:pStyle w:val="AnnexSTI"/>
        <w:spacing w:after="300" w:line="200" w:lineRule="exact"/>
        <w:rPr>
          <w:b w:val="0"/>
          <w:sz w:val="16"/>
          <w:szCs w:val="16"/>
        </w:rPr>
      </w:pPr>
      <w:r>
        <w:t>FLOKKUN LOFTLAGSTENGDRA HÆTTA (</w:t>
      </w:r>
      <w:bookmarkStart w:id="108" w:name="NOTE_1020"/>
      <w:r>
        <w:rPr>
          <w:rStyle w:val="Tilvsunneanmlsgrein"/>
          <w:b w:val="0"/>
          <w:sz w:val="18"/>
          <w:szCs w:val="18"/>
        </w:rPr>
        <w:footnoteReference w:id="1021"/>
      </w:r>
      <w:bookmarkEnd w:id="108"/>
      <w:r>
        <w:t>)</w:t>
      </w:r>
    </w:p>
    <w:tbl>
      <w:tblPr>
        <w:tblStyle w:val="EFTATable"/>
        <w:tblW w:w="9240" w:type="dxa"/>
        <w:shd w:val="clear" w:color="auto" w:fill="ECECEC"/>
        <w:tblLayout w:type="fixed"/>
        <w:tblLook w:val="04A0" w:firstRow="1" w:lastRow="0" w:firstColumn="1" w:lastColumn="0" w:noHBand="0" w:noVBand="1"/>
      </w:tblPr>
      <w:tblGrid>
        <w:gridCol w:w="711"/>
        <w:gridCol w:w="2132"/>
        <w:gridCol w:w="2132"/>
        <w:gridCol w:w="2132"/>
        <w:gridCol w:w="2133"/>
      </w:tblGrid>
      <w:tr w:rsidR="00D849E8" w14:paraId="2438A37A" w14:textId="77777777" w:rsidTr="00A9140F">
        <w:trPr>
          <w:trHeight w:val="240"/>
          <w:tblHeader/>
        </w:trPr>
        <w:tc>
          <w:tcPr>
            <w:tcW w:w="711" w:type="dxa"/>
            <w:vMerge w:val="restart"/>
            <w:shd w:val="clear" w:color="auto" w:fill="ECECEC"/>
            <w:tcMar>
              <w:top w:w="60" w:type="dxa"/>
              <w:left w:w="0" w:type="dxa"/>
              <w:bottom w:w="60" w:type="dxa"/>
            </w:tcMar>
            <w:vAlign w:val="center"/>
          </w:tcPr>
          <w:p w14:paraId="5C8789A4" w14:textId="77777777" w:rsidR="00D849E8" w:rsidRDefault="00D849E8" w:rsidP="00A9140F">
            <w:pPr>
              <w:pStyle w:val="AnnexTableHeader"/>
              <w:spacing w:line="200" w:lineRule="exact"/>
            </w:pPr>
          </w:p>
        </w:tc>
        <w:tc>
          <w:tcPr>
            <w:tcW w:w="2132" w:type="dxa"/>
            <w:vMerge w:val="restart"/>
            <w:shd w:val="clear" w:color="auto" w:fill="ECECEC"/>
            <w:tcMar>
              <w:top w:w="60" w:type="dxa"/>
              <w:bottom w:w="60" w:type="dxa"/>
            </w:tcMar>
            <w:vAlign w:val="center"/>
          </w:tcPr>
          <w:p w14:paraId="56B850FD" w14:textId="77777777" w:rsidR="00D849E8" w:rsidRDefault="00D849E8" w:rsidP="00A9140F">
            <w:pPr>
              <w:pStyle w:val="AnnexTableHeader"/>
              <w:spacing w:line="200" w:lineRule="exact"/>
            </w:pPr>
            <w:r>
              <w:t>Tengdar hitastigi</w:t>
            </w:r>
          </w:p>
        </w:tc>
        <w:tc>
          <w:tcPr>
            <w:tcW w:w="2132" w:type="dxa"/>
            <w:vMerge w:val="restart"/>
            <w:shd w:val="clear" w:color="auto" w:fill="ECECEC"/>
            <w:tcMar>
              <w:top w:w="60" w:type="dxa"/>
              <w:bottom w:w="60" w:type="dxa"/>
            </w:tcMar>
            <w:vAlign w:val="center"/>
          </w:tcPr>
          <w:p w14:paraId="7807CFC6" w14:textId="77777777" w:rsidR="00D849E8" w:rsidRDefault="00D849E8" w:rsidP="00A9140F">
            <w:pPr>
              <w:pStyle w:val="AnnexTableHeader"/>
              <w:spacing w:line="200" w:lineRule="exact"/>
            </w:pPr>
            <w:r>
              <w:t>Tengdar vindi</w:t>
            </w:r>
          </w:p>
        </w:tc>
        <w:tc>
          <w:tcPr>
            <w:tcW w:w="2132" w:type="dxa"/>
            <w:vMerge w:val="restart"/>
            <w:shd w:val="clear" w:color="auto" w:fill="ECECEC"/>
            <w:tcMar>
              <w:top w:w="60" w:type="dxa"/>
              <w:bottom w:w="60" w:type="dxa"/>
            </w:tcMar>
            <w:vAlign w:val="center"/>
          </w:tcPr>
          <w:p w14:paraId="5EBAE546" w14:textId="77777777" w:rsidR="00D849E8" w:rsidRDefault="00D849E8" w:rsidP="00A9140F">
            <w:pPr>
              <w:pStyle w:val="AnnexTableHeader"/>
              <w:spacing w:line="200" w:lineRule="exact"/>
            </w:pPr>
            <w:r>
              <w:t>Tengdar vatni</w:t>
            </w:r>
          </w:p>
        </w:tc>
        <w:tc>
          <w:tcPr>
            <w:tcW w:w="2133" w:type="dxa"/>
            <w:vMerge w:val="restart"/>
            <w:shd w:val="clear" w:color="auto" w:fill="ECECEC"/>
            <w:tcMar>
              <w:top w:w="60" w:type="dxa"/>
              <w:bottom w:w="60" w:type="dxa"/>
              <w:right w:w="0" w:type="dxa"/>
            </w:tcMar>
            <w:vAlign w:val="center"/>
          </w:tcPr>
          <w:p w14:paraId="42FAA27E" w14:textId="77777777" w:rsidR="00D849E8" w:rsidRDefault="00D849E8" w:rsidP="00A9140F">
            <w:pPr>
              <w:pStyle w:val="AnnexTableHeader"/>
              <w:spacing w:line="200" w:lineRule="exact"/>
            </w:pPr>
            <w:r>
              <w:t>Tengdar föstum efnismassa</w:t>
            </w:r>
          </w:p>
        </w:tc>
      </w:tr>
      <w:tr w:rsidR="00D849E8" w14:paraId="65BF7B0A" w14:textId="77777777" w:rsidTr="00A9140F">
        <w:trPr>
          <w:trHeight w:val="240"/>
        </w:trPr>
        <w:tc>
          <w:tcPr>
            <w:tcW w:w="711" w:type="dxa"/>
            <w:vMerge w:val="restart"/>
            <w:shd w:val="clear" w:color="auto" w:fill="ECECEC"/>
            <w:tcMar>
              <w:top w:w="60" w:type="dxa"/>
              <w:left w:w="0" w:type="dxa"/>
              <w:bottom w:w="60" w:type="dxa"/>
            </w:tcMar>
            <w:textDirection w:val="btLr"/>
            <w:vAlign w:val="center"/>
          </w:tcPr>
          <w:p w14:paraId="2BE441C9" w14:textId="77777777" w:rsidR="00D849E8" w:rsidRDefault="00D849E8" w:rsidP="00A9140F">
            <w:pPr>
              <w:pStyle w:val="AnnexTableCellLeft"/>
              <w:ind w:left="113" w:right="113"/>
              <w:jc w:val="center"/>
            </w:pPr>
            <w:r>
              <w:rPr>
                <w:b/>
              </w:rPr>
              <w:t>Langvinnar</w:t>
            </w:r>
          </w:p>
        </w:tc>
        <w:tc>
          <w:tcPr>
            <w:tcW w:w="2132" w:type="dxa"/>
            <w:vMerge w:val="restart"/>
            <w:shd w:val="clear" w:color="auto" w:fill="ECECEC"/>
            <w:tcMar>
              <w:top w:w="60" w:type="dxa"/>
              <w:bottom w:w="60" w:type="dxa"/>
            </w:tcMar>
          </w:tcPr>
          <w:p w14:paraId="6EBC73EA" w14:textId="77777777" w:rsidR="00D849E8" w:rsidRDefault="00D849E8" w:rsidP="00A9140F">
            <w:pPr>
              <w:pStyle w:val="AnnexTableCellLeft"/>
              <w:jc w:val="left"/>
            </w:pPr>
            <w:r>
              <w:t>Hitastigsbreytingar (loft, ferskvatn, sjór)</w:t>
            </w:r>
          </w:p>
        </w:tc>
        <w:tc>
          <w:tcPr>
            <w:tcW w:w="2132" w:type="dxa"/>
            <w:vMerge w:val="restart"/>
            <w:shd w:val="clear" w:color="auto" w:fill="ECECEC"/>
            <w:tcMar>
              <w:top w:w="60" w:type="dxa"/>
              <w:bottom w:w="60" w:type="dxa"/>
            </w:tcMar>
          </w:tcPr>
          <w:p w14:paraId="4EB7C52E" w14:textId="77777777" w:rsidR="00D849E8" w:rsidRDefault="00D849E8" w:rsidP="00A9140F">
            <w:pPr>
              <w:pStyle w:val="AnnexTableCellLeft"/>
              <w:jc w:val="left"/>
            </w:pPr>
            <w:r>
              <w:t>Breytingar á vindamynstrum</w:t>
            </w:r>
          </w:p>
        </w:tc>
        <w:tc>
          <w:tcPr>
            <w:tcW w:w="2132" w:type="dxa"/>
            <w:vMerge w:val="restart"/>
            <w:shd w:val="clear" w:color="auto" w:fill="ECECEC"/>
            <w:tcMar>
              <w:top w:w="60" w:type="dxa"/>
              <w:bottom w:w="60" w:type="dxa"/>
            </w:tcMar>
          </w:tcPr>
          <w:p w14:paraId="7B144236" w14:textId="77777777" w:rsidR="00D849E8" w:rsidRDefault="00D849E8" w:rsidP="00A9140F">
            <w:pPr>
              <w:pStyle w:val="AnnexTableCellLeft"/>
              <w:jc w:val="left"/>
            </w:pPr>
            <w:r>
              <w:t>Breytingar á úrkomumynstrum og -tegundum (rigning, haglél, snjór/ís)</w:t>
            </w:r>
          </w:p>
        </w:tc>
        <w:tc>
          <w:tcPr>
            <w:tcW w:w="2133" w:type="dxa"/>
            <w:vMerge w:val="restart"/>
            <w:shd w:val="clear" w:color="auto" w:fill="ECECEC"/>
            <w:tcMar>
              <w:top w:w="60" w:type="dxa"/>
              <w:bottom w:w="60" w:type="dxa"/>
              <w:right w:w="0" w:type="dxa"/>
            </w:tcMar>
          </w:tcPr>
          <w:p w14:paraId="533CFCEA" w14:textId="77777777" w:rsidR="00D849E8" w:rsidRDefault="00D849E8" w:rsidP="00A9140F">
            <w:pPr>
              <w:pStyle w:val="AnnexTableCellLeft"/>
              <w:jc w:val="left"/>
            </w:pPr>
            <w:r>
              <w:t>Strandrof</w:t>
            </w:r>
          </w:p>
        </w:tc>
      </w:tr>
      <w:tr w:rsidR="00D849E8" w14:paraId="46A94C4A" w14:textId="77777777" w:rsidTr="00A9140F">
        <w:trPr>
          <w:trHeight w:val="440"/>
        </w:trPr>
        <w:tc>
          <w:tcPr>
            <w:tcW w:w="711" w:type="dxa"/>
            <w:vMerge/>
            <w:shd w:val="clear" w:color="auto" w:fill="ECECEC"/>
            <w:tcMar>
              <w:top w:w="60" w:type="dxa"/>
              <w:left w:w="0" w:type="dxa"/>
              <w:bottom w:w="60" w:type="dxa"/>
            </w:tcMar>
          </w:tcPr>
          <w:p w14:paraId="7DE02D42" w14:textId="77777777" w:rsidR="00D849E8" w:rsidRDefault="00D849E8" w:rsidP="00A9140F">
            <w:pPr>
              <w:pStyle w:val="Para"/>
            </w:pPr>
          </w:p>
        </w:tc>
        <w:tc>
          <w:tcPr>
            <w:tcW w:w="2132" w:type="dxa"/>
            <w:vMerge w:val="restart"/>
            <w:shd w:val="clear" w:color="auto" w:fill="ECECEC"/>
            <w:tcMar>
              <w:top w:w="60" w:type="dxa"/>
              <w:bottom w:w="60" w:type="dxa"/>
            </w:tcMar>
          </w:tcPr>
          <w:p w14:paraId="1C353C22" w14:textId="77777777" w:rsidR="00D849E8" w:rsidRDefault="00D849E8" w:rsidP="00A9140F">
            <w:pPr>
              <w:pStyle w:val="AnnexTableCellLeft"/>
              <w:jc w:val="left"/>
            </w:pPr>
            <w:r>
              <w:t>Hitaálag</w:t>
            </w:r>
          </w:p>
        </w:tc>
        <w:tc>
          <w:tcPr>
            <w:tcW w:w="2132" w:type="dxa"/>
            <w:vMerge w:val="restart"/>
            <w:shd w:val="clear" w:color="auto" w:fill="ECECEC"/>
            <w:tcMar>
              <w:top w:w="60" w:type="dxa"/>
              <w:bottom w:w="60" w:type="dxa"/>
            </w:tcMar>
          </w:tcPr>
          <w:p w14:paraId="4150A145"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4D47A164" w14:textId="77777777" w:rsidR="00D849E8" w:rsidRDefault="00D849E8" w:rsidP="00A9140F">
            <w:pPr>
              <w:pStyle w:val="AnnexTableCellLeft"/>
              <w:jc w:val="left"/>
            </w:pPr>
            <w:r>
              <w:t>Úrkoma eða vatnafræðilegur breytileiki</w:t>
            </w:r>
          </w:p>
        </w:tc>
        <w:tc>
          <w:tcPr>
            <w:tcW w:w="2133" w:type="dxa"/>
            <w:vMerge w:val="restart"/>
            <w:shd w:val="clear" w:color="auto" w:fill="ECECEC"/>
            <w:tcMar>
              <w:top w:w="60" w:type="dxa"/>
              <w:bottom w:w="60" w:type="dxa"/>
              <w:right w:w="0" w:type="dxa"/>
            </w:tcMar>
          </w:tcPr>
          <w:p w14:paraId="5007648D" w14:textId="77777777" w:rsidR="00D849E8" w:rsidRDefault="00D849E8" w:rsidP="00A9140F">
            <w:pPr>
              <w:pStyle w:val="AnnexTableCellLeft"/>
              <w:jc w:val="left"/>
            </w:pPr>
            <w:r>
              <w:t>Hnignun lands</w:t>
            </w:r>
          </w:p>
        </w:tc>
      </w:tr>
      <w:tr w:rsidR="00D849E8" w14:paraId="2BEEBAD6" w14:textId="77777777" w:rsidTr="00A9140F">
        <w:trPr>
          <w:trHeight w:val="440"/>
        </w:trPr>
        <w:tc>
          <w:tcPr>
            <w:tcW w:w="711" w:type="dxa"/>
            <w:vMerge/>
            <w:shd w:val="clear" w:color="auto" w:fill="ECECEC"/>
            <w:tcMar>
              <w:top w:w="60" w:type="dxa"/>
              <w:left w:w="0" w:type="dxa"/>
              <w:bottom w:w="60" w:type="dxa"/>
            </w:tcMar>
          </w:tcPr>
          <w:p w14:paraId="67E08F44" w14:textId="77777777" w:rsidR="00D849E8" w:rsidRDefault="00D849E8" w:rsidP="00A9140F">
            <w:pPr>
              <w:pStyle w:val="Para"/>
            </w:pPr>
          </w:p>
        </w:tc>
        <w:tc>
          <w:tcPr>
            <w:tcW w:w="2132" w:type="dxa"/>
            <w:vMerge w:val="restart"/>
            <w:shd w:val="clear" w:color="auto" w:fill="ECECEC"/>
            <w:tcMar>
              <w:top w:w="60" w:type="dxa"/>
              <w:bottom w:w="60" w:type="dxa"/>
            </w:tcMar>
          </w:tcPr>
          <w:p w14:paraId="2CE5227C" w14:textId="77777777" w:rsidR="00D849E8" w:rsidRDefault="00D849E8" w:rsidP="00A9140F">
            <w:pPr>
              <w:pStyle w:val="AnnexTableCellLeft"/>
              <w:jc w:val="left"/>
            </w:pPr>
            <w:r>
              <w:t>Breytileiki á hitastigi</w:t>
            </w:r>
          </w:p>
        </w:tc>
        <w:tc>
          <w:tcPr>
            <w:tcW w:w="2132" w:type="dxa"/>
            <w:vMerge w:val="restart"/>
            <w:shd w:val="clear" w:color="auto" w:fill="ECECEC"/>
            <w:tcMar>
              <w:top w:w="60" w:type="dxa"/>
              <w:bottom w:w="60" w:type="dxa"/>
            </w:tcMar>
          </w:tcPr>
          <w:p w14:paraId="6D68AF68"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641E2A1B" w14:textId="77777777" w:rsidR="00D849E8" w:rsidRDefault="00D849E8" w:rsidP="00A9140F">
            <w:pPr>
              <w:pStyle w:val="AnnexTableCellLeft"/>
              <w:jc w:val="left"/>
            </w:pPr>
            <w:proofErr w:type="spellStart"/>
            <w:r>
              <w:t>Súrnun</w:t>
            </w:r>
            <w:proofErr w:type="spellEnd"/>
            <w:r>
              <w:t xml:space="preserve"> sjávar</w:t>
            </w:r>
          </w:p>
        </w:tc>
        <w:tc>
          <w:tcPr>
            <w:tcW w:w="2133" w:type="dxa"/>
            <w:vMerge w:val="restart"/>
            <w:shd w:val="clear" w:color="auto" w:fill="ECECEC"/>
            <w:tcMar>
              <w:top w:w="60" w:type="dxa"/>
              <w:bottom w:w="60" w:type="dxa"/>
              <w:right w:w="0" w:type="dxa"/>
            </w:tcMar>
          </w:tcPr>
          <w:p w14:paraId="74423B6D" w14:textId="77777777" w:rsidR="00D849E8" w:rsidRDefault="00D849E8" w:rsidP="00A9140F">
            <w:pPr>
              <w:pStyle w:val="AnnexTableCellLeft"/>
              <w:jc w:val="left"/>
            </w:pPr>
            <w:r>
              <w:t>Jarðvegsrof</w:t>
            </w:r>
          </w:p>
        </w:tc>
      </w:tr>
      <w:tr w:rsidR="00D849E8" w14:paraId="4EC8FFCA" w14:textId="77777777" w:rsidTr="00A9140F">
        <w:trPr>
          <w:trHeight w:val="440"/>
        </w:trPr>
        <w:tc>
          <w:tcPr>
            <w:tcW w:w="711" w:type="dxa"/>
            <w:vMerge/>
            <w:shd w:val="clear" w:color="auto" w:fill="ECECEC"/>
            <w:tcMar>
              <w:top w:w="60" w:type="dxa"/>
              <w:left w:w="0" w:type="dxa"/>
              <w:bottom w:w="60" w:type="dxa"/>
            </w:tcMar>
          </w:tcPr>
          <w:p w14:paraId="00826F80" w14:textId="77777777" w:rsidR="00D849E8" w:rsidRDefault="00D849E8" w:rsidP="00A9140F">
            <w:pPr>
              <w:pStyle w:val="Para"/>
            </w:pPr>
          </w:p>
        </w:tc>
        <w:tc>
          <w:tcPr>
            <w:tcW w:w="2132" w:type="dxa"/>
            <w:vMerge w:val="restart"/>
            <w:shd w:val="clear" w:color="auto" w:fill="ECECEC"/>
            <w:tcMar>
              <w:top w:w="60" w:type="dxa"/>
              <w:bottom w:w="60" w:type="dxa"/>
            </w:tcMar>
          </w:tcPr>
          <w:p w14:paraId="26FC271E" w14:textId="77777777" w:rsidR="00D849E8" w:rsidRDefault="00D849E8" w:rsidP="00A9140F">
            <w:pPr>
              <w:pStyle w:val="AnnexTableCellLeft"/>
              <w:jc w:val="left"/>
            </w:pPr>
            <w:proofErr w:type="spellStart"/>
            <w:r>
              <w:t>Þiðnun</w:t>
            </w:r>
            <w:proofErr w:type="spellEnd"/>
            <w:r>
              <w:t xml:space="preserve"> </w:t>
            </w:r>
            <w:proofErr w:type="spellStart"/>
            <w:r>
              <w:t>sífrera</w:t>
            </w:r>
            <w:proofErr w:type="spellEnd"/>
          </w:p>
        </w:tc>
        <w:tc>
          <w:tcPr>
            <w:tcW w:w="2132" w:type="dxa"/>
            <w:vMerge w:val="restart"/>
            <w:shd w:val="clear" w:color="auto" w:fill="ECECEC"/>
            <w:tcMar>
              <w:top w:w="60" w:type="dxa"/>
              <w:bottom w:w="60" w:type="dxa"/>
            </w:tcMar>
          </w:tcPr>
          <w:p w14:paraId="3275646B"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5C9A3CE4" w14:textId="77777777" w:rsidR="00D849E8" w:rsidRDefault="00D849E8" w:rsidP="00A9140F">
            <w:pPr>
              <w:pStyle w:val="AnnexTableCellLeft"/>
              <w:jc w:val="left"/>
            </w:pPr>
            <w:r>
              <w:t>Saltvatnsinnstreymi</w:t>
            </w:r>
          </w:p>
        </w:tc>
        <w:tc>
          <w:tcPr>
            <w:tcW w:w="2133" w:type="dxa"/>
            <w:vMerge w:val="restart"/>
            <w:shd w:val="clear" w:color="auto" w:fill="ECECEC"/>
            <w:tcMar>
              <w:top w:w="60" w:type="dxa"/>
              <w:bottom w:w="60" w:type="dxa"/>
              <w:right w:w="0" w:type="dxa"/>
            </w:tcMar>
          </w:tcPr>
          <w:p w14:paraId="241EDB1F" w14:textId="77777777" w:rsidR="00D849E8" w:rsidRDefault="00D849E8" w:rsidP="00A9140F">
            <w:pPr>
              <w:pStyle w:val="AnnexTableCellLeft"/>
              <w:jc w:val="left"/>
            </w:pPr>
            <w:r>
              <w:t>Jarðskrið</w:t>
            </w:r>
          </w:p>
        </w:tc>
      </w:tr>
      <w:tr w:rsidR="00D849E8" w14:paraId="6FF12B48" w14:textId="77777777" w:rsidTr="00A9140F">
        <w:trPr>
          <w:trHeight w:val="440"/>
        </w:trPr>
        <w:tc>
          <w:tcPr>
            <w:tcW w:w="711" w:type="dxa"/>
            <w:vMerge/>
            <w:shd w:val="clear" w:color="auto" w:fill="ECECEC"/>
            <w:tcMar>
              <w:top w:w="60" w:type="dxa"/>
              <w:left w:w="0" w:type="dxa"/>
              <w:bottom w:w="60" w:type="dxa"/>
            </w:tcMar>
          </w:tcPr>
          <w:p w14:paraId="1009C5D2" w14:textId="77777777" w:rsidR="00D849E8" w:rsidRDefault="00D849E8" w:rsidP="00A9140F">
            <w:pPr>
              <w:pStyle w:val="Para"/>
            </w:pPr>
          </w:p>
        </w:tc>
        <w:tc>
          <w:tcPr>
            <w:tcW w:w="2132" w:type="dxa"/>
            <w:vMerge w:val="restart"/>
            <w:shd w:val="clear" w:color="auto" w:fill="ECECEC"/>
            <w:tcMar>
              <w:top w:w="60" w:type="dxa"/>
              <w:bottom w:w="60" w:type="dxa"/>
            </w:tcMar>
          </w:tcPr>
          <w:p w14:paraId="61F6D02B"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549CFB61"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25649873" w14:textId="77777777" w:rsidR="00D849E8" w:rsidRDefault="00D849E8" w:rsidP="00A9140F">
            <w:pPr>
              <w:pStyle w:val="AnnexTableCellLeft"/>
              <w:jc w:val="left"/>
            </w:pPr>
            <w:r>
              <w:t>Hækkun sjávarborðs</w:t>
            </w:r>
          </w:p>
        </w:tc>
        <w:tc>
          <w:tcPr>
            <w:tcW w:w="2133" w:type="dxa"/>
            <w:vMerge w:val="restart"/>
            <w:shd w:val="clear" w:color="auto" w:fill="ECECEC"/>
            <w:tcMar>
              <w:top w:w="60" w:type="dxa"/>
              <w:bottom w:w="60" w:type="dxa"/>
              <w:right w:w="0" w:type="dxa"/>
            </w:tcMar>
          </w:tcPr>
          <w:p w14:paraId="1F392FF2" w14:textId="77777777" w:rsidR="00D849E8" w:rsidRDefault="00D849E8" w:rsidP="00A9140F">
            <w:pPr>
              <w:pStyle w:val="AnnexTableCellLeft"/>
              <w:jc w:val="left"/>
            </w:pPr>
          </w:p>
        </w:tc>
      </w:tr>
      <w:tr w:rsidR="00D849E8" w14:paraId="1FF8A730" w14:textId="77777777" w:rsidTr="00A9140F">
        <w:trPr>
          <w:trHeight w:val="440"/>
        </w:trPr>
        <w:tc>
          <w:tcPr>
            <w:tcW w:w="711" w:type="dxa"/>
            <w:vMerge/>
            <w:shd w:val="clear" w:color="auto" w:fill="ECECEC"/>
            <w:tcMar>
              <w:top w:w="60" w:type="dxa"/>
              <w:left w:w="0" w:type="dxa"/>
              <w:bottom w:w="60" w:type="dxa"/>
            </w:tcMar>
          </w:tcPr>
          <w:p w14:paraId="1216573B" w14:textId="77777777" w:rsidR="00D849E8" w:rsidRDefault="00D849E8" w:rsidP="00A9140F">
            <w:pPr>
              <w:pStyle w:val="Para"/>
            </w:pPr>
          </w:p>
        </w:tc>
        <w:tc>
          <w:tcPr>
            <w:tcW w:w="2132" w:type="dxa"/>
            <w:vMerge w:val="restart"/>
            <w:shd w:val="clear" w:color="auto" w:fill="ECECEC"/>
            <w:tcMar>
              <w:top w:w="60" w:type="dxa"/>
              <w:bottom w:w="60" w:type="dxa"/>
            </w:tcMar>
          </w:tcPr>
          <w:p w14:paraId="7E1D1F76"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3E4CF870"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29E3C338" w14:textId="77777777" w:rsidR="00D849E8" w:rsidRDefault="00D849E8" w:rsidP="00A9140F">
            <w:pPr>
              <w:pStyle w:val="AnnexTableCellLeft"/>
              <w:jc w:val="left"/>
            </w:pPr>
            <w:r>
              <w:t>Álag á vatnsauðlindir</w:t>
            </w:r>
          </w:p>
        </w:tc>
        <w:tc>
          <w:tcPr>
            <w:tcW w:w="2133" w:type="dxa"/>
            <w:vMerge w:val="restart"/>
            <w:shd w:val="clear" w:color="auto" w:fill="ECECEC"/>
            <w:tcMar>
              <w:top w:w="60" w:type="dxa"/>
              <w:bottom w:w="60" w:type="dxa"/>
              <w:right w:w="0" w:type="dxa"/>
            </w:tcMar>
          </w:tcPr>
          <w:p w14:paraId="21C50FB7" w14:textId="77777777" w:rsidR="00D849E8" w:rsidRDefault="00D849E8" w:rsidP="00A9140F">
            <w:pPr>
              <w:pStyle w:val="AnnexTableCellLeft"/>
              <w:jc w:val="left"/>
            </w:pPr>
          </w:p>
        </w:tc>
      </w:tr>
      <w:tr w:rsidR="00D849E8" w14:paraId="27AC1BE0" w14:textId="77777777" w:rsidTr="00A9140F">
        <w:trPr>
          <w:trHeight w:val="240"/>
        </w:trPr>
        <w:tc>
          <w:tcPr>
            <w:tcW w:w="711" w:type="dxa"/>
            <w:vMerge w:val="restart"/>
            <w:shd w:val="clear" w:color="auto" w:fill="ECECEC"/>
            <w:tcMar>
              <w:top w:w="60" w:type="dxa"/>
              <w:left w:w="0" w:type="dxa"/>
              <w:bottom w:w="60" w:type="dxa"/>
            </w:tcMar>
            <w:textDirection w:val="btLr"/>
            <w:vAlign w:val="center"/>
          </w:tcPr>
          <w:p w14:paraId="2132AFC3" w14:textId="77777777" w:rsidR="00D849E8" w:rsidRDefault="00D849E8" w:rsidP="00A9140F">
            <w:pPr>
              <w:pStyle w:val="AnnexTableCellLeft"/>
              <w:ind w:left="113" w:right="113"/>
              <w:jc w:val="center"/>
            </w:pPr>
            <w:r>
              <w:rPr>
                <w:b/>
              </w:rPr>
              <w:t>Bráðar</w:t>
            </w:r>
          </w:p>
        </w:tc>
        <w:tc>
          <w:tcPr>
            <w:tcW w:w="2132" w:type="dxa"/>
            <w:vMerge w:val="restart"/>
            <w:shd w:val="clear" w:color="auto" w:fill="ECECEC"/>
            <w:tcMar>
              <w:top w:w="60" w:type="dxa"/>
              <w:bottom w:w="60" w:type="dxa"/>
            </w:tcMar>
          </w:tcPr>
          <w:p w14:paraId="308D7EB8" w14:textId="77777777" w:rsidR="00D849E8" w:rsidRDefault="00D849E8" w:rsidP="00A9140F">
            <w:pPr>
              <w:pStyle w:val="AnnexTableCellLeft"/>
              <w:jc w:val="left"/>
            </w:pPr>
            <w:r>
              <w:t>Hitabylgja</w:t>
            </w:r>
          </w:p>
        </w:tc>
        <w:tc>
          <w:tcPr>
            <w:tcW w:w="2132" w:type="dxa"/>
            <w:vMerge w:val="restart"/>
            <w:shd w:val="clear" w:color="auto" w:fill="ECECEC"/>
            <w:tcMar>
              <w:top w:w="60" w:type="dxa"/>
              <w:bottom w:w="60" w:type="dxa"/>
            </w:tcMar>
          </w:tcPr>
          <w:p w14:paraId="3F431922" w14:textId="77777777" w:rsidR="00D849E8" w:rsidRDefault="00D849E8" w:rsidP="00A9140F">
            <w:pPr>
              <w:pStyle w:val="AnnexTableCellLeft"/>
              <w:jc w:val="left"/>
            </w:pPr>
            <w:r>
              <w:t>Fellibylur, fárviðri, hitabeltisstormur</w:t>
            </w:r>
          </w:p>
        </w:tc>
        <w:tc>
          <w:tcPr>
            <w:tcW w:w="2132" w:type="dxa"/>
            <w:vMerge w:val="restart"/>
            <w:shd w:val="clear" w:color="auto" w:fill="ECECEC"/>
            <w:tcMar>
              <w:top w:w="60" w:type="dxa"/>
              <w:bottom w:w="60" w:type="dxa"/>
            </w:tcMar>
          </w:tcPr>
          <w:p w14:paraId="0C28015A" w14:textId="77777777" w:rsidR="00D849E8" w:rsidRDefault="00D849E8" w:rsidP="00A9140F">
            <w:pPr>
              <w:pStyle w:val="AnnexTableCellLeft"/>
              <w:jc w:val="left"/>
            </w:pPr>
            <w:r>
              <w:t>Þurrkur</w:t>
            </w:r>
          </w:p>
        </w:tc>
        <w:tc>
          <w:tcPr>
            <w:tcW w:w="2133" w:type="dxa"/>
            <w:vMerge w:val="restart"/>
            <w:shd w:val="clear" w:color="auto" w:fill="ECECEC"/>
            <w:tcMar>
              <w:top w:w="60" w:type="dxa"/>
              <w:bottom w:w="60" w:type="dxa"/>
              <w:right w:w="0" w:type="dxa"/>
            </w:tcMar>
          </w:tcPr>
          <w:p w14:paraId="75C87E8F" w14:textId="77777777" w:rsidR="00D849E8" w:rsidRDefault="00D849E8" w:rsidP="00A9140F">
            <w:pPr>
              <w:pStyle w:val="AnnexTableCellLeft"/>
              <w:jc w:val="left"/>
            </w:pPr>
            <w:r>
              <w:t>Snjóflóð</w:t>
            </w:r>
          </w:p>
        </w:tc>
      </w:tr>
      <w:tr w:rsidR="00D849E8" w14:paraId="2469E0EB" w14:textId="77777777" w:rsidTr="00A9140F">
        <w:trPr>
          <w:trHeight w:val="440"/>
        </w:trPr>
        <w:tc>
          <w:tcPr>
            <w:tcW w:w="711" w:type="dxa"/>
            <w:vMerge/>
            <w:shd w:val="clear" w:color="auto" w:fill="ECECEC"/>
            <w:tcMar>
              <w:top w:w="60" w:type="dxa"/>
              <w:left w:w="0" w:type="dxa"/>
              <w:bottom w:w="60" w:type="dxa"/>
            </w:tcMar>
          </w:tcPr>
          <w:p w14:paraId="10B637D2" w14:textId="77777777" w:rsidR="00D849E8" w:rsidRDefault="00D849E8" w:rsidP="00A9140F">
            <w:pPr>
              <w:pStyle w:val="Para"/>
            </w:pPr>
          </w:p>
        </w:tc>
        <w:tc>
          <w:tcPr>
            <w:tcW w:w="2132" w:type="dxa"/>
            <w:vMerge w:val="restart"/>
            <w:shd w:val="clear" w:color="auto" w:fill="ECECEC"/>
            <w:tcMar>
              <w:top w:w="60" w:type="dxa"/>
              <w:bottom w:w="60" w:type="dxa"/>
            </w:tcMar>
          </w:tcPr>
          <w:p w14:paraId="398825CB" w14:textId="77777777" w:rsidR="00D849E8" w:rsidRDefault="00D849E8" w:rsidP="00A9140F">
            <w:pPr>
              <w:pStyle w:val="AnnexTableCellLeft"/>
              <w:jc w:val="left"/>
            </w:pPr>
            <w:r>
              <w:t>Kuldabylgja/frost</w:t>
            </w:r>
          </w:p>
        </w:tc>
        <w:tc>
          <w:tcPr>
            <w:tcW w:w="2132" w:type="dxa"/>
            <w:vMerge w:val="restart"/>
            <w:shd w:val="clear" w:color="auto" w:fill="ECECEC"/>
            <w:tcMar>
              <w:top w:w="60" w:type="dxa"/>
              <w:bottom w:w="60" w:type="dxa"/>
            </w:tcMar>
          </w:tcPr>
          <w:p w14:paraId="371EA08F" w14:textId="77777777" w:rsidR="00D849E8" w:rsidRDefault="00D849E8" w:rsidP="00A9140F">
            <w:pPr>
              <w:pStyle w:val="AnnexTableCellLeft"/>
              <w:jc w:val="left"/>
            </w:pPr>
            <w:r>
              <w:t>Stormur (þ.m.t. hríðarbyljir, ryk- og sandstormar)</w:t>
            </w:r>
          </w:p>
        </w:tc>
        <w:tc>
          <w:tcPr>
            <w:tcW w:w="2132" w:type="dxa"/>
            <w:vMerge w:val="restart"/>
            <w:shd w:val="clear" w:color="auto" w:fill="ECECEC"/>
            <w:tcMar>
              <w:top w:w="60" w:type="dxa"/>
              <w:bottom w:w="60" w:type="dxa"/>
            </w:tcMar>
          </w:tcPr>
          <w:p w14:paraId="2D025030" w14:textId="77777777" w:rsidR="00D849E8" w:rsidRDefault="00D849E8" w:rsidP="00A9140F">
            <w:pPr>
              <w:pStyle w:val="AnnexTableCellLeft"/>
              <w:jc w:val="left"/>
            </w:pPr>
            <w:r>
              <w:t>Mikil úrkoma (rigning, haglél, snjór/ís)</w:t>
            </w:r>
          </w:p>
        </w:tc>
        <w:tc>
          <w:tcPr>
            <w:tcW w:w="2133" w:type="dxa"/>
            <w:vMerge w:val="restart"/>
            <w:shd w:val="clear" w:color="auto" w:fill="ECECEC"/>
            <w:tcMar>
              <w:top w:w="60" w:type="dxa"/>
              <w:bottom w:w="60" w:type="dxa"/>
              <w:right w:w="0" w:type="dxa"/>
            </w:tcMar>
          </w:tcPr>
          <w:p w14:paraId="4CCB0ACB" w14:textId="77777777" w:rsidR="00D849E8" w:rsidRDefault="00D849E8" w:rsidP="00A9140F">
            <w:pPr>
              <w:pStyle w:val="AnnexTableCellLeft"/>
              <w:jc w:val="left"/>
            </w:pPr>
            <w:r>
              <w:t>Jarðvegshlaup</w:t>
            </w:r>
          </w:p>
        </w:tc>
      </w:tr>
      <w:tr w:rsidR="00D849E8" w14:paraId="43522230" w14:textId="77777777" w:rsidTr="00A9140F">
        <w:trPr>
          <w:trHeight w:val="440"/>
        </w:trPr>
        <w:tc>
          <w:tcPr>
            <w:tcW w:w="711" w:type="dxa"/>
            <w:vMerge/>
            <w:shd w:val="clear" w:color="auto" w:fill="ECECEC"/>
            <w:tcMar>
              <w:top w:w="60" w:type="dxa"/>
              <w:left w:w="0" w:type="dxa"/>
              <w:bottom w:w="60" w:type="dxa"/>
            </w:tcMar>
          </w:tcPr>
          <w:p w14:paraId="0CE662AD" w14:textId="77777777" w:rsidR="00D849E8" w:rsidRDefault="00D849E8" w:rsidP="00A9140F">
            <w:pPr>
              <w:pStyle w:val="Para"/>
            </w:pPr>
          </w:p>
        </w:tc>
        <w:tc>
          <w:tcPr>
            <w:tcW w:w="2132" w:type="dxa"/>
            <w:vMerge w:val="restart"/>
            <w:shd w:val="clear" w:color="auto" w:fill="ECECEC"/>
            <w:tcMar>
              <w:top w:w="60" w:type="dxa"/>
              <w:bottom w:w="60" w:type="dxa"/>
            </w:tcMar>
          </w:tcPr>
          <w:p w14:paraId="7D644F60" w14:textId="77777777" w:rsidR="00D849E8" w:rsidRDefault="00D849E8" w:rsidP="00A9140F">
            <w:pPr>
              <w:pStyle w:val="AnnexTableCellLeft"/>
              <w:jc w:val="left"/>
            </w:pPr>
            <w:r>
              <w:t>Gróðureldur</w:t>
            </w:r>
          </w:p>
        </w:tc>
        <w:tc>
          <w:tcPr>
            <w:tcW w:w="2132" w:type="dxa"/>
            <w:vMerge w:val="restart"/>
            <w:shd w:val="clear" w:color="auto" w:fill="ECECEC"/>
            <w:tcMar>
              <w:top w:w="60" w:type="dxa"/>
              <w:bottom w:w="60" w:type="dxa"/>
            </w:tcMar>
          </w:tcPr>
          <w:p w14:paraId="0C460F7D" w14:textId="77777777" w:rsidR="00D849E8" w:rsidRDefault="00D849E8" w:rsidP="00A9140F">
            <w:pPr>
              <w:pStyle w:val="AnnexTableCellLeft"/>
              <w:jc w:val="left"/>
            </w:pPr>
            <w:proofErr w:type="spellStart"/>
            <w:r>
              <w:t>Skýstrókur</w:t>
            </w:r>
            <w:proofErr w:type="spellEnd"/>
          </w:p>
        </w:tc>
        <w:tc>
          <w:tcPr>
            <w:tcW w:w="2132" w:type="dxa"/>
            <w:vMerge w:val="restart"/>
            <w:shd w:val="clear" w:color="auto" w:fill="ECECEC"/>
            <w:tcMar>
              <w:top w:w="60" w:type="dxa"/>
              <w:bottom w:w="60" w:type="dxa"/>
            </w:tcMar>
          </w:tcPr>
          <w:p w14:paraId="76CCDA64" w14:textId="77777777" w:rsidR="00D849E8" w:rsidRDefault="00D849E8" w:rsidP="00A9140F">
            <w:pPr>
              <w:pStyle w:val="AnnexTableCellLeft"/>
              <w:jc w:val="left"/>
            </w:pPr>
            <w:r>
              <w:t>Flóð (við strendur, í ám, rigningar, grunnvatn)</w:t>
            </w:r>
          </w:p>
        </w:tc>
        <w:tc>
          <w:tcPr>
            <w:tcW w:w="2133" w:type="dxa"/>
            <w:vMerge w:val="restart"/>
            <w:shd w:val="clear" w:color="auto" w:fill="ECECEC"/>
            <w:tcMar>
              <w:top w:w="60" w:type="dxa"/>
              <w:bottom w:w="60" w:type="dxa"/>
              <w:right w:w="0" w:type="dxa"/>
            </w:tcMar>
          </w:tcPr>
          <w:p w14:paraId="2BE32012" w14:textId="77777777" w:rsidR="00D849E8" w:rsidRDefault="00D849E8" w:rsidP="00A9140F">
            <w:pPr>
              <w:pStyle w:val="AnnexTableCellLeft"/>
              <w:jc w:val="left"/>
            </w:pPr>
            <w:r>
              <w:t>Landsig</w:t>
            </w:r>
          </w:p>
        </w:tc>
      </w:tr>
      <w:tr w:rsidR="00D849E8" w14:paraId="7A4718DC" w14:textId="77777777" w:rsidTr="00A9140F">
        <w:trPr>
          <w:trHeight w:val="440"/>
        </w:trPr>
        <w:tc>
          <w:tcPr>
            <w:tcW w:w="711" w:type="dxa"/>
            <w:vMerge/>
            <w:shd w:val="clear" w:color="auto" w:fill="ECECEC"/>
            <w:tcMar>
              <w:top w:w="60" w:type="dxa"/>
              <w:left w:w="0" w:type="dxa"/>
              <w:bottom w:w="60" w:type="dxa"/>
            </w:tcMar>
          </w:tcPr>
          <w:p w14:paraId="40F66880" w14:textId="77777777" w:rsidR="00D849E8" w:rsidRDefault="00D849E8" w:rsidP="00A9140F">
            <w:pPr>
              <w:pStyle w:val="Para"/>
            </w:pPr>
          </w:p>
        </w:tc>
        <w:tc>
          <w:tcPr>
            <w:tcW w:w="2132" w:type="dxa"/>
            <w:vMerge w:val="restart"/>
            <w:shd w:val="clear" w:color="auto" w:fill="ECECEC"/>
            <w:tcMar>
              <w:top w:w="60" w:type="dxa"/>
              <w:bottom w:w="60" w:type="dxa"/>
            </w:tcMar>
          </w:tcPr>
          <w:p w14:paraId="4813C0E7"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38DC45EB" w14:textId="77777777" w:rsidR="00D849E8" w:rsidRDefault="00D849E8" w:rsidP="00A9140F">
            <w:pPr>
              <w:pStyle w:val="AnnexTableCellLeft"/>
              <w:jc w:val="left"/>
            </w:pPr>
          </w:p>
        </w:tc>
        <w:tc>
          <w:tcPr>
            <w:tcW w:w="2132" w:type="dxa"/>
            <w:vMerge w:val="restart"/>
            <w:shd w:val="clear" w:color="auto" w:fill="ECECEC"/>
            <w:tcMar>
              <w:top w:w="60" w:type="dxa"/>
              <w:bottom w:w="60" w:type="dxa"/>
            </w:tcMar>
          </w:tcPr>
          <w:p w14:paraId="757326B4" w14:textId="77777777" w:rsidR="00D849E8" w:rsidRDefault="00D849E8" w:rsidP="00A9140F">
            <w:pPr>
              <w:pStyle w:val="AnnexTableCellLeft"/>
              <w:jc w:val="left"/>
            </w:pPr>
            <w:r>
              <w:t>Jökulhlaup</w:t>
            </w:r>
          </w:p>
        </w:tc>
        <w:tc>
          <w:tcPr>
            <w:tcW w:w="2133" w:type="dxa"/>
            <w:vMerge w:val="restart"/>
            <w:shd w:val="clear" w:color="auto" w:fill="ECECEC"/>
            <w:tcMar>
              <w:top w:w="60" w:type="dxa"/>
              <w:bottom w:w="60" w:type="dxa"/>
              <w:right w:w="0" w:type="dxa"/>
            </w:tcMar>
          </w:tcPr>
          <w:p w14:paraId="5DA0BB87" w14:textId="77777777" w:rsidR="00D849E8" w:rsidRDefault="00D849E8" w:rsidP="00A9140F">
            <w:pPr>
              <w:pStyle w:val="AnnexTableCellLeft"/>
              <w:jc w:val="left"/>
            </w:pPr>
          </w:p>
        </w:tc>
      </w:tr>
    </w:tbl>
    <w:p w14:paraId="1491A291" w14:textId="77777777" w:rsidR="00D849E8" w:rsidRDefault="00D849E8" w:rsidP="00D849E8">
      <w:pPr>
        <w:pStyle w:val="AnnexTI"/>
        <w:jc w:val="both"/>
        <w:rPr>
          <w:i w:val="0"/>
          <w:sz w:val="18"/>
        </w:rPr>
      </w:pPr>
    </w:p>
    <w:p w14:paraId="321644DB" w14:textId="77777777" w:rsidR="00D849E8" w:rsidRDefault="00D849E8" w:rsidP="00D849E8">
      <w:pPr>
        <w:pStyle w:val="AnnexTI"/>
        <w:sectPr w:rsidR="00D849E8">
          <w:footnotePr>
            <w:numRestart w:val="eachSect"/>
          </w:footnotePr>
          <w:pgSz w:w="11906" w:h="16838" w:code="9"/>
          <w:pgMar w:top="1680" w:right="1333" w:bottom="840" w:left="1333" w:header="920" w:footer="280" w:gutter="0"/>
          <w:cols w:space="708"/>
          <w:docGrid w:linePitch="360"/>
        </w:sectPr>
      </w:pPr>
    </w:p>
    <w:p w14:paraId="1B5C5788" w14:textId="77777777" w:rsidR="00D849E8" w:rsidRDefault="00D849E8" w:rsidP="00D849E8">
      <w:pPr>
        <w:pStyle w:val="AnnexTI"/>
      </w:pPr>
      <w:r>
        <w:lastRenderedPageBreak/>
        <w:t>Viðbætir B</w:t>
      </w:r>
    </w:p>
    <w:p w14:paraId="4096CB4E" w14:textId="77777777" w:rsidR="00D849E8" w:rsidRDefault="00D849E8" w:rsidP="00D849E8">
      <w:pPr>
        <w:pStyle w:val="AnnexGrSeq1"/>
      </w:pPr>
      <w:r>
        <w:rPr>
          <w:b/>
        </w:rPr>
        <w:t>ALMENNAR VIÐMIÐANIR UM AÐ VALDA EKKI UMTALSVERÐU TJÓNI FYRIR SJÁLFBÆRA NOTKUN OG VERNDUN VATNS- OG SJÁVARAUÐLINDA</w:t>
      </w:r>
    </w:p>
    <w:tbl>
      <w:tblPr>
        <w:tblStyle w:val="EFTATable"/>
        <w:tblW w:w="9216" w:type="dxa"/>
        <w:tblInd w:w="124" w:type="dxa"/>
        <w:tblBorders>
          <w:left w:val="single" w:sz="4" w:space="0" w:color="auto"/>
          <w:right w:val="single" w:sz="4" w:space="0" w:color="auto"/>
          <w:insideH w:val="none" w:sz="0" w:space="0" w:color="auto"/>
          <w:insideV w:val="none" w:sz="0" w:space="0" w:color="auto"/>
        </w:tblBorders>
        <w:shd w:val="clear" w:color="auto" w:fill="ECEDEE"/>
        <w:tblLayout w:type="fixed"/>
        <w:tblLook w:val="04A0" w:firstRow="1" w:lastRow="0" w:firstColumn="1" w:lastColumn="0" w:noHBand="0" w:noVBand="1"/>
      </w:tblPr>
      <w:tblGrid>
        <w:gridCol w:w="9216"/>
      </w:tblGrid>
      <w:tr w:rsidR="00D849E8" w14:paraId="18E7E54E" w14:textId="77777777" w:rsidTr="00A9140F">
        <w:tc>
          <w:tcPr>
            <w:tcW w:w="9216" w:type="dxa"/>
            <w:shd w:val="clear" w:color="auto" w:fill="ECEDEE"/>
            <w:tcMar>
              <w:top w:w="160" w:type="dxa"/>
              <w:left w:w="100" w:type="dxa"/>
              <w:bottom w:w="160" w:type="dxa"/>
              <w:right w:w="100" w:type="dxa"/>
            </w:tcMar>
          </w:tcPr>
          <w:p w14:paraId="74025370" w14:textId="77777777" w:rsidR="00D849E8" w:rsidRDefault="00D849E8" w:rsidP="00A9140F">
            <w:pPr>
              <w:pStyle w:val="AnnexNormal"/>
              <w:rPr>
                <w:szCs w:val="18"/>
              </w:rPr>
            </w:pPr>
            <w:r>
              <w:t>Áhætta vegna hnignunar umhverfisins sem tengist varðveislu vatnsgæða og til að komast hjá álagi á vatnsauðlindir er greind og tekið á henni með það að markmiði að ná góðu vatnsástandi og góðu vistmegni, eins og skilgreint er í 22. og 23. lið 2. gr. reglugerðar (ESB) 2020/852, í samræmi við tilskipun Evrópuþingsins og ráðsins 2000/60/EB (</w:t>
            </w:r>
            <w:bookmarkStart w:id="109" w:name="NOTE_1021"/>
            <w:r>
              <w:rPr>
                <w:rStyle w:val="Tilvsunneanmlsgrein"/>
                <w:sz w:val="18"/>
                <w:szCs w:val="18"/>
              </w:rPr>
              <w:footnoteReference w:id="1022"/>
            </w:r>
            <w:bookmarkEnd w:id="109"/>
            <w:r>
              <w:t>), og stjórnunaráætlun um notkun og verndun vatns er þróuð fyrir vatnshlot, sem verður/verða hugsanlega fyrir áhrifum, í samráði við viðkomandi hagsmunaaðila.</w:t>
            </w:r>
          </w:p>
          <w:p w14:paraId="1847E34E" w14:textId="77777777" w:rsidR="00D849E8" w:rsidRDefault="00D849E8" w:rsidP="00A9140F">
            <w:pPr>
              <w:pStyle w:val="AnnexNormal"/>
              <w:rPr>
                <w:szCs w:val="18"/>
              </w:rPr>
            </w:pPr>
            <w:r>
              <w:t>Þegar mat á umhverfisáhrifum er framkvæmt í samræmi við tilskipun 2011/92/ESB og felur í sér mat á áhrifum á vatn, í samræmi við tilskipun 2000/60/EB, er ekki gerð krafa um viðbótarmat á áhrifum á vatn að því tilskildu að tekið hafi verið á þeim áhættum sem greindust.</w:t>
            </w:r>
          </w:p>
        </w:tc>
      </w:tr>
    </w:tbl>
    <w:p w14:paraId="13549D22" w14:textId="77777777" w:rsidR="00D849E8" w:rsidRDefault="00D849E8" w:rsidP="00D849E8">
      <w:pPr>
        <w:pStyle w:val="AnnexTI"/>
        <w:jc w:val="both"/>
        <w:rPr>
          <w:i w:val="0"/>
          <w:sz w:val="18"/>
        </w:rPr>
      </w:pPr>
    </w:p>
    <w:p w14:paraId="301CD2E1" w14:textId="77777777" w:rsidR="00D849E8" w:rsidRDefault="00D849E8" w:rsidP="00D849E8">
      <w:pPr>
        <w:pStyle w:val="AnnexTI"/>
        <w:sectPr w:rsidR="00D849E8">
          <w:footnotePr>
            <w:numRestart w:val="eachSect"/>
          </w:footnotePr>
          <w:pgSz w:w="11906" w:h="16838" w:code="9"/>
          <w:pgMar w:top="1680" w:right="1333" w:bottom="840" w:left="1333" w:header="920" w:footer="280" w:gutter="0"/>
          <w:cols w:space="708"/>
          <w:docGrid w:linePitch="360"/>
        </w:sectPr>
      </w:pPr>
    </w:p>
    <w:p w14:paraId="5CD2DE0C" w14:textId="77777777" w:rsidR="00D849E8" w:rsidRDefault="00D849E8" w:rsidP="00D849E8">
      <w:pPr>
        <w:pStyle w:val="AnnexTI"/>
      </w:pPr>
      <w:r>
        <w:lastRenderedPageBreak/>
        <w:t>Viðbætir C</w:t>
      </w:r>
    </w:p>
    <w:p w14:paraId="209D6A2C" w14:textId="77777777" w:rsidR="00D849E8" w:rsidRDefault="00D849E8" w:rsidP="00D849E8">
      <w:pPr>
        <w:pStyle w:val="AnnexGrSeq1"/>
      </w:pPr>
      <w:r>
        <w:rPr>
          <w:b/>
        </w:rPr>
        <w:t>ALMENNAR VIÐMIÐANIR UM AÐ VALDA EKKI UMTALSVERÐU TJÓNI FYRIR MENGUNARVARNIR OG EFTIRLIT MEÐ MENGUN AÐ ÞVÍ ER VARÐAR NOTKUN OG TILVIST ÍÐEFNA</w:t>
      </w:r>
    </w:p>
    <w:tbl>
      <w:tblPr>
        <w:tblStyle w:val="EFTATable"/>
        <w:tblW w:w="9216" w:type="dxa"/>
        <w:tblInd w:w="124" w:type="dxa"/>
        <w:tblBorders>
          <w:left w:val="single" w:sz="4" w:space="0" w:color="auto"/>
          <w:right w:val="single" w:sz="4" w:space="0" w:color="auto"/>
          <w:insideH w:val="none" w:sz="0" w:space="0" w:color="auto"/>
          <w:insideV w:val="none" w:sz="0" w:space="0" w:color="auto"/>
        </w:tblBorders>
        <w:shd w:val="clear" w:color="auto" w:fill="ECEDEE"/>
        <w:tblLayout w:type="fixed"/>
        <w:tblLook w:val="04A0" w:firstRow="1" w:lastRow="0" w:firstColumn="1" w:lastColumn="0" w:noHBand="0" w:noVBand="1"/>
      </w:tblPr>
      <w:tblGrid>
        <w:gridCol w:w="9216"/>
      </w:tblGrid>
      <w:tr w:rsidR="00D849E8" w14:paraId="3D51B9A2" w14:textId="77777777" w:rsidTr="00A9140F">
        <w:tc>
          <w:tcPr>
            <w:tcW w:w="9216" w:type="dxa"/>
            <w:shd w:val="clear" w:color="auto" w:fill="ECEDEE"/>
            <w:tcMar>
              <w:top w:w="160" w:type="dxa"/>
              <w:left w:w="100" w:type="dxa"/>
              <w:bottom w:w="160" w:type="dxa"/>
              <w:right w:w="100" w:type="dxa"/>
            </w:tcMar>
          </w:tcPr>
          <w:p w14:paraId="51FEDE78" w14:textId="77777777" w:rsidR="00D849E8" w:rsidRDefault="00D849E8" w:rsidP="00A9140F">
            <w:pPr>
              <w:pStyle w:val="AnnexNormal"/>
              <w:spacing w:after="120"/>
            </w:pPr>
            <w:r>
              <w:t>Starfsemin leiðir ekki til framleiðslu, setningar á markað eða notkunar á:</w:t>
            </w:r>
          </w:p>
          <w:p w14:paraId="39A97C2F" w14:textId="77777777" w:rsidR="00D849E8" w:rsidRDefault="00D849E8" w:rsidP="00A9140F">
            <w:pPr>
              <w:pStyle w:val="AnnexNumberedText"/>
              <w:ind w:left="293" w:hanging="293"/>
            </w:pPr>
            <w:r>
              <w:t>a)</w:t>
            </w:r>
            <w:r>
              <w:tab/>
              <w:t xml:space="preserve">efnum, hvort sem þau eru ein sér, í blöndum eða í hlutum, sem eru skráð í I. eða II. viðauka við reglugerð (ESB) 2019/1021, nema ef um er að ræða efni sem eru fyrir hendi sem óviljandi </w:t>
            </w:r>
            <w:proofErr w:type="spellStart"/>
            <w:r>
              <w:t>snefilaðskotaefni</w:t>
            </w:r>
            <w:proofErr w:type="spellEnd"/>
            <w:r>
              <w:t>,</w:t>
            </w:r>
          </w:p>
          <w:p w14:paraId="360DE1B4" w14:textId="77777777" w:rsidR="00D849E8" w:rsidRDefault="00D849E8" w:rsidP="00A9140F">
            <w:pPr>
              <w:pStyle w:val="AnnexNumberedText"/>
              <w:ind w:left="293" w:hanging="293"/>
            </w:pPr>
            <w:r>
              <w:t>b)</w:t>
            </w:r>
            <w:r>
              <w:tab/>
              <w:t>kvikasilfri og kvikasilfurssamböndum, blöndum þeirra og vörum með viðbættu kvikasilfri, eins og skilgreint er í 2. gr. reglugerðar (ESB) 2017/852,</w:t>
            </w:r>
          </w:p>
          <w:p w14:paraId="4D988CEF" w14:textId="77777777" w:rsidR="00D849E8" w:rsidRDefault="00D849E8" w:rsidP="00A9140F">
            <w:pPr>
              <w:pStyle w:val="AnnexNumberedText"/>
              <w:ind w:left="293" w:hanging="293"/>
            </w:pPr>
            <w:r>
              <w:t>c)</w:t>
            </w:r>
            <w:r>
              <w:tab/>
              <w:t>efnum, hvort sem þau eru ein sér, í blöndum eða í hlutum, sem eru skráð í I. eða II. viðauka við reglugerð (EB) nr. 1005/2009,</w:t>
            </w:r>
          </w:p>
          <w:p w14:paraId="70637ECB" w14:textId="77777777" w:rsidR="00D849E8" w:rsidRDefault="00D849E8" w:rsidP="00A9140F">
            <w:pPr>
              <w:pStyle w:val="AnnexNumberedText"/>
              <w:ind w:left="293" w:hanging="293"/>
            </w:pPr>
            <w:r>
              <w:t>d)</w:t>
            </w:r>
            <w:r>
              <w:tab/>
              <w:t>efnum, hvort sem þau eru ein sér, í blöndum eða í hlutum, sem eru skráð í II. viðauka við tilskipun 2011/65/ESB, nema þegar farið er að öllu leyti að 1. mgr. 4. gr. þeirrar tilskipunar,</w:t>
            </w:r>
          </w:p>
          <w:p w14:paraId="34042703" w14:textId="77777777" w:rsidR="00D849E8" w:rsidRDefault="00D849E8" w:rsidP="00A9140F">
            <w:pPr>
              <w:pStyle w:val="AnnexNumberedText"/>
              <w:ind w:left="293" w:hanging="293"/>
            </w:pPr>
            <w:r>
              <w:t>e)</w:t>
            </w:r>
            <w:r>
              <w:tab/>
              <w:t>efnum, hvort sem þau eru ein sér, í blöndum eða í hlutum, sem eru skráð í XVII. viðauka við reglugerð (EB) 1907/2006, nema þegar farið er að öllu leyti að skilyrðunum sem eru tilgreind í þeim viðauka,</w:t>
            </w:r>
          </w:p>
          <w:p w14:paraId="1E595BE8" w14:textId="77777777" w:rsidR="00D849E8" w:rsidRDefault="00D849E8" w:rsidP="00A9140F">
            <w:pPr>
              <w:pStyle w:val="AnnexNumberedText"/>
              <w:ind w:left="293" w:hanging="293"/>
            </w:pPr>
            <w:r>
              <w:t>f)</w:t>
            </w:r>
            <w:r>
              <w:tab/>
              <w:t>efnum, hvort sem þau eru ein sér, í blöndum eða í hlutum, sem uppfylla viðmiðanirnar sem mælt er fyrir um í 57. gr. reglugerðar (EB) 1907/2006 og eru tilgreind í samræmi við 1. mgr. 59. gr. þeirrar reglugerðar, nema notkun þeirra reynist vera nauðsynleg fyrir samfélagið,</w:t>
            </w:r>
          </w:p>
          <w:p w14:paraId="6527A780" w14:textId="77777777" w:rsidR="00D849E8" w:rsidRDefault="00D849E8" w:rsidP="00A9140F">
            <w:pPr>
              <w:pStyle w:val="AnnexNumberedText"/>
              <w:spacing w:after="0"/>
              <w:ind w:left="293" w:hanging="293"/>
            </w:pPr>
            <w:r>
              <w:t>g)</w:t>
            </w:r>
            <w:r>
              <w:tab/>
              <w:t>öðrum efnum, hvort sem þau eru ein sér, í blöndum eða í hlutum, sem uppfylla viðmiðunina sem mælt er fyrir um í 57. gr. reglugerðar (EB) 1907/2006, nema notkun þeirra reynist vera nauðsynleg fyrir samfélagið.</w:t>
            </w:r>
          </w:p>
        </w:tc>
      </w:tr>
    </w:tbl>
    <w:p w14:paraId="034B576B" w14:textId="77777777" w:rsidR="00D849E8" w:rsidRDefault="00D849E8" w:rsidP="00D849E8">
      <w:pPr>
        <w:pStyle w:val="AnnexTI"/>
        <w:jc w:val="both"/>
        <w:rPr>
          <w:i w:val="0"/>
          <w:sz w:val="18"/>
        </w:rPr>
      </w:pPr>
    </w:p>
    <w:p w14:paraId="7C6555FF" w14:textId="77777777" w:rsidR="00D849E8" w:rsidRDefault="00D849E8" w:rsidP="00D849E8">
      <w:pPr>
        <w:pStyle w:val="AnnexTI"/>
        <w:sectPr w:rsidR="00D849E8">
          <w:pgSz w:w="11906" w:h="16838" w:code="9"/>
          <w:pgMar w:top="1680" w:right="1333" w:bottom="840" w:left="1333" w:header="920" w:footer="280" w:gutter="0"/>
          <w:cols w:space="708"/>
          <w:docGrid w:linePitch="360"/>
        </w:sectPr>
      </w:pPr>
    </w:p>
    <w:p w14:paraId="56A10555" w14:textId="77777777" w:rsidR="00D849E8" w:rsidRDefault="00D849E8" w:rsidP="00D849E8">
      <w:pPr>
        <w:pStyle w:val="AnnexTI"/>
        <w:spacing w:after="300"/>
      </w:pPr>
      <w:r>
        <w:lastRenderedPageBreak/>
        <w:t>Viðbætir D</w:t>
      </w:r>
    </w:p>
    <w:p w14:paraId="7A567BCC" w14:textId="77777777" w:rsidR="00D849E8" w:rsidRDefault="00D849E8" w:rsidP="00D849E8">
      <w:pPr>
        <w:pStyle w:val="AnnexSTI"/>
        <w:spacing w:after="200" w:line="200" w:lineRule="exact"/>
        <w:rPr>
          <w:sz w:val="16"/>
          <w:szCs w:val="16"/>
        </w:rPr>
      </w:pPr>
      <w:r>
        <w:rPr>
          <w:sz w:val="16"/>
        </w:rPr>
        <w:t>ALMENNAR VIÐMIÐANIR UM AÐ VALDA EKKI UMTALSVERÐU TJÓNI FYRIR VERND OG ENDURHEIMT LÍFFRÆÐILEGRAR FJÖLBREYTNI OG VISTKERFA</w:t>
      </w:r>
    </w:p>
    <w:tbl>
      <w:tblPr>
        <w:tblStyle w:val="EFTATable"/>
        <w:tblW w:w="9228" w:type="dxa"/>
        <w:tblInd w:w="112" w:type="dxa"/>
        <w:tblBorders>
          <w:left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228"/>
      </w:tblGrid>
      <w:tr w:rsidR="00D849E8" w14:paraId="24884E97" w14:textId="77777777" w:rsidTr="00A9140F">
        <w:tc>
          <w:tcPr>
            <w:tcW w:w="9228" w:type="dxa"/>
            <w:shd w:val="clear" w:color="auto" w:fill="ECEDEE"/>
            <w:tcMar>
              <w:top w:w="160" w:type="dxa"/>
              <w:left w:w="100" w:type="dxa"/>
              <w:bottom w:w="160" w:type="dxa"/>
              <w:right w:w="100" w:type="dxa"/>
            </w:tcMar>
          </w:tcPr>
          <w:p w14:paraId="62D82CDB" w14:textId="77777777" w:rsidR="00D849E8" w:rsidRDefault="00D849E8" w:rsidP="00A9140F">
            <w:pPr>
              <w:pStyle w:val="AnnexNormal"/>
              <w:spacing w:after="120"/>
              <w:rPr>
                <w:szCs w:val="18"/>
              </w:rPr>
            </w:pPr>
            <w:r>
              <w:t>Mati á umhverfisáhrifum eða skimun (</w:t>
            </w:r>
            <w:bookmarkStart w:id="110" w:name="NOTE_1022"/>
            <w:r>
              <w:rPr>
                <w:rStyle w:val="Tilvsunneanmlsgrein"/>
                <w:sz w:val="18"/>
                <w:szCs w:val="18"/>
              </w:rPr>
              <w:footnoteReference w:id="1023"/>
            </w:r>
            <w:bookmarkEnd w:id="110"/>
            <w:r>
              <w:t>) er lokið í samræmi við tilskipun 2011/92/ESB (</w:t>
            </w:r>
            <w:bookmarkStart w:id="111" w:name="NOTE_1023"/>
            <w:r>
              <w:rPr>
                <w:rStyle w:val="Tilvsunneanmlsgrein"/>
                <w:sz w:val="18"/>
                <w:szCs w:val="18"/>
              </w:rPr>
              <w:footnoteReference w:id="1024"/>
            </w:r>
            <w:bookmarkEnd w:id="111"/>
            <w:r>
              <w:t>).</w:t>
            </w:r>
          </w:p>
          <w:p w14:paraId="1A3DAF31" w14:textId="77777777" w:rsidR="00D849E8" w:rsidRDefault="00D849E8" w:rsidP="00A9140F">
            <w:pPr>
              <w:pStyle w:val="AnnexNormal"/>
              <w:spacing w:after="120"/>
              <w:rPr>
                <w:szCs w:val="18"/>
              </w:rPr>
            </w:pPr>
            <w:r>
              <w:t xml:space="preserve">Þegar mat á umhverfisáhrifum hefur verið framkvæmt er tilskildum </w:t>
            </w:r>
            <w:proofErr w:type="spellStart"/>
            <w:r>
              <w:t>mildunar</w:t>
            </w:r>
            <w:proofErr w:type="spellEnd"/>
            <w:r>
              <w:t>- og bótaráðstöfunum til að vernda umhverfið hrint í framkvæmd.</w:t>
            </w:r>
          </w:p>
          <w:p w14:paraId="4B76B847" w14:textId="77777777" w:rsidR="00D849E8" w:rsidRDefault="00D849E8" w:rsidP="00A9140F">
            <w:pPr>
              <w:pStyle w:val="AnnexNormal"/>
              <w:rPr>
                <w:szCs w:val="18"/>
              </w:rPr>
            </w:pPr>
            <w:r>
              <w:t>Að því er varðar staði/</w:t>
            </w:r>
            <w:proofErr w:type="spellStart"/>
            <w:r>
              <w:t>starfrækslu</w:t>
            </w:r>
            <w:proofErr w:type="spellEnd"/>
            <w:r>
              <w:t xml:space="preserve"> sem er(u) á eða nálægt svæðum sem eru viðkvæm m.t.t. líffræðilegrar fjölbreytni (þ.m.t. Evrópunet verndarsvæða, heimsminjastaðir UNESCO og lykilsvæði líffræðilegrar fjölbreytni sem og önnur vernduð svæði) hefur viðeigandi mat (</w:t>
            </w:r>
            <w:bookmarkStart w:id="112" w:name="NOTE_1024"/>
            <w:r>
              <w:rPr>
                <w:rStyle w:val="Tilvsunneanmlsgrein"/>
                <w:sz w:val="18"/>
                <w:szCs w:val="18"/>
              </w:rPr>
              <w:footnoteReference w:id="1025"/>
            </w:r>
            <w:bookmarkEnd w:id="112"/>
            <w:r>
              <w:t xml:space="preserve">), eftir atvikum, farið fram og nauðsynlegum </w:t>
            </w:r>
            <w:proofErr w:type="spellStart"/>
            <w:r>
              <w:t>mildunarráðstöfunum</w:t>
            </w:r>
            <w:proofErr w:type="spellEnd"/>
            <w:r>
              <w:t xml:space="preserve"> (</w:t>
            </w:r>
            <w:bookmarkStart w:id="113" w:name="NOTE_1025"/>
            <w:r>
              <w:rPr>
                <w:rStyle w:val="Tilvsunneanmlsgrein"/>
                <w:sz w:val="18"/>
                <w:szCs w:val="18"/>
              </w:rPr>
              <w:footnoteReference w:id="1026"/>
            </w:r>
            <w:bookmarkEnd w:id="113"/>
            <w:r>
              <w:t>) verið komið í framkvæmd á grundvelli niðurstaðna þess.</w:t>
            </w:r>
          </w:p>
        </w:tc>
      </w:tr>
    </w:tbl>
    <w:p w14:paraId="1C3BC5AF" w14:textId="77777777" w:rsidR="00D849E8" w:rsidRDefault="00D849E8" w:rsidP="00D849E8">
      <w:pPr>
        <w:pStyle w:val="AnnexNormal"/>
        <w:rPr>
          <w:szCs w:val="18"/>
        </w:rPr>
      </w:pPr>
    </w:p>
    <w:p w14:paraId="3C1B8159" w14:textId="77777777" w:rsidR="00D849E8" w:rsidRDefault="00D849E8" w:rsidP="00D849E8">
      <w:pPr>
        <w:pStyle w:val="AnnexNumberedText"/>
        <w:spacing w:before="200" w:after="200"/>
        <w:ind w:left="500" w:hanging="500"/>
      </w:pPr>
    </w:p>
    <w:p w14:paraId="063E04B5" w14:textId="77777777" w:rsidR="00D849E8" w:rsidRDefault="00D849E8" w:rsidP="00D849E8">
      <w:pPr>
        <w:pStyle w:val="Alinea"/>
      </w:pPr>
    </w:p>
    <w:p w14:paraId="3791DC59" w14:textId="77777777" w:rsidR="006D7A4B" w:rsidRDefault="006D7A4B" w:rsidP="006D7A4B">
      <w:pPr>
        <w:pStyle w:val="Alinea"/>
      </w:pPr>
    </w:p>
    <w:p w14:paraId="556CF11D" w14:textId="77777777" w:rsidR="002B5657" w:rsidRDefault="002B5657" w:rsidP="002B5657">
      <w:pPr>
        <w:pStyle w:val="Alinea"/>
      </w:pPr>
    </w:p>
    <w:p w14:paraId="20AF6636" w14:textId="77777777" w:rsidR="00DB6835" w:rsidRDefault="00DB6835" w:rsidP="00DB6835">
      <w:pPr>
        <w:pStyle w:val="Alinea"/>
      </w:pPr>
    </w:p>
    <w:p w14:paraId="09389252" w14:textId="5A51F6EE" w:rsidR="00DB6835" w:rsidRDefault="00DB6835" w:rsidP="00C4775C">
      <w:pPr>
        <w:pStyle w:val="AnnexNumberedText"/>
        <w:spacing w:before="200" w:after="240"/>
        <w:ind w:left="500" w:hanging="500"/>
      </w:pPr>
    </w:p>
    <w:p w14:paraId="157AE992" w14:textId="275F491A" w:rsidR="00DB6835" w:rsidRDefault="00DB6835" w:rsidP="00C4775C">
      <w:pPr>
        <w:pStyle w:val="AnnexNumberedText"/>
        <w:spacing w:before="200" w:after="240"/>
        <w:ind w:left="500" w:hanging="500"/>
      </w:pPr>
    </w:p>
    <w:p w14:paraId="0D8433BB" w14:textId="23C132C6" w:rsidR="00DB6835" w:rsidRDefault="00DB6835" w:rsidP="00C4775C">
      <w:pPr>
        <w:pStyle w:val="AnnexNumberedText"/>
        <w:spacing w:before="200" w:after="240"/>
        <w:ind w:left="500" w:hanging="500"/>
      </w:pPr>
    </w:p>
    <w:p w14:paraId="45C5A55B" w14:textId="77777777" w:rsidR="00DB6835" w:rsidRDefault="00DB6835" w:rsidP="00C4775C">
      <w:pPr>
        <w:pStyle w:val="AnnexNumberedText"/>
        <w:spacing w:before="200" w:after="240"/>
        <w:ind w:left="500" w:hanging="500"/>
      </w:pPr>
    </w:p>
    <w:sectPr w:rsidR="00DB6835">
      <w:headerReference w:type="default" r:id="rId10"/>
      <w:footnotePr>
        <w:numRestart w:val="eachSect"/>
      </w:footnotePr>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E36D" w14:textId="77777777" w:rsidR="007E0724" w:rsidRDefault="00C4775C">
      <w:pPr>
        <w:spacing w:after="0" w:line="240" w:lineRule="auto"/>
      </w:pPr>
      <w:r>
        <w:separator/>
      </w:r>
    </w:p>
  </w:endnote>
  <w:endnote w:type="continuationSeparator" w:id="0">
    <w:p w14:paraId="0C3BF2A7" w14:textId="77777777" w:rsidR="007E0724" w:rsidRDefault="00C4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E0B5A" w14:textId="77777777" w:rsidR="007E0724" w:rsidRDefault="00C4775C">
      <w:pPr>
        <w:pStyle w:val="FooterRule"/>
        <w:rPr>
          <w:lang w:val="de-DE"/>
        </w:rPr>
      </w:pPr>
      <w:r>
        <w:rPr>
          <w:lang w:val="de-DE"/>
        </w:rPr>
        <w:tab/>
      </w:r>
    </w:p>
  </w:footnote>
  <w:footnote w:type="continuationSeparator" w:id="0">
    <w:p w14:paraId="35F26615" w14:textId="77777777" w:rsidR="007E0724" w:rsidRDefault="00C4775C">
      <w:pPr>
        <w:spacing w:after="0" w:line="240" w:lineRule="auto"/>
      </w:pPr>
      <w:r>
        <w:continuationSeparator/>
      </w:r>
    </w:p>
  </w:footnote>
  <w:footnote w:type="continuationNotice" w:id="1">
    <w:p w14:paraId="3B8AD934" w14:textId="77777777" w:rsidR="007E0724" w:rsidRDefault="007E0724">
      <w:pPr>
        <w:spacing w:after="0" w:line="240" w:lineRule="auto"/>
      </w:pPr>
    </w:p>
  </w:footnote>
  <w:footnote w:id="2">
    <w:p w14:paraId="034391F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Stjtíð</w:t>
      </w:r>
      <w:proofErr w:type="spellEnd"/>
      <w:r>
        <w:t>. ESB L 198, 22.6.2020, bls. 13.</w:t>
      </w:r>
    </w:p>
  </w:footnote>
  <w:footnote w:id="3">
    <w:p w14:paraId="5243443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2013/34/ESB frá 26. júní 2013 um árleg reikningsskil, samstæðureikningsskil og tilheyrandi skýrslur tiltekinna tegunda fyrirtækja, um breytingu á tilskipun Evrópuþingsins og ráðsins 2006/43/EB og niðurfellingu tilskipana ráðsins 78/660/EBE og 83/349/EBE (</w:t>
      </w:r>
      <w:proofErr w:type="spellStart"/>
      <w:r>
        <w:t>Stjtíð</w:t>
      </w:r>
      <w:proofErr w:type="spellEnd"/>
      <w:r>
        <w:t>. ESB L 182, 29.6.2013, bls. 19).</w:t>
      </w:r>
    </w:p>
  </w:footnote>
  <w:footnote w:id="4">
    <w:p w14:paraId="799CAE2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Reglugerð Evrópuþingsins og ráðsins (EB) nr. 1893/2006 frá 20. desember 2006 um stofnun atvinnugreinaflokkunar Evrópubandalaganna (NACE, 2. </w:t>
      </w:r>
      <w:proofErr w:type="spellStart"/>
      <w:r>
        <w:t>endursk</w:t>
      </w:r>
      <w:proofErr w:type="spellEnd"/>
      <w:r>
        <w:t>.) og um breytingu á reglugerð ráðsins (EBE) nr. 3037/90 og einnig tilteknum EB-reglugerðum um sérstök hagskýrslusvið (</w:t>
      </w:r>
      <w:proofErr w:type="spellStart"/>
      <w:r>
        <w:t>Stjtíð</w:t>
      </w:r>
      <w:proofErr w:type="spellEnd"/>
      <w:r>
        <w:t>. ESB L 393, 30.12.2006, bls. 1).</w:t>
      </w:r>
    </w:p>
  </w:footnote>
  <w:footnote w:id="5">
    <w:p w14:paraId="0AD1D32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Verkfærið EX-</w:t>
      </w:r>
      <w:proofErr w:type="spellStart"/>
      <w:r>
        <w:t>Ante</w:t>
      </w:r>
      <w:proofErr w:type="spellEnd"/>
      <w:r>
        <w:t xml:space="preserve"> </w:t>
      </w:r>
      <w:proofErr w:type="spellStart"/>
      <w:r>
        <w:t>Carbon-balance</w:t>
      </w:r>
      <w:proofErr w:type="spellEnd"/>
      <w:r>
        <w:t xml:space="preserve"> Tool (EX-ACT) (útgáfa frá 4.6.2021: http://www.fao.org/in-action/epic/ex-act-tool/suite-of-tools/ex-act/en/).</w:t>
      </w:r>
    </w:p>
  </w:footnote>
  <w:footnote w:id="6">
    <w:p w14:paraId="2E9F4A6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Evrópuþingsins, leiðtogaráðsins, ráðsins, efnahags- og félagsmálanefndar Evrópusambandsins og svæðanefndarinnar: Grænt samkomulag í Evrópu (COM(2019) 640, lokagerð).</w:t>
      </w:r>
    </w:p>
  </w:footnote>
  <w:footnote w:id="7">
    <w:p w14:paraId="2FF712B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Evrópuþingsins, leiðtogaráðsins, ráðsins, efnahags- og félagsmálanefndar Evrópusambandsins og svæðanefndarinnar: Áætlun ESB um líffræðilega fjölbreytni til 2030 – færum náttúruna aftur inn í líf okkar (COM(2020) 380, lokagerð).</w:t>
      </w:r>
    </w:p>
  </w:footnote>
  <w:footnote w:id="8">
    <w:p w14:paraId="3495A52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Evrópuþingsins, ráðsins, efnahags- og félagsmálanefndar Evrópusambandsins og svæðanefndarinnar: Markið sett hærra í loftslagsmálum í Evrópu fram til 2030 – fjárfesting í loftslagshlutlausri framtíð í þágu samborgara okkar (COM(2020) 562, lokagerð).</w:t>
      </w:r>
    </w:p>
  </w:footnote>
  <w:footnote w:id="9">
    <w:p w14:paraId="6BEDF5F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Evrópuþingsins, ráðsins, efnahags- og félagsmálanefndar Evrópusambandsins og svæðanefndarinnar: Mótun loftslagsþolinnar Evrópu – ný stefna ESB um aðlögun að loftslagsbreytingum (COM(2021) 82, lokagerð).</w:t>
      </w:r>
    </w:p>
  </w:footnote>
  <w:footnote w:id="10">
    <w:p w14:paraId="2301663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Hlutdeild í losun eftir geira táknar beina losun og byggir á gögnum Hagstofu Evrópusambandsins (</w:t>
      </w:r>
      <w:proofErr w:type="spellStart"/>
      <w:r>
        <w:t>Eurostat</w:t>
      </w:r>
      <w:proofErr w:type="spellEnd"/>
      <w:r>
        <w:t>) frá 2018 og 2019 (NACE 2. stig) nema fyrir byggingageirann sem hefur engan tengdan kóða atvinnugreinaflokkunar Evrópusambandsins og þess vegna er tekið tillit til losunar frá honum í mismunandi geirum (útgáfa frá 4.6.2021: https://ec.europa.eu/info/news/new-rules-greener-and-smarter-buildings-will-increase-quality-life-all-europeans-2019-apr-15_en).</w:t>
      </w:r>
    </w:p>
  </w:footnote>
  <w:footnote w:id="11">
    <w:p w14:paraId="07BBE87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Orðsending framkvæmdastjórnarinnar til Evrópuþingsins, ráðsins, efnahags- og félagsmálanefndar Evrópusambandsins og svæðanefndarinnar: Stefnuáætlun ESB um að draga úr </w:t>
      </w:r>
      <w:proofErr w:type="spellStart"/>
      <w:r>
        <w:t>metanlosun</w:t>
      </w:r>
      <w:proofErr w:type="spellEnd"/>
      <w:r>
        <w:t xml:space="preserve"> (COM(2020) 663, lokagerð).</w:t>
      </w:r>
    </w:p>
  </w:footnote>
  <w:footnote w:id="12">
    <w:p w14:paraId="4ED2AAF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2018/2001 frá 11. desember 2018 um að auka notkun orku frá endurnýjanlegum orkugjöfum (</w:t>
      </w:r>
      <w:proofErr w:type="spellStart"/>
      <w:r>
        <w:t>Stjtíð</w:t>
      </w:r>
      <w:proofErr w:type="spellEnd"/>
      <w:r>
        <w:t>. ESB L 328, 21.12.2018, bls. 82).</w:t>
      </w:r>
    </w:p>
  </w:footnote>
  <w:footnote w:id="13">
    <w:p w14:paraId="02F5E8B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Breytt tillaga að reglugerð Evrópuþingsins og ráðsins um að koma á ramma til að ná fram loftslagshlutleysi og um breytingu á reglugerð (ESB) 2018/1999 (evrópsku loftslagslögin) (COM(2020) 563, lokagerð).</w:t>
      </w:r>
    </w:p>
  </w:footnote>
  <w:footnote w:id="14">
    <w:p w14:paraId="2EECF77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Evrópuþingsins, ráðsins, efnahags- og félagsmálanefndar Evrópusambandsins og svæðanefndarinnar „Stefnuáætlun fyrir sjálfbæran og snjallan samgönguhreyfanleika – evrópskri flutningastarfsemi komið á rétta braut fyrir framtíðina“ COM(2020) 789, lokagerð).</w:t>
      </w:r>
    </w:p>
  </w:footnote>
  <w:footnote w:id="15">
    <w:p w14:paraId="53DF55C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2010/75/ESB frá 24. nóvember 2010 um losun í iðnaði (</w:t>
      </w:r>
      <w:proofErr w:type="spellStart"/>
      <w:r>
        <w:t>samþættar</w:t>
      </w:r>
      <w:proofErr w:type="spellEnd"/>
      <w:r>
        <w:t xml:space="preserve"> mengunarvarnir og eftirlit með mengun) (</w:t>
      </w:r>
      <w:proofErr w:type="spellStart"/>
      <w:r>
        <w:t>Stjtíð</w:t>
      </w:r>
      <w:proofErr w:type="spellEnd"/>
      <w:r>
        <w:t>. ESB L 334, 17.12.2010, bls. 17).</w:t>
      </w:r>
    </w:p>
  </w:footnote>
  <w:footnote w:id="16">
    <w:p w14:paraId="39EB465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Skógi komið upp með </w:t>
      </w:r>
      <w:proofErr w:type="spellStart"/>
      <w:r>
        <w:t>plöntun</w:t>
      </w:r>
      <w:proofErr w:type="spellEnd"/>
      <w:r>
        <w:t xml:space="preserve"> eða sáningu af ásetningi á landi sem fram að því var notað í annað felur í sér umbreytingu á landnotkun frá skógleysi til skógar, „</w:t>
      </w:r>
      <w:r>
        <w:rPr>
          <w:i/>
        </w:rPr>
        <w:t xml:space="preserve">FAO Global Resources Assessment 2020. </w:t>
      </w:r>
      <w:proofErr w:type="spellStart"/>
      <w:r>
        <w:rPr>
          <w:i/>
        </w:rPr>
        <w:t>Terms</w:t>
      </w:r>
      <w:proofErr w:type="spellEnd"/>
      <w:r>
        <w:rPr>
          <w:i/>
        </w:rPr>
        <w:t xml:space="preserve"> </w:t>
      </w:r>
      <w:proofErr w:type="spellStart"/>
      <w:r>
        <w:rPr>
          <w:i/>
        </w:rPr>
        <w:t>and</w:t>
      </w:r>
      <w:proofErr w:type="spellEnd"/>
      <w:r>
        <w:rPr>
          <w:i/>
        </w:rPr>
        <w:t xml:space="preserve"> </w:t>
      </w:r>
      <w:proofErr w:type="spellStart"/>
      <w:r>
        <w:rPr>
          <w:i/>
        </w:rPr>
        <w:t>definitions</w:t>
      </w:r>
      <w:proofErr w:type="spellEnd"/>
      <w:r>
        <w:t>“ (útgáfa frá 4.6.2021: http://www.fao.org/3/I8661EN/i8661en.pdf).</w:t>
      </w:r>
    </w:p>
  </w:footnote>
  <w:footnote w:id="17">
    <w:p w14:paraId="11F6E35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w:t>
      </w:r>
      <w:r>
        <w:rPr>
          <w:i/>
        </w:rPr>
        <w:t xml:space="preserve">FAO Global Resources Assessment 2020. </w:t>
      </w:r>
      <w:proofErr w:type="spellStart"/>
      <w:r>
        <w:rPr>
          <w:i/>
        </w:rPr>
        <w:t>Terms</w:t>
      </w:r>
      <w:proofErr w:type="spellEnd"/>
      <w:r>
        <w:rPr>
          <w:i/>
        </w:rPr>
        <w:t xml:space="preserve"> </w:t>
      </w:r>
      <w:proofErr w:type="spellStart"/>
      <w:r>
        <w:rPr>
          <w:i/>
        </w:rPr>
        <w:t>and</w:t>
      </w:r>
      <w:proofErr w:type="spellEnd"/>
      <w:r>
        <w:rPr>
          <w:i/>
        </w:rPr>
        <w:t xml:space="preserve"> </w:t>
      </w:r>
      <w:proofErr w:type="spellStart"/>
      <w:r>
        <w:rPr>
          <w:i/>
        </w:rPr>
        <w:t>definitions</w:t>
      </w:r>
      <w:proofErr w:type="spellEnd"/>
      <w:r>
        <w:t>“ (útgáfa frá 4.6.2021: http://www.fao.org/3/I8661EN/i8661en.pdf).</w:t>
      </w:r>
    </w:p>
  </w:footnote>
  <w:footnote w:id="18">
    <w:p w14:paraId="477BF84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19">
    <w:p w14:paraId="79F1028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Skógarsvæði sem er með skráða stjórnunaráætlun til langs tíma (10 ár eða meira) sem miðar að skilgreindum stjórnunarmarkmiðum og er endurskoðuð reglulega.</w:t>
      </w:r>
    </w:p>
    <w:p w14:paraId="2DF9DD9D"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20">
    <w:p w14:paraId="65B7A64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Þar með taldar greiningar á i. sjálfbærni viðarauðlindarinnar til langs tíma ii. áhrifum/álagi á varðveislu búsvæðis, fjölbreytni tengdra búsvæða og skilyrðum fyrir nýtingu sem lágmarkar áhrif á jarðveg.</w:t>
      </w:r>
    </w:p>
  </w:footnote>
  <w:footnote w:id="21">
    <w:p w14:paraId="5172CE4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Framseld reglugerð framkvæmdastjórnarinnar (ESB) nr. 807/2014 frá 11. mars 2014 um viðbætur við reglugerð Evrópuþingsins og ráðsins (EB) nr. 1305/2013 um stuðning Dreifbýlisþróunarsjóðs evrópsks landbúnaðar (EAFRD) við dreifbýlisþróun og um innleiðingu umbreytingarákvæða (</w:t>
      </w:r>
      <w:proofErr w:type="spellStart"/>
      <w:r>
        <w:t>Stjtíð</w:t>
      </w:r>
      <w:proofErr w:type="spellEnd"/>
      <w:r>
        <w:t xml:space="preserve"> ESB L 227, 31.7.2014, bls. 1).</w:t>
      </w:r>
    </w:p>
  </w:footnote>
  <w:footnote w:id="22">
    <w:p w14:paraId="3C5F72F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„Forest Europe </w:t>
      </w:r>
      <w:proofErr w:type="spellStart"/>
      <w:r>
        <w:t>Pan</w:t>
      </w:r>
      <w:proofErr w:type="spellEnd"/>
      <w:r>
        <w:t xml:space="preserve">-European </w:t>
      </w:r>
      <w:proofErr w:type="spellStart"/>
      <w:r>
        <w:t>Guidelines</w:t>
      </w:r>
      <w:proofErr w:type="spellEnd"/>
      <w:r>
        <w:t xml:space="preserve"> for </w:t>
      </w:r>
      <w:proofErr w:type="spellStart"/>
      <w:r>
        <w:t>Afforestation</w:t>
      </w:r>
      <w:proofErr w:type="spellEnd"/>
      <w:r>
        <w:t xml:space="preserve"> </w:t>
      </w:r>
      <w:proofErr w:type="spellStart"/>
      <w:r>
        <w:t>and</w:t>
      </w:r>
      <w:proofErr w:type="spellEnd"/>
      <w:r>
        <w:t xml:space="preserve"> </w:t>
      </w:r>
      <w:proofErr w:type="spellStart"/>
      <w:r>
        <w:t>Reforestation</w:t>
      </w:r>
      <w:proofErr w:type="spellEnd"/>
      <w:r>
        <w:t xml:space="preserve"> with a </w:t>
      </w:r>
      <w:proofErr w:type="spellStart"/>
      <w:r>
        <w:t>special</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provisions</w:t>
      </w:r>
      <w:proofErr w:type="spellEnd"/>
      <w:r>
        <w:t xml:space="preserve"> of </w:t>
      </w:r>
      <w:proofErr w:type="spellStart"/>
      <w:r>
        <w:t>the</w:t>
      </w:r>
      <w:proofErr w:type="spellEnd"/>
      <w:r>
        <w:t xml:space="preserve"> UNFCCC“ (skógar í Evrópu, </w:t>
      </w:r>
      <w:proofErr w:type="spellStart"/>
      <w:r>
        <w:t>samevrópskar</w:t>
      </w:r>
      <w:proofErr w:type="spellEnd"/>
      <w:r>
        <w:t xml:space="preserve"> viðmiðunarreglur fyrir nýskógrækt og </w:t>
      </w:r>
      <w:proofErr w:type="spellStart"/>
      <w:r>
        <w:t>endurræktun</w:t>
      </w:r>
      <w:proofErr w:type="spellEnd"/>
      <w:r>
        <w:t xml:space="preserve"> skóga) sem fundur sérfræðinga á ráðherraráðstefnunni um verndun skóga í Evrópu (MCPFE) 12. til 13. nóvember 2008 og skrifstofa </w:t>
      </w:r>
      <w:proofErr w:type="spellStart"/>
      <w:r>
        <w:t>samevrópskrar</w:t>
      </w:r>
      <w:proofErr w:type="spellEnd"/>
      <w:r>
        <w:t xml:space="preserve"> stefnumörkunar um lífrænan og landslagslegan fjölbreytileika (PEBLDS), fyrir hönd ráðs </w:t>
      </w:r>
      <w:proofErr w:type="spellStart"/>
      <w:r>
        <w:t>samevrópskrar</w:t>
      </w:r>
      <w:proofErr w:type="spellEnd"/>
      <w:r>
        <w:t xml:space="preserve"> stefnumörkunar um lífrænan og landslagslegan fjölbreytileika, samþykktu 4. nóvember 2008 (útgáfa frá 4.6.2021: https://www.foresteurope.org/docs/other_meetings/2008/Geneva/Guidelines_Aff_Ref_ADOPTED.pdf).</w:t>
      </w:r>
    </w:p>
  </w:footnote>
  <w:footnote w:id="23">
    <w:p w14:paraId="34CB833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24">
    <w:p w14:paraId="7E76BCD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nr. 995/2010 frá 20. október 2010 um skyldur rekstraraðila sem setja timbur og timburvörur á markað (</w:t>
      </w:r>
      <w:proofErr w:type="spellStart"/>
      <w:r>
        <w:t>Stjtíð</w:t>
      </w:r>
      <w:proofErr w:type="spellEnd"/>
      <w:r>
        <w:t>. ESB L 295, 12.11.2010, bls. 23).</w:t>
      </w:r>
    </w:p>
  </w:footnote>
  <w:footnote w:id="25">
    <w:p w14:paraId="2C382DD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Lagfæringar frá árinu 2019 á leiðbeiningum milliríkjanefndarinnar um loftslagsbreytingar (IPCC) um landsbókhald yfir gróðurhúsalofttegundir frá 2006 (útgáfa frá 4.6.2021: https://www.ipcc-nggip.iges.or.jp/public/2019rf/).</w:t>
      </w:r>
    </w:p>
  </w:footnote>
  <w:footnote w:id="26">
    <w:p w14:paraId="024497D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Skógarsvæði, sem er skilgreint sem skógur sem á að viðhalda, sem ekki má breyta í aðra landnotkun. </w:t>
      </w:r>
    </w:p>
    <w:p w14:paraId="1C829037"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27">
    <w:p w14:paraId="57E357C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28">
    <w:p w14:paraId="47ABA7A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2009/128/EB frá 21. október 2009 um aðgerðaramma Bandalagsins til að ná fram sjálfbærri notkun varnarefna (</w:t>
      </w:r>
      <w:proofErr w:type="spellStart"/>
      <w:r>
        <w:t>Stjtíð</w:t>
      </w:r>
      <w:proofErr w:type="spellEnd"/>
      <w:r>
        <w:t>. ESB L 309, 24.11.2009, bls. 71).</w:t>
      </w:r>
    </w:p>
  </w:footnote>
  <w:footnote w:id="29">
    <w:p w14:paraId="1F4B0E7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2019/1009 frá 5. júní 2019 um reglur um að bjóða ESB-áburðarvörur fram á markaði og um breytingu á reglugerðum (EB) nr. 1069/2009 og (EB) nr. 1107/2009 og um niðurfellingu á reglugerð (EB) nr. 2003/2003 (</w:t>
      </w:r>
      <w:proofErr w:type="spellStart"/>
      <w:r>
        <w:t>Stjtíð</w:t>
      </w:r>
      <w:proofErr w:type="spellEnd"/>
      <w:r>
        <w:t>. ESB L 170, 25.6.2019, bls. 1).</w:t>
      </w:r>
    </w:p>
  </w:footnote>
  <w:footnote w:id="30">
    <w:p w14:paraId="1D7643B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31">
    <w:p w14:paraId="5D11B46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2019/1021 frá 20. júní 2019 um þrávirk, lífræn mengunarefni (</w:t>
      </w:r>
      <w:proofErr w:type="spellStart"/>
      <w:r>
        <w:t>Stjtíð</w:t>
      </w:r>
      <w:proofErr w:type="spellEnd"/>
      <w:r>
        <w:t>. ESB L 169, 25.6.2019, bls. 45).</w:t>
      </w:r>
    </w:p>
  </w:footnote>
  <w:footnote w:id="32">
    <w:p w14:paraId="0B43A2B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Rotterdam-samningurinn um starfsreglur um fyrir fram upplýst samþykki í tengslum við tiltekin hættuleg efni og varnarefni í alþjóðaviðskiptum (</w:t>
      </w:r>
      <w:proofErr w:type="spellStart"/>
      <w:r>
        <w:t>Stjtíð</w:t>
      </w:r>
      <w:proofErr w:type="spellEnd"/>
      <w:r>
        <w:t>. ESB L 63, 6.3.2003, bls. 29).</w:t>
      </w:r>
    </w:p>
  </w:footnote>
  <w:footnote w:id="33">
    <w:p w14:paraId="3CC666F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Minamatasamningurinn</w:t>
      </w:r>
      <w:proofErr w:type="spellEnd"/>
      <w:r>
        <w:t xml:space="preserve"> um kvikasilfur (</w:t>
      </w:r>
      <w:proofErr w:type="spellStart"/>
      <w:r>
        <w:t>Stjtíð</w:t>
      </w:r>
      <w:proofErr w:type="spellEnd"/>
      <w:r>
        <w:t>. ESB L 142, 2.6.2017, bls. 6).</w:t>
      </w:r>
    </w:p>
  </w:footnote>
  <w:footnote w:id="34">
    <w:p w14:paraId="2269618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Montreal-bókunin um efni sem valda rýrnun ósonlagsins (</w:t>
      </w:r>
      <w:proofErr w:type="spellStart"/>
      <w:r>
        <w:t>Stjtíð</w:t>
      </w:r>
      <w:proofErr w:type="spellEnd"/>
      <w:r>
        <w:t>. EB L 297, 31.10.1988, bls. 21).</w:t>
      </w:r>
    </w:p>
  </w:footnote>
  <w:footnote w:id="35">
    <w:p w14:paraId="3FCE862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36">
    <w:p w14:paraId="70FD5C6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Endurheimt skógar felur í sér:</w:t>
      </w:r>
    </w:p>
    <w:p w14:paraId="42CF049B"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endurreisn: endurheimt æskilegra tegunda, formgerða eða ferla í vistkerfi sem fyrir er,</w:t>
      </w:r>
    </w:p>
    <w:p w14:paraId="1AF08DD8"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enduruppbyggingu: endurheimt innlendra plantna á landi sem er í annarri notkun,</w:t>
      </w:r>
    </w:p>
    <w:p w14:paraId="197E61A7"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uppgræðslu: endurheimt lands sem hefur hnignað alvarlega og er án gróðurs,</w:t>
      </w:r>
    </w:p>
    <w:p w14:paraId="2074F067"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sem róttækasti kosturinn þegar loftslagsskilyrði breytast hratt, að skipta út tegundum, sem hafa aðlagast illa á tilteknum stað og geta ekki flutt sig um set, fyrir innfluttar tegundir.</w:t>
      </w:r>
    </w:p>
    <w:p w14:paraId="413763C1" w14:textId="77777777" w:rsidR="007E0724" w:rsidRDefault="00C4775C">
      <w:pPr>
        <w:pStyle w:val="Textineanmlsgreinar"/>
        <w:ind w:left="360" w:firstLine="0"/>
        <w:rPr>
          <w:rFonts w:cs="Times New Roman"/>
          <w:szCs w:val="16"/>
        </w:rPr>
      </w:pPr>
      <w:r>
        <w:t>„</w:t>
      </w:r>
      <w:r>
        <w:rPr>
          <w:i/>
        </w:rPr>
        <w:t xml:space="preserve">Forest </w:t>
      </w:r>
      <w:proofErr w:type="spellStart"/>
      <w:r>
        <w:rPr>
          <w:i/>
        </w:rPr>
        <w:t>restoration</w:t>
      </w:r>
      <w:proofErr w:type="spellEnd"/>
      <w:r>
        <w:rPr>
          <w:i/>
        </w:rPr>
        <w:t xml:space="preserve"> </w:t>
      </w:r>
      <w:proofErr w:type="spellStart"/>
      <w:r>
        <w:rPr>
          <w:i/>
        </w:rPr>
        <w:t>module</w:t>
      </w:r>
      <w:proofErr w:type="spellEnd"/>
      <w:r>
        <w:rPr>
          <w:i/>
        </w:rPr>
        <w:t>“. Í „</w:t>
      </w:r>
      <w:proofErr w:type="spellStart"/>
      <w:r>
        <w:rPr>
          <w:i/>
        </w:rPr>
        <w:t>Sustainable</w:t>
      </w:r>
      <w:proofErr w:type="spellEnd"/>
      <w:r>
        <w:rPr>
          <w:i/>
        </w:rPr>
        <w:t xml:space="preserve"> Forest Management (SFM) </w:t>
      </w:r>
      <w:proofErr w:type="spellStart"/>
      <w:r>
        <w:rPr>
          <w:i/>
        </w:rPr>
        <w:t>Toolbox</w:t>
      </w:r>
      <w:proofErr w:type="spellEnd"/>
      <w:r>
        <w:rPr>
          <w:i/>
        </w:rPr>
        <w:t>“</w:t>
      </w:r>
      <w:r>
        <w:t xml:space="preserve"> (útgáfa frá 4.6.2021: http://www.fao.org/sustainable-forest-management/toolbox/modules/forest-restoration/basic-knowledge/en/).</w:t>
      </w:r>
    </w:p>
  </w:footnote>
  <w:footnote w:id="37">
    <w:p w14:paraId="04FAAFC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Vistfræðileg endurheimt (einnig endurheimt vistkerfis):</w:t>
      </w:r>
    </w:p>
    <w:p w14:paraId="2035C513"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ferlið við að koma vistkerfi aftur til náttúrulegrar formgerðar og starfsemi eins og hún var áður en því var raskað,</w:t>
      </w:r>
    </w:p>
    <w:p w14:paraId="49D63FB2"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ferli til aðstoðar við að endurheimta vistkerfi sem hefur hnignað, skemmst eða eyðilagst,</w:t>
      </w:r>
    </w:p>
    <w:p w14:paraId="3B5668AE"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ferli til að breyta svæði af ásetningi til að koma á skilgreindu, upprunalegu vistkerfi. Markmiðið með þessu ferli er að líkja eftir formgerð, starfsemi, fjölbreytni og framgangi tiltekins vistkerfis,</w:t>
      </w:r>
    </w:p>
    <w:p w14:paraId="7CFAACF4" w14:textId="77777777" w:rsidR="007E0724" w:rsidRDefault="00C4775C">
      <w:pPr>
        <w:pStyle w:val="AnnexNumberedText"/>
        <w:spacing w:after="0" w:line="200" w:lineRule="exact"/>
        <w:ind w:left="720" w:hanging="360"/>
        <w:rPr>
          <w:rFonts w:cs="Times New Roman"/>
          <w:sz w:val="16"/>
          <w:szCs w:val="16"/>
        </w:rPr>
      </w:pPr>
      <w:r>
        <w:rPr>
          <w:sz w:val="16"/>
        </w:rPr>
        <w:t>—</w:t>
      </w:r>
      <w:r>
        <w:rPr>
          <w:sz w:val="16"/>
        </w:rPr>
        <w:tab/>
        <w:t>mannleg íhlutun ... ætluð til að hraða endurheimt skemmdra búsvæða eða til að koma vistkerfum aftur eins nálægt upphaflegu horfi og þau voru í, áður en þeim var raskað, og mögulegt er.</w:t>
      </w:r>
    </w:p>
    <w:p w14:paraId="37CA135D" w14:textId="77777777" w:rsidR="007E0724" w:rsidRDefault="00C4775C">
      <w:pPr>
        <w:pStyle w:val="Textineanmlsgreinar"/>
        <w:ind w:left="360" w:firstLine="0"/>
        <w:rPr>
          <w:rFonts w:cs="Times New Roman"/>
          <w:szCs w:val="16"/>
        </w:rPr>
      </w:pPr>
      <w:r>
        <w:rPr>
          <w:i/>
          <w:iCs/>
        </w:rPr>
        <w:t>Skilgreiningar/lýsingar á lykilhugtökum, sem eru mest notuð, sem tengjast endurheimt vistkerfis.</w:t>
      </w:r>
      <w:r>
        <w:t xml:space="preserve"> Ellefta ráðstefna aðila að samningnum um líffræðilega fjölbreytni. 2012. UNEP/CBD/COP/11/INF/19 (útgáfa frá 4.6.2021: https://www.cbd.int/doc/meetings/cop/cop-11/information/cop-11-inf-19-en.pdf).</w:t>
      </w:r>
    </w:p>
  </w:footnote>
  <w:footnote w:id="38">
    <w:p w14:paraId="5E55A10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Endurreisn skógar er ferlið við að endurheimta getu skógar til að gefa aftur af sér vörur og þjónustu ef ástand endurreists skógar er ekki nákvæmlega það sama og ástand hans var fyrir hnignun.</w:t>
      </w:r>
    </w:p>
    <w:p w14:paraId="160FD6B3" w14:textId="77777777" w:rsidR="007E0724" w:rsidRDefault="00C4775C">
      <w:pPr>
        <w:pStyle w:val="Textineanmlsgreinar"/>
        <w:ind w:left="360" w:firstLine="0"/>
        <w:rPr>
          <w:rFonts w:cs="Times New Roman"/>
          <w:szCs w:val="16"/>
        </w:rPr>
      </w:pPr>
      <w:r>
        <w:rPr>
          <w:i/>
          <w:iCs/>
        </w:rPr>
        <w:t>Skilgreiningar/lýsingar á lykilhugtökum, sem eru mest notuð, sem tengjast endurheimt vistkerfis.</w:t>
      </w:r>
      <w:r>
        <w:t xml:space="preserve"> Ellefta ráðstefna aðila að samningnum um líffræðilega fjölbreytni 2012. UNEP/CBD/COP/11/INF/19 (útgáfa frá 4.6.2021: https://www.cbd.int/doc/meetings/cop/cop-11/information/cop-11-inf-19-en.pdf).</w:t>
      </w:r>
    </w:p>
  </w:footnote>
  <w:footnote w:id="39">
    <w:p w14:paraId="78AC513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(útgáfa frá 4.6.2021: https://www.cbd.int/convention/text/).</w:t>
      </w:r>
    </w:p>
  </w:footnote>
  <w:footnote w:id="40">
    <w:p w14:paraId="05B5848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Skógi komið upp aftur með </w:t>
      </w:r>
      <w:proofErr w:type="spellStart"/>
      <w:r>
        <w:t>plöntun</w:t>
      </w:r>
      <w:proofErr w:type="spellEnd"/>
      <w:r>
        <w:t xml:space="preserve"> og/eða sáningu af ásetningi á landi sem er flokkað sem skógur.</w:t>
      </w:r>
    </w:p>
    <w:p w14:paraId="1FAAE493"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1">
    <w:p w14:paraId="7A0F9C9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Skógur sem samanstendur aðallega af trjám sem komu upp með náttúrulegri endurnýjun.</w:t>
      </w:r>
    </w:p>
    <w:p w14:paraId="43F727BE"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2">
    <w:p w14:paraId="7BBC8A9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Veðurhamfarir er atburður sem er sjaldgæfur á tilteknum stað og árstíma. Skilgreiningar á „sjaldgæfur“ eru breytilegar en veðurhamfarir eru alla jafna eins sjaldgæfar eða sjaldgæfari en 10. eða 90. hundraðshlutamark þéttifalls sem er áætlað út frá athugunum. Samkvæmt skilgreiningu geta einkenni þess sem kallast öfgafullt veður verið breytileg frá einum stað til annars í algildum skilningi. Þegar mynstur öfgafulls veðurs varir í nokkurn tíma, s.s. yfir árstíð, er hægt að flokka það sem öfgafullan loftslagsviðburð, einkum ef það gefur af sér meðaltal eða heild sem er í sjálfu sér öfgafull (þ.e. þurrkar eða miklar rigningar á einni árstíð). Sjá IPCC, 2018: </w:t>
      </w:r>
      <w:r>
        <w:rPr>
          <w:i/>
        </w:rPr>
        <w:t xml:space="preserve">I. viðauki: </w:t>
      </w:r>
      <w:proofErr w:type="spellStart"/>
      <w:r>
        <w:rPr>
          <w:i/>
          <w:iCs/>
        </w:rPr>
        <w:t>Glossary</w:t>
      </w:r>
      <w:proofErr w:type="spellEnd"/>
      <w:r>
        <w:t xml:space="preserve"> (útgáfa frá 4.6.2021: https://www.ipcc.ch/sr15/chapter/glossary/).</w:t>
      </w:r>
    </w:p>
  </w:footnote>
  <w:footnote w:id="43">
    <w:p w14:paraId="0B1E02F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Allir stjórnlausir gróðureldar sem kalla á ákvörðun eða aðgerð að því er varðar að slökkva þá, „European </w:t>
      </w:r>
      <w:proofErr w:type="spellStart"/>
      <w:r>
        <w:t>Glossary</w:t>
      </w:r>
      <w:proofErr w:type="spellEnd"/>
      <w:r>
        <w:t xml:space="preserve"> for </w:t>
      </w:r>
      <w:proofErr w:type="spellStart"/>
      <w:r>
        <w:t>wildfires</w:t>
      </w:r>
      <w:proofErr w:type="spellEnd"/>
      <w:r>
        <w:t xml:space="preserve"> </w:t>
      </w:r>
      <w:proofErr w:type="spellStart"/>
      <w:r>
        <w:t>and</w:t>
      </w:r>
      <w:proofErr w:type="spellEnd"/>
      <w:r>
        <w:t xml:space="preserve"> </w:t>
      </w:r>
      <w:proofErr w:type="spellStart"/>
      <w:r>
        <w:t>forest</w:t>
      </w:r>
      <w:proofErr w:type="spellEnd"/>
      <w:r>
        <w:t xml:space="preserve"> </w:t>
      </w:r>
      <w:proofErr w:type="spellStart"/>
      <w:r>
        <w:t>fires</w:t>
      </w:r>
      <w:proofErr w:type="spellEnd"/>
      <w:r>
        <w:t xml:space="preserve">“ 2012, þróuð innan ramma European Forest </w:t>
      </w:r>
      <w:proofErr w:type="spellStart"/>
      <w:r>
        <w:t>Fire</w:t>
      </w:r>
      <w:proofErr w:type="spellEnd"/>
      <w:r>
        <w:t xml:space="preserve"> Network - „UFOFINET“-verkefnisins sem hluti af áætluninni INTERREG IVC (útgáfa frá 4.6.2021: https://www.ctif.org/index.php/library/european-glossary-wildfires-and-forest-fires).</w:t>
      </w:r>
    </w:p>
  </w:footnote>
  <w:footnote w:id="44">
    <w:p w14:paraId="1964D9C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5">
    <w:p w14:paraId="4D049B6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Skógarsvæði sem er með skráða stjórnunaráætlun til langs tíma (10 ár eða meira) sem miðar að skilgreindum stjórnunarmarkmiðum og er endurskoðuð reglulega.</w:t>
      </w:r>
    </w:p>
    <w:p w14:paraId="44C9FFDA"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6">
    <w:p w14:paraId="146934B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Þar með taldar greiningar á i. sjálfbærni viðarauðlindarinnar til langs tíma ii. áhrifum/álagi á varðveislu búsvæðis, fjölbreytni tengdra búsvæða og skilyrðum fyrir nýtingu sem lágmarkar áhrif á jarðveg.</w:t>
      </w:r>
    </w:p>
  </w:footnote>
  <w:footnote w:id="47">
    <w:p w14:paraId="23177D1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Stjórnun og notkun skóga og skóglendis á þann hátt og á þeim hraða sem viðheldur líffræðilegri fjölbreytni þeirra, framleiðslugetu, endurnýjunargetu, lífsþrótti og getu þeirra til að uppfylla, nú og í framtíðinni, viðeigandi vistfræðileg, efnahagsleg og félagsleg hlutverk, á lands-, þjóðar- og alþjóðavettvangi og sem veldur ekki skaða fyrir önnur vistkerfi.</w:t>
      </w:r>
    </w:p>
    <w:p w14:paraId="57268876" w14:textId="77777777" w:rsidR="007E0724" w:rsidRDefault="00C4775C">
      <w:pPr>
        <w:pStyle w:val="Textineanmlsgreinar"/>
        <w:ind w:left="360" w:firstLine="0"/>
        <w:rPr>
          <w:rFonts w:cs="Times New Roman"/>
          <w:szCs w:val="16"/>
        </w:rPr>
      </w:pPr>
      <w:r>
        <w:rPr>
          <w:i/>
          <w:iCs/>
        </w:rPr>
        <w:t>Ályktun</w:t>
      </w:r>
      <w:r>
        <w:t xml:space="preserve"> H1 „</w:t>
      </w:r>
      <w:r>
        <w:rPr>
          <w:i/>
        </w:rPr>
        <w:t xml:space="preserve">General </w:t>
      </w:r>
      <w:proofErr w:type="spellStart"/>
      <w:r>
        <w:rPr>
          <w:i/>
        </w:rPr>
        <w:t>Guidelines</w:t>
      </w:r>
      <w:proofErr w:type="spellEnd"/>
      <w:r>
        <w:rPr>
          <w:i/>
        </w:rPr>
        <w:t xml:space="preserve"> for </w:t>
      </w:r>
      <w:proofErr w:type="spellStart"/>
      <w:r>
        <w:rPr>
          <w:i/>
        </w:rPr>
        <w:t>the</w:t>
      </w:r>
      <w:proofErr w:type="spellEnd"/>
      <w:r>
        <w:rPr>
          <w:i/>
        </w:rPr>
        <w:t xml:space="preserve"> </w:t>
      </w:r>
      <w:proofErr w:type="spellStart"/>
      <w:r>
        <w:rPr>
          <w:i/>
        </w:rPr>
        <w:t>Sustainable</w:t>
      </w:r>
      <w:proofErr w:type="spellEnd"/>
      <w:r>
        <w:rPr>
          <w:i/>
        </w:rPr>
        <w:t xml:space="preserve"> Management of </w:t>
      </w:r>
      <w:proofErr w:type="spellStart"/>
      <w:r>
        <w:rPr>
          <w:i/>
        </w:rPr>
        <w:t>Forests</w:t>
      </w:r>
      <w:proofErr w:type="spellEnd"/>
      <w:r>
        <w:rPr>
          <w:i/>
        </w:rPr>
        <w:t xml:space="preserve"> </w:t>
      </w:r>
      <w:proofErr w:type="spellStart"/>
      <w:r>
        <w:rPr>
          <w:i/>
        </w:rPr>
        <w:t>in</w:t>
      </w:r>
      <w:proofErr w:type="spellEnd"/>
      <w:r>
        <w:rPr>
          <w:i/>
        </w:rPr>
        <w:t xml:space="preserve"> Europe</w:t>
      </w:r>
      <w:r>
        <w:t>“ (almennar viðmiðunarreglur fyrir</w:t>
      </w:r>
      <w:r>
        <w:rPr>
          <w:i/>
          <w:iCs/>
        </w:rPr>
        <w:t xml:space="preserve"> sjálfbæra stjórnun á skógum í Evrópu</w:t>
      </w:r>
      <w:r>
        <w:t>), önnur ráðherraráðstefnan um verndun skóga í Evrópu (skógar í Evrópu), 16.–17. júní 1993, Helsinki/Finnland (útgáfa frá 4.6.2021: https://www.foresteurope.org/docs/MC/MC_helsinki_resolutionH1.pdf ).</w:t>
      </w:r>
    </w:p>
  </w:footnote>
  <w:footnote w:id="48">
    <w:p w14:paraId="7C4DFE0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2. viðauki við ályktun L2. </w:t>
      </w:r>
      <w:proofErr w:type="spellStart"/>
      <w:r>
        <w:t>Samevrópskar</w:t>
      </w:r>
      <w:proofErr w:type="spellEnd"/>
      <w:r>
        <w:t xml:space="preserve"> leiðbeiningar vegna aðgerða á sviði sjálfbærrar skógarstjórnunar. Þriðja ráðherraráðstefnan um verndun skóga í Evrópu, 2.–4. júní 1998, Lissabon/Portúgal (útgáfa frá 4.6.2021: https://foresteurope.org/wp-content/uploads/2016/10/MC_lisbon_resolutionL2_with_annexes.pdf#page=18).</w:t>
      </w:r>
    </w:p>
  </w:footnote>
  <w:footnote w:id="49">
    <w:p w14:paraId="5717CA6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50">
    <w:p w14:paraId="46BCCC8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Lagfæringar frá árinu 2019 á leiðbeiningum milliríkjanefndarinnar um loftslagsbreytingar (IPCC) um landsbókhald yfir gróðurhúsalofttegundir frá 2006 (útgáfa frá 4.6.2021: https://www.ipcc-nggip.iges.or.jp/public/2019rf/).</w:t>
      </w:r>
    </w:p>
  </w:footnote>
  <w:footnote w:id="51">
    <w:p w14:paraId="53FF1B3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Skógarsvæði, sem er skilgreint sem skógur sem á að viðhalda, sem ekki má breyta í aðra landnotkun.</w:t>
      </w:r>
    </w:p>
    <w:p w14:paraId="7CC46525" w14:textId="77777777" w:rsidR="007E0724" w:rsidRDefault="00C4775C">
      <w:pPr>
        <w:pStyle w:val="Textineanmlsgreinar"/>
        <w:ind w:left="360" w:firstLine="0"/>
        <w:rPr>
          <w:rFonts w:cs="Times New Roman"/>
          <w:szCs w:val="16"/>
        </w:rPr>
      </w:pPr>
      <w:r>
        <w:t>(„</w:t>
      </w:r>
      <w:r>
        <w:rPr>
          <w:i/>
        </w:rPr>
        <w:t xml:space="preserve">FAO Global Resources Assessment 2020. </w:t>
      </w:r>
      <w:proofErr w:type="spellStart"/>
      <w:r>
        <w:rPr>
          <w:i/>
        </w:rPr>
        <w:t>Terms</w:t>
      </w:r>
      <w:proofErr w:type="spellEnd"/>
      <w:r>
        <w:rPr>
          <w:i/>
        </w:rPr>
        <w:t xml:space="preserve"> </w:t>
      </w:r>
      <w:proofErr w:type="spellStart"/>
      <w:r>
        <w:rPr>
          <w:i/>
        </w:rPr>
        <w:t>and</w:t>
      </w:r>
      <w:proofErr w:type="spellEnd"/>
      <w:r>
        <w:rPr>
          <w:i/>
        </w:rPr>
        <w:t xml:space="preserve"> </w:t>
      </w:r>
      <w:proofErr w:type="spellStart"/>
      <w:r>
        <w:rPr>
          <w:i/>
        </w:rPr>
        <w:t>definitions</w:t>
      </w:r>
      <w:proofErr w:type="spellEnd"/>
      <w:r>
        <w:t>“, útgáfa frá 4.6.2021: http://www.fao.org/3/I8661EN/i8661en.pdf).</w:t>
      </w:r>
    </w:p>
  </w:footnote>
  <w:footnote w:id="52">
    <w:p w14:paraId="15693DE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53">
    <w:p w14:paraId="0179356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54">
    <w:p w14:paraId="2203039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55">
    <w:p w14:paraId="68ACA64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Skógarsvæði sem er með skráða stjórnunaráætlun til langs tíma (10 ár eða meira) sem miðar að skilgreindum stjórnunarmarkmiðum og er endurskoðuð reglulega.</w:t>
      </w:r>
    </w:p>
    <w:p w14:paraId="42738D2E"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56">
    <w:p w14:paraId="65FBF34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Þar með taldar greiningar á i. sjálfbærni viðarauðlindarinnar til langs tíma ii. áhrifum/álagi á varðveislu búsvæðis, fjölbreytni tengdra búsvæða og skilyrðum fyrir nýtingu sem lágmarkar áhrif á jarðveg.</w:t>
      </w:r>
    </w:p>
  </w:footnote>
  <w:footnote w:id="57">
    <w:p w14:paraId="0DB0D54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Stjórnun og notkun skóga og skóglendis á þann hátt og á þeim hraða sem viðheldur líffræðilegri fjölbreytni þeirra, framleiðslugetu, endurnýjunargetu, lífsþrótti og getu þeirra til að uppfylla, nú og í framtíðinni, viðeigandi vistfræðileg, efnahagsleg og félagsleg hlutverk, á lands-, þjóðar- og alþjóðavettvangi og sem veldur ekki skaða fyrir önnur vistkerfi.</w:t>
      </w:r>
    </w:p>
    <w:p w14:paraId="53F26FD0" w14:textId="77777777" w:rsidR="007E0724" w:rsidRDefault="00C4775C">
      <w:pPr>
        <w:pStyle w:val="Textineanmlsgreinar"/>
        <w:ind w:left="360" w:firstLine="0"/>
        <w:rPr>
          <w:rFonts w:cs="Times New Roman"/>
          <w:szCs w:val="16"/>
        </w:rPr>
      </w:pPr>
      <w:r>
        <w:t xml:space="preserve">Ályktun H1 „General </w:t>
      </w:r>
      <w:proofErr w:type="spellStart"/>
      <w:r>
        <w:t>Guidelines</w:t>
      </w:r>
      <w:proofErr w:type="spellEnd"/>
      <w:r>
        <w:t xml:space="preserve"> for </w:t>
      </w:r>
      <w:proofErr w:type="spellStart"/>
      <w:r>
        <w:t>the</w:t>
      </w:r>
      <w:proofErr w:type="spellEnd"/>
      <w:r>
        <w:t xml:space="preserve"> </w:t>
      </w:r>
      <w:proofErr w:type="spellStart"/>
      <w:r>
        <w:t>Sustainable</w:t>
      </w:r>
      <w:proofErr w:type="spellEnd"/>
      <w:r>
        <w:t xml:space="preserve"> Management of </w:t>
      </w:r>
      <w:proofErr w:type="spellStart"/>
      <w:r>
        <w:t>Forests</w:t>
      </w:r>
      <w:proofErr w:type="spellEnd"/>
      <w:r>
        <w:t xml:space="preserve"> </w:t>
      </w:r>
      <w:proofErr w:type="spellStart"/>
      <w:r>
        <w:t>in</w:t>
      </w:r>
      <w:proofErr w:type="spellEnd"/>
      <w:r>
        <w:t xml:space="preserve"> Europe“ (almennar viðmiðunarreglur fyrir sjálfbæra stjórnun á skógum í Evrópu); önnur ráðherraráðstefnan um verndun skóga í Evrópu (skógar í Evrópu), 16.–17. júní 1993 Helsinki/Finnland (útgáfa frá 4.6.2021: https://www.foresteurope.org/docs/MC/MC_helsinki_resolutionH1.pdf ).</w:t>
      </w:r>
    </w:p>
  </w:footnote>
  <w:footnote w:id="58">
    <w:p w14:paraId="16B85DC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2. viðauki við ályktun L2. </w:t>
      </w:r>
      <w:proofErr w:type="spellStart"/>
      <w:r>
        <w:t>Samevrópskar</w:t>
      </w:r>
      <w:proofErr w:type="spellEnd"/>
      <w:r>
        <w:t xml:space="preserve"> leiðbeiningar vegna aðgerða á sviði sjálfbærrar skógarstjórnunar. Þriðja ráðherraráðstefnan um verndun skóga í Evrópu, 2.–4. júní 1998, Lissabon/Portúgal (útgáfa frá 4.6.2021: https://foresteurope.org/wp-content/uploads/2016/10/MC_lisbon_resolutionL2_with_annexes.pdf#page=18).</w:t>
      </w:r>
    </w:p>
  </w:footnote>
  <w:footnote w:id="59">
    <w:p w14:paraId="39F32FC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60">
    <w:p w14:paraId="417CC8D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Lagfæringar frá árinu 2019 á leiðbeiningum milliríkjanefndarinnar um loftslagsbreytingar (IPCC) um landsbókhald yfir gróðurhúsalofttegundir frá 2006 (útgáfa frá 4.6.2021: https://www.ipcc-nggip.iges.or.jp/public/2019rf/).</w:t>
      </w:r>
    </w:p>
  </w:footnote>
  <w:footnote w:id="61">
    <w:p w14:paraId="6B32FC3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Skógarsvæði, sem er skilgreint sem skógur sem á að viðhalda, sem ekki má breyta í aðra landnotkun.</w:t>
      </w:r>
    </w:p>
    <w:p w14:paraId="1E027E5C" w14:textId="77777777" w:rsidR="007E0724" w:rsidRDefault="00C4775C">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62">
    <w:p w14:paraId="60B641B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63">
    <w:p w14:paraId="4B03454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Reglugerð Evrópuþingsins og ráðsins (ESB) 2019/1021 frá 20. júní 2019 um þrávirk, lífræn mengunarefni (</w:t>
      </w:r>
      <w:proofErr w:type="spellStart"/>
      <w:r>
        <w:t>Stjtíð</w:t>
      </w:r>
      <w:proofErr w:type="spellEnd"/>
      <w:r>
        <w:t>. ESB L 209, 31.7.2006, bls. 3).</w:t>
      </w:r>
    </w:p>
  </w:footnote>
  <w:footnote w:id="64">
    <w:p w14:paraId="5786433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65">
    <w:p w14:paraId="54CD36D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66">
    <w:p w14:paraId="5FBE009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Skógarsvæði sem er með skráða stjórnunaráætlun til langs tíma (10 ár eða meira) sem miðar að skilgreindum stjórnunarmarkmiðum og er endurskoðuð reglulega,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67">
    <w:p w14:paraId="17289D6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Fastsett meginstjórnunarmarkmið sem er úthlutað til stjórnsýslueiningar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68">
    <w:p w14:paraId="0C2C6E3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Skógur þar sem stjórnunarmarkmiðið er verndun jarðvegs og vatns.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69">
    <w:p w14:paraId="1F8DD58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Skógur þar sem stjórnunarmarkmiðið er varðveisla líffræðilegrar fjölbreytni. Nær yfir en er ekki takmarkað við svæði sem eru valin til varðveislu líffræðilegrar fjölbreytni innan vernduðu svæðanna.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70">
    <w:p w14:paraId="1F448A4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Skógur þar sem stjórnunarmarkmiðið er félagsþjónusta.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71">
    <w:p w14:paraId="237AC76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Stjórnun og notkun skóga og skóglendis á þann hátt og á þeim hraða sem viðheldur líffræðilegri fjölbreytni þeirra, framleiðslugetu, endurnýjunargetu, lífsþrótti og getu þeirra til að uppfylla, nú og í framtíðinni, viðeigandi vistfræðileg, efnahagsleg og félagsleg hlutverk, á lands-, þjóðar- og alþjóðavettvangi og sem veldur ekki skaða fyrir önnur vistkerfi. </w:t>
      </w:r>
    </w:p>
    <w:p w14:paraId="383F7D13" w14:textId="77777777" w:rsidR="007E0724" w:rsidRDefault="00C4775C">
      <w:pPr>
        <w:pStyle w:val="Textineanmlsgreinar"/>
        <w:ind w:left="360" w:firstLine="0"/>
        <w:rPr>
          <w:rFonts w:cs="Times New Roman"/>
          <w:szCs w:val="16"/>
        </w:rPr>
      </w:pPr>
      <w:r>
        <w:t xml:space="preserve">Ályktun H1 „General </w:t>
      </w:r>
      <w:proofErr w:type="spellStart"/>
      <w:r>
        <w:t>Guidelines</w:t>
      </w:r>
      <w:proofErr w:type="spellEnd"/>
      <w:r>
        <w:t xml:space="preserve"> for </w:t>
      </w:r>
      <w:proofErr w:type="spellStart"/>
      <w:r>
        <w:t>the</w:t>
      </w:r>
      <w:proofErr w:type="spellEnd"/>
      <w:r>
        <w:t xml:space="preserve"> </w:t>
      </w:r>
      <w:proofErr w:type="spellStart"/>
      <w:r>
        <w:t>Sustainable</w:t>
      </w:r>
      <w:proofErr w:type="spellEnd"/>
      <w:r>
        <w:t xml:space="preserve"> Management of </w:t>
      </w:r>
      <w:proofErr w:type="spellStart"/>
      <w:r>
        <w:t>Forests</w:t>
      </w:r>
      <w:proofErr w:type="spellEnd"/>
      <w:r>
        <w:t xml:space="preserve"> </w:t>
      </w:r>
      <w:proofErr w:type="spellStart"/>
      <w:r>
        <w:t>in</w:t>
      </w:r>
      <w:proofErr w:type="spellEnd"/>
      <w:r>
        <w:t xml:space="preserve"> Europe“ (almennar viðmiðunarreglur fyrir sjálfbæra stjórnun á skógum í Evrópu); önnur ráðherraráðstefnan um verndun skóga í Evrópu (skógar í Evrópu), 16.–17. júní 1993 Helsinki/Finnland (útgáfa frá 4.6.2021: https://www.foresteurope.org/docs/MC/MC_helsinki_resolutionH1.pdf ).</w:t>
      </w:r>
    </w:p>
  </w:footnote>
  <w:footnote w:id="72">
    <w:p w14:paraId="76AE1B8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2. viðauki við ályktun L2. </w:t>
      </w:r>
      <w:proofErr w:type="spellStart"/>
      <w:r>
        <w:t>Samevrópskar</w:t>
      </w:r>
      <w:proofErr w:type="spellEnd"/>
      <w:r>
        <w:t xml:space="preserve"> leiðbeiningar vegna aðgerða á sviði sjálfbærrar skógarstjórnunar. Þriðja ráðherraráðstefnan um verndun skóga í Evrópu, 2.–4. júní 1998, Lissabon/Portúgal (útgáfa frá 4.6.2021: https://foresteurope.org/wp-content/uploads/2016/10/MC_lisbon_resolutionL2_with_annexes.pdf#page=18).</w:t>
      </w:r>
    </w:p>
  </w:footnote>
  <w:footnote w:id="73">
    <w:p w14:paraId="10627A1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74">
    <w:p w14:paraId="2CF25D7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Lagfæringar frá árinu 2019 á leiðbeiningum milliríkjanefndarinnar um loftslagsbreytingar (IPCC) um landsbókhald yfir gróðurhúsalofttegundir frá 2006 (útgáfa frá 4.6.2021: https://www.ipcc-nggip.iges.or.jp/public/2019rf/).</w:t>
      </w:r>
    </w:p>
  </w:footnote>
  <w:footnote w:id="75">
    <w:p w14:paraId="68F8259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Skógarsvæði, sem er skilgreint sem skógur sem á að viðhalda, sem ekki má breyta í aðra landnotkun. </w:t>
      </w:r>
    </w:p>
    <w:p w14:paraId="12C64A9A" w14:textId="77777777" w:rsidR="007E0724" w:rsidRDefault="00C4775C">
      <w:pPr>
        <w:pStyle w:val="Textineanmlsgreinar"/>
        <w:ind w:left="360" w:firstLine="0"/>
        <w:rPr>
          <w:rFonts w:cs="Times New Roman"/>
          <w:szCs w:val="16"/>
        </w:rPr>
      </w:pPr>
      <w:r>
        <w:t>(„</w:t>
      </w:r>
      <w:r>
        <w:rPr>
          <w:i/>
        </w:rPr>
        <w:t xml:space="preserve">FAO Global Resources Assessment 2020. </w:t>
      </w:r>
      <w:proofErr w:type="spellStart"/>
      <w:r>
        <w:rPr>
          <w:i/>
        </w:rPr>
        <w:t>Terms</w:t>
      </w:r>
      <w:proofErr w:type="spellEnd"/>
      <w:r>
        <w:rPr>
          <w:i/>
        </w:rPr>
        <w:t xml:space="preserve"> </w:t>
      </w:r>
      <w:proofErr w:type="spellStart"/>
      <w:r>
        <w:rPr>
          <w:i/>
        </w:rPr>
        <w:t>and</w:t>
      </w:r>
      <w:proofErr w:type="spellEnd"/>
      <w:r>
        <w:rPr>
          <w:i/>
        </w:rPr>
        <w:t xml:space="preserve"> </w:t>
      </w:r>
      <w:proofErr w:type="spellStart"/>
      <w:r>
        <w:rPr>
          <w:i/>
        </w:rPr>
        <w:t>definitions</w:t>
      </w:r>
      <w:proofErr w:type="spellEnd"/>
      <w:r>
        <w:t>“, útgáfa frá 4.6.2021: http://www.fao.org/3/I8661EN/i8661en.pdf).</w:t>
      </w:r>
    </w:p>
  </w:footnote>
  <w:footnote w:id="76">
    <w:p w14:paraId="5C28B36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77">
    <w:p w14:paraId="2076B4B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78">
    <w:p w14:paraId="04FF522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79">
    <w:p w14:paraId="51FE95A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r>
        <w:rPr>
          <w:i/>
          <w:iCs/>
        </w:rPr>
        <w:t xml:space="preserve">Votlendi nær yfir margs konar búsvæði inni í landi s.s. mýrar, vot graslendi og </w:t>
      </w:r>
      <w:proofErr w:type="spellStart"/>
      <w:r>
        <w:rPr>
          <w:i/>
          <w:iCs/>
        </w:rPr>
        <w:t>mómýrar</w:t>
      </w:r>
      <w:proofErr w:type="spellEnd"/>
      <w:r>
        <w:rPr>
          <w:i/>
          <w:iCs/>
        </w:rPr>
        <w:t xml:space="preserve">, flóðsléttur, ár og vötn, og strandsvæði s.s. sjávarfitjar, </w:t>
      </w:r>
      <w:proofErr w:type="spellStart"/>
      <w:r>
        <w:rPr>
          <w:i/>
          <w:iCs/>
        </w:rPr>
        <w:t>leiruvið</w:t>
      </w:r>
      <w:proofErr w:type="spellEnd"/>
      <w:r>
        <w:rPr>
          <w:i/>
          <w:iCs/>
        </w:rPr>
        <w:t xml:space="preserve">, </w:t>
      </w:r>
      <w:proofErr w:type="spellStart"/>
      <w:r>
        <w:rPr>
          <w:i/>
          <w:iCs/>
        </w:rPr>
        <w:t>leirur</w:t>
      </w:r>
      <w:proofErr w:type="spellEnd"/>
      <w:r>
        <w:rPr>
          <w:i/>
          <w:iCs/>
        </w:rPr>
        <w:t xml:space="preserve"> þar sem sjávarfalla gætir og </w:t>
      </w:r>
      <w:proofErr w:type="spellStart"/>
      <w:r>
        <w:rPr>
          <w:i/>
          <w:iCs/>
        </w:rPr>
        <w:t>sjávargrasbreiður</w:t>
      </w:r>
      <w:proofErr w:type="spellEnd"/>
      <w:r>
        <w:rPr>
          <w:i/>
          <w:iCs/>
        </w:rPr>
        <w:t xml:space="preserve">, og kóralrif og önnur hafsvæði sem ekki eru dýpri en sex metrar á lágflæði, sem og manngerð votlendi s.s. stíflur, uppistöðulón, hrísgrjónaakra og tjarnir og lón til að hreinsa </w:t>
      </w:r>
      <w:proofErr w:type="spellStart"/>
      <w:r>
        <w:rPr>
          <w:i/>
          <w:iCs/>
        </w:rPr>
        <w:t>skólp</w:t>
      </w:r>
      <w:proofErr w:type="spellEnd"/>
      <w:r>
        <w:rPr>
          <w:i/>
          <w:iCs/>
        </w:rPr>
        <w:t>.</w:t>
      </w:r>
      <w:r>
        <w:t xml:space="preserve"> „An </w:t>
      </w:r>
      <w:proofErr w:type="spellStart"/>
      <w:r>
        <w:t>Introduction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Ramsar</w:t>
      </w:r>
      <w:proofErr w:type="spellEnd"/>
      <w:r>
        <w:t xml:space="preserve"> </w:t>
      </w:r>
      <w:proofErr w:type="spellStart"/>
      <w:r>
        <w:t>Convention</w:t>
      </w:r>
      <w:proofErr w:type="spellEnd"/>
      <w:r>
        <w:t xml:space="preserve"> on </w:t>
      </w:r>
      <w:proofErr w:type="spellStart"/>
      <w:r>
        <w:t>Wetlands</w:t>
      </w:r>
      <w:proofErr w:type="spellEnd"/>
      <w:r>
        <w:t xml:space="preserve">“, 7. útgáfa, (áður „The </w:t>
      </w:r>
      <w:proofErr w:type="spellStart"/>
      <w:r>
        <w:t>Ramsar</w:t>
      </w:r>
      <w:proofErr w:type="spellEnd"/>
      <w:r>
        <w:t xml:space="preserve"> </w:t>
      </w:r>
      <w:proofErr w:type="spellStart"/>
      <w:r>
        <w:t>Convention</w:t>
      </w:r>
      <w:proofErr w:type="spellEnd"/>
      <w:r>
        <w:t xml:space="preserve"> </w:t>
      </w:r>
      <w:proofErr w:type="spellStart"/>
      <w:r>
        <w:t>Manual</w:t>
      </w:r>
      <w:proofErr w:type="spellEnd"/>
      <w:r>
        <w:t xml:space="preserve">“). Skrifstofa </w:t>
      </w:r>
      <w:proofErr w:type="spellStart"/>
      <w:r>
        <w:t>Ramsar</w:t>
      </w:r>
      <w:proofErr w:type="spellEnd"/>
      <w:r>
        <w:t xml:space="preserve">-samþykktarinnar, </w:t>
      </w:r>
      <w:proofErr w:type="spellStart"/>
      <w:r>
        <w:t>Gland</w:t>
      </w:r>
      <w:proofErr w:type="spellEnd"/>
      <w:r>
        <w:t>, Sviss.</w:t>
      </w:r>
    </w:p>
  </w:footnote>
  <w:footnote w:id="80">
    <w:p w14:paraId="2EC0F7F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Mómýri</w:t>
      </w:r>
      <w:proofErr w:type="spellEnd"/>
      <w:r>
        <w:t xml:space="preserve"> er vistkerfi með </w:t>
      </w:r>
      <w:proofErr w:type="spellStart"/>
      <w:r>
        <w:t>mójarðvegi</w:t>
      </w:r>
      <w:proofErr w:type="spellEnd"/>
      <w:r>
        <w:t xml:space="preserve">. </w:t>
      </w:r>
      <w:proofErr w:type="spellStart"/>
      <w:r>
        <w:t>Mór</w:t>
      </w:r>
      <w:proofErr w:type="spellEnd"/>
      <w:r>
        <w:t xml:space="preserve"> samanstendur af a.m.k. 30% dauðum plöntuleifum, sem hafa brotnað niður að hluta til, sem hafa safnast upp á staðnum við vatnsósa og oft súr skilyrði. Ályktun XIII.12 „</w:t>
      </w:r>
      <w:proofErr w:type="spellStart"/>
      <w:r>
        <w:rPr>
          <w:i/>
        </w:rPr>
        <w:t>Guidance</w:t>
      </w:r>
      <w:proofErr w:type="spellEnd"/>
      <w:r>
        <w:rPr>
          <w:i/>
        </w:rPr>
        <w:t xml:space="preserve"> on </w:t>
      </w:r>
      <w:proofErr w:type="spellStart"/>
      <w:r>
        <w:rPr>
          <w:i/>
        </w:rPr>
        <w:t>identifying</w:t>
      </w:r>
      <w:proofErr w:type="spellEnd"/>
      <w:r>
        <w:rPr>
          <w:i/>
        </w:rPr>
        <w:t xml:space="preserve"> </w:t>
      </w:r>
      <w:proofErr w:type="spellStart"/>
      <w:r>
        <w:rPr>
          <w:i/>
        </w:rPr>
        <w:t>peatlands</w:t>
      </w:r>
      <w:proofErr w:type="spellEnd"/>
      <w:r>
        <w:rPr>
          <w:i/>
        </w:rPr>
        <w:t xml:space="preserve"> </w:t>
      </w:r>
      <w:proofErr w:type="spellStart"/>
      <w:r>
        <w:rPr>
          <w:i/>
        </w:rPr>
        <w:t>as</w:t>
      </w:r>
      <w:proofErr w:type="spellEnd"/>
      <w:r>
        <w:rPr>
          <w:i/>
        </w:rPr>
        <w:t xml:space="preserve"> </w:t>
      </w:r>
      <w:proofErr w:type="spellStart"/>
      <w:r>
        <w:rPr>
          <w:i/>
        </w:rPr>
        <w:t>Wetlands</w:t>
      </w:r>
      <w:proofErr w:type="spellEnd"/>
      <w:r>
        <w:rPr>
          <w:i/>
        </w:rPr>
        <w:t xml:space="preserve"> of International </w:t>
      </w:r>
      <w:proofErr w:type="spellStart"/>
      <w:r>
        <w:rPr>
          <w:i/>
        </w:rPr>
        <w:t>Importance</w:t>
      </w:r>
      <w:proofErr w:type="spellEnd"/>
      <w:r>
        <w:rPr>
          <w:i/>
        </w:rPr>
        <w:t xml:space="preserve"> (</w:t>
      </w:r>
      <w:proofErr w:type="spellStart"/>
      <w:r>
        <w:rPr>
          <w:i/>
        </w:rPr>
        <w:t>Ramsar</w:t>
      </w:r>
      <w:proofErr w:type="spellEnd"/>
      <w:r>
        <w:rPr>
          <w:i/>
        </w:rPr>
        <w:t xml:space="preserve"> </w:t>
      </w:r>
      <w:proofErr w:type="spellStart"/>
      <w:r>
        <w:rPr>
          <w:i/>
        </w:rPr>
        <w:t>Sites</w:t>
      </w:r>
      <w:proofErr w:type="spellEnd"/>
      <w:r>
        <w:rPr>
          <w:i/>
        </w:rPr>
        <w:t xml:space="preserve">) for </w:t>
      </w:r>
      <w:proofErr w:type="spellStart"/>
      <w:r>
        <w:rPr>
          <w:i/>
        </w:rPr>
        <w:t>global</w:t>
      </w:r>
      <w:proofErr w:type="spellEnd"/>
      <w:r>
        <w:rPr>
          <w:i/>
        </w:rPr>
        <w:t xml:space="preserve"> </w:t>
      </w:r>
      <w:proofErr w:type="spellStart"/>
      <w:r>
        <w:rPr>
          <w:i/>
        </w:rPr>
        <w:t>climate</w:t>
      </w:r>
      <w:proofErr w:type="spellEnd"/>
      <w:r>
        <w:rPr>
          <w:i/>
        </w:rPr>
        <w:t xml:space="preserve"> </w:t>
      </w:r>
      <w:proofErr w:type="spellStart"/>
      <w:r>
        <w:rPr>
          <w:i/>
        </w:rPr>
        <w:t>change</w:t>
      </w:r>
      <w:proofErr w:type="spellEnd"/>
      <w:r>
        <w:rPr>
          <w:i/>
        </w:rPr>
        <w:t xml:space="preserve"> </w:t>
      </w:r>
      <w:proofErr w:type="spellStart"/>
      <w:r>
        <w:rPr>
          <w:i/>
        </w:rPr>
        <w:t>regulation</w:t>
      </w:r>
      <w:proofErr w:type="spellEnd"/>
      <w:r>
        <w:rPr>
          <w:i/>
        </w:rPr>
        <w:t xml:space="preserve"> </w:t>
      </w:r>
      <w:proofErr w:type="spellStart"/>
      <w:r>
        <w:rPr>
          <w:i/>
        </w:rPr>
        <w:t>as</w:t>
      </w:r>
      <w:proofErr w:type="spellEnd"/>
      <w:r>
        <w:rPr>
          <w:i/>
        </w:rPr>
        <w:t xml:space="preserve"> an </w:t>
      </w:r>
      <w:proofErr w:type="spellStart"/>
      <w:r>
        <w:rPr>
          <w:i/>
        </w:rPr>
        <w:t>additional</w:t>
      </w:r>
      <w:proofErr w:type="spellEnd"/>
      <w:r>
        <w:rPr>
          <w:i/>
        </w:rPr>
        <w:t xml:space="preserve"> </w:t>
      </w:r>
      <w:proofErr w:type="spellStart"/>
      <w:r>
        <w:rPr>
          <w:i/>
        </w:rPr>
        <w:t>argument</w:t>
      </w:r>
      <w:proofErr w:type="spellEnd"/>
      <w:r>
        <w:rPr>
          <w:i/>
        </w:rPr>
        <w:t xml:space="preserve"> </w:t>
      </w:r>
      <w:proofErr w:type="spellStart"/>
      <w:r>
        <w:rPr>
          <w:i/>
        </w:rPr>
        <w:t>to</w:t>
      </w:r>
      <w:proofErr w:type="spellEnd"/>
      <w:r>
        <w:rPr>
          <w:i/>
        </w:rPr>
        <w:t xml:space="preserve"> </w:t>
      </w:r>
      <w:proofErr w:type="spellStart"/>
      <w:r>
        <w:rPr>
          <w:i/>
        </w:rPr>
        <w:t>existing</w:t>
      </w:r>
      <w:proofErr w:type="spellEnd"/>
      <w:r>
        <w:rPr>
          <w:i/>
        </w:rPr>
        <w:t xml:space="preserve"> </w:t>
      </w:r>
      <w:proofErr w:type="spellStart"/>
      <w:r>
        <w:rPr>
          <w:i/>
        </w:rPr>
        <w:t>Ramsar</w:t>
      </w:r>
      <w:proofErr w:type="spellEnd"/>
      <w:r>
        <w:rPr>
          <w:i/>
        </w:rPr>
        <w:t xml:space="preserve"> </w:t>
      </w:r>
      <w:proofErr w:type="spellStart"/>
      <w:r>
        <w:rPr>
          <w:i/>
        </w:rPr>
        <w:t>criteria</w:t>
      </w:r>
      <w:proofErr w:type="spellEnd"/>
      <w:r>
        <w:t xml:space="preserve">“, </w:t>
      </w:r>
      <w:proofErr w:type="spellStart"/>
      <w:r>
        <w:t>Ramsar</w:t>
      </w:r>
      <w:proofErr w:type="spellEnd"/>
      <w:r>
        <w:t>-samþykktin, samþykkt 21.- 29. október 2018.</w:t>
      </w:r>
    </w:p>
  </w:footnote>
  <w:footnote w:id="81">
    <w:p w14:paraId="3BF4E08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Samþykktin um votlendi sem hafa alþjóðlegt gildi, einkum fyrir fuglalíf (útgáfa frá 4.6.2021: https://www.ramsar.org/sites/default/files/documents/library/current_convention_text_e.pdf).</w:t>
      </w:r>
    </w:p>
  </w:footnote>
  <w:footnote w:id="82">
    <w:p w14:paraId="3C57285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ráðsins og Evrópuþingsins frá 29. maí 1995 um skynsamlega nýtingu og vernd votlendis, COM(95) 189 lokagerð.</w:t>
      </w:r>
    </w:p>
  </w:footnote>
  <w:footnote w:id="83">
    <w:p w14:paraId="76B33E0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nr. 691/2011 frá 6. júlí 2011 um evrópska umhverfisreikninga (</w:t>
      </w:r>
      <w:proofErr w:type="spellStart"/>
      <w:r>
        <w:t>Stjtíð</w:t>
      </w:r>
      <w:proofErr w:type="spellEnd"/>
      <w:r>
        <w:t>. ESB L 192, 22.7.2011, bls. 1).</w:t>
      </w:r>
    </w:p>
  </w:footnote>
  <w:footnote w:id="84">
    <w:p w14:paraId="555FD47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Ramsar</w:t>
      </w:r>
      <w:proofErr w:type="spellEnd"/>
      <w:r>
        <w:t>-samþykktin (2002) „</w:t>
      </w:r>
      <w:proofErr w:type="spellStart"/>
      <w:r>
        <w:t>Principles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wetland</w:t>
      </w:r>
      <w:proofErr w:type="spellEnd"/>
      <w:r>
        <w:t xml:space="preserve"> </w:t>
      </w:r>
      <w:proofErr w:type="spellStart"/>
      <w:r>
        <w:t>restoration</w:t>
      </w:r>
      <w:proofErr w:type="spellEnd"/>
      <w:r>
        <w:t xml:space="preserve">“. Samþykkt með ályktun </w:t>
      </w:r>
      <w:proofErr w:type="spellStart"/>
      <w:r>
        <w:t>Ramsar</w:t>
      </w:r>
      <w:proofErr w:type="spellEnd"/>
      <w:r>
        <w:t>-samþykktarinnar VIII.16 (2002) (útgáfa frá 4.6.2021: https://www.ramsar.org/sites/default/files/documents/pdf/guide/guide-restoration.pdf).</w:t>
      </w:r>
    </w:p>
  </w:footnote>
  <w:footnote w:id="85">
    <w:p w14:paraId="586669A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Ramsar</w:t>
      </w:r>
      <w:proofErr w:type="spellEnd"/>
      <w:r>
        <w:t xml:space="preserve">-samþykktin (2002) Ályktun VIII.14 „New </w:t>
      </w:r>
      <w:proofErr w:type="spellStart"/>
      <w:r>
        <w:t>Guidelines</w:t>
      </w:r>
      <w:proofErr w:type="spellEnd"/>
      <w:r>
        <w:t xml:space="preserve"> for </w:t>
      </w:r>
      <w:proofErr w:type="spellStart"/>
      <w:r>
        <w:t>management</w:t>
      </w:r>
      <w:proofErr w:type="spellEnd"/>
      <w:r>
        <w:t xml:space="preserve"> </w:t>
      </w:r>
      <w:proofErr w:type="spellStart"/>
      <w:r>
        <w:t>planning</w:t>
      </w:r>
      <w:proofErr w:type="spellEnd"/>
      <w:r>
        <w:t xml:space="preserve"> for </w:t>
      </w:r>
      <w:proofErr w:type="spellStart"/>
      <w:r>
        <w:t>Ramsar</w:t>
      </w:r>
      <w:proofErr w:type="spellEnd"/>
      <w:r>
        <w:t xml:space="preserve"> </w:t>
      </w:r>
      <w:proofErr w:type="spellStart"/>
      <w:r>
        <w:t>sites</w:t>
      </w:r>
      <w:proofErr w:type="spellEnd"/>
      <w:r>
        <w:t xml:space="preserve"> </w:t>
      </w:r>
      <w:proofErr w:type="spellStart"/>
      <w:r>
        <w:t>and</w:t>
      </w:r>
      <w:proofErr w:type="spellEnd"/>
      <w:r>
        <w:t xml:space="preserve"> other </w:t>
      </w:r>
      <w:proofErr w:type="spellStart"/>
      <w:r>
        <w:t>wetlands</w:t>
      </w:r>
      <w:proofErr w:type="spellEnd"/>
      <w:r>
        <w:t>“ (útgáfa frá4.6.2021: https://www.ramsar.org/sites/default/files/documents/pdf/res/key_res_viii_14_e.pdf).</w:t>
      </w:r>
    </w:p>
  </w:footnote>
  <w:footnote w:id="86">
    <w:p w14:paraId="6BEF89F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Lagfæringar frá árinu 2019 á leiðbeiningum milliríkjanefndarinnar um loftslagsbreytingar (IPCC) um landsbókhald yfir gróðurhúsalofttegundir frá 2006 (útgáfa frá 4.6.2021: https://www.ipcc-nggip.iges.or.jp/public/2019rf/).</w:t>
      </w:r>
    </w:p>
  </w:footnote>
  <w:footnote w:id="87">
    <w:p w14:paraId="5F8C132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88">
    <w:p w14:paraId="1BC7C45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89">
    <w:p w14:paraId="59C328A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j- til </w:t>
      </w:r>
      <w:proofErr w:type="spellStart"/>
      <w:r>
        <w:t>m-lið</w:t>
      </w:r>
      <w:proofErr w:type="spellEnd"/>
      <w:r>
        <w:t xml:space="preserve"> er fjallað um viðmiðunina sem tengist endurbótum í þáttum 6.9 og 6.12 í þessum viðauka.</w:t>
      </w:r>
    </w:p>
  </w:footnote>
  <w:footnote w:id="90">
    <w:p w14:paraId="2EFB3E4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a-lið 1. mgr. 4. gr. reglugerðar Evrópuþingsins og ráðsins (ESB) 2018/858 frá 30. maí 2018 um viðurkenningu á og markaðseftirlit með vélknúnum ökutækjum og </w:t>
      </w:r>
      <w:proofErr w:type="spellStart"/>
      <w:r>
        <w:t>eftirvögnum</w:t>
      </w:r>
      <w:proofErr w:type="spellEnd"/>
      <w:r>
        <w:t xml:space="preserve"> þeirra og á kerfum, íhlutum og aðskildum tæknieiningum sem ætlaðar eru í slík ökutæki, um breytingu á reglugerðum (EB) nr. 715/2007 og (EB) nr. 595/2009 og niðurfellingu tilskipunar 2007/46/EB (</w:t>
      </w:r>
      <w:proofErr w:type="spellStart"/>
      <w:r>
        <w:t>Stjtíð</w:t>
      </w:r>
      <w:proofErr w:type="spellEnd"/>
      <w:r>
        <w:t>. ESB L 151, 14.6.2018, bls. 1).</w:t>
      </w:r>
    </w:p>
  </w:footnote>
  <w:footnote w:id="91">
    <w:p w14:paraId="778FDDD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Eins og sett er fram í 3. lið </w:t>
      </w:r>
      <w:proofErr w:type="spellStart"/>
      <w:r>
        <w:t>C-hluta</w:t>
      </w:r>
      <w:proofErr w:type="spellEnd"/>
      <w:r>
        <w:t xml:space="preserve"> I. viðauka við reglugerð (ESB) 2018/858.</w:t>
      </w:r>
    </w:p>
  </w:footnote>
  <w:footnote w:id="92">
    <w:p w14:paraId="653E4A9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(EB) nr. 595/2009 frá 18. júní 2009 um gerðarviðurkenningu vélknúinna ökutækja og hreyfla með tilliti til losunar frá þungum ökutækjum (Euro VI) og um aðgang að upplýsingum um viðgerðir og viðhald ökutækja og um breytingu á reglugerð (EB) nr. 715/2007 og tilskipun 2007/46/EB og um niðurfellingu á tilskipunum 80/1269/EBE, 2005/55/EB og 2005/78/EB (</w:t>
      </w:r>
      <w:proofErr w:type="spellStart"/>
      <w:r>
        <w:t>Stjtíð</w:t>
      </w:r>
      <w:proofErr w:type="spellEnd"/>
      <w:r>
        <w:t>. ESB L 188, 18.7.2009, bls. 1).</w:t>
      </w:r>
    </w:p>
  </w:footnote>
  <w:footnote w:id="93">
    <w:p w14:paraId="21C123D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framkvæmdastjórnarinnar (ESB) nr. 582/2011 frá 25. maí 2011 um framkvæmd og breytingu á reglugerð Evrópuþingsins og ráðsins (EB) nr. 595/2009 að því er varðar losun frá þungum ökutækjum (Euro VI) og um breytingu á I. og III. viðauka við tilskipun Evrópuþingsins og ráðsins 2007/46/EB (</w:t>
      </w:r>
      <w:proofErr w:type="spellStart"/>
      <w:r>
        <w:t>Stjtíð</w:t>
      </w:r>
      <w:proofErr w:type="spellEnd"/>
      <w:r>
        <w:t>. ESB L 167, 25.6.2011, bls. 1).</w:t>
      </w:r>
    </w:p>
  </w:footnote>
  <w:footnote w:id="94">
    <w:p w14:paraId="0989529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 til 31/12/2022, EURO VI þrep E eins og sett er fram í reglugerð (EB) nr. 595/2009.</w:t>
      </w:r>
    </w:p>
  </w:footnote>
  <w:footnote w:id="95">
    <w:p w14:paraId="7432300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Eins og skilgreint er í a- og </w:t>
      </w:r>
      <w:proofErr w:type="spellStart"/>
      <w:r>
        <w:t>b-lið</w:t>
      </w:r>
      <w:proofErr w:type="spellEnd"/>
      <w:r>
        <w:t xml:space="preserve"> 1. mgr. 4. gr. reglugerðar (ESB) 2018/858.</w:t>
      </w:r>
    </w:p>
  </w:footnote>
  <w:footnote w:id="96">
    <w:p w14:paraId="4468D60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2019/631 frá 17. apríl 2019 um að setja staðla um frammistöðu vegna losunar koltvísýrings fyrir nýjar fólksbifreiðar og ný, létt atvinnuökutæki og um niðurfellingu reglugerða (EB) nr. 443/2009 og (ESB) nr. 510/2011 (</w:t>
      </w:r>
      <w:proofErr w:type="spellStart"/>
      <w:r>
        <w:t>Stjtíð</w:t>
      </w:r>
      <w:proofErr w:type="spellEnd"/>
      <w:r>
        <w:t>. ESB L 111, 25.4.2019, bls. 13).</w:t>
      </w:r>
    </w:p>
  </w:footnote>
  <w:footnote w:id="97">
    <w:p w14:paraId="04E7BCF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Eins og skilgreint er í 4. gr. reglugerðar Evrópuþingsins og ráðsins (ESB) nr. 168/2013 frá 15. janúar 2013 um viðurkenningu á og markaðseftirlit með vélknúnum ökutækjum á tveimur eða þremur hjólum og fjórhjólum (</w:t>
      </w:r>
      <w:proofErr w:type="spellStart"/>
      <w:r>
        <w:t>Stjtíð</w:t>
      </w:r>
      <w:proofErr w:type="spellEnd"/>
      <w:r>
        <w:t>. ESB L 60, 2.3.2013, bls. 52).</w:t>
      </w:r>
    </w:p>
  </w:footnote>
  <w:footnote w:id="98">
    <w:p w14:paraId="4948EAD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nr. 168/2013 frá 15. janúar 2013 um viðurkenningu á og markaðseftirlit með vélknúnum ökutækjum á tveimur eða þremur hjólum og fjórhjólum (</w:t>
      </w:r>
      <w:proofErr w:type="spellStart"/>
      <w:r>
        <w:t>Stjtíð</w:t>
      </w:r>
      <w:proofErr w:type="spellEnd"/>
      <w:r>
        <w:t>. ESB L 60, 2.3.2013, bls. 52).</w:t>
      </w:r>
    </w:p>
  </w:footnote>
  <w:footnote w:id="99">
    <w:p w14:paraId="0D66A3F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2019/1242 frá 20. júní 2019 um að setja staðla um frammistöðu vegna losunar koltvísýrings fyrir ný, þung ökutæki og um breytingu á reglugerð (EB) nr. 595/2009 og reglugerð Evrópuþingsins og ráðsins (ESB) 2018/956 og tilskipun ráðsins 96/53/EB (</w:t>
      </w:r>
      <w:proofErr w:type="spellStart"/>
      <w:r>
        <w:t>Stjtíð</w:t>
      </w:r>
      <w:proofErr w:type="spellEnd"/>
      <w:r>
        <w:t>. ESB L 198, 25.7.2019, bls. 202).</w:t>
      </w:r>
    </w:p>
  </w:footnote>
  <w:footnote w:id="100">
    <w:p w14:paraId="35ACC40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Rekstrarlegur </w:t>
      </w:r>
      <w:proofErr w:type="spellStart"/>
      <w:r>
        <w:t>orkunýtnivísir</w:t>
      </w:r>
      <w:proofErr w:type="spellEnd"/>
      <w:r>
        <w:t xml:space="preserve"> er skilgreindur sem massahlutfall losaðs koltvísýrings á hverja flutningseiningu. Þetta er dæmigert gildi fyrir </w:t>
      </w:r>
      <w:proofErr w:type="spellStart"/>
      <w:r>
        <w:t>orkunýtni</w:t>
      </w:r>
      <w:proofErr w:type="spellEnd"/>
      <w:r>
        <w:t xml:space="preserve"> við </w:t>
      </w:r>
      <w:proofErr w:type="spellStart"/>
      <w:r>
        <w:t>starfrækslu</w:t>
      </w:r>
      <w:proofErr w:type="spellEnd"/>
      <w:r>
        <w:t xml:space="preserve"> skipsins yfir samfellt tímabil sem svarar til alls viðskiptamynsturs skipsins. Leiðbeiningar um hvernig á að reikna út þennan vísi eru gefnar í skjalinu MEPC.1/</w:t>
      </w:r>
      <w:proofErr w:type="spellStart"/>
      <w:r>
        <w:t>Circ</w:t>
      </w:r>
      <w:proofErr w:type="spellEnd"/>
      <w:r>
        <w:t>. 684 frá Alþjóðasiglingamálastofnuninni.</w:t>
      </w:r>
    </w:p>
  </w:footnote>
  <w:footnote w:id="101">
    <w:p w14:paraId="3FE8E1B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Orkunýtnivísitala</w:t>
      </w:r>
      <w:proofErr w:type="spellEnd"/>
      <w:r>
        <w:t xml:space="preserve"> hönnunar (útgáfa frá 4.6.2021: http://www.imo.org/fr/MediaCentre/HotTopics/GHG/Pages/EEDI.aspx).</w:t>
      </w:r>
    </w:p>
  </w:footnote>
  <w:footnote w:id="102">
    <w:p w14:paraId="6428D50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Kröfur um </w:t>
      </w:r>
      <w:proofErr w:type="spellStart"/>
      <w:r>
        <w:t>orkunýtnivísitölu</w:t>
      </w:r>
      <w:proofErr w:type="spellEnd"/>
      <w:r>
        <w:t xml:space="preserve"> hönnunar sem eru í gildi 1. apríl 2022 eins og sjávarumhverfisverndarnefnd Alþjóðasiglingamálastofnunarinnar samþykkti á 74. fundi sínum.</w:t>
      </w:r>
    </w:p>
  </w:footnote>
  <w:footnote w:id="103">
    <w:p w14:paraId="0D81E87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Eldsneyti sem uppfyllir tæknilegu matsviðmiðin sem eru tilgreind í þáttum 3.10 og 4.13 í þessum viðauka.</w:t>
      </w:r>
    </w:p>
  </w:footnote>
  <w:footnote w:id="104">
    <w:p w14:paraId="4BC0763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Eldsneyti sem uppfyllir tæknilegu matsviðmiðin sem eru tilgreind í þáttum 3.10 og 4.13 í þessum viðauka.</w:t>
      </w:r>
    </w:p>
  </w:footnote>
  <w:footnote w:id="105">
    <w:p w14:paraId="318443B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2000/53/EB frá 18. september 2000 um úr sér gengin ökutæki (</w:t>
      </w:r>
      <w:proofErr w:type="spellStart"/>
      <w:r>
        <w:t>Stjtíð</w:t>
      </w:r>
      <w:proofErr w:type="spellEnd"/>
      <w:r>
        <w:t>. EB L 269, 21.10.2000, bls. 34).</w:t>
      </w:r>
    </w:p>
  </w:footnote>
  <w:footnote w:id="106">
    <w:p w14:paraId="3A27C47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2006/66/EB frá 6. september 2006 um rafhlöður og rafgeyma og notaðar rafhlöður og rafgeyma og um niðurfellingu tilskipunar 91/157/EBE (</w:t>
      </w:r>
      <w:proofErr w:type="spellStart"/>
      <w:r>
        <w:t>Stjtíð</w:t>
      </w:r>
      <w:proofErr w:type="spellEnd"/>
      <w:r>
        <w:t>. ESB L 266, 26.9.2006, bls. 1).</w:t>
      </w:r>
    </w:p>
  </w:footnote>
  <w:footnote w:id="107">
    <w:p w14:paraId="22A8C70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2010/75/ESB frá 24. nóvember 2010 um losun í iðnaði (</w:t>
      </w:r>
      <w:proofErr w:type="spellStart"/>
      <w:r>
        <w:t>samþættar</w:t>
      </w:r>
      <w:proofErr w:type="spellEnd"/>
      <w:r>
        <w:t xml:space="preserve"> mengunarvarnir og eftirlit með mengun) (</w:t>
      </w:r>
      <w:proofErr w:type="spellStart"/>
      <w:r>
        <w:t>Stjtíð</w:t>
      </w:r>
      <w:proofErr w:type="spellEnd"/>
      <w:r>
        <w:t>. ESB L 334, 17.12.2010, bls. 17).</w:t>
      </w:r>
    </w:p>
  </w:footnote>
  <w:footnote w:id="108">
    <w:p w14:paraId="3FE8EB9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(EB) nr. 1907/2006 frá 18. desember 2006 um skráningu, mat, leyfisveitingu og takmarkanir, að því er varðar efni (efnareglurnar (REACH)), um stofnun Efnastofnunar Evrópu, um breytingu á tilskipun 1999/45/EB og um niðurfellingu á reglugerð ráðsins (EBE) nr. 793/93 og reglugerð framkvæmdastjórnarinnar (EB) nr. 1488/94, sem og tilskipun ráðsins 76/769/EBE og tilskipunum framkvæmdastjórnarinnar 91/155/EBE, 93/67/EBE, 93/105/EB og 2000/21/EB (</w:t>
      </w:r>
      <w:proofErr w:type="spellStart"/>
      <w:r>
        <w:t>Stjtíð</w:t>
      </w:r>
      <w:proofErr w:type="spellEnd"/>
      <w:r>
        <w:t>. ESB L 396, 30.12.2006, bls. 1).</w:t>
      </w:r>
    </w:p>
  </w:footnote>
  <w:footnote w:id="109">
    <w:p w14:paraId="65A26CE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Þar sem við á er U-gildið reiknað út samkvæmt gildandi stöðlum, t.d. EN ISO 10077-1:2017 (gluggar og dyr), EN ISO 12631:2017 (léttveggir) og EN ISO 6946:2017 (aðrir byggingaíhlutir og -einingar).</w:t>
      </w:r>
    </w:p>
  </w:footnote>
  <w:footnote w:id="110">
    <w:p w14:paraId="23388F1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2017/1369 frá 4. júlí 2017 um setningu ramma fyrir orkumerkingar og um niðurfellingu tilskipunar 2010/30/ESB (</w:t>
      </w:r>
      <w:proofErr w:type="spellStart"/>
      <w:r>
        <w:t>Stjtíð</w:t>
      </w:r>
      <w:proofErr w:type="spellEnd"/>
      <w:r>
        <w:t>. ESB L 198, 28.7.2017, bls. 1).</w:t>
      </w:r>
    </w:p>
  </w:footnote>
  <w:footnote w:id="111">
    <w:p w14:paraId="4BD74A6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Tilmæli framkvæmdastjórnarinnar 2013/179/ESB frá 9. apríl 2013 um notkun sameiginlegra aðferða til að meta og tilkynna vistvænleika vara og stofnana (</w:t>
      </w:r>
      <w:proofErr w:type="spellStart"/>
      <w:r>
        <w:t>Stjtíð</w:t>
      </w:r>
      <w:proofErr w:type="spellEnd"/>
      <w:r>
        <w:t>. ESB L 124, 4.5.2013, bls. 1).</w:t>
      </w:r>
    </w:p>
  </w:footnote>
  <w:footnote w:id="112">
    <w:p w14:paraId="1D4DA5A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13">
    <w:p w14:paraId="46D91B3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14">
    <w:p w14:paraId="11F6BAA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framselda reglugerð framkvæmdastjórnarinnar (ESB) 2019/331 frá 19. desember 2018 um umbreytingarreglur á vettvangi Sambandsins um samræmda úthlutun losunarheimilda án endurgjalds skv. 10. gr. a í tilskipun Evrópuþingsins og ráðsins 2003/87/EB (</w:t>
      </w:r>
      <w:proofErr w:type="spellStart"/>
      <w:r>
        <w:t>Stjtíð</w:t>
      </w:r>
      <w:proofErr w:type="spellEnd"/>
      <w:r>
        <w:t>. ESB L 59, 27.2.2019, bls. 8).</w:t>
      </w:r>
    </w:p>
  </w:footnote>
  <w:footnote w:id="115">
    <w:p w14:paraId="41630A5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framkvæmdastjórnarinnar (ESB) 2021/447 frá 12. mars 2021 um að ákvarða endurskoðuð viðmiðunargildi fyrir úthlutun losunarheimilda án endurgjalds fyrir tímabilið frá 2021 til 2025 skv. 2. mgr. 10. gr. a í tilskipun Evrópuþingsins og ráðsins 2003/87/EB (</w:t>
      </w:r>
      <w:proofErr w:type="spellStart"/>
      <w:r>
        <w:t>Stjtíð</w:t>
      </w:r>
      <w:proofErr w:type="spellEnd"/>
      <w:r>
        <w:t>. ESB L 87, 15.3.2021, bls. 29).</w:t>
      </w:r>
    </w:p>
  </w:footnote>
  <w:footnote w:id="116">
    <w:p w14:paraId="0F912AA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17">
    <w:p w14:paraId="4F1E7AE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Endurspeglar meðalgildi 10% af skilvirkustu stöðvunum á árunum 2016 og 2017 (t koltvísýringsígilda/t) fyrir grátt </w:t>
      </w:r>
      <w:proofErr w:type="spellStart"/>
      <w:r>
        <w:t>sementsgjall</w:t>
      </w:r>
      <w:proofErr w:type="spellEnd"/>
      <w:r>
        <w:t xml:space="preserve">, eins og sett er fram í viðaukanum við framkvæmdarreglugerð (ESB) 2021/447, margfaldað með hlutfallinu milli </w:t>
      </w:r>
      <w:proofErr w:type="spellStart"/>
      <w:r>
        <w:t>gjalls</w:t>
      </w:r>
      <w:proofErr w:type="spellEnd"/>
      <w:r>
        <w:t xml:space="preserve"> og </w:t>
      </w:r>
      <w:proofErr w:type="spellStart"/>
      <w:r>
        <w:t>sements</w:t>
      </w:r>
      <w:proofErr w:type="spellEnd"/>
      <w:r>
        <w:t xml:space="preserve"> sem nemur 0,65.</w:t>
      </w:r>
    </w:p>
  </w:footnote>
  <w:footnote w:id="118">
    <w:p w14:paraId="5F5E8E4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2013/163/ESB frá 26. mars 2013 um að fastsetja niðurstöður um bestu, fáanlegu tækni (BAT), samkvæmt tilskipun Evrópuþingsins og ráðsins 2010/75/ESB um losun í iðnaði, vegna framleiðslu á </w:t>
      </w:r>
      <w:proofErr w:type="spellStart"/>
      <w:r>
        <w:t>sementi</w:t>
      </w:r>
      <w:proofErr w:type="spellEnd"/>
      <w:r>
        <w:t xml:space="preserve">, </w:t>
      </w:r>
      <w:proofErr w:type="spellStart"/>
      <w:r>
        <w:t>kalki</w:t>
      </w:r>
      <w:proofErr w:type="spellEnd"/>
      <w:r>
        <w:t xml:space="preserve"> og </w:t>
      </w:r>
      <w:proofErr w:type="spellStart"/>
      <w:r>
        <w:t>magnesíumoxíði</w:t>
      </w:r>
      <w:proofErr w:type="spellEnd"/>
      <w:r>
        <w:t xml:space="preserve"> (</w:t>
      </w:r>
      <w:proofErr w:type="spellStart"/>
      <w:r>
        <w:t>Stjtíð</w:t>
      </w:r>
      <w:proofErr w:type="spellEnd"/>
      <w:r>
        <w:t>. ESB L 100, 9.4.2013, bls. 1).</w:t>
      </w:r>
    </w:p>
  </w:footnote>
  <w:footnote w:id="119">
    <w:p w14:paraId="4985B5E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Sjá tilvísunarskjal um bestu aðgengilegu tækni fyrir efnahagslega þætti og yfirfærsluáhrif milli umhverfishólfa (útgáfa frá 4.6.2021: https://eippcb.jrc.ec.europa.eu/sites/default/files/2019-11/ecm_bref_0706.pdf).</w:t>
      </w:r>
    </w:p>
  </w:footnote>
  <w:footnote w:id="120">
    <w:p w14:paraId="29A12768" w14:textId="77777777" w:rsidR="007E0724" w:rsidRDefault="00C4775C">
      <w:pPr>
        <w:pStyle w:val="AnnexTableGrNotes"/>
        <w:spacing w:line="200" w:lineRule="exact"/>
        <w:ind w:left="360" w:hanging="360"/>
        <w:rPr>
          <w:rFonts w:cs="Times New Roman"/>
          <w:szCs w:val="16"/>
        </w:rPr>
      </w:pPr>
      <w:r>
        <w:t>(</w:t>
      </w:r>
      <w:r>
        <w:rPr>
          <w:rStyle w:val="Tilvsunneanmlsgrein"/>
          <w:rFonts w:cs="Times New Roman"/>
          <w:szCs w:val="16"/>
        </w:rPr>
        <w:footnoteRef/>
      </w:r>
      <w:r>
        <w:t>)</w:t>
      </w:r>
      <w:r>
        <w:tab/>
        <w:t xml:space="preserve">Sameinað í ein viðmiðunarmörk sem leiða til summu beinnar og óbeinnar losunar, reiknuð út sem meðalgildi efstu 10% af stöðvunum á grundvelli gagna sem safnað var í tengslum við setningu viðmiðunarmarka í iðnaði fyrir viðskiptakerfi ESB með losunarheimildir fyrir tímabilið 2021–2026 og reiknuð út í samræmi við aðferðina til að fastsetja viðmiðunarmörkin sem sett er fram í tilskipun 2003/87/EB, að viðbættri viðmiðuninni um verulegt framlag til </w:t>
      </w:r>
      <w:proofErr w:type="spellStart"/>
      <w:r>
        <w:t>mildunar</w:t>
      </w:r>
      <w:proofErr w:type="spellEnd"/>
      <w:r>
        <w:t xml:space="preserve"> loftslagsbreytinga fyrir raforkuframleiðslu (100 g CO</w:t>
      </w:r>
      <w:r>
        <w:rPr>
          <w:vertAlign w:val="subscript"/>
        </w:rPr>
        <w:t>2</w:t>
      </w:r>
      <w:r>
        <w:t xml:space="preserve">e/kWh), margfaldað með </w:t>
      </w:r>
      <w:proofErr w:type="spellStart"/>
      <w:r>
        <w:t>meðalorkunýtni</w:t>
      </w:r>
      <w:proofErr w:type="spellEnd"/>
      <w:r>
        <w:t xml:space="preserve"> við álframleiðslu (15,5 </w:t>
      </w:r>
      <w:proofErr w:type="spellStart"/>
      <w:r>
        <w:t>MWh</w:t>
      </w:r>
      <w:proofErr w:type="spellEnd"/>
      <w:r>
        <w:t>/t Al).</w:t>
      </w:r>
    </w:p>
  </w:footnote>
  <w:footnote w:id="121">
    <w:p w14:paraId="2671803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22">
    <w:p w14:paraId="6B51C4F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23">
    <w:p w14:paraId="3AFDBD3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Ál sem er framleitt er óunnið, óblendið, fljótandi ál úr </w:t>
      </w:r>
      <w:proofErr w:type="spellStart"/>
      <w:r>
        <w:t>rafgreiningu</w:t>
      </w:r>
      <w:proofErr w:type="spellEnd"/>
      <w:r>
        <w:t>.</w:t>
      </w:r>
    </w:p>
  </w:footnote>
  <w:footnote w:id="124">
    <w:p w14:paraId="3350316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Óbein losun gróðurhúsalofttegunda er sú losun gróðurhúsalofttegunda á vistferlinum sem verður til við framleiðslu á raforku sem er notuð til að framleiða hráál.</w:t>
      </w:r>
    </w:p>
  </w:footnote>
  <w:footnote w:id="125">
    <w:p w14:paraId="2684417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2016/1032 frá 13. júní 2016 um að fastsetja niðurstöður um bestu, fáanlegu tækni (BAT), samkvæmt tilskipun Evrópuþingsins og ráðsins 2010/75/ESB, vegna iðnaðar með járnlausan málm (</w:t>
      </w:r>
      <w:proofErr w:type="spellStart"/>
      <w:r>
        <w:t>Stjtíð</w:t>
      </w:r>
      <w:proofErr w:type="spellEnd"/>
      <w:r>
        <w:t>. ESB L 174, 30.6.2016, bls. 32).</w:t>
      </w:r>
    </w:p>
  </w:footnote>
  <w:footnote w:id="126">
    <w:p w14:paraId="3AD1490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27">
    <w:p w14:paraId="09EB6B9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28">
    <w:p w14:paraId="278BFFE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29">
    <w:p w14:paraId="40E4747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30">
    <w:p w14:paraId="1755D52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31">
    <w:p w14:paraId="52DDEDD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32">
    <w:p w14:paraId="26F91F7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33">
    <w:p w14:paraId="3E38654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2012/135/ESB frá 28. febrúar 2012 um að fastsetja niðurstöður um bestu, fáanlegu tækni (BAT), samkvæmt tilskipun Evrópuþingsins og ráðsins 2010/75/ESB um losun í iðnaði, vegna framleiðslu á járni og stáli (</w:t>
      </w:r>
      <w:proofErr w:type="spellStart"/>
      <w:r>
        <w:t>Stjtíð</w:t>
      </w:r>
      <w:proofErr w:type="spellEnd"/>
      <w:r>
        <w:t>. ESB L 70, 8.3.2012, bls. 63).</w:t>
      </w:r>
    </w:p>
  </w:footnote>
  <w:footnote w:id="134">
    <w:p w14:paraId="1492413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35">
    <w:p w14:paraId="49DCAE7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36">
    <w:p w14:paraId="321D58F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frá 9. desember 2013 um að fastsetja niðurstöður um bestu, fáanlegu tækni (BAT), samkvæmt tilskipun Evrópuþingsins og ráðsins 2010/75/ESB um losun í iðnaði, vegna </w:t>
      </w:r>
      <w:proofErr w:type="spellStart"/>
      <w:r>
        <w:t>klóralkalíframleiðslu</w:t>
      </w:r>
      <w:proofErr w:type="spellEnd"/>
      <w:r>
        <w:t xml:space="preserve"> (</w:t>
      </w:r>
      <w:proofErr w:type="spellStart"/>
      <w:r>
        <w:t>Stjtíð</w:t>
      </w:r>
      <w:proofErr w:type="spellEnd"/>
      <w:r>
        <w:t>. ESB L 332, 11.12.2013, bls. 34).</w:t>
      </w:r>
    </w:p>
  </w:footnote>
  <w:footnote w:id="137">
    <w:p w14:paraId="2AEA670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(ESB) 2016/902 frá 30. maí 2016 um að fastsetja niðurstöður um bestu, fáanlegu tækni (BAT), samkvæmt tilskipun Evrópuþingsins og ráðsins 2010/75/ESB,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proofErr w:type="spellStart"/>
      <w:r>
        <w:t>Stjtíð</w:t>
      </w:r>
      <w:proofErr w:type="spellEnd"/>
      <w:r>
        <w:t>. ESB L 152, 9.6.2016, bls. 23).</w:t>
      </w:r>
    </w:p>
  </w:footnote>
  <w:footnote w:id="138">
    <w:p w14:paraId="7D80327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2014/738/ESB frá 9. október 2014 um að fastsetja niðurstöður um bestu, fáanlegu tækni (BAT), samkvæmt tilskipun Evrópuþingsins og ráðsins 2010/75/ESB um losun í iðnaði, vegna hreinsunar á jarðolíu og gasi (</w:t>
      </w:r>
      <w:proofErr w:type="spellStart"/>
      <w:r>
        <w:t>Stjtíð</w:t>
      </w:r>
      <w:proofErr w:type="spellEnd"/>
      <w:r>
        <w:t>. ESB L 307, 28.10.2014, bls. 38).</w:t>
      </w:r>
    </w:p>
  </w:footnote>
  <w:footnote w:id="139">
    <w:p w14:paraId="3A1CE9C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40">
    <w:p w14:paraId="02415C8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41">
    <w:p w14:paraId="2087435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mikið magn af ólífrænum </w:t>
      </w:r>
      <w:proofErr w:type="spellStart"/>
      <w:r>
        <w:t>íðefnum</w:t>
      </w:r>
      <w:proofErr w:type="spellEnd"/>
      <w:r>
        <w:t xml:space="preserve"> – föst efni og önnur efni, (útgáfa frá 4.6.2021: https://eippcb.jrc.ec.europa.eu/sites/default/files/2019-11/lvic-s_bref_0907.pdf).</w:t>
      </w:r>
    </w:p>
  </w:footnote>
  <w:footnote w:id="142">
    <w:p w14:paraId="003039F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143">
    <w:p w14:paraId="552C171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44">
    <w:p w14:paraId="177E91D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45">
    <w:p w14:paraId="6DADCE1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mikið magn af ólífrænum </w:t>
      </w:r>
      <w:proofErr w:type="spellStart"/>
      <w:r>
        <w:t>íðefnum</w:t>
      </w:r>
      <w:proofErr w:type="spellEnd"/>
      <w:r>
        <w:t xml:space="preserve"> – föst efni og önnur efni (útgáfa frá 4.6.2021: https://eippcb.jrc.ec.europa.eu/sites/default/files/2019-11/lvic-s_bref_0907.pdf).</w:t>
      </w:r>
    </w:p>
  </w:footnote>
  <w:footnote w:id="146">
    <w:p w14:paraId="3FC7C17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147">
    <w:p w14:paraId="6D55B0CB"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48">
    <w:p w14:paraId="0B6C4F4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49">
    <w:p w14:paraId="552A80F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2013/732/ESB.</w:t>
      </w:r>
    </w:p>
  </w:footnote>
  <w:footnote w:id="150">
    <w:p w14:paraId="5AA1FDE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151">
    <w:p w14:paraId="1395C0D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52">
    <w:p w14:paraId="7314982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53">
    <w:p w14:paraId="781D0C8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54">
    <w:p w14:paraId="0D761EC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55">
    <w:p w14:paraId="0786ED9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56">
    <w:p w14:paraId="5E55900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57">
    <w:p w14:paraId="13830BA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58">
    <w:p w14:paraId="2563A8F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59">
    <w:p w14:paraId="7B56D42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60">
    <w:p w14:paraId="4D1547F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(ESB) 2017/2117 frá 21. nóvember 2017 um að fastsetja niðurstöður um bestu, fáanlegu tækni (BAT), samkvæmt tilskipun Evrópuþingsins og ráðsins 2010/75/ESB, vegna framleiðslu á lífrænum </w:t>
      </w:r>
      <w:proofErr w:type="spellStart"/>
      <w:r>
        <w:t>íðefnum</w:t>
      </w:r>
      <w:proofErr w:type="spellEnd"/>
      <w:r>
        <w:t xml:space="preserve"> í miklu magni (</w:t>
      </w:r>
      <w:proofErr w:type="spellStart"/>
      <w:r>
        <w:t>Stjtíð</w:t>
      </w:r>
      <w:proofErr w:type="spellEnd"/>
      <w:r>
        <w:t>. ESB L 323, 7.12.2017, bls. 1).</w:t>
      </w:r>
    </w:p>
  </w:footnote>
  <w:footnote w:id="161">
    <w:p w14:paraId="44759A8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162">
    <w:p w14:paraId="6EB60CC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(útgáfa frá 4.6.2021: https://eippcb.jrc.ec.europa.eu/sites/default/files/2019-11/lvic-s_bref_0907.pdf).</w:t>
      </w:r>
    </w:p>
  </w:footnote>
  <w:footnote w:id="163">
    <w:p w14:paraId="5915F38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164">
    <w:p w14:paraId="3A2D7BC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Reiknað út í samræmi við reglugerð (ESB) 2019/331.</w:t>
      </w:r>
    </w:p>
  </w:footnote>
  <w:footnote w:id="165">
    <w:p w14:paraId="7DF18DE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166">
    <w:p w14:paraId="36DDBB3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(útgáfa frá 4.6.2021: https://eippcb.jrc.ec.europa.eu/sites/default/files/2019-11/lvic-s_bref_0907.pdf).</w:t>
      </w:r>
    </w:p>
  </w:footnote>
  <w:footnote w:id="167">
    <w:p w14:paraId="7365421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168">
    <w:p w14:paraId="0EA657C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69">
    <w:p w14:paraId="1E8185D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70">
    <w:p w14:paraId="69F782A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Endurnýjanlegt hráefni á við um lífmassa, lífúrgang frá iðnaði eða lífúrgang frá sveitarfélögum.</w:t>
      </w:r>
    </w:p>
  </w:footnote>
  <w:footnote w:id="171">
    <w:p w14:paraId="575D52A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Tilvísunarskjal um bestu aðgengilegu tækni fyrir framleiðslu á fjölliðum (útgáfa frá 4.6.2021: https://eippcb.jrc.ec. europa.eu/</w:t>
      </w:r>
      <w:proofErr w:type="spellStart"/>
      <w:r>
        <w:t>sites</w:t>
      </w:r>
      <w:proofErr w:type="spellEnd"/>
      <w:r>
        <w:t>/</w:t>
      </w:r>
      <w:proofErr w:type="spellStart"/>
      <w:r>
        <w:t>default</w:t>
      </w:r>
      <w:proofErr w:type="spellEnd"/>
      <w:r>
        <w:t>/files/2019-11/pol_bref_0807.pdf).</w:t>
      </w:r>
    </w:p>
  </w:footnote>
  <w:footnote w:id="172">
    <w:p w14:paraId="3238E42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(ESB) 2016/902 frá 30. maí 2016 um að fastsetja niðurstöður um bestu, fáanlegu tækni (BAT), samkvæmt tilskipun Evrópuþingsins og ráðsins 2010/75/ESB, varðandi sameiginlega hreinsun á </w:t>
      </w:r>
      <w:proofErr w:type="spellStart"/>
      <w:r>
        <w:t>skólpi</w:t>
      </w:r>
      <w:proofErr w:type="spellEnd"/>
      <w:r>
        <w:t xml:space="preserve"> og úrgangslofti og stjórnunarkerfi í </w:t>
      </w:r>
      <w:proofErr w:type="spellStart"/>
      <w:r>
        <w:t>íðefnageiranum</w:t>
      </w:r>
      <w:proofErr w:type="spellEnd"/>
      <w:r>
        <w:t xml:space="preserve"> (</w:t>
      </w:r>
      <w:proofErr w:type="spellStart"/>
      <w:r>
        <w:t>Stjtíð</w:t>
      </w:r>
      <w:proofErr w:type="spellEnd"/>
      <w:r>
        <w:t>. ESB L 152, 9.6.2016, bls. 23).</w:t>
      </w:r>
    </w:p>
  </w:footnote>
  <w:footnote w:id="173">
    <w:p w14:paraId="4B948B7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2008/56/EB frá 17. júní 2008 um ramma um aðgerðir Bandalagsins varðandi stefnu í sjávarumhverfismálum (haftilskipunin) (</w:t>
      </w:r>
      <w:proofErr w:type="spellStart"/>
      <w:r>
        <w:t>Stjtíð</w:t>
      </w:r>
      <w:proofErr w:type="spellEnd"/>
      <w:r>
        <w:t>. ESB L 164, 25.6.2008, bls. 19).</w:t>
      </w:r>
    </w:p>
  </w:footnote>
  <w:footnote w:id="174">
    <w:p w14:paraId="1CB67CD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Ákvörðun framkvæmdastjórnarinnar (ESB) 2017/848 frá 17. maí 2017 um viðmiðanir og aðferðafræðilega staðla um góða umhverfislega stöðu hafsvæða og forskriftir og staðlaðar aðferðir fyrir eftirlit og mat og um niðurfellingu á ákvörðun 2010/477/ESB (</w:t>
      </w:r>
      <w:proofErr w:type="spellStart"/>
      <w:r>
        <w:t>Stjtíð</w:t>
      </w:r>
      <w:proofErr w:type="spellEnd"/>
      <w:r>
        <w:t>. ESB L 125, 18.5.2017, bls. 43).</w:t>
      </w:r>
    </w:p>
  </w:footnote>
  <w:footnote w:id="175">
    <w:p w14:paraId="1FE10C12"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Hagnýtar leiðbeiningar um framkvæmd þessara viðmiðana er að finna í tilkynningu framkvæmdastjórnar Evrópusambandsins C (2020) 7730 lokaútgáfu „</w:t>
      </w:r>
      <w:proofErr w:type="spellStart"/>
      <w:r>
        <w:t>Leiðbeiningarskjal</w:t>
      </w:r>
      <w:proofErr w:type="spellEnd"/>
      <w:r>
        <w:t xml:space="preserve"> um þróun vindorku og náttúrulöggjöf ESB“, (útgáfa frá 4.6.2021: https://ec.europa.eu/environment/nature/natura2000/management/docs/wind_farms_en.pdf).</w:t>
      </w:r>
    </w:p>
  </w:footnote>
  <w:footnote w:id="176">
    <w:p w14:paraId="1798C39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Reglugerð Evrópuþingsins og ráðsins (ESB) nr. 528/2012 frá 22. maí 2012 um að bjóða </w:t>
      </w:r>
      <w:proofErr w:type="spellStart"/>
      <w:r>
        <w:t>sæfivörur</w:t>
      </w:r>
      <w:proofErr w:type="spellEnd"/>
      <w:r>
        <w:t xml:space="preserve"> fram á markaði og um notkun þeirra (</w:t>
      </w:r>
      <w:proofErr w:type="spellStart"/>
      <w:r>
        <w:t>Stjtíð</w:t>
      </w:r>
      <w:proofErr w:type="spellEnd"/>
      <w:r>
        <w:t>. ESB L 167, 27.6.2012, bls. 1).</w:t>
      </w:r>
    </w:p>
  </w:footnote>
  <w:footnote w:id="177">
    <w:p w14:paraId="5A94426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78">
    <w:p w14:paraId="04C485B9"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79">
    <w:p w14:paraId="024AB9F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Verkfæri sem er aðgengilegt öllum á Netinu sem Alþjóða vatnsaflssamtökin þróuðu í samstarfi við formann Menningarmálastofnunar Sameinuðu þjóðanna (UNESCO) fyrir hnattrænar umhverfisbreytingar (útgáfa frá 4.6.2021: https://www.hydropower.org/gres).</w:t>
      </w:r>
    </w:p>
  </w:footnote>
  <w:footnote w:id="180">
    <w:p w14:paraId="07CBFAB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Hagnýtar leiðbeiningar er að finna í tilkynningu framkvæmdastjórnarinnar C/2018/2619 „</w:t>
      </w:r>
      <w:proofErr w:type="spellStart"/>
      <w:r>
        <w:t>Leiðbeiningarskjal</w:t>
      </w:r>
      <w:proofErr w:type="spellEnd"/>
      <w:r>
        <w:t xml:space="preserve"> um kröfur fyrir vatnsorku í tengslum við náttúrulöggjöf ESB“ (</w:t>
      </w:r>
      <w:proofErr w:type="spellStart"/>
      <w:r>
        <w:t>Stjtíð</w:t>
      </w:r>
      <w:proofErr w:type="spellEnd"/>
      <w:r>
        <w:t>. ESB C 213, 18.6.2018, bls. 1).</w:t>
      </w:r>
    </w:p>
  </w:footnote>
  <w:footnote w:id="181">
    <w:p w14:paraId="375DFFB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Tilskipun Evrópuþingsins og ráðsins 2004/107/EB frá 15. desember 2004 um </w:t>
      </w:r>
      <w:proofErr w:type="spellStart"/>
      <w:r>
        <w:t>arsen</w:t>
      </w:r>
      <w:proofErr w:type="spellEnd"/>
      <w:r>
        <w:t xml:space="preserve">, </w:t>
      </w:r>
      <w:proofErr w:type="spellStart"/>
      <w:r>
        <w:t>kadmíum</w:t>
      </w:r>
      <w:proofErr w:type="spellEnd"/>
      <w:r>
        <w:t xml:space="preserve">, kvikasilfur, </w:t>
      </w:r>
      <w:proofErr w:type="spellStart"/>
      <w:r>
        <w:t>nikkel</w:t>
      </w:r>
      <w:proofErr w:type="spellEnd"/>
      <w:r>
        <w:t xml:space="preserve"> og fjölhringa, </w:t>
      </w:r>
      <w:proofErr w:type="spellStart"/>
      <w:r>
        <w:t>arómatísk</w:t>
      </w:r>
      <w:proofErr w:type="spellEnd"/>
      <w:r>
        <w:t xml:space="preserve"> vetniskolefni í andrúmslofti (</w:t>
      </w:r>
      <w:proofErr w:type="spellStart"/>
      <w:r>
        <w:t>Stjtíð</w:t>
      </w:r>
      <w:proofErr w:type="spellEnd"/>
      <w:r>
        <w:t>. ESB L 23, 26.1.2005, bls. 3).</w:t>
      </w:r>
    </w:p>
  </w:footnote>
  <w:footnote w:id="182">
    <w:p w14:paraId="2C2914E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2008/50/EB frá 21. maí 2008 um gæði andrúmslofts og hreinna loft í Evrópu (</w:t>
      </w:r>
      <w:proofErr w:type="spellStart"/>
      <w:r>
        <w:t>Stjtíð</w:t>
      </w:r>
      <w:proofErr w:type="spellEnd"/>
      <w:r>
        <w:t>. ESB L 152, 11.6.2008, bls. 1).</w:t>
      </w:r>
    </w:p>
  </w:footnote>
  <w:footnote w:id="183">
    <w:p w14:paraId="3F129F6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184">
    <w:p w14:paraId="487A1DF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185">
    <w:p w14:paraId="0FDB7321"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2017/1442 frá 31. júlí 2017 um að fastsetja niðurstöður um bestu, fáanlegu tækni (BAT), samkvæmt tilskipun Evrópuþingsins og ráðsins 2010/75/ESB, vegna stórra brennsluvera (</w:t>
      </w:r>
      <w:proofErr w:type="spellStart"/>
      <w:r>
        <w:t>Stjtíð</w:t>
      </w:r>
      <w:proofErr w:type="spellEnd"/>
      <w:r>
        <w:t>. ESB L 212, 17.8.2017, bls. 1).</w:t>
      </w:r>
    </w:p>
  </w:footnote>
  <w:footnote w:id="186">
    <w:p w14:paraId="70DC84E3"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2015/2193 frá 25. nóvember 2015 um takmörkun á losun tiltekinna mengunarefna frá meðalstórum brennsluverum út í andrúmsloftið (</w:t>
      </w:r>
      <w:proofErr w:type="spellStart"/>
      <w:r>
        <w:t>Stjtíð</w:t>
      </w:r>
      <w:proofErr w:type="spellEnd"/>
      <w:r>
        <w:t xml:space="preserve"> ESB L 313, 28.11.2015, bls. 1).</w:t>
      </w:r>
    </w:p>
  </w:footnote>
  <w:footnote w:id="187">
    <w:p w14:paraId="56E2F8BE"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188">
    <w:p w14:paraId="5C6D69A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Tilskipun Evrópuþingsins og ráðsins 2012/27/ESB frá 25. október 2012 um </w:t>
      </w:r>
      <w:proofErr w:type="spellStart"/>
      <w:r>
        <w:t>orkunýtni</w:t>
      </w:r>
      <w:proofErr w:type="spellEnd"/>
      <w:r>
        <w:t>, breytingu á tilskipunum 2009/125/EB og 2010/30/ESB og um niðurfellingu á tilskipunum 2004/8/EB og 2006/32/EB (</w:t>
      </w:r>
      <w:proofErr w:type="spellStart"/>
      <w:r>
        <w:t>Stjtíð</w:t>
      </w:r>
      <w:proofErr w:type="spellEnd"/>
      <w:r>
        <w:t>. ESB L 315, 14.11.2012, bls. 1).</w:t>
      </w:r>
    </w:p>
  </w:footnote>
  <w:footnote w:id="189">
    <w:p w14:paraId="6C7B7406"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2010/75/ESB frá 24. nóvember 2010 um losun í iðnaði (</w:t>
      </w:r>
      <w:proofErr w:type="spellStart"/>
      <w:r>
        <w:t>samþættar</w:t>
      </w:r>
      <w:proofErr w:type="spellEnd"/>
      <w:r>
        <w:t xml:space="preserve"> mengunarvarnir og eftirlit með mengun ) (</w:t>
      </w:r>
      <w:proofErr w:type="spellStart"/>
      <w:r>
        <w:t>Stjtíð</w:t>
      </w:r>
      <w:proofErr w:type="spellEnd"/>
      <w:r>
        <w:t>. ESB L 334, 17.12.2010, bls. 17).</w:t>
      </w:r>
    </w:p>
  </w:footnote>
  <w:footnote w:id="190">
    <w:p w14:paraId="571EFF24"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191">
    <w:p w14:paraId="5B2EF6BF"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Lokatækniskýrslan, sem verður til við upplýsingaskipti við aðildarríki, hlutaðeigandi iðnað og frjáls félagasamtök, inniheldur tæknilegar upplýsingar um bestu aðgengilegu tækni sem er notuð í miðlungsstórum brennsluverum til að draga úr umhverfisáhrifum þeirra og um losunarstig sem hægt er að ná með bestu aðgengilegu tækni og nýtilkominni tækni og tengdan kostnað (útgáfa frá 4.6.2021: https://circabc.europa.eu/ui/group/06f33a94-9829-4eee-b187-21bb783a0fbf/library/9a99a632-9ba8-4cc0-9679-08d929afda59/details).</w:t>
      </w:r>
    </w:p>
  </w:footnote>
  <w:footnote w:id="192">
    <w:p w14:paraId="33BCE217"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2018/1147 frá 10. ágúst 2018 um að fastsetja niðurstöður um bestu, aðgengilegu tækni (BAT), samkvæmt tilskipun Evrópuþingsins og ráðsins 2010/75/ESB, vegna úrgangsmeðhöndlunar (</w:t>
      </w:r>
      <w:proofErr w:type="spellStart"/>
      <w:r>
        <w:t>Stjtíð</w:t>
      </w:r>
      <w:proofErr w:type="spellEnd"/>
      <w:r>
        <w:t>. ESB L 208, 17.8.2018, bls. 38).</w:t>
      </w:r>
    </w:p>
  </w:footnote>
  <w:footnote w:id="193">
    <w:p w14:paraId="703A6AFD"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Reglugerð framkvæmdastjórnarinnar (ESB) nr. 548/2014 frá 21. maí 2014 um framkvæmd tilskipunar Evrópuþingsins og ráðsins 2009/125/EB að því er varðar litla, meðalstóra og stóra aflspenna (</w:t>
      </w:r>
      <w:proofErr w:type="spellStart"/>
      <w:r>
        <w:t>Stjtíð</w:t>
      </w:r>
      <w:proofErr w:type="spellEnd"/>
      <w:r>
        <w:t>. ESB L 152, 22.5.2014, bls. 1).</w:t>
      </w:r>
    </w:p>
  </w:footnote>
  <w:footnote w:id="194">
    <w:p w14:paraId="0C27559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CEI EN 50588-1 </w:t>
      </w:r>
      <w:proofErr w:type="spellStart"/>
      <w:r>
        <w:t>Medium</w:t>
      </w:r>
      <w:proofErr w:type="spellEnd"/>
      <w:r>
        <w:t xml:space="preserve"> </w:t>
      </w:r>
      <w:proofErr w:type="spellStart"/>
      <w:r>
        <w:t>power</w:t>
      </w:r>
      <w:proofErr w:type="spellEnd"/>
      <w:r>
        <w:t xml:space="preserve"> </w:t>
      </w:r>
      <w:proofErr w:type="spellStart"/>
      <w:r>
        <w:t>transformers</w:t>
      </w:r>
      <w:proofErr w:type="spellEnd"/>
      <w:r>
        <w:t xml:space="preserve"> 50 </w:t>
      </w:r>
      <w:proofErr w:type="spellStart"/>
      <w:r>
        <w:t>Hz</w:t>
      </w:r>
      <w:proofErr w:type="spellEnd"/>
      <w:r>
        <w:t xml:space="preserve">, with </w:t>
      </w:r>
      <w:proofErr w:type="spellStart"/>
      <w:r>
        <w:t>highest</w:t>
      </w:r>
      <w:proofErr w:type="spellEnd"/>
      <w:r>
        <w:t xml:space="preserve"> </w:t>
      </w:r>
      <w:proofErr w:type="spellStart"/>
      <w:r>
        <w:t>voltage</w:t>
      </w:r>
      <w:proofErr w:type="spellEnd"/>
      <w:r>
        <w:t xml:space="preserve"> for </w:t>
      </w:r>
      <w:proofErr w:type="spellStart"/>
      <w:r>
        <w:t>equipment</w:t>
      </w:r>
      <w:proofErr w:type="spellEnd"/>
      <w:r>
        <w:t xml:space="preserve"> not </w:t>
      </w:r>
      <w:proofErr w:type="spellStart"/>
      <w:r>
        <w:t>exceeding</w:t>
      </w:r>
      <w:proofErr w:type="spellEnd"/>
      <w:r>
        <w:t xml:space="preserve"> 36 </w:t>
      </w:r>
      <w:proofErr w:type="spellStart"/>
      <w:r>
        <w:t>kV.</w:t>
      </w:r>
      <w:proofErr w:type="spellEnd"/>
    </w:p>
  </w:footnote>
  <w:footnote w:id="195">
    <w:p w14:paraId="5C0A2D48"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2019/944 frá 5. júní 2019 um sameiginlegar reglur um innri markaðinn fyrir raforku og um breytingu á tilskipun 2012/27/ESB (</w:t>
      </w:r>
      <w:proofErr w:type="spellStart"/>
      <w:r>
        <w:t>Stjtíð</w:t>
      </w:r>
      <w:proofErr w:type="spellEnd"/>
      <w:r>
        <w:t>. ESB L 158, 14.6.2019, bls. 125).</w:t>
      </w:r>
    </w:p>
  </w:footnote>
  <w:footnote w:id="196">
    <w:p w14:paraId="0D78174C"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w:t>
      </w:r>
      <w:proofErr w:type="spellStart"/>
      <w:r>
        <w:t>Environmental</w:t>
      </w:r>
      <w:proofErr w:type="spellEnd"/>
      <w:r>
        <w:t xml:space="preserve">, Health, </w:t>
      </w:r>
      <w:proofErr w:type="spellStart"/>
      <w:r>
        <w:t>and</w:t>
      </w:r>
      <w:proofErr w:type="spellEnd"/>
      <w:r>
        <w:t xml:space="preserve"> Safety (EHS) </w:t>
      </w:r>
      <w:proofErr w:type="spellStart"/>
      <w:r>
        <w:t>Guidelines</w:t>
      </w:r>
      <w:proofErr w:type="spellEnd"/>
      <w:r>
        <w:t>“ frá 30. apríl 2007 (útgáfa frá 4.6.2021: https://www.ifc.org/wps/wcm/connect/29f5137d-6e17-4660-b1f9-02bf561935e5/Final%2B-%2BGeneral%2BEHS%2BGuidelines.pdf?MOD=AJPERES&amp;CVID=jOWim3p).</w:t>
      </w:r>
    </w:p>
  </w:footnote>
  <w:footnote w:id="197">
    <w:p w14:paraId="532286EA"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 xml:space="preserve">Tilmæli ráðsins frá 12. júlí 1999 um takmörkun á </w:t>
      </w:r>
      <w:proofErr w:type="spellStart"/>
      <w:r>
        <w:t>váhrifum</w:t>
      </w:r>
      <w:proofErr w:type="spellEnd"/>
      <w:r>
        <w:t xml:space="preserve"> sem almenningur verður fyrir af völdum </w:t>
      </w:r>
      <w:proofErr w:type="spellStart"/>
      <w:r>
        <w:t>rafsegulsviðs</w:t>
      </w:r>
      <w:proofErr w:type="spellEnd"/>
      <w:r>
        <w:t xml:space="preserve"> (0 </w:t>
      </w:r>
      <w:proofErr w:type="spellStart"/>
      <w:r>
        <w:t>Hz</w:t>
      </w:r>
      <w:proofErr w:type="spellEnd"/>
      <w:r>
        <w:t xml:space="preserve"> til 300 GHZ) (1999/519/EB) (</w:t>
      </w:r>
      <w:proofErr w:type="spellStart"/>
      <w:r>
        <w:t>Stjtíð</w:t>
      </w:r>
      <w:proofErr w:type="spellEnd"/>
      <w:r>
        <w:t>. EB L 199, 30.7.1999, bls. 59).</w:t>
      </w:r>
    </w:p>
  </w:footnote>
  <w:footnote w:id="198">
    <w:p w14:paraId="6E9EA3B5"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ICNIRP 1998 „</w:t>
      </w:r>
      <w:proofErr w:type="spellStart"/>
      <w:r>
        <w:t>Guidelines</w:t>
      </w:r>
      <w:proofErr w:type="spellEnd"/>
      <w:r>
        <w:t xml:space="preserve"> for </w:t>
      </w:r>
      <w:proofErr w:type="spellStart"/>
      <w:r>
        <w:t>limiting</w:t>
      </w:r>
      <w:proofErr w:type="spellEnd"/>
      <w:r>
        <w:t xml:space="preserve"> </w:t>
      </w:r>
      <w:proofErr w:type="spellStart"/>
      <w:r>
        <w:t>exposure</w:t>
      </w:r>
      <w:proofErr w:type="spellEnd"/>
      <w:r>
        <w:t xml:space="preserve"> </w:t>
      </w:r>
      <w:proofErr w:type="spellStart"/>
      <w:r>
        <w:t>to</w:t>
      </w:r>
      <w:proofErr w:type="spellEnd"/>
      <w:r>
        <w:t xml:space="preserve"> </w:t>
      </w:r>
      <w:proofErr w:type="spellStart"/>
      <w:r>
        <w:t>time-varying</w:t>
      </w:r>
      <w:proofErr w:type="spellEnd"/>
      <w:r>
        <w:t xml:space="preserve"> </w:t>
      </w:r>
      <w:proofErr w:type="spellStart"/>
      <w:r>
        <w:t>electric</w:t>
      </w:r>
      <w:proofErr w:type="spellEnd"/>
      <w:r>
        <w:t xml:space="preserve">, </w:t>
      </w:r>
      <w:proofErr w:type="spellStart"/>
      <w:r>
        <w:t>magnetic</w:t>
      </w:r>
      <w:proofErr w:type="spellEnd"/>
      <w:r>
        <w:t xml:space="preserve"> </w:t>
      </w:r>
      <w:proofErr w:type="spellStart"/>
      <w:r>
        <w:t>and</w:t>
      </w:r>
      <w:proofErr w:type="spellEnd"/>
      <w:r>
        <w:t xml:space="preserve"> </w:t>
      </w:r>
      <w:proofErr w:type="spellStart"/>
      <w:r>
        <w:t>electromagnetic</w:t>
      </w:r>
      <w:proofErr w:type="spellEnd"/>
      <w:r>
        <w:t xml:space="preserve"> </w:t>
      </w:r>
      <w:proofErr w:type="spellStart"/>
      <w:r>
        <w:t>fields</w:t>
      </w:r>
      <w:proofErr w:type="spellEnd"/>
      <w:r>
        <w:t xml:space="preserve"> (</w:t>
      </w:r>
      <w:proofErr w:type="spellStart"/>
      <w:r>
        <w:t>up</w:t>
      </w:r>
      <w:proofErr w:type="spellEnd"/>
      <w:r>
        <w:t xml:space="preserve"> </w:t>
      </w:r>
      <w:proofErr w:type="spellStart"/>
      <w:r>
        <w:t>to</w:t>
      </w:r>
      <w:proofErr w:type="spellEnd"/>
      <w:r>
        <w:t xml:space="preserve"> 300 </w:t>
      </w:r>
      <w:proofErr w:type="spellStart"/>
      <w:r>
        <w:t>ghz</w:t>
      </w:r>
      <w:proofErr w:type="spellEnd"/>
      <w:r>
        <w:t>)“ (útgáfa frá 4.6.2021: https://www.icnirp.org/cms/upload/publications/ICNIRPemfgdl.pdf).</w:t>
      </w:r>
    </w:p>
  </w:footnote>
  <w:footnote w:id="199">
    <w:p w14:paraId="56FB5BC0" w14:textId="77777777" w:rsidR="007E0724" w:rsidRDefault="00C4775C">
      <w:pPr>
        <w:pStyle w:val="Textineanmlsgreinar"/>
        <w:ind w:left="360" w:hanging="360"/>
        <w:rPr>
          <w:rFonts w:cs="Times New Roman"/>
          <w:szCs w:val="16"/>
        </w:rPr>
      </w:pPr>
      <w:r>
        <w:t>(</w:t>
      </w:r>
      <w:r>
        <w:rPr>
          <w:rStyle w:val="Tilvsunneanmlsgrein"/>
          <w:rFonts w:cs="Times New Roman"/>
          <w:szCs w:val="16"/>
        </w:rPr>
        <w:footnoteRef/>
      </w:r>
      <w:r>
        <w:t>)</w:t>
      </w:r>
      <w:r>
        <w:tab/>
        <w:t>Hagnýtar leiðbeiningar um framkvæmd þessara viðmiðana er að finna í tilkynningu framkvæmdastjórnar Evrópusambandsins C (2018) 2620 „Orkuflutningsgrunnvirki og náttúrulöggjöf ESB“ (</w:t>
      </w:r>
      <w:proofErr w:type="spellStart"/>
      <w:r>
        <w:t>Stjtíð</w:t>
      </w:r>
      <w:proofErr w:type="spellEnd"/>
      <w:r>
        <w:t>. ESB C 213, 18.6.2018, bls. 62).</w:t>
      </w:r>
    </w:p>
  </w:footnote>
  <w:footnote w:id="200">
    <w:p w14:paraId="03F0EFA6"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2012/18/ESB frá 4. júlí 2012 um varnir gegn hættu á stórslysum af völdum hættulegra efna og um breytingu og niðurfellingu á tilskipun ráðsins 96/82/EB (</w:t>
      </w:r>
      <w:proofErr w:type="spellStart"/>
      <w:r>
        <w:t>Stjtíð</w:t>
      </w:r>
      <w:proofErr w:type="spellEnd"/>
      <w:r>
        <w:t>. ESB L 197, 24.7.2012, bls. 1).</w:t>
      </w:r>
    </w:p>
  </w:footnote>
  <w:footnote w:id="201">
    <w:p w14:paraId="4D26787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202">
    <w:p w14:paraId="57E839C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2009/125/EB frá 21. október 2009 um ramma til að setja fram kröfur varðandi visthönnun að því er varðar orkutengdar vörur (</w:t>
      </w:r>
      <w:proofErr w:type="spellStart"/>
      <w:r>
        <w:t>Stjtíð</w:t>
      </w:r>
      <w:proofErr w:type="spellEnd"/>
      <w:r>
        <w:t>. ESB L 285, 31.10.2009, bls. 10).</w:t>
      </w:r>
    </w:p>
  </w:footnote>
  <w:footnote w:id="203">
    <w:p w14:paraId="02FE861B" w14:textId="77777777" w:rsidR="00DB6835" w:rsidRDefault="00DB6835" w:rsidP="00DB6835">
      <w:pPr>
        <w:pStyle w:val="AnnexTableGrNotes"/>
        <w:spacing w:line="200" w:lineRule="exact"/>
        <w:ind w:left="360" w:hanging="360"/>
        <w:rPr>
          <w:rFonts w:cs="Times New Roman"/>
          <w:szCs w:val="16"/>
        </w:rPr>
      </w:pPr>
      <w:r>
        <w:t>(</w:t>
      </w:r>
      <w:r>
        <w:rPr>
          <w:rStyle w:val="Tilvsunneanmlsgrein"/>
          <w:rFonts w:cs="Times New Roman"/>
          <w:szCs w:val="16"/>
        </w:rPr>
        <w:footnoteRef/>
      </w:r>
      <w:r>
        <w:t>)</w:t>
      </w:r>
      <w:r>
        <w:tab/>
        <w:t xml:space="preserve">Reglugerð framkvæmdastjórnarinnar (ESB) nr. 206/2012 frá 6. mars 2012 um framkvæmd tilskipunar Evrópuþingsins og ráðsins 2009/125/EB að því er varðar kröfur varðandi visthönnun </w:t>
      </w:r>
      <w:proofErr w:type="spellStart"/>
      <w:r>
        <w:t>loftræstisamstæðna</w:t>
      </w:r>
      <w:proofErr w:type="spellEnd"/>
      <w:r>
        <w:t xml:space="preserve"> og </w:t>
      </w:r>
      <w:proofErr w:type="spellStart"/>
      <w:r>
        <w:t>viftna</w:t>
      </w:r>
      <w:proofErr w:type="spellEnd"/>
      <w:r>
        <w:t xml:space="preserve"> (</w:t>
      </w:r>
      <w:proofErr w:type="spellStart"/>
      <w:r>
        <w:t>Stjtíð</w:t>
      </w:r>
      <w:proofErr w:type="spellEnd"/>
      <w:r>
        <w:t xml:space="preserve">. ESB L 72, 10.3.2012, bls. 7), reglugerð framkvæmdastjórnarinnar (ESB) nr. 813/2013 frá 2. ágúst 2013 um framkvæmd tilskipunar Evrópuþingsins og ráðsins 2009/125/EB að því er varðar kröfur varðandi visthönnun </w:t>
      </w:r>
      <w:proofErr w:type="spellStart"/>
      <w:r>
        <w:t>hitara</w:t>
      </w:r>
      <w:proofErr w:type="spellEnd"/>
      <w:r>
        <w:t xml:space="preserve"> fyrir rými og </w:t>
      </w:r>
      <w:proofErr w:type="spellStart"/>
      <w:r>
        <w:t>sambyggðra</w:t>
      </w:r>
      <w:proofErr w:type="spellEnd"/>
      <w:r>
        <w:t xml:space="preserve"> </w:t>
      </w:r>
      <w:proofErr w:type="spellStart"/>
      <w:r>
        <w:t>hitara</w:t>
      </w:r>
      <w:proofErr w:type="spellEnd"/>
      <w:r>
        <w:t xml:space="preserve"> (</w:t>
      </w:r>
      <w:proofErr w:type="spellStart"/>
      <w:r>
        <w:t>Stjtíð</w:t>
      </w:r>
      <w:proofErr w:type="spellEnd"/>
      <w:r>
        <w:t xml:space="preserve">. ESB L 239, 6.9.2013, bls. 136) og reglugerð framkvæmdastjórnarinnar (ESB) 2016/2281 frá 30. nóvember 2016 um framkvæmd tilskipunar Evrópuþingsins og ráðsins 2009/125/EB um ramma til að setja fram kröfur varðandi visthönnun að því er varðar orkutengdar vörur með tilliti til krafna varðandi visthönnun á vörum til </w:t>
      </w:r>
      <w:proofErr w:type="spellStart"/>
      <w:r>
        <w:t>lofthitunar</w:t>
      </w:r>
      <w:proofErr w:type="spellEnd"/>
      <w:r>
        <w:t>, vörum til kælingar, vökvakælum fyrir vinnslukerfi með hátt úttakshitastig og hitaspírala (</w:t>
      </w:r>
      <w:proofErr w:type="spellStart"/>
      <w:r>
        <w:t>Stjtíð</w:t>
      </w:r>
      <w:proofErr w:type="spellEnd"/>
      <w:r>
        <w:t>. ESB L 346, 20.12.2016, bls. 1).</w:t>
      </w:r>
    </w:p>
  </w:footnote>
  <w:footnote w:id="204">
    <w:p w14:paraId="796B6D5B"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Reglugerð framkvæmdastjórnarinnar (ESB) nr. 206/2012 frá 6. mars 2012 um framkvæmd tilskipunar Evrópuþingsins og ráðsins 2009/125/EB að því er varðar kröfur varðandi visthönnun </w:t>
      </w:r>
      <w:proofErr w:type="spellStart"/>
      <w:r>
        <w:t>loftræstisamstæðna</w:t>
      </w:r>
      <w:proofErr w:type="spellEnd"/>
      <w:r>
        <w:t xml:space="preserve"> og </w:t>
      </w:r>
      <w:proofErr w:type="spellStart"/>
      <w:r>
        <w:t>viftna</w:t>
      </w:r>
      <w:proofErr w:type="spellEnd"/>
      <w:r>
        <w:t xml:space="preserve"> (</w:t>
      </w:r>
      <w:proofErr w:type="spellStart"/>
      <w:r>
        <w:t>Stjtíð</w:t>
      </w:r>
      <w:proofErr w:type="spellEnd"/>
      <w:r>
        <w:t>. ESB L 72, 10.3.2012, bls. 7).</w:t>
      </w:r>
    </w:p>
  </w:footnote>
  <w:footnote w:id="205">
    <w:p w14:paraId="294F3B1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Samþætt</w:t>
      </w:r>
      <w:proofErr w:type="spellEnd"/>
      <w:r>
        <w:t xml:space="preserve"> varma- og raforkuvinnsla er skilgreind í 30. lið 2. gr. tilskipunar 2012/27/ESB.</w:t>
      </w:r>
    </w:p>
  </w:footnote>
  <w:footnote w:id="206">
    <w:p w14:paraId="5F99C11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Samþætt</w:t>
      </w:r>
      <w:proofErr w:type="spellEnd"/>
      <w:r>
        <w:t xml:space="preserve"> varma- og raforkuvinnsla er skilgreind í 30. lið 2. gr. tilskipunar 2012/27/ESB.</w:t>
      </w:r>
    </w:p>
  </w:footnote>
  <w:footnote w:id="207">
    <w:p w14:paraId="28912E87" w14:textId="77777777" w:rsidR="00DB6835" w:rsidRDefault="00DB6835" w:rsidP="00DB6835">
      <w:pPr>
        <w:pStyle w:val="AnnexTableGrNotes"/>
        <w:spacing w:line="200" w:lineRule="exact"/>
        <w:ind w:left="360" w:hanging="360"/>
        <w:rPr>
          <w:rFonts w:cs="Times New Roman"/>
          <w:szCs w:val="16"/>
        </w:rPr>
      </w:pPr>
      <w:r>
        <w:t>(</w:t>
      </w:r>
      <w:r>
        <w:rPr>
          <w:rStyle w:val="Tilvsunneanmlsgrein"/>
          <w:rFonts w:cs="Times New Roman"/>
          <w:szCs w:val="16"/>
        </w:rPr>
        <w:footnoteRef/>
      </w:r>
      <w:r>
        <w:t>)</w:t>
      </w:r>
      <w:r>
        <w:tab/>
      </w:r>
      <w:proofErr w:type="spellStart"/>
      <w:r>
        <w:t>Samþætt</w:t>
      </w:r>
      <w:proofErr w:type="spellEnd"/>
      <w:r>
        <w:t xml:space="preserve"> varma- og raforkuvinnsla er skilgreind í 30. lið 2. gr. tilskipunar 2012/27/ESB.</w:t>
      </w:r>
    </w:p>
  </w:footnote>
  <w:footnote w:id="208">
    <w:p w14:paraId="64B2BA1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209">
    <w:p w14:paraId="379A2EB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210">
    <w:p w14:paraId="31000AD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211">
    <w:p w14:paraId="69AB9498" w14:textId="77777777" w:rsidR="00DB6835" w:rsidRDefault="00DB6835" w:rsidP="00DB6835">
      <w:pPr>
        <w:pStyle w:val="Textineanmlsgreinar"/>
        <w:ind w:left="360" w:hanging="360"/>
        <w:rPr>
          <w:rFonts w:cs="Times New Roman"/>
          <w:b/>
          <w:szCs w:val="16"/>
        </w:rPr>
      </w:pPr>
      <w:r>
        <w:t>(</w:t>
      </w:r>
      <w:r>
        <w:rPr>
          <w:rStyle w:val="Tilvsunneanmlsgrein"/>
          <w:rFonts w:cs="Times New Roman"/>
          <w:szCs w:val="16"/>
        </w:rPr>
        <w:footnoteRef/>
      </w:r>
      <w:r>
        <w:t>)</w:t>
      </w:r>
      <w:r>
        <w:tab/>
        <w:t>Framkvæmdarákvörðun (ESB) 2017/1442.</w:t>
      </w:r>
    </w:p>
  </w:footnote>
  <w:footnote w:id="212">
    <w:p w14:paraId="76706C8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Lokatækniskýrslan, sem verður til við upplýsingaskipti við aðildarríki, hlutaðeigandi iðnað og frjáls félagasamtök, inniheldur tæknilegar upplýsingar um bestu aðgengilegu tækni sem er notuð í miðlungsstórum brennsluverum til að draga úr umhverfisáhrifum þeirra og um losunarstig sem hægt er að ná með bestu aðgengilegu tækni og nýtilkominni tækni og tengdan kostnað (útgáfa frá 4.6.2021: https://circabc.europa.eu/ui/group/06f33a94-9829-4eee-b187-21bb783a0fbf/library/9a99a632-9ba8-4cc0-9679-08d929afda59/details).</w:t>
      </w:r>
    </w:p>
  </w:footnote>
  <w:footnote w:id="213">
    <w:p w14:paraId="5201353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214">
    <w:p w14:paraId="136255D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215">
    <w:p w14:paraId="3E8500E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216">
    <w:p w14:paraId="0F80CDA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217">
    <w:p w14:paraId="5B5D4AF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218">
    <w:p w14:paraId="2510D4E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Lokatækniskýrslan, sem verður til við upplýsingaskipti við aðildarríki, hlutaðeigandi iðnað og frjáls félagasamtök, inniheldur tæknilegar upplýsingar um bestu aðgengilegu tækni sem er notuð í miðlungsstórum brennsluverum til að draga úr umhverfisáhrifum þeirra og um losunarstig sem hægt er að ná með bestu aðgengilegu tækni og nýtilkominni tækni og tengdan kostnað (útgáfa frá 4.6.2021: https://circabc.europa.eu/ui/group/06f33a94-9829-4eee-b187-21bb783a0fbf/library/9a99a632-9ba8-4cc0-9679-08d929afda59/details).</w:t>
      </w:r>
    </w:p>
  </w:footnote>
  <w:footnote w:id="219">
    <w:p w14:paraId="11C42AC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220">
    <w:p w14:paraId="2DA93EF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Innviðalekastuðullinn (ILI) er reiknaður út sem yfirstandandi árlegt rauntap (CARL)/óhjákvæmilegt árlegt rauntap (UARL): Yfirstandandi árlegt rauntap er það magn vatns sem raunverulega tapast úr dreifikerfinu (þ.e. er ekki afhent endanlegum notendum). Í óhjákvæmilegu árlegu rauntapi er tekið tillit til þess að það verður alltaf einhver leki í vatnsdreifikerfi. Óhjákvæmilegt árlegt rauntap er reiknað út á grundvelli þátta á borð við lengd dreifikerfisins, fjölda þjónustutenginga og þrýstings meðan á rekstri kerfisins stendur.</w:t>
      </w:r>
    </w:p>
  </w:footnote>
  <w:footnote w:id="221">
    <w:p w14:paraId="50E0CE6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2020/2184 frá 16. desember 2020 um gæði neysluvatns (endurútgefin) (</w:t>
      </w:r>
      <w:proofErr w:type="spellStart"/>
      <w:r>
        <w:t>Stjtíð</w:t>
      </w:r>
      <w:proofErr w:type="spellEnd"/>
      <w:r>
        <w:t>. ESB L 435, 23.12.2020, bls. 1).</w:t>
      </w:r>
    </w:p>
  </w:footnote>
  <w:footnote w:id="222">
    <w:p w14:paraId="5B5A8B3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Innviðalekastuðullinn (ILI) er reiknaður út sem yfirstandandi árlegt rauntap (CARL)/óhjákvæmilegt árlegt rauntap (UARL): Yfirstandandi árlegt rauntap er það magn vatns sem raunverulega tapast úr dreifikerfinu (þ.e. er ekki afhent endanlegum notendum). Í óhjákvæmilegu árlegu rauntapi er tekið tillit til þess að það verður alltaf einhver leki í vatnsdreifikerfi. Óhjákvæmilegt árlegt rauntap er reiknað út á grundvelli þátta á borð við lengd dreifikerfisins, fjölda þjónustutenginga og þrýstings meðan á rekstri kerfisins stendur.</w:t>
      </w:r>
    </w:p>
  </w:footnote>
  <w:footnote w:id="223">
    <w:p w14:paraId="3B9AF83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Til dæmis í samræmi við leiðbeiningar milliríkjanefndarinnar um loftslagsbreytingar um landsbókhald yfir gróðurhúsalofttegundir varðandi hreinsun </w:t>
      </w:r>
      <w:proofErr w:type="spellStart"/>
      <w:r>
        <w:t>skólps</w:t>
      </w:r>
      <w:proofErr w:type="spellEnd"/>
      <w:r>
        <w:t xml:space="preserve"> (útgáfa frá 4.6.2021: https://www.ipcc-nggip.iges.or.jp/public/2019rf/pdf/5_Volume5/19R_V5_6_Ch06_Wastewater.pdf).</w:t>
      </w:r>
    </w:p>
  </w:footnote>
  <w:footnote w:id="224">
    <w:p w14:paraId="433079B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sett er fram í II. viðauka við reglugerð Evrópuþingsins og ráðsins (ESB) 2020/741 frá 25. maí 2020 um lágmarkskröfur vegna endurnotkunar vatns (</w:t>
      </w:r>
      <w:proofErr w:type="spellStart"/>
      <w:r>
        <w:t>Stjtíð</w:t>
      </w:r>
      <w:proofErr w:type="spellEnd"/>
      <w:r>
        <w:t>. ESB L 177, 5.6.2020, bls. 32).</w:t>
      </w:r>
    </w:p>
  </w:footnote>
  <w:footnote w:id="225">
    <w:p w14:paraId="35BB573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Tilskipun ráðsins 91/271/EBE frá 21. maí 1991 um hreinsun </w:t>
      </w:r>
      <w:proofErr w:type="spellStart"/>
      <w:r>
        <w:t>skólps</w:t>
      </w:r>
      <w:proofErr w:type="spellEnd"/>
      <w:r>
        <w:t xml:space="preserve"> frá þéttbýli (</w:t>
      </w:r>
      <w:proofErr w:type="spellStart"/>
      <w:r>
        <w:t>Stjtíð</w:t>
      </w:r>
      <w:proofErr w:type="spellEnd"/>
      <w:r>
        <w:t>. EB L 135, 30.5.1991, bls. 40).</w:t>
      </w:r>
    </w:p>
  </w:footnote>
  <w:footnote w:id="226">
    <w:p w14:paraId="6F0E007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Tilskipun ráðsins 86/278/EBE frá 12. júní 1986 um verndun umhverfisins, einkum jarðvegs, þegar </w:t>
      </w:r>
      <w:proofErr w:type="spellStart"/>
      <w:r>
        <w:t>seyra</w:t>
      </w:r>
      <w:proofErr w:type="spellEnd"/>
      <w:r>
        <w:t xml:space="preserve"> frá </w:t>
      </w:r>
      <w:proofErr w:type="spellStart"/>
      <w:r>
        <w:t>skólphreinsistöðvum</w:t>
      </w:r>
      <w:proofErr w:type="spellEnd"/>
      <w:r>
        <w:t xml:space="preserve"> er notuð í landbúnaði (</w:t>
      </w:r>
      <w:proofErr w:type="spellStart"/>
      <w:r>
        <w:t>Stjtíð</w:t>
      </w:r>
      <w:proofErr w:type="spellEnd"/>
      <w:r>
        <w:t>. EB L 181, 4.7.1986, bls. 6).</w:t>
      </w:r>
    </w:p>
  </w:footnote>
  <w:footnote w:id="227">
    <w:p w14:paraId="0733EDF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sett er fram í II. viðauka við reglugerð Evrópuþingsins og ráðsins (ESB) 2020/741 frá 25. maí 2020 um lágmarkskröfur vegna endurnotkunar vatns (</w:t>
      </w:r>
      <w:proofErr w:type="spellStart"/>
      <w:r>
        <w:t>Stjtíð</w:t>
      </w:r>
      <w:proofErr w:type="spellEnd"/>
      <w:r>
        <w:t>. ESB L 177, 5.6.2020, bls. 32).</w:t>
      </w:r>
    </w:p>
  </w:footnote>
  <w:footnote w:id="228">
    <w:p w14:paraId="6E3D84A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Í Sambandinu er starfsemin í samræmi við 3. mgr. 10. gr. tilskipunar Evrópuþingsins og ráðsins 2008/98/EB frá 19. nóvember 2008 um úrgang og um niðurfellingu tiltekinna tilskipana (</w:t>
      </w:r>
      <w:proofErr w:type="spellStart"/>
      <w:r>
        <w:t>Stjtíð</w:t>
      </w:r>
      <w:proofErr w:type="spellEnd"/>
      <w:r>
        <w:t>. ESB L 312, 22.11.2008, bls. 3) og landslöggjöf og úrgangsstjórnunaráætlanir.</w:t>
      </w:r>
    </w:p>
  </w:footnote>
  <w:footnote w:id="229">
    <w:p w14:paraId="49161B8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230">
    <w:p w14:paraId="702A305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skilgreint er í 4. lið 3. gr. tilskipunar 2008/98/EB.</w:t>
      </w:r>
    </w:p>
  </w:footnote>
  <w:footnote w:id="231">
    <w:p w14:paraId="1D8DDCA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skilgreint er í 40. lið 2. gr. tilskipunar (ESB) 2018/2001.</w:t>
      </w:r>
    </w:p>
  </w:footnote>
  <w:footnote w:id="232">
    <w:p w14:paraId="6656417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233">
    <w:p w14:paraId="161958E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skilgreint er í 4. lið 3. gr. tilskipunar 2008/98/EB.</w:t>
      </w:r>
    </w:p>
  </w:footnote>
  <w:footnote w:id="234">
    <w:p w14:paraId="657563D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235">
    <w:p w14:paraId="638551C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w:t>
      </w:r>
      <w:proofErr w:type="spellStart"/>
      <w:r>
        <w:t>Urðunarstaður</w:t>
      </w:r>
      <w:proofErr w:type="spellEnd"/>
      <w:r>
        <w:t xml:space="preserve">“ er skilgreindur í </w:t>
      </w:r>
      <w:proofErr w:type="spellStart"/>
      <w:r>
        <w:t>g-lið</w:t>
      </w:r>
      <w:proofErr w:type="spellEnd"/>
      <w:r>
        <w:t xml:space="preserve"> 2. gr. tilskipunar ráðsins 1999/31/EB frá 26. apríl 1999 um urðun úrgangs (</w:t>
      </w:r>
      <w:proofErr w:type="spellStart"/>
      <w:r>
        <w:t>Stjtíð</w:t>
      </w:r>
      <w:proofErr w:type="spellEnd"/>
      <w:r>
        <w:t>. EB L 182, 16.7.1999, bls. 1).</w:t>
      </w:r>
    </w:p>
  </w:footnote>
  <w:footnote w:id="236">
    <w:p w14:paraId="0CA025F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sett er fram í 3. mgr. 5. gr. tilskipunar 1999/31/EB.</w:t>
      </w:r>
    </w:p>
  </w:footnote>
  <w:footnote w:id="237">
    <w:p w14:paraId="76DDAF0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“„Lífgas“ er skilgreint í 28. lið 2. gr. tilskipunar (ESB) 2018/2001.</w:t>
      </w:r>
    </w:p>
  </w:footnote>
  <w:footnote w:id="238">
    <w:p w14:paraId="318F824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ráðsins 1999/31/EB frá 26. apríl 1999 um urðun úrgangs (</w:t>
      </w:r>
      <w:proofErr w:type="spellStart"/>
      <w:r>
        <w:t>Stjtíð</w:t>
      </w:r>
      <w:proofErr w:type="spellEnd"/>
      <w:r>
        <w:t>. EB L 182, 16.7.1999, bls. 1).</w:t>
      </w:r>
    </w:p>
  </w:footnote>
  <w:footnote w:id="239">
    <w:p w14:paraId="698560D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2009/31/EB frá 23. apríl 2009 um geymslu koltvísýrings í jörðu og um breytingu á tilskipun ráðsins 85/337/EBE, tilskipunum Evrópuþingsins og ráðsins 2000/60/EB, 2001/80/EB, 2004/35/EB, 2006/12/EB, 2008/1/EB og reglugerð (EB) nr. 1013/2006 (</w:t>
      </w:r>
      <w:proofErr w:type="spellStart"/>
      <w:r>
        <w:t>Stjtíð</w:t>
      </w:r>
      <w:proofErr w:type="spellEnd"/>
      <w:r>
        <w:t>. ESB L 140, 5.6.2009, bls. 114).</w:t>
      </w:r>
    </w:p>
  </w:footnote>
  <w:footnote w:id="240">
    <w:p w14:paraId="3CE1E94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27914:2017, </w:t>
      </w:r>
      <w:proofErr w:type="spellStart"/>
      <w:r>
        <w:t>Carbon</w:t>
      </w:r>
      <w:proofErr w:type="spellEnd"/>
      <w:r>
        <w:t xml:space="preserve"> </w:t>
      </w:r>
      <w:proofErr w:type="spellStart"/>
      <w:r>
        <w:t>dioxide</w:t>
      </w:r>
      <w:proofErr w:type="spellEnd"/>
      <w:r>
        <w:t xml:space="preserve"> </w:t>
      </w:r>
      <w:proofErr w:type="spellStart"/>
      <w:r>
        <w:t>capture</w:t>
      </w:r>
      <w:proofErr w:type="spellEnd"/>
      <w:r>
        <w:t xml:space="preserve">, </w:t>
      </w:r>
      <w:proofErr w:type="spellStart"/>
      <w:r>
        <w:t>transportation</w:t>
      </w:r>
      <w:proofErr w:type="spellEnd"/>
      <w:r>
        <w:t xml:space="preserve"> </w:t>
      </w:r>
      <w:proofErr w:type="spellStart"/>
      <w:r>
        <w:t>and</w:t>
      </w:r>
      <w:proofErr w:type="spellEnd"/>
      <w:r>
        <w:t xml:space="preserve"> </w:t>
      </w:r>
      <w:proofErr w:type="spellStart"/>
      <w:r>
        <w:t>geological</w:t>
      </w:r>
      <w:proofErr w:type="spellEnd"/>
      <w:r>
        <w:t xml:space="preserve"> </w:t>
      </w:r>
      <w:proofErr w:type="spellStart"/>
      <w:r>
        <w:t>storage</w:t>
      </w:r>
      <w:proofErr w:type="spellEnd"/>
      <w:r>
        <w:t xml:space="preserve"> — </w:t>
      </w:r>
      <w:proofErr w:type="spellStart"/>
      <w:r>
        <w:t>Geological</w:t>
      </w:r>
      <w:proofErr w:type="spellEnd"/>
      <w:r>
        <w:t xml:space="preserve"> </w:t>
      </w:r>
      <w:proofErr w:type="spellStart"/>
      <w:r>
        <w:t>storage</w:t>
      </w:r>
      <w:proofErr w:type="spellEnd"/>
      <w:r>
        <w:t xml:space="preserve"> (útgáfa frá 4.6.2021: https://www.iso.org/standard/64148.html).</w:t>
      </w:r>
    </w:p>
  </w:footnote>
  <w:footnote w:id="241">
    <w:p w14:paraId="41BF57A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Reglugerð Evrópuþingsins og ráðsins (ESB) 2016/1628 frá 14. september 2016 um kröfur varðandi losunarmörk mengandi lofttegunda og efnisagna og gerðarviðurkenningu brunahreyfla fyrir </w:t>
      </w:r>
      <w:proofErr w:type="spellStart"/>
      <w:r>
        <w:t>færanlegan</w:t>
      </w:r>
      <w:proofErr w:type="spellEnd"/>
      <w:r>
        <w:t xml:space="preserve"> vélbúnað til nota utan vega, um breytingu á reglugerðum (ESB) nr. 1024/2012 og (ESB) nr. 167/2013 og um breytingu og niðurfellingu tilskipunar 97/68/EB (</w:t>
      </w:r>
      <w:proofErr w:type="spellStart"/>
      <w:r>
        <w:t>Stjtíð</w:t>
      </w:r>
      <w:proofErr w:type="spellEnd"/>
      <w:r>
        <w:t>. ESB L 252, 16.9.2016, bls. 53).</w:t>
      </w:r>
    </w:p>
  </w:footnote>
  <w:footnote w:id="242">
    <w:p w14:paraId="649396F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Þetta nær yfir strætisvagna sem eru með gerð yfirbyggingar í flokki „CE“ (einnar hæðar lággólfsökutæki), „CF“ (tveggja hæða lággólfsökutæki), „CG“ (liðskipt einnar hæðar lággólfsökutæki), „CH“ (liðskipt tveggja hæða lággólfsökutæki), „CI“ (einnar hæðar ökutæki, opið að ofan) eða „CJ“ (tveggja hæða ökutæki, opið að ofan), eins og sett er fram í 3. lið </w:t>
      </w:r>
      <w:proofErr w:type="spellStart"/>
      <w:r>
        <w:t>C-hluta</w:t>
      </w:r>
      <w:proofErr w:type="spellEnd"/>
      <w:r>
        <w:t xml:space="preserve"> I. viðauka við reglugerð (ESB) nr. 2018/858.</w:t>
      </w:r>
    </w:p>
  </w:footnote>
  <w:footnote w:id="243">
    <w:p w14:paraId="0D1332A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um getur í a-lið 1. mgr. 4. gr. reglugerðar (ESB) 2018/858.</w:t>
      </w:r>
    </w:p>
  </w:footnote>
  <w:footnote w:id="244">
    <w:p w14:paraId="348B485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Eins og sett er fram í 3. lið </w:t>
      </w:r>
      <w:proofErr w:type="spellStart"/>
      <w:r>
        <w:t>C-hluta</w:t>
      </w:r>
      <w:proofErr w:type="spellEnd"/>
      <w:r>
        <w:t xml:space="preserve"> I. viðauka við reglugerð (ESB) 2018/858.</w:t>
      </w:r>
    </w:p>
  </w:footnote>
  <w:footnote w:id="245">
    <w:p w14:paraId="5E62643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 til 31/12/2021, EURO VI þrep E eins og sett er fram í reglugerð (EB) nr.595/2009.</w:t>
      </w:r>
    </w:p>
  </w:footnote>
  <w:footnote w:id="246">
    <w:p w14:paraId="7FAB06B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2020/740 frá 25. maí 2020 um merkingu hjólbarða að því er varðar eldsneytisnýtingu og aðra mæliþætti, um breytingu á reglugerð (ESB) 2017/1369 og niðurfellingu á reglugerð (EB) nr. 1222/2009 (</w:t>
      </w:r>
      <w:proofErr w:type="spellStart"/>
      <w:r>
        <w:t>Stjtíð</w:t>
      </w:r>
      <w:proofErr w:type="spellEnd"/>
      <w:r>
        <w:t>. ESB L 177, 5.6.2020, bls. 1).</w:t>
      </w:r>
    </w:p>
  </w:footnote>
  <w:footnote w:id="247">
    <w:p w14:paraId="5F2E776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um getur í i. lið a-liðar 1. mgr. 4. gr. reglugerðar (ESB) 2018/858.</w:t>
      </w:r>
    </w:p>
  </w:footnote>
  <w:footnote w:id="248">
    <w:p w14:paraId="14A8405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i. lið </w:t>
      </w:r>
      <w:proofErr w:type="spellStart"/>
      <w:r>
        <w:t>b-liðar</w:t>
      </w:r>
      <w:proofErr w:type="spellEnd"/>
      <w:r>
        <w:t xml:space="preserve"> 1. mgr. 4. gr. reglugerðar (ESB) 2018/858.</w:t>
      </w:r>
    </w:p>
  </w:footnote>
  <w:footnote w:id="249">
    <w:p w14:paraId="15B8A50B"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(EB) nr. 715/2007 frá 20. júní 2007 um gerðarviðurkenningu vélknúinna ökutækja með tilliti til losunar frá léttum farþega- og atvinnuökutækjum (Euro 5 og Euro 6) og um aðgang að upplýsingum um viðgerðir og viðhald ökutækja (</w:t>
      </w:r>
      <w:proofErr w:type="spellStart"/>
      <w:r>
        <w:t>Stjtíð</w:t>
      </w:r>
      <w:proofErr w:type="spellEnd"/>
      <w:r>
        <w:t>. ESB L 171, 29.6.2007, bls. 1).</w:t>
      </w:r>
    </w:p>
  </w:footnote>
  <w:footnote w:id="250">
    <w:p w14:paraId="67A0584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um getur í 1. mgr. 4. gr. reglugerðar (ESB) 2018/858.</w:t>
      </w:r>
    </w:p>
  </w:footnote>
  <w:footnote w:id="251">
    <w:p w14:paraId="0D66BDD6"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Eins og sett er fram í I. viðauka við tilskipun Evrópuþingsins og ráðsins 2005/64/EB frá 26. október 2005 um gerðarviðurkenningu vélknúinna ökutækja með tilliti til </w:t>
      </w:r>
      <w:proofErr w:type="spellStart"/>
      <w:r>
        <w:t>endurnotanleika</w:t>
      </w:r>
      <w:proofErr w:type="spellEnd"/>
      <w:r>
        <w:t xml:space="preserve">, </w:t>
      </w:r>
      <w:proofErr w:type="spellStart"/>
      <w:r>
        <w:t>endurvinnanleika</w:t>
      </w:r>
      <w:proofErr w:type="spellEnd"/>
      <w:r>
        <w:t xml:space="preserve"> og </w:t>
      </w:r>
      <w:proofErr w:type="spellStart"/>
      <w:r>
        <w:t>endurnýtanleika</w:t>
      </w:r>
      <w:proofErr w:type="spellEnd"/>
      <w:r>
        <w:t xml:space="preserve"> þeirra og um breytingu á tilskipun ráðsins 70/156/EBE (</w:t>
      </w:r>
      <w:proofErr w:type="spellStart"/>
      <w:r>
        <w:t>Stjtíð</w:t>
      </w:r>
      <w:proofErr w:type="spellEnd"/>
      <w:r>
        <w:t>. ESB L 310, 25.11.2005, bls. 10).</w:t>
      </w:r>
    </w:p>
  </w:footnote>
  <w:footnote w:id="252">
    <w:p w14:paraId="398D76C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Reglugerð framkvæmdastjórnarinnar (ESB) 2018/1832 frá 5. nóvember 2018 um breytingu á tilskipun Evrópuþingsins og ráðsins 2007/46/EB, reglugerð framkvæmdastjórnarinnar (EB) nr. 692/2008 og reglugerð framkvæmdastjórnarinnar (ESB) 2017/1151 í því skyni að bæta gerðarviðurkenningarprófanir og -aðferðir að því er varðar losun léttra farþega- og atvinnuökutækja, þ.m.t. prófanir og aðferðir vegna samræmis ökutækja í notkun og losunar þeirra í raunverulegum akstri og innleiðingu búnaðar til að vakta eldsneytis og raforkunotkun (</w:t>
      </w:r>
      <w:proofErr w:type="spellStart"/>
      <w:r>
        <w:t>Stjtíð</w:t>
      </w:r>
      <w:proofErr w:type="spellEnd"/>
      <w:r>
        <w:t>. ESB L 301, 27.11.2018, bls. 1).</w:t>
      </w:r>
    </w:p>
  </w:footnote>
  <w:footnote w:id="253">
    <w:p w14:paraId="0311DD4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Tilskipun Evrópuþingsins og ráðsins 2009/33/EB frá 23. apríl 2009 um að stuðla að notkun á hreinum og </w:t>
      </w:r>
      <w:proofErr w:type="spellStart"/>
      <w:r>
        <w:t>orkunýtnum</w:t>
      </w:r>
      <w:proofErr w:type="spellEnd"/>
      <w:r>
        <w:t xml:space="preserve"> ökutækjum til flutninga á vegum (</w:t>
      </w:r>
      <w:proofErr w:type="spellStart"/>
      <w:r>
        <w:t>Stjtíð</w:t>
      </w:r>
      <w:proofErr w:type="spellEnd"/>
      <w:r>
        <w:t>. ESB L 120, 15.5.2009, bls. 5).</w:t>
      </w:r>
    </w:p>
  </w:footnote>
  <w:footnote w:id="254">
    <w:p w14:paraId="5F62966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Reglugerð Evrópuþingsins og ráðsins (ESB) nr. 540/2014 frá 16. apríl 2014 um hljóðstig vélknúinna ökutækja og </w:t>
      </w:r>
      <w:proofErr w:type="spellStart"/>
      <w:r>
        <w:t>hljóðdeyfikerfa</w:t>
      </w:r>
      <w:proofErr w:type="spellEnd"/>
      <w:r>
        <w:t xml:space="preserve"> til endurnýjunar og breytingu á tilskipun 2007/46/EB og um niðurfellingu tilskipunar 70/157/EBE (</w:t>
      </w:r>
      <w:proofErr w:type="spellStart"/>
      <w:r>
        <w:t>Stjtíð</w:t>
      </w:r>
      <w:proofErr w:type="spellEnd"/>
      <w:r>
        <w:t>. ESB L 158, 27.5.2014, bls. 131).</w:t>
      </w:r>
    </w:p>
  </w:footnote>
  <w:footnote w:id="255">
    <w:p w14:paraId="642FD9C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ii. lið </w:t>
      </w:r>
      <w:proofErr w:type="spellStart"/>
      <w:r>
        <w:t>b-liðar</w:t>
      </w:r>
      <w:proofErr w:type="spellEnd"/>
      <w:r>
        <w:t xml:space="preserve"> 1. mgr. 4. gr. reglugerðar (ESB) 2018/858.</w:t>
      </w:r>
    </w:p>
  </w:footnote>
  <w:footnote w:id="256">
    <w:p w14:paraId="1AC3D17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iii. lið </w:t>
      </w:r>
      <w:proofErr w:type="spellStart"/>
      <w:r>
        <w:t>b-liðar</w:t>
      </w:r>
      <w:proofErr w:type="spellEnd"/>
      <w:r>
        <w:t xml:space="preserve"> 1. mgr. 4. gr. reglugerðar (ESB) 2018/858.</w:t>
      </w:r>
    </w:p>
  </w:footnote>
  <w:footnote w:id="257">
    <w:p w14:paraId="6548627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sett er fram í reglugerð (EB) nr. 595/2009.</w:t>
      </w:r>
    </w:p>
  </w:footnote>
  <w:footnote w:id="258">
    <w:p w14:paraId="24F6D9C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sett er fram í I. viðauka við tilskipun 2005/64/EB.</w:t>
      </w:r>
    </w:p>
  </w:footnote>
  <w:footnote w:id="259">
    <w:p w14:paraId="2D0CAF7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Reglugerð framkvæmdastjórnarinnar (ESB) nr. 582/2011 frá 25. maí 2011 um framkvæmd og breytingu á reglugerð Evrópuþingsins og ráðsins (EB) nr. 595/2009 að því er varðar losun frá þungum ökutækjum (Euro VI) og um breytingu á I. og III. viðauka við tilskipun Evrópuþingsins og ráðsins 2007/46/EB (</w:t>
      </w:r>
      <w:proofErr w:type="spellStart"/>
      <w:r>
        <w:t>Stjtíð</w:t>
      </w:r>
      <w:proofErr w:type="spellEnd"/>
      <w:r>
        <w:t>. ESB L 167, 25.6.2011, bls. 1).</w:t>
      </w:r>
    </w:p>
  </w:footnote>
  <w:footnote w:id="260">
    <w:p w14:paraId="5AB4F0E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Rekstrarlegur </w:t>
      </w:r>
      <w:proofErr w:type="spellStart"/>
      <w:r>
        <w:t>orkunýtnivísir</w:t>
      </w:r>
      <w:proofErr w:type="spellEnd"/>
      <w:r>
        <w:t xml:space="preserve"> er skilgreindur sem massahlutfall losaðs koltvísýrings á hverja flutningseiningu. Þetta er dæmigert gildi fyrir </w:t>
      </w:r>
      <w:proofErr w:type="spellStart"/>
      <w:r>
        <w:t>orkunýtni</w:t>
      </w:r>
      <w:proofErr w:type="spellEnd"/>
      <w:r>
        <w:t xml:space="preserve"> við </w:t>
      </w:r>
      <w:proofErr w:type="spellStart"/>
      <w:r>
        <w:t>starfrækslu</w:t>
      </w:r>
      <w:proofErr w:type="spellEnd"/>
      <w:r>
        <w:t xml:space="preserve"> skipsins yfir samfellt tímabil sem svarar til alls viðskiptamynsturs skipsins. Leiðbeiningar um hvernig á að reikna út þennan vísi eru gefnar í skjalinu MEPC.1/</w:t>
      </w:r>
      <w:proofErr w:type="spellStart"/>
      <w:r>
        <w:t>Circ</w:t>
      </w:r>
      <w:proofErr w:type="spellEnd"/>
      <w:r>
        <w:t>. 684 frá Alþjóðasiglingamálastofnuninni.</w:t>
      </w:r>
    </w:p>
  </w:footnote>
  <w:footnote w:id="261">
    <w:p w14:paraId="6A89B07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Orkunýtnivísitala</w:t>
      </w:r>
      <w:proofErr w:type="spellEnd"/>
      <w:r>
        <w:t xml:space="preserve"> hönnunar (útgáfa frá 4.6.2021: http://www.imo.org/fr/MediaCentre/HotTopics/GHG/Pages/EEDI.aspx).</w:t>
      </w:r>
    </w:p>
  </w:footnote>
  <w:footnote w:id="262">
    <w:p w14:paraId="3F44B9E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Kröfur um </w:t>
      </w:r>
      <w:proofErr w:type="spellStart"/>
      <w:r>
        <w:t>orkunýtnivísitölu</w:t>
      </w:r>
      <w:proofErr w:type="spellEnd"/>
      <w:r>
        <w:t xml:space="preserve"> hönnunar sem eru í gildi 1. apríl 2022 eins og sjávarumhverfisverndarnefnd Alþjóðasiglingamálastofnunarinnar samþykkti á 75. fundi sínum Skip sem falla undir tegundir skipa sem settar eru fram í </w:t>
      </w:r>
      <w:proofErr w:type="spellStart"/>
      <w:r>
        <w:t>í</w:t>
      </w:r>
      <w:proofErr w:type="spellEnd"/>
      <w:r>
        <w:t xml:space="preserve"> VI. viðauka við MARPOL-samninginn, reglu 2, en sem teljast ekki vera ný skip samkvæmt þeirri reglu geta lagt fram gildi fyrir </w:t>
      </w:r>
      <w:proofErr w:type="spellStart"/>
      <w:r>
        <w:t>orkunýtnivísitölu</w:t>
      </w:r>
      <w:proofErr w:type="spellEnd"/>
      <w:r>
        <w:t xml:space="preserve"> hönnunar sem náðst hefur, sem er reiknað út að eigin frumkvæði í samræmi við 4. kafla VI. viðauka við MARPOL-samninginn, og látið sannprófa þessa útreikninga í samræmi við 2. kafla VI. viðauka við MARPOL-samninginn.</w:t>
      </w:r>
    </w:p>
  </w:footnote>
  <w:footnote w:id="263">
    <w:p w14:paraId="4A9D7F0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Eldsneyti sem uppfyllir tæknilegu matsviðmiðin sem eru tilgreind í þáttum 3.10 og 4.13 í þessum viðauka.</w:t>
      </w:r>
    </w:p>
  </w:footnote>
  <w:footnote w:id="264">
    <w:p w14:paraId="171E354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nr. 1257/2013 frá 20. nóvember 2013 um endurvinnslu skipa og um breytingu á reglugerð (EB) nr. 1013/2006 og tilskipun 2009/16/EB (</w:t>
      </w:r>
      <w:proofErr w:type="spellStart"/>
      <w:r>
        <w:t>Stjtíð</w:t>
      </w:r>
      <w:proofErr w:type="spellEnd"/>
      <w:r>
        <w:t>. ESB L 330, 10.12.2013, bls. 1).</w:t>
      </w:r>
    </w:p>
  </w:footnote>
  <w:footnote w:id="265">
    <w:p w14:paraId="7CEE146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2016/2323 frá 19. desember 2016 um að koma á fót Evrópuskrá yfir skipaendurvinnslustöðvar samkvæmt reglugerð Evrópuþingsins og ráðsins (ESB) nr. 1257/2013 um endurvinnslu skipa (</w:t>
      </w:r>
      <w:proofErr w:type="spellStart"/>
      <w:r>
        <w:t>Stjtíð</w:t>
      </w:r>
      <w:proofErr w:type="spellEnd"/>
      <w:r>
        <w:t>. ESB L 345, 20.12.2016, bls. 119).</w:t>
      </w:r>
    </w:p>
  </w:footnote>
  <w:footnote w:id="266">
    <w:p w14:paraId="5491445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2019/883 frá 17. apríl 2019 um móttökuaðstöðu í höfnum til afhendingar úrgangs frá skipum, um breytingu á tilskipun 2010/65/ESB og um niðurfellingu tilskipunar 2000/59/EB (</w:t>
      </w:r>
      <w:proofErr w:type="spellStart"/>
      <w:r>
        <w:t>Stjtíð</w:t>
      </w:r>
      <w:proofErr w:type="spellEnd"/>
      <w:r>
        <w:t>. ESB L 151, 7.6.2019, bls. 12).</w:t>
      </w:r>
    </w:p>
  </w:footnote>
  <w:footnote w:id="267">
    <w:p w14:paraId="63F80CA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2016/802 frá 11. maí 2016 um að draga úr magni brennisteins í tilteknum tegundum fljótandi eldsneytis (</w:t>
      </w:r>
      <w:proofErr w:type="spellStart"/>
      <w:r>
        <w:t>Stjtíð</w:t>
      </w:r>
      <w:proofErr w:type="spellEnd"/>
      <w:r>
        <w:t>. ESB L 132, 21.5.2016, bls. 58).</w:t>
      </w:r>
    </w:p>
  </w:footnote>
  <w:footnote w:id="268">
    <w:p w14:paraId="3E0977D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(útgáfa frá 4.6.2021: http://www.imo.org/en/OurWork/Environment/PollutionPrevention/AirPollution/Pages/Sulphur-oxides-(SO</w:t>
      </w:r>
      <w:r>
        <w:rPr>
          <w:vertAlign w:val="subscript"/>
        </w:rPr>
        <w:t>x</w:t>
      </w:r>
      <w:r>
        <w:t>)- %E2%80%93-Regulation-14.aspx).</w:t>
      </w:r>
    </w:p>
  </w:footnote>
  <w:footnote w:id="269">
    <w:p w14:paraId="0C468C6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w:t>
      </w:r>
      <w:proofErr w:type="spellStart"/>
      <w:r>
        <w:t>rýmkun</w:t>
      </w:r>
      <w:proofErr w:type="spellEnd"/>
      <w:r>
        <w:t xml:space="preserve"> á kröfunum sem gilda á mengunarvarnarsvæðum þannig að þær nái yfir önnur hafsvæði í Sambandinu eru lönd, sem eru með landamæri að Miðjarðarhafi, í viðræðum um að koma á viðeigandi mengunarvarnarsvæðum innan lagaramma </w:t>
      </w:r>
      <w:proofErr w:type="spellStart"/>
      <w:r>
        <w:t>Barselóna</w:t>
      </w:r>
      <w:proofErr w:type="spellEnd"/>
      <w:r>
        <w:t>-samningsins.</w:t>
      </w:r>
    </w:p>
  </w:footnote>
  <w:footnote w:id="270">
    <w:p w14:paraId="09843DF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(útgáfa frá 4.6.2021: http://www.imo.org/en/OurWork/Environment/PollutionPrevention/AirPollution/Pages/Nitrogen-oxides- (</w:t>
      </w:r>
      <w:proofErr w:type="spellStart"/>
      <w:r>
        <w:t>NO</w:t>
      </w:r>
      <w:r>
        <w:rPr>
          <w:vertAlign w:val="subscript"/>
        </w:rPr>
        <w:t>x</w:t>
      </w:r>
      <w:proofErr w:type="spellEnd"/>
      <w:r>
        <w:t>)-–-Regulation-13.aspx).</w:t>
      </w:r>
    </w:p>
  </w:footnote>
  <w:footnote w:id="271">
    <w:p w14:paraId="314995E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Á hafsvæðum í Sambandinu gildir krafan frá og með 2021 í Eystrasalti og Norðursjó.</w:t>
      </w:r>
    </w:p>
  </w:footnote>
  <w:footnote w:id="272">
    <w:p w14:paraId="6F07A33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Alþjóðasamningurinn um eftirlit með skaðlegum, gróðurhindrandi efnum og/eða búnaði á skipum frá 5. október 2001.</w:t>
      </w:r>
    </w:p>
  </w:footnote>
  <w:footnote w:id="273">
    <w:p w14:paraId="130D63F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Leiðbeiningar Alþjóðasiglingamálastofnunarinnar um að verjast og hafa stjórn á ásætum á skipum til að lágmarka útbreiðslu ágengra lagartegunda, ályktun MEPC.207(62).</w:t>
      </w:r>
    </w:p>
  </w:footnote>
  <w:footnote w:id="274">
    <w:p w14:paraId="03C03B9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„IMO </w:t>
      </w:r>
      <w:proofErr w:type="spellStart"/>
      <w:r>
        <w:t>Guidelines</w:t>
      </w:r>
      <w:proofErr w:type="spellEnd"/>
      <w:r>
        <w:t xml:space="preserve"> for </w:t>
      </w:r>
      <w:proofErr w:type="spellStart"/>
      <w:r>
        <w:t>the</w:t>
      </w:r>
      <w:proofErr w:type="spellEnd"/>
      <w:r>
        <w:t xml:space="preserve"> </w:t>
      </w:r>
      <w:proofErr w:type="spellStart"/>
      <w:r>
        <w:t>Reduction</w:t>
      </w:r>
      <w:proofErr w:type="spellEnd"/>
      <w:r>
        <w:t xml:space="preserve"> of </w:t>
      </w:r>
      <w:proofErr w:type="spellStart"/>
      <w:r>
        <w:t>Underwater</w:t>
      </w:r>
      <w:proofErr w:type="spellEnd"/>
      <w:r>
        <w:t xml:space="preserve"> </w:t>
      </w:r>
      <w:proofErr w:type="spellStart"/>
      <w:r>
        <w:t>Noise</w:t>
      </w:r>
      <w:proofErr w:type="spellEnd"/>
      <w:r>
        <w:t xml:space="preserve"> from Commercial </w:t>
      </w:r>
      <w:proofErr w:type="spellStart"/>
      <w:r>
        <w:t>Shipping</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Adverse</w:t>
      </w:r>
      <w:proofErr w:type="spellEnd"/>
      <w:r>
        <w:t xml:space="preserve"> </w:t>
      </w:r>
      <w:proofErr w:type="spellStart"/>
      <w:r>
        <w:t>Impacts</w:t>
      </w:r>
      <w:proofErr w:type="spellEnd"/>
      <w:r>
        <w:t xml:space="preserve"> on Marine Life“ (leiðbeiningar Alþjóðasiglingamálastofnunarinnar um að draga úr hávaða frá </w:t>
      </w:r>
      <w:proofErr w:type="spellStart"/>
      <w:r>
        <w:t>fraktskipum</w:t>
      </w:r>
      <w:proofErr w:type="spellEnd"/>
      <w:r>
        <w:t xml:space="preserve"> neðansjávar til að sporna gegn neikvæðum áhrifum á lífið í hafinu (MEPC.1/Circ.833).</w:t>
      </w:r>
    </w:p>
  </w:footnote>
  <w:footnote w:id="275">
    <w:p w14:paraId="00B9FEC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Orkunýtnivísitala</w:t>
      </w:r>
      <w:proofErr w:type="spellEnd"/>
      <w:r>
        <w:t xml:space="preserve"> hönnunar (útgáfa frá 4.6.2021: http://www.imo.org/fr/MediaCentre/HotTopics/GHG/Pages/EEDI.aspx).</w:t>
      </w:r>
    </w:p>
  </w:footnote>
  <w:footnote w:id="276">
    <w:p w14:paraId="7A7098C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Kröfur um </w:t>
      </w:r>
      <w:proofErr w:type="spellStart"/>
      <w:r>
        <w:t>orkunýtnivísitölu</w:t>
      </w:r>
      <w:proofErr w:type="spellEnd"/>
      <w:r>
        <w:t xml:space="preserve"> hönnunar sem eru í gildi 1. apríl 2022 eins og sjávarumhverfisverndarnefnd Alþjóðasiglingamálastofnunarinnar samþykkti á 75. fundi sínum Skip sem falla undir tegundir skipa sem settar eru fram í </w:t>
      </w:r>
      <w:proofErr w:type="spellStart"/>
      <w:r>
        <w:t>í</w:t>
      </w:r>
      <w:proofErr w:type="spellEnd"/>
      <w:r>
        <w:t xml:space="preserve"> VI. viðauka við MARPOL-samninginn, reglu 2, en sem teljast ekki vera ný skip samkvæmt þeirri reglu geta lagt fram gildi fyrir </w:t>
      </w:r>
      <w:proofErr w:type="spellStart"/>
      <w:r>
        <w:t>orkunýtnivísitölu</w:t>
      </w:r>
      <w:proofErr w:type="spellEnd"/>
      <w:r>
        <w:t xml:space="preserve"> hönnunar sem náðst hefur, sem er reiknað út að eigin frumkvæði í samræmi við 4. kafla VI. viðauka við MARPOL-samninginn, og látið sannprófa þessa útreikninga í samræmi við 2. kafla VI. viðauka við MARPOL-samninginn.</w:t>
      </w:r>
    </w:p>
  </w:footnote>
  <w:footnote w:id="277">
    <w:p w14:paraId="4CA1B46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Eldsneyti sem uppfyllir tæknilegu matsviðmiðin sem eru tilgreind í þáttum 3.10 og 4.13 í þessum viðauka.</w:t>
      </w:r>
    </w:p>
  </w:footnote>
  <w:footnote w:id="278">
    <w:p w14:paraId="7292BBF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w:t>
      </w:r>
      <w:proofErr w:type="spellStart"/>
      <w:r>
        <w:t>rýmkun</w:t>
      </w:r>
      <w:proofErr w:type="spellEnd"/>
      <w:r>
        <w:t xml:space="preserve"> á kröfunum sem gilda á mengunarvarnarsvæðum þannig að þær nái yfir önnur hafsvæði í Sambandinu eru lönd, sem eru með landamæri að Miðjarðarhafi, í viðræðum um að koma á viðeigandi mengunarvarnarsvæðum innan lagaramma </w:t>
      </w:r>
      <w:proofErr w:type="spellStart"/>
      <w:r>
        <w:t>Barselóna</w:t>
      </w:r>
      <w:proofErr w:type="spellEnd"/>
      <w:r>
        <w:t>-samningsins.</w:t>
      </w:r>
    </w:p>
  </w:footnote>
  <w:footnote w:id="279">
    <w:p w14:paraId="0240F54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Á hafsvæðum í Sambandinu gildir krafan frá og með 2021 í Eystrasalti og Norðursjó.</w:t>
      </w:r>
    </w:p>
  </w:footnote>
  <w:footnote w:id="280">
    <w:p w14:paraId="110F626B"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Leiðbeiningar Alþjóðasiglingamálastofnunarinnar um að verjast og hafa stjórn á ásætum á skipum til að lágmarka útbreiðslu ágengra lagartegunda, ályktun MEPC.207(62).</w:t>
      </w:r>
    </w:p>
  </w:footnote>
  <w:footnote w:id="281">
    <w:p w14:paraId="163F556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„IMO </w:t>
      </w:r>
      <w:proofErr w:type="spellStart"/>
      <w:r>
        <w:t>Guidelines</w:t>
      </w:r>
      <w:proofErr w:type="spellEnd"/>
      <w:r>
        <w:t xml:space="preserve"> for </w:t>
      </w:r>
      <w:proofErr w:type="spellStart"/>
      <w:r>
        <w:t>the</w:t>
      </w:r>
      <w:proofErr w:type="spellEnd"/>
      <w:r>
        <w:t xml:space="preserve"> </w:t>
      </w:r>
      <w:proofErr w:type="spellStart"/>
      <w:r>
        <w:t>Reduction</w:t>
      </w:r>
      <w:proofErr w:type="spellEnd"/>
      <w:r>
        <w:t xml:space="preserve"> of </w:t>
      </w:r>
      <w:proofErr w:type="spellStart"/>
      <w:r>
        <w:t>Underwater</w:t>
      </w:r>
      <w:proofErr w:type="spellEnd"/>
      <w:r>
        <w:t xml:space="preserve"> </w:t>
      </w:r>
      <w:proofErr w:type="spellStart"/>
      <w:r>
        <w:t>Noise</w:t>
      </w:r>
      <w:proofErr w:type="spellEnd"/>
      <w:r>
        <w:t xml:space="preserve"> from Commercial </w:t>
      </w:r>
      <w:proofErr w:type="spellStart"/>
      <w:r>
        <w:t>Shipping</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Adverse</w:t>
      </w:r>
      <w:proofErr w:type="spellEnd"/>
      <w:r>
        <w:t xml:space="preserve"> </w:t>
      </w:r>
      <w:proofErr w:type="spellStart"/>
      <w:r>
        <w:t>Impacts</w:t>
      </w:r>
      <w:proofErr w:type="spellEnd"/>
      <w:r>
        <w:t xml:space="preserve"> on Marine Life“ (leiðbeiningar Alþjóðasiglingamálastofnunarinnar um að draga úr hávaða frá </w:t>
      </w:r>
      <w:proofErr w:type="spellStart"/>
      <w:r>
        <w:t>fraktskipum</w:t>
      </w:r>
      <w:proofErr w:type="spellEnd"/>
      <w:r>
        <w:t xml:space="preserve"> neðansjávar til að sporna gegn neikvæðum áhrifum á lífið í hafinu (MEPC.1/Circ.833).</w:t>
      </w:r>
    </w:p>
  </w:footnote>
  <w:footnote w:id="282">
    <w:p w14:paraId="16BB1EB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w:t>
      </w:r>
      <w:proofErr w:type="spellStart"/>
      <w:r>
        <w:t>rýmkun</w:t>
      </w:r>
      <w:proofErr w:type="spellEnd"/>
      <w:r>
        <w:t xml:space="preserve"> á kröfunum sem gilda á mengunarvarnarsvæðum þannig að þær nái yfir önnur hafsvæði í Sambandinu eru lönd, sem eru með landamæri að Miðjarðarhafi, í viðræðum um að koma á viðeigandi mengunarvarnarsvæðum innan lagaramma </w:t>
      </w:r>
      <w:proofErr w:type="spellStart"/>
      <w:r>
        <w:t>Barselóna</w:t>
      </w:r>
      <w:proofErr w:type="spellEnd"/>
      <w:r>
        <w:t>-samningsins.</w:t>
      </w:r>
    </w:p>
  </w:footnote>
  <w:footnote w:id="283">
    <w:p w14:paraId="2395257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Á hafsvæðum í Sambandinu gildir krafan frá og með 2021 í Eystrasalti og Norðursjó.</w:t>
      </w:r>
    </w:p>
  </w:footnote>
  <w:footnote w:id="284">
    <w:p w14:paraId="2BCB5D2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Leiðbeiningar Alþjóðasiglingamálastofnunarinnar um að verjast og hafa stjórn á ásætum á skipum til að lágmarka útbreiðslu ágengra lagartegunda, ályktun MEPC.207(62).</w:t>
      </w:r>
    </w:p>
  </w:footnote>
  <w:footnote w:id="285">
    <w:p w14:paraId="33C0DAD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„IMO </w:t>
      </w:r>
      <w:proofErr w:type="spellStart"/>
      <w:r>
        <w:t>Guidelines</w:t>
      </w:r>
      <w:proofErr w:type="spellEnd"/>
      <w:r>
        <w:t xml:space="preserve"> for </w:t>
      </w:r>
      <w:proofErr w:type="spellStart"/>
      <w:r>
        <w:t>the</w:t>
      </w:r>
      <w:proofErr w:type="spellEnd"/>
      <w:r>
        <w:t xml:space="preserve"> </w:t>
      </w:r>
      <w:proofErr w:type="spellStart"/>
      <w:r>
        <w:t>Reduction</w:t>
      </w:r>
      <w:proofErr w:type="spellEnd"/>
      <w:r>
        <w:t xml:space="preserve"> of </w:t>
      </w:r>
      <w:proofErr w:type="spellStart"/>
      <w:r>
        <w:t>Underwater</w:t>
      </w:r>
      <w:proofErr w:type="spellEnd"/>
      <w:r>
        <w:t xml:space="preserve"> </w:t>
      </w:r>
      <w:proofErr w:type="spellStart"/>
      <w:r>
        <w:t>Noise</w:t>
      </w:r>
      <w:proofErr w:type="spellEnd"/>
      <w:r>
        <w:t xml:space="preserve"> from Commercial </w:t>
      </w:r>
      <w:proofErr w:type="spellStart"/>
      <w:r>
        <w:t>Shipping</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Adverse</w:t>
      </w:r>
      <w:proofErr w:type="spellEnd"/>
      <w:r>
        <w:t xml:space="preserve"> </w:t>
      </w:r>
      <w:proofErr w:type="spellStart"/>
      <w:r>
        <w:t>Impacts</w:t>
      </w:r>
      <w:proofErr w:type="spellEnd"/>
      <w:r>
        <w:t xml:space="preserve"> on Marine Life“ (leiðbeiningar Alþjóðasiglingamálastofnunarinnar um að draga úr hávaða frá </w:t>
      </w:r>
      <w:proofErr w:type="spellStart"/>
      <w:r>
        <w:t>fraktskipum</w:t>
      </w:r>
      <w:proofErr w:type="spellEnd"/>
      <w:r>
        <w:t xml:space="preserve"> neðansjávar til að sporna gegn neikvæðum áhrifum á lífið í hafinu (MEPC.1/Circ.833).</w:t>
      </w:r>
    </w:p>
  </w:footnote>
  <w:footnote w:id="286">
    <w:p w14:paraId="089721E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Ákvörðun framkvæmdastjórnarinnar 2000/532/EB frá 3. maí 2000 sem kemur í stað ákvörðunar 94/3/EB um skrá yfir úrgang samkvæmt a-lið 1. gr. tilskipunar ráðsins 75/442/EBE um úrgang og ákvörðunar ráðsins 94/904/EB um skrá yfir hættulegan úrgang samkvæmt 4. mgr. 1. gr. tilskipunar ráðsins 91/689/EBE um hættulegan úrgang (</w:t>
      </w:r>
      <w:proofErr w:type="spellStart"/>
      <w:r>
        <w:t>Stjtíð</w:t>
      </w:r>
      <w:proofErr w:type="spellEnd"/>
      <w:r>
        <w:t>. EB L 226, 6.9.2000, bls. 3).</w:t>
      </w:r>
    </w:p>
  </w:footnote>
  <w:footnote w:id="287">
    <w:p w14:paraId="28FC413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288">
    <w:p w14:paraId="705E611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Í samræmi við 11. lið 3. gr. tilskipunar Evrópuþingsins og ráðsins 34/2012/ESB frá 21. nóvember 2012 um að koma á fót </w:t>
      </w:r>
      <w:proofErr w:type="spellStart"/>
      <w:r>
        <w:t>samevrópsku</w:t>
      </w:r>
      <w:proofErr w:type="spellEnd"/>
      <w:r>
        <w:t xml:space="preserve"> járnbrautarsvæði (</w:t>
      </w:r>
      <w:proofErr w:type="spellStart"/>
      <w:r>
        <w:t>Stjtíð</w:t>
      </w:r>
      <w:proofErr w:type="spellEnd"/>
      <w:r>
        <w:t>. ESB L 343, 14.12.2012, bls. 32).</w:t>
      </w:r>
    </w:p>
  </w:footnote>
  <w:footnote w:id="289">
    <w:p w14:paraId="6FC0DE6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2016/797/EB frá 11. maí 2016 um rekstrarsamhæfi járnbrautakerfisins í Evrópusambandinu (</w:t>
      </w:r>
      <w:proofErr w:type="spellStart"/>
      <w:r>
        <w:t>Stjtíð</w:t>
      </w:r>
      <w:proofErr w:type="spellEnd"/>
      <w:r>
        <w:t>. ESB L 138, 26.5.2016, bls. 44).</w:t>
      </w:r>
    </w:p>
  </w:footnote>
  <w:footnote w:id="290">
    <w:p w14:paraId="552187F6"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Í samræmi við reglugerð Evrópuþingsins og ráðsins (ESB) nr. 1315/2013 frá 11. desember 2013 um viðmiðunarreglur Sambandsins varðandi uppbyggingu </w:t>
      </w:r>
      <w:proofErr w:type="spellStart"/>
      <w:r>
        <w:t>samevrópska</w:t>
      </w:r>
      <w:proofErr w:type="spellEnd"/>
      <w:r>
        <w:t xml:space="preserve"> flutninganetsins og um niðurfellingu á ákvörðun nr. 661/2010/ESB (</w:t>
      </w:r>
      <w:proofErr w:type="spellStart"/>
      <w:r>
        <w:t>Stjtíð</w:t>
      </w:r>
      <w:proofErr w:type="spellEnd"/>
      <w:r>
        <w:t>. ESB L 348, 20.12.2013, bls. 1).</w:t>
      </w:r>
    </w:p>
  </w:footnote>
  <w:footnote w:id="291">
    <w:p w14:paraId="0269C12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292">
    <w:p w14:paraId="2E23FEB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2002/49/EB frá 25. júní 2002 um mat og stjórn á hávaða í umhverfinu (</w:t>
      </w:r>
      <w:proofErr w:type="spellStart"/>
      <w:r>
        <w:t>Stjtíð</w:t>
      </w:r>
      <w:proofErr w:type="spellEnd"/>
      <w:r>
        <w:t>. EB L 189, 18.7.2002, bls. 12).</w:t>
      </w:r>
    </w:p>
  </w:footnote>
  <w:footnote w:id="293">
    <w:p w14:paraId="35F05F0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294">
    <w:p w14:paraId="617A22C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295">
    <w:p w14:paraId="2595E01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(https://ec.europa.eu/growth/content/eu-construction-and-demolition-waste-protocol-0_en).</w:t>
      </w:r>
    </w:p>
  </w:footnote>
  <w:footnote w:id="296">
    <w:p w14:paraId="01C2FFD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Útreiknað</w:t>
      </w:r>
      <w:proofErr w:type="spellEnd"/>
      <w:r>
        <w:t xml:space="preserve"> magn orku sem þarf til uppfylla orkuþörf sem tengist dæmigerðri notkun á byggingu, gefið upp með tölulegum vísi fyrir heildarfrumorkunotkun í kWh/m</w:t>
      </w:r>
      <w:r>
        <w:rPr>
          <w:vertAlign w:val="superscript"/>
        </w:rPr>
        <w:t>2</w:t>
      </w:r>
      <w:r>
        <w:t xml:space="preserve"> á ári og byggt á viðeigandi landsbundinni aðferð við útreikninga og eins og kemur fram í orkunýtingarvottorðinu.</w:t>
      </w:r>
    </w:p>
  </w:footnote>
  <w:footnote w:id="297">
    <w:p w14:paraId="30DCBB8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2010/31/ESB frá 19. maí 2010 um orkunýtingu bygginga (</w:t>
      </w:r>
      <w:proofErr w:type="spellStart"/>
      <w:r>
        <w:t>Stjtíð</w:t>
      </w:r>
      <w:proofErr w:type="spellEnd"/>
      <w:r>
        <w:t>. ESB L 153, 18.6.2010, bls. 13).</w:t>
      </w:r>
    </w:p>
  </w:footnote>
  <w:footnote w:id="298">
    <w:p w14:paraId="1F12481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 því er varðar íbúðarhúsnæði er gerð prófun á dæmigerðum hópi húsnæðis/íbúðategunda.</w:t>
      </w:r>
    </w:p>
  </w:footnote>
  <w:footnote w:id="299">
    <w:p w14:paraId="1B6561D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Prófunin er framkvæmd í samræmi við EN13187 (</w:t>
      </w:r>
      <w:proofErr w:type="spellStart"/>
      <w:r>
        <w:t>Thermal</w:t>
      </w:r>
      <w:proofErr w:type="spellEnd"/>
      <w:r>
        <w:t xml:space="preserve"> </w:t>
      </w:r>
      <w:proofErr w:type="spellStart"/>
      <w:r>
        <w:t>Performance</w:t>
      </w:r>
      <w:proofErr w:type="spellEnd"/>
      <w:r>
        <w:t xml:space="preserve"> of </w:t>
      </w:r>
      <w:proofErr w:type="spellStart"/>
      <w:r>
        <w:t>Buildings</w:t>
      </w:r>
      <w:proofErr w:type="spellEnd"/>
      <w:r>
        <w:t xml:space="preserve"> - </w:t>
      </w:r>
      <w:proofErr w:type="spellStart"/>
      <w:r>
        <w:t>Qualitative</w:t>
      </w:r>
      <w:proofErr w:type="spellEnd"/>
      <w:r>
        <w:t xml:space="preserve"> </w:t>
      </w:r>
      <w:proofErr w:type="spellStart"/>
      <w:r>
        <w:t>Detection</w:t>
      </w:r>
      <w:proofErr w:type="spellEnd"/>
      <w:r>
        <w:t xml:space="preserve"> of </w:t>
      </w:r>
      <w:proofErr w:type="spellStart"/>
      <w:r>
        <w:t>Thermal</w:t>
      </w:r>
      <w:proofErr w:type="spellEnd"/>
      <w:r>
        <w:t xml:space="preserve"> </w:t>
      </w:r>
      <w:proofErr w:type="spellStart"/>
      <w:r>
        <w:t>Irregularities</w:t>
      </w:r>
      <w:proofErr w:type="spellEnd"/>
      <w:r>
        <w:t xml:space="preserve"> </w:t>
      </w:r>
      <w:proofErr w:type="spellStart"/>
      <w:r>
        <w:t>in</w:t>
      </w:r>
      <w:proofErr w:type="spellEnd"/>
      <w:r>
        <w:t xml:space="preserve"> </w:t>
      </w:r>
      <w:proofErr w:type="spellStart"/>
      <w:r>
        <w:t>Building</w:t>
      </w:r>
      <w:proofErr w:type="spellEnd"/>
      <w:r>
        <w:t xml:space="preserve"> </w:t>
      </w:r>
      <w:proofErr w:type="spellStart"/>
      <w:r>
        <w:t>Envelopes</w:t>
      </w:r>
      <w:proofErr w:type="spellEnd"/>
      <w:r>
        <w:t xml:space="preserve"> - </w:t>
      </w:r>
      <w:proofErr w:type="spellStart"/>
      <w:r>
        <w:t>Infrared</w:t>
      </w:r>
      <w:proofErr w:type="spellEnd"/>
      <w:r>
        <w:t xml:space="preserve"> Method) og EN 13829 (</w:t>
      </w:r>
      <w:proofErr w:type="spellStart"/>
      <w:r>
        <w:t>Thermal</w:t>
      </w:r>
      <w:proofErr w:type="spellEnd"/>
      <w:r>
        <w:t xml:space="preserve"> </w:t>
      </w:r>
      <w:proofErr w:type="spellStart"/>
      <w:r>
        <w:t>performance</w:t>
      </w:r>
      <w:proofErr w:type="spellEnd"/>
      <w:r>
        <w:t xml:space="preserve"> of </w:t>
      </w:r>
      <w:proofErr w:type="spellStart"/>
      <w:r>
        <w:t>buildings</w:t>
      </w:r>
      <w:proofErr w:type="spellEnd"/>
      <w:r>
        <w:t xml:space="preserve">. </w:t>
      </w:r>
      <w:proofErr w:type="spellStart"/>
      <w:r>
        <w:t>Determination</w:t>
      </w:r>
      <w:proofErr w:type="spellEnd"/>
      <w:r>
        <w:t xml:space="preserve"> of </w:t>
      </w:r>
      <w:proofErr w:type="spellStart"/>
      <w:r>
        <w:t>air</w:t>
      </w:r>
      <w:proofErr w:type="spellEnd"/>
      <w:r>
        <w:t xml:space="preserve"> </w:t>
      </w:r>
      <w:proofErr w:type="spellStart"/>
      <w:r>
        <w:t>permeability</w:t>
      </w:r>
      <w:proofErr w:type="spellEnd"/>
      <w:r>
        <w:t xml:space="preserve"> of </w:t>
      </w:r>
      <w:proofErr w:type="spellStart"/>
      <w:r>
        <w:t>buildings</w:t>
      </w:r>
      <w:proofErr w:type="spellEnd"/>
      <w:r>
        <w:t xml:space="preserve">. </w:t>
      </w:r>
      <w:proofErr w:type="spellStart"/>
      <w:r>
        <w:t>Fan</w:t>
      </w:r>
      <w:proofErr w:type="spellEnd"/>
      <w:r>
        <w:t xml:space="preserve"> </w:t>
      </w:r>
      <w:proofErr w:type="spellStart"/>
      <w:r>
        <w:t>pressurisation</w:t>
      </w:r>
      <w:proofErr w:type="spellEnd"/>
      <w:r>
        <w:t xml:space="preserve"> method) eða staðla sem viðkomandi byggingaeftirlitsaðili, þar sem byggingin er staðsett, samþykkir.</w:t>
      </w:r>
    </w:p>
  </w:footnote>
  <w:footnote w:id="300">
    <w:p w14:paraId="1B68599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 því er varðar íbúðarhúsnæði miðast útreikningur og birting upplýsingar við dæmigerðan hóp húsnæðis/íbúðategunda.</w:t>
      </w:r>
    </w:p>
  </w:footnote>
  <w:footnote w:id="301">
    <w:p w14:paraId="0D42BF5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Hnatthlýnunarmátturinn er tilkynntur sem tölulegur vísir fyrir hvert vistferilsstig, gefinn upp sem kgCO</w:t>
      </w:r>
      <w:r>
        <w:rPr>
          <w:vertAlign w:val="subscript"/>
        </w:rPr>
        <w:t>2</w:t>
      </w:r>
      <w:r>
        <w:t>e/m</w:t>
      </w:r>
      <w:r>
        <w:rPr>
          <w:vertAlign w:val="superscript"/>
        </w:rPr>
        <w:t>2</w:t>
      </w:r>
      <w:r>
        <w:t xml:space="preserve"> (af </w:t>
      </w:r>
      <w:proofErr w:type="spellStart"/>
      <w:r>
        <w:t>nýtanlegum</w:t>
      </w:r>
      <w:proofErr w:type="spellEnd"/>
      <w:r>
        <w:t xml:space="preserve"> gólffleti innandyra) reiknaður sem meðaltal eins árs af 50 ára viðmiðunartímabili rannsóknarinnar. Val á gögnum, skilgreining á sviðsmynd og útreikningar fara fram í samræmi við EN 15978 (BS EN 15978:2011. </w:t>
      </w:r>
      <w:proofErr w:type="spellStart"/>
      <w:r>
        <w:t>Sustainability</w:t>
      </w:r>
      <w:proofErr w:type="spellEnd"/>
      <w:r>
        <w:t xml:space="preserve"> of </w:t>
      </w:r>
      <w:proofErr w:type="spellStart"/>
      <w:r>
        <w:t>construction</w:t>
      </w:r>
      <w:proofErr w:type="spellEnd"/>
      <w:r>
        <w:t xml:space="preserve"> </w:t>
      </w:r>
      <w:proofErr w:type="spellStart"/>
      <w:r>
        <w:t>works</w:t>
      </w:r>
      <w:proofErr w:type="spellEnd"/>
      <w:r>
        <w:t xml:space="preserve">. Assessment of </w:t>
      </w:r>
      <w:proofErr w:type="spellStart"/>
      <w:r>
        <w:t>environmental</w:t>
      </w:r>
      <w:proofErr w:type="spellEnd"/>
      <w:r>
        <w:t xml:space="preserve"> </w:t>
      </w:r>
      <w:proofErr w:type="spellStart"/>
      <w:r>
        <w:t>performance</w:t>
      </w:r>
      <w:proofErr w:type="spellEnd"/>
      <w:r>
        <w:t xml:space="preserve"> of </w:t>
      </w:r>
      <w:proofErr w:type="spellStart"/>
      <w:r>
        <w:t>buildings</w:t>
      </w:r>
      <w:proofErr w:type="spellEnd"/>
      <w:r>
        <w:t xml:space="preserve">. </w:t>
      </w:r>
      <w:proofErr w:type="spellStart"/>
      <w:r>
        <w:t>Calculation</w:t>
      </w:r>
      <w:proofErr w:type="spellEnd"/>
      <w:r>
        <w:t xml:space="preserve"> method). Umfang byggingaþátta og tæknibúnaðar er eins og skilgreint er fyrir vísi 2 í Stig (e. Level(s)), sameiginlegum ramma ESB. Ef landsbundin reiknitól eru til staðar, eða ef það er nauðsynlegt til að birta upplýsingar eða til að fá byggingarleyfi, má nota viðkomandi tól til að veita upplýsingarnar sem krafist er. Nota má önnur reiknitól ef þau uppfylla lágmarksviðmiðunina sem mælt er fyrir um í Stig - sameiginlegum ramma ESB (útgáfa frá 4.6.2021: https://susproc.jrc.ec.europa.eu/product-bureau/product-groups/412/documents), sjá notendahandbók fyrir vísi 1.2.</w:t>
      </w:r>
    </w:p>
  </w:footnote>
  <w:footnote w:id="302">
    <w:p w14:paraId="54B253C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303">
    <w:p w14:paraId="5843D7F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 20887:2020, </w:t>
      </w:r>
      <w:proofErr w:type="spellStart"/>
      <w:r>
        <w:t>Sustainability</w:t>
      </w:r>
      <w:proofErr w:type="spellEnd"/>
      <w:r>
        <w:t xml:space="preserve"> </w:t>
      </w:r>
      <w:proofErr w:type="spellStart"/>
      <w:r>
        <w:t>in</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works</w:t>
      </w:r>
      <w:proofErr w:type="spellEnd"/>
      <w:r>
        <w:t xml:space="preserve"> - </w:t>
      </w:r>
      <w:proofErr w:type="spellStart"/>
      <w:r>
        <w:t>Design</w:t>
      </w:r>
      <w:proofErr w:type="spellEnd"/>
      <w:r>
        <w:t xml:space="preserve"> for </w:t>
      </w:r>
      <w:proofErr w:type="spellStart"/>
      <w:r>
        <w:t>disassembly</w:t>
      </w:r>
      <w:proofErr w:type="spellEnd"/>
      <w:r>
        <w:t xml:space="preserve"> </w:t>
      </w:r>
      <w:proofErr w:type="spellStart"/>
      <w:r>
        <w:t>and</w:t>
      </w:r>
      <w:proofErr w:type="spellEnd"/>
      <w:r>
        <w:t xml:space="preserve"> </w:t>
      </w:r>
      <w:proofErr w:type="spellStart"/>
      <w:r>
        <w:t>adaptability</w:t>
      </w:r>
      <w:proofErr w:type="spellEnd"/>
      <w:r>
        <w:t xml:space="preserve"> - </w:t>
      </w:r>
      <w:proofErr w:type="spellStart"/>
      <w:r>
        <w:t>Principles</w:t>
      </w:r>
      <w:proofErr w:type="spellEnd"/>
      <w:r>
        <w:t xml:space="preserve">, </w:t>
      </w:r>
      <w:proofErr w:type="spellStart"/>
      <w:r>
        <w:t>requirements</w:t>
      </w:r>
      <w:proofErr w:type="spellEnd"/>
      <w:r>
        <w:t xml:space="preserve"> </w:t>
      </w:r>
      <w:proofErr w:type="spellStart"/>
      <w:r>
        <w:t>and</w:t>
      </w:r>
      <w:proofErr w:type="spellEnd"/>
      <w:r>
        <w:t xml:space="preserve"> </w:t>
      </w:r>
      <w:proofErr w:type="spellStart"/>
      <w:r>
        <w:t>guidance</w:t>
      </w:r>
      <w:proofErr w:type="spellEnd"/>
      <w:r>
        <w:t xml:space="preserve"> (útgáfa frá 4.6.2021: https://www.iso.org/standard/69370.html).</w:t>
      </w:r>
    </w:p>
  </w:footnote>
  <w:footnote w:id="304">
    <w:p w14:paraId="3DC14286"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Gildir um málningu og lökk, loftflísar, </w:t>
      </w:r>
      <w:proofErr w:type="spellStart"/>
      <w:r>
        <w:t>gólfklæðningar</w:t>
      </w:r>
      <w:proofErr w:type="spellEnd"/>
      <w:r>
        <w:t>, þ.m.t. tengd lím- og þéttiefni, innri einangrun og yfirborðsmeðferð innanhúss, s.s. til að meðhöndla raka og myglu.</w:t>
      </w:r>
    </w:p>
  </w:footnote>
  <w:footnote w:id="305">
    <w:p w14:paraId="3A21EB1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CEN/TS 16516: 2013, Byggingarvörur - Mat á losun hættulegra efna - Ákvörðun losunar í andrúmsloft innanhúss.</w:t>
      </w:r>
    </w:p>
  </w:footnote>
  <w:footnote w:id="306">
    <w:p w14:paraId="4243C39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 16000-3:2011, </w:t>
      </w:r>
      <w:proofErr w:type="spellStart"/>
      <w:r>
        <w:t>Indoor</w:t>
      </w:r>
      <w:proofErr w:type="spellEnd"/>
      <w:r>
        <w:t xml:space="preserve"> </w:t>
      </w:r>
      <w:proofErr w:type="spellStart"/>
      <w:r>
        <w:t>air</w:t>
      </w:r>
      <w:proofErr w:type="spellEnd"/>
      <w:r>
        <w:t xml:space="preserve"> — Part 3: </w:t>
      </w:r>
      <w:proofErr w:type="spellStart"/>
      <w:r>
        <w:t>Determination</w:t>
      </w:r>
      <w:proofErr w:type="spellEnd"/>
      <w:r>
        <w:t xml:space="preserve"> of </w:t>
      </w:r>
      <w:proofErr w:type="spellStart"/>
      <w:r>
        <w:t>formaldehyde</w:t>
      </w:r>
      <w:proofErr w:type="spellEnd"/>
      <w:r>
        <w:t xml:space="preserve"> </w:t>
      </w:r>
      <w:proofErr w:type="spellStart"/>
      <w:r>
        <w:t>and</w:t>
      </w:r>
      <w:proofErr w:type="spellEnd"/>
      <w:r>
        <w:t xml:space="preserve"> other </w:t>
      </w:r>
      <w:proofErr w:type="spellStart"/>
      <w:r>
        <w:t>carbonyl</w:t>
      </w:r>
      <w:proofErr w:type="spellEnd"/>
      <w:r>
        <w:t xml:space="preserve"> </w:t>
      </w:r>
      <w:proofErr w:type="spellStart"/>
      <w:r>
        <w:t>compounds</w:t>
      </w:r>
      <w:proofErr w:type="spellEnd"/>
      <w:r>
        <w:t xml:space="preserve"> </w:t>
      </w:r>
      <w:proofErr w:type="spellStart"/>
      <w:r>
        <w:t>in</w:t>
      </w:r>
      <w:proofErr w:type="spellEnd"/>
      <w:r>
        <w:t xml:space="preserve"> </w:t>
      </w:r>
      <w:proofErr w:type="spellStart"/>
      <w:r>
        <w:t>indoor</w:t>
      </w:r>
      <w:proofErr w:type="spellEnd"/>
      <w:r>
        <w:t xml:space="preserve"> </w:t>
      </w:r>
      <w:proofErr w:type="spellStart"/>
      <w:r>
        <w:t>air</w:t>
      </w:r>
      <w:proofErr w:type="spellEnd"/>
      <w:r>
        <w:t xml:space="preserve"> </w:t>
      </w:r>
      <w:proofErr w:type="spellStart"/>
      <w:r>
        <w:t>and</w:t>
      </w:r>
      <w:proofErr w:type="spellEnd"/>
      <w:r>
        <w:t xml:space="preserve"> </w:t>
      </w:r>
      <w:proofErr w:type="spellStart"/>
      <w:r>
        <w:t>test</w:t>
      </w:r>
      <w:proofErr w:type="spellEnd"/>
      <w:r>
        <w:t xml:space="preserve"> </w:t>
      </w:r>
      <w:proofErr w:type="spellStart"/>
      <w:r>
        <w:t>chamber</w:t>
      </w:r>
      <w:proofErr w:type="spellEnd"/>
      <w:r>
        <w:t xml:space="preserve"> </w:t>
      </w:r>
      <w:proofErr w:type="spellStart"/>
      <w:r>
        <w:t>air</w:t>
      </w:r>
      <w:proofErr w:type="spellEnd"/>
      <w:r>
        <w:t xml:space="preserve"> — Active </w:t>
      </w:r>
      <w:proofErr w:type="spellStart"/>
      <w:r>
        <w:t>sampling</w:t>
      </w:r>
      <w:proofErr w:type="spellEnd"/>
      <w:r>
        <w:t xml:space="preserve"> method (útgáfa frá 4.6.2021: https://www.iso.org/standard/51812.html).</w:t>
      </w:r>
    </w:p>
  </w:footnote>
  <w:footnote w:id="307">
    <w:p w14:paraId="3CB35E9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Losunarmörk fyrir krabbameinsvaldandi rokgjörn, lífræn efnasambönd tengjast 28 daga prófunartímabili.</w:t>
      </w:r>
    </w:p>
  </w:footnote>
  <w:footnote w:id="308">
    <w:p w14:paraId="48405517"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ISO 18400-röðin um jarðvegsgæði — Sýnataka</w:t>
      </w:r>
    </w:p>
  </w:footnote>
  <w:footnote w:id="309">
    <w:p w14:paraId="670D40D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JRC ESDCA, LUCAS: Vöktunarkerfi yfir landnotkun og landþekju, útgáfa frá 4.6.2021: https://esdac.jrc.ec.europa.eu/projects/lucas</w:t>
      </w:r>
    </w:p>
  </w:footnote>
  <w:footnote w:id="310">
    <w:p w14:paraId="027CC6F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Alþjóðanáttúruverndarsambandið, rauðlisti Alþjóðanáttúruverndarsambandsins yfir tegundir sem er ógnað (útgáfa frá </w:t>
      </w:r>
      <w:r>
        <w:rPr>
          <w:i/>
        </w:rPr>
        <w:t>4.6.2021:</w:t>
      </w:r>
      <w:r>
        <w:t xml:space="preserve"> https://www.iucn.org/regions/europe/our-work/biodiversity-conservation/european-red-list-threatened-species).</w:t>
      </w:r>
    </w:p>
  </w:footnote>
  <w:footnote w:id="311">
    <w:p w14:paraId="07E9527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Alþjóðanáttúruverndarsambandið, rauðlisti Alþjóðanáttúruverndarsambandsins yfir tegundir sem er ógnað (útgáfa frá </w:t>
      </w:r>
      <w:r>
        <w:rPr>
          <w:i/>
        </w:rPr>
        <w:t>4.6.2021:</w:t>
      </w:r>
      <w:r>
        <w:t xml:space="preserve"> https://www.iucnredlist.org).</w:t>
      </w:r>
    </w:p>
  </w:footnote>
  <w:footnote w:id="312">
    <w:p w14:paraId="1D0E42B5"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313">
    <w:p w14:paraId="4721D43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Eins og er fastsett í gildandi landsbundnum og svæðisbundnum byggingareglum um „meiri háttar endurnýjun“ til framkvæmdar tilskipun 2010/31/ESB. Orkunýting byggingarinnar eða endurnýjaða hlutans sem er uppfærður uppfyllir kostnaðarhagkvæmustu lágmarkskröfurnar um orkunýtingu í samræmi við viðkomandi tilskipun.</w:t>
      </w:r>
    </w:p>
  </w:footnote>
  <w:footnote w:id="314">
    <w:p w14:paraId="77D61A1A"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Upphafleg frumorkuþörf og áætlaðar úrbætur eru byggðar á ítarlegri byggingarannsókn, orkuúttekt sem viðurkenndur óháður sérfræðingur framkvæmir eða er framkvæmd með annarri gagnsærri og hóflegri aðferð, og fullgild með orkunýtingarvottorði. Úrbætur sem nema 30% stafa af raunverulegum samdrætti í frumorkuþörf (þar sem ekki er tekið tillit til samdráttar í hreinni frumorkuþörf gegnum endurnýjanlega orkugjafa) og þeim er unnt að ná fram með röð ráðstafana innan þriggja ára hið mesta.</w:t>
      </w:r>
    </w:p>
  </w:footnote>
  <w:footnote w:id="315">
    <w:p w14:paraId="6BB445B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316">
    <w:p w14:paraId="7DE44BE2"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 20887:2020, </w:t>
      </w:r>
      <w:proofErr w:type="spellStart"/>
      <w:r>
        <w:t>Sustainability</w:t>
      </w:r>
      <w:proofErr w:type="spellEnd"/>
      <w:r>
        <w:t xml:space="preserve"> </w:t>
      </w:r>
      <w:proofErr w:type="spellStart"/>
      <w:r>
        <w:t>in</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works</w:t>
      </w:r>
      <w:proofErr w:type="spellEnd"/>
      <w:r>
        <w:t xml:space="preserve"> - </w:t>
      </w:r>
      <w:proofErr w:type="spellStart"/>
      <w:r>
        <w:t>Design</w:t>
      </w:r>
      <w:proofErr w:type="spellEnd"/>
      <w:r>
        <w:t xml:space="preserve"> for </w:t>
      </w:r>
      <w:proofErr w:type="spellStart"/>
      <w:r>
        <w:t>disassembly</w:t>
      </w:r>
      <w:proofErr w:type="spellEnd"/>
      <w:r>
        <w:t xml:space="preserve"> </w:t>
      </w:r>
      <w:proofErr w:type="spellStart"/>
      <w:r>
        <w:t>and</w:t>
      </w:r>
      <w:proofErr w:type="spellEnd"/>
      <w:r>
        <w:t xml:space="preserve"> </w:t>
      </w:r>
      <w:proofErr w:type="spellStart"/>
      <w:r>
        <w:t>adaptability</w:t>
      </w:r>
      <w:proofErr w:type="spellEnd"/>
      <w:r>
        <w:t xml:space="preserve"> - </w:t>
      </w:r>
      <w:proofErr w:type="spellStart"/>
      <w:r>
        <w:t>Principles</w:t>
      </w:r>
      <w:proofErr w:type="spellEnd"/>
      <w:r>
        <w:t xml:space="preserve">, </w:t>
      </w:r>
      <w:proofErr w:type="spellStart"/>
      <w:r>
        <w:t>requirements</w:t>
      </w:r>
      <w:proofErr w:type="spellEnd"/>
      <w:r>
        <w:t xml:space="preserve"> </w:t>
      </w:r>
      <w:proofErr w:type="spellStart"/>
      <w:r>
        <w:t>and</w:t>
      </w:r>
      <w:proofErr w:type="spellEnd"/>
      <w:r>
        <w:t xml:space="preserve"> </w:t>
      </w:r>
      <w:proofErr w:type="spellStart"/>
      <w:r>
        <w:t>guidance</w:t>
      </w:r>
      <w:proofErr w:type="spellEnd"/>
      <w:r>
        <w:t xml:space="preserve"> (útgáfa frá 4.6.2021: https://www.iso.org/standard/69370.html).</w:t>
      </w:r>
    </w:p>
  </w:footnote>
  <w:footnote w:id="317">
    <w:p w14:paraId="3A40106B"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Gildir um málningu og lökk, loftflísar, </w:t>
      </w:r>
      <w:proofErr w:type="spellStart"/>
      <w:r>
        <w:t>gólfklæðningar</w:t>
      </w:r>
      <w:proofErr w:type="spellEnd"/>
      <w:r>
        <w:t>, þ.m.t. tengd lím- og þéttiefni, innri einangrun og yfirborðsmeðferð innanhúss (s.s. til að meðhöndla raka og myglu).</w:t>
      </w:r>
    </w:p>
  </w:footnote>
  <w:footnote w:id="318">
    <w:p w14:paraId="46C2A15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 16000-3:2011, </w:t>
      </w:r>
      <w:proofErr w:type="spellStart"/>
      <w:r>
        <w:t>Indoor</w:t>
      </w:r>
      <w:proofErr w:type="spellEnd"/>
      <w:r>
        <w:t xml:space="preserve"> </w:t>
      </w:r>
      <w:proofErr w:type="spellStart"/>
      <w:r>
        <w:t>air</w:t>
      </w:r>
      <w:proofErr w:type="spellEnd"/>
      <w:r>
        <w:t xml:space="preserve"> — Part 3: </w:t>
      </w:r>
      <w:proofErr w:type="spellStart"/>
      <w:r>
        <w:t>Determination</w:t>
      </w:r>
      <w:proofErr w:type="spellEnd"/>
      <w:r>
        <w:t xml:space="preserve"> of </w:t>
      </w:r>
      <w:proofErr w:type="spellStart"/>
      <w:r>
        <w:t>formaldehyde</w:t>
      </w:r>
      <w:proofErr w:type="spellEnd"/>
      <w:r>
        <w:t xml:space="preserve"> </w:t>
      </w:r>
      <w:proofErr w:type="spellStart"/>
      <w:r>
        <w:t>and</w:t>
      </w:r>
      <w:proofErr w:type="spellEnd"/>
      <w:r>
        <w:t xml:space="preserve"> other </w:t>
      </w:r>
      <w:proofErr w:type="spellStart"/>
      <w:r>
        <w:t>carbonyl</w:t>
      </w:r>
      <w:proofErr w:type="spellEnd"/>
      <w:r>
        <w:t xml:space="preserve"> </w:t>
      </w:r>
      <w:proofErr w:type="spellStart"/>
      <w:r>
        <w:t>compounds</w:t>
      </w:r>
      <w:proofErr w:type="spellEnd"/>
      <w:r>
        <w:t xml:space="preserve"> </w:t>
      </w:r>
      <w:proofErr w:type="spellStart"/>
      <w:r>
        <w:t>in</w:t>
      </w:r>
      <w:proofErr w:type="spellEnd"/>
      <w:r>
        <w:t xml:space="preserve"> </w:t>
      </w:r>
      <w:proofErr w:type="spellStart"/>
      <w:r>
        <w:t>indoor</w:t>
      </w:r>
      <w:proofErr w:type="spellEnd"/>
      <w:r>
        <w:t xml:space="preserve"> </w:t>
      </w:r>
      <w:proofErr w:type="spellStart"/>
      <w:r>
        <w:t>air</w:t>
      </w:r>
      <w:proofErr w:type="spellEnd"/>
      <w:r>
        <w:t xml:space="preserve"> </w:t>
      </w:r>
      <w:proofErr w:type="spellStart"/>
      <w:r>
        <w:t>and</w:t>
      </w:r>
      <w:proofErr w:type="spellEnd"/>
      <w:r>
        <w:t xml:space="preserve"> </w:t>
      </w:r>
      <w:proofErr w:type="spellStart"/>
      <w:r>
        <w:t>test</w:t>
      </w:r>
      <w:proofErr w:type="spellEnd"/>
      <w:r>
        <w:t xml:space="preserve"> </w:t>
      </w:r>
      <w:proofErr w:type="spellStart"/>
      <w:r>
        <w:t>chamber</w:t>
      </w:r>
      <w:proofErr w:type="spellEnd"/>
      <w:r>
        <w:t xml:space="preserve"> </w:t>
      </w:r>
      <w:proofErr w:type="spellStart"/>
      <w:r>
        <w:t>air</w:t>
      </w:r>
      <w:proofErr w:type="spellEnd"/>
      <w:r>
        <w:t xml:space="preserve"> — Active </w:t>
      </w:r>
      <w:proofErr w:type="spellStart"/>
      <w:r>
        <w:t>sampling</w:t>
      </w:r>
      <w:proofErr w:type="spellEnd"/>
      <w:r>
        <w:t xml:space="preserve"> method (útgáfa frá 4.6.2021: https://www.iso.org/standard/51812.html).</w:t>
      </w:r>
    </w:p>
  </w:footnote>
  <w:footnote w:id="319">
    <w:p w14:paraId="33B3DFCB"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Losunarmörk fyrir krabbameinsvaldandi rokgjörn, lífræn efnasambönd tengjast 28 daga prófunartímabili.</w:t>
      </w:r>
    </w:p>
  </w:footnote>
  <w:footnote w:id="320">
    <w:p w14:paraId="169D4524"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Þetta er hægt að sýna fram á, t.d. með tilvist samnings um orkunýtingu eða sjálfvirku kerfi og stýrikerfi byggingar í samræmi við 4. mgr. 14. gr. og 4. mgr. 15. gr. tilskipunar 2010/31/ESB. </w:t>
      </w:r>
    </w:p>
  </w:footnote>
  <w:footnote w:id="321">
    <w:p w14:paraId="2A723A1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Gagnaver fela í sér eftirfarandi búnað: Upplýsinga- og fjarskiptatæknibúnaður og -þjónusta; kæling; orkubúnaður fyrir gagnaver; orkudreifingarbúnaður fyrir gagnaver; gagnaversbygging; vöktunarkerfi.</w:t>
      </w:r>
    </w:p>
  </w:footnote>
  <w:footnote w:id="322">
    <w:p w14:paraId="7B2C41A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Nýjasta útgáfa evrópsku siðareglnanna um </w:t>
      </w:r>
      <w:proofErr w:type="spellStart"/>
      <w:r>
        <w:t>orkunýtni</w:t>
      </w:r>
      <w:proofErr w:type="spellEnd"/>
      <w:r>
        <w:t xml:space="preserve"> gagnavera er síðasta útgáfan sem var birt á vefsetri Sameiginlegu rannsóknarmiðstöðvarinnar fyrir evrópskan </w:t>
      </w:r>
      <w:proofErr w:type="spellStart"/>
      <w:r>
        <w:t>orkunýtnivettvang</w:t>
      </w:r>
      <w:proofErr w:type="spellEnd"/>
      <w:r>
        <w:t xml:space="preserve"> (e. </w:t>
      </w:r>
      <w:r>
        <w:rPr>
          <w:i/>
          <w:iCs/>
        </w:rPr>
        <w:t xml:space="preserve">European Energy </w:t>
      </w:r>
      <w:proofErr w:type="spellStart"/>
      <w:r>
        <w:rPr>
          <w:i/>
          <w:iCs/>
        </w:rPr>
        <w:t>Efficiency</w:t>
      </w:r>
      <w:proofErr w:type="spellEnd"/>
      <w:r>
        <w:rPr>
          <w:i/>
          <w:iCs/>
        </w:rPr>
        <w:t xml:space="preserve"> Platform</w:t>
      </w:r>
      <w:r>
        <w:t>), https://e3p.jrc.ec.europa.eu/communities/data-centres-code-conduct, með sex mánaða umbreytingartímabili sem hefst daginn sem þær voru birtar (útgáfan frá 2021 er aðgengileg á https://e3p.jrc.ec.europa.eu/publications/2021-best-practice-guidelines-eu-code-conduct-data-centre-energy-efficiency).</w:t>
      </w:r>
    </w:p>
  </w:footnote>
  <w:footnote w:id="323">
    <w:p w14:paraId="6BE06D33"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Gefið út 1. júlí 2019 af </w:t>
      </w:r>
      <w:proofErr w:type="spellStart"/>
      <w:r>
        <w:t>staðlasamtökum</w:t>
      </w:r>
      <w:proofErr w:type="spellEnd"/>
      <w:r>
        <w:t xml:space="preserve"> Evrópu og </w:t>
      </w:r>
      <w:proofErr w:type="spellStart"/>
      <w:r>
        <w:t>rafstaðlasamtökum</w:t>
      </w:r>
      <w:proofErr w:type="spellEnd"/>
      <w:r>
        <w:t xml:space="preserve"> Evrópu, (útgáfa frá 4.6.2021: https://www.cenelec.eu/dyn/www/f?p=104:110:508227404055501::::FSP_ORG_ID,FSP_PROJECT,FSP_LANG_ID:1258297,65095,25).</w:t>
      </w:r>
    </w:p>
  </w:footnote>
  <w:footnote w:id="324">
    <w:p w14:paraId="1BCA3856"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Tilskipun Evrópuþingsins og ráðsins 2011/65/ESB frá 8. júní 2011 um takmarkanir á notkun tiltekinna, hættulegra efna í </w:t>
      </w:r>
      <w:proofErr w:type="spellStart"/>
      <w:r>
        <w:t>rafbúnaði</w:t>
      </w:r>
      <w:proofErr w:type="spellEnd"/>
      <w:r>
        <w:t xml:space="preserve"> og rafeindabúnaði (</w:t>
      </w:r>
      <w:proofErr w:type="spellStart"/>
      <w:r>
        <w:t>Stjtíð</w:t>
      </w:r>
      <w:proofErr w:type="spellEnd"/>
      <w:r>
        <w:t>. ESB L 174, 1.7.2011, bls. 88).</w:t>
      </w:r>
    </w:p>
  </w:footnote>
  <w:footnote w:id="325">
    <w:p w14:paraId="37E009F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Tilskipun Evrópuþingsins og ráðsins 2012/19/ESB frá 4. júlí 2012 um </w:t>
      </w:r>
      <w:proofErr w:type="spellStart"/>
      <w:r>
        <w:t>raf</w:t>
      </w:r>
      <w:proofErr w:type="spellEnd"/>
      <w:r>
        <w:t>- og rafeindabúnaðarúrgang (</w:t>
      </w:r>
      <w:proofErr w:type="spellStart"/>
      <w:r>
        <w:t>Stjtíð</w:t>
      </w:r>
      <w:proofErr w:type="spellEnd"/>
      <w:r>
        <w:t>. ESB L 197, 24.7.2012, bls. 38).</w:t>
      </w:r>
    </w:p>
  </w:footnote>
  <w:footnote w:id="326">
    <w:p w14:paraId="28EC2B71"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ETSI ES 203 199, </w:t>
      </w:r>
      <w:proofErr w:type="spellStart"/>
      <w:r>
        <w:t>Environmental</w:t>
      </w:r>
      <w:proofErr w:type="spellEnd"/>
      <w:r>
        <w:t xml:space="preserve"> Engineering (EE); </w:t>
      </w:r>
      <w:proofErr w:type="spellStart"/>
      <w:r>
        <w:t>Methodology</w:t>
      </w:r>
      <w:proofErr w:type="spellEnd"/>
      <w:r>
        <w:t xml:space="preserve"> for </w:t>
      </w:r>
      <w:proofErr w:type="spellStart"/>
      <w:r>
        <w:t>environmental</w:t>
      </w:r>
      <w:proofErr w:type="spellEnd"/>
      <w:r>
        <w:t xml:space="preserve"> Life </w:t>
      </w:r>
      <w:proofErr w:type="spellStart"/>
      <w:r>
        <w:t>Cycle</w:t>
      </w:r>
      <w:proofErr w:type="spellEnd"/>
      <w:r>
        <w:t xml:space="preserve"> Assessment (LCA) of Information </w:t>
      </w:r>
      <w:proofErr w:type="spellStart"/>
      <w:r>
        <w:t>and</w:t>
      </w:r>
      <w:proofErr w:type="spellEnd"/>
      <w:r>
        <w:t xml:space="preserve"> Communication Technology (ICT) </w:t>
      </w:r>
      <w:proofErr w:type="spellStart"/>
      <w:r>
        <w:t>goods</w:t>
      </w:r>
      <w:proofErr w:type="spellEnd"/>
      <w:r>
        <w:t xml:space="preserve">, </w:t>
      </w:r>
      <w:proofErr w:type="spellStart"/>
      <w:r>
        <w:t>networks</w:t>
      </w:r>
      <w:proofErr w:type="spellEnd"/>
      <w:r>
        <w:t xml:space="preserve"> </w:t>
      </w:r>
      <w:proofErr w:type="spellStart"/>
      <w:r>
        <w:t>and</w:t>
      </w:r>
      <w:proofErr w:type="spellEnd"/>
      <w:r>
        <w:t xml:space="preserve"> </w:t>
      </w:r>
      <w:proofErr w:type="spellStart"/>
      <w:r>
        <w:t>services</w:t>
      </w:r>
      <w:proofErr w:type="spellEnd"/>
      <w:r>
        <w:t xml:space="preserve"> (útgáfa frá 4.6.2021: https://www.etsi.org/deliver/etsi_es/203100_203199/203199/01.03.00_50/es_203199v010300m.pdf). Staðall Fjarskiptastaðlastofnunar Evrópu, ETSI ES 203 199, samsvarar staðli Alþjóðafjarskiptasambandsins (ITU) ITU–T L.1410.</w:t>
      </w:r>
    </w:p>
  </w:footnote>
  <w:footnote w:id="327">
    <w:p w14:paraId="074B638C"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328">
    <w:p w14:paraId="7236AF00"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ISO-staðall 14064-2:2019, Gróðurhúsalofttegundir - Hluti 2: Kröfur með leiðbeiningum á verkefnisstigi til mælingar, vöktunar og skýrslugjafar um minnkun losunar á gróðurhúsalofttegundum eða umbætur í úthreinsun þeirra (útgáfa frá 4.6.2021: https://www.iso.org/standard/66454.html).</w:t>
      </w:r>
    </w:p>
  </w:footnote>
  <w:footnote w:id="329">
    <w:p w14:paraId="36E4753B"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Í samræmi við viðauka G í almennu viðaukunum við HORIZON 2020, vinnuáætlun 2016–2017, bls. 29 (útgáfa frá 4.6.2021: https://ec.europa.eu/research/participants/data/ref/h2020/other/wp/2016-2017/annexes/h2020-wp1617-annex-ga_en.pdf).</w:t>
      </w:r>
    </w:p>
  </w:footnote>
  <w:footnote w:id="330">
    <w:p w14:paraId="7572375D"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Endurspeglar meðalgildi 10% af skilvirkustu stöðvunum á árunum 2016 og 2017 (t koltvísýringsígilda/t) eins og sett er fram í viðaukanum við framkvæmdarreglugerð (ESB) 2021/447.</w:t>
      </w:r>
    </w:p>
  </w:footnote>
  <w:footnote w:id="331">
    <w:p w14:paraId="39C2F04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332">
    <w:p w14:paraId="0689D48E"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333">
    <w:p w14:paraId="70ABF47F"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334">
    <w:p w14:paraId="0FCF8CB9" w14:textId="77777777" w:rsidR="00DB6835" w:rsidRDefault="00DB6835" w:rsidP="00DB6835">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335">
    <w:p w14:paraId="4F6ACD1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336">
    <w:p w14:paraId="4F4A9FE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337">
    <w:p w14:paraId="7CE4613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338">
    <w:p w14:paraId="60734D9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https://ec.europa.eu/research/environment/index.cfm?pg=nbs).</w:t>
      </w:r>
    </w:p>
  </w:footnote>
  <w:footnote w:id="339">
    <w:p w14:paraId="427420A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340">
    <w:p w14:paraId="7C1654A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Skráin yfir loftslagstengdar hættur í þessari töflu er ekki tæmandi og er einungis viðmiðunarskrá yfir útbreiddustu hætturnar sem skal að lágmarki taka tillit til í loftslagsáhættu- og veikleikamatinu.</w:t>
      </w:r>
    </w:p>
  </w:footnote>
  <w:footnote w:id="341">
    <w:p w14:paraId="7FB97EC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2000/60/EB frá 23. október 2000 um aðgerðaramma Bandalagsins um stefnu í vatnsmálum (</w:t>
      </w:r>
      <w:proofErr w:type="spellStart"/>
      <w:r>
        <w:t>Stjtíð</w:t>
      </w:r>
      <w:proofErr w:type="spellEnd"/>
      <w:r>
        <w:t>. EB L 327, 22.12.2000, bls. 1).</w:t>
      </w:r>
    </w:p>
    <w:p w14:paraId="0A416D7D" w14:textId="77777777" w:rsidR="002B5657" w:rsidRDefault="002B5657" w:rsidP="002B5657">
      <w:pPr>
        <w:pStyle w:val="Textineanmlsgreinar"/>
        <w:ind w:left="360" w:firstLine="0"/>
        <w:rPr>
          <w:rFonts w:cs="Times New Roman"/>
          <w:szCs w:val="16"/>
        </w:rPr>
      </w:pPr>
      <w:r>
        <w:t xml:space="preserve">Að því er varðar starfsemi í þriðju löndum, í samræmi við gildandi landslög eða alþjóðlega staðla, þar sem leitast er við að ná jafngildum markmiðum um gott ástand vatns og gott </w:t>
      </w:r>
      <w:proofErr w:type="spellStart"/>
      <w:r>
        <w:t>vistmegin</w:t>
      </w:r>
      <w:proofErr w:type="spellEnd"/>
      <w:r>
        <w:t xml:space="preserve"> með jafngildum málsmeðferðarreglum og efnisreglum, þ.e. stjórnunaráætlun um notkun og verndun vatns sem er þróuð í samráði við viðkomandi hagsmunaaðila sem tryggir að 1) áhrifin af starfseminni á tilgreinda stöðu eða </w:t>
      </w:r>
      <w:proofErr w:type="spellStart"/>
      <w:r>
        <w:t>vistmegin</w:t>
      </w:r>
      <w:proofErr w:type="spellEnd"/>
      <w:r>
        <w:t xml:space="preserve"> vatnshlots sem verður/</w:t>
      </w:r>
      <w:proofErr w:type="spellStart"/>
      <w:r>
        <w:t>vatnshlota</w:t>
      </w:r>
      <w:proofErr w:type="spellEnd"/>
      <w:r>
        <w:t xml:space="preserve"> sem verða hugsanlega fyrir áhrifum séu metin og 2) komist sé hjá því að skerða eða koma í veg fyrir góða stöðu/</w:t>
      </w:r>
      <w:proofErr w:type="spellStart"/>
      <w:r>
        <w:t>vistmegin</w:t>
      </w:r>
      <w:proofErr w:type="spellEnd"/>
      <w:r>
        <w:t xml:space="preserve"> eða, ef þetta er ekki gerlegt, 3) það sé réttlætanlegt vegna skorts á betri umhverfislegum valkostum sem eru ekki óhóflega kostnaðarsamir/tæknilega ómögulegir og allar raunhæfar ráðstafanir eru gerðar til að milda neikvæðu áhrifin á stöðu vatnshlotsins.</w:t>
      </w:r>
    </w:p>
  </w:footnote>
  <w:footnote w:id="342">
    <w:p w14:paraId="0B121C1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2011/92/ESB frá 13. desember 2011 um mat á áhrifum sem tilteknar framkvæmdir á vegum hins opinbera eða einkaaðila kunna að hafa á umhverfið (</w:t>
      </w:r>
      <w:proofErr w:type="spellStart"/>
      <w:r>
        <w:t>Stjtíð</w:t>
      </w:r>
      <w:proofErr w:type="spellEnd"/>
      <w:r>
        <w:t>. ESB L 26, 28.1.2012, bls. 1).</w:t>
      </w:r>
    </w:p>
  </w:footnote>
  <w:footnote w:id="343">
    <w:p w14:paraId="50CD7E3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2019/1021 frá 20. júní 2019 um þrávirk, lífræn mengunarefni (</w:t>
      </w:r>
      <w:proofErr w:type="spellStart"/>
      <w:r>
        <w:t>Stjtíð</w:t>
      </w:r>
      <w:proofErr w:type="spellEnd"/>
      <w:r>
        <w:t>. ESB L 169, 25.6.2019, bls. 45).</w:t>
      </w:r>
    </w:p>
  </w:footnote>
  <w:footnote w:id="344">
    <w:p w14:paraId="7670039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2017/852 frá 17. maí 2017 um kvikasilfur og um niðurfellingu á reglugerð (EB) nr. 1102/2008 (</w:t>
      </w:r>
      <w:proofErr w:type="spellStart"/>
      <w:r>
        <w:t>Stjtíð</w:t>
      </w:r>
      <w:proofErr w:type="spellEnd"/>
      <w:r>
        <w:t>. ESB L 137, 24.5.2017, bls. 1).</w:t>
      </w:r>
    </w:p>
  </w:footnote>
  <w:footnote w:id="345">
    <w:p w14:paraId="424651C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(EB) nr. 1005/2009 frá 16. september 2009 um efni sem valda rýrnun ósonlagsins (</w:t>
      </w:r>
      <w:proofErr w:type="spellStart"/>
      <w:r>
        <w:t>Stjtíð</w:t>
      </w:r>
      <w:proofErr w:type="spellEnd"/>
      <w:r>
        <w:t>. ESB L 286, 31.10.2009, bls. 1).</w:t>
      </w:r>
    </w:p>
  </w:footnote>
  <w:footnote w:id="346">
    <w:p w14:paraId="1EBC39C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Tilskipun Evrópuþingsins og ráðsins 2011/65/ESB frá 8. júní 2011 um takmarkanir á notkun tiltekinna, hættulegra efna í </w:t>
      </w:r>
      <w:proofErr w:type="spellStart"/>
      <w:r>
        <w:t>rafbúnaði</w:t>
      </w:r>
      <w:proofErr w:type="spellEnd"/>
      <w:r>
        <w:t xml:space="preserve"> og rafeindabúnaði. (</w:t>
      </w:r>
      <w:proofErr w:type="spellStart"/>
      <w:r>
        <w:t>Stjtíð</w:t>
      </w:r>
      <w:proofErr w:type="spellEnd"/>
      <w:r>
        <w:t>. ESB L 174, 1.7. 2011, bls. 88).</w:t>
      </w:r>
    </w:p>
  </w:footnote>
  <w:footnote w:id="347">
    <w:p w14:paraId="360246A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(EB) nr. 1907/2006 frá 18. desember 2006 um skráningu, mat, leyfisveitingu og takmarkanir, að því er varðar efni (efnareglurnar (REACH)), um stofnun Efnastofnunar Evrópu, um breytingu á tilskipun 1999/45/EB og um niðurfellingu á reglugerð ráðsins (EBE) nr. 793/93 og reglugerð framkvæmdastjórnarinnar (EB) nr. 1488/94, sem og tilskipun ráðsins 76/769/EBE og tilskipunum framkvæmdastjórnarinnar 91/155/EBE, 93/67/EBE, 93/105/EB og 2000/21/EB. (</w:t>
      </w:r>
      <w:proofErr w:type="spellStart"/>
      <w:r>
        <w:t>Stjtíð</w:t>
      </w:r>
      <w:proofErr w:type="spellEnd"/>
      <w:r>
        <w:t>. ESB L 396, 30.12. 2006, bls. 1).</w:t>
      </w:r>
    </w:p>
  </w:footnote>
  <w:footnote w:id="348">
    <w:p w14:paraId="105CBAE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Málsmeðferð sem </w:t>
      </w:r>
      <w:proofErr w:type="spellStart"/>
      <w:r>
        <w:t>lögbært</w:t>
      </w:r>
      <w:proofErr w:type="spellEnd"/>
      <w:r>
        <w:t xml:space="preserve"> yfirvald notar til að ákvarða hvort verkefni sem eru skráð í II. viðauka við tilskipun 2011/92/ESB eigi að falla undir mat á umhverfisáhrifum (eins og um getur í 2. mgr. 4. gr. þeirrar tilskipunar).</w:t>
      </w:r>
    </w:p>
  </w:footnote>
  <w:footnote w:id="349">
    <w:p w14:paraId="507AE1A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starfsemi í þriðju löndum, í samræmi við jafngild, gildandi landslög eða alþjóðlega staðla þar sem gerð er krafa um að lokið sé við mat á umhverfisáhrifum eða skimun, t.d. frammistöðustaðall Alþjóðalánastofnunarinnar nr. 1 (e. </w:t>
      </w:r>
      <w:r>
        <w:rPr>
          <w:i/>
          <w:iCs/>
        </w:rPr>
        <w:t xml:space="preserve">IFC </w:t>
      </w:r>
      <w:proofErr w:type="spellStart"/>
      <w:r>
        <w:rPr>
          <w:i/>
          <w:iCs/>
        </w:rPr>
        <w:t>Performance</w:t>
      </w:r>
      <w:proofErr w:type="spellEnd"/>
      <w:r>
        <w:rPr>
          <w:i/>
          <w:iCs/>
        </w:rPr>
        <w:t xml:space="preserve"> Standard 1</w:t>
      </w:r>
      <w:r>
        <w:t xml:space="preserve">): Assessment </w:t>
      </w:r>
      <w:proofErr w:type="spellStart"/>
      <w:r>
        <w:t>and</w:t>
      </w:r>
      <w:proofErr w:type="spellEnd"/>
      <w:r>
        <w:t xml:space="preserve"> Management of </w:t>
      </w:r>
      <w:proofErr w:type="spellStart"/>
      <w:r>
        <w:t>Environmental</w:t>
      </w:r>
      <w:proofErr w:type="spellEnd"/>
      <w:r>
        <w:t xml:space="preserve"> </w:t>
      </w:r>
      <w:proofErr w:type="spellStart"/>
      <w:r>
        <w:t>and</w:t>
      </w:r>
      <w:proofErr w:type="spellEnd"/>
      <w:r>
        <w:t xml:space="preserve"> </w:t>
      </w:r>
      <w:proofErr w:type="spellStart"/>
      <w:r>
        <w:t>Social</w:t>
      </w:r>
      <w:proofErr w:type="spellEnd"/>
      <w:r>
        <w:t xml:space="preserve"> </w:t>
      </w:r>
      <w:proofErr w:type="spellStart"/>
      <w:r>
        <w:t>Risks</w:t>
      </w:r>
      <w:proofErr w:type="spellEnd"/>
      <w:r>
        <w:t xml:space="preserve"> (mat og stjórnun á umhverfisáhættu og félagslegri áhættu).</w:t>
      </w:r>
    </w:p>
  </w:footnote>
  <w:footnote w:id="350">
    <w:p w14:paraId="15304E5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Í samræmi við tilskipanir 2009/147/EB og 92/43/EBE. Að því er varðar starfsemi í þriðju löndum, í samræmi við jafngild, gildandi landslög eða alþjóðlega staðla, sem miðar að því að varðveita náttúruleg búsvæði, villt dýr og villtar plöntur og þar sem gerð er krafa um framkvæmd 1) skimunaraðgerðar til að ákvarða hvort þörf er á, að því er varðar tiltekna starfsemi, viðeigandi mati á hugsanlegum áhrifum á vernduð búsvæði og tegundir, 2) slíks viðeigandi mats þegar skimunin sýnir að þess sé þörf, t.d. frammistöðustaðall Alþjóðalánastofnunarinnar nr. 6: </w:t>
      </w:r>
      <w:proofErr w:type="spellStart"/>
      <w:r>
        <w:t>Biodiversity</w:t>
      </w:r>
      <w:proofErr w:type="spellEnd"/>
      <w:r>
        <w:t xml:space="preserve"> </w:t>
      </w:r>
      <w:proofErr w:type="spellStart"/>
      <w:r>
        <w:t>Conservation</w:t>
      </w:r>
      <w:proofErr w:type="spellEnd"/>
      <w:r>
        <w:t xml:space="preserve"> </w:t>
      </w:r>
      <w:proofErr w:type="spellStart"/>
      <w:r>
        <w:t>and</w:t>
      </w:r>
      <w:proofErr w:type="spellEnd"/>
      <w:r>
        <w:t xml:space="preserve"> </w:t>
      </w:r>
      <w:proofErr w:type="spellStart"/>
      <w:r>
        <w:t>Sustainable</w:t>
      </w:r>
      <w:proofErr w:type="spellEnd"/>
      <w:r>
        <w:t xml:space="preserve"> Management of </w:t>
      </w:r>
      <w:proofErr w:type="spellStart"/>
      <w:r>
        <w:t>Living</w:t>
      </w:r>
      <w:proofErr w:type="spellEnd"/>
      <w:r>
        <w:t xml:space="preserve"> Natural Resources (varðveisla líffræðilegrar fjölbreytni og sjálfbær stjórnun lifandi náttúruauðlinda).</w:t>
      </w:r>
    </w:p>
  </w:footnote>
  <w:footnote w:id="351">
    <w:p w14:paraId="793A24B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Þessar ráðstafanir hafa verið tilgreindar til að tryggja að verkefnið, áætlunin eða starfsemin muni ekki hafa nein umtalsverð áhrif á varðveislumarkmiðin fyrir verndaða svæðið.</w:t>
      </w:r>
    </w:p>
  </w:footnote>
  <w:footnote w:id="352">
    <w:p w14:paraId="469E5FE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Tilvísun til ESB-staðla er tiltæk á vettvangi ESB til að meta tækniforskriftir fyrir vörur: EN 200 „Kranavörur til hreinlætisnota. Stakir kranar og samsetning krana fyrir vatnsveitukerfi af gerð 1 og gerð 2 – almenn tækniforskrift“; EN 816 „Kranavörur til hreinlætisnota. Sjálfvirkur stopploki (PN10)“; EN 817 „Vélrænir </w:t>
      </w:r>
      <w:proofErr w:type="spellStart"/>
      <w:r>
        <w:t>blöndunarlokar</w:t>
      </w:r>
      <w:proofErr w:type="spellEnd"/>
      <w:r>
        <w:t xml:space="preserve"> (PN10) – almenn tækniforskrift“; EN 1111 „Kranavörur til hreinlætisnota. Hitastýrðir </w:t>
      </w:r>
      <w:proofErr w:type="spellStart"/>
      <w:r>
        <w:t>blöndunarlokar</w:t>
      </w:r>
      <w:proofErr w:type="spellEnd"/>
      <w:r>
        <w:t xml:space="preserve"> (PN10) – almenn tækniforskrift“; EN 1112 „Kranavörur til hreinlætisnota. Sturtuúttök fyrir kranavörur til hreinlætisnota fyrir vatnsveitukerfi af gerð 1 og gerð 2 – almenn tækniforskrift“; EN 1113 „</w:t>
      </w:r>
      <w:proofErr w:type="spellStart"/>
      <w:r>
        <w:t>Sanitary</w:t>
      </w:r>
      <w:proofErr w:type="spellEnd"/>
      <w:r>
        <w:t xml:space="preserve"> </w:t>
      </w:r>
      <w:proofErr w:type="spellStart"/>
      <w:r>
        <w:t>tapware</w:t>
      </w:r>
      <w:proofErr w:type="spellEnd"/>
      <w:r>
        <w:t xml:space="preserve"> – </w:t>
      </w:r>
      <w:proofErr w:type="spellStart"/>
      <w:r>
        <w:t>Shower</w:t>
      </w:r>
      <w:proofErr w:type="spellEnd"/>
      <w:r>
        <w:t xml:space="preserve"> </w:t>
      </w:r>
      <w:proofErr w:type="spellStart"/>
      <w:r>
        <w:t>hoses</w:t>
      </w:r>
      <w:proofErr w:type="spellEnd"/>
      <w:r>
        <w:t xml:space="preserve"> for </w:t>
      </w:r>
      <w:proofErr w:type="spellStart"/>
      <w:r>
        <w:t>sanitary</w:t>
      </w:r>
      <w:proofErr w:type="spellEnd"/>
      <w:r>
        <w:t xml:space="preserve"> </w:t>
      </w:r>
      <w:proofErr w:type="spellStart"/>
      <w:r>
        <w:t>tapware</w:t>
      </w:r>
      <w:proofErr w:type="spellEnd"/>
      <w:r>
        <w:t xml:space="preserve"> for </w:t>
      </w:r>
      <w:proofErr w:type="spellStart"/>
      <w:r>
        <w:t>water</w:t>
      </w:r>
      <w:proofErr w:type="spellEnd"/>
      <w:r>
        <w:t xml:space="preserve"> </w:t>
      </w:r>
      <w:proofErr w:type="spellStart"/>
      <w:r>
        <w:t>supply</w:t>
      </w:r>
      <w:proofErr w:type="spellEnd"/>
      <w:r>
        <w:t xml:space="preserve"> </w:t>
      </w:r>
      <w:proofErr w:type="spellStart"/>
      <w:r>
        <w:t>systems</w:t>
      </w:r>
      <w:proofErr w:type="spellEnd"/>
      <w:r>
        <w:t xml:space="preserve"> of </w:t>
      </w:r>
      <w:proofErr w:type="spellStart"/>
      <w:r>
        <w:t>type</w:t>
      </w:r>
      <w:proofErr w:type="spellEnd"/>
      <w:r>
        <w:t xml:space="preserve"> 1 </w:t>
      </w:r>
      <w:proofErr w:type="spellStart"/>
      <w:r>
        <w:t>and</w:t>
      </w:r>
      <w:proofErr w:type="spellEnd"/>
      <w:r>
        <w:t xml:space="preserve"> </w:t>
      </w:r>
      <w:proofErr w:type="spellStart"/>
      <w:r>
        <w:t>type</w:t>
      </w:r>
      <w:proofErr w:type="spellEnd"/>
      <w:r>
        <w:t xml:space="preserve"> 2 – General </w:t>
      </w:r>
      <w:proofErr w:type="spellStart"/>
      <w:r>
        <w:t>technical</w:t>
      </w:r>
      <w:proofErr w:type="spellEnd"/>
      <w:r>
        <w:t xml:space="preserve"> </w:t>
      </w:r>
      <w:proofErr w:type="spellStart"/>
      <w:r>
        <w:t>specification</w:t>
      </w:r>
      <w:proofErr w:type="spellEnd"/>
      <w:r>
        <w:t xml:space="preserve">’, </w:t>
      </w:r>
      <w:proofErr w:type="spellStart"/>
      <w:r>
        <w:t>including</w:t>
      </w:r>
      <w:proofErr w:type="spellEnd"/>
      <w:r>
        <w:t xml:space="preserve"> a method </w:t>
      </w:r>
      <w:proofErr w:type="spellStart"/>
      <w:r>
        <w:t>to</w:t>
      </w:r>
      <w:proofErr w:type="spellEnd"/>
      <w:r>
        <w:t xml:space="preserve"> </w:t>
      </w:r>
      <w:proofErr w:type="spellStart"/>
      <w:r>
        <w:t>test</w:t>
      </w:r>
      <w:proofErr w:type="spellEnd"/>
      <w:r>
        <w:t xml:space="preserve"> </w:t>
      </w:r>
      <w:proofErr w:type="spellStart"/>
      <w:r>
        <w:t>the</w:t>
      </w:r>
      <w:proofErr w:type="spellEnd"/>
      <w:r>
        <w:t xml:space="preserve"> </w:t>
      </w:r>
      <w:proofErr w:type="spellStart"/>
      <w:r>
        <w:t>resistance</w:t>
      </w:r>
      <w:proofErr w:type="spellEnd"/>
      <w:r>
        <w:t xml:space="preserve"> </w:t>
      </w:r>
      <w:proofErr w:type="spellStart"/>
      <w:r>
        <w:t>to</w:t>
      </w:r>
      <w:proofErr w:type="spellEnd"/>
      <w:r>
        <w:t xml:space="preserve"> </w:t>
      </w:r>
      <w:proofErr w:type="spellStart"/>
      <w:r>
        <w:t>flexing</w:t>
      </w:r>
      <w:proofErr w:type="spellEnd"/>
      <w:r>
        <w:t xml:space="preserve"> of </w:t>
      </w:r>
      <w:proofErr w:type="spellStart"/>
      <w:r>
        <w:t>the</w:t>
      </w:r>
      <w:proofErr w:type="spellEnd"/>
      <w:r>
        <w:t xml:space="preserve"> </w:t>
      </w:r>
      <w:proofErr w:type="spellStart"/>
      <w:r>
        <w:t>hose</w:t>
      </w:r>
      <w:proofErr w:type="spellEnd"/>
      <w:r>
        <w:t xml:space="preserve">“ (Kranavörur til hreinlætisnota – sturtubarkar fyrir kranavörur til hreinlætisnota fyrir vatnsveitukerfi af gerð 1 og gerð 2 - almenn tækniforskrift,“ þ.m.t. aðferð til að prófa sveigjustyrk slöngunnar); EN 1287 „Kranavörur til hreinlætisnota. Hitastýrðir </w:t>
      </w:r>
      <w:proofErr w:type="spellStart"/>
      <w:r>
        <w:t>blöndunarlokar</w:t>
      </w:r>
      <w:proofErr w:type="spellEnd"/>
      <w:r>
        <w:t xml:space="preserve"> fyrir lágan þrýsting“; EN 15091 „Kranavörur til hreinlætisnota. Kranavörur til hreinlætisnota með </w:t>
      </w:r>
      <w:proofErr w:type="spellStart"/>
      <w:r>
        <w:t>rafopnun</w:t>
      </w:r>
      <w:proofErr w:type="spellEnd"/>
      <w:r>
        <w:t xml:space="preserve"> og -lokun“.</w:t>
      </w:r>
    </w:p>
  </w:footnote>
  <w:footnote w:id="353">
    <w:p w14:paraId="44D23DB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Skógi komið upp með </w:t>
      </w:r>
      <w:proofErr w:type="spellStart"/>
      <w:r>
        <w:t>plöntun</w:t>
      </w:r>
      <w:proofErr w:type="spellEnd"/>
      <w:r>
        <w:t xml:space="preserve"> eða sáningu af ásetningi á landi sem fram að því var notað í annað felur í sér umbreytingu á landnotkun frá skógleysi til skógar, „</w:t>
      </w:r>
      <w:r>
        <w:rPr>
          <w:i/>
        </w:rPr>
        <w:t xml:space="preserve">FAO Global Resources Assessment 2020. </w:t>
      </w:r>
      <w:proofErr w:type="spellStart"/>
      <w:r>
        <w:rPr>
          <w:i/>
        </w:rPr>
        <w:t>Terms</w:t>
      </w:r>
      <w:proofErr w:type="spellEnd"/>
      <w:r>
        <w:rPr>
          <w:i/>
        </w:rPr>
        <w:t xml:space="preserve"> </w:t>
      </w:r>
      <w:proofErr w:type="spellStart"/>
      <w:r>
        <w:rPr>
          <w:i/>
        </w:rPr>
        <w:t>and</w:t>
      </w:r>
      <w:proofErr w:type="spellEnd"/>
      <w:r>
        <w:rPr>
          <w:i/>
        </w:rPr>
        <w:t xml:space="preserve"> </w:t>
      </w:r>
      <w:proofErr w:type="spellStart"/>
      <w:r>
        <w:rPr>
          <w:i/>
        </w:rPr>
        <w:t>definitions</w:t>
      </w:r>
      <w:proofErr w:type="spellEnd"/>
      <w:r>
        <w:t>“ (útgáfa frá 4.6.2021: http://www.fao.org/3/I8661EN/i8661en.pdf).</w:t>
      </w:r>
    </w:p>
  </w:footnote>
  <w:footnote w:id="354">
    <w:p w14:paraId="5097828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w:t>
      </w:r>
      <w:r>
        <w:rPr>
          <w:i/>
        </w:rPr>
        <w:t xml:space="preserve">FAO Global Resources Assessment 2020. </w:t>
      </w:r>
      <w:proofErr w:type="spellStart"/>
      <w:r>
        <w:rPr>
          <w:i/>
        </w:rPr>
        <w:t>Terms</w:t>
      </w:r>
      <w:proofErr w:type="spellEnd"/>
      <w:r>
        <w:rPr>
          <w:i/>
        </w:rPr>
        <w:t xml:space="preserve"> </w:t>
      </w:r>
      <w:proofErr w:type="spellStart"/>
      <w:r>
        <w:rPr>
          <w:i/>
        </w:rPr>
        <w:t>and</w:t>
      </w:r>
      <w:proofErr w:type="spellEnd"/>
      <w:r>
        <w:rPr>
          <w:i/>
        </w:rPr>
        <w:t xml:space="preserve"> </w:t>
      </w:r>
      <w:proofErr w:type="spellStart"/>
      <w:r>
        <w:rPr>
          <w:i/>
        </w:rPr>
        <w:t>definitions</w:t>
      </w:r>
      <w:proofErr w:type="spellEnd"/>
      <w:r>
        <w:t>“ (útgáfa frá 4.6.2021: http://www.fao.org/3/I8661EN/i8661en.pdf).</w:t>
      </w:r>
    </w:p>
  </w:footnote>
  <w:footnote w:id="355">
    <w:p w14:paraId="5F777372"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356">
    <w:p w14:paraId="0494C6A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357">
    <w:p w14:paraId="5A9630F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358">
    <w:p w14:paraId="4EE138F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359">
    <w:p w14:paraId="31532F4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360">
    <w:p w14:paraId="5F497E9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361">
    <w:p w14:paraId="2189A7B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Skógarsvæði sem er með skráða stjórnunaráætlun til langs tíma (10 ár eða meira) sem miðar að skilgreindum stjórnunarmarkmiðum og er endurskoðuð reglulega,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362">
    <w:p w14:paraId="38F3066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Þar með taldar greiningar á i. sjálfbærni viðarauðlindarinnar til langs tíma og ii. áhrifum/álagi á varðveislu búsvæðis, fjölbreytni tengdra búsvæða og skilyrðum fyrir nýtingu sem lágmarkar áhrif á jarðveg.</w:t>
      </w:r>
    </w:p>
  </w:footnote>
  <w:footnote w:id="363">
    <w:p w14:paraId="5E4A1DE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„Forest Europe </w:t>
      </w:r>
      <w:proofErr w:type="spellStart"/>
      <w:r>
        <w:t>Pan</w:t>
      </w:r>
      <w:proofErr w:type="spellEnd"/>
      <w:r>
        <w:t xml:space="preserve">-European </w:t>
      </w:r>
      <w:proofErr w:type="spellStart"/>
      <w:r>
        <w:t>Guidelines</w:t>
      </w:r>
      <w:proofErr w:type="spellEnd"/>
      <w:r>
        <w:t xml:space="preserve"> for </w:t>
      </w:r>
      <w:proofErr w:type="spellStart"/>
      <w:r>
        <w:t>Afforestation</w:t>
      </w:r>
      <w:proofErr w:type="spellEnd"/>
      <w:r>
        <w:t xml:space="preserve"> </w:t>
      </w:r>
      <w:proofErr w:type="spellStart"/>
      <w:r>
        <w:t>and</w:t>
      </w:r>
      <w:proofErr w:type="spellEnd"/>
      <w:r>
        <w:t xml:space="preserve"> </w:t>
      </w:r>
      <w:proofErr w:type="spellStart"/>
      <w:r>
        <w:t>Reforestation</w:t>
      </w:r>
      <w:proofErr w:type="spellEnd"/>
      <w:r>
        <w:t xml:space="preserve"> with a </w:t>
      </w:r>
      <w:proofErr w:type="spellStart"/>
      <w:r>
        <w:t>special</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provisions</w:t>
      </w:r>
      <w:proofErr w:type="spellEnd"/>
      <w:r>
        <w:t xml:space="preserve"> of </w:t>
      </w:r>
      <w:proofErr w:type="spellStart"/>
      <w:r>
        <w:t>the</w:t>
      </w:r>
      <w:proofErr w:type="spellEnd"/>
      <w:r>
        <w:t xml:space="preserve"> UNFCCC“ (skógar í Evrópu, </w:t>
      </w:r>
      <w:proofErr w:type="spellStart"/>
      <w:r>
        <w:t>samevrópskar</w:t>
      </w:r>
      <w:proofErr w:type="spellEnd"/>
      <w:r>
        <w:t xml:space="preserve"> viðmiðunarreglur fyrir nýskógrækt og </w:t>
      </w:r>
      <w:proofErr w:type="spellStart"/>
      <w:r>
        <w:t>endurræktun</w:t>
      </w:r>
      <w:proofErr w:type="spellEnd"/>
      <w:r>
        <w:t xml:space="preserve"> skóga) sem fundur sérfræðinga á ráðherraráðstefnunni um verndun skóga í Evrópu (MCPFE) 12. til 13. nóvember 2008 og skrifstofa </w:t>
      </w:r>
      <w:proofErr w:type="spellStart"/>
      <w:r>
        <w:t>samevrópskrar</w:t>
      </w:r>
      <w:proofErr w:type="spellEnd"/>
      <w:r>
        <w:t xml:space="preserve"> stefnumörkunar um lífrænan og landslagslegan fjölbreytileika (PEBLDS), fyrir hönd ráðs </w:t>
      </w:r>
      <w:proofErr w:type="spellStart"/>
      <w:r>
        <w:t>samevrópskrar</w:t>
      </w:r>
      <w:proofErr w:type="spellEnd"/>
      <w:r>
        <w:t xml:space="preserve"> stefnumörkunar um lífrænan og landslagslegan fjölbreytileika, samþykktu 4. nóvember 2008 (útgáfa frá 4.6.2021: https://www.foresteurope.org/docs/other_meetings/2008/Geneva/Guidelines_Aff_Ref_ADOPTED.pdf).</w:t>
      </w:r>
    </w:p>
  </w:footnote>
  <w:footnote w:id="364">
    <w:p w14:paraId="5C69D10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365">
    <w:p w14:paraId="6284D68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366">
    <w:p w14:paraId="1D26E2D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367">
    <w:p w14:paraId="77D93E3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368">
    <w:p w14:paraId="6435150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Endurheimt skógar felur í sér:</w:t>
      </w:r>
    </w:p>
    <w:p w14:paraId="6374A55A"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endurreisn: endurheimt æskilegra tegunda, formgerða eða ferla í vistkerfi sem fyrir er,</w:t>
      </w:r>
    </w:p>
    <w:p w14:paraId="0CF8588C"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enduruppbyggingu: endurheimt innlendra plantna á landi sem er í annarri notkun,</w:t>
      </w:r>
    </w:p>
    <w:p w14:paraId="2E69A716"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uppgræðslu: endurheimt lands sem hefur hnignað alvarlega og er án gróðurs,</w:t>
      </w:r>
    </w:p>
    <w:p w14:paraId="263BC19F"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sem róttækasti kosturinn þegar loftslagsskilyrði breytast hratt, að skipta út tegundum, sem hafa aðlagast illa á tilteknum stað og geta ekki flutt sig um set, fyrir innfluttar tegundir.</w:t>
      </w:r>
    </w:p>
    <w:p w14:paraId="5D7FC74D" w14:textId="77777777" w:rsidR="002B5657" w:rsidRDefault="002B5657" w:rsidP="002B5657">
      <w:pPr>
        <w:pStyle w:val="Textineanmlsgreinar"/>
        <w:ind w:left="360" w:firstLine="0"/>
        <w:rPr>
          <w:rFonts w:cs="Times New Roman"/>
          <w:szCs w:val="16"/>
        </w:rPr>
      </w:pPr>
      <w:r>
        <w:t>„</w:t>
      </w:r>
      <w:r>
        <w:rPr>
          <w:i/>
        </w:rPr>
        <w:t xml:space="preserve">Forest </w:t>
      </w:r>
      <w:proofErr w:type="spellStart"/>
      <w:r>
        <w:rPr>
          <w:i/>
        </w:rPr>
        <w:t>restoration</w:t>
      </w:r>
      <w:proofErr w:type="spellEnd"/>
      <w:r>
        <w:rPr>
          <w:i/>
        </w:rPr>
        <w:t xml:space="preserve"> </w:t>
      </w:r>
      <w:proofErr w:type="spellStart"/>
      <w:r>
        <w:rPr>
          <w:i/>
        </w:rPr>
        <w:t>module</w:t>
      </w:r>
      <w:proofErr w:type="spellEnd"/>
      <w:r>
        <w:rPr>
          <w:i/>
        </w:rPr>
        <w:t>“. Í „</w:t>
      </w:r>
      <w:proofErr w:type="spellStart"/>
      <w:r>
        <w:rPr>
          <w:i/>
        </w:rPr>
        <w:t>Sustainable</w:t>
      </w:r>
      <w:proofErr w:type="spellEnd"/>
      <w:r>
        <w:rPr>
          <w:i/>
        </w:rPr>
        <w:t xml:space="preserve"> Forest Management (SFM) </w:t>
      </w:r>
      <w:proofErr w:type="spellStart"/>
      <w:r>
        <w:rPr>
          <w:i/>
        </w:rPr>
        <w:t>Toolbox</w:t>
      </w:r>
      <w:proofErr w:type="spellEnd"/>
      <w:r>
        <w:rPr>
          <w:i/>
        </w:rPr>
        <w:t>“</w:t>
      </w:r>
      <w:r>
        <w:t xml:space="preserve"> (útgáfa frá 4.6.2021: http://www.fao.org/sustainable-forest-management/toolbox/modules/forest-restoration/basic-knowledge/en/).</w:t>
      </w:r>
    </w:p>
  </w:footnote>
  <w:footnote w:id="369">
    <w:p w14:paraId="0A0DCD5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Vistfræðileg endurheimt (einnig endurheimt vistkerfis):</w:t>
      </w:r>
    </w:p>
    <w:p w14:paraId="4E8A1E99"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ferlið við að koma vistkerfi aftur til náttúrulegrar formgerðar og starfsemi eins og hún var áður en því var raskað,</w:t>
      </w:r>
    </w:p>
    <w:p w14:paraId="23C4B7B0"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ferli til aðstoðar við að endurheimta vistkerfi sem hefur hnignað, skemmst eða eyðilagst,</w:t>
      </w:r>
    </w:p>
    <w:p w14:paraId="4CC7A830"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ferli til að breyta svæði af ásetningi til að koma á skilgreindu, upprunalegu vistkerfi. Markmiðið með þessu ferli er að líkja eftir formgerð, starfsemi, fjölbreytni og framgangi tiltekins vistkerfis,</w:t>
      </w:r>
    </w:p>
    <w:p w14:paraId="228C1DB2" w14:textId="77777777" w:rsidR="002B5657" w:rsidRDefault="002B5657" w:rsidP="002B5657">
      <w:pPr>
        <w:pStyle w:val="AnnexNumberedText"/>
        <w:spacing w:after="0" w:line="200" w:lineRule="exact"/>
        <w:ind w:left="720" w:hanging="360"/>
        <w:rPr>
          <w:rFonts w:cs="Times New Roman"/>
          <w:sz w:val="16"/>
          <w:szCs w:val="16"/>
        </w:rPr>
      </w:pPr>
      <w:r>
        <w:rPr>
          <w:sz w:val="16"/>
        </w:rPr>
        <w:t>—</w:t>
      </w:r>
      <w:r>
        <w:rPr>
          <w:sz w:val="16"/>
        </w:rPr>
        <w:tab/>
        <w:t>mannleg íhlutun ... ætluð til að hraða endurheimt skemmdra búsvæða eða til að koma vistkerfum aftur eins nálægt upphaflegu horfi og þau voru í, áður en þeim var raskað, og mögulegt er.</w:t>
      </w:r>
    </w:p>
    <w:p w14:paraId="745BEA7C" w14:textId="77777777" w:rsidR="002B5657" w:rsidRDefault="002B5657" w:rsidP="002B5657">
      <w:pPr>
        <w:pStyle w:val="Textineanmlsgreinar"/>
        <w:ind w:left="360" w:firstLine="0"/>
        <w:rPr>
          <w:rFonts w:cs="Times New Roman"/>
          <w:szCs w:val="16"/>
        </w:rPr>
      </w:pPr>
      <w:r>
        <w:rPr>
          <w:i/>
          <w:iCs/>
        </w:rPr>
        <w:t>Skilgreiningar/lýsingar á lykilhugtökum, sem eru mest notuð, sem tengjast endurheimt vistkerfis.</w:t>
      </w:r>
      <w:r>
        <w:t xml:space="preserve"> Ellefta ráðstefna aðila að samningnum um líffræðilega fjölbreytni. 2012. UNEP/CBD/COP/11/INF/19 (útgáfa frá 4.6.2021: https://www.cbd.int/doc/meetings/cop/cop-11/information/cop-11-inf-19-en.pdf).</w:t>
      </w:r>
    </w:p>
  </w:footnote>
  <w:footnote w:id="370">
    <w:p w14:paraId="053F996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Endurreisn skógar er ferlið við að endurheimta getu skógar til að gefa aftur af sér vörur og þjónustu ef ástand endurreists skógar er ekki nákvæmlega það sama og ástand hans var fyrir hnignun.</w:t>
      </w:r>
    </w:p>
    <w:p w14:paraId="73EDA02B" w14:textId="77777777" w:rsidR="002B5657" w:rsidRDefault="002B5657" w:rsidP="002B5657">
      <w:pPr>
        <w:pStyle w:val="Textineanmlsgreinar"/>
        <w:ind w:left="360" w:firstLine="0"/>
        <w:rPr>
          <w:rFonts w:cs="Times New Roman"/>
          <w:szCs w:val="16"/>
        </w:rPr>
      </w:pPr>
      <w:r>
        <w:rPr>
          <w:i/>
          <w:iCs/>
        </w:rPr>
        <w:t>Skilgreiningar/lýsingar á lykilhugtökum, sem eru mest notuð, sem tengjast endurheimt vistkerfis.</w:t>
      </w:r>
      <w:r>
        <w:t xml:space="preserve"> Ellefta ráðstefna aðila að samningnum um líffræðilega fjölbreytni 2012. UNEP/CBD/COP/11/INF/19 (útgáfa frá 4.6.2021: https://www.cbd.int/doc/meetings/cop/cop-11/information/cop-11-inf-19-en.pdf).</w:t>
      </w:r>
    </w:p>
  </w:footnote>
  <w:footnote w:id="371">
    <w:p w14:paraId="7E268CF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Skógi komið upp aftur með </w:t>
      </w:r>
      <w:proofErr w:type="spellStart"/>
      <w:r>
        <w:t>plöntun</w:t>
      </w:r>
      <w:proofErr w:type="spellEnd"/>
      <w:r>
        <w:t xml:space="preserve"> og/eða sáningu af ásetningi á landi sem er flokkað sem skógur.</w:t>
      </w:r>
    </w:p>
    <w:p w14:paraId="27FA45E2" w14:textId="77777777" w:rsidR="002B5657" w:rsidRDefault="002B5657" w:rsidP="002B5657">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372">
    <w:p w14:paraId="4757AF7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Skógur sem samanstendur aðallega af trjám sem komu upp með náttúrulegri endurnýjun.</w:t>
      </w:r>
    </w:p>
    <w:p w14:paraId="09F34332" w14:textId="77777777" w:rsidR="002B5657" w:rsidRDefault="002B5657" w:rsidP="002B5657">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373">
    <w:p w14:paraId="54659C4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Veðurhamfarir er atburður sem er sjaldgæfur á tilteknum stað og árstíma. Skilgreiningar á „sjaldgæfur“ eru breytilegar en veðurhamfarir eru alla jafna eins sjaldgæfar eða sjaldgæfari en 10. eða 90. hundraðshlutamark þéttifalls sem er áætlað út frá athugunum. Samkvæmt skilgreiningu geta einkenni þess sem kallast öfgafullt veður verið breytileg frá einum stað til annars í algildum skilningi. Þegar mynstur öfgafulls veðurs varir í nokkurn tíma, s.s. yfir árstíð, er hægt að flokka það sem öfgafullan loftslagsviðburð, einkum ef það gefur af sér meðaltal eða heild sem er í sjálfu sér öfgafull (þ.e. þurrkar eða miklar rigningar á einni árstíð). Sjá IPCC, 2018: </w:t>
      </w:r>
      <w:r>
        <w:rPr>
          <w:i/>
        </w:rPr>
        <w:t xml:space="preserve">I. viðauki: </w:t>
      </w:r>
      <w:proofErr w:type="spellStart"/>
      <w:r>
        <w:rPr>
          <w:i/>
          <w:iCs/>
        </w:rPr>
        <w:t>Glossary</w:t>
      </w:r>
      <w:proofErr w:type="spellEnd"/>
      <w:r>
        <w:t xml:space="preserve"> (útgáfa frá 4.6.2021: https://www.ipcc.ch/sr15/chapter/glossary/).</w:t>
      </w:r>
    </w:p>
  </w:footnote>
  <w:footnote w:id="374">
    <w:p w14:paraId="5928EB5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Allir stjórnlausir gróðureldar sem kalla á ákvörðun eða aðgerð að því er varðar að slökkva þá, „European </w:t>
      </w:r>
      <w:proofErr w:type="spellStart"/>
      <w:r>
        <w:t>Glossary</w:t>
      </w:r>
      <w:proofErr w:type="spellEnd"/>
      <w:r>
        <w:t xml:space="preserve"> for </w:t>
      </w:r>
      <w:proofErr w:type="spellStart"/>
      <w:r>
        <w:t>wildfires</w:t>
      </w:r>
      <w:proofErr w:type="spellEnd"/>
      <w:r>
        <w:t xml:space="preserve"> </w:t>
      </w:r>
      <w:proofErr w:type="spellStart"/>
      <w:r>
        <w:t>and</w:t>
      </w:r>
      <w:proofErr w:type="spellEnd"/>
      <w:r>
        <w:t xml:space="preserve"> </w:t>
      </w:r>
      <w:proofErr w:type="spellStart"/>
      <w:r>
        <w:t>forest</w:t>
      </w:r>
      <w:proofErr w:type="spellEnd"/>
      <w:r>
        <w:t xml:space="preserve"> </w:t>
      </w:r>
      <w:proofErr w:type="spellStart"/>
      <w:r>
        <w:t>fires</w:t>
      </w:r>
      <w:proofErr w:type="spellEnd"/>
      <w:r>
        <w:t xml:space="preserve">“ 2012, þróuð innan ramma European Forest </w:t>
      </w:r>
      <w:proofErr w:type="spellStart"/>
      <w:r>
        <w:t>Fire</w:t>
      </w:r>
      <w:proofErr w:type="spellEnd"/>
      <w:r>
        <w:t xml:space="preserve"> Network - „UFOFINET“-verkefnisins sem hluti af áætluninni INTERREG IVC (útgáfa frá 4.6.2021: https://www.ctif.org/index.php/library/european-glossary-wildfires-and-forest-fires).</w:t>
      </w:r>
    </w:p>
  </w:footnote>
  <w:footnote w:id="375">
    <w:p w14:paraId="11DA48F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376">
    <w:p w14:paraId="7E2F1BE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377">
    <w:p w14:paraId="704F434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378">
    <w:p w14:paraId="2BD45E6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379">
    <w:p w14:paraId="0D3628A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380">
    <w:p w14:paraId="71C3427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381">
    <w:p w14:paraId="6AD9FCB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Skógarsvæði sem er með skráða stjórnunaráætlun til langs tíma (10 ár eða meira) sem miðar að skilgreindum stjórnunarmarkmiðum og er endurskoðuð reglulega.</w:t>
      </w:r>
    </w:p>
    <w:p w14:paraId="47BFD8F5" w14:textId="77777777" w:rsidR="002B5657" w:rsidRDefault="002B5657" w:rsidP="002B5657">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 pdf).</w:t>
      </w:r>
    </w:p>
  </w:footnote>
  <w:footnote w:id="382">
    <w:p w14:paraId="25F313E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Þar með taldar greiningar á i. sjálfbærni viðarauðlindarinnar til langs tíma ii. áhrifum/álagi á varðveislu búsvæðis, fjölbreytni tengdra búsvæða og skilyrðum fyrir nýtingu sem lágmarkar áhrif á jarðveg.</w:t>
      </w:r>
    </w:p>
  </w:footnote>
  <w:footnote w:id="383">
    <w:p w14:paraId="795084F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Stjórnun og notkun skóga og skóglendis á þann hátt og á þeim hraða sem viðheldur líffræðilegri fjölbreytni þeirra, framleiðslugetu, endurnýjunargetu, lífsþrótti og getu þeirra til að uppfylla, nú og í framtíðinni, viðeigandi vistfræðileg, efnahagsleg og félagsleg hlutverk, á lands-, þjóðar- og alþjóðavettvangi og sem veldur ekki skaða fyrir önnur vistkerfi. </w:t>
      </w:r>
    </w:p>
    <w:p w14:paraId="210B2E4A" w14:textId="77777777" w:rsidR="002B5657" w:rsidRDefault="002B5657" w:rsidP="002B5657">
      <w:pPr>
        <w:pStyle w:val="Textineanmlsgreinar"/>
        <w:ind w:left="360" w:firstLine="0"/>
        <w:rPr>
          <w:rFonts w:cs="Times New Roman"/>
          <w:szCs w:val="16"/>
        </w:rPr>
      </w:pPr>
      <w:r>
        <w:t xml:space="preserve">Ályktun H1 „General </w:t>
      </w:r>
      <w:proofErr w:type="spellStart"/>
      <w:r>
        <w:t>Guidelines</w:t>
      </w:r>
      <w:proofErr w:type="spellEnd"/>
      <w:r>
        <w:t xml:space="preserve"> for </w:t>
      </w:r>
      <w:proofErr w:type="spellStart"/>
      <w:r>
        <w:t>the</w:t>
      </w:r>
      <w:proofErr w:type="spellEnd"/>
      <w:r>
        <w:t xml:space="preserve"> </w:t>
      </w:r>
      <w:proofErr w:type="spellStart"/>
      <w:r>
        <w:t>Sustainable</w:t>
      </w:r>
      <w:proofErr w:type="spellEnd"/>
      <w:r>
        <w:t xml:space="preserve"> Management of </w:t>
      </w:r>
      <w:proofErr w:type="spellStart"/>
      <w:r>
        <w:t>Forests</w:t>
      </w:r>
      <w:proofErr w:type="spellEnd"/>
      <w:r>
        <w:t xml:space="preserve"> </w:t>
      </w:r>
      <w:proofErr w:type="spellStart"/>
      <w:r>
        <w:t>in</w:t>
      </w:r>
      <w:proofErr w:type="spellEnd"/>
      <w:r>
        <w:t xml:space="preserve"> Europe“ (almennar viðmiðunarreglur fyrir sjálfbæra stjórnun á skógum í Evrópu); önnur ráðherraráðstefnan um verndun skóga í Evrópu (skógar í Evrópu), 16.–17. júní 1993 Helsinki/Finnland (útgáfa frá 4.6.2021: https://www.foresteurope.org/docs/MC/MC_helsinki_resolutionH1.pdf.</w:t>
      </w:r>
    </w:p>
  </w:footnote>
  <w:footnote w:id="384">
    <w:p w14:paraId="44FB85E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2. viðauki við ályktun L2. </w:t>
      </w:r>
      <w:proofErr w:type="spellStart"/>
      <w:r>
        <w:t>Samevrópskar</w:t>
      </w:r>
      <w:proofErr w:type="spellEnd"/>
      <w:r>
        <w:t xml:space="preserve"> leiðbeiningar vegna aðgerða á sviði sjálfbærrar skógarstjórnunar. Þriðja ráðherraráðstefnan um verndun skóga í Evrópu, 2.–4. júní 1998, Lissabon/Portúgal (útgáfa frá 4.6.2021: https://foresteurope.org/wp-content/uploads/2016/10/MC_lisbon_resolutionL2_with_annexes.pdf#page=18).</w:t>
      </w:r>
    </w:p>
  </w:footnote>
  <w:footnote w:id="385">
    <w:p w14:paraId="004CD18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386">
    <w:p w14:paraId="1E0EDD0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387">
    <w:p w14:paraId="3B41CC6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388">
    <w:p w14:paraId="664B6D7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389">
    <w:p w14:paraId="76B4986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390">
    <w:p w14:paraId="094847A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391">
    <w:p w14:paraId="34F23C4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392">
    <w:p w14:paraId="4BFEF20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393">
    <w:p w14:paraId="0E9854B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394">
    <w:p w14:paraId="04F66CE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Skógarsvæði sem er með skráða stjórnunaráætlun til langs tíma (10 ár eða meira) sem miðar að skilgreindum stjórnunarmarkmiðum og er endurskoðuð reglulega. </w:t>
      </w:r>
    </w:p>
    <w:p w14:paraId="7CBBFEBA" w14:textId="77777777" w:rsidR="002B5657" w:rsidRDefault="002B5657" w:rsidP="002B5657">
      <w:pPr>
        <w:pStyle w:val="Textineanmlsgreinar"/>
        <w:ind w:left="360" w:firstLine="0"/>
        <w:rPr>
          <w:rFonts w:cs="Times New Roman"/>
          <w:szCs w:val="16"/>
        </w:rPr>
      </w:pPr>
      <w:r>
        <w:t xml:space="preserve">„FAO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 pdf).</w:t>
      </w:r>
    </w:p>
  </w:footnote>
  <w:footnote w:id="395">
    <w:p w14:paraId="5328239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Þar með taldar greiningar á i. sjálfbærni viðarauðlindarinnar til langs tíma ii. áhrifum/álagi á varðveislu búsvæðis, fjölbreytni tengdra búsvæða og skilyrðum fyrir nýtingu sem lágmarkar áhrif á jarðveg.</w:t>
      </w:r>
    </w:p>
  </w:footnote>
  <w:footnote w:id="396">
    <w:p w14:paraId="45EA928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Stjórnun og notkun skóga og skóglendis á þann hátt og á þeim hraða sem viðheldur líffræðilegri fjölbreytni þeirra, framleiðslugetu, endurnýjunargetu, lífsþrótti og getu þeirra til að uppfylla, nú og í framtíðinni, viðeigandi vistfræðileg, efnahagsleg og félagsleg hlutverk, á lands-, þjóðar- og alþjóðavettvangi og sem veldur ekki skaða fyrir önnur vistkerfi. </w:t>
      </w:r>
    </w:p>
    <w:p w14:paraId="5303243F" w14:textId="77777777" w:rsidR="002B5657" w:rsidRDefault="002B5657" w:rsidP="002B5657">
      <w:pPr>
        <w:pStyle w:val="Textineanmlsgreinar"/>
        <w:ind w:left="360" w:firstLine="0"/>
        <w:rPr>
          <w:rFonts w:cs="Times New Roman"/>
          <w:szCs w:val="16"/>
        </w:rPr>
      </w:pPr>
      <w:r>
        <w:t xml:space="preserve">Ályktun H1 „General </w:t>
      </w:r>
      <w:proofErr w:type="spellStart"/>
      <w:r>
        <w:t>Guidelines</w:t>
      </w:r>
      <w:proofErr w:type="spellEnd"/>
      <w:r>
        <w:t xml:space="preserve"> for </w:t>
      </w:r>
      <w:proofErr w:type="spellStart"/>
      <w:r>
        <w:t>the</w:t>
      </w:r>
      <w:proofErr w:type="spellEnd"/>
      <w:r>
        <w:t xml:space="preserve"> </w:t>
      </w:r>
      <w:proofErr w:type="spellStart"/>
      <w:r>
        <w:t>Sustainable</w:t>
      </w:r>
      <w:proofErr w:type="spellEnd"/>
      <w:r>
        <w:t xml:space="preserve"> Management of </w:t>
      </w:r>
      <w:proofErr w:type="spellStart"/>
      <w:r>
        <w:t>Forests</w:t>
      </w:r>
      <w:proofErr w:type="spellEnd"/>
      <w:r>
        <w:t xml:space="preserve"> </w:t>
      </w:r>
      <w:proofErr w:type="spellStart"/>
      <w:r>
        <w:t>in</w:t>
      </w:r>
      <w:proofErr w:type="spellEnd"/>
      <w:r>
        <w:t xml:space="preserve"> Europe“ (almennar viðmiðunarreglur fyrir sjálfbæra stjórnun á skógum í Evrópu); önnur ráðherraráðstefnan um verndun skóga í Evrópu (skógar í Evrópu), 16.–17. júní 1993 Helsinki/Finnland (útgáfa frá 4.6.2021: https://www.foresteurope.org/docs/MC/MC_helsinki_resolutionH1.pdf).</w:t>
      </w:r>
    </w:p>
  </w:footnote>
  <w:footnote w:id="397">
    <w:p w14:paraId="3A92665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2. viðauki við ályktun L2. </w:t>
      </w:r>
      <w:proofErr w:type="spellStart"/>
      <w:r>
        <w:t>Samevrópskar</w:t>
      </w:r>
      <w:proofErr w:type="spellEnd"/>
      <w:r>
        <w:t xml:space="preserve"> leiðbeiningar vegna aðgerða á sviði sjálfbærrar skógarstjórnunar. Þriðja ráðherraráðstefnan um verndun skóga í Evrópu, 2.–4. júní 1998, Lissabon/Portúgal (útgáfa frá 4.6.2021:  </w:t>
      </w:r>
    </w:p>
    <w:p w14:paraId="1D6E0A0E" w14:textId="77777777" w:rsidR="002B5657" w:rsidRDefault="002B5657" w:rsidP="002B5657">
      <w:pPr>
        <w:pStyle w:val="Textineanmlsgreinar"/>
        <w:ind w:left="360" w:firstLine="0"/>
        <w:rPr>
          <w:rFonts w:cs="Times New Roman"/>
          <w:szCs w:val="16"/>
        </w:rPr>
      </w:pPr>
      <w:r>
        <w:t>https://foresteurope.org/wp-content/uploads/2016/10/MC_lisbon_resolutionL2_with_annexes.pdf#page=18).</w:t>
      </w:r>
    </w:p>
  </w:footnote>
  <w:footnote w:id="398">
    <w:p w14:paraId="21846FC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399">
    <w:p w14:paraId="70C059E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400">
    <w:p w14:paraId="1E464A3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401">
    <w:p w14:paraId="0998E7B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402">
    <w:p w14:paraId="49FED80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03">
    <w:p w14:paraId="50B2A8B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04">
    <w:p w14:paraId="70FF26F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05">
    <w:p w14:paraId="0787555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06">
    <w:p w14:paraId="6DE26CB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07">
    <w:p w14:paraId="2272389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08">
    <w:p w14:paraId="12F2FAD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Skógarsvæði sem er með skráða stjórnunaráætlun til langs tíma (10 ár eða meira) sem miðar að skilgreindum stjórnunarmarkmiðum og er endurskoðuð reglulega,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09">
    <w:p w14:paraId="0E8CC93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Fastsett meginstjórnunarmarkmið sem er úthlutað til stjórnsýslueiningar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10">
    <w:p w14:paraId="4A11148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Skógur þar sem stjórnunarmarkmiðið er verndun jarðvegs og vatns.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11">
    <w:p w14:paraId="0C4D8A6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Skógur þar sem stjórnunarmarkmiðið er varðveisla líffræðilegrar fjölbreytni. Nær yfir en er ekki takmarkað við svæði sem eru valin til varðveislu líffræðilegrar fjölbreytni innan vernduðu svæðanna.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12">
    <w:p w14:paraId="15C3B24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Skógur þar sem stjórnunarmarkmiðið er félagsþjónusta. („FAO Global Resources Assessment 2020. </w:t>
      </w:r>
      <w:proofErr w:type="spellStart"/>
      <w:r>
        <w:t>Terms</w:t>
      </w:r>
      <w:proofErr w:type="spellEnd"/>
      <w:r>
        <w:t xml:space="preserve"> </w:t>
      </w:r>
      <w:proofErr w:type="spellStart"/>
      <w:r>
        <w:t>and</w:t>
      </w:r>
      <w:proofErr w:type="spellEnd"/>
      <w:r>
        <w:t xml:space="preserve"> </w:t>
      </w:r>
      <w:proofErr w:type="spellStart"/>
      <w:r>
        <w:t>definitions</w:t>
      </w:r>
      <w:proofErr w:type="spellEnd"/>
      <w:r>
        <w:t>“ (útgáfa frá 4.6.2021: http://www.fao.org/3/I8661EN/i8661en.pdf).</w:t>
      </w:r>
    </w:p>
  </w:footnote>
  <w:footnote w:id="413">
    <w:p w14:paraId="0F9B9A0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Stjórnun og notkun skóga og skóglendis á þann hátt og á þeim hraða sem viðheldur líffræðilegri fjölbreytni þeirra, framleiðslugetu, endurnýjunargetu, lífsþrótti og getu þeirra til að uppfylla, nú og í framtíðinni, viðeigandi vistfræðileg, efnahagsleg og félagsleg hlutverk, á lands-, þjóðar- og alþjóðavettvangi og sem veldur ekki skaða fyrir önnur vistkerfi. </w:t>
      </w:r>
    </w:p>
    <w:p w14:paraId="5F719E0B" w14:textId="77777777" w:rsidR="002B5657" w:rsidRDefault="002B5657" w:rsidP="002B5657">
      <w:pPr>
        <w:pStyle w:val="Textineanmlsgreinar"/>
        <w:ind w:left="360" w:firstLine="0"/>
        <w:rPr>
          <w:rFonts w:cs="Times New Roman"/>
          <w:szCs w:val="16"/>
        </w:rPr>
      </w:pPr>
      <w:r>
        <w:t xml:space="preserve">Ályktun H1 „General </w:t>
      </w:r>
      <w:proofErr w:type="spellStart"/>
      <w:r>
        <w:t>Guidelines</w:t>
      </w:r>
      <w:proofErr w:type="spellEnd"/>
      <w:r>
        <w:t xml:space="preserve"> for </w:t>
      </w:r>
      <w:proofErr w:type="spellStart"/>
      <w:r>
        <w:t>the</w:t>
      </w:r>
      <w:proofErr w:type="spellEnd"/>
      <w:r>
        <w:t xml:space="preserve"> </w:t>
      </w:r>
      <w:proofErr w:type="spellStart"/>
      <w:r>
        <w:t>Sustainable</w:t>
      </w:r>
      <w:proofErr w:type="spellEnd"/>
      <w:r>
        <w:t xml:space="preserve"> Management of </w:t>
      </w:r>
      <w:proofErr w:type="spellStart"/>
      <w:r>
        <w:t>Forests</w:t>
      </w:r>
      <w:proofErr w:type="spellEnd"/>
      <w:r>
        <w:t xml:space="preserve"> </w:t>
      </w:r>
      <w:proofErr w:type="spellStart"/>
      <w:r>
        <w:t>in</w:t>
      </w:r>
      <w:proofErr w:type="spellEnd"/>
      <w:r>
        <w:t xml:space="preserve"> Europe“ (almennar viðmiðunarreglur fyrir sjálfbæra stjórnun á skógum í Evrópu); önnur ráðherraráðstefnan um verndun skóga í Evrópu (skógar í Evrópu), 16.–17. júní 1993 Helsinki/Finnland (útgáfa frá 4.6.2021: https://www.foresteurope.org/docs/MC/MC_helsinki_resolutionH1.pdf).</w:t>
      </w:r>
    </w:p>
  </w:footnote>
  <w:footnote w:id="414">
    <w:p w14:paraId="24C8E41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2. viðauki við ályktun L2. </w:t>
      </w:r>
      <w:proofErr w:type="spellStart"/>
      <w:r>
        <w:t>Samevrópskar</w:t>
      </w:r>
      <w:proofErr w:type="spellEnd"/>
      <w:r>
        <w:t xml:space="preserve"> leiðbeiningar vegna aðgerða á sviði sjálfbærrar skógarstjórnunar. Þriðja ráðherraráðstefnan um verndun skóga í Evrópu, 2.–4. júní 1998, Lissabon/Portúgal (útgáfa frá 4.6.2021: https://foresteurope.org/wp-content/uploads/2016/10/MC_lisbon_resolutionL2_with_annexes.pdf#page=18).</w:t>
      </w:r>
    </w:p>
  </w:footnote>
  <w:footnote w:id="415">
    <w:p w14:paraId="49E3F76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Land með miklar kolefnisbirgðir merkir votlendi, þ.m.t. </w:t>
      </w:r>
      <w:proofErr w:type="spellStart"/>
      <w:r>
        <w:t>mómýri</w:t>
      </w:r>
      <w:proofErr w:type="spellEnd"/>
      <w:r>
        <w:t xml:space="preserve">, og samfelld skóglendi í skilningi a-, b- og </w:t>
      </w:r>
      <w:proofErr w:type="spellStart"/>
      <w:r>
        <w:t>c-liðar</w:t>
      </w:r>
      <w:proofErr w:type="spellEnd"/>
      <w:r>
        <w:t xml:space="preserve"> 4. mgr. 29. gr. tilskipunar (ESB) 2018/2001.</w:t>
      </w:r>
    </w:p>
  </w:footnote>
  <w:footnote w:id="416">
    <w:p w14:paraId="49967C6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„Upprunasvæði“: landfræðilega afmarkað svæði þar sem hráefnið fyrir lífmassa úr skógi er </w:t>
      </w:r>
      <w:proofErr w:type="spellStart"/>
      <w:r>
        <w:t>upprunnið</w:t>
      </w:r>
      <w:proofErr w:type="spellEnd"/>
      <w:r>
        <w:t>, sem áreiðanlegar og óháðar upplýsingar eru tiltækar um og þar sem aðstæður eru nægjanlega einsleitar til að hægt sé að leggja mat á áhættu í tengslum við sjálfbærni og lögmæti lífmassa úr skógi.</w:t>
      </w:r>
    </w:p>
  </w:footnote>
  <w:footnote w:id="417">
    <w:p w14:paraId="2D2FB41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418">
    <w:p w14:paraId="1A1DB2E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419">
    <w:p w14:paraId="0065E14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r>
      <w:r>
        <w:rPr>
          <w:i/>
          <w:iCs/>
        </w:rPr>
        <w:t xml:space="preserve">Votlendi nær yfir margs konar búsvæði inni í landi s.s. mýrar, vot graslendi og </w:t>
      </w:r>
      <w:proofErr w:type="spellStart"/>
      <w:r>
        <w:rPr>
          <w:i/>
          <w:iCs/>
        </w:rPr>
        <w:t>mómýrar</w:t>
      </w:r>
      <w:proofErr w:type="spellEnd"/>
      <w:r>
        <w:rPr>
          <w:i/>
          <w:iCs/>
        </w:rPr>
        <w:t xml:space="preserve">, flóðsléttur, ár og vötn, og strandsvæði s.s. sjávarfitjar, </w:t>
      </w:r>
      <w:proofErr w:type="spellStart"/>
      <w:r>
        <w:rPr>
          <w:i/>
          <w:iCs/>
        </w:rPr>
        <w:t>leiruvið</w:t>
      </w:r>
      <w:proofErr w:type="spellEnd"/>
      <w:r>
        <w:rPr>
          <w:i/>
          <w:iCs/>
        </w:rPr>
        <w:t xml:space="preserve">, </w:t>
      </w:r>
      <w:proofErr w:type="spellStart"/>
      <w:r>
        <w:rPr>
          <w:i/>
          <w:iCs/>
        </w:rPr>
        <w:t>leirur</w:t>
      </w:r>
      <w:proofErr w:type="spellEnd"/>
      <w:r>
        <w:rPr>
          <w:i/>
          <w:iCs/>
        </w:rPr>
        <w:t xml:space="preserve"> þar sem sjávarfalla gætir og </w:t>
      </w:r>
      <w:proofErr w:type="spellStart"/>
      <w:r>
        <w:rPr>
          <w:i/>
          <w:iCs/>
        </w:rPr>
        <w:t>sjávargrasbreiður</w:t>
      </w:r>
      <w:proofErr w:type="spellEnd"/>
      <w:r>
        <w:rPr>
          <w:i/>
          <w:iCs/>
        </w:rPr>
        <w:t xml:space="preserve">, og kóralrif og önnur hafsvæði sem ekki eru dýpri en sex metrar á lágflæði, sem og manngerð votlendi s.s. stíflur, uppistöðulón, hrísgrjónaakra og tjarnir og lón til að hreinsa </w:t>
      </w:r>
      <w:proofErr w:type="spellStart"/>
      <w:r>
        <w:rPr>
          <w:i/>
          <w:iCs/>
        </w:rPr>
        <w:t>skólp</w:t>
      </w:r>
      <w:proofErr w:type="spellEnd"/>
      <w:r>
        <w:rPr>
          <w:i/>
          <w:iCs/>
        </w:rPr>
        <w:t>.</w:t>
      </w:r>
      <w:r>
        <w:t xml:space="preserve"> „An </w:t>
      </w:r>
      <w:proofErr w:type="spellStart"/>
      <w:r>
        <w:t>Introduction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Ramsar</w:t>
      </w:r>
      <w:proofErr w:type="spellEnd"/>
      <w:r>
        <w:t xml:space="preserve"> </w:t>
      </w:r>
      <w:proofErr w:type="spellStart"/>
      <w:r>
        <w:t>Convention</w:t>
      </w:r>
      <w:proofErr w:type="spellEnd"/>
      <w:r>
        <w:t xml:space="preserve"> on </w:t>
      </w:r>
      <w:proofErr w:type="spellStart"/>
      <w:r>
        <w:t>Wetlands</w:t>
      </w:r>
      <w:proofErr w:type="spellEnd"/>
      <w:r>
        <w:t xml:space="preserve">“, 7. útgáfa, (áður „The </w:t>
      </w:r>
      <w:proofErr w:type="spellStart"/>
      <w:r>
        <w:t>Ramsar</w:t>
      </w:r>
      <w:proofErr w:type="spellEnd"/>
      <w:r>
        <w:t xml:space="preserve"> </w:t>
      </w:r>
      <w:proofErr w:type="spellStart"/>
      <w:r>
        <w:t>Convention</w:t>
      </w:r>
      <w:proofErr w:type="spellEnd"/>
      <w:r>
        <w:t xml:space="preserve"> </w:t>
      </w:r>
      <w:proofErr w:type="spellStart"/>
      <w:r>
        <w:t>Manual</w:t>
      </w:r>
      <w:proofErr w:type="spellEnd"/>
      <w:r>
        <w:t xml:space="preserve">“). Skrifstofa </w:t>
      </w:r>
      <w:proofErr w:type="spellStart"/>
      <w:r>
        <w:t>Ramsar</w:t>
      </w:r>
      <w:proofErr w:type="spellEnd"/>
      <w:r>
        <w:t xml:space="preserve">-samþykktarinnar, </w:t>
      </w:r>
      <w:proofErr w:type="spellStart"/>
      <w:r>
        <w:t>Gland</w:t>
      </w:r>
      <w:proofErr w:type="spellEnd"/>
      <w:r>
        <w:t>, Sviss.</w:t>
      </w:r>
    </w:p>
  </w:footnote>
  <w:footnote w:id="420">
    <w:p w14:paraId="5F80169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Mómýri</w:t>
      </w:r>
      <w:proofErr w:type="spellEnd"/>
      <w:r>
        <w:t xml:space="preserve"> er vistkerfi með </w:t>
      </w:r>
      <w:proofErr w:type="spellStart"/>
      <w:r>
        <w:t>mójarðvegi</w:t>
      </w:r>
      <w:proofErr w:type="spellEnd"/>
      <w:r>
        <w:t xml:space="preserve">. </w:t>
      </w:r>
      <w:proofErr w:type="spellStart"/>
      <w:r>
        <w:t>Mór</w:t>
      </w:r>
      <w:proofErr w:type="spellEnd"/>
      <w:r>
        <w:t xml:space="preserve"> samanstendur af a.m.k. 30% dauðum plöntuleifum, sem hafa brotnað niður að hluta til, sem hafa safnast upp á staðnum við vatnsósa og oft súr skilyrði. Ályktun XIII.12 „</w:t>
      </w:r>
      <w:proofErr w:type="spellStart"/>
      <w:r>
        <w:rPr>
          <w:i/>
        </w:rPr>
        <w:t>Guidance</w:t>
      </w:r>
      <w:proofErr w:type="spellEnd"/>
      <w:r>
        <w:rPr>
          <w:i/>
        </w:rPr>
        <w:t xml:space="preserve"> on </w:t>
      </w:r>
      <w:proofErr w:type="spellStart"/>
      <w:r>
        <w:rPr>
          <w:i/>
        </w:rPr>
        <w:t>identifying</w:t>
      </w:r>
      <w:proofErr w:type="spellEnd"/>
      <w:r>
        <w:rPr>
          <w:i/>
        </w:rPr>
        <w:t xml:space="preserve"> </w:t>
      </w:r>
      <w:proofErr w:type="spellStart"/>
      <w:r>
        <w:rPr>
          <w:i/>
        </w:rPr>
        <w:t>peatlands</w:t>
      </w:r>
      <w:proofErr w:type="spellEnd"/>
      <w:r>
        <w:rPr>
          <w:i/>
        </w:rPr>
        <w:t xml:space="preserve"> </w:t>
      </w:r>
      <w:proofErr w:type="spellStart"/>
      <w:r>
        <w:rPr>
          <w:i/>
        </w:rPr>
        <w:t>as</w:t>
      </w:r>
      <w:proofErr w:type="spellEnd"/>
      <w:r>
        <w:rPr>
          <w:i/>
        </w:rPr>
        <w:t xml:space="preserve"> </w:t>
      </w:r>
      <w:proofErr w:type="spellStart"/>
      <w:r>
        <w:rPr>
          <w:i/>
        </w:rPr>
        <w:t>Wetlands</w:t>
      </w:r>
      <w:proofErr w:type="spellEnd"/>
      <w:r>
        <w:rPr>
          <w:i/>
        </w:rPr>
        <w:t xml:space="preserve"> of International </w:t>
      </w:r>
      <w:proofErr w:type="spellStart"/>
      <w:r>
        <w:rPr>
          <w:i/>
        </w:rPr>
        <w:t>Importance</w:t>
      </w:r>
      <w:proofErr w:type="spellEnd"/>
      <w:r>
        <w:rPr>
          <w:i/>
        </w:rPr>
        <w:t xml:space="preserve"> (</w:t>
      </w:r>
      <w:proofErr w:type="spellStart"/>
      <w:r>
        <w:rPr>
          <w:i/>
        </w:rPr>
        <w:t>Ramsar</w:t>
      </w:r>
      <w:proofErr w:type="spellEnd"/>
      <w:r>
        <w:rPr>
          <w:i/>
        </w:rPr>
        <w:t xml:space="preserve"> </w:t>
      </w:r>
      <w:proofErr w:type="spellStart"/>
      <w:r>
        <w:rPr>
          <w:i/>
        </w:rPr>
        <w:t>Sites</w:t>
      </w:r>
      <w:proofErr w:type="spellEnd"/>
      <w:r>
        <w:rPr>
          <w:i/>
        </w:rPr>
        <w:t xml:space="preserve">) for </w:t>
      </w:r>
      <w:proofErr w:type="spellStart"/>
      <w:r>
        <w:rPr>
          <w:i/>
        </w:rPr>
        <w:t>global</w:t>
      </w:r>
      <w:proofErr w:type="spellEnd"/>
      <w:r>
        <w:rPr>
          <w:i/>
        </w:rPr>
        <w:t xml:space="preserve"> </w:t>
      </w:r>
      <w:proofErr w:type="spellStart"/>
      <w:r>
        <w:rPr>
          <w:i/>
        </w:rPr>
        <w:t>climate</w:t>
      </w:r>
      <w:proofErr w:type="spellEnd"/>
      <w:r>
        <w:rPr>
          <w:i/>
        </w:rPr>
        <w:t xml:space="preserve"> </w:t>
      </w:r>
      <w:proofErr w:type="spellStart"/>
      <w:r>
        <w:rPr>
          <w:i/>
        </w:rPr>
        <w:t>change</w:t>
      </w:r>
      <w:proofErr w:type="spellEnd"/>
      <w:r>
        <w:rPr>
          <w:i/>
        </w:rPr>
        <w:t xml:space="preserve"> </w:t>
      </w:r>
      <w:proofErr w:type="spellStart"/>
      <w:r>
        <w:rPr>
          <w:i/>
        </w:rPr>
        <w:t>regulation</w:t>
      </w:r>
      <w:proofErr w:type="spellEnd"/>
      <w:r>
        <w:rPr>
          <w:i/>
        </w:rPr>
        <w:t xml:space="preserve"> </w:t>
      </w:r>
      <w:proofErr w:type="spellStart"/>
      <w:r>
        <w:rPr>
          <w:i/>
        </w:rPr>
        <w:t>as</w:t>
      </w:r>
      <w:proofErr w:type="spellEnd"/>
      <w:r>
        <w:rPr>
          <w:i/>
        </w:rPr>
        <w:t xml:space="preserve"> an </w:t>
      </w:r>
      <w:proofErr w:type="spellStart"/>
      <w:r>
        <w:rPr>
          <w:i/>
        </w:rPr>
        <w:t>additional</w:t>
      </w:r>
      <w:proofErr w:type="spellEnd"/>
      <w:r>
        <w:rPr>
          <w:i/>
        </w:rPr>
        <w:t xml:space="preserve"> </w:t>
      </w:r>
      <w:proofErr w:type="spellStart"/>
      <w:r>
        <w:rPr>
          <w:i/>
        </w:rPr>
        <w:t>argument</w:t>
      </w:r>
      <w:proofErr w:type="spellEnd"/>
      <w:r>
        <w:rPr>
          <w:i/>
        </w:rPr>
        <w:t xml:space="preserve"> </w:t>
      </w:r>
      <w:proofErr w:type="spellStart"/>
      <w:r>
        <w:rPr>
          <w:i/>
        </w:rPr>
        <w:t>to</w:t>
      </w:r>
      <w:proofErr w:type="spellEnd"/>
      <w:r>
        <w:rPr>
          <w:i/>
        </w:rPr>
        <w:t xml:space="preserve"> </w:t>
      </w:r>
      <w:proofErr w:type="spellStart"/>
      <w:r>
        <w:rPr>
          <w:i/>
        </w:rPr>
        <w:t>existing</w:t>
      </w:r>
      <w:proofErr w:type="spellEnd"/>
      <w:r>
        <w:rPr>
          <w:i/>
        </w:rPr>
        <w:t xml:space="preserve"> </w:t>
      </w:r>
      <w:proofErr w:type="spellStart"/>
      <w:r>
        <w:rPr>
          <w:i/>
        </w:rPr>
        <w:t>Ramsar</w:t>
      </w:r>
      <w:proofErr w:type="spellEnd"/>
      <w:r>
        <w:rPr>
          <w:i/>
        </w:rPr>
        <w:t xml:space="preserve"> </w:t>
      </w:r>
      <w:proofErr w:type="spellStart"/>
      <w:r>
        <w:rPr>
          <w:i/>
        </w:rPr>
        <w:t>criteria</w:t>
      </w:r>
      <w:proofErr w:type="spellEnd"/>
      <w:r>
        <w:t xml:space="preserve">“, </w:t>
      </w:r>
      <w:proofErr w:type="spellStart"/>
      <w:r>
        <w:t>Ramsar</w:t>
      </w:r>
      <w:proofErr w:type="spellEnd"/>
      <w:r>
        <w:t>-samþykktin, samþykkt 21.- 29. október 2018.</w:t>
      </w:r>
    </w:p>
  </w:footnote>
  <w:footnote w:id="421">
    <w:p w14:paraId="4FEF88B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Samþykktin um votlendi sem hafa alþjóðlegt gildi, einkum fyrir fuglalíf (útgáfa frá 4.6.2021: https://www.ramsar.org/sites/default/files/documents/library/current_convention_text_e.pdf).</w:t>
      </w:r>
    </w:p>
  </w:footnote>
  <w:footnote w:id="422">
    <w:p w14:paraId="335D490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Orðsending framkvæmdastjórnarinnar til ráðsins og Evrópuþingsins frá 29. maí 1995 um skynsamlega nýtingu og vernd votlendis, COM(95) 189 lokagerð.</w:t>
      </w:r>
    </w:p>
  </w:footnote>
  <w:footnote w:id="423">
    <w:p w14:paraId="1CC8266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24">
    <w:p w14:paraId="45761D7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25">
    <w:p w14:paraId="5F55A5E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26">
    <w:p w14:paraId="73CADE9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27">
    <w:p w14:paraId="48CB40B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28">
    <w:p w14:paraId="387EAD4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Sem kemur Stokkhólmssamningnum um þrávirk lífræn efni í framkvæmd í Sambandinu (</w:t>
      </w:r>
      <w:proofErr w:type="spellStart"/>
      <w:r>
        <w:t>Stjtíð</w:t>
      </w:r>
      <w:proofErr w:type="spellEnd"/>
      <w:r>
        <w:t>. ESB L 209, 31.7.2006, bls. 3).</w:t>
      </w:r>
    </w:p>
  </w:footnote>
  <w:footnote w:id="429">
    <w:p w14:paraId="6ECA863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Tilmæli Alþjóðaheilbrigðismálastofnunarinnar um flokkun varnarefna eftir hættu (útgáfa frá 2019), (útgáfa frá 4.6.2021: https://apps.who.int/iris/bitstream/handle/10665/332193/9789240005662-eng.pdf?ua=1).</w:t>
      </w:r>
    </w:p>
  </w:footnote>
  <w:footnote w:id="430">
    <w:p w14:paraId="6A8BA46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31">
    <w:p w14:paraId="0A2ED4B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32">
    <w:p w14:paraId="41A34D6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33">
    <w:p w14:paraId="30DCD82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34">
    <w:p w14:paraId="235D66C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35">
    <w:p w14:paraId="513C978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36">
    <w:p w14:paraId="1C8D77C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37">
    <w:p w14:paraId="7A38B21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38">
    <w:p w14:paraId="6C14B09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39">
    <w:p w14:paraId="70C7462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40">
    <w:p w14:paraId="27DA3F8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j- til </w:t>
      </w:r>
      <w:proofErr w:type="spellStart"/>
      <w:r>
        <w:t>m-lið</w:t>
      </w:r>
      <w:proofErr w:type="spellEnd"/>
      <w:r>
        <w:t xml:space="preserve"> er fjallað um viðmiðunina sem tengist endurbótum í þáttum 6.9 og 6.12 í þessum viðauka.</w:t>
      </w:r>
    </w:p>
  </w:footnote>
  <w:footnote w:id="441">
    <w:p w14:paraId="7AC3C1E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Eins og um getur í a-lið 1. mgr. 4. gr. reglugerðar (ESB) 2018/858.</w:t>
      </w:r>
    </w:p>
  </w:footnote>
  <w:footnote w:id="442">
    <w:p w14:paraId="42F3C7E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Eins og sett er fram í 3. lið </w:t>
      </w:r>
      <w:proofErr w:type="spellStart"/>
      <w:r>
        <w:t>C-hluta</w:t>
      </w:r>
      <w:proofErr w:type="spellEnd"/>
      <w:r>
        <w:t xml:space="preserve"> I. viðauka við reglugerð (ESB) nr. 2018/858.</w:t>
      </w:r>
    </w:p>
  </w:footnote>
  <w:footnote w:id="443">
    <w:p w14:paraId="1D483632"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 til 31/12/2022, EURO VI þrep E eins og sett er fram í reglugerð (EB) nr. 595/2009.</w:t>
      </w:r>
    </w:p>
  </w:footnote>
  <w:footnote w:id="444">
    <w:p w14:paraId="7653D0C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Eins og skilgreint er í a- og </w:t>
      </w:r>
      <w:proofErr w:type="spellStart"/>
      <w:r>
        <w:t>b-lið</w:t>
      </w:r>
      <w:proofErr w:type="spellEnd"/>
      <w:r>
        <w:t xml:space="preserve"> 1. mgr. 4. gr. reglugerðar (ESB) 2018/858.</w:t>
      </w:r>
    </w:p>
  </w:footnote>
  <w:footnote w:id="445">
    <w:p w14:paraId="087CB65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Eins og skilgreint er í 4. gr. reglugerðar (ESB) nr. 168/2013.</w:t>
      </w:r>
    </w:p>
  </w:footnote>
  <w:footnote w:id="446">
    <w:p w14:paraId="336ADD1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Rekstrarlegur </w:t>
      </w:r>
      <w:proofErr w:type="spellStart"/>
      <w:r>
        <w:t>orkunýtnivísir</w:t>
      </w:r>
      <w:proofErr w:type="spellEnd"/>
      <w:r>
        <w:t xml:space="preserve"> er skilgreindur sem massahlutfall losaðs koltvísýrings á hverja flutningseiningu. Þetta er dæmigert gildi fyrir </w:t>
      </w:r>
      <w:proofErr w:type="spellStart"/>
      <w:r>
        <w:t>orkunýtni</w:t>
      </w:r>
      <w:proofErr w:type="spellEnd"/>
      <w:r>
        <w:t xml:space="preserve"> við </w:t>
      </w:r>
      <w:proofErr w:type="spellStart"/>
      <w:r>
        <w:t>starfrækslu</w:t>
      </w:r>
      <w:proofErr w:type="spellEnd"/>
      <w:r>
        <w:t xml:space="preserve"> skipsins yfir samfellt tímabil sem svarar til alls viðskiptamynsturs skipsins. Leiðbeiningar um hvernig á að reikna út þennan vísi eru gefnar í skjalinu MEPC.1/</w:t>
      </w:r>
      <w:proofErr w:type="spellStart"/>
      <w:r>
        <w:t>Circ</w:t>
      </w:r>
      <w:proofErr w:type="spellEnd"/>
      <w:r>
        <w:t>. 684 frá Alþjóðasiglingamálastofnuninni.</w:t>
      </w:r>
    </w:p>
  </w:footnote>
  <w:footnote w:id="447">
    <w:p w14:paraId="25AFFCB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Orkunýtnivísitala</w:t>
      </w:r>
      <w:proofErr w:type="spellEnd"/>
      <w:r>
        <w:t xml:space="preserve"> hönnunar (útgáfa frá 4.6.2021: http://www.imo.org/fr/MediaCentre/HotTopics/GHG/Pages/EEDI.aspx).</w:t>
      </w:r>
    </w:p>
  </w:footnote>
  <w:footnote w:id="448">
    <w:p w14:paraId="6B7ED80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Eins og sjávarumhverfisverndarnefnd Alþjóðasiglingamálastofnunarinnar samþykkti á 74. fundi sínum.</w:t>
      </w:r>
    </w:p>
  </w:footnote>
  <w:footnote w:id="449">
    <w:p w14:paraId="7C31DBA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Eldsneyti sem uppfyllir tæknilegu matsviðmiðin sem eru tilgreind í þáttum 3.10 og 4.13 í þessum viðauka.</w:t>
      </w:r>
    </w:p>
  </w:footnote>
  <w:footnote w:id="450">
    <w:p w14:paraId="1FC3A91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Eldsneyti sem uppfyllir tæknilegu matsviðmiðin sem eru tilgreind í þáttum 3.10 og 4.13 í þessum viðauka.</w:t>
      </w:r>
    </w:p>
  </w:footnote>
  <w:footnote w:id="451">
    <w:p w14:paraId="303AF66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52">
    <w:p w14:paraId="610CA55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53">
    <w:p w14:paraId="3D2FCA1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54">
    <w:p w14:paraId="6D693CE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55">
    <w:p w14:paraId="79536F7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56">
    <w:p w14:paraId="10E835E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57">
    <w:p w14:paraId="376964C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58">
    <w:p w14:paraId="614C933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59">
    <w:p w14:paraId="51B88C2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60">
    <w:p w14:paraId="2FE5B8F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61">
    <w:p w14:paraId="1AF4CA4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Þar sem við á er U-gildið reiknað út samkvæmt gildandi stöðlum, t.d. EN ISO 10077-1:2017 (gluggar og dyr), EN ISO 12631:2017 (léttveggir) og EN ISO 6946:2017 (aðrir byggingaíhlutir og -einingar).</w:t>
      </w:r>
    </w:p>
  </w:footnote>
  <w:footnote w:id="462">
    <w:p w14:paraId="3C0189C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63">
    <w:p w14:paraId="221015D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64">
    <w:p w14:paraId="5E221AC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65">
    <w:p w14:paraId="5D69A63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66">
    <w:p w14:paraId="391B9EF2"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67">
    <w:p w14:paraId="73AD7E8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(https://www.iso.org/standard/71206.html).</w:t>
      </w:r>
    </w:p>
  </w:footnote>
  <w:footnote w:id="468">
    <w:p w14:paraId="61DB1DD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 xml:space="preserve">) 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469">
    <w:p w14:paraId="2E14881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70">
    <w:p w14:paraId="64B4A82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71">
    <w:p w14:paraId="01A4A27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72">
    <w:p w14:paraId="23F85F3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73">
    <w:p w14:paraId="0A6A2B4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74">
    <w:p w14:paraId="260B4E20"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75">
    <w:p w14:paraId="1AC0DF1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76">
    <w:p w14:paraId="743BD6D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77">
    <w:p w14:paraId="36AE48B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78">
    <w:p w14:paraId="5727884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79">
    <w:p w14:paraId="22A45E7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480">
    <w:p w14:paraId="16C9D8E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481">
    <w:p w14:paraId="5893A4B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Endurspeglar miðgildið fyrir stöðvarnar fyrir árin 2016 og 2017 (t koltvísýringsígilda/t) fyrir þau gögn sem var safnað fyrir grátt </w:t>
      </w:r>
      <w:proofErr w:type="spellStart"/>
      <w:r>
        <w:t>sementsgjall</w:t>
      </w:r>
      <w:proofErr w:type="spellEnd"/>
      <w:r>
        <w:t xml:space="preserve"> í tengslum við að koma á fót framkvæmdarreglugerð framkvæmdastjórnarinnar (ESB) 2021/447, margfaldað með hlutfallinu milli </w:t>
      </w:r>
      <w:proofErr w:type="spellStart"/>
      <w:r>
        <w:t>gjalls</w:t>
      </w:r>
      <w:proofErr w:type="spellEnd"/>
      <w:r>
        <w:t xml:space="preserve"> og </w:t>
      </w:r>
      <w:proofErr w:type="spellStart"/>
      <w:r>
        <w:t>sements</w:t>
      </w:r>
      <w:proofErr w:type="spellEnd"/>
      <w:r>
        <w:t xml:space="preserve"> (0,65), ákvarðað á grundvelli sannprófaðra upplýsinga um skilvirkni í tengslum við gróðurhúsalofttegundir fyrir stöðvar sem gefnar eru upp skv. 11. gr. tilskipunar 2003/87/EB.</w:t>
      </w:r>
    </w:p>
  </w:footnote>
  <w:footnote w:id="482">
    <w:p w14:paraId="33229ED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2013/163/ESB frá 26. mars 2013 um að fastsetja niðurstöður um bestu, fáanlegu tækni (BAT), samkvæmt tilskipun Evrópuþingsins og ráðsins 2010/75/ESB um losun í iðnaði, vegna framleiðslu á </w:t>
      </w:r>
      <w:proofErr w:type="spellStart"/>
      <w:r>
        <w:t>sementi</w:t>
      </w:r>
      <w:proofErr w:type="spellEnd"/>
      <w:r>
        <w:t xml:space="preserve">, </w:t>
      </w:r>
      <w:proofErr w:type="spellStart"/>
      <w:r>
        <w:t>kalki</w:t>
      </w:r>
      <w:proofErr w:type="spellEnd"/>
      <w:r>
        <w:t xml:space="preserve"> og </w:t>
      </w:r>
      <w:proofErr w:type="spellStart"/>
      <w:r>
        <w:t>magnesíumoxíði</w:t>
      </w:r>
      <w:proofErr w:type="spellEnd"/>
      <w:r>
        <w:t xml:space="preserve"> (</w:t>
      </w:r>
      <w:proofErr w:type="spellStart"/>
      <w:r>
        <w:t>Stjtíð</w:t>
      </w:r>
      <w:proofErr w:type="spellEnd"/>
      <w:r>
        <w:t>. ESB L 100, 9.4.2013, bls. 1).</w:t>
      </w:r>
    </w:p>
  </w:footnote>
  <w:footnote w:id="483">
    <w:p w14:paraId="5233F42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tilvísunarskjal um bestu aðgengilegu tækni fyrir efnahagslega þætti og yfirfærsluáhrif milli umhverfishólfa (útgáfa frá 4.6.2021: https://eippcb.jrc.ec.europa.eu/sites/default/files/2019-11/ecm_bref_0706.pdf).</w:t>
      </w:r>
    </w:p>
  </w:footnote>
  <w:footnote w:id="484">
    <w:p w14:paraId="2E2A1412"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85">
    <w:p w14:paraId="1F50CE3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86">
    <w:p w14:paraId="7A038EA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87">
    <w:p w14:paraId="7584C73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hún styður við veitingu margs konar vistkerfisþjónustu (útgáfa frá 4.6.2021: https://ec.europa.eu/info/research-and-innovation/research-area/environment/nature-based-solutions_en/-.</w:t>
      </w:r>
    </w:p>
  </w:footnote>
  <w:footnote w:id="488">
    <w:p w14:paraId="01DAFF9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89">
    <w:p w14:paraId="498D0F4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Sameinað í ein viðmiðunarmörk sem leiða til summu beinnar og óbeinnar losunar, reiknuð út sem meðalgildi gagnanna sem safnað var í tengslum við setningu viðmiðunarmarka í iðnaði fyrir viðskiptakerfi ESB með losunarheimildir fyrir tímabilið 2021–2026 og reiknuð út í samræmi við aðferðina til að fastsetja viðmiðunarmörkin sem sett eru fram í tilskipun2003/87/EB, að viðbættri viðmiðuninni um að valda ekki umtalsverðu tjóni fyrir mildun loftslagsbreytinga fyrir raforkuframleiðslu (270 g CO</w:t>
      </w:r>
      <w:r>
        <w:rPr>
          <w:vertAlign w:val="subscript"/>
        </w:rPr>
        <w:t>2</w:t>
      </w:r>
      <w:r>
        <w:t xml:space="preserve">e/kWh), margfaldað með </w:t>
      </w:r>
      <w:proofErr w:type="spellStart"/>
      <w:r>
        <w:t>meðalorkunýtni</w:t>
      </w:r>
      <w:proofErr w:type="spellEnd"/>
      <w:r>
        <w:t xml:space="preserve"> við álframleiðslu (15,5 </w:t>
      </w:r>
      <w:proofErr w:type="spellStart"/>
      <w:r>
        <w:t>MWh</w:t>
      </w:r>
      <w:proofErr w:type="spellEnd"/>
      <w:r>
        <w:t>/t Al).</w:t>
      </w:r>
    </w:p>
  </w:footnote>
  <w:footnote w:id="490">
    <w:p w14:paraId="438F666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491">
    <w:p w14:paraId="6F57EE2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Ál sem er framleitt er óunnið, óblendið, fljótandi ál úr </w:t>
      </w:r>
      <w:proofErr w:type="spellStart"/>
      <w:r>
        <w:t>rafgreiningu</w:t>
      </w:r>
      <w:proofErr w:type="spellEnd"/>
      <w:r>
        <w:t>.</w:t>
      </w:r>
    </w:p>
  </w:footnote>
  <w:footnote w:id="492">
    <w:p w14:paraId="1B576618"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2016/1032 frá 13. júní 2016 um að fastsetja niðurstöður um bestu, fáanlegu tækni (BAT), samkvæmt tilskipun Evrópuþingsins og ráðsins 2010/75/ESB, vegna iðnaðar með járnlausan málm (</w:t>
      </w:r>
      <w:proofErr w:type="spellStart"/>
      <w:r>
        <w:t>Stjtíð</w:t>
      </w:r>
      <w:proofErr w:type="spellEnd"/>
      <w:r>
        <w:t>. ESB L 174, 30.6.2016, bls. 32).</w:t>
      </w:r>
    </w:p>
  </w:footnote>
  <w:footnote w:id="493">
    <w:p w14:paraId="02F4752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494">
    <w:p w14:paraId="773FD34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495">
    <w:p w14:paraId="669930C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496">
    <w:p w14:paraId="1DF0EE9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497">
    <w:p w14:paraId="3EFD64A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498">
    <w:p w14:paraId="1A0B400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499">
    <w:p w14:paraId="3CA4DCF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00">
    <w:p w14:paraId="1BBE741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01">
    <w:p w14:paraId="7479115D"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02">
    <w:p w14:paraId="639C09A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03">
    <w:p w14:paraId="742B4905"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04">
    <w:p w14:paraId="3B9D409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05">
    <w:p w14:paraId="1AC40A1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2012/135/ESB frá 28. febrúar 2012 um að fastsetja niðurstöður um bestu, fáanlegu tækni (BAT), samkvæmt tilskipun Evrópuþingsins og ráðsins 2010/75/ESB um losun í iðnaði, vegna framleiðslu á járni og stáli (</w:t>
      </w:r>
      <w:proofErr w:type="spellStart"/>
      <w:r>
        <w:t>Stjtíð</w:t>
      </w:r>
      <w:proofErr w:type="spellEnd"/>
      <w:r>
        <w:t>. ESB L 70, 8.3.2012, bls. 63).</w:t>
      </w:r>
    </w:p>
  </w:footnote>
  <w:footnote w:id="506">
    <w:p w14:paraId="6DC5073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07">
    <w:p w14:paraId="3AB400BC"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08">
    <w:p w14:paraId="268D081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09">
    <w:p w14:paraId="0B7BFB0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10">
    <w:p w14:paraId="2E59F683"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11">
    <w:p w14:paraId="4C52D78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(ESB) 2018/2001 frá 11. desember 2018 um að auka notkun orku frá endurnýjanlegum orkugjöfum (</w:t>
      </w:r>
      <w:proofErr w:type="spellStart"/>
      <w:r>
        <w:t>Stjtíð</w:t>
      </w:r>
      <w:proofErr w:type="spellEnd"/>
      <w:r>
        <w:t>. ESB L 328, 21.12.2018, bls. 82).</w:t>
      </w:r>
    </w:p>
  </w:footnote>
  <w:footnote w:id="512">
    <w:p w14:paraId="212445D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(útgáfa frá 4.6.2021: https://www.iso.org/standard/71206.html).</w:t>
      </w:r>
    </w:p>
  </w:footnote>
  <w:footnote w:id="513">
    <w:p w14:paraId="079922FA"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(útgáfa frá 4.6.2021: https://www.iso.org/standard/66453.html).</w:t>
      </w:r>
    </w:p>
  </w:footnote>
  <w:footnote w:id="514">
    <w:p w14:paraId="18DF95A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Framkvæmdarákvörðun 2013/732/ESB.</w:t>
      </w:r>
    </w:p>
  </w:footnote>
  <w:footnote w:id="515">
    <w:p w14:paraId="547E0B4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16">
    <w:p w14:paraId="02837F2F"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Framkvæmdarákvörðun 2014/738/ESB.</w:t>
      </w:r>
    </w:p>
  </w:footnote>
  <w:footnote w:id="517">
    <w:p w14:paraId="09B2E021"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18">
    <w:p w14:paraId="2E4D125B"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19">
    <w:p w14:paraId="5DC5F8A6"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20">
    <w:p w14:paraId="0EE0F3D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21">
    <w:p w14:paraId="66F6BD04"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22">
    <w:p w14:paraId="22BE3AB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523">
    <w:p w14:paraId="76DF4669"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24">
    <w:p w14:paraId="6E9D125E"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mikið magn af ólífrænum </w:t>
      </w:r>
      <w:proofErr w:type="spellStart"/>
      <w:r>
        <w:t>íðefnum</w:t>
      </w:r>
      <w:proofErr w:type="spellEnd"/>
      <w:r>
        <w:t xml:space="preserve"> – föst efni og önnur efni (útgáfa frá 4.6.2021: https://eippcb.jrc.ec.europa.eu/sites/default/files/2019-11/lvic-s_bref_0907.pdf).</w:t>
      </w:r>
    </w:p>
  </w:footnote>
  <w:footnote w:id="525">
    <w:p w14:paraId="1AD69377" w14:textId="77777777" w:rsidR="002B5657" w:rsidRDefault="002B5657" w:rsidP="002B5657">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26">
    <w:p w14:paraId="71BF0A0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27">
    <w:p w14:paraId="48F0F4F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28">
    <w:p w14:paraId="5EF20DE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29">
    <w:p w14:paraId="070B576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30">
    <w:p w14:paraId="59246B5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31">
    <w:p w14:paraId="65361A6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532">
    <w:p w14:paraId="679EE32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33">
    <w:p w14:paraId="557D99A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mikið magn af ólífrænum </w:t>
      </w:r>
      <w:proofErr w:type="spellStart"/>
      <w:r>
        <w:t>íðefnum</w:t>
      </w:r>
      <w:proofErr w:type="spellEnd"/>
      <w:r>
        <w:t xml:space="preserve"> – föst efni og önnur efni (útgáfa frá 4.6.2021: https://eippcb.jrc.ec.europa.eu/sites/default/files/2019-11/lvic-s_bref_0907.pdf).</w:t>
      </w:r>
    </w:p>
  </w:footnote>
  <w:footnote w:id="534">
    <w:p w14:paraId="4E7B610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35">
    <w:p w14:paraId="6E45EB1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36">
    <w:p w14:paraId="0B59796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37">
    <w:p w14:paraId="02930B0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38">
    <w:p w14:paraId="5E1A141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39">
    <w:p w14:paraId="29823B7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40">
    <w:p w14:paraId="0430CF3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2013/732/ESB.</w:t>
      </w:r>
    </w:p>
  </w:footnote>
  <w:footnote w:id="541">
    <w:p w14:paraId="5F89B87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42">
    <w:p w14:paraId="4177488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43">
    <w:p w14:paraId="1826814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44">
    <w:p w14:paraId="183AE5B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45">
    <w:p w14:paraId="268ADA7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46">
    <w:p w14:paraId="37ED052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47">
    <w:p w14:paraId="1AEB091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548">
    <w:p w14:paraId="45C8E7D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49">
    <w:p w14:paraId="4771E75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50">
    <w:p w14:paraId="77C4A0B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51">
    <w:p w14:paraId="4D574BF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52">
    <w:p w14:paraId="290A7D1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53">
    <w:p w14:paraId="126D382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54">
    <w:p w14:paraId="030F88A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Framkvæmdarákvörðun framkvæmdastjórnarinnar (ESB) 2017/2117 frá 21. nóvember 2017 um að fastsetja niðurstöður um bestu, fáanlegu tækni (BAT), samkvæmt tilskipun Evrópuþingsins og ráðsins 2010/75/ESB, vegna framleiðslu á lífrænum </w:t>
      </w:r>
      <w:proofErr w:type="spellStart"/>
      <w:r>
        <w:t>íðefnum</w:t>
      </w:r>
      <w:proofErr w:type="spellEnd"/>
      <w:r>
        <w:t xml:space="preserve"> í miklu magni (</w:t>
      </w:r>
      <w:proofErr w:type="spellStart"/>
      <w:r>
        <w:t>Stjtíð</w:t>
      </w:r>
      <w:proofErr w:type="spellEnd"/>
      <w:r>
        <w:t>. ESB L 323, 7.12.2017, bls. 1).</w:t>
      </w:r>
    </w:p>
  </w:footnote>
  <w:footnote w:id="555">
    <w:p w14:paraId="05FB5F9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56">
    <w:p w14:paraId="178FF32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57">
    <w:p w14:paraId="087056A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58">
    <w:p w14:paraId="58B955C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59">
    <w:p w14:paraId="591C238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60">
    <w:p w14:paraId="278B894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61">
    <w:p w14:paraId="2F1E01B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562">
    <w:p w14:paraId="2D35C28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63">
    <w:p w14:paraId="027442C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(útgáfa frá 4.6.2021: https://eippcb.jrc.ec.europa.eu/sites/default/files/2019-11/lvic-s_bref_0907.pdf).</w:t>
      </w:r>
    </w:p>
  </w:footnote>
  <w:footnote w:id="564">
    <w:p w14:paraId="4131C92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65">
    <w:p w14:paraId="2DFF556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66">
    <w:p w14:paraId="377C5F0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67">
    <w:p w14:paraId="39559C9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68">
    <w:p w14:paraId="2465A7B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69">
    <w:p w14:paraId="6AE02DA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70">
    <w:p w14:paraId="3543A05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Reiknuð út í samræmi við reglugerð (ESB) 2019/331.</w:t>
      </w:r>
    </w:p>
  </w:footnote>
  <w:footnote w:id="571">
    <w:p w14:paraId="7E6B8A5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Endurspeglar miðgildið fyrir stöðvarnar fyrir árin 2016 og 2017 (t koltvísýringsígilda/t) fyrir þau gögn sem var safnað í tengslum við að koma á fót framkvæmdarreglugerð framkvæmdastjórnarinnar (ESB) 2021/447, ákvarðað á grundvelli sannprófaðra upplýsinga um skilvirkni í tengslum við gróðurhúsalofttegundir fyrir stöðvar sem gefnar eru upp skv. 11. gr. tilskipunar 2003/87/EB.</w:t>
      </w:r>
    </w:p>
  </w:footnote>
  <w:footnote w:id="572">
    <w:p w14:paraId="7EA6154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Tilvísunarskjal um bestu aðgengilegu tækni fyrir framleiðslu á miklu magni af ólífrænum </w:t>
      </w:r>
      <w:proofErr w:type="spellStart"/>
      <w:r>
        <w:t>íðefnum</w:t>
      </w:r>
      <w:proofErr w:type="spellEnd"/>
      <w:r>
        <w:t xml:space="preserve"> – </w:t>
      </w:r>
      <w:proofErr w:type="spellStart"/>
      <w:r>
        <w:t>ammoníak</w:t>
      </w:r>
      <w:proofErr w:type="spellEnd"/>
      <w:r>
        <w:t>, sýra og áburður (útgáfa frá 4.6.2021: https://eippcb.jrc.ec.europa.eu/sites/default/files/2019-11/lvic-s_bref_0907.pdf).</w:t>
      </w:r>
    </w:p>
  </w:footnote>
  <w:footnote w:id="573">
    <w:p w14:paraId="448BF6B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74">
    <w:p w14:paraId="4885099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75">
    <w:p w14:paraId="32CF009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76">
    <w:p w14:paraId="4A57576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77">
    <w:p w14:paraId="13C2135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78">
    <w:p w14:paraId="176CDE8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79">
    <w:p w14:paraId="46A1A66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 14067:2018, </w:t>
      </w:r>
      <w:proofErr w:type="spellStart"/>
      <w:r>
        <w:t>Greenhouse</w:t>
      </w:r>
      <w:proofErr w:type="spellEnd"/>
      <w:r>
        <w:t xml:space="preserve"> gases — </w:t>
      </w:r>
      <w:proofErr w:type="spellStart"/>
      <w:r>
        <w:t>Carbon</w:t>
      </w:r>
      <w:proofErr w:type="spellEnd"/>
      <w:r>
        <w:t xml:space="preserve"> </w:t>
      </w:r>
      <w:proofErr w:type="spellStart"/>
      <w:r>
        <w:t>footprint</w:t>
      </w:r>
      <w:proofErr w:type="spellEnd"/>
      <w:r>
        <w:t xml:space="preserve"> of </w:t>
      </w:r>
      <w:proofErr w:type="spellStart"/>
      <w:r>
        <w:t>products</w:t>
      </w:r>
      <w:proofErr w:type="spellEnd"/>
      <w:r>
        <w:t xml:space="preserve"> — </w:t>
      </w:r>
      <w:proofErr w:type="spellStart"/>
      <w:r>
        <w:t>Requirements</w:t>
      </w:r>
      <w:proofErr w:type="spellEnd"/>
      <w:r>
        <w:t xml:space="preserve"> </w:t>
      </w:r>
      <w:proofErr w:type="spellStart"/>
      <w:r>
        <w:t>and</w:t>
      </w:r>
      <w:proofErr w:type="spellEnd"/>
      <w:r>
        <w:t xml:space="preserve"> </w:t>
      </w:r>
      <w:proofErr w:type="spellStart"/>
      <w:r>
        <w:t>guidelines</w:t>
      </w:r>
      <w:proofErr w:type="spellEnd"/>
      <w:r>
        <w:t xml:space="preserve"> for </w:t>
      </w:r>
      <w:proofErr w:type="spellStart"/>
      <w:r>
        <w:t>quantification</w:t>
      </w:r>
      <w:proofErr w:type="spellEnd"/>
      <w:r>
        <w:t xml:space="preserve"> (https://www.iso.org/standard/71206.html).</w:t>
      </w:r>
    </w:p>
  </w:footnote>
  <w:footnote w:id="580">
    <w:p w14:paraId="427A851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ISO-staðall14064-1:2018, </w:t>
      </w:r>
      <w:proofErr w:type="spellStart"/>
      <w:r>
        <w:t>Greenhouse</w:t>
      </w:r>
      <w:proofErr w:type="spellEnd"/>
      <w:r>
        <w:t xml:space="preserve"> gases — Part 1: </w:t>
      </w:r>
      <w:proofErr w:type="spellStart"/>
      <w:r>
        <w:t>Specification</w:t>
      </w:r>
      <w:proofErr w:type="spellEnd"/>
      <w:r>
        <w:t xml:space="preserve"> with </w:t>
      </w:r>
      <w:proofErr w:type="spellStart"/>
      <w:r>
        <w:t>guidance</w:t>
      </w:r>
      <w:proofErr w:type="spellEnd"/>
      <w:r>
        <w:t xml:space="preserve"> at </w:t>
      </w:r>
      <w:proofErr w:type="spellStart"/>
      <w:r>
        <w:t>the</w:t>
      </w:r>
      <w:proofErr w:type="spellEnd"/>
      <w:r>
        <w:t xml:space="preserve"> </w:t>
      </w:r>
      <w:proofErr w:type="spellStart"/>
      <w:r>
        <w:t>organization</w:t>
      </w:r>
      <w:proofErr w:type="spellEnd"/>
      <w:r>
        <w:t xml:space="preserve"> </w:t>
      </w:r>
      <w:proofErr w:type="spellStart"/>
      <w:r>
        <w:t>level</w:t>
      </w:r>
      <w:proofErr w:type="spellEnd"/>
      <w:r>
        <w:t xml:space="preserve"> for </w:t>
      </w:r>
      <w:proofErr w:type="spellStart"/>
      <w:r>
        <w:t>quantification</w:t>
      </w:r>
      <w:proofErr w:type="spellEnd"/>
      <w:r>
        <w:t xml:space="preserve"> </w:t>
      </w:r>
      <w:proofErr w:type="spellStart"/>
      <w:r>
        <w:t>and</w:t>
      </w:r>
      <w:proofErr w:type="spellEnd"/>
      <w:r>
        <w:t xml:space="preserve"> </w:t>
      </w:r>
      <w:proofErr w:type="spellStart"/>
      <w:r>
        <w:t>reporting</w:t>
      </w:r>
      <w:proofErr w:type="spellEnd"/>
      <w:r>
        <w:t xml:space="preserve"> of </w:t>
      </w:r>
      <w:proofErr w:type="spellStart"/>
      <w:r>
        <w:t>greenhouse</w:t>
      </w:r>
      <w:proofErr w:type="spellEnd"/>
      <w:r>
        <w:t xml:space="preserve"> gas </w:t>
      </w:r>
      <w:proofErr w:type="spellStart"/>
      <w:r>
        <w:t>emissions</w:t>
      </w:r>
      <w:proofErr w:type="spellEnd"/>
      <w:r>
        <w:t xml:space="preserve"> </w:t>
      </w:r>
      <w:proofErr w:type="spellStart"/>
      <w:r>
        <w:t>and</w:t>
      </w:r>
      <w:proofErr w:type="spellEnd"/>
      <w:r>
        <w:t xml:space="preserve"> </w:t>
      </w:r>
      <w:proofErr w:type="spellStart"/>
      <w:r>
        <w:t>removals</w:t>
      </w:r>
      <w:proofErr w:type="spellEnd"/>
      <w:r>
        <w:t xml:space="preserve"> (https://www.iso.org/standard/66453.html).</w:t>
      </w:r>
    </w:p>
  </w:footnote>
  <w:footnote w:id="581">
    <w:p w14:paraId="7150362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Endurnýjanlegt hráefni á við um lífmassa, lífúrgang frá iðnaði eða lífúrgang frá sveitarfélögum.</w:t>
      </w:r>
    </w:p>
  </w:footnote>
  <w:footnote w:id="582">
    <w:p w14:paraId="2D3AEAA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Tilvísunarskjal um bestu aðgengilegu tækni fyrir framleiðslu á fjölliðum (útgáfa frá 4.6.2021: https://eippcb.jrc.ec. europa.eu/</w:t>
      </w:r>
      <w:proofErr w:type="spellStart"/>
      <w:r>
        <w:t>sites</w:t>
      </w:r>
      <w:proofErr w:type="spellEnd"/>
      <w:r>
        <w:t>/</w:t>
      </w:r>
      <w:proofErr w:type="spellStart"/>
      <w:r>
        <w:t>default</w:t>
      </w:r>
      <w:proofErr w:type="spellEnd"/>
      <w:r>
        <w:t>/files/2019-11/pol_bref_0807.pdf).</w:t>
      </w:r>
    </w:p>
  </w:footnote>
  <w:footnote w:id="583">
    <w:p w14:paraId="4849238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2016/902.</w:t>
      </w:r>
    </w:p>
  </w:footnote>
  <w:footnote w:id="584">
    <w:p w14:paraId="38E576A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85">
    <w:p w14:paraId="5605680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86">
    <w:p w14:paraId="2875282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87">
    <w:p w14:paraId="3191C51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88">
    <w:p w14:paraId="4043FA2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89">
    <w:p w14:paraId="0AE04D0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90">
    <w:p w14:paraId="59F7315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91">
    <w:p w14:paraId="7B2C10B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92">
    <w:p w14:paraId="64896AC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93">
    <w:p w14:paraId="06D361A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94">
    <w:p w14:paraId="76558D4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595">
    <w:p w14:paraId="4B196ED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596">
    <w:p w14:paraId="29BE727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597">
    <w:p w14:paraId="0A3B28B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598">
    <w:p w14:paraId="1A94A46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599">
    <w:p w14:paraId="5373F3A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Hagnýtar leiðbeiningar um framkvæmd þessara viðmiðana er að finna í tilkynningu framkvæmdastjórnar Evrópusambandsins C (2020) 7730 lokaútgáfu „</w:t>
      </w:r>
      <w:proofErr w:type="spellStart"/>
      <w:r>
        <w:t>Leiðbeiningarskjal</w:t>
      </w:r>
      <w:proofErr w:type="spellEnd"/>
      <w:r>
        <w:t xml:space="preserve"> um þróun vindorku og náttúrulöggjöf ESB“, (útgáfa frá 4.6.2021: https://ec.europa.eu/environment/nature/natura2000/management/docs/wind_farms_en.pdf).</w:t>
      </w:r>
    </w:p>
  </w:footnote>
  <w:footnote w:id="600">
    <w:p w14:paraId="225777F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01">
    <w:p w14:paraId="10A2AD0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02">
    <w:p w14:paraId="4BD3CA8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03">
    <w:p w14:paraId="170D0AE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04">
    <w:p w14:paraId="6A68682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05">
    <w:p w14:paraId="426FB1E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06">
    <w:p w14:paraId="5207A9D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07">
    <w:p w14:paraId="0B0B007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08">
    <w:p w14:paraId="401E600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09">
    <w:p w14:paraId="6857A5B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10">
    <w:p w14:paraId="057E4DC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Hagnýtar leiðbeiningar er að finna í tilkynningu framkvæmdastjórnarinnar C/2018/2619 „</w:t>
      </w:r>
      <w:proofErr w:type="spellStart"/>
      <w:r>
        <w:t>Leiðbeiningarskjal</w:t>
      </w:r>
      <w:proofErr w:type="spellEnd"/>
      <w:r>
        <w:t xml:space="preserve"> um kröfur fyrir vatnsorku í tengslum við náttúrulöggjöf ESB“ (</w:t>
      </w:r>
      <w:proofErr w:type="spellStart"/>
      <w:r>
        <w:t>Stjtíð</w:t>
      </w:r>
      <w:proofErr w:type="spellEnd"/>
      <w:r>
        <w:t>. ESB C 213, 18.6.2018, bls. 1).</w:t>
      </w:r>
    </w:p>
  </w:footnote>
  <w:footnote w:id="611">
    <w:p w14:paraId="5979B5E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12">
    <w:p w14:paraId="2D4397F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13">
    <w:p w14:paraId="152991A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14">
    <w:p w14:paraId="76C6ADD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15">
    <w:p w14:paraId="3F07944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16">
    <w:p w14:paraId="20CF4D5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17">
    <w:p w14:paraId="4BD7DB2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18">
    <w:p w14:paraId="32FE3B8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19">
    <w:p w14:paraId="5E3DBEB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20">
    <w:p w14:paraId="01CB7B0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21">
    <w:p w14:paraId="763BACF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2017/1442 frá 31. júlí 2017 um að fastsetja niðurstöður um bestu, fáanlegu tækni (BAT), samkvæmt tilskipun Evrópuþingsins og ráðsins 2010/75/ESB, vegna stórra brennsluvera (</w:t>
      </w:r>
      <w:proofErr w:type="spellStart"/>
      <w:r>
        <w:t>Stjtíð</w:t>
      </w:r>
      <w:proofErr w:type="spellEnd"/>
      <w:r>
        <w:t>. ESB L 212, 17.8.2017, bls. 1).</w:t>
      </w:r>
    </w:p>
  </w:footnote>
  <w:footnote w:id="622">
    <w:p w14:paraId="6A68198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23">
    <w:p w14:paraId="36A8936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24">
    <w:p w14:paraId="7C2ADEA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25">
    <w:p w14:paraId="13ADAF6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26">
    <w:p w14:paraId="092DBA9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27">
    <w:p w14:paraId="3A5BD59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Tilskipun Evrópuþingsins og ráðsins 2010/75/ESB frá 24. nóvember 2010 um losun í iðnaði (</w:t>
      </w:r>
      <w:proofErr w:type="spellStart"/>
      <w:r>
        <w:t>samþættar</w:t>
      </w:r>
      <w:proofErr w:type="spellEnd"/>
      <w:r>
        <w:t xml:space="preserve"> mengunarvarnir og eftirlit með mengun ) (</w:t>
      </w:r>
      <w:proofErr w:type="spellStart"/>
      <w:r>
        <w:t>Stjtíð</w:t>
      </w:r>
      <w:proofErr w:type="spellEnd"/>
      <w:r>
        <w:t>. ESB L 334, 17.12.2010, bls. 17).</w:t>
      </w:r>
    </w:p>
  </w:footnote>
  <w:footnote w:id="628">
    <w:p w14:paraId="701F196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629">
    <w:p w14:paraId="741DE8F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Lokatækniskýrslan, sem verður til við upplýsingaskipti við aðildarríki, hlutaðeigandi iðnað og frjáls félagasamtök, inniheldur tæknilegar upplýsingar um bestu aðgengilegu tækni sem er notuð í miðlungsstórum brennsluverum til að draga úr umhverfisáhrifum þeirra og um losunarstig sem hægt er að ná með bestu aðgengilegu tækni og nýtilkominni tækni og tengdan kostnað (útgáfa frá 4.6.2021: https://circabc.europa.eu/ui/group/06f33a94-9829-4eee-b187-21bb783a0fbf/library/9a99a632-9ba8-4cc0-9679-08d929afda59/details).</w:t>
      </w:r>
    </w:p>
  </w:footnote>
  <w:footnote w:id="630">
    <w:p w14:paraId="3A80463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framkvæmdastjórnarinnar (ESB) 2018/1147 frá 10. ágúst 2018 um að fastsetja niðurstöður um bestu, aðgengilegu tækni (BAT), samkvæmt tilskipun Evrópuþingsins og ráðsins 2010/75/ESB, vegna úrgangsmeðhöndlunar (</w:t>
      </w:r>
      <w:proofErr w:type="spellStart"/>
      <w:r>
        <w:t>Stjtíð</w:t>
      </w:r>
      <w:proofErr w:type="spellEnd"/>
      <w:r>
        <w:t>. ESB L 208, 17.8.2018, bls. 38).</w:t>
      </w:r>
    </w:p>
  </w:footnote>
  <w:footnote w:id="631">
    <w:p w14:paraId="6611B19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32">
    <w:p w14:paraId="4FD8093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33">
    <w:p w14:paraId="2DE63E6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34">
    <w:p w14:paraId="74F4AA7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35">
    <w:p w14:paraId="693C882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36">
    <w:p w14:paraId="523FE97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w:t>
      </w:r>
      <w:proofErr w:type="spellStart"/>
      <w:r>
        <w:t>Environmental</w:t>
      </w:r>
      <w:proofErr w:type="spellEnd"/>
      <w:r>
        <w:t xml:space="preserve">, Health, </w:t>
      </w:r>
      <w:proofErr w:type="spellStart"/>
      <w:r>
        <w:t>and</w:t>
      </w:r>
      <w:proofErr w:type="spellEnd"/>
      <w:r>
        <w:t xml:space="preserve"> Safety (EHS) </w:t>
      </w:r>
      <w:proofErr w:type="spellStart"/>
      <w:r>
        <w:t>Guidelines</w:t>
      </w:r>
      <w:proofErr w:type="spellEnd"/>
      <w:r>
        <w:t>“ frá 30. apríl 2007 (útgáfa frá 4.6.2021: https://www.ifc.org/wps/wcm/connect/29f5137d-6e17-4660-b1f9-02bf561935e5/Final%2B-%2BGeneral%2BEHS%2BGuidelines.pdf?MOD=AJPERES&amp;CVID=jOWim3p).</w:t>
      </w:r>
    </w:p>
  </w:footnote>
  <w:footnote w:id="637">
    <w:p w14:paraId="78EBE43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Tilmæli ráðsins frá 12. júlí 1999 um takmörkun á </w:t>
      </w:r>
      <w:proofErr w:type="spellStart"/>
      <w:r>
        <w:t>váhrifum</w:t>
      </w:r>
      <w:proofErr w:type="spellEnd"/>
      <w:r>
        <w:t xml:space="preserve"> sem almenningur verður fyrir af völdum </w:t>
      </w:r>
      <w:proofErr w:type="spellStart"/>
      <w:r>
        <w:t>rafsegulsviðs</w:t>
      </w:r>
      <w:proofErr w:type="spellEnd"/>
      <w:r>
        <w:t xml:space="preserve"> (0 </w:t>
      </w:r>
      <w:proofErr w:type="spellStart"/>
      <w:r>
        <w:t>Hz</w:t>
      </w:r>
      <w:proofErr w:type="spellEnd"/>
      <w:r>
        <w:t xml:space="preserve"> til 300 GHZ) (1999/519/EB) (</w:t>
      </w:r>
      <w:proofErr w:type="spellStart"/>
      <w:r>
        <w:t>Stjtíð</w:t>
      </w:r>
      <w:proofErr w:type="spellEnd"/>
      <w:r>
        <w:t>. EB L 199, 30.7.1999, bls. 59).</w:t>
      </w:r>
    </w:p>
  </w:footnote>
  <w:footnote w:id="638">
    <w:p w14:paraId="0C9E694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ICNIRP 1998 „</w:t>
      </w:r>
      <w:proofErr w:type="spellStart"/>
      <w:r>
        <w:t>Guidelines</w:t>
      </w:r>
      <w:proofErr w:type="spellEnd"/>
      <w:r>
        <w:t xml:space="preserve"> for </w:t>
      </w:r>
      <w:proofErr w:type="spellStart"/>
      <w:r>
        <w:t>limiting</w:t>
      </w:r>
      <w:proofErr w:type="spellEnd"/>
      <w:r>
        <w:t xml:space="preserve"> </w:t>
      </w:r>
      <w:proofErr w:type="spellStart"/>
      <w:r>
        <w:t>exposure</w:t>
      </w:r>
      <w:proofErr w:type="spellEnd"/>
      <w:r>
        <w:t xml:space="preserve"> </w:t>
      </w:r>
      <w:proofErr w:type="spellStart"/>
      <w:r>
        <w:t>to</w:t>
      </w:r>
      <w:proofErr w:type="spellEnd"/>
      <w:r>
        <w:t xml:space="preserve"> </w:t>
      </w:r>
      <w:proofErr w:type="spellStart"/>
      <w:r>
        <w:t>time-varying</w:t>
      </w:r>
      <w:proofErr w:type="spellEnd"/>
      <w:r>
        <w:t xml:space="preserve"> </w:t>
      </w:r>
      <w:proofErr w:type="spellStart"/>
      <w:r>
        <w:t>electric</w:t>
      </w:r>
      <w:proofErr w:type="spellEnd"/>
      <w:r>
        <w:t xml:space="preserve">, </w:t>
      </w:r>
      <w:proofErr w:type="spellStart"/>
      <w:r>
        <w:t>magnetic</w:t>
      </w:r>
      <w:proofErr w:type="spellEnd"/>
      <w:r>
        <w:t xml:space="preserve"> </w:t>
      </w:r>
      <w:proofErr w:type="spellStart"/>
      <w:r>
        <w:t>and</w:t>
      </w:r>
      <w:proofErr w:type="spellEnd"/>
      <w:r>
        <w:t xml:space="preserve"> </w:t>
      </w:r>
      <w:proofErr w:type="spellStart"/>
      <w:r>
        <w:t>electromagnetic</w:t>
      </w:r>
      <w:proofErr w:type="spellEnd"/>
      <w:r>
        <w:t xml:space="preserve"> </w:t>
      </w:r>
      <w:proofErr w:type="spellStart"/>
      <w:r>
        <w:t>fields</w:t>
      </w:r>
      <w:proofErr w:type="spellEnd"/>
      <w:r>
        <w:t xml:space="preserve"> (</w:t>
      </w:r>
      <w:proofErr w:type="spellStart"/>
      <w:r>
        <w:t>up</w:t>
      </w:r>
      <w:proofErr w:type="spellEnd"/>
      <w:r>
        <w:t xml:space="preserve"> </w:t>
      </w:r>
      <w:proofErr w:type="spellStart"/>
      <w:r>
        <w:t>to</w:t>
      </w:r>
      <w:proofErr w:type="spellEnd"/>
      <w:r>
        <w:t xml:space="preserve"> 300 </w:t>
      </w:r>
      <w:proofErr w:type="spellStart"/>
      <w:r>
        <w:t>ghz</w:t>
      </w:r>
      <w:proofErr w:type="spellEnd"/>
      <w:r>
        <w:t>)“ (útgáfa frá 4.6.2021: https://www.icnirp.org/cms/upload/publications/ICNIRPemfgdl.pdf).</w:t>
      </w:r>
    </w:p>
  </w:footnote>
  <w:footnote w:id="639">
    <w:p w14:paraId="343A4A5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Hagnýtar leiðbeiningar um framkvæmd þessara viðmiðana er að finna í tilkynningu framkvæmdastjórnar Evrópusambandsins C (2018) 2620 „Orkuflutningsgrunnvirki og náttúrulöggjöf ESB“ (</w:t>
      </w:r>
      <w:proofErr w:type="spellStart"/>
      <w:r>
        <w:t>Stjtíð</w:t>
      </w:r>
      <w:proofErr w:type="spellEnd"/>
      <w:r>
        <w:t>. ESB C 213, 18.6.2018, bls. 62).</w:t>
      </w:r>
    </w:p>
  </w:footnote>
  <w:footnote w:id="640">
    <w:p w14:paraId="3B42111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41">
    <w:p w14:paraId="70968F5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42">
    <w:p w14:paraId="5B071E8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43">
    <w:p w14:paraId="3B2C0EE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44">
    <w:p w14:paraId="2445255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45">
    <w:p w14:paraId="0BB6378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46">
    <w:p w14:paraId="687CDD0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47">
    <w:p w14:paraId="19375A9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48">
    <w:p w14:paraId="7B9B038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49">
    <w:p w14:paraId="04E4615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50">
    <w:p w14:paraId="4876F8B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51">
    <w:p w14:paraId="17310BA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52">
    <w:p w14:paraId="4F97F65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53">
    <w:p w14:paraId="13D1E25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54">
    <w:p w14:paraId="75E5C83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55">
    <w:p w14:paraId="0B3E322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56">
    <w:p w14:paraId="6C16018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57">
    <w:p w14:paraId="2345038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58">
    <w:p w14:paraId="29A49B6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59">
    <w:p w14:paraId="2AEB481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60">
    <w:p w14:paraId="1F3A5E1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661">
    <w:p w14:paraId="1D39A01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62">
    <w:p w14:paraId="46BF10C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63">
    <w:p w14:paraId="2AF3A99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64">
    <w:p w14:paraId="60BEC78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65">
    <w:p w14:paraId="11F9313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66">
    <w:p w14:paraId="1FE1635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67">
    <w:p w14:paraId="24ACFD7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68">
    <w:p w14:paraId="1B837CB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69">
    <w:p w14:paraId="1E53655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70">
    <w:p w14:paraId="0062DE8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71">
    <w:p w14:paraId="6BFF651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72">
    <w:p w14:paraId="3FD5F5D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73">
    <w:p w14:paraId="0E4593F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74">
    <w:p w14:paraId="1E4A80E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75">
    <w:p w14:paraId="2B3F5E9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76">
    <w:p w14:paraId="391D277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77">
    <w:p w14:paraId="2E80D5A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78">
    <w:p w14:paraId="1F9243F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79">
    <w:p w14:paraId="49450BD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80">
    <w:p w14:paraId="78E496D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81">
    <w:p w14:paraId="747B9E7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82">
    <w:p w14:paraId="457BAF9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83">
    <w:p w14:paraId="350B5A9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84">
    <w:p w14:paraId="0FA02C6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85">
    <w:p w14:paraId="0ED520F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86">
    <w:p w14:paraId="215DCB7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87">
    <w:p w14:paraId="26536F1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88">
    <w:p w14:paraId="69DAB86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89">
    <w:p w14:paraId="06E10D7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90">
    <w:p w14:paraId="02CED4C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91">
    <w:p w14:paraId="53C6308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692">
    <w:p w14:paraId="7541BC5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693">
    <w:p w14:paraId="75E4012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694">
    <w:p w14:paraId="470DB04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695">
    <w:p w14:paraId="732F7B2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696">
    <w:p w14:paraId="7F94D40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697">
    <w:p w14:paraId="0B96B50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698">
    <w:p w14:paraId="2FABDF6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Lokatækniskýrslan, sem verður til við upplýsingaskipti við aðildarríki, hlutaðeigandi iðnað og frjáls félagasamtök, inniheldur tæknilegar upplýsingar um bestu aðgengilegu tækni sem er notuð í miðlungsstórum brennsluverum til að draga úr umhverfisáhrifum þeirra og um losunarstig sem hægt er að ná með bestu aðgengilegu tækni og nýtilkominni tækni og tengdan kostnað (útgáfa frá 4.6.2021: https://circabc.europa.eu/ui/group/06f33a94-9829-4eee-b187-21bb783a0fbf/library/9a99a632-9ba8-4cc0-9679-08d929afda59/details).</w:t>
      </w:r>
    </w:p>
  </w:footnote>
  <w:footnote w:id="699">
    <w:p w14:paraId="6FA74B8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700">
    <w:p w14:paraId="0009B90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01">
    <w:p w14:paraId="100C684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02">
    <w:p w14:paraId="47088B9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03">
    <w:p w14:paraId="2DDFD84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04">
    <w:p w14:paraId="7F79A4F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05">
    <w:p w14:paraId="78BA6AE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06">
    <w:p w14:paraId="22A3EB5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07">
    <w:p w14:paraId="0589720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08">
    <w:p w14:paraId="04E9551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09">
    <w:p w14:paraId="0670EF5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10">
    <w:p w14:paraId="359B0D7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11">
    <w:p w14:paraId="185F4EF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12">
    <w:p w14:paraId="1B64317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13">
    <w:p w14:paraId="6DC9973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14">
    <w:p w14:paraId="69BBDB2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15">
    <w:p w14:paraId="66D402E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716">
    <w:p w14:paraId="6E80ECB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17">
    <w:p w14:paraId="63058E7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18">
    <w:p w14:paraId="6737DD7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19">
    <w:p w14:paraId="65384E2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20">
    <w:p w14:paraId="3C1B679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21">
    <w:p w14:paraId="0262E16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2017/1442.</w:t>
      </w:r>
    </w:p>
  </w:footnote>
  <w:footnote w:id="722">
    <w:p w14:paraId="266D1CE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Lokatækniskýrslan, sem verður til við upplýsingaskipti við aðildarríki, hlutaðeigandi iðnað og frjáls félagasamtök, inniheldur tæknilegar upplýsingar um bestu aðgengilegu tækni sem er notuð í miðlungsstórum brennsluverum til að draga úr umhverfisáhrifum þeirra og um losunarstig sem hægt er að ná með bestu aðgengilegu tækni og nýtilkominni tækni og tengdan kostnað (útgáfa frá 4.6.2021: https://circabc.europa.eu/ui/group/06f33a94-9829-4eee-b187-21bb783a0fbf/library/9a99a632-9ba8-4cc0-9679-08d929afda59/details).</w:t>
      </w:r>
    </w:p>
  </w:footnote>
  <w:footnote w:id="723">
    <w:p w14:paraId="42FBB65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724">
    <w:p w14:paraId="4D90382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25">
    <w:p w14:paraId="30C7CBC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26">
    <w:p w14:paraId="7BE131F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27">
    <w:p w14:paraId="09468BB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hún styður við veitingu margs konar vistkerfisþjónustu (https://ec.europa.eu/info/research-and-innovation/research-area/environment/nature-based-solutions_en/).</w:t>
      </w:r>
    </w:p>
  </w:footnote>
  <w:footnote w:id="728">
    <w:p w14:paraId="726A2A1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29">
    <w:p w14:paraId="6DDCB86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30">
    <w:p w14:paraId="479BF6F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31">
    <w:p w14:paraId="455DC1E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32">
    <w:p w14:paraId="38E3F3B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33">
    <w:p w14:paraId="1C0A5E1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34">
    <w:p w14:paraId="54C7AC2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35">
    <w:p w14:paraId="0B246FA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36">
    <w:p w14:paraId="0FDBE31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37">
    <w:p w14:paraId="01A47EA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38">
    <w:p w14:paraId="1E9C234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39">
    <w:p w14:paraId="6701A39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40">
    <w:p w14:paraId="44ED026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41">
    <w:p w14:paraId="5381E9D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42">
    <w:p w14:paraId="39F5587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43">
    <w:p w14:paraId="14509CC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44">
    <w:p w14:paraId="739AA72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Til dæmis í samræmi við leiðbeiningar milliríkjanefndarinnar um loftslagsbreytingar um landsbókhald yfir gróðurhúsalofttegundir varðandi hreinsun </w:t>
      </w:r>
      <w:proofErr w:type="spellStart"/>
      <w:r>
        <w:t>skólps</w:t>
      </w:r>
      <w:proofErr w:type="spellEnd"/>
      <w:r>
        <w:t xml:space="preserve"> (útgáfa frá 4.6.2021: https://www.ipcc-nggip.iges.or.jp/public/2019rf/pdf/5_Volume5/19R_V5_6_Ch06_Wastewater.pdf).</w:t>
      </w:r>
    </w:p>
  </w:footnote>
  <w:footnote w:id="745">
    <w:p w14:paraId="0F0B537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Eins og tilgreint er í II. viðauka við reglugerð Evrópuþingsins og ráðsins (ESB) 2020/741 frá 25. maí 2020 um lágmarkskröfur vegna endurnotkunar vatns (</w:t>
      </w:r>
      <w:proofErr w:type="spellStart"/>
      <w:r>
        <w:t>Stjtíð</w:t>
      </w:r>
      <w:proofErr w:type="spellEnd"/>
      <w:r>
        <w:t>. ESB L 177, 5.6.2020, bls. 32).</w:t>
      </w:r>
    </w:p>
  </w:footnote>
  <w:footnote w:id="746">
    <w:p w14:paraId="408ED7D3"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47">
    <w:p w14:paraId="42FA855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48">
    <w:p w14:paraId="1FD9D2E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49">
    <w:p w14:paraId="027C337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50">
    <w:p w14:paraId="71CF56B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51">
    <w:p w14:paraId="3A3F69D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Til dæmis í samræmi við leiðbeiningar milliríkjanefndarinnar um loftslagsbreytingar um landsbókhald yfir gróðurhúsalofttegundir varðandi hreinsun </w:t>
      </w:r>
      <w:proofErr w:type="spellStart"/>
      <w:r>
        <w:t>skólps</w:t>
      </w:r>
      <w:proofErr w:type="spellEnd"/>
      <w:r>
        <w:t xml:space="preserve"> (útgáfa frá 4.6.2021: https://www.ipcc-nggip.iges.or.jp/public/2019rf/pdf/5_Volume5/19R_V5_6_Ch06_Wastewater.pdf).</w:t>
      </w:r>
    </w:p>
  </w:footnote>
  <w:footnote w:id="752">
    <w:p w14:paraId="2DCBBA6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Eins og tilgreint er í II. viðauka við reglugerð Evrópuþingsins og ráðsins (ESB) 2020/741 frá 25. maí 2020 um lágmarkskröfur vegna endurnotkunar vatns (</w:t>
      </w:r>
      <w:proofErr w:type="spellStart"/>
      <w:r>
        <w:t>Stjtíð</w:t>
      </w:r>
      <w:proofErr w:type="spellEnd"/>
      <w:r>
        <w:t>. ESB L 177, 5.6.2020, bls. 32).</w:t>
      </w:r>
    </w:p>
  </w:footnote>
  <w:footnote w:id="753">
    <w:p w14:paraId="7BBB4A8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Í Sambandinu er starfsemin í samræmi við 3. mgr. 10. gr. tilskipunar 2008/98/EB og landslöggjöf og úrgangsstjórnunaráætlanir.</w:t>
      </w:r>
    </w:p>
  </w:footnote>
  <w:footnote w:id="754">
    <w:p w14:paraId="5B26E49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55">
    <w:p w14:paraId="7E1CAD6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56">
    <w:p w14:paraId="2D3530D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57">
    <w:p w14:paraId="6CA0969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58">
    <w:p w14:paraId="67BD951D"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59">
    <w:p w14:paraId="6F0E625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60">
    <w:p w14:paraId="15E041A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61">
    <w:p w14:paraId="57449D8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62">
    <w:p w14:paraId="7E5C44C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63">
    <w:p w14:paraId="34C715A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64">
    <w:p w14:paraId="54968AA6"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765">
    <w:p w14:paraId="2E51DA1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Eins og skilgreint er í 4. lið 3. gr. tilskipunar 2008/98/EB.</w:t>
      </w:r>
    </w:p>
  </w:footnote>
  <w:footnote w:id="766">
    <w:p w14:paraId="1529AC9C"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67">
    <w:p w14:paraId="7ACF8BE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68">
    <w:p w14:paraId="0735FAD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69">
    <w:p w14:paraId="3CE5350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70">
    <w:p w14:paraId="402FC0A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71">
    <w:p w14:paraId="02FEBD95"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772">
    <w:p w14:paraId="01BBBAB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Lífúrgangur er skilgreindur í 4. lið 3. gr. tilskipunar 2008/98/EB.</w:t>
      </w:r>
    </w:p>
  </w:footnote>
  <w:footnote w:id="773">
    <w:p w14:paraId="19F70A87"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74">
    <w:p w14:paraId="355B93D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75">
    <w:p w14:paraId="15425C5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76">
    <w:p w14:paraId="2DDC30D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77">
    <w:p w14:paraId="734AA8C1"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78">
    <w:p w14:paraId="1238EF9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Framkvæmdarákvörðun (ESB) 2018/1147.</w:t>
      </w:r>
    </w:p>
  </w:footnote>
  <w:footnote w:id="779">
    <w:p w14:paraId="2D4C813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80">
    <w:p w14:paraId="6B071E5B"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81">
    <w:p w14:paraId="0B248C6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82">
    <w:p w14:paraId="142B5BA8"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83">
    <w:p w14:paraId="5E6808C2"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84">
    <w:p w14:paraId="5824D450"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w:t>
      </w:r>
      <w:proofErr w:type="spellStart"/>
      <w:r>
        <w:t>Urðunarstaður</w:t>
      </w:r>
      <w:proofErr w:type="spellEnd"/>
      <w:r>
        <w:t xml:space="preserve">“ er skilgreindur í </w:t>
      </w:r>
      <w:proofErr w:type="spellStart"/>
      <w:r>
        <w:t>g-lið</w:t>
      </w:r>
      <w:proofErr w:type="spellEnd"/>
      <w:r>
        <w:t xml:space="preserve"> 2. gr. tilskipunar ráðsins 1999/31/EB frá 26. apríl 1999 um urðun úrgangs (</w:t>
      </w:r>
      <w:proofErr w:type="spellStart"/>
      <w:r>
        <w:t>Stjtíð</w:t>
      </w:r>
      <w:proofErr w:type="spellEnd"/>
      <w:r>
        <w:t>. EB L 182, 16.7.1999, bls. 1).</w:t>
      </w:r>
    </w:p>
  </w:footnote>
  <w:footnote w:id="785">
    <w:p w14:paraId="17F1F91A"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86">
    <w:p w14:paraId="38EE0D79"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87">
    <w:p w14:paraId="1F87A92F"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88">
    <w:p w14:paraId="32723BD4"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89">
    <w:p w14:paraId="636DFFFE" w14:textId="77777777" w:rsidR="006D7A4B" w:rsidRDefault="006D7A4B" w:rsidP="006D7A4B">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90">
    <w:p w14:paraId="1447514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91">
    <w:p w14:paraId="0F05A2C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92">
    <w:p w14:paraId="6642768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93">
    <w:p w14:paraId="1ECAB2E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94">
    <w:p w14:paraId="613EEE4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795">
    <w:p w14:paraId="4649401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796">
    <w:p w14:paraId="032C81B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797">
    <w:p w14:paraId="5D78BDF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798">
    <w:p w14:paraId="7C1BA1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799">
    <w:p w14:paraId="4B0D433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00">
    <w:p w14:paraId="56D7923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01">
    <w:p w14:paraId="2711BCB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02">
    <w:p w14:paraId="6E80DBA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03">
    <w:p w14:paraId="607720C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04">
    <w:p w14:paraId="553087D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05">
    <w:p w14:paraId="41D758D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06">
    <w:p w14:paraId="7D78B40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07">
    <w:p w14:paraId="1A9F750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08">
    <w:p w14:paraId="7258F9A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09">
    <w:p w14:paraId="5A6FA99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10">
    <w:p w14:paraId="08CA830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11">
    <w:p w14:paraId="5C11E76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12">
    <w:p w14:paraId="35E7534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13">
    <w:p w14:paraId="0672A41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14">
    <w:p w14:paraId="770E8D6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15">
    <w:p w14:paraId="045484D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Þess er krafist að farartæki séu í samræmi við viðmiðanir um að valda ekki umtalsverðu tjóni fyrir mengunarvarnir og eftirlit með mengun sem eru tilgreindar í þessum þætti, þ.m.t. að því er varðar losunargildi fyrir koltvísýring.</w:t>
      </w:r>
    </w:p>
  </w:footnote>
  <w:footnote w:id="816">
    <w:p w14:paraId="3978D17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17">
    <w:p w14:paraId="6B09C11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18">
    <w:p w14:paraId="7042566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19">
    <w:p w14:paraId="3BFA1B7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20">
    <w:p w14:paraId="04FC80E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21">
    <w:p w14:paraId="65EA854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Eins og um getur í i. lið a-liðar 1. mgr. 4. gr. reglugerðar (ESB) 2018/858.</w:t>
      </w:r>
    </w:p>
  </w:footnote>
  <w:footnote w:id="822">
    <w:p w14:paraId="71088AD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i. lið </w:t>
      </w:r>
      <w:proofErr w:type="spellStart"/>
      <w:r>
        <w:t>b-liðar</w:t>
      </w:r>
      <w:proofErr w:type="spellEnd"/>
      <w:r>
        <w:t xml:space="preserve"> 1. mgr. 4. gr. reglugerðar (ESB) 2018/858.</w:t>
      </w:r>
    </w:p>
  </w:footnote>
  <w:footnote w:id="823">
    <w:p w14:paraId="6FC3A9A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Eins og um getur í 1. mgr. 4. gr. reglugerðar (ESB) 2018/858.</w:t>
      </w:r>
    </w:p>
  </w:footnote>
  <w:footnote w:id="824">
    <w:p w14:paraId="4050719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25">
    <w:p w14:paraId="692191E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26">
    <w:p w14:paraId="47E8318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27">
    <w:p w14:paraId="31C0C84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28">
    <w:p w14:paraId="4BCF590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29">
    <w:p w14:paraId="6C964AB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Þess er krafist að farartæki séu í samræmi við viðmiðanir um að valda ekki umtalsverðu tjóni fyrir mengunarvarnir og eftirlit með mengun sem eru tilgreindar í þessum þætti, þ.m.t. að því er varðar losunargildi fyrir koltvísýring.</w:t>
      </w:r>
    </w:p>
  </w:footnote>
  <w:footnote w:id="830">
    <w:p w14:paraId="5CBD0FA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Eins og sett er fram í I. viðauka við tilskipun 2005/64/EB.</w:t>
      </w:r>
    </w:p>
  </w:footnote>
  <w:footnote w:id="831">
    <w:p w14:paraId="5C0EEE2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Reglugerð framkvæmdastjórnarinnar (ESB) 2018/1832.</w:t>
      </w:r>
    </w:p>
  </w:footnote>
  <w:footnote w:id="832">
    <w:p w14:paraId="43D368F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ii. lið </w:t>
      </w:r>
      <w:proofErr w:type="spellStart"/>
      <w:r>
        <w:t>b-liðar</w:t>
      </w:r>
      <w:proofErr w:type="spellEnd"/>
      <w:r>
        <w:t xml:space="preserve"> 1. mgr. 4. gr. reglugerðar (ESB) 2018/858.</w:t>
      </w:r>
    </w:p>
  </w:footnote>
  <w:footnote w:id="833">
    <w:p w14:paraId="206ED64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Eins og um getur í iii. lið </w:t>
      </w:r>
      <w:proofErr w:type="spellStart"/>
      <w:r>
        <w:t>b-liðar</w:t>
      </w:r>
      <w:proofErr w:type="spellEnd"/>
      <w:r>
        <w:t xml:space="preserve"> 1. mgr. 4. gr. reglugerðar (ESB) 2018/858.</w:t>
      </w:r>
    </w:p>
  </w:footnote>
  <w:footnote w:id="834">
    <w:p w14:paraId="571F0FA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Eins og sett eru fram í reglugerð (EB) nr. 595/2009.</w:t>
      </w:r>
    </w:p>
  </w:footnote>
  <w:footnote w:id="835">
    <w:p w14:paraId="5DA833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36">
    <w:p w14:paraId="18CA2B4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37">
    <w:p w14:paraId="1EEA0EB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38">
    <w:p w14:paraId="1444565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39">
    <w:p w14:paraId="1CB1B7E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40">
    <w:p w14:paraId="68E8E06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Þess er krafist að öll farartæki séu í samræmi við viðmiðanir um að valda ekki umtalsverðu tjóni fyrir mengunarvarnir og eftirlit með mengun sem eru tilgreindar í þessum þætti, þ.m.t. að því er varðar losunargildi fyrir koltvísýring.</w:t>
      </w:r>
    </w:p>
  </w:footnote>
  <w:footnote w:id="841">
    <w:p w14:paraId="48F58DD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Eins og tilgreint er í I. viðauka við tilskipun 2005/64/EB.</w:t>
      </w:r>
    </w:p>
  </w:footnote>
  <w:footnote w:id="842">
    <w:p w14:paraId="0F4F09F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Reglugerð framkvæmdastjórnarinnar (ESB) nr. 582/2011 frá 25. maí 2011 um framkvæmd og breytingu á reglugerð Evrópuþingsins og ráðsins (EB) nr. 595/2009 að því er varðar losun frá þungum ökutækjum (Euro VI) og um breytingu á I. og III. viðauka við tilskipun Evrópuþingsins og ráðsins 2007/46/EB (</w:t>
      </w:r>
      <w:proofErr w:type="spellStart"/>
      <w:r>
        <w:t>Stjtíð</w:t>
      </w:r>
      <w:proofErr w:type="spellEnd"/>
      <w:r>
        <w:t>. ESB L 167, 25.6.2011, bls. 1).</w:t>
      </w:r>
    </w:p>
  </w:footnote>
  <w:footnote w:id="843">
    <w:p w14:paraId="663EC7B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44">
    <w:p w14:paraId="11806FA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45">
    <w:p w14:paraId="0749228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46">
    <w:p w14:paraId="1BBE775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47">
    <w:p w14:paraId="74F5772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48">
    <w:p w14:paraId="07E933F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49">
    <w:p w14:paraId="187B5D1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50">
    <w:p w14:paraId="4FAE93A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51">
    <w:p w14:paraId="7762F0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52">
    <w:p w14:paraId="29AEEE2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53">
    <w:p w14:paraId="36F406F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54">
    <w:p w14:paraId="4ABD258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55">
    <w:p w14:paraId="55556B0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56">
    <w:p w14:paraId="48F8EF1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57">
    <w:p w14:paraId="10F8707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58">
    <w:p w14:paraId="25FF406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59">
    <w:p w14:paraId="4C575C1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60">
    <w:p w14:paraId="4E754EB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61">
    <w:p w14:paraId="055A040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62">
    <w:p w14:paraId="6959147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63">
    <w:p w14:paraId="19734BF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(útgáfa frá 4.6.2021: http://www.imo.org/en/OurWork/Environment/PollutionPrevention/AirPollution/Pages/Sulphur-oxides-(SO</w:t>
      </w:r>
      <w:r>
        <w:rPr>
          <w:vertAlign w:val="subscript"/>
        </w:rPr>
        <w:t>x</w:t>
      </w:r>
      <w:r>
        <w:t>)- %E2%80%93-Regulation-14.aspx).</w:t>
      </w:r>
    </w:p>
  </w:footnote>
  <w:footnote w:id="864">
    <w:p w14:paraId="7734F1D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w:t>
      </w:r>
      <w:proofErr w:type="spellStart"/>
      <w:r>
        <w:t>rýmkun</w:t>
      </w:r>
      <w:proofErr w:type="spellEnd"/>
      <w:r>
        <w:t xml:space="preserve"> á kröfunum sem gilda á mengunarvarnarsvæðum þannig að þær nái yfir önnur hafsvæði í Sambandinu eru lönd, sem eru með landamæri að Miðjarðarhafi, í viðræðum um að koma á viðeigandi mengunarvarnarsvæðum innan lagaramma </w:t>
      </w:r>
      <w:proofErr w:type="spellStart"/>
      <w:r>
        <w:t>Barselóna</w:t>
      </w:r>
      <w:proofErr w:type="spellEnd"/>
      <w:r>
        <w:t>-samningsins.</w:t>
      </w:r>
    </w:p>
  </w:footnote>
  <w:footnote w:id="865">
    <w:p w14:paraId="452E425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(útgáfa frá 4.6.2021: http://www.imo.org/en/OurWork/Environment/PollutionPrevention/AirPollution/Pages/Nitrogen-oxides- (</w:t>
      </w:r>
      <w:proofErr w:type="spellStart"/>
      <w:r>
        <w:t>NO</w:t>
      </w:r>
      <w:r>
        <w:rPr>
          <w:vertAlign w:val="subscript"/>
        </w:rPr>
        <w:t>x</w:t>
      </w:r>
      <w:proofErr w:type="spellEnd"/>
      <w:r>
        <w:t>)-–-Regulation-13.aspx).</w:t>
      </w:r>
    </w:p>
  </w:footnote>
  <w:footnote w:id="866">
    <w:p w14:paraId="1AB39B8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Á hafsvæðum í Sambandinu gildir krafan frá og með 2021 í Eystrasalti og Norðursjó.</w:t>
      </w:r>
    </w:p>
  </w:footnote>
  <w:footnote w:id="867">
    <w:p w14:paraId="7761A1E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Leiðbeiningar Alþjóðasiglingamálastofnunarinnar um að verjast og hafa stjórn á ásætum á skipum til að lágmarka útbreiðslu ágengra lagartegunda, ályktun MEPC.207(62).</w:t>
      </w:r>
    </w:p>
  </w:footnote>
  <w:footnote w:id="868">
    <w:p w14:paraId="778C959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„IMO </w:t>
      </w:r>
      <w:proofErr w:type="spellStart"/>
      <w:r>
        <w:t>Guidelines</w:t>
      </w:r>
      <w:proofErr w:type="spellEnd"/>
      <w:r>
        <w:t xml:space="preserve"> for </w:t>
      </w:r>
      <w:proofErr w:type="spellStart"/>
      <w:r>
        <w:t>the</w:t>
      </w:r>
      <w:proofErr w:type="spellEnd"/>
      <w:r>
        <w:t xml:space="preserve"> </w:t>
      </w:r>
      <w:proofErr w:type="spellStart"/>
      <w:r>
        <w:t>Reduction</w:t>
      </w:r>
      <w:proofErr w:type="spellEnd"/>
      <w:r>
        <w:t xml:space="preserve"> of </w:t>
      </w:r>
      <w:proofErr w:type="spellStart"/>
      <w:r>
        <w:t>Underwater</w:t>
      </w:r>
      <w:proofErr w:type="spellEnd"/>
      <w:r>
        <w:t xml:space="preserve"> </w:t>
      </w:r>
      <w:proofErr w:type="spellStart"/>
      <w:r>
        <w:t>Noise</w:t>
      </w:r>
      <w:proofErr w:type="spellEnd"/>
      <w:r>
        <w:t xml:space="preserve"> from Commercial </w:t>
      </w:r>
      <w:proofErr w:type="spellStart"/>
      <w:r>
        <w:t>Shipping</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Adverse</w:t>
      </w:r>
      <w:proofErr w:type="spellEnd"/>
      <w:r>
        <w:t xml:space="preserve"> </w:t>
      </w:r>
      <w:proofErr w:type="spellStart"/>
      <w:r>
        <w:t>Impacts</w:t>
      </w:r>
      <w:proofErr w:type="spellEnd"/>
      <w:r>
        <w:t xml:space="preserve"> on Marine Life“ (leiðbeiningar Alþjóðasiglingamálastofnunarinnar um að draga úr hávaða frá </w:t>
      </w:r>
      <w:proofErr w:type="spellStart"/>
      <w:r>
        <w:t>fraktskipum</w:t>
      </w:r>
      <w:proofErr w:type="spellEnd"/>
      <w:r>
        <w:t xml:space="preserve"> neðansjávar til að sporna gegn neikvæðum áhrifum á lífið í hafinu (MEPC.1/Circ.833).</w:t>
      </w:r>
    </w:p>
  </w:footnote>
  <w:footnote w:id="869">
    <w:p w14:paraId="6753EC7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70">
    <w:p w14:paraId="19A3820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71">
    <w:p w14:paraId="30BEFBA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72">
    <w:p w14:paraId="29C87A8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hún styður við veitingu margs konar vistkerfisþjónustu (útgáfa frá 4.6.2021: https://ec.europa.eu/info/research-and-innovation/research-area/environment/nature-based-solutions_en/).</w:t>
      </w:r>
    </w:p>
  </w:footnote>
  <w:footnote w:id="873">
    <w:p w14:paraId="0B12410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74">
    <w:p w14:paraId="5654654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w:t>
      </w:r>
      <w:proofErr w:type="spellStart"/>
      <w:r>
        <w:t>rýmkun</w:t>
      </w:r>
      <w:proofErr w:type="spellEnd"/>
      <w:r>
        <w:t xml:space="preserve"> á kröfunum sem gilda á mengunarvarnarsvæðum þannig að þær nái yfir önnur hafsvæði í Sambandinu eru lönd, sem eru með landamæri að Miðjarðarhafi, í viðræðum um að koma á viðeigandi mengunarvarnarsvæðum innan lagaramma </w:t>
      </w:r>
      <w:proofErr w:type="spellStart"/>
      <w:r>
        <w:t>Barselóna</w:t>
      </w:r>
      <w:proofErr w:type="spellEnd"/>
      <w:r>
        <w:t>-samningsins.</w:t>
      </w:r>
    </w:p>
  </w:footnote>
  <w:footnote w:id="875">
    <w:p w14:paraId="7EBF460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Á hafsvæðum í Sambandinu gildir krafan frá og með 2021 í Eystrasalti og Norðursjó.</w:t>
      </w:r>
    </w:p>
  </w:footnote>
  <w:footnote w:id="876">
    <w:p w14:paraId="0AEECC4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Leiðbeiningar Alþjóðasiglingamálastofnunarinnar um að verjast og hafa stjórn á ásætum á skipum til að lágmarka útbreiðslu ágengra lagartegunda, ályktun MEPC.207(62).</w:t>
      </w:r>
    </w:p>
  </w:footnote>
  <w:footnote w:id="877">
    <w:p w14:paraId="061F366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„IMO </w:t>
      </w:r>
      <w:proofErr w:type="spellStart"/>
      <w:r>
        <w:t>Guidelines</w:t>
      </w:r>
      <w:proofErr w:type="spellEnd"/>
      <w:r>
        <w:t xml:space="preserve"> for </w:t>
      </w:r>
      <w:proofErr w:type="spellStart"/>
      <w:r>
        <w:t>the</w:t>
      </w:r>
      <w:proofErr w:type="spellEnd"/>
      <w:r>
        <w:t xml:space="preserve"> </w:t>
      </w:r>
      <w:proofErr w:type="spellStart"/>
      <w:r>
        <w:t>Reduction</w:t>
      </w:r>
      <w:proofErr w:type="spellEnd"/>
      <w:r>
        <w:t xml:space="preserve"> of </w:t>
      </w:r>
      <w:proofErr w:type="spellStart"/>
      <w:r>
        <w:t>Underwater</w:t>
      </w:r>
      <w:proofErr w:type="spellEnd"/>
      <w:r>
        <w:t xml:space="preserve"> </w:t>
      </w:r>
      <w:proofErr w:type="spellStart"/>
      <w:r>
        <w:t>Noise</w:t>
      </w:r>
      <w:proofErr w:type="spellEnd"/>
      <w:r>
        <w:t xml:space="preserve"> from Commercial </w:t>
      </w:r>
      <w:proofErr w:type="spellStart"/>
      <w:r>
        <w:t>Shipping</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Adverse</w:t>
      </w:r>
      <w:proofErr w:type="spellEnd"/>
      <w:r>
        <w:t xml:space="preserve"> </w:t>
      </w:r>
      <w:proofErr w:type="spellStart"/>
      <w:r>
        <w:t>Impacts</w:t>
      </w:r>
      <w:proofErr w:type="spellEnd"/>
      <w:r>
        <w:t xml:space="preserve"> on Marine Life“ (leiðbeiningar Alþjóðasiglingamálastofnunarinnar um að draga úr hávaða frá </w:t>
      </w:r>
      <w:proofErr w:type="spellStart"/>
      <w:r>
        <w:t>fraktskipum</w:t>
      </w:r>
      <w:proofErr w:type="spellEnd"/>
      <w:r>
        <w:t xml:space="preserve"> neðansjávar til að sporna gegn neikvæðum áhrifum á lífið í hafinu (MEPC.1/Circ.833).</w:t>
      </w:r>
    </w:p>
  </w:footnote>
  <w:footnote w:id="878">
    <w:p w14:paraId="7677D8B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79">
    <w:p w14:paraId="6EC31FD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80">
    <w:p w14:paraId="4EA8FF6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81">
    <w:p w14:paraId="4459ED5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82">
    <w:p w14:paraId="48F3699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83">
    <w:p w14:paraId="3D2796A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w:t>
      </w:r>
      <w:proofErr w:type="spellStart"/>
      <w:r>
        <w:t>rýmkun</w:t>
      </w:r>
      <w:proofErr w:type="spellEnd"/>
      <w:r>
        <w:t xml:space="preserve"> á kröfunum sem gilda á mengunarvarnarsvæðum þannig að þær nái yfir önnur hafsvæði í Sambandinu eru lönd, sem eru með landamæri að Miðjarðarhafi, í viðræðum um að koma á viðeigandi mengunarvarnarsvæðum innan lagaramma </w:t>
      </w:r>
      <w:proofErr w:type="spellStart"/>
      <w:r>
        <w:t>Barselóna</w:t>
      </w:r>
      <w:proofErr w:type="spellEnd"/>
      <w:r>
        <w:t>-samningsins.</w:t>
      </w:r>
    </w:p>
  </w:footnote>
  <w:footnote w:id="884">
    <w:p w14:paraId="32CB971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Á hafsvæðum í Sambandinu gildir krafan frá og með 2021 í Eystrasalti og Norðursjó.</w:t>
      </w:r>
    </w:p>
  </w:footnote>
  <w:footnote w:id="885">
    <w:p w14:paraId="476FB14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Leiðbeiningar Alþjóðasiglingamálastofnunarinnar um að verjast og hafa stjórn á ásætum á skipum til að lágmarka útbreiðslu ágengra lagartegunda, ályktun MEPC.207(62).</w:t>
      </w:r>
    </w:p>
  </w:footnote>
  <w:footnote w:id="886">
    <w:p w14:paraId="22F0066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„IMO </w:t>
      </w:r>
      <w:proofErr w:type="spellStart"/>
      <w:r>
        <w:t>Guidelines</w:t>
      </w:r>
      <w:proofErr w:type="spellEnd"/>
      <w:r>
        <w:t xml:space="preserve"> for </w:t>
      </w:r>
      <w:proofErr w:type="spellStart"/>
      <w:r>
        <w:t>the</w:t>
      </w:r>
      <w:proofErr w:type="spellEnd"/>
      <w:r>
        <w:t xml:space="preserve"> </w:t>
      </w:r>
      <w:proofErr w:type="spellStart"/>
      <w:r>
        <w:t>Reduction</w:t>
      </w:r>
      <w:proofErr w:type="spellEnd"/>
      <w:r>
        <w:t xml:space="preserve"> of </w:t>
      </w:r>
      <w:proofErr w:type="spellStart"/>
      <w:r>
        <w:t>Underwater</w:t>
      </w:r>
      <w:proofErr w:type="spellEnd"/>
      <w:r>
        <w:t xml:space="preserve"> </w:t>
      </w:r>
      <w:proofErr w:type="spellStart"/>
      <w:r>
        <w:t>Noise</w:t>
      </w:r>
      <w:proofErr w:type="spellEnd"/>
      <w:r>
        <w:t xml:space="preserve"> from Commercial </w:t>
      </w:r>
      <w:proofErr w:type="spellStart"/>
      <w:r>
        <w:t>Shipping</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Adverse</w:t>
      </w:r>
      <w:proofErr w:type="spellEnd"/>
      <w:r>
        <w:t xml:space="preserve"> </w:t>
      </w:r>
      <w:proofErr w:type="spellStart"/>
      <w:r>
        <w:t>Impacts</w:t>
      </w:r>
      <w:proofErr w:type="spellEnd"/>
      <w:r>
        <w:t xml:space="preserve"> on Marine Life“ (leiðbeiningar Alþjóðasiglingamálastofnunarinnar um að draga úr hávaða frá </w:t>
      </w:r>
      <w:proofErr w:type="spellStart"/>
      <w:r>
        <w:t>fraktskipum</w:t>
      </w:r>
      <w:proofErr w:type="spellEnd"/>
      <w:r>
        <w:t xml:space="preserve"> neðansjávar til að sporna gegn neikvæðum áhrifum á lífið í hafinu (MEPC.1/Circ.833).</w:t>
      </w:r>
    </w:p>
  </w:footnote>
  <w:footnote w:id="887">
    <w:p w14:paraId="6D322D3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88">
    <w:p w14:paraId="38FDF06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89">
    <w:p w14:paraId="00FD3DD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90">
    <w:p w14:paraId="0E3B574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91">
    <w:p w14:paraId="1590DCC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92">
    <w:p w14:paraId="7173497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893">
    <w:p w14:paraId="6ED59FF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Í samræmi við 11. lið 3. gr. tilskipunar 34/2012/ESB.</w:t>
      </w:r>
    </w:p>
  </w:footnote>
  <w:footnote w:id="894">
    <w:p w14:paraId="1466F7F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895">
    <w:p w14:paraId="4D427BF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896">
    <w:p w14:paraId="0A9B95E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897">
    <w:p w14:paraId="0DD224C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898">
    <w:p w14:paraId="51D9645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899">
    <w:p w14:paraId="1BEB687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900">
    <w:p w14:paraId="3112CD8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01">
    <w:p w14:paraId="3962C3E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02">
    <w:p w14:paraId="1D0145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03">
    <w:p w14:paraId="54D1A41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04">
    <w:p w14:paraId="0990EE5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05">
    <w:p w14:paraId="1814F76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906">
    <w:p w14:paraId="7763AB7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07">
    <w:p w14:paraId="45B5E2E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08">
    <w:p w14:paraId="6DCE765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09">
    <w:p w14:paraId="249E807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10">
    <w:p w14:paraId="6FB3D43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11">
    <w:p w14:paraId="60E0FA2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912">
    <w:p w14:paraId="31EA732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13">
    <w:p w14:paraId="0A51759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14">
    <w:p w14:paraId="7218FF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15">
    <w:p w14:paraId="440C66D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16">
    <w:p w14:paraId="2AD3442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17">
    <w:p w14:paraId="05EAE03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918">
    <w:p w14:paraId="1EA8797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19">
    <w:p w14:paraId="4048C21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20">
    <w:p w14:paraId="424BC45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21">
    <w:p w14:paraId="6FB8872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22">
    <w:p w14:paraId="1526214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23">
    <w:p w14:paraId="72D6DA6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Útreiknað</w:t>
      </w:r>
      <w:proofErr w:type="spellEnd"/>
      <w:r>
        <w:t xml:space="preserve"> magn orku sem þarf til uppfylla orkuþörf sem tengist dæmigerðri notkun á byggingu, gefið upp með tölulegum vísi fyrir heildarfrumorkunotkun í kWh/m</w:t>
      </w:r>
      <w:r>
        <w:rPr>
          <w:vertAlign w:val="subscript"/>
        </w:rPr>
        <w:t>2</w:t>
      </w:r>
      <w:r>
        <w:t xml:space="preserve"> á ári og byggt á viðeigandi landsbundinni aðferð við útreikninga og eins og kemur fram í orkunýtingarvottorðinu.</w:t>
      </w:r>
    </w:p>
  </w:footnote>
  <w:footnote w:id="924">
    <w:p w14:paraId="3786BF0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925">
    <w:p w14:paraId="475B15D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ISO 20887:2020, </w:t>
      </w:r>
      <w:proofErr w:type="spellStart"/>
      <w:r>
        <w:t>Sustainability</w:t>
      </w:r>
      <w:proofErr w:type="spellEnd"/>
      <w:r>
        <w:t xml:space="preserve"> </w:t>
      </w:r>
      <w:proofErr w:type="spellStart"/>
      <w:r>
        <w:t>in</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works</w:t>
      </w:r>
      <w:proofErr w:type="spellEnd"/>
      <w:r>
        <w:t xml:space="preserve"> - </w:t>
      </w:r>
      <w:proofErr w:type="spellStart"/>
      <w:r>
        <w:t>Design</w:t>
      </w:r>
      <w:proofErr w:type="spellEnd"/>
      <w:r>
        <w:t xml:space="preserve"> for </w:t>
      </w:r>
      <w:proofErr w:type="spellStart"/>
      <w:r>
        <w:t>disassembly</w:t>
      </w:r>
      <w:proofErr w:type="spellEnd"/>
      <w:r>
        <w:t xml:space="preserve"> </w:t>
      </w:r>
      <w:proofErr w:type="spellStart"/>
      <w:r>
        <w:t>and</w:t>
      </w:r>
      <w:proofErr w:type="spellEnd"/>
      <w:r>
        <w:t xml:space="preserve"> </w:t>
      </w:r>
      <w:proofErr w:type="spellStart"/>
      <w:r>
        <w:t>adaptability</w:t>
      </w:r>
      <w:proofErr w:type="spellEnd"/>
      <w:r>
        <w:t xml:space="preserve"> - </w:t>
      </w:r>
      <w:proofErr w:type="spellStart"/>
      <w:r>
        <w:t>Principles</w:t>
      </w:r>
      <w:proofErr w:type="spellEnd"/>
      <w:r>
        <w:t xml:space="preserve">, </w:t>
      </w:r>
      <w:proofErr w:type="spellStart"/>
      <w:r>
        <w:t>requirements</w:t>
      </w:r>
      <w:proofErr w:type="spellEnd"/>
      <w:r>
        <w:t xml:space="preserve"> </w:t>
      </w:r>
      <w:proofErr w:type="spellStart"/>
      <w:r>
        <w:t>and</w:t>
      </w:r>
      <w:proofErr w:type="spellEnd"/>
      <w:r>
        <w:t xml:space="preserve"> </w:t>
      </w:r>
      <w:proofErr w:type="spellStart"/>
      <w:r>
        <w:t>guidance</w:t>
      </w:r>
      <w:proofErr w:type="spellEnd"/>
      <w:r>
        <w:t xml:space="preserve"> (útgáfa frá 4.6.2021: https://www.iso.org/standard/69370.html).</w:t>
      </w:r>
    </w:p>
  </w:footnote>
  <w:footnote w:id="926">
    <w:p w14:paraId="0C615F4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Gildir um málningu og lökk, loftflísar, </w:t>
      </w:r>
      <w:proofErr w:type="spellStart"/>
      <w:r>
        <w:t>gólfklæðningar</w:t>
      </w:r>
      <w:proofErr w:type="spellEnd"/>
      <w:r>
        <w:t>, þ.m.t. tengd lím- og þéttiefni, innri einangrun og yfirborðsmeðferð innanhúss, s.s. til að meðhöndla raka og myglu.</w:t>
      </w:r>
    </w:p>
  </w:footnote>
  <w:footnote w:id="927">
    <w:p w14:paraId="0E8FF00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CEN/TS 16516: 2013, Byggingarvörur - Mat á losun hættulegra efna - Ákvörðun losunar í andrúmsloft innanhúss.</w:t>
      </w:r>
    </w:p>
  </w:footnote>
  <w:footnote w:id="928">
    <w:p w14:paraId="42F8AF0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ISO 16000-3:2011, </w:t>
      </w:r>
      <w:proofErr w:type="spellStart"/>
      <w:r>
        <w:t>Indoor</w:t>
      </w:r>
      <w:proofErr w:type="spellEnd"/>
      <w:r>
        <w:t xml:space="preserve"> </w:t>
      </w:r>
      <w:proofErr w:type="spellStart"/>
      <w:r>
        <w:t>air</w:t>
      </w:r>
      <w:proofErr w:type="spellEnd"/>
      <w:r>
        <w:t xml:space="preserve"> — Part 3: </w:t>
      </w:r>
      <w:proofErr w:type="spellStart"/>
      <w:r>
        <w:t>Determination</w:t>
      </w:r>
      <w:proofErr w:type="spellEnd"/>
      <w:r>
        <w:t xml:space="preserve"> of </w:t>
      </w:r>
      <w:proofErr w:type="spellStart"/>
      <w:r>
        <w:t>formaldehyde</w:t>
      </w:r>
      <w:proofErr w:type="spellEnd"/>
      <w:r>
        <w:t xml:space="preserve"> </w:t>
      </w:r>
      <w:proofErr w:type="spellStart"/>
      <w:r>
        <w:t>and</w:t>
      </w:r>
      <w:proofErr w:type="spellEnd"/>
      <w:r>
        <w:t xml:space="preserve"> other </w:t>
      </w:r>
      <w:proofErr w:type="spellStart"/>
      <w:r>
        <w:t>carbonyl</w:t>
      </w:r>
      <w:proofErr w:type="spellEnd"/>
      <w:r>
        <w:t xml:space="preserve"> </w:t>
      </w:r>
      <w:proofErr w:type="spellStart"/>
      <w:r>
        <w:t>compounds</w:t>
      </w:r>
      <w:proofErr w:type="spellEnd"/>
      <w:r>
        <w:t xml:space="preserve"> </w:t>
      </w:r>
      <w:proofErr w:type="spellStart"/>
      <w:r>
        <w:t>in</w:t>
      </w:r>
      <w:proofErr w:type="spellEnd"/>
      <w:r>
        <w:t xml:space="preserve"> </w:t>
      </w:r>
      <w:proofErr w:type="spellStart"/>
      <w:r>
        <w:t>indoor</w:t>
      </w:r>
      <w:proofErr w:type="spellEnd"/>
      <w:r>
        <w:t xml:space="preserve"> </w:t>
      </w:r>
      <w:proofErr w:type="spellStart"/>
      <w:r>
        <w:t>air</w:t>
      </w:r>
      <w:proofErr w:type="spellEnd"/>
      <w:r>
        <w:t xml:space="preserve"> </w:t>
      </w:r>
      <w:proofErr w:type="spellStart"/>
      <w:r>
        <w:t>and</w:t>
      </w:r>
      <w:proofErr w:type="spellEnd"/>
      <w:r>
        <w:t xml:space="preserve"> </w:t>
      </w:r>
      <w:proofErr w:type="spellStart"/>
      <w:r>
        <w:t>test</w:t>
      </w:r>
      <w:proofErr w:type="spellEnd"/>
      <w:r>
        <w:t xml:space="preserve"> </w:t>
      </w:r>
      <w:proofErr w:type="spellStart"/>
      <w:r>
        <w:t>chamber</w:t>
      </w:r>
      <w:proofErr w:type="spellEnd"/>
      <w:r>
        <w:t xml:space="preserve"> </w:t>
      </w:r>
      <w:proofErr w:type="spellStart"/>
      <w:r>
        <w:t>air</w:t>
      </w:r>
      <w:proofErr w:type="spellEnd"/>
      <w:r>
        <w:t xml:space="preserve"> — Active </w:t>
      </w:r>
      <w:proofErr w:type="spellStart"/>
      <w:r>
        <w:t>sampling</w:t>
      </w:r>
      <w:proofErr w:type="spellEnd"/>
      <w:r>
        <w:t xml:space="preserve"> method.</w:t>
      </w:r>
    </w:p>
  </w:footnote>
  <w:footnote w:id="929">
    <w:p w14:paraId="595ED7D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Losunarmörk fyrir krabbameinsvaldandi rokgjörn, lífræn efnasambönd tengjast 28 daga prófunartímabili.</w:t>
      </w:r>
    </w:p>
  </w:footnote>
  <w:footnote w:id="930">
    <w:p w14:paraId="268B0D1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ISO 18400-röðin um jarðvegsgæði — Sýnataka</w:t>
      </w:r>
    </w:p>
  </w:footnote>
  <w:footnote w:id="931">
    <w:p w14:paraId="3F82688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JRC ESDCA, LUCAS: Vöktunarkerfi yfir landnotkun og landþekju (útgáfa frá 4.6.2021: https://esdac.jrc.ec.europa.eu/projects/lucas).</w:t>
      </w:r>
    </w:p>
  </w:footnote>
  <w:footnote w:id="932">
    <w:p w14:paraId="08F1B55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Alþjóðanáttúruverndarsambandið, rauðlisti Alþjóðanáttúruverndarsambandsins yfir tegundir sem er ógnað (útgáfa frá 4.6.2021: https://www.iucn.org/regions/europe/our-work/biodiversity-conservation/european-red-list-threatened-species).</w:t>
      </w:r>
    </w:p>
  </w:footnote>
  <w:footnote w:id="933">
    <w:p w14:paraId="3BC7062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Alþjóðanáttúruverndarsambandið, rauðlisti Alþjóðanáttúruverndarsambandsins yfir tegundir sem er ógnað (útgáfa frá 4.6.2021: https://www.iucnredlist.org).</w:t>
      </w:r>
    </w:p>
  </w:footnote>
  <w:footnote w:id="934">
    <w:p w14:paraId="5D43D27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Land sem er meira en hálfur hektari að stærð með trjám sem eru hærri en fimm metrar og meira en 10% laufþekju eða með trjám sem geta náð þessum viðmiðunarmörkum á upprunastað. Skilgreiningin tekur ekki til lands sem er að mestu nýtt til landbúnaðar eða undir þéttbýli.</w:t>
      </w:r>
    </w:p>
  </w:footnote>
  <w:footnote w:id="935">
    <w:p w14:paraId="0DED35C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36">
    <w:p w14:paraId="60360A3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37">
    <w:p w14:paraId="143376F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38">
    <w:p w14:paraId="1566B88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39">
    <w:p w14:paraId="20C280C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40">
    <w:p w14:paraId="60D3AC7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Aðferðarlýsing ESB um meðferð úrgangs frá byggingar- og niðurrifsstarfsemi (útgáfa frá 4.6.2021: https://ec.europa.eu/growth/content/eu-construction-and-demolition-waste-protocol-0_en ).</w:t>
      </w:r>
    </w:p>
  </w:footnote>
  <w:footnote w:id="941">
    <w:p w14:paraId="338CE87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ISO 20887:2020, </w:t>
      </w:r>
      <w:proofErr w:type="spellStart"/>
      <w:r>
        <w:t>Sustainability</w:t>
      </w:r>
      <w:proofErr w:type="spellEnd"/>
      <w:r>
        <w:t xml:space="preserve"> </w:t>
      </w:r>
      <w:proofErr w:type="spellStart"/>
      <w:r>
        <w:t>in</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works</w:t>
      </w:r>
      <w:proofErr w:type="spellEnd"/>
      <w:r>
        <w:t xml:space="preserve"> - </w:t>
      </w:r>
      <w:proofErr w:type="spellStart"/>
      <w:r>
        <w:t>Design</w:t>
      </w:r>
      <w:proofErr w:type="spellEnd"/>
      <w:r>
        <w:t xml:space="preserve"> for </w:t>
      </w:r>
      <w:proofErr w:type="spellStart"/>
      <w:r>
        <w:t>disassembly</w:t>
      </w:r>
      <w:proofErr w:type="spellEnd"/>
      <w:r>
        <w:t xml:space="preserve"> </w:t>
      </w:r>
      <w:proofErr w:type="spellStart"/>
      <w:r>
        <w:t>and</w:t>
      </w:r>
      <w:proofErr w:type="spellEnd"/>
      <w:r>
        <w:t xml:space="preserve"> </w:t>
      </w:r>
      <w:proofErr w:type="spellStart"/>
      <w:r>
        <w:t>adaptability</w:t>
      </w:r>
      <w:proofErr w:type="spellEnd"/>
      <w:r>
        <w:t xml:space="preserve"> - </w:t>
      </w:r>
      <w:proofErr w:type="spellStart"/>
      <w:r>
        <w:t>Principles</w:t>
      </w:r>
      <w:proofErr w:type="spellEnd"/>
      <w:r>
        <w:t xml:space="preserve">, </w:t>
      </w:r>
      <w:proofErr w:type="spellStart"/>
      <w:r>
        <w:t>requirements</w:t>
      </w:r>
      <w:proofErr w:type="spellEnd"/>
      <w:r>
        <w:t xml:space="preserve"> </w:t>
      </w:r>
      <w:proofErr w:type="spellStart"/>
      <w:r>
        <w:t>and</w:t>
      </w:r>
      <w:proofErr w:type="spellEnd"/>
      <w:r>
        <w:t xml:space="preserve"> </w:t>
      </w:r>
      <w:proofErr w:type="spellStart"/>
      <w:r>
        <w:t>guidance</w:t>
      </w:r>
      <w:proofErr w:type="spellEnd"/>
      <w:r>
        <w:t xml:space="preserve"> (útgáfa frá 4.6.2021: https://www.iso.org/standard/69370.html).</w:t>
      </w:r>
    </w:p>
  </w:footnote>
  <w:footnote w:id="942">
    <w:p w14:paraId="3FBFDC4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Gildir um málningu og lökk, loftflísar, </w:t>
      </w:r>
      <w:proofErr w:type="spellStart"/>
      <w:r>
        <w:t>gólfklæðningar</w:t>
      </w:r>
      <w:proofErr w:type="spellEnd"/>
      <w:r>
        <w:t>, þ.m.t. tengd lím- og þéttiefni, innri einangrun og yfirborðsmeðferð innanhúss, s.s. til að meðhöndla raka og myglu.</w:t>
      </w:r>
    </w:p>
  </w:footnote>
  <w:footnote w:id="943">
    <w:p w14:paraId="3E72539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ISO 16000-3:2011, </w:t>
      </w:r>
      <w:proofErr w:type="spellStart"/>
      <w:r>
        <w:t>Indoor</w:t>
      </w:r>
      <w:proofErr w:type="spellEnd"/>
      <w:r>
        <w:t xml:space="preserve"> </w:t>
      </w:r>
      <w:proofErr w:type="spellStart"/>
      <w:r>
        <w:t>air</w:t>
      </w:r>
      <w:proofErr w:type="spellEnd"/>
      <w:r>
        <w:t xml:space="preserve"> — Part 3: </w:t>
      </w:r>
      <w:proofErr w:type="spellStart"/>
      <w:r>
        <w:t>Determination</w:t>
      </w:r>
      <w:proofErr w:type="spellEnd"/>
      <w:r>
        <w:t xml:space="preserve"> of </w:t>
      </w:r>
      <w:proofErr w:type="spellStart"/>
      <w:r>
        <w:t>formaldehyde</w:t>
      </w:r>
      <w:proofErr w:type="spellEnd"/>
      <w:r>
        <w:t xml:space="preserve"> </w:t>
      </w:r>
      <w:proofErr w:type="spellStart"/>
      <w:r>
        <w:t>and</w:t>
      </w:r>
      <w:proofErr w:type="spellEnd"/>
      <w:r>
        <w:t xml:space="preserve"> other </w:t>
      </w:r>
      <w:proofErr w:type="spellStart"/>
      <w:r>
        <w:t>carbonyl</w:t>
      </w:r>
      <w:proofErr w:type="spellEnd"/>
      <w:r>
        <w:t xml:space="preserve"> </w:t>
      </w:r>
      <w:proofErr w:type="spellStart"/>
      <w:r>
        <w:t>compounds</w:t>
      </w:r>
      <w:proofErr w:type="spellEnd"/>
      <w:r>
        <w:t xml:space="preserve"> </w:t>
      </w:r>
      <w:proofErr w:type="spellStart"/>
      <w:r>
        <w:t>in</w:t>
      </w:r>
      <w:proofErr w:type="spellEnd"/>
      <w:r>
        <w:t xml:space="preserve"> </w:t>
      </w:r>
      <w:proofErr w:type="spellStart"/>
      <w:r>
        <w:t>indoor</w:t>
      </w:r>
      <w:proofErr w:type="spellEnd"/>
      <w:r>
        <w:t xml:space="preserve"> </w:t>
      </w:r>
      <w:proofErr w:type="spellStart"/>
      <w:r>
        <w:t>air</w:t>
      </w:r>
      <w:proofErr w:type="spellEnd"/>
      <w:r>
        <w:t xml:space="preserve"> </w:t>
      </w:r>
      <w:proofErr w:type="spellStart"/>
      <w:r>
        <w:t>and</w:t>
      </w:r>
      <w:proofErr w:type="spellEnd"/>
      <w:r>
        <w:t xml:space="preserve"> </w:t>
      </w:r>
      <w:proofErr w:type="spellStart"/>
      <w:r>
        <w:t>test</w:t>
      </w:r>
      <w:proofErr w:type="spellEnd"/>
      <w:r>
        <w:t xml:space="preserve"> </w:t>
      </w:r>
      <w:proofErr w:type="spellStart"/>
      <w:r>
        <w:t>chamber</w:t>
      </w:r>
      <w:proofErr w:type="spellEnd"/>
      <w:r>
        <w:t xml:space="preserve"> </w:t>
      </w:r>
      <w:proofErr w:type="spellStart"/>
      <w:r>
        <w:t>air</w:t>
      </w:r>
      <w:proofErr w:type="spellEnd"/>
      <w:r>
        <w:t xml:space="preserve"> — Active </w:t>
      </w:r>
      <w:proofErr w:type="spellStart"/>
      <w:r>
        <w:t>sampling</w:t>
      </w:r>
      <w:proofErr w:type="spellEnd"/>
      <w:r>
        <w:t xml:space="preserve"> method (útgáfa frá 4.6.2021: https://www.iso.org/standard/51812.html).</w:t>
      </w:r>
    </w:p>
  </w:footnote>
  <w:footnote w:id="944">
    <w:p w14:paraId="42FE238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45">
    <w:p w14:paraId="2AA67B3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46">
    <w:p w14:paraId="4FD1C02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47">
    <w:p w14:paraId="3CC5637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48">
    <w:p w14:paraId="7B85E17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49">
    <w:p w14:paraId="5A284BA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50">
    <w:p w14:paraId="56EB3E6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51">
    <w:p w14:paraId="19C4DA9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52">
    <w:p w14:paraId="3003AEE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53">
    <w:p w14:paraId="18597CA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54">
    <w:p w14:paraId="3C10F1D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55">
    <w:p w14:paraId="711B45C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56">
    <w:p w14:paraId="3E51FB9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57">
    <w:p w14:paraId="6A2D2D7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58">
    <w:p w14:paraId="6235F9C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59">
    <w:p w14:paraId="4BBB64E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60">
    <w:p w14:paraId="6F1B2BE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61">
    <w:p w14:paraId="006F9D3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62">
    <w:p w14:paraId="54EF73F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63">
    <w:p w14:paraId="01419A6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64">
    <w:p w14:paraId="4CCD89D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65">
    <w:p w14:paraId="042E7CF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66">
    <w:p w14:paraId="067DC07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67">
    <w:p w14:paraId="214D64C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68">
    <w:p w14:paraId="312108E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69">
    <w:p w14:paraId="5B6060F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r>
      <w:proofErr w:type="spellStart"/>
      <w:r>
        <w:t>Útreiknað</w:t>
      </w:r>
      <w:proofErr w:type="spellEnd"/>
      <w:r>
        <w:t xml:space="preserve"> magn orku sem þarf til uppfylla orkuþörf sem tengist dæmigerðri notkun á byggingu, gefið upp með tölulegum vísi fyrir heildarfrumorkunotkun í kWh/m</w:t>
      </w:r>
      <w:r>
        <w:rPr>
          <w:vertAlign w:val="subscript"/>
        </w:rPr>
        <w:t>2</w:t>
      </w:r>
      <w:r>
        <w:t xml:space="preserve"> á ári og byggt á viðeigandi landsbundinni aðferð við útreikninga og eins og kemur fram í orkunýtingarvottorðinu.</w:t>
      </w:r>
    </w:p>
  </w:footnote>
  <w:footnote w:id="970">
    <w:p w14:paraId="1B758B2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Gagnaver fela í sér eftirfarandi búnað: Upplýsinga- og fjarskiptatæknibúnaður og -þjónusta; kæling; orkubúnaður fyrir gagnaver; orkudreifingarbúnaður fyrir gagnaver; gagnaversbygging; vöktunarkerfi.</w:t>
      </w:r>
    </w:p>
  </w:footnote>
  <w:footnote w:id="971">
    <w:p w14:paraId="0768F8D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72">
    <w:p w14:paraId="611F327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73">
    <w:p w14:paraId="04E0ABD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74">
    <w:p w14:paraId="3A2D4D6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75">
    <w:p w14:paraId="76FFD4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76">
    <w:p w14:paraId="4F85D35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Nýjasta útgáfa evrópsku siðareglnanna um </w:t>
      </w:r>
      <w:proofErr w:type="spellStart"/>
      <w:r>
        <w:t>orkunýtni</w:t>
      </w:r>
      <w:proofErr w:type="spellEnd"/>
      <w:r>
        <w:t xml:space="preserve"> gagnavera er síðasta útgáfan sem var birt á vefsetri Sameiginlegu rannsóknarmiðstöðvarinnar fyrir evrópskan </w:t>
      </w:r>
      <w:proofErr w:type="spellStart"/>
      <w:r>
        <w:t>orkunýtnivettvang</w:t>
      </w:r>
      <w:proofErr w:type="spellEnd"/>
      <w:r>
        <w:t>, https://e3p.jrc.ec.europa.eu/communities/data-centres-code-conduct, með sex mánaða umbreytingartímabili sem hefst daginn sem þær voru birtar (útgáfan frá 2021 er aðgengileg á https://e3p.jrc.ec.europa.eu/publications/2021-best-practice-guidelines-eu-code-conduct-data-centre-energy-efficiency).</w:t>
      </w:r>
    </w:p>
  </w:footnote>
  <w:footnote w:id="977">
    <w:p w14:paraId="5C094D7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Gefið út 1. júlí 2019 af </w:t>
      </w:r>
      <w:proofErr w:type="spellStart"/>
      <w:r>
        <w:t>staðlasamtökum</w:t>
      </w:r>
      <w:proofErr w:type="spellEnd"/>
      <w:r>
        <w:t xml:space="preserve"> Evrópu og </w:t>
      </w:r>
      <w:proofErr w:type="spellStart"/>
      <w:r>
        <w:t>rafstaðlasamtökum</w:t>
      </w:r>
      <w:proofErr w:type="spellEnd"/>
      <w:r>
        <w:t xml:space="preserve"> Evrópu, (útgáfa frá 4.6.2021: https://www.cenelec.eu/dyn/www/f?p=104:110:508227404055501::::FSP_ORG_ID,FSP_PROJECT,FSP_LANG_ID:1258297,65095,25).</w:t>
      </w:r>
    </w:p>
  </w:footnote>
  <w:footnote w:id="978">
    <w:p w14:paraId="6BED325B"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79">
    <w:p w14:paraId="05B1B76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80">
    <w:p w14:paraId="0DD4FAD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81">
    <w:p w14:paraId="3EA8454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82">
    <w:p w14:paraId="5876849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83">
    <w:p w14:paraId="55C97FD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84">
    <w:p w14:paraId="2E3AB6B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85">
    <w:p w14:paraId="1D80999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86">
    <w:p w14:paraId="6991338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87">
    <w:p w14:paraId="0271F38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88">
    <w:p w14:paraId="6898015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989">
    <w:p w14:paraId="2A795B0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990">
    <w:p w14:paraId="0CA4F66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hún styður við veitingu margs konar vistkerfisþjónustu (útgáfa frá 4.6.2021: https://ec.europa.eu/info/research-and-innovation/research-area/environment/nature-based-solutions_en).</w:t>
      </w:r>
    </w:p>
  </w:footnote>
  <w:footnote w:id="991">
    <w:p w14:paraId="2F8D9A5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Samsvarar a.m.k. tæknilegu viðbúnaðarstigi 7, í samræmi við viðauka G í almennu viðaukunum við HORIZON 2020, vinnuáætlun 2016–2017, bls. 29, og uppfyllir a.m.k. viðmiðanirnar um verulegt framlag til aðlögunar að loftslagsbreytingum fyrir viðkomandi starfsemi.</w:t>
      </w:r>
    </w:p>
  </w:footnote>
  <w:footnote w:id="992">
    <w:p w14:paraId="6667F6E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Framseld reglugerð framkvæmdastjórnarinnar (ESB) 2015/35 frá 10. október 2014 um viðbætur við tilskipun Evrópuþingsins og ráðsins 2009/138/EB um stofnun og rekstur fyrirtækja á sviði </w:t>
      </w:r>
      <w:proofErr w:type="spellStart"/>
      <w:r>
        <w:t>vátrygginga</w:t>
      </w:r>
      <w:proofErr w:type="spellEnd"/>
      <w:r>
        <w:t xml:space="preserve"> og </w:t>
      </w:r>
      <w:proofErr w:type="spellStart"/>
      <w:r>
        <w:t>endurtrygginga</w:t>
      </w:r>
      <w:proofErr w:type="spellEnd"/>
      <w:r>
        <w:t xml:space="preserve"> (Gjaldþolsáætlun II) (</w:t>
      </w:r>
      <w:proofErr w:type="spellStart"/>
      <w:r>
        <w:t>Stjtíð</w:t>
      </w:r>
      <w:proofErr w:type="spellEnd"/>
      <w:r>
        <w:t>. ESB L 12, 17.1.2015. bls. 1).</w:t>
      </w:r>
    </w:p>
  </w:footnote>
  <w:footnote w:id="993">
    <w:p w14:paraId="3D77748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viðbæti A.</w:t>
      </w:r>
    </w:p>
  </w:footnote>
  <w:footnote w:id="994">
    <w:p w14:paraId="2ABD2D04"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Reglugerð Evrópuþingsins og ráðsins (ESB) 2016/679 frá 27. apríl 2016 um vernd einstaklinga í tengslum við vinnslu persónuupplýsinga og um frjálsa miðlun slíkra upplýsinga og niðurfellingu tilskipunar 95/46/EB (almenna persónuverndarreglugerðin) (</w:t>
      </w:r>
      <w:proofErr w:type="spellStart"/>
      <w:r>
        <w:t>Stjtíð</w:t>
      </w:r>
      <w:proofErr w:type="spellEnd"/>
      <w:r>
        <w:t>. ESB L 119, 4.5. 2016, bls. 1).</w:t>
      </w:r>
    </w:p>
  </w:footnote>
  <w:footnote w:id="995">
    <w:p w14:paraId="3674B61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Eins og skilgreint er í 5. lið 2. gr. tilskipunar Evrópuþingsins og ráðsins (ESB) 2016/97 frá 20. janúar 2016 um dreifingu </w:t>
      </w:r>
      <w:proofErr w:type="spellStart"/>
      <w:r>
        <w:t>vátrygginga</w:t>
      </w:r>
      <w:proofErr w:type="spellEnd"/>
      <w:r>
        <w:t xml:space="preserve"> (</w:t>
      </w:r>
      <w:proofErr w:type="spellStart"/>
      <w:r>
        <w:t>Stjtíð</w:t>
      </w:r>
      <w:proofErr w:type="spellEnd"/>
      <w:r>
        <w:t>. ESB L 26, 2.2.2016, bls. 19).</w:t>
      </w:r>
    </w:p>
  </w:footnote>
  <w:footnote w:id="996">
    <w:p w14:paraId="367B513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997">
    <w:p w14:paraId="33E6E32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998">
    <w:p w14:paraId="3BA4150C"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999">
    <w:p w14:paraId="20C83FB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1000">
    <w:p w14:paraId="3D40CE2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1001">
    <w:p w14:paraId="7A30BDD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1002">
    <w:p w14:paraId="3AF02352"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1003">
    <w:p w14:paraId="2987D370"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1004">
    <w:p w14:paraId="5AC7309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1005">
    <w:p w14:paraId="269F5CC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1006">
    <w:p w14:paraId="4AB7354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1007">
    <w:p w14:paraId="7183CFB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1008">
    <w:p w14:paraId="68C4810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1009">
    <w:p w14:paraId="5597234A"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1010">
    <w:p w14:paraId="2231B2B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1011">
    <w:p w14:paraId="67A2C2D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1012">
    <w:p w14:paraId="6A1AA00E"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1013">
    <w:p w14:paraId="1A7B180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1014">
    <w:p w14:paraId="7F5556F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1015">
    <w:p w14:paraId="07F6828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1016">
    <w:p w14:paraId="16FA1018"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Framtíðarsviðsmyndir taka til dæmigerðra styrkferla milliríkjanefndarinnar um loftslagsbreytingar, RCP2.6, RCP4.5, RCP6.0 og RCP8.5.</w:t>
      </w:r>
    </w:p>
  </w:footnote>
  <w:footnote w:id="1017">
    <w:p w14:paraId="1248322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Matsskýrslur um loftslagsbreytingar: „</w:t>
      </w:r>
      <w:proofErr w:type="spellStart"/>
      <w:r>
        <w:t>Impacts</w:t>
      </w:r>
      <w:proofErr w:type="spellEnd"/>
      <w:r>
        <w:t xml:space="preserve">, Adaptation </w:t>
      </w:r>
      <w:proofErr w:type="spellStart"/>
      <w:r>
        <w:t>and</w:t>
      </w:r>
      <w:proofErr w:type="spellEnd"/>
      <w:r>
        <w:t xml:space="preserve"> </w:t>
      </w:r>
      <w:proofErr w:type="spellStart"/>
      <w:r>
        <w:t>Vulnerability</w:t>
      </w:r>
      <w:proofErr w:type="spellEnd"/>
      <w:r>
        <w:t>“ (áhrif, aðlögun og veikleiki) sem milliríkjanefndin um loftslagsbreytingar birtir reglulega, stofnun Sameinuðu þjóðanna sem leggur mat á vísindi sem tengjast loftslagsbreytingum, https://www.ipcc.ch/reports/.</w:t>
      </w:r>
    </w:p>
  </w:footnote>
  <w:footnote w:id="1018">
    <w:p w14:paraId="76B8B5F1"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Svo sem evrópska </w:t>
      </w:r>
      <w:proofErr w:type="spellStart"/>
      <w:r>
        <w:t>jarðfjarkönnunaráætlunin</w:t>
      </w:r>
      <w:proofErr w:type="spellEnd"/>
      <w:r>
        <w:t xml:space="preserve"> (</w:t>
      </w:r>
      <w:proofErr w:type="spellStart"/>
      <w:r>
        <w:t>Kópernikus</w:t>
      </w:r>
      <w:proofErr w:type="spellEnd"/>
      <w:r>
        <w:t>) sem er undir stjórn framkvæmdastjórnar Evrópusambandsins.</w:t>
      </w:r>
    </w:p>
  </w:footnote>
  <w:footnote w:id="1019">
    <w:p w14:paraId="2728CC1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Náttúrumiðaðar lausnir eru skilgreindar sem „lausnir sem eru innblásnar og studdar af náttúrunni, sem eru kostnaðarhagkvæmar, hafa samtímis í för með sér umhverfislegan, félagslegan og efnahagslegan ávinning og hjálpa til við að auka viðnám. Slíkar lausnir hafa í för með sér meiri og fjölbreyttari náttúru og náttúrulega þætti og ferla inn í borgir, landslag og hafsvæði með staðaraðlöguðum, </w:t>
      </w:r>
      <w:proofErr w:type="spellStart"/>
      <w:r>
        <w:t>auðlindanýtnum</w:t>
      </w:r>
      <w:proofErr w:type="spellEnd"/>
      <w:r>
        <w:t xml:space="preserve"> og kerfistengdum íhlutunum.“ Af þeim sökum nýtur líffræðileg fjölbreytni góðs af náttúrumiðuðum lausnum og þær styðja við veitingu margs konar vistkerfisþjónustu (útgáfa frá 4.6.2021: https://ec.europa.eu/info/research-and-innovation/research-area/environment/nature-based-solutions_en/).</w:t>
      </w:r>
    </w:p>
  </w:footnote>
  <w:footnote w:id="1020">
    <w:p w14:paraId="632AA423"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Sjá orðsendingu framkvæmdastjórnarinnar til Evrópuþingsins, ráðsins, efnahags- og félagsmálanefndar Evrópusambandsins og svæðanefndarinnar: Grænir innviðir — að styrkja náttúruauð Evrópu (COM/2013/0249 lokagerð).</w:t>
      </w:r>
    </w:p>
  </w:footnote>
  <w:footnote w:id="1021">
    <w:p w14:paraId="75E7B05F"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Skráin yfir loftslagstengdar hættur í þessari töflu er ekki tæmandi og er einungis viðmiðunarskrá yfir útbreiddustu hætturnar sem skal að lágmarki taka tillit til í loftslagsáhættu- og veikleikamatinu.</w:t>
      </w:r>
    </w:p>
  </w:footnote>
  <w:footnote w:id="1022">
    <w:p w14:paraId="54662EA9"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starfsemi í þriðju löndum, í samræmi við gildandi landslög eða alþjóðlega staðla, þar sem leitast er við að ná jafngildum markmiðum um gott ástand vatns og gott </w:t>
      </w:r>
      <w:proofErr w:type="spellStart"/>
      <w:r>
        <w:t>vistmegin</w:t>
      </w:r>
      <w:proofErr w:type="spellEnd"/>
      <w:r>
        <w:t xml:space="preserve"> með jafngildum málsmeðferðarreglum og efnisreglum, þ.e. stjórnunaráætlun um notkun og verndun vatns sem er þróuð í samráði við viðkomandi hagsmunaaðila sem tryggir að 1) áhrifin af starfseminni á tilgreinda stöðu eða </w:t>
      </w:r>
      <w:proofErr w:type="spellStart"/>
      <w:r>
        <w:t>vistmegin</w:t>
      </w:r>
      <w:proofErr w:type="spellEnd"/>
      <w:r>
        <w:t xml:space="preserve"> vatnshlots sem verður/</w:t>
      </w:r>
      <w:proofErr w:type="spellStart"/>
      <w:r>
        <w:t>vatnshlota</w:t>
      </w:r>
      <w:proofErr w:type="spellEnd"/>
      <w:r>
        <w:t xml:space="preserve"> sem verða hugsanlega fyrir áhrifum séu metin og 2) komist sé hjá því að skerða eða koma í veg fyrir góða stöðu/</w:t>
      </w:r>
      <w:proofErr w:type="spellStart"/>
      <w:r>
        <w:t>vistmegin</w:t>
      </w:r>
      <w:proofErr w:type="spellEnd"/>
      <w:r>
        <w:t xml:space="preserve"> eða, ef þetta er ekki gerlegt, 3) það sé réttlætanlegt vegna skorts á betri umhverfislegum valkostum sem eru ekki óhóflega kostnaðarsamir/tæknilega ómögulegir og allar raunhæfar ráðstafanir eru gerðar til að milda neikvæðu áhrifin á stöðu vatnshlotsins.</w:t>
      </w:r>
    </w:p>
  </w:footnote>
  <w:footnote w:id="1023">
    <w:p w14:paraId="6F18F6DD"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Málsmeðferð sem </w:t>
      </w:r>
      <w:proofErr w:type="spellStart"/>
      <w:r>
        <w:t>lögbært</w:t>
      </w:r>
      <w:proofErr w:type="spellEnd"/>
      <w:r>
        <w:t xml:space="preserve"> yfirvald notar til að ákvarða hvort verkefni sem eru skráð í II. viðauka við tilskipun 2011/92/ESB eigi að falla undir mat á umhverfisáhrifum (eins og um getur í 2. mgr. 4. gr. þeirrar tilskipunar).</w:t>
      </w:r>
    </w:p>
  </w:footnote>
  <w:footnote w:id="1024">
    <w:p w14:paraId="2BC36496"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Að því er varðar starfsemi í þriðju löndum, í samræmi við jafngild, gildandi landslög eða alþjóðlega staðla þar sem gerð er krafa um að lokið sé við mat á umhverfisáhrifum eða skimun, t.d. frammistöðustaðall Alþjóðalánastofnunarinnar nr. 1 (e. </w:t>
      </w:r>
      <w:r>
        <w:rPr>
          <w:i/>
          <w:iCs/>
        </w:rPr>
        <w:t xml:space="preserve">IFC </w:t>
      </w:r>
      <w:proofErr w:type="spellStart"/>
      <w:r>
        <w:rPr>
          <w:i/>
          <w:iCs/>
        </w:rPr>
        <w:t>Performance</w:t>
      </w:r>
      <w:proofErr w:type="spellEnd"/>
      <w:r>
        <w:rPr>
          <w:i/>
          <w:iCs/>
        </w:rPr>
        <w:t xml:space="preserve"> Standard 1</w:t>
      </w:r>
      <w:r>
        <w:t xml:space="preserve">): Assessment </w:t>
      </w:r>
      <w:proofErr w:type="spellStart"/>
      <w:r>
        <w:t>and</w:t>
      </w:r>
      <w:proofErr w:type="spellEnd"/>
      <w:r>
        <w:t xml:space="preserve"> Management of </w:t>
      </w:r>
      <w:proofErr w:type="spellStart"/>
      <w:r>
        <w:t>Environmental</w:t>
      </w:r>
      <w:proofErr w:type="spellEnd"/>
      <w:r>
        <w:t xml:space="preserve"> </w:t>
      </w:r>
      <w:proofErr w:type="spellStart"/>
      <w:r>
        <w:t>and</w:t>
      </w:r>
      <w:proofErr w:type="spellEnd"/>
      <w:r>
        <w:t xml:space="preserve"> </w:t>
      </w:r>
      <w:proofErr w:type="spellStart"/>
      <w:r>
        <w:t>Social</w:t>
      </w:r>
      <w:proofErr w:type="spellEnd"/>
      <w:r>
        <w:t xml:space="preserve"> </w:t>
      </w:r>
      <w:proofErr w:type="spellStart"/>
      <w:r>
        <w:t>Risks</w:t>
      </w:r>
      <w:proofErr w:type="spellEnd"/>
      <w:r>
        <w:t xml:space="preserve"> (mat og stjórnun á umhverfisáhættu og félagslegri áhættu).</w:t>
      </w:r>
    </w:p>
  </w:footnote>
  <w:footnote w:id="1025">
    <w:p w14:paraId="01F6A257"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 xml:space="preserve">Í samræmi við tilskipanir 2009/147/EB og 92/43/EBE. Að því er varðar starfsemi í þriðju löndum, í samræmi við jafngild, gildandi landslög eða alþjóðlega staðla, sem miðar að því að varðveita náttúruleg búsvæði, villt dýr og villtar plöntur og þar sem gerð er krafa um framkvæmd 1) skimunaraðgerðar til að ákvarða hvort þörf er á, að því er varðar tiltekna starfsemi, viðeigandi mati á hugsanlegum áhrifum á vernduð búsvæði og tegundir, 2) slíku viðeigandi mati þegar skimunin sýnir að þess sé þörf, t.d. frammistöðustaðall Alþjóðalánastofnunarinnar nr. 6: </w:t>
      </w:r>
      <w:proofErr w:type="spellStart"/>
      <w:r>
        <w:t>Biodiversity</w:t>
      </w:r>
      <w:proofErr w:type="spellEnd"/>
      <w:r>
        <w:t xml:space="preserve"> </w:t>
      </w:r>
      <w:proofErr w:type="spellStart"/>
      <w:r>
        <w:t>Conservation</w:t>
      </w:r>
      <w:proofErr w:type="spellEnd"/>
      <w:r>
        <w:t xml:space="preserve"> </w:t>
      </w:r>
      <w:proofErr w:type="spellStart"/>
      <w:r>
        <w:t>and</w:t>
      </w:r>
      <w:proofErr w:type="spellEnd"/>
      <w:r>
        <w:t xml:space="preserve"> </w:t>
      </w:r>
      <w:proofErr w:type="spellStart"/>
      <w:r>
        <w:t>Sustainable</w:t>
      </w:r>
      <w:proofErr w:type="spellEnd"/>
      <w:r>
        <w:t xml:space="preserve"> Management of </w:t>
      </w:r>
      <w:proofErr w:type="spellStart"/>
      <w:r>
        <w:t>Living</w:t>
      </w:r>
      <w:proofErr w:type="spellEnd"/>
      <w:r>
        <w:t xml:space="preserve"> Natural Resources (varðveisla líffræðilegrar fjölbreytni og sjálfbær stjórnun lifandi náttúruauðlinda).</w:t>
      </w:r>
    </w:p>
  </w:footnote>
  <w:footnote w:id="1026">
    <w:p w14:paraId="6DBEA0E5" w14:textId="77777777" w:rsidR="00D849E8" w:rsidRDefault="00D849E8" w:rsidP="00D849E8">
      <w:pPr>
        <w:pStyle w:val="Textineanmlsgreinar"/>
        <w:ind w:left="360" w:hanging="360"/>
        <w:rPr>
          <w:rFonts w:cs="Times New Roman"/>
          <w:szCs w:val="16"/>
        </w:rPr>
      </w:pPr>
      <w:r>
        <w:t>(</w:t>
      </w:r>
      <w:r>
        <w:rPr>
          <w:rStyle w:val="Tilvsunneanmlsgrein"/>
          <w:rFonts w:cs="Times New Roman"/>
          <w:szCs w:val="16"/>
        </w:rPr>
        <w:footnoteRef/>
      </w:r>
      <w:r>
        <w:t>)</w:t>
      </w:r>
      <w:r>
        <w:tab/>
        <w:t>Þessar ráðstafanir hafa verið tilgreindar til að tryggja að verkefnið, áætlunin eða starfsemin muni ekki hafa nein umtalsverð áhrif á varðveislumarkmiðin fyrir verndaða svæðið.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695A" w14:textId="77777777" w:rsidR="007E0724" w:rsidRDefault="00C4775C">
    <w:pPr>
      <w:pStyle w:val="Suhaus"/>
      <w:jc w:val="right"/>
    </w:pPr>
    <w:r>
      <w:fldChar w:fldCharType="begin"/>
    </w:r>
    <w:r>
      <w:instrText xml:space="preserve"> PAGE   \* MERGEFORMAT </w:instrText>
    </w:r>
    <w:r>
      <w:fldChar w:fldCharType="separate"/>
    </w:r>
    <w:r>
      <w:t>15</w:t>
    </w:r>
    <w:r>
      <w:t>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515411"/>
      <w:docPartObj>
        <w:docPartGallery w:val="Page Numbers (Top of Page)"/>
        <w:docPartUnique/>
      </w:docPartObj>
    </w:sdtPr>
    <w:sdtEndPr>
      <w:rPr>
        <w:noProof/>
      </w:rPr>
    </w:sdtEndPr>
    <w:sdtContent>
      <w:p w14:paraId="16BD19DF" w14:textId="77777777" w:rsidR="00D849E8" w:rsidRDefault="00D849E8">
        <w:pPr>
          <w:pStyle w:val="Suhaus"/>
          <w:jc w:val="right"/>
        </w:pPr>
        <w:r>
          <w:fldChar w:fldCharType="begin"/>
        </w:r>
        <w:r>
          <w:instrText xml:space="preserve"> PAGE   \* MERGEFORMAT </w:instrText>
        </w:r>
        <w:r>
          <w:fldChar w:fldCharType="separate"/>
        </w:r>
        <w:r>
          <w:t>34</w:t>
        </w:r>
        <w: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147842"/>
      <w:docPartObj>
        <w:docPartGallery w:val="Page Numbers (Top of Page)"/>
        <w:docPartUnique/>
      </w:docPartObj>
    </w:sdtPr>
    <w:sdtEndPr>
      <w:rPr>
        <w:noProof/>
      </w:rPr>
    </w:sdtEndPr>
    <w:sdtContent>
      <w:p w14:paraId="210CE44F" w14:textId="77777777" w:rsidR="007E0724" w:rsidRDefault="00C4775C">
        <w:pPr>
          <w:pStyle w:val="Suhaus"/>
          <w:jc w:val="right"/>
        </w:pPr>
        <w:r>
          <w:fldChar w:fldCharType="begin"/>
        </w:r>
        <w:r>
          <w:instrText xml:space="preserve"> PAGE   \* MERGEFORMAT </w:instrText>
        </w:r>
        <w:r>
          <w:fldChar w:fldCharType="separate"/>
        </w:r>
        <w:r>
          <w:t>34</w:t>
        </w:r>
        <w: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12289"/>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24"/>
    <w:rsid w:val="001E170D"/>
    <w:rsid w:val="002B5657"/>
    <w:rsid w:val="006D7A4B"/>
    <w:rsid w:val="007E0724"/>
    <w:rsid w:val="00AF4A03"/>
    <w:rsid w:val="00C4775C"/>
    <w:rsid w:val="00D849E8"/>
    <w:rsid w:val="00DB6835"/>
    <w:rsid w:val="00EE1A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7C2AC"/>
  <w15:docId w15:val="{7E10B1CD-64DB-4DB8-B79C-5EEBF3C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pPr>
      <w:shd w:val="clear" w:color="auto" w:fill="FF0000"/>
      <w:spacing w:line="240" w:lineRule="exact"/>
      <w:jc w:val="both"/>
    </w:pPr>
    <w:rPr>
      <w:rFonts w:ascii="Times New Roman" w:hAnsi="Times New Roman"/>
      <w:color w:val="00B050"/>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Suhaus">
    <w:name w:val="header"/>
    <w:basedOn w:val="Para"/>
    <w:link w:val="SuhausStaf"/>
    <w:uiPriority w:val="99"/>
    <w:unhideWhenUsed/>
    <w:pPr>
      <w:spacing w:after="100" w:line="200" w:lineRule="exact"/>
    </w:pPr>
  </w:style>
  <w:style w:type="character" w:customStyle="1" w:styleId="SuhausStaf">
    <w:name w:val="Síðuhaus Staf"/>
    <w:basedOn w:val="Sjlfgefinleturgermlsgreinar"/>
    <w:link w:val="Suhaus"/>
    <w:uiPriority w:val="99"/>
    <w:rPr>
      <w:rFonts w:ascii="Times New Roman" w:hAnsi="Times New Roman"/>
      <w:sz w:val="18"/>
      <w14:ligatures w14:val="standard"/>
    </w:rPr>
  </w:style>
  <w:style w:type="paragraph" w:styleId="Suftur">
    <w:name w:val="footer"/>
    <w:basedOn w:val="Para"/>
    <w:link w:val="SufturStaf"/>
    <w:uiPriority w:val="99"/>
    <w:unhideWhenUsed/>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Pr>
      <w:rFonts w:ascii="Times New Roman" w:hAnsi="Times New Roman"/>
      <w:sz w:val="18"/>
      <w14:ligatures w14:val="standard"/>
    </w:rPr>
  </w:style>
  <w:style w:type="table" w:styleId="Hnitanettflu">
    <w:name w:val="Table Grid"/>
    <w:basedOn w:val="Tafla-venjule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Venjulegur"/>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Venjulegur"/>
    <w:next w:val="Venjulegur"/>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Textineanmlsgreinar">
    <w:name w:val="footnote text"/>
    <w:basedOn w:val="ParaSmall"/>
    <w:link w:val="TextineanmlsgreinarStaf"/>
    <w:uiPriority w:val="99"/>
    <w:semiHidden/>
    <w:unhideWhenUsed/>
    <w:pPr>
      <w:spacing w:after="0"/>
      <w:ind w:left="300" w:hanging="300"/>
    </w:pPr>
    <w:rPr>
      <w:szCs w:val="20"/>
    </w:rPr>
  </w:style>
  <w:style w:type="character" w:customStyle="1" w:styleId="TextineanmlsgreinarStaf">
    <w:name w:val="Texti neðanmálsgreinar Staf"/>
    <w:basedOn w:val="Sjlfgefinleturgermlsgreinar"/>
    <w:link w:val="Textineanmlsgreinar"/>
    <w:uiPriority w:val="99"/>
    <w:semiHidden/>
    <w:rPr>
      <w:rFonts w:ascii="Times New Roman" w:hAnsi="Times New Roman"/>
      <w:sz w:val="16"/>
      <w:szCs w:val="20"/>
      <w14:ligatures w14:val="standard"/>
    </w:rPr>
  </w:style>
  <w:style w:type="character" w:styleId="Tilvsunneanmlsgrein">
    <w:name w:val="footnote reference"/>
    <w:basedOn w:val="Sjlfgefinleturgermlsgreinar"/>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Textineanmlsgreinar"/>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6"/>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8"/>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6"/>
    </w:rPr>
  </w:style>
  <w:style w:type="paragraph" w:customStyle="1" w:styleId="NormalSmall">
    <w:name w:val="NormalSmall"/>
    <w:basedOn w:val="Venjulegur"/>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Tengill">
    <w:name w:val="Hyperlink"/>
    <w:basedOn w:val="Sjlfgefinleturgermlsgreinar"/>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Tilvsunathugasemd">
    <w:name w:val="annotation reference"/>
    <w:basedOn w:val="Sjlfgefinleturgermlsgreinar"/>
    <w:uiPriority w:val="99"/>
    <w:semiHidden/>
    <w:unhideWhenUsed/>
    <w:rPr>
      <w:sz w:val="16"/>
      <w:szCs w:val="16"/>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Pr>
      <w:b/>
      <w:bCs/>
    </w:rPr>
  </w:style>
  <w:style w:type="character" w:customStyle="1" w:styleId="EfniathugasemdarStaf">
    <w:name w:val="Efni athugasemdar Staf"/>
    <w:basedOn w:val="TextiathugasemdarStaf"/>
    <w:link w:val="Efniathugasemdar"/>
    <w:uiPriority w:val="99"/>
    <w:semiHidden/>
    <w:rPr>
      <w:rFonts w:ascii="Times New Roman" w:hAnsi="Times New Roman"/>
      <w:b/>
      <w:bCs/>
      <w:sz w:val="20"/>
      <w:szCs w:val="20"/>
    </w:rPr>
  </w:style>
  <w:style w:type="paragraph" w:styleId="Endurskoun">
    <w:name w:val="Revision"/>
    <w:hidden/>
    <w:uiPriority w:val="99"/>
    <w:semiHidden/>
    <w:pPr>
      <w:spacing w:after="0" w:line="240" w:lineRule="auto"/>
    </w:pPr>
    <w:rPr>
      <w:rFonts w:ascii="Times New Roman" w:hAnsi="Times New Roman"/>
      <w:sz w:val="18"/>
    </w:rPr>
  </w:style>
  <w:style w:type="paragraph" w:styleId="Blrutexti">
    <w:name w:val="Balloon Text"/>
    <w:basedOn w:val="Venjulegur"/>
    <w:link w:val="BlrutextiStaf"/>
    <w:uiPriority w:val="99"/>
    <w:semiHidden/>
    <w:unhideWhenUsed/>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fla-venjuleg"/>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300" w:hanging="30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rPr>
      <w:sz w:val="16"/>
    </w:rPr>
  </w:style>
  <w:style w:type="paragraph" w:customStyle="1" w:styleId="AnnexTableGrAnnotations">
    <w:name w:val="AnnexTableGrAnnotations"/>
    <w:basedOn w:val="AnnexTableGrNotes"/>
    <w:qFormat/>
    <w:pPr>
      <w:ind w:left="0" w:firstLine="0"/>
    </w:p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Tilvitnun">
    <w:name w:val="Quote"/>
    <w:basedOn w:val="Para"/>
    <w:next w:val="Para"/>
    <w:link w:val="TilvitnunStaf"/>
    <w:uiPriority w:val="29"/>
    <w:qFormat/>
    <w:rPr>
      <w:i/>
      <w:iCs/>
      <w:color w:val="000000" w:themeColor="text1"/>
    </w:rPr>
  </w:style>
  <w:style w:type="character" w:customStyle="1" w:styleId="TilvitnunStaf">
    <w:name w:val="Tilvitnun Staf"/>
    <w:basedOn w:val="Sjlfgefinleturgermlsgreinar"/>
    <w:link w:val="Tilvitnun"/>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Suhaus"/>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NotaurTengill">
    <w:name w:val="FollowedHyperlink"/>
    <w:basedOn w:val="Sjlfgefinleturgermlsgreinar"/>
    <w:uiPriority w:val="99"/>
    <w:semiHidden/>
    <w:unhideWhenUsed/>
    <w:rPr>
      <w:color w:val="0000FF"/>
      <w:u w:val="none"/>
    </w:rPr>
  </w:style>
  <w:style w:type="character" w:customStyle="1" w:styleId="Footnote8pt">
    <w:name w:val="Footnote8pt"/>
    <w:basedOn w:val="Sjlfgefinleturgermlsgreinar"/>
    <w:uiPriority w:val="1"/>
    <w:qFormat/>
    <w:rPr>
      <w:rFonts w:ascii="Times New Roman" w:hAnsi="Times New Roman"/>
      <w:color w:val="auto"/>
      <w:sz w:val="16"/>
      <w:lang w:val="is-IS"/>
    </w:rPr>
  </w:style>
  <w:style w:type="character" w:customStyle="1" w:styleId="Footnote7pt">
    <w:name w:val="Footnote7pt"/>
    <w:basedOn w:val="Sjlfgefinleturgermlsgreinar"/>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7B37-49AB-4645-AA1D-4AD3A0E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520</Pages>
  <Words>135878</Words>
  <Characters>774505</Characters>
  <Application>Microsoft Office Word</Application>
  <DocSecurity>4</DocSecurity>
  <Lines>6454</Lines>
  <Paragraphs>1817</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908566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EFTA</dc:creator>
  <cp:lastModifiedBy>Benedikt Hallgrímsson</cp:lastModifiedBy>
  <cp:revision>2</cp:revision>
  <cp:lastPrinted>2017-02-23T13:37:00Z</cp:lastPrinted>
  <dcterms:created xsi:type="dcterms:W3CDTF">2022-09-09T15:57:00Z</dcterms:created>
  <dcterms:modified xsi:type="dcterms:W3CDTF">2022-09-09T15:57:00Z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