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42D0EE66" w:rsidR="00E71F27" w:rsidRDefault="00E71F27" w:rsidP="00E71F27">
      <w:pPr>
        <w:pStyle w:val="Nmeringsskjalsmls"/>
      </w:pPr>
      <w:bookmarkStart w:id="0" w:name="_Toc303616026"/>
      <w:bookmarkStart w:id="1" w:name="_Toc303616027"/>
      <w:r>
        <w:t>1</w:t>
      </w:r>
      <w:r w:rsidR="00301215">
        <w:t>5</w:t>
      </w:r>
      <w:r w:rsidR="000D4B5A">
        <w:t>1</w:t>
      </w:r>
      <w:r>
        <w:t>. löggjafarþing 20</w:t>
      </w:r>
      <w:bookmarkEnd w:id="0"/>
      <w:r w:rsidR="000D4B5A">
        <w:t>20</w:t>
      </w:r>
      <w:r>
        <w:t>–20</w:t>
      </w:r>
      <w:r w:rsidR="00301215">
        <w:t>2</w:t>
      </w:r>
      <w:r w:rsidR="000D4B5A">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7379F0B5" w:rsidR="00E71F27" w:rsidRPr="002675EE" w:rsidRDefault="00E71F27" w:rsidP="002675EE">
      <w:pPr>
        <w:pStyle w:val="Fyrirsgn-undirfyrirsgn"/>
      </w:pPr>
      <w:r w:rsidRPr="002675EE">
        <w:t xml:space="preserve">um </w:t>
      </w:r>
      <w:r w:rsidR="000D4B5A">
        <w:t xml:space="preserve">breytingu á lögum um </w:t>
      </w:r>
      <w:r w:rsidR="000D4B5A" w:rsidRPr="000D4B5A">
        <w:t>afleiðuviðskipti, miðlæga mótaðila og afleiðuviðskiptaskrár</w:t>
      </w:r>
      <w:r w:rsidR="000D4B5A">
        <w:t xml:space="preserve"> (dregið úr reglubyrði)</w:t>
      </w:r>
    </w:p>
    <w:p w14:paraId="1A2DC9F1" w14:textId="77777777" w:rsidR="005D5AEE" w:rsidRPr="005D5AEE" w:rsidRDefault="005D5AEE" w:rsidP="005D5AEE"/>
    <w:p w14:paraId="69A8EA8E" w14:textId="1136BFBA" w:rsidR="00E71F27" w:rsidRDefault="00E71F27" w:rsidP="00E71F27">
      <w:pPr>
        <w:pStyle w:val="Frrherra"/>
      </w:pPr>
      <w:r>
        <w:t>Frá</w:t>
      </w:r>
      <w:r w:rsidR="000D4B5A">
        <w:t xml:space="preserve"> fjármála- og efnahags</w:t>
      </w:r>
      <w:r>
        <w:t xml:space="preserve">ráðherra. </w:t>
      </w:r>
    </w:p>
    <w:p w14:paraId="103B38C8" w14:textId="77777777" w:rsidR="00E71F27" w:rsidRPr="005B08E3" w:rsidRDefault="00E71F27" w:rsidP="00E71F27"/>
    <w:p w14:paraId="690CD9D9" w14:textId="77777777" w:rsidR="00C35574" w:rsidRDefault="00C35574" w:rsidP="00943B67">
      <w:pPr>
        <w:pStyle w:val="Greinarnmer"/>
      </w:pPr>
      <w:r>
        <w:t>1. gr.</w:t>
      </w:r>
    </w:p>
    <w:p w14:paraId="181CF9EA" w14:textId="41667670" w:rsidR="00C35574" w:rsidRDefault="00170974" w:rsidP="00943B67">
      <w:r>
        <w:t>2. gr. laganna orðast svo:</w:t>
      </w:r>
    </w:p>
    <w:p w14:paraId="52A70AF5" w14:textId="182BCAC3" w:rsidR="00170974" w:rsidRDefault="00170974" w:rsidP="00170974">
      <w:r w:rsidRPr="005537D9">
        <w:t xml:space="preserve">Ákvæði reglugerðar Evrópuþingsins og ráðsins (ESB) nr. </w:t>
      </w:r>
      <w:r w:rsidRPr="00170974">
        <w:t>648/2012 um OTC-afleiður, miðlæga mótaðila og afleiðuviðskiptaskrár</w:t>
      </w:r>
      <w:bookmarkStart w:id="2" w:name="_Hlk52891864"/>
      <w:r w:rsidRPr="005537D9">
        <w:t xml:space="preserve">, sem er birt í EES-viðbæti við Stjórnartíðindi Evrópusambandsins </w:t>
      </w:r>
      <w:r w:rsidRPr="00170974">
        <w:t>nr. 17 frá 16. mars 2017, bls. 412–470</w:t>
      </w:r>
      <w:r w:rsidRPr="005537D9">
        <w:t>, skulu hafa lagagildi hér á landi með þeim aðlögunum sem leiðir af ákvörðun sameiginlegu EES-nefndarinnar nr. 2</w:t>
      </w:r>
      <w:r>
        <w:t>06</w:t>
      </w:r>
      <w:r w:rsidRPr="005537D9">
        <w:t>/201</w:t>
      </w:r>
      <w:r>
        <w:t>6</w:t>
      </w:r>
      <w:r w:rsidRPr="005537D9">
        <w:t xml:space="preserve">, frá </w:t>
      </w:r>
      <w:r>
        <w:t>30</w:t>
      </w:r>
      <w:r w:rsidRPr="005537D9">
        <w:t xml:space="preserve">. </w:t>
      </w:r>
      <w:r>
        <w:t>september</w:t>
      </w:r>
      <w:r w:rsidRPr="005537D9">
        <w:t xml:space="preserve"> 201</w:t>
      </w:r>
      <w:r>
        <w:t>6</w:t>
      </w:r>
      <w:r w:rsidRPr="005537D9">
        <w:t xml:space="preserve">, sem er birt í EES-viðbæti við Stjórnartíðindi Evrópusambandsins nr. </w:t>
      </w:r>
      <w:r>
        <w:t>13</w:t>
      </w:r>
      <w:r w:rsidRPr="005537D9">
        <w:t xml:space="preserve"> frá </w:t>
      </w:r>
      <w:r>
        <w:t>23. febrúar</w:t>
      </w:r>
      <w:r w:rsidRPr="005537D9">
        <w:t xml:space="preserve">, bls. </w:t>
      </w:r>
      <w:r>
        <w:t>67-71</w:t>
      </w:r>
      <w:r w:rsidRPr="005537D9">
        <w:t xml:space="preserve">, </w:t>
      </w:r>
      <w:bookmarkEnd w:id="2"/>
      <w:r w:rsidRPr="005537D9">
        <w:t>sbr. einnig bókun 1 um altæka aðlögun við samninginn um Evrópska efnahagssvæðið, sbr. lög um Evrópska efnahagssvæðið, nr. 2/1993, þar sem bókunin er lögfest</w:t>
      </w:r>
      <w:r>
        <w:t>, með breytingum samkvæmt:</w:t>
      </w:r>
    </w:p>
    <w:p w14:paraId="2835A883" w14:textId="63831D00" w:rsidR="001730B2" w:rsidRDefault="001730B2" w:rsidP="001730B2">
      <w:pPr>
        <w:pStyle w:val="ListParagraph"/>
        <w:numPr>
          <w:ilvl w:val="0"/>
          <w:numId w:val="18"/>
        </w:numPr>
      </w:pPr>
      <w:r>
        <w:t xml:space="preserve">520. gr. </w:t>
      </w:r>
      <w:r w:rsidRPr="00170974">
        <w:t>reglugerð</w:t>
      </w:r>
      <w:r>
        <w:t>ar</w:t>
      </w:r>
      <w:r w:rsidRPr="00170974">
        <w:t xml:space="preserve"> Evrópuþingsins og ráðsins (ESB) nr. 575/2013 frá 26. júní 2013 </w:t>
      </w:r>
      <w:r>
        <w:t>um varfærniskröfur að því er varðar lánastofnanir og verðbréfafyrirtæki og um breytingu á reglugerð (ESB) nr. 648/2012</w:t>
      </w:r>
      <w:r w:rsidRPr="001730B2">
        <w:t xml:space="preserve">, sem er birt í EES-viðbæti við Stjórnartíðindi Evrópusambandsins nr. </w:t>
      </w:r>
      <w:r>
        <w:t>12</w:t>
      </w:r>
      <w:r w:rsidRPr="001730B2">
        <w:t xml:space="preserve"> frá </w:t>
      </w:r>
      <w:r>
        <w:t>27. febrúar 2020</w:t>
      </w:r>
      <w:r w:rsidRPr="001730B2">
        <w:t>, bls.</w:t>
      </w:r>
      <w:r w:rsidR="00EA31EF">
        <w:t xml:space="preserve"> </w:t>
      </w:r>
      <w:r>
        <w:t>1-337</w:t>
      </w:r>
      <w:r w:rsidR="00BB2C74">
        <w:t>.</w:t>
      </w:r>
    </w:p>
    <w:p w14:paraId="630E6671" w14:textId="58E3F388" w:rsidR="00170974" w:rsidRDefault="00170974" w:rsidP="00170974">
      <w:pPr>
        <w:pStyle w:val="ListParagraph"/>
        <w:numPr>
          <w:ilvl w:val="0"/>
          <w:numId w:val="18"/>
        </w:numPr>
      </w:pPr>
      <w:r w:rsidRPr="00170974">
        <w:t>126. gr. tilskipunar Evrópuþingsins og ráðsins 2014/59/ESB frá 15. maí 2014 sem kemur á ramma um endurreisn og skilameðferð lánastofnana og verðbréfafyrirtækja og breytingu á tilskipun ráðsins 82/891/EBE og tilskipunum 2001/24/EB, 2002/47/EB, 2004/25/EB, 2005/56/EB, 2007/36/EB, 2011/35/ESB, 2012/30/ESB og 2013/36/ESB og reglugerðum Evrópuþingsins og ráðsins (ESB) nr. 1093/2010 og (ESB) nr. 648/2012, sem er birt í EES-viðbæti við Stjórnartíðindi Evrópusambandsins nr. 25 frá 19. apríl 2018, bls. 4–162</w:t>
      </w:r>
      <w:r>
        <w:t>.</w:t>
      </w:r>
    </w:p>
    <w:p w14:paraId="62FAB886" w14:textId="6D8A4CB5" w:rsidR="000E01C2" w:rsidRDefault="000E01C2" w:rsidP="009E1E1C">
      <w:pPr>
        <w:pStyle w:val="ListParagraph"/>
        <w:numPr>
          <w:ilvl w:val="0"/>
          <w:numId w:val="18"/>
        </w:numPr>
      </w:pPr>
      <w:r>
        <w:t xml:space="preserve">53. gr. reglugerðar Evrópuþingsins og ráðsins (ESB) nr. 600/2014 frá 15. maí 2014 </w:t>
      </w:r>
      <w:r w:rsidRPr="000E01C2">
        <w:t xml:space="preserve">um markaði fyrir </w:t>
      </w:r>
      <w:proofErr w:type="spellStart"/>
      <w:r w:rsidRPr="000E01C2">
        <w:t>fjármálagerninga</w:t>
      </w:r>
      <w:proofErr w:type="spellEnd"/>
      <w:r w:rsidRPr="000E01C2">
        <w:t xml:space="preserve"> og um breytingu á reglugerð (ESB) nr. 648/2012</w:t>
      </w:r>
      <w:r w:rsidR="001730B2">
        <w:t>,</w:t>
      </w:r>
      <w:r w:rsidR="001730B2" w:rsidRPr="001730B2">
        <w:t xml:space="preserve"> sem er birt í EES-viðbæti við Stjórnartíðindi Evrópusambandsins nr. </w:t>
      </w:r>
      <w:r w:rsidR="00BB2C74">
        <w:t>20</w:t>
      </w:r>
      <w:r w:rsidR="001730B2" w:rsidRPr="001730B2">
        <w:t xml:space="preserve"> frá </w:t>
      </w:r>
      <w:r w:rsidR="00BB2C74">
        <w:t>26. mars 2020</w:t>
      </w:r>
      <w:r w:rsidR="001730B2" w:rsidRPr="001730B2">
        <w:t>, bls.</w:t>
      </w:r>
      <w:r w:rsidR="00BB2C74">
        <w:t xml:space="preserve"> 1-65.</w:t>
      </w:r>
    </w:p>
    <w:p w14:paraId="5ADA97DA" w14:textId="7D017330" w:rsidR="000E01C2" w:rsidRDefault="001730B2" w:rsidP="009E1E1C">
      <w:pPr>
        <w:pStyle w:val="ListParagraph"/>
        <w:numPr>
          <w:ilvl w:val="0"/>
          <w:numId w:val="18"/>
        </w:numPr>
      </w:pPr>
      <w:r>
        <w:t>63. gr. t</w:t>
      </w:r>
      <w:r w:rsidR="000E01C2" w:rsidRPr="000E01C2">
        <w:t>ilskipun</w:t>
      </w:r>
      <w:r>
        <w:t>ar</w:t>
      </w:r>
      <w:r w:rsidR="000E01C2" w:rsidRPr="000E01C2">
        <w:t xml:space="preserve"> Evrópuþingsins og ráðsins (ESB) 2015/849 frá 20. maí 2015 um ráðstafanir gegn því að fjármálakerfið sé notað til peningaþvættis eða til fjármögnunar hryðjuverka, um breytingu á reglugerð Evrópuþingsins og ráðsins ESB nr. 648/2012, og um niðurfellingu á tilskipun Evrópuþingsins 2005/60/EB og tilskipun ráðsins og framkvæmdastjórnarinnar 2006/70/EB</w:t>
      </w:r>
      <w:r>
        <w:t>,</w:t>
      </w:r>
      <w:r w:rsidRPr="001730B2">
        <w:t xml:space="preserve"> sem er birt í EES-viðbæti við Stjórnartíðindi Evrópusambandsins nr. </w:t>
      </w:r>
      <w:r w:rsidR="00BB2C74">
        <w:t>50</w:t>
      </w:r>
      <w:r w:rsidRPr="001730B2">
        <w:t xml:space="preserve"> frá </w:t>
      </w:r>
      <w:r w:rsidR="00BB2C74">
        <w:t>23. júlí 2020</w:t>
      </w:r>
      <w:r w:rsidRPr="001730B2">
        <w:t>, bls.</w:t>
      </w:r>
      <w:r w:rsidR="00BB2C74">
        <w:t xml:space="preserve"> 205-249.</w:t>
      </w:r>
    </w:p>
    <w:p w14:paraId="14D9376B" w14:textId="1ADC9C89" w:rsidR="001730B2" w:rsidRDefault="001730B2" w:rsidP="009E1E1C">
      <w:pPr>
        <w:pStyle w:val="ListParagraph"/>
        <w:numPr>
          <w:ilvl w:val="0"/>
          <w:numId w:val="18"/>
        </w:numPr>
      </w:pPr>
      <w:r>
        <w:t xml:space="preserve">Reglugerð Evrópuþingsins og ráðsins (ESB) 2019/834 frá 20. maí 2019 </w:t>
      </w:r>
      <w:r w:rsidRPr="001730B2">
        <w:t xml:space="preserve">um breytingu á reglugerð (ESB) nr. 648/2012 að því er varðar stöðustofnunarskyldu, </w:t>
      </w:r>
      <w:r w:rsidRPr="001730B2">
        <w:lastRenderedPageBreak/>
        <w:t xml:space="preserve">frestun á stöðustofnunarskyldu, kröfur um skýrslugjöf, aðferðir til </w:t>
      </w:r>
      <w:proofErr w:type="spellStart"/>
      <w:r w:rsidRPr="001730B2">
        <w:t>mildunar</w:t>
      </w:r>
      <w:proofErr w:type="spellEnd"/>
      <w:r w:rsidRPr="001730B2">
        <w:t xml:space="preserve"> áhættu fyrir OTC-afleiðusamninga sem miðlægur mótaðili stöðustofnar ekki, skráningu og eftirlit með afleiðuviðskiptaskrám og kröfurnar fyrir afleiðuviðskiptaskrár</w:t>
      </w:r>
      <w:r>
        <w:t>,</w:t>
      </w:r>
      <w:r w:rsidRPr="001730B2">
        <w:t xml:space="preserve"> sem er birt í EES-viðbæti við Stjórnartíðindi Evrópusambandsins nr. [</w:t>
      </w:r>
      <w:r w:rsidRPr="00BB2C74">
        <w:rPr>
          <w:highlight w:val="yellow"/>
        </w:rPr>
        <w:t>x</w:t>
      </w:r>
      <w:r w:rsidRPr="001730B2">
        <w:t>] frá [</w:t>
      </w:r>
      <w:r w:rsidRPr="00BB2C74">
        <w:rPr>
          <w:highlight w:val="yellow"/>
        </w:rPr>
        <w:t>x</w:t>
      </w:r>
      <w:r w:rsidRPr="001730B2">
        <w:t>], bls.[</w:t>
      </w:r>
      <w:r w:rsidRPr="00BB2C74">
        <w:rPr>
          <w:highlight w:val="yellow"/>
        </w:rPr>
        <w:t>x</w:t>
      </w:r>
      <w:r w:rsidRPr="001730B2">
        <w:t>], með þeim aðlögunum sem leiðir af ákvörðun sameiginlegu EES-nefndarinnar nr. [</w:t>
      </w:r>
      <w:r w:rsidRPr="00BB2C74">
        <w:rPr>
          <w:highlight w:val="yellow"/>
        </w:rPr>
        <w:t>x</w:t>
      </w:r>
      <w:r w:rsidRPr="001730B2">
        <w:t>], frá [</w:t>
      </w:r>
      <w:r w:rsidRPr="00BB2C74">
        <w:rPr>
          <w:highlight w:val="yellow"/>
        </w:rPr>
        <w:t>x</w:t>
      </w:r>
      <w:r w:rsidRPr="001730B2">
        <w:t>], sem er birt í EES-viðbæti við Stjórnartíðindi Evrópusambandsins nr. [</w:t>
      </w:r>
      <w:r w:rsidRPr="00BB2C74">
        <w:rPr>
          <w:highlight w:val="yellow"/>
        </w:rPr>
        <w:t>x</w:t>
      </w:r>
      <w:r w:rsidRPr="001730B2">
        <w:t>] frá [</w:t>
      </w:r>
      <w:r w:rsidRPr="00BB2C74">
        <w:rPr>
          <w:highlight w:val="yellow"/>
        </w:rPr>
        <w:t>x</w:t>
      </w:r>
      <w:r w:rsidRPr="001730B2">
        <w:t>], bls. [</w:t>
      </w:r>
      <w:r w:rsidRPr="00BB2C74">
        <w:rPr>
          <w:highlight w:val="yellow"/>
        </w:rPr>
        <w:t>x</w:t>
      </w:r>
      <w:r w:rsidRPr="001730B2">
        <w:t>].</w:t>
      </w:r>
    </w:p>
    <w:p w14:paraId="2858BB85" w14:textId="2573D5CB" w:rsidR="00E24177" w:rsidRDefault="00E24177" w:rsidP="00943B67"/>
    <w:p w14:paraId="6F885759" w14:textId="7C84EB8E" w:rsidR="00F72C8A" w:rsidRDefault="00F72C8A" w:rsidP="00F72C8A">
      <w:pPr>
        <w:pStyle w:val="Greinarnmer"/>
      </w:pPr>
      <w:r>
        <w:t>2. gr.</w:t>
      </w:r>
    </w:p>
    <w:p w14:paraId="50B9492F" w14:textId="33849F95" w:rsidR="002C28C0" w:rsidRDefault="002C28C0" w:rsidP="00943B67">
      <w:r>
        <w:t>Eftirfarandi breytingar verða á 3. gr. laganna:</w:t>
      </w:r>
    </w:p>
    <w:p w14:paraId="74D5A298" w14:textId="1C6F8959" w:rsidR="002C28C0" w:rsidRDefault="002C28C0" w:rsidP="002C28C0">
      <w:pPr>
        <w:pStyle w:val="ListParagraph"/>
        <w:numPr>
          <w:ilvl w:val="0"/>
          <w:numId w:val="21"/>
        </w:numPr>
      </w:pPr>
      <w:r>
        <w:t>Orðið ,,Fjármálaeftirlitsins“ í 2. mgr. fellur brott.</w:t>
      </w:r>
    </w:p>
    <w:p w14:paraId="4C8F6713" w14:textId="28492935" w:rsidR="002C28C0" w:rsidRDefault="002C28C0" w:rsidP="002C28C0">
      <w:pPr>
        <w:pStyle w:val="ListParagraph"/>
        <w:numPr>
          <w:ilvl w:val="0"/>
          <w:numId w:val="21"/>
        </w:numPr>
      </w:pPr>
      <w:r>
        <w:t xml:space="preserve">Í stað orðanna ,,og Seðlabanki Íslands </w:t>
      </w:r>
      <w:r w:rsidRPr="002C28C0">
        <w:t xml:space="preserve">teljast </w:t>
      </w:r>
      <w:proofErr w:type="spellStart"/>
      <w:r w:rsidRPr="002C28C0">
        <w:t>lögbær</w:t>
      </w:r>
      <w:proofErr w:type="spellEnd"/>
      <w:r w:rsidRPr="002C28C0">
        <w:t xml:space="preserve"> stjórnvöl</w:t>
      </w:r>
      <w:r>
        <w:t xml:space="preserve">d“ í 3. mgr. kemur: telst </w:t>
      </w:r>
      <w:proofErr w:type="spellStart"/>
      <w:r>
        <w:t>lögbært</w:t>
      </w:r>
      <w:proofErr w:type="spellEnd"/>
      <w:r>
        <w:t xml:space="preserve"> yfirvald.</w:t>
      </w:r>
    </w:p>
    <w:p w14:paraId="19BE8F80" w14:textId="5DBA1A8F" w:rsidR="002C28C0" w:rsidRDefault="002C28C0" w:rsidP="002C28C0"/>
    <w:p w14:paraId="6ECA0AF2" w14:textId="64138CAF" w:rsidR="002C28C0" w:rsidRDefault="002C28C0" w:rsidP="002C28C0">
      <w:pPr>
        <w:pStyle w:val="Greinarnmer"/>
      </w:pPr>
      <w:r>
        <w:t>3. gr.</w:t>
      </w:r>
    </w:p>
    <w:p w14:paraId="274931FA" w14:textId="38154CF3" w:rsidR="002C28C0" w:rsidRDefault="002C28C0" w:rsidP="00767D38">
      <w:r>
        <w:t>Á eftir orðunum „</w:t>
      </w:r>
      <w:r w:rsidR="00767D38">
        <w:t xml:space="preserve">laga þessara“ í 1. mgr. 5. gr. laganna kemur: </w:t>
      </w:r>
      <w:r w:rsidRPr="002C28C0">
        <w:t>ákvæðum laga um evrópskt eftirlitskerfi á fjármálamarkaði</w:t>
      </w:r>
    </w:p>
    <w:p w14:paraId="579FB872" w14:textId="77777777" w:rsidR="00F72C8A" w:rsidRDefault="00F72C8A" w:rsidP="00943B67"/>
    <w:p w14:paraId="464D3CE6" w14:textId="1D8E51A2" w:rsidR="006703BA" w:rsidRDefault="002C28C0" w:rsidP="006703BA">
      <w:pPr>
        <w:pStyle w:val="Greinarnmer"/>
      </w:pPr>
      <w:r>
        <w:t>4</w:t>
      </w:r>
      <w:r w:rsidR="006703BA">
        <w:t>. gr.</w:t>
      </w:r>
    </w:p>
    <w:p w14:paraId="2EC152D7" w14:textId="3D0DE406" w:rsidR="006703BA" w:rsidRDefault="006703BA" w:rsidP="00943B67">
      <w:r>
        <w:t>Orðin ,,</w:t>
      </w:r>
      <w:r w:rsidRPr="006703BA">
        <w:t>vegna brota gegn 4., 5. og 7.–11. gr. reglugerðar (ESB) nr. 648/2012</w:t>
      </w:r>
      <w:r>
        <w:t xml:space="preserve">“ í 1. mgr. 8. gr. laganna falla brott. </w:t>
      </w:r>
    </w:p>
    <w:p w14:paraId="562729B5" w14:textId="77777777" w:rsidR="006703BA" w:rsidRDefault="006703BA" w:rsidP="00943B67"/>
    <w:p w14:paraId="70FBC115" w14:textId="29E136AE" w:rsidR="00782DD6" w:rsidRDefault="002C28C0" w:rsidP="00782DD6">
      <w:pPr>
        <w:pStyle w:val="Greinarnmer"/>
      </w:pPr>
      <w:r>
        <w:t>5</w:t>
      </w:r>
      <w:r w:rsidR="00782DD6">
        <w:t>. gr.</w:t>
      </w:r>
    </w:p>
    <w:p w14:paraId="6965A80B" w14:textId="5BB32364" w:rsidR="00782DD6" w:rsidRDefault="00605FA3" w:rsidP="00782DD6">
      <w:r>
        <w:t xml:space="preserve">Við </w:t>
      </w:r>
      <w:r w:rsidR="00782DD6">
        <w:t>15. gr. laganna</w:t>
      </w:r>
      <w:r>
        <w:t xml:space="preserve"> bæt</w:t>
      </w:r>
      <w:r w:rsidR="00886102">
        <w:t>i</w:t>
      </w:r>
      <w:r>
        <w:t>st nýr töluliður, 13. liður, svohljóðandi:</w:t>
      </w:r>
    </w:p>
    <w:p w14:paraId="0B5AB290" w14:textId="1FFE31A2" w:rsidR="009818AC" w:rsidRDefault="009818AC" w:rsidP="00886102">
      <w:r>
        <w:t>1</w:t>
      </w:r>
      <w:r w:rsidR="00886102">
        <w:t xml:space="preserve">3. </w:t>
      </w:r>
      <w:r>
        <w:t>Almennar kröfur fyrir afleiðuviðskiptaskrár.</w:t>
      </w:r>
    </w:p>
    <w:p w14:paraId="353FE10B" w14:textId="77777777" w:rsidR="00714EAF" w:rsidRDefault="00714EAF" w:rsidP="00782DD6"/>
    <w:p w14:paraId="4891FD65" w14:textId="2F714AA3" w:rsidR="000D4B5A" w:rsidRDefault="002C28C0" w:rsidP="000D4B5A">
      <w:pPr>
        <w:pStyle w:val="Greinarnmer"/>
      </w:pPr>
      <w:r>
        <w:t>6</w:t>
      </w:r>
      <w:r w:rsidR="000D4B5A">
        <w:t>. gr.</w:t>
      </w:r>
    </w:p>
    <w:p w14:paraId="1478B5E2" w14:textId="7A7C9A0F" w:rsidR="00F253D1" w:rsidRDefault="00F253D1" w:rsidP="00943B67">
      <w:r>
        <w:t>Lög þessi öðlast þegar gildi.</w:t>
      </w:r>
    </w:p>
    <w:p w14:paraId="587CF8EB" w14:textId="3B057AF9" w:rsidR="00BB5AA6" w:rsidRDefault="00BB5AA6" w:rsidP="00782DD6">
      <w:pPr>
        <w:ind w:firstLine="0"/>
      </w:pPr>
    </w:p>
    <w:p w14:paraId="2AAC3B6F" w14:textId="044B2643" w:rsidR="00C35574" w:rsidRDefault="00C35574" w:rsidP="00943B67"/>
    <w:p w14:paraId="52078765" w14:textId="77777777" w:rsidR="00A964D7" w:rsidRDefault="00A964D7"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6E352395" w14:textId="56A2C869" w:rsidR="00D0740D" w:rsidRDefault="00A02D71" w:rsidP="00D0740D">
      <w:r>
        <w:t>Frumvarpið var samið í fjármála- og efnahagsráðuneytinu.</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4BCFDBD5" w14:textId="6D77999A" w:rsidR="00A02D71" w:rsidRDefault="004977B1" w:rsidP="00A02D71">
      <w:r>
        <w:t xml:space="preserve">Við </w:t>
      </w:r>
      <w:r w:rsidR="00A02D71">
        <w:t>mat framkvæmdastjórnar ESB á gæðum lagasetninga</w:t>
      </w:r>
      <w:r>
        <w:t>r</w:t>
      </w:r>
      <w:r w:rsidR="00A02D71">
        <w:t xml:space="preserve"> og </w:t>
      </w:r>
      <w:r>
        <w:t xml:space="preserve">mat á því </w:t>
      </w:r>
      <w:r w:rsidR="00A02D71">
        <w:t>hv</w:t>
      </w:r>
      <w:r>
        <w:t>ort</w:t>
      </w:r>
      <w:r w:rsidR="00A02D71">
        <w:t xml:space="preserve"> </w:t>
      </w:r>
      <w:r>
        <w:t>lög</w:t>
      </w:r>
      <w:r w:rsidR="00A02D71">
        <w:t xml:space="preserve"> </w:t>
      </w:r>
      <w:r>
        <w:t xml:space="preserve">hafa </w:t>
      </w:r>
      <w:r w:rsidR="00A02D71">
        <w:t>ná</w:t>
      </w:r>
      <w:r>
        <w:t>ð</w:t>
      </w:r>
      <w:r w:rsidR="00A02D71">
        <w:t xml:space="preserve"> markmiðum sínum </w:t>
      </w:r>
      <w:r>
        <w:t>á hún</w:t>
      </w:r>
      <w:r w:rsidR="00A02D71">
        <w:t xml:space="preserve"> </w:t>
      </w:r>
      <w:r w:rsidR="00BA5DFB">
        <w:t xml:space="preserve">samráð </w:t>
      </w:r>
      <w:r w:rsidR="00A02D71">
        <w:t xml:space="preserve">við </w:t>
      </w:r>
      <w:r>
        <w:t xml:space="preserve">bæði </w:t>
      </w:r>
      <w:r w:rsidR="009818AC">
        <w:t xml:space="preserve">haghafa </w:t>
      </w:r>
      <w:r w:rsidR="00A02D71">
        <w:t xml:space="preserve">og eftirlitsaðila. </w:t>
      </w:r>
      <w:r w:rsidR="00BA5DFB">
        <w:t xml:space="preserve">Niðurstaða </w:t>
      </w:r>
      <w:r w:rsidR="00A02D71">
        <w:t>þ</w:t>
      </w:r>
      <w:r>
        <w:t>annig</w:t>
      </w:r>
      <w:r w:rsidR="00A02D71">
        <w:t xml:space="preserve"> </w:t>
      </w:r>
      <w:r w:rsidR="00BA5DFB">
        <w:t xml:space="preserve">samráðs </w:t>
      </w:r>
      <w:r w:rsidR="00A02D71">
        <w:t xml:space="preserve">um reglugerð </w:t>
      </w:r>
      <w:r w:rsidR="00BA5DFB">
        <w:t>Evrópuþingsins og ráðsins (</w:t>
      </w:r>
      <w:r w:rsidR="00A02D71">
        <w:t>ESB</w:t>
      </w:r>
      <w:r w:rsidR="00BA5DFB">
        <w:t>)</w:t>
      </w:r>
      <w:r w:rsidR="00A02D71">
        <w:t xml:space="preserve"> 648/2012 um afleiðuviðskipti, miðlæga mótaðila og afleiðuviðskiptaskrár (EMIR) var </w:t>
      </w:r>
      <w:r w:rsidR="00BA5DFB">
        <w:t xml:space="preserve">m.a. </w:t>
      </w:r>
      <w:r w:rsidR="00A02D71">
        <w:t xml:space="preserve">að nauðsynlegt væri að draga úr </w:t>
      </w:r>
      <w:r w:rsidR="00BA5DFB">
        <w:t xml:space="preserve">ýmsum </w:t>
      </w:r>
      <w:r w:rsidR="00A02D71">
        <w:t>kröfum</w:t>
      </w:r>
      <w:r w:rsidR="00BA5DFB">
        <w:t xml:space="preserve"> reglugerðarinnar, aðallega þeim </w:t>
      </w:r>
      <w:r w:rsidR="00A02D71">
        <w:t xml:space="preserve">sem gerðar eru til ófjárhagslegra </w:t>
      </w:r>
      <w:r w:rsidR="00E24177">
        <w:t>mót</w:t>
      </w:r>
      <w:r w:rsidR="00A02D71">
        <w:t xml:space="preserve">aðila og smærri fjárhagslegra </w:t>
      </w:r>
      <w:r w:rsidR="00E24177">
        <w:t>mót</w:t>
      </w:r>
      <w:r w:rsidR="00A02D71">
        <w:t>aðila</w:t>
      </w:r>
      <w:r w:rsidR="00BA5DFB">
        <w:t>, og framkvæma aðrar breytingar til að bæta gæði þeirra upplýsinga sem safnað er um afleiðuviðskipti</w:t>
      </w:r>
      <w:r w:rsidR="00A02D71">
        <w:t>.</w:t>
      </w:r>
    </w:p>
    <w:p w14:paraId="0FD764B0" w14:textId="03F8BF3C" w:rsidR="00D0740D" w:rsidRDefault="00A02D71" w:rsidP="00A02D71">
      <w:r>
        <w:t xml:space="preserve">Reglugerð </w:t>
      </w:r>
      <w:r w:rsidR="00BA5DFB">
        <w:t>Evrópuþingsins og ráðsins (</w:t>
      </w:r>
      <w:r>
        <w:t>ESB</w:t>
      </w:r>
      <w:r w:rsidR="00BA5DFB">
        <w:t>)</w:t>
      </w:r>
      <w:r>
        <w:t xml:space="preserve"> 2019/834 </w:t>
      </w:r>
      <w:r w:rsidR="00BA5DFB" w:rsidRPr="00BA5DFB">
        <w:t xml:space="preserve">um breytingu á reglugerð (ESB) nr. 648/2012 að því er varðar stöðustofnunarskyldu, frestun á stöðustofnunarskyldu, kröfur um skýrslugjöf, aðferðir til </w:t>
      </w:r>
      <w:proofErr w:type="spellStart"/>
      <w:r w:rsidR="00BA5DFB" w:rsidRPr="00BA5DFB">
        <w:t>mildunar</w:t>
      </w:r>
      <w:proofErr w:type="spellEnd"/>
      <w:r w:rsidR="00BA5DFB" w:rsidRPr="00BA5DFB">
        <w:t xml:space="preserve"> áhættu fyrir OTC-afleiðusamninga sem miðlægur mótaðili </w:t>
      </w:r>
      <w:r w:rsidR="00BA5DFB" w:rsidRPr="00BA5DFB">
        <w:lastRenderedPageBreak/>
        <w:t>stöðustofnar ekki, skráningu og eftirlit með afleiðuviðskiptaskrám og kröfurnar fyrir afleiðuviðskiptaskrár</w:t>
      </w:r>
      <w:r w:rsidR="00BA5DFB">
        <w:t xml:space="preserve"> (EMIR </w:t>
      </w:r>
      <w:proofErr w:type="spellStart"/>
      <w:r w:rsidR="00BA5DFB">
        <w:t>Refit</w:t>
      </w:r>
      <w:proofErr w:type="spellEnd"/>
      <w:r w:rsidR="00BA5DFB">
        <w:t xml:space="preserve">) </w:t>
      </w:r>
      <w:r>
        <w:t xml:space="preserve">felur því í sér ýmsar breytingar á EMIR sem ætlað er að viðhalda því markmiði að tryggja gagnsæi um afleiðuviðskipti og valdheimildir eftirlitsaðila en skýra kröfur og í einhverjum tilvikum slaka á þeim til að einfalda afleiðuviðskipti, </w:t>
      </w:r>
      <w:r w:rsidR="003D2E79">
        <w:t xml:space="preserve">skýrslugjöf </w:t>
      </w:r>
      <w:r>
        <w:t>um afleiðuviðskipti og draga úr kostnaði.</w:t>
      </w:r>
    </w:p>
    <w:p w14:paraId="0C45EC37" w14:textId="3ED86646" w:rsidR="00A02D71" w:rsidRDefault="00A02D71" w:rsidP="00A02D71">
      <w:r w:rsidRPr="00A02D71">
        <w:t xml:space="preserve">EMIR var veitt lagagildi með lögum um afleiðuviðskipti, miðlæga mótaðila og afleiðuviðskiptaskrár, nr. 15/2018. Veita þarf EMIR </w:t>
      </w:r>
      <w:proofErr w:type="spellStart"/>
      <w:r w:rsidRPr="00A02D71">
        <w:t>Refit</w:t>
      </w:r>
      <w:proofErr w:type="spellEnd"/>
      <w:r w:rsidRPr="00A02D71">
        <w:t xml:space="preserve"> lagagildi með </w:t>
      </w:r>
      <w:r w:rsidR="004977B1">
        <w:t xml:space="preserve">breytingum á </w:t>
      </w:r>
      <w:r w:rsidRPr="00A02D71">
        <w:t xml:space="preserve">sömu lögum til að leiða í íslenskan rétt þær breytingar sem EMIR </w:t>
      </w:r>
      <w:proofErr w:type="spellStart"/>
      <w:r w:rsidRPr="00A02D71">
        <w:t>Refit</w:t>
      </w:r>
      <w:proofErr w:type="spellEnd"/>
      <w:r w:rsidRPr="00A02D71">
        <w:t xml:space="preserve"> gerir á EMIR.</w:t>
      </w:r>
    </w:p>
    <w:p w14:paraId="28FA017D" w14:textId="77777777" w:rsidR="00A02D71" w:rsidRDefault="00A02D71" w:rsidP="00A02D71"/>
    <w:p w14:paraId="553E7221" w14:textId="77777777" w:rsidR="00D0740D" w:rsidRDefault="00E71F27" w:rsidP="00D0740D">
      <w:pPr>
        <w:pStyle w:val="Millifyrirsgn1"/>
      </w:pPr>
      <w:r>
        <w:t>3</w:t>
      </w:r>
      <w:r w:rsidR="00D0740D">
        <w:t xml:space="preserve">. Meginefni frumvarpsins. </w:t>
      </w:r>
    </w:p>
    <w:p w14:paraId="5BD0BBA9" w14:textId="77777777" w:rsidR="00F253D1" w:rsidRDefault="00F253D1" w:rsidP="00F253D1">
      <w:r>
        <w:t xml:space="preserve">EMIR </w:t>
      </w:r>
      <w:proofErr w:type="spellStart"/>
      <w:r>
        <w:t>Refit</w:t>
      </w:r>
      <w:proofErr w:type="spellEnd"/>
      <w:r>
        <w:t xml:space="preserve"> breytir EMIR að eftirfarandi leyti:</w:t>
      </w:r>
    </w:p>
    <w:p w14:paraId="71BC16D6" w14:textId="6A386953" w:rsidR="00F253D1" w:rsidRDefault="00F253D1" w:rsidP="00AD0369">
      <w:pPr>
        <w:pStyle w:val="ListParagraph"/>
        <w:numPr>
          <w:ilvl w:val="0"/>
          <w:numId w:val="16"/>
        </w:numPr>
      </w:pPr>
      <w:r>
        <w:t xml:space="preserve">Skilgreiningunni á fjárhagslegum mótaðila er breytt hvað varðar </w:t>
      </w:r>
      <w:r w:rsidR="008C6EC3">
        <w:t>sérhæfð</w:t>
      </w:r>
      <w:r w:rsidR="00AD0369">
        <w:t>a</w:t>
      </w:r>
      <w:r w:rsidR="008C6EC3">
        <w:t xml:space="preserve"> sjóð</w:t>
      </w:r>
      <w:r w:rsidR="00AD0369">
        <w:t>i</w:t>
      </w:r>
      <w:r w:rsidR="008C6EC3">
        <w:t xml:space="preserve">, </w:t>
      </w:r>
      <w:r w:rsidR="00AD0369">
        <w:t>þ.e. í stað þess að teljast alltaf fjárhagslegur mótaðila þá munu þeir í sumum tilvikum falla utan skilgreiningarinnar og teljast ófjárhagslegur mótaðili. A</w:t>
      </w:r>
      <w:r w:rsidR="008C6EC3">
        <w:t>uk þess e</w:t>
      </w:r>
      <w:r w:rsidR="00AD0369">
        <w:t>r</w:t>
      </w:r>
      <w:r w:rsidR="008C6EC3">
        <w:t xml:space="preserve"> rekstrarfélögum verðbréfasjóða og </w:t>
      </w:r>
      <w:r w:rsidR="00F537AF">
        <w:t xml:space="preserve">verðbréfamiðstöðvum </w:t>
      </w:r>
      <w:r w:rsidR="008C6EC3">
        <w:t>bætt við upptalninguna á þeim aðilum sem falla undir skilgreininguna</w:t>
      </w:r>
      <w:r>
        <w:t>.</w:t>
      </w:r>
    </w:p>
    <w:p w14:paraId="3C553C02" w14:textId="567271E8" w:rsidR="00F253D1" w:rsidRDefault="008C6EC3" w:rsidP="00A02D71">
      <w:pPr>
        <w:pStyle w:val="ListParagraph"/>
        <w:numPr>
          <w:ilvl w:val="0"/>
          <w:numId w:val="16"/>
        </w:numPr>
      </w:pPr>
      <w:r>
        <w:t>Ákveðum þáttum ú</w:t>
      </w:r>
      <w:r w:rsidR="00F253D1">
        <w:t>treikning</w:t>
      </w:r>
      <w:r>
        <w:t>s</w:t>
      </w:r>
      <w:r w:rsidR="00F253D1">
        <w:t xml:space="preserve"> á viðmiðunarfjárhæðum og </w:t>
      </w:r>
      <w:r>
        <w:t xml:space="preserve">stöðustofnunarskyldunnar breytt </w:t>
      </w:r>
      <w:r w:rsidR="00F253D1">
        <w:t>hvað varðar ófjárhagslega mótaðila.</w:t>
      </w:r>
    </w:p>
    <w:p w14:paraId="2CEBD9EA" w14:textId="204C9299" w:rsidR="00F253D1" w:rsidRDefault="00F253D1" w:rsidP="00A02D71">
      <w:pPr>
        <w:pStyle w:val="ListParagraph"/>
        <w:numPr>
          <w:ilvl w:val="0"/>
          <w:numId w:val="16"/>
        </w:numPr>
      </w:pPr>
      <w:r>
        <w:t xml:space="preserve">Dagsetningum breytt </w:t>
      </w:r>
      <w:r w:rsidR="004977B1">
        <w:t>þ.e.</w:t>
      </w:r>
      <w:r>
        <w:t xml:space="preserve"> hvenær tilteknir aðilar eru skyldugir til að stöðustofna tiltekna afleiðusamninga.</w:t>
      </w:r>
    </w:p>
    <w:p w14:paraId="6F13C0E5" w14:textId="03825834" w:rsidR="00F253D1" w:rsidRDefault="005355E6" w:rsidP="00A02D71">
      <w:pPr>
        <w:pStyle w:val="ListParagraph"/>
        <w:numPr>
          <w:ilvl w:val="0"/>
          <w:numId w:val="16"/>
        </w:numPr>
      </w:pPr>
      <w:r>
        <w:t>T</w:t>
      </w:r>
      <w:r w:rsidR="00F253D1">
        <w:t xml:space="preserve">veggja ára </w:t>
      </w:r>
      <w:r>
        <w:t xml:space="preserve">fresturinn </w:t>
      </w:r>
      <w:r w:rsidR="00F253D1">
        <w:t>sem lífeyrissjóðir hafa til að stöðustofna tiltekna OTC- afleiðusamninga</w:t>
      </w:r>
      <w:r>
        <w:t xml:space="preserve"> er framlengdur</w:t>
      </w:r>
      <w:r w:rsidR="00F253D1">
        <w:t>. Framkvæmdastjórn ESB er auk þess veitt heimild til að framlengja frestinn tvisvar um eitt ár í senn.</w:t>
      </w:r>
    </w:p>
    <w:p w14:paraId="63DBF7B1" w14:textId="1AEAD38E" w:rsidR="00F253D1" w:rsidRDefault="005355E6" w:rsidP="00A02D71">
      <w:pPr>
        <w:pStyle w:val="ListParagraph"/>
        <w:numPr>
          <w:ilvl w:val="0"/>
          <w:numId w:val="16"/>
        </w:numPr>
      </w:pPr>
      <w:r>
        <w:t>Skýrslugjafarskyldunni</w:t>
      </w:r>
      <w:r w:rsidR="00F253D1">
        <w:t xml:space="preserve"> hvað varðar eldri samninga </w:t>
      </w:r>
      <w:r w:rsidR="00C311A9" w:rsidRPr="00C311A9">
        <w:t xml:space="preserve">(e. </w:t>
      </w:r>
      <w:proofErr w:type="spellStart"/>
      <w:r w:rsidR="00C311A9" w:rsidRPr="00C311A9">
        <w:t>backloading</w:t>
      </w:r>
      <w:proofErr w:type="spellEnd"/>
      <w:r w:rsidR="00C311A9" w:rsidRPr="00C311A9">
        <w:t xml:space="preserve"> </w:t>
      </w:r>
      <w:proofErr w:type="spellStart"/>
      <w:r w:rsidR="00C311A9" w:rsidRPr="00C311A9">
        <w:t>requirement</w:t>
      </w:r>
      <w:proofErr w:type="spellEnd"/>
      <w:r w:rsidR="00C311A9" w:rsidRPr="00C311A9">
        <w:t>)</w:t>
      </w:r>
      <w:r w:rsidR="00C311A9">
        <w:t xml:space="preserve"> afnumin </w:t>
      </w:r>
      <w:r w:rsidR="00F253D1">
        <w:t xml:space="preserve">og </w:t>
      </w:r>
      <w:r w:rsidR="00C311A9">
        <w:t xml:space="preserve">henni breytt hvað varðar </w:t>
      </w:r>
      <w:r w:rsidR="00F253D1">
        <w:t>samninga innan samstæðu.</w:t>
      </w:r>
    </w:p>
    <w:p w14:paraId="08BA2DBA" w14:textId="137BA85D" w:rsidR="00F253D1" w:rsidRDefault="005355E6" w:rsidP="00A02D71">
      <w:pPr>
        <w:pStyle w:val="ListParagraph"/>
        <w:numPr>
          <w:ilvl w:val="0"/>
          <w:numId w:val="16"/>
        </w:numPr>
      </w:pPr>
      <w:r>
        <w:t>Gert er skýrar</w:t>
      </w:r>
      <w:r w:rsidR="004977B1">
        <w:t>a</w:t>
      </w:r>
      <w:r>
        <w:t xml:space="preserve"> </w:t>
      </w:r>
      <w:r w:rsidR="00F253D1">
        <w:t xml:space="preserve">hver falli undir </w:t>
      </w:r>
      <w:r>
        <w:t>skýrslugjafars</w:t>
      </w:r>
      <w:r w:rsidR="00F253D1">
        <w:t xml:space="preserve">kylduna við tilteknar aðstæður, dregið er úr </w:t>
      </w:r>
      <w:r>
        <w:t xml:space="preserve">skýrslugjafarbyrði </w:t>
      </w:r>
      <w:r w:rsidR="00F253D1">
        <w:t>þeirra ófjárhagslegu mótaðila sem ná ekki viðmiðunarfjárhæðum stöðustofnunarskyldu</w:t>
      </w:r>
      <w:r w:rsidR="00AD5C95">
        <w:t xml:space="preserve"> (</w:t>
      </w:r>
      <w:r w:rsidR="00F537AF">
        <w:t xml:space="preserve">litlir fjárhagslegir mótaðilar, </w:t>
      </w:r>
      <w:r w:rsidR="00AD5C95">
        <w:t>FC-)</w:t>
      </w:r>
      <w:r w:rsidR="00F253D1">
        <w:t xml:space="preserve"> og </w:t>
      </w:r>
      <w:r>
        <w:t>l</w:t>
      </w:r>
      <w:r w:rsidR="004977B1">
        <w:t xml:space="preserve">ögð er </w:t>
      </w:r>
      <w:r>
        <w:t>skýrslugjafarskyld</w:t>
      </w:r>
      <w:r w:rsidR="004977B1">
        <w:t>a</w:t>
      </w:r>
      <w:r>
        <w:t xml:space="preserve"> </w:t>
      </w:r>
      <w:r w:rsidR="00F253D1">
        <w:t>á rekstrarfélög verðbréfasjóða (UCITS) og sérhæfðra sjóða (AIFMD) og rekstraraðila eftirlaunasjóða (IORPS).</w:t>
      </w:r>
    </w:p>
    <w:p w14:paraId="6978E5AD" w14:textId="09F6C018" w:rsidR="00F253D1" w:rsidRDefault="00F253D1" w:rsidP="00A02D71">
      <w:pPr>
        <w:pStyle w:val="ListParagraph"/>
        <w:numPr>
          <w:ilvl w:val="0"/>
          <w:numId w:val="16"/>
        </w:numPr>
      </w:pPr>
      <w:r>
        <w:t xml:space="preserve">Framkvæmdastjórn ESB er veitt heimild til að afnema </w:t>
      </w:r>
      <w:r w:rsidR="004977B1">
        <w:t xml:space="preserve">tímabundið </w:t>
      </w:r>
      <w:r>
        <w:t xml:space="preserve">(e. </w:t>
      </w:r>
      <w:proofErr w:type="spellStart"/>
      <w:r>
        <w:t>suspend</w:t>
      </w:r>
      <w:proofErr w:type="spellEnd"/>
      <w:r>
        <w:t>) stöðustofnunarskylduna.</w:t>
      </w:r>
    </w:p>
    <w:p w14:paraId="5E100506" w14:textId="5A34170F" w:rsidR="00F253D1" w:rsidRDefault="00F253D1" w:rsidP="00A02D71">
      <w:pPr>
        <w:pStyle w:val="ListParagraph"/>
        <w:numPr>
          <w:ilvl w:val="0"/>
          <w:numId w:val="16"/>
        </w:numPr>
      </w:pPr>
      <w:r>
        <w:t>Skylda</w:t>
      </w:r>
      <w:r w:rsidR="004977B1">
        <w:t xml:space="preserve"> er lögð á</w:t>
      </w:r>
      <w:r>
        <w:t xml:space="preserve"> miðlæga mótaðila til veita stöðustofnunaraðilum tól til að meta fjárhæð upphaflegrar tryggingar (e. margin) sem miðlægi mótaðilinn getur krafist við stöðustofnun nýrra viðskipta.</w:t>
      </w:r>
    </w:p>
    <w:p w14:paraId="279D9597" w14:textId="1EE30448" w:rsidR="00F253D1" w:rsidRDefault="00F253D1" w:rsidP="00A02D71">
      <w:pPr>
        <w:pStyle w:val="ListParagraph"/>
        <w:numPr>
          <w:ilvl w:val="0"/>
          <w:numId w:val="16"/>
        </w:numPr>
      </w:pPr>
      <w:r>
        <w:t>Gert er skýr</w:t>
      </w:r>
      <w:r w:rsidR="004977B1">
        <w:t>ara</w:t>
      </w:r>
      <w:r>
        <w:t xml:space="preserve"> að gjaldþrotalög aðildarríkja skuli ekki koma í veg fyrir að miðlægur mótaðili geti uppfyllt skyldur sínar samkvæmt EMIR. </w:t>
      </w:r>
      <w:r w:rsidR="004977B1">
        <w:t>M</w:t>
      </w:r>
      <w:r w:rsidR="000C0554" w:rsidRPr="000C0554">
        <w:t>iðlægu</w:t>
      </w:r>
      <w:r w:rsidR="000C0554">
        <w:t>m</w:t>
      </w:r>
      <w:r w:rsidR="000C0554" w:rsidRPr="000C0554">
        <w:t xml:space="preserve"> mótaðil</w:t>
      </w:r>
      <w:r w:rsidR="000C0554">
        <w:t>a ber</w:t>
      </w:r>
      <w:r w:rsidR="000C0554" w:rsidRPr="000C0554">
        <w:t xml:space="preserve"> </w:t>
      </w:r>
      <w:r w:rsidR="000C0554">
        <w:t xml:space="preserve">að </w:t>
      </w:r>
      <w:r w:rsidR="000C0554" w:rsidRPr="000C0554">
        <w:t xml:space="preserve">tryggja að eignir og stöður stöðustofnunaraðila séu aðgreindar og aðskildar, með reikningaskipan sem gerir það kleift. Þetta er gert svo hægt sé að færa eignir og stöður stöðustofnunaraðila sem verður fyrir greiðslufalli yfir á aðra stöðustofnunaraðila til þess að tryggja að starfsemi miðlæga mótaðilans verði fyrir sem minnstu höggi vegna áfallsins. Þegar stöður þess aðila sem er gjaldþrota eru færðar yfir á hina stöðustofnunaraðilana sem eru enn greiðslufærir (e. </w:t>
      </w:r>
      <w:proofErr w:type="spellStart"/>
      <w:r w:rsidR="000C0554" w:rsidRPr="000C0554">
        <w:t>solvent</w:t>
      </w:r>
      <w:proofErr w:type="spellEnd"/>
      <w:r w:rsidR="000C0554" w:rsidRPr="000C0554">
        <w:t>) þá smitast áhrif gjaldþrotsins síður út í kerfið með tilheyrandi keðjuverkun.</w:t>
      </w:r>
    </w:p>
    <w:p w14:paraId="63809699" w14:textId="0627F5FB" w:rsidR="00F253D1" w:rsidRDefault="00F253D1" w:rsidP="00A02D71">
      <w:pPr>
        <w:pStyle w:val="ListParagraph"/>
        <w:numPr>
          <w:ilvl w:val="0"/>
          <w:numId w:val="16"/>
        </w:numPr>
      </w:pPr>
      <w:r>
        <w:t>Evrópsku efti</w:t>
      </w:r>
      <w:r w:rsidR="00DE4B53">
        <w:t>r</w:t>
      </w:r>
      <w:r>
        <w:t>litsstofnunum á fjármálamarkaði (</w:t>
      </w:r>
      <w:proofErr w:type="spellStart"/>
      <w:r>
        <w:t>ESAs</w:t>
      </w:r>
      <w:proofErr w:type="spellEnd"/>
      <w:r>
        <w:t xml:space="preserve">) </w:t>
      </w:r>
      <w:r w:rsidR="00B65394">
        <w:t xml:space="preserve">er veitt </w:t>
      </w:r>
      <w:r>
        <w:t xml:space="preserve">heimild til að útbúa sameiginleg drög að tæknistöðlum sem tilgreina eftirlitsferla í tengslum við áhættustýringarferla (e. </w:t>
      </w:r>
      <w:proofErr w:type="spellStart"/>
      <w:r>
        <w:t>risk-management</w:t>
      </w:r>
      <w:proofErr w:type="spellEnd"/>
      <w:r>
        <w:t xml:space="preserve"> </w:t>
      </w:r>
      <w:proofErr w:type="spellStart"/>
      <w:r>
        <w:t>procedures</w:t>
      </w:r>
      <w:proofErr w:type="spellEnd"/>
      <w:r>
        <w:t>).</w:t>
      </w:r>
    </w:p>
    <w:p w14:paraId="41F560A2" w14:textId="1667DCBB" w:rsidR="000509A9" w:rsidRDefault="00B65394" w:rsidP="00A02D71">
      <w:pPr>
        <w:pStyle w:val="ListParagraph"/>
        <w:numPr>
          <w:ilvl w:val="0"/>
          <w:numId w:val="16"/>
        </w:numPr>
      </w:pPr>
      <w:r>
        <w:lastRenderedPageBreak/>
        <w:t>Lögð er sú s</w:t>
      </w:r>
      <w:r w:rsidR="00F253D1">
        <w:t xml:space="preserve">kylda </w:t>
      </w:r>
      <w:r>
        <w:t xml:space="preserve">á </w:t>
      </w:r>
      <w:r w:rsidR="00F253D1">
        <w:t>stöðustofnunaraðila og viðskiptavini sem veita stöðustofnunarþjónustu að veita þjónustu samkvæmt skilmálum sem eru sanngjarnir, skynsamlegir, gangsæir og án mismunar.</w:t>
      </w:r>
    </w:p>
    <w:p w14:paraId="571E5621" w14:textId="63DBE72B" w:rsidR="00F253D1" w:rsidRDefault="000509A9" w:rsidP="000509A9">
      <w:r>
        <w:t xml:space="preserve">Jafnframt eru lagðar til smávægilegar breytingar á efni laganna í 3.-5. gr. frumvarpsins til samræmis við aðra </w:t>
      </w:r>
      <w:r w:rsidR="00B135CD">
        <w:t xml:space="preserve">nýlega </w:t>
      </w:r>
      <w:r>
        <w:t>löggjöf á fjármálamarkaði.</w:t>
      </w:r>
    </w:p>
    <w:p w14:paraId="1EEA3CAA" w14:textId="77777777" w:rsidR="00F253D1" w:rsidRDefault="00F253D1" w:rsidP="00D0740D"/>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3EFC3A84" w:rsidR="00D0740D" w:rsidRDefault="00A02D71" w:rsidP="00D0740D">
      <w:r>
        <w:t>Frumvarpið felur í sér innleiðingu á Evrópugerð og kallar ekki á að samræmi við stjórnarskrá sé sérstaklega skoðað.</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56F5D649" w14:textId="10E6B8CA" w:rsidR="00D0740D" w:rsidRDefault="00A02D71" w:rsidP="00D0740D">
      <w:r>
        <w:t xml:space="preserve">Við vinnslu frumvarpsins var samráð haft við Seðlabanka Íslands. Frumvarpsdrög voru auk þess birt í samráðsgátt stjórnvalda á island.is í október 2020. </w:t>
      </w:r>
      <w:r w:rsidRPr="00A02D71">
        <w:rPr>
          <w:highlight w:val="yellow"/>
        </w:rPr>
        <w:t>[x athugasemdir bárust</w:t>
      </w:r>
      <w:r w:rsidR="00304D37" w:rsidRPr="00304D37">
        <w:rPr>
          <w:highlight w:val="yellow"/>
        </w:rPr>
        <w:t>…</w:t>
      </w:r>
      <w:r>
        <w:t>].</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3C362B58" w14:textId="3392A0DD" w:rsidR="00943713" w:rsidRDefault="00AD1AE9" w:rsidP="00943713">
      <w:r>
        <w:t>Frumvarpið felur í sér að l</w:t>
      </w:r>
      <w:r w:rsidR="00A02D71" w:rsidRPr="00A02D71">
        <w:t xml:space="preserve">étt er á ýmsum kröfum til ófjárhagslegra </w:t>
      </w:r>
      <w:r w:rsidR="009818AC">
        <w:t>mót</w:t>
      </w:r>
      <w:r w:rsidR="00A02D71" w:rsidRPr="00A02D71">
        <w:t xml:space="preserve">aðila og </w:t>
      </w:r>
      <w:r w:rsidR="00943713">
        <w:t>lítilla</w:t>
      </w:r>
      <w:r w:rsidR="00943713" w:rsidRPr="00A02D71">
        <w:t xml:space="preserve"> </w:t>
      </w:r>
      <w:r w:rsidR="00A02D71" w:rsidRPr="00A02D71">
        <w:t xml:space="preserve">fjárhagslegra </w:t>
      </w:r>
      <w:r w:rsidR="009818AC">
        <w:t>mót</w:t>
      </w:r>
      <w:r w:rsidR="00A02D71" w:rsidRPr="00A02D71">
        <w:t>aðila</w:t>
      </w:r>
      <w:r>
        <w:t xml:space="preserve"> (FC-)</w:t>
      </w:r>
      <w:r w:rsidR="005116B6">
        <w:t xml:space="preserve"> og </w:t>
      </w:r>
      <w:r w:rsidR="00A964D7">
        <w:t xml:space="preserve">aukið </w:t>
      </w:r>
      <w:r w:rsidR="003D2E79">
        <w:t xml:space="preserve">er </w:t>
      </w:r>
      <w:r w:rsidR="005116B6">
        <w:t>að einhverju leyti við skyldur stórra fjárhagslegra mótaðila (FC+)</w:t>
      </w:r>
      <w:r>
        <w:t>.</w:t>
      </w:r>
      <w:r w:rsidR="00A02D71" w:rsidRPr="00A02D71">
        <w:t xml:space="preserve"> </w:t>
      </w:r>
      <w:r>
        <w:t xml:space="preserve">Breytingarnar munu hafa áhrif á aðila hér á landi sem stunda afleiðuviðskipti, </w:t>
      </w:r>
      <w:r w:rsidR="005116B6">
        <w:t>en langflestir þeirra</w:t>
      </w:r>
      <w:r>
        <w:t xml:space="preserve"> teljast </w:t>
      </w:r>
      <w:r w:rsidR="003D2E79">
        <w:t xml:space="preserve">ófjárhagslegir mótaðilar eða </w:t>
      </w:r>
      <w:r w:rsidR="005116B6">
        <w:t xml:space="preserve">litlir </w:t>
      </w:r>
      <w:r>
        <w:t xml:space="preserve">fjárhagslegir mótaðilar. Sem dæmi má nefna að allir viðskiptabankarnir teljast í dag </w:t>
      </w:r>
      <w:r w:rsidR="00943713">
        <w:t xml:space="preserve">litlir </w:t>
      </w:r>
      <w:r>
        <w:t>fjárhagslegir mótaðilar.</w:t>
      </w:r>
    </w:p>
    <w:p w14:paraId="0BA3DDBF" w14:textId="298BAF87" w:rsidR="00AD1C6C" w:rsidRDefault="00AD1C6C" w:rsidP="005116B6">
      <w:r>
        <w:t xml:space="preserve">Sömu reglur munu gilda um stöðustofnunarskyldu </w:t>
      </w:r>
      <w:r w:rsidR="00A964D7">
        <w:t xml:space="preserve">lítilla </w:t>
      </w:r>
      <w:r>
        <w:t xml:space="preserve">fjárhagslegra mótaðila og ófjárhagslegra mótaðila, að því leyti að þeir verða </w:t>
      </w:r>
      <w:r w:rsidR="005116B6">
        <w:t xml:space="preserve">almennt ekki </w:t>
      </w:r>
      <w:r>
        <w:t xml:space="preserve">skyldaðir </w:t>
      </w:r>
      <w:r w:rsidR="005116B6">
        <w:t xml:space="preserve">til að stöðustofna OTC-afleiðusamninga heldur aðeins </w:t>
      </w:r>
      <w:r>
        <w:t xml:space="preserve">reikna </w:t>
      </w:r>
      <w:r w:rsidRPr="00AD1C6C">
        <w:t>upp 12 mánaða meðaltal á lokastöðu afleiðusafna sinna í hverjum mánuði.</w:t>
      </w:r>
      <w:r>
        <w:t xml:space="preserve"> </w:t>
      </w:r>
      <w:r w:rsidR="00B65394">
        <w:t>F</w:t>
      </w:r>
      <w:r w:rsidRPr="00AD1C6C">
        <w:t xml:space="preserve">ari </w:t>
      </w:r>
      <w:r w:rsidR="00943713">
        <w:t>það</w:t>
      </w:r>
      <w:r w:rsidRPr="00AD1C6C">
        <w:t xml:space="preserve"> meðaltal yfir fjárhæðarmörk, sem skilgreind eru í 11. gr. afleiddrar reglugerðar (ESB) nr. 149/2013 og skipta milljörðum evra, skal mótaðili</w:t>
      </w:r>
      <w:r w:rsidR="00943713">
        <w:t>nn</w:t>
      </w:r>
      <w:r w:rsidRPr="00AD1C6C">
        <w:t xml:space="preserve"> tilkynna </w:t>
      </w:r>
      <w:r w:rsidR="00943713">
        <w:t xml:space="preserve">Fjármálaeftirlitinu og </w:t>
      </w:r>
      <w:r w:rsidR="00AD1AE9" w:rsidRPr="00AD1C6C">
        <w:t>E</w:t>
      </w:r>
      <w:r w:rsidR="00AD1AE9">
        <w:t>vrópsku verðbréfamarkaðseftirlitsstofnunni</w:t>
      </w:r>
      <w:r w:rsidR="00AD1AE9" w:rsidRPr="00AD1C6C">
        <w:t xml:space="preserve"> </w:t>
      </w:r>
      <w:r w:rsidR="00F64FDC">
        <w:t>um</w:t>
      </w:r>
      <w:r w:rsidR="00F64FDC" w:rsidRPr="00AD1C6C">
        <w:t xml:space="preserve"> </w:t>
      </w:r>
      <w:r w:rsidR="00943713">
        <w:t>það</w:t>
      </w:r>
      <w:r w:rsidRPr="00AD1C6C">
        <w:t xml:space="preserve">. Mótaðilanum </w:t>
      </w:r>
      <w:r w:rsidR="00F64FDC">
        <w:t>verður</w:t>
      </w:r>
      <w:r w:rsidR="00F64FDC" w:rsidRPr="00AD1C6C">
        <w:t xml:space="preserve"> </w:t>
      </w:r>
      <w:r w:rsidRPr="00AD1C6C">
        <w:t>í kjölfarið</w:t>
      </w:r>
      <w:r w:rsidR="00F64FDC">
        <w:t>, eða þ.e. fjórum mánuðum eftir tilkynninguna,</w:t>
      </w:r>
      <w:r w:rsidRPr="00AD1C6C">
        <w:t xml:space="preserve"> skylt að stöðustofna alla stöðustofnunarskylda OTC-afleiðusamninga</w:t>
      </w:r>
      <w:r w:rsidR="00F64FDC">
        <w:t xml:space="preserve"> sem hann stofnar til eftir það</w:t>
      </w:r>
      <w:r w:rsidRPr="00AD1C6C">
        <w:t>.</w:t>
      </w:r>
    </w:p>
    <w:p w14:paraId="0910D025" w14:textId="7BA30EE0" w:rsidR="00AD1C6C" w:rsidRDefault="00AD1C6C" w:rsidP="00943B67">
      <w:r>
        <w:t xml:space="preserve">Fjárhagslegum </w:t>
      </w:r>
      <w:r w:rsidR="00507520" w:rsidRPr="00507520">
        <w:t xml:space="preserve">mótaðilum </w:t>
      </w:r>
      <w:r w:rsidR="00507520">
        <w:t xml:space="preserve">verður </w:t>
      </w:r>
      <w:r w:rsidR="00507520" w:rsidRPr="00507520">
        <w:t xml:space="preserve">skylt að </w:t>
      </w:r>
      <w:r w:rsidR="003D2E79">
        <w:t>senda skýrslu um</w:t>
      </w:r>
      <w:r w:rsidR="003D2E79" w:rsidRPr="00507520">
        <w:t xml:space="preserve"> </w:t>
      </w:r>
      <w:r w:rsidR="00507520" w:rsidRPr="00507520">
        <w:t>OTC-afleiðuviðskipti sem þeir eiga við ófjárhagslega mótaðila sem eru undir fjárhæðarmörkum</w:t>
      </w:r>
      <w:r w:rsidR="00021212">
        <w:t xml:space="preserve"> </w:t>
      </w:r>
      <w:r w:rsidR="00507520" w:rsidRPr="00507520">
        <w:t xml:space="preserve">til afleiðuviðskiptaskrár og þar að auki </w:t>
      </w:r>
      <w:r w:rsidR="00507520">
        <w:t>munu</w:t>
      </w:r>
      <w:r w:rsidR="00507520" w:rsidRPr="00507520">
        <w:t xml:space="preserve"> þeir bera ábyrgð á þeim skýrslum sem þeir skila fyrir hönd annarra. Þannig munu </w:t>
      </w:r>
      <w:r w:rsidR="00021212">
        <w:t>litlir</w:t>
      </w:r>
      <w:r w:rsidR="00021212" w:rsidRPr="00507520">
        <w:t xml:space="preserve"> </w:t>
      </w:r>
      <w:r w:rsidR="00507520" w:rsidRPr="00507520">
        <w:t xml:space="preserve">ófjárhagslegir mótaðilar ekki </w:t>
      </w:r>
      <w:r w:rsidR="00A964D7">
        <w:t xml:space="preserve">lengur </w:t>
      </w:r>
      <w:r w:rsidR="00507520" w:rsidRPr="00507520">
        <w:t xml:space="preserve">þurfa að tengjast afleiðuviðskiptaskrá með tilheyrandi kostnaði </w:t>
      </w:r>
      <w:r w:rsidR="00A964D7">
        <w:t>eða semja við fjárhagslega mótaðila um að senda skýrslurnar fyrir sig</w:t>
      </w:r>
      <w:r w:rsidR="00507520" w:rsidRPr="00507520">
        <w:t>.</w:t>
      </w:r>
    </w:p>
    <w:p w14:paraId="6C31A231" w14:textId="6ED98D5B" w:rsidR="00507520" w:rsidRDefault="00507520" w:rsidP="00943B67">
      <w:r w:rsidRPr="00507520">
        <w:t xml:space="preserve">Skyldan til að </w:t>
      </w:r>
      <w:r>
        <w:t>skila skýrslum um</w:t>
      </w:r>
      <w:r w:rsidRPr="00507520">
        <w:t xml:space="preserve"> eldri afleiðusamninga til afleiðuviðskiptaskrár er </w:t>
      </w:r>
      <w:r>
        <w:t>alfarið</w:t>
      </w:r>
      <w:r w:rsidRPr="00507520">
        <w:t xml:space="preserve"> afnumin en </w:t>
      </w:r>
      <w:r w:rsidR="00F64FDC">
        <w:t xml:space="preserve">hún hefur </w:t>
      </w:r>
      <w:r>
        <w:t>reyndist mörgum íslenskum markaðsaðilum þung í vöfum.</w:t>
      </w:r>
    </w:p>
    <w:p w14:paraId="15CA0B27" w14:textId="031A82EE" w:rsidR="00943713" w:rsidRDefault="00943713" w:rsidP="00943B67">
      <w:r>
        <w:t>Breytingunum er ætlað</w:t>
      </w:r>
      <w:r w:rsidRPr="00A02D71">
        <w:t xml:space="preserve"> að einfalda </w:t>
      </w:r>
      <w:r>
        <w:t xml:space="preserve">ýmsar skyldur varðandi </w:t>
      </w:r>
      <w:r w:rsidRPr="00A02D71">
        <w:t>afleiðuviðskipt</w:t>
      </w:r>
      <w:r>
        <w:t>i</w:t>
      </w:r>
      <w:r w:rsidRPr="00A02D71">
        <w:t>, jafna samkeppnisgrundvöll og minnka viðskiptakostnað, án þess að draga úr gagnsæi hvað varðar afleiðumarkaði eða úr eftirlits- og inngripsheimildum eftirlitsaðila vegna kerfisáhættu.</w:t>
      </w:r>
    </w:p>
    <w:p w14:paraId="436FFD48" w14:textId="67A42589" w:rsidR="00A02D71" w:rsidRDefault="00A02D71" w:rsidP="00943B67">
      <w:r w:rsidRPr="00A02D71">
        <w:t xml:space="preserve">Ekki er gert ráð fyrir að lagabreytingin </w:t>
      </w:r>
      <w:r>
        <w:t xml:space="preserve">leiði til kostnaðaraukningar fyrir </w:t>
      </w:r>
      <w:r w:rsidRPr="00A02D71">
        <w:t>Fjármálaeftirlit</w:t>
      </w:r>
      <w:r>
        <w:t xml:space="preserve"> Seðlabanka Íslands</w:t>
      </w:r>
      <w:r w:rsidRPr="00A02D71">
        <w:t xml:space="preserve"> sem hefur eftirlit með lögum um afleiðuviðskipti, miðlæga mótaðila og afleiðuviðskiptaskrár, nr. 15/2018.</w:t>
      </w:r>
    </w:p>
    <w:p w14:paraId="318E0593" w14:textId="77777777" w:rsidR="00A02D71" w:rsidRDefault="00A02D71"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4D077B3D" w14:textId="60694093" w:rsidR="00B322CB" w:rsidRDefault="00304D37" w:rsidP="00943B67">
      <w:r>
        <w:t>Í greininni er l</w:t>
      </w:r>
      <w:r w:rsidR="000509A9">
        <w:t>a</w:t>
      </w:r>
      <w:r w:rsidR="00EA31EF">
        <w:t>gð</w:t>
      </w:r>
      <w:r w:rsidR="000509A9">
        <w:t>ar</w:t>
      </w:r>
      <w:r w:rsidR="00EA31EF">
        <w:t xml:space="preserve"> til breyting</w:t>
      </w:r>
      <w:r w:rsidR="000509A9">
        <w:t>ar</w:t>
      </w:r>
      <w:r w:rsidR="00EA31EF">
        <w:t xml:space="preserve"> á 2. gr. laganna</w:t>
      </w:r>
      <w:r w:rsidR="00446CB1">
        <w:t xml:space="preserve"> sem fjallar um um lögfestingu Evrópugerða.</w:t>
      </w:r>
      <w:r w:rsidR="00EA31EF">
        <w:t xml:space="preserve"> </w:t>
      </w:r>
    </w:p>
    <w:p w14:paraId="7C52A053" w14:textId="20AFD084" w:rsidR="00B322CB" w:rsidRDefault="00EA31EF" w:rsidP="00943B67">
      <w:r>
        <w:lastRenderedPageBreak/>
        <w:t>Í fyrsta lagi er verið að breyta uppsetningu greinarinnar til að gera hana skiljanlegri</w:t>
      </w:r>
      <w:r w:rsidR="000509A9">
        <w:t xml:space="preserve"> með því að fyrst komi fram móðugerðin (EMIR) og svo séu taldar upp í töluliðum þær breytingar sem hafa verið gerðar á henni.</w:t>
      </w:r>
      <w:r>
        <w:t xml:space="preserve"> </w:t>
      </w:r>
    </w:p>
    <w:p w14:paraId="5437928E" w14:textId="13DF2595" w:rsidR="00EA31EF" w:rsidRDefault="00EA31EF" w:rsidP="00943B67">
      <w:r>
        <w:t xml:space="preserve">Í öðru lagi er verið að bæta </w:t>
      </w:r>
      <w:r w:rsidR="00B322CB">
        <w:t xml:space="preserve">EMIR </w:t>
      </w:r>
      <w:proofErr w:type="spellStart"/>
      <w:r w:rsidR="00767D38">
        <w:t>R</w:t>
      </w:r>
      <w:r w:rsidR="00B322CB">
        <w:t>efit</w:t>
      </w:r>
      <w:proofErr w:type="spellEnd"/>
      <w:r w:rsidR="00B322CB">
        <w:t xml:space="preserve"> við upptalningu greinarinnar (5. </w:t>
      </w:r>
      <w:proofErr w:type="spellStart"/>
      <w:r w:rsidR="00B322CB">
        <w:t>tölul</w:t>
      </w:r>
      <w:proofErr w:type="spellEnd"/>
      <w:r w:rsidR="00B322CB">
        <w:t xml:space="preserve">.) á þeim gerðum sem breyta EMIR og með því veita henni lagagildi </w:t>
      </w:r>
      <w:r w:rsidR="00D746F7">
        <w:t xml:space="preserve">í heild sinni </w:t>
      </w:r>
      <w:r w:rsidR="00B322CB">
        <w:t xml:space="preserve">hér á landi. </w:t>
      </w:r>
    </w:p>
    <w:p w14:paraId="01095D9E" w14:textId="64F932AC" w:rsidR="00B322CB" w:rsidRDefault="00B322CB" w:rsidP="00943B67">
      <w:r>
        <w:t xml:space="preserve">Í þriðja lagi er verið að bæta þremur öðrum Evrópugerðum við upptalningu á þeim gerðum sem breyta EMIR: </w:t>
      </w:r>
      <w:r w:rsidR="000509A9">
        <w:t xml:space="preserve">1) </w:t>
      </w:r>
      <w:r w:rsidR="00246341">
        <w:t>r</w:t>
      </w:r>
      <w:r w:rsidRPr="00B322CB">
        <w:t>eglugerð Evrópuþingsins og ráðsins (ESB) nr. 575/2013 um varfærniskröfur að því er varðar lánastofnanir og verðbréfafyrirtæki</w:t>
      </w:r>
      <w:r>
        <w:t xml:space="preserve"> (</w:t>
      </w:r>
      <w:r w:rsidR="00246341">
        <w:t xml:space="preserve">1. </w:t>
      </w:r>
      <w:proofErr w:type="spellStart"/>
      <w:r w:rsidR="00246341">
        <w:t>tölul</w:t>
      </w:r>
      <w:proofErr w:type="spellEnd"/>
      <w:r w:rsidR="00246341">
        <w:t>.</w:t>
      </w:r>
      <w:r>
        <w:t xml:space="preserve">), </w:t>
      </w:r>
      <w:r w:rsidR="000509A9">
        <w:t xml:space="preserve">sem er tekin upp í heild sinni í íslenskan rétt með reglugerð nr. 233/2017 um </w:t>
      </w:r>
      <w:r w:rsidR="000509A9" w:rsidRPr="00B322CB">
        <w:t>varfærniskröfur vegna starfsemi fjármálafyrirtækja</w:t>
      </w:r>
      <w:r w:rsidR="000509A9">
        <w:t xml:space="preserve">, 2) </w:t>
      </w:r>
      <w:r w:rsidRPr="00B322CB">
        <w:t xml:space="preserve">reglugerð Evrópuþingsins og ráðsins (ESB) nr. 600/2014 um markaði fyrir </w:t>
      </w:r>
      <w:proofErr w:type="spellStart"/>
      <w:r w:rsidRPr="00B322CB">
        <w:t>fjármálagerninga</w:t>
      </w:r>
      <w:proofErr w:type="spellEnd"/>
      <w:r>
        <w:t xml:space="preserve"> (</w:t>
      </w:r>
      <w:r w:rsidR="00246341">
        <w:t xml:space="preserve">3. </w:t>
      </w:r>
      <w:proofErr w:type="spellStart"/>
      <w:r w:rsidR="00246341">
        <w:t>tölul</w:t>
      </w:r>
      <w:proofErr w:type="spellEnd"/>
      <w:r w:rsidR="00246341">
        <w:t>.</w:t>
      </w:r>
      <w:r>
        <w:t>)</w:t>
      </w:r>
      <w:r w:rsidR="000509A9">
        <w:t>, sem verður</w:t>
      </w:r>
      <w:r>
        <w:t xml:space="preserve"> </w:t>
      </w:r>
      <w:r w:rsidR="000509A9">
        <w:t xml:space="preserve">tekin upp í heild sinni í íslenskan rétt með nýjum heildarlögum um markaði fyrir </w:t>
      </w:r>
      <w:proofErr w:type="spellStart"/>
      <w:r w:rsidR="000509A9">
        <w:t>fjármálagerninga</w:t>
      </w:r>
      <w:proofErr w:type="spellEnd"/>
      <w:r w:rsidR="000509A9">
        <w:t xml:space="preserve">, sbr. mál nr. 17 á þingmálaskrá </w:t>
      </w:r>
      <w:r w:rsidR="000509A9" w:rsidRPr="00246341">
        <w:t>151. löggjafarþings 2020–2021</w:t>
      </w:r>
      <w:r w:rsidR="000509A9">
        <w:t xml:space="preserve">, </w:t>
      </w:r>
      <w:r>
        <w:t xml:space="preserve">og </w:t>
      </w:r>
      <w:r w:rsidRPr="00B322CB">
        <w:t>tilskipun Evrópuþingsins og ráðsins (ESB) 2015/849 um ráðstafanir gegn því að fjármálakerfið sé notað til peningaþvættis eða til fjármögnunar hryðjuverka</w:t>
      </w:r>
      <w:r w:rsidR="00246341">
        <w:t xml:space="preserve"> (4. </w:t>
      </w:r>
      <w:proofErr w:type="spellStart"/>
      <w:r w:rsidR="00246341">
        <w:t>tölul</w:t>
      </w:r>
      <w:proofErr w:type="spellEnd"/>
      <w:r>
        <w:t>.</w:t>
      </w:r>
      <w:r w:rsidR="00246341">
        <w:t>)</w:t>
      </w:r>
      <w:r w:rsidR="000509A9">
        <w:t>, sem tekin var upp í íslenskan rétt með lögum um aðgerðir gegn peningaþvætti og fjármögnun hryðjuverka, nr. 140/2018.</w:t>
      </w:r>
      <w:r>
        <w:t xml:space="preserve">  </w:t>
      </w:r>
    </w:p>
    <w:p w14:paraId="3347C5FC" w14:textId="2726C669" w:rsidR="00EA31EF" w:rsidRDefault="00D746F7" w:rsidP="00976E0E">
      <w:r>
        <w:t xml:space="preserve">Vert er að nefna að aðrar </w:t>
      </w:r>
      <w:r w:rsidR="00767D38">
        <w:t xml:space="preserve">minniháttar </w:t>
      </w:r>
      <w:r>
        <w:t xml:space="preserve">breytingar en hér á undan eru taldar upp hafa verið gerða á efni EMIR, s.s. </w:t>
      </w:r>
      <w:r w:rsidR="000509A9">
        <w:t>varðandi</w:t>
      </w:r>
      <w:r>
        <w:t xml:space="preserve"> undanþágu</w:t>
      </w:r>
      <w:r w:rsidR="000509A9">
        <w:t>r</w:t>
      </w:r>
      <w:r>
        <w:t xml:space="preserve"> frá gildissviði skv. 1. gr. og tímafrestum skv. 89. gr., en þær breytingar</w:t>
      </w:r>
      <w:r w:rsidR="008A588B">
        <w:t xml:space="preserve"> </w:t>
      </w:r>
      <w:r w:rsidR="000509A9">
        <w:t>voru teknar upp í íslenskan rétt</w:t>
      </w:r>
      <w:r>
        <w:t xml:space="preserve"> með reglugerð ráðherra með stoð í 18. og 19. </w:t>
      </w:r>
      <w:proofErr w:type="spellStart"/>
      <w:r>
        <w:t>tölul</w:t>
      </w:r>
      <w:proofErr w:type="spellEnd"/>
      <w:r>
        <w:t>. 15. gr. laganna</w:t>
      </w:r>
      <w:r w:rsidR="008A588B">
        <w:t>, sbr. r</w:t>
      </w:r>
      <w:r w:rsidR="008A588B" w:rsidRPr="008A588B">
        <w:t xml:space="preserve">eglugerð </w:t>
      </w:r>
      <w:r w:rsidR="008A588B">
        <w:t xml:space="preserve">nr. 381/2019 </w:t>
      </w:r>
      <w:r w:rsidR="008A588B" w:rsidRPr="008A588B">
        <w:t>um gildistöku reglugerða Evrópusambandsins um afleiðuviðskipti, miðlæga mótaðila og afleiðuviðskiptaskrár</w:t>
      </w:r>
      <w:r w:rsidR="008A588B">
        <w:t>, með síðari breytingum.</w:t>
      </w:r>
      <w:r>
        <w:t xml:space="preserve"> </w:t>
      </w:r>
    </w:p>
    <w:p w14:paraId="3237A747" w14:textId="0015459B" w:rsidR="006703BA" w:rsidRDefault="006703BA" w:rsidP="00943B67"/>
    <w:p w14:paraId="0B945C00" w14:textId="6E8709D5" w:rsidR="00F72C8A" w:rsidRDefault="00F72C8A" w:rsidP="00F72C8A">
      <w:pPr>
        <w:pStyle w:val="Greinarnmer"/>
      </w:pPr>
      <w:r>
        <w:t>Um 2</w:t>
      </w:r>
      <w:r w:rsidR="00767D38">
        <w:t>.-3</w:t>
      </w:r>
      <w:r>
        <w:t>. gr.</w:t>
      </w:r>
    </w:p>
    <w:p w14:paraId="3C9D781A" w14:textId="585D40E5" w:rsidR="00F72C8A" w:rsidRDefault="00F601F6" w:rsidP="00943B67">
      <w:r>
        <w:t>Í greinunum eru lagðar til breytingar</w:t>
      </w:r>
      <w:r w:rsidR="00446CB1">
        <w:t xml:space="preserve"> á 3. og 5. gr. laganna, um eftirlit og a</w:t>
      </w:r>
      <w:r w:rsidR="00446CB1" w:rsidRPr="00446CB1">
        <w:t>lmennar rannsóknir og vettvangsskoðun</w:t>
      </w:r>
      <w:r w:rsidR="00446CB1">
        <w:t>,</w:t>
      </w:r>
      <w:r>
        <w:t xml:space="preserve"> til að samræma ákvæði um eftirlit við aðra nýlega löggjöf á fjármálamarkaði.</w:t>
      </w:r>
    </w:p>
    <w:p w14:paraId="6AA7E412" w14:textId="49CF3B02" w:rsidR="000308A8" w:rsidRDefault="000308A8" w:rsidP="00943B67">
      <w:r>
        <w:t xml:space="preserve">Í </w:t>
      </w:r>
      <w:r w:rsidR="00B135CD">
        <w:t>fyrsta</w:t>
      </w:r>
      <w:r>
        <w:t xml:space="preserve"> lagi er lagt til að orðin </w:t>
      </w:r>
      <w:r w:rsidRPr="000308A8">
        <w:t xml:space="preserve">,,Fjármálaeftirlitsins“ </w:t>
      </w:r>
      <w:r>
        <w:t>í 2. mgr. 3. gr. laganna falli brott enda á málsgreinin við um eftirlit bæði Fjármálaeftirlitsins og Eftirlitsstofnunar EFTA.</w:t>
      </w:r>
    </w:p>
    <w:p w14:paraId="0DFC3F1C" w14:textId="7CC71842" w:rsidR="000308A8" w:rsidRDefault="000308A8" w:rsidP="00943B67">
      <w:r>
        <w:t xml:space="preserve">Í </w:t>
      </w:r>
      <w:r w:rsidR="00B135CD">
        <w:t>öðru</w:t>
      </w:r>
      <w:r>
        <w:t xml:space="preserve"> lagi er lögð til breyting á 3. mgr. 3. gr. </w:t>
      </w:r>
      <w:r w:rsidR="00B135CD">
        <w:t xml:space="preserve">laganna </w:t>
      </w:r>
      <w:r>
        <w:t>sem tekur mið af því að Seðlabanki Íslands og Fjármálaeftirlitið hafa verið sameinuð í eina stofnun.</w:t>
      </w:r>
    </w:p>
    <w:p w14:paraId="6BBFA0C1" w14:textId="5E957B53" w:rsidR="00F601F6" w:rsidRDefault="000308A8" w:rsidP="00943B67">
      <w:r>
        <w:t xml:space="preserve">Í </w:t>
      </w:r>
      <w:r w:rsidR="00446CB1">
        <w:t xml:space="preserve">þriðja </w:t>
      </w:r>
      <w:r>
        <w:t xml:space="preserve">lagi er lagt til að við upptalningu 1. mgr. 5. gr. laganna á þeim heimildum sem </w:t>
      </w:r>
      <w:r w:rsidRPr="000308A8">
        <w:t>almennar rannsóknir og vettvangsskoðun Eftirlitsstofnunar EFTA</w:t>
      </w:r>
      <w:r>
        <w:t xml:space="preserve"> fara eftir bætist </w:t>
      </w:r>
      <w:r w:rsidRPr="000308A8">
        <w:t>l</w:t>
      </w:r>
      <w:r>
        <w:t>ög</w:t>
      </w:r>
      <w:r w:rsidRPr="000308A8">
        <w:t xml:space="preserve"> um evrópskt eftirlitskerfi á fjármálamarkaði</w:t>
      </w:r>
      <w:r>
        <w:t>.</w:t>
      </w:r>
    </w:p>
    <w:p w14:paraId="301D4B57" w14:textId="77777777" w:rsidR="000308A8" w:rsidRDefault="000308A8" w:rsidP="00943B67"/>
    <w:p w14:paraId="06695A91" w14:textId="569FAED6" w:rsidR="006703BA" w:rsidRDefault="006703BA" w:rsidP="006703BA">
      <w:pPr>
        <w:pStyle w:val="Greinarnmer"/>
      </w:pPr>
      <w:r>
        <w:t xml:space="preserve">Um </w:t>
      </w:r>
      <w:r w:rsidR="00767D38">
        <w:t>4</w:t>
      </w:r>
      <w:r>
        <w:t>. gr.</w:t>
      </w:r>
    </w:p>
    <w:p w14:paraId="65745988" w14:textId="77777777" w:rsidR="00904DB0" w:rsidRDefault="006703BA" w:rsidP="006703BA">
      <w:r>
        <w:t>Í greininni er l</w:t>
      </w:r>
      <w:r w:rsidR="00904DB0">
        <w:t>ögð til breyting á 8. gr. laganna sem fjallar um s</w:t>
      </w:r>
      <w:r w:rsidR="00904DB0" w:rsidRPr="00904DB0">
        <w:t>kyld</w:t>
      </w:r>
      <w:r w:rsidR="00904DB0">
        <w:t>u</w:t>
      </w:r>
      <w:r w:rsidR="00904DB0" w:rsidRPr="00904DB0">
        <w:t xml:space="preserve"> Fjármálaeftirlitsins til að birta upplýsingar.</w:t>
      </w:r>
      <w:r w:rsidR="00904DB0">
        <w:t xml:space="preserve"> </w:t>
      </w:r>
    </w:p>
    <w:p w14:paraId="6DCD19FB" w14:textId="2B10C88E" w:rsidR="00F01673" w:rsidRDefault="00904DB0" w:rsidP="006703BA">
      <w:r>
        <w:t>La</w:t>
      </w:r>
      <w:r w:rsidR="006703BA">
        <w:t xml:space="preserve">gt </w:t>
      </w:r>
      <w:r>
        <w:t xml:space="preserve">er </w:t>
      </w:r>
      <w:r w:rsidR="006703BA">
        <w:t xml:space="preserve">til að í stað þess að Fjármálaeftirlitinu verði aðeins skylt að birta opinberlega upplýsingar um stjórnvaldssektir vegna </w:t>
      </w:r>
      <w:r w:rsidR="006703BA" w:rsidRPr="006703BA">
        <w:t>brota gegn</w:t>
      </w:r>
      <w:r w:rsidR="000C0554">
        <w:t xml:space="preserve"> ákvæðum</w:t>
      </w:r>
      <w:r w:rsidR="006703BA" w:rsidRPr="006703BA">
        <w:t xml:space="preserve"> 4., 5. og 7.–11. gr. </w:t>
      </w:r>
      <w:r w:rsidR="006703BA">
        <w:t>EMIR líkt og nú er þá verði því skylt að birta slíkar upplýsingar um allar stjórnvaldssektir sem</w:t>
      </w:r>
      <w:r w:rsidR="00F01673">
        <w:t xml:space="preserve"> lagðar eru á vegna brota gegn ákvæðum EMIR. Eftir sem áður ber Fjármálaeftirlitinu þó ekki að birta slíkar upplýsingar ef </w:t>
      </w:r>
      <w:r w:rsidR="00F01673" w:rsidRPr="00F01673">
        <w:t>birtingin k</w:t>
      </w:r>
      <w:r w:rsidR="00F01673">
        <w:t>a</w:t>
      </w:r>
      <w:r w:rsidR="00F01673" w:rsidRPr="00F01673">
        <w:t>nn að tefla fjármálamörkuðum í tvísýnu eða valda hlutaðeigandi aðilum óhóflegum skaða.</w:t>
      </w:r>
    </w:p>
    <w:p w14:paraId="1835CDE1" w14:textId="73552B3B" w:rsidR="00F01673" w:rsidRDefault="00F01673" w:rsidP="006703BA">
      <w:r>
        <w:t xml:space="preserve">Í 2. mgr. 12. gr EMIR kemur fram að </w:t>
      </w:r>
      <w:proofErr w:type="spellStart"/>
      <w:r w:rsidR="00CA3C0D">
        <w:t>lögbær</w:t>
      </w:r>
      <w:proofErr w:type="spellEnd"/>
      <w:r w:rsidR="00CA3C0D">
        <w:t xml:space="preserve"> yfirvöld aðildarríkja skuli </w:t>
      </w:r>
      <w:r w:rsidR="00FA6EF0">
        <w:t xml:space="preserve">að lágmarki </w:t>
      </w:r>
      <w:r w:rsidR="00CA3C0D">
        <w:t>hafa heimild til að leggja stjórnvaldssektir á vegna brota gegn ákvæðum 4., 5., og 7.-11. gr. EMIR og að það skuli birta opinberlega upplýsingar um brotin.</w:t>
      </w:r>
      <w:r w:rsidR="00B135CD">
        <w:t xml:space="preserve"> </w:t>
      </w:r>
      <w:r w:rsidR="00CA3C0D">
        <w:t>Þegar lögin voru samþykkt þá v</w:t>
      </w:r>
      <w:r w:rsidR="00B65394">
        <w:t>oru</w:t>
      </w:r>
      <w:r w:rsidR="00133190">
        <w:t xml:space="preserve"> </w:t>
      </w:r>
      <w:r w:rsidR="00133190">
        <w:lastRenderedPageBreak/>
        <w:t>Fjármálaeftirlitinu</w:t>
      </w:r>
      <w:r w:rsidR="00B135CD">
        <w:t>, í samræmi við aðra löggjöf á fjármálamarkaði,</w:t>
      </w:r>
      <w:r w:rsidR="00133190">
        <w:t xml:space="preserve"> veittar </w:t>
      </w:r>
      <w:r w:rsidR="00CA3C0D">
        <w:t>mun fleiri stjórnvaldssektarheimildir heldur en aðeins vegna brotum gegn ákvæðum 4., 5., og 7.-11. gr. EMIR</w:t>
      </w:r>
      <w:r w:rsidR="00133190">
        <w:t xml:space="preserve">. </w:t>
      </w:r>
      <w:r w:rsidR="000C0554">
        <w:t>L</w:t>
      </w:r>
      <w:r w:rsidR="00133190">
        <w:t xml:space="preserve">agt </w:t>
      </w:r>
      <w:r w:rsidR="000C0554">
        <w:t xml:space="preserve">er </w:t>
      </w:r>
      <w:r w:rsidR="00133190">
        <w:t xml:space="preserve">til að Fjármálaeftirlitinu beri að </w:t>
      </w:r>
      <w:r w:rsidR="00133190" w:rsidRPr="00133190">
        <w:t xml:space="preserve">birta upplýsingar um </w:t>
      </w:r>
      <w:r w:rsidR="001356B5">
        <w:t xml:space="preserve">allar stjórnvaldssektir sem lagðar eru á vegna </w:t>
      </w:r>
      <w:r w:rsidR="00133190">
        <w:t>brot</w:t>
      </w:r>
      <w:r w:rsidR="001356B5">
        <w:t>a</w:t>
      </w:r>
      <w:r w:rsidR="00133190">
        <w:t xml:space="preserve"> gegn ákvæðum EMIR</w:t>
      </w:r>
      <w:r w:rsidR="000C0554">
        <w:t xml:space="preserve">, nema fyrrgreind undantekningartilvik eigi við. Slík birting hefur bæði </w:t>
      </w:r>
      <w:proofErr w:type="spellStart"/>
      <w:r w:rsidR="000C0554">
        <w:t>fælingarmátt</w:t>
      </w:r>
      <w:proofErr w:type="spellEnd"/>
      <w:r w:rsidR="000C0554">
        <w:t xml:space="preserve"> og upplýsingargildi fyrir almenning og fjárfesta.</w:t>
      </w:r>
      <w:r w:rsidR="00CA3C0D">
        <w:t xml:space="preserve"> </w:t>
      </w:r>
    </w:p>
    <w:p w14:paraId="2A9BEA9D" w14:textId="3A84505E" w:rsidR="00431841" w:rsidRDefault="00431841" w:rsidP="00943B67"/>
    <w:p w14:paraId="43F563C1" w14:textId="60B8A571" w:rsidR="00431841" w:rsidRDefault="00431841" w:rsidP="00431841">
      <w:pPr>
        <w:pStyle w:val="Greinarnmer"/>
      </w:pPr>
      <w:r>
        <w:t xml:space="preserve">Um </w:t>
      </w:r>
      <w:r w:rsidR="00767D38">
        <w:t>5</w:t>
      </w:r>
      <w:r>
        <w:t>. gr.</w:t>
      </w:r>
    </w:p>
    <w:p w14:paraId="3800C7E5" w14:textId="6CFC74F8" w:rsidR="00431841" w:rsidRDefault="001A3709" w:rsidP="00BB7BE6">
      <w:r>
        <w:t>Í greininni er lagt til að við 15. gr. laganna, sem fjallar um reglugerðarheimild ráðherra, bætist ný</w:t>
      </w:r>
      <w:r w:rsidR="00886102">
        <w:t xml:space="preserve">r </w:t>
      </w:r>
      <w:r>
        <w:t>málslið</w:t>
      </w:r>
      <w:r w:rsidR="00886102">
        <w:t>u</w:t>
      </w:r>
      <w:r>
        <w:t>r</w:t>
      </w:r>
      <w:bookmarkStart w:id="3" w:name="_GoBack"/>
      <w:r>
        <w:t xml:space="preserve">. Með breytingunni verður </w:t>
      </w:r>
      <w:r w:rsidR="007937A0">
        <w:t xml:space="preserve">bætt við </w:t>
      </w:r>
      <w:r>
        <w:t>heimil</w:t>
      </w:r>
      <w:r w:rsidR="007937A0">
        <w:t>d</w:t>
      </w:r>
      <w:r>
        <w:t xml:space="preserve"> </w:t>
      </w:r>
      <w:r w:rsidR="007937A0">
        <w:t>til</w:t>
      </w:r>
      <w:r>
        <w:t xml:space="preserve"> innleið</w:t>
      </w:r>
      <w:r w:rsidR="007937A0">
        <w:t>ingar</w:t>
      </w:r>
      <w:r>
        <w:t xml:space="preserve"> </w:t>
      </w:r>
      <w:r w:rsidR="007937A0">
        <w:t>á</w:t>
      </w:r>
      <w:r>
        <w:t xml:space="preserve"> </w:t>
      </w:r>
      <w:r w:rsidR="000E130A">
        <w:t xml:space="preserve">framseldri </w:t>
      </w:r>
      <w:r>
        <w:t xml:space="preserve">reglugerð ESB sem sett </w:t>
      </w:r>
      <w:r w:rsidR="00E93FC3">
        <w:t>verð</w:t>
      </w:r>
      <w:r w:rsidR="00886102">
        <w:t>ur</w:t>
      </w:r>
      <w:r>
        <w:t xml:space="preserve"> með stoð í 10. mgr. 78. gr. EMIR, um almennar kröfur fyrir afleiðuviðskiptaskrár.</w:t>
      </w:r>
      <w:r w:rsidR="00886102">
        <w:t xml:space="preserve"> </w:t>
      </w:r>
      <w:r w:rsidR="00BB7BE6">
        <w:t>Samkvæmt 10. mgr. 78. gr. EMIR þá skal í tæknistöðlum sem ESMA skal útbúa</w:t>
      </w:r>
      <w:r w:rsidR="000E130A">
        <w:t>,</w:t>
      </w:r>
      <w:r w:rsidR="00BB7BE6">
        <w:t xml:space="preserve"> og </w:t>
      </w:r>
      <w:r w:rsidR="007937A0">
        <w:t xml:space="preserve">framseld </w:t>
      </w:r>
      <w:r w:rsidR="00BB7BE6">
        <w:t>reglugerð ESB mun byggja á</w:t>
      </w:r>
      <w:r w:rsidR="000E130A">
        <w:t>,</w:t>
      </w:r>
      <w:r w:rsidR="00BB7BE6">
        <w:t xml:space="preserve"> fjallað um verklagið til skilvirkrar afstemmingar gagna milli afleiðuviðs</w:t>
      </w:r>
      <w:bookmarkEnd w:id="3"/>
      <w:r w:rsidR="00BB7BE6">
        <w:t>kiptaskráa og verklagið sem afleiðuviðskiptaskrá á að beita til að ganga úr skugga um að</w:t>
      </w:r>
      <w:r w:rsidR="00BB7BE6" w:rsidRPr="00886102">
        <w:t xml:space="preserve"> </w:t>
      </w:r>
      <w:r w:rsidR="00BB7BE6">
        <w:t xml:space="preserve">skýrslugefandi mótaðili eða aðili sem leggur fram gögn hlíti kröfunum um skýrslugjöf og til að sannreyna heilleika og réttleika </w:t>
      </w:r>
      <w:r w:rsidR="003D2E79">
        <w:t>sendra skýrslna</w:t>
      </w:r>
      <w:r w:rsidR="00BB7BE6">
        <w:t xml:space="preserve"> skv. 9. gr. EMIR. </w:t>
      </w:r>
      <w:r w:rsidR="007937A0">
        <w:t>Framselda r</w:t>
      </w:r>
      <w:r w:rsidR="00BB7BE6">
        <w:t>eglugerð</w:t>
      </w:r>
      <w:r w:rsidR="007937A0">
        <w:t>in</w:t>
      </w:r>
      <w:r w:rsidR="00BB7BE6">
        <w:t xml:space="preserve"> hefur ekki </w:t>
      </w:r>
      <w:proofErr w:type="spellStart"/>
      <w:r w:rsidR="00BB7BE6">
        <w:t>ennþá</w:t>
      </w:r>
      <w:proofErr w:type="spellEnd"/>
      <w:r w:rsidR="00BB7BE6">
        <w:t xml:space="preserve"> verið gefin út, en í mars 2020 birti ESMA samráðsskjal (e. </w:t>
      </w:r>
      <w:proofErr w:type="spellStart"/>
      <w:r w:rsidR="00BB7BE6">
        <w:t>consultation</w:t>
      </w:r>
      <w:proofErr w:type="spellEnd"/>
      <w:r w:rsidR="00BB7BE6">
        <w:t xml:space="preserve"> </w:t>
      </w:r>
      <w:proofErr w:type="spellStart"/>
      <w:r w:rsidR="00BB7BE6">
        <w:t>paper</w:t>
      </w:r>
      <w:proofErr w:type="spellEnd"/>
      <w:r w:rsidR="00BB7BE6">
        <w:t xml:space="preserve">) um drög að nýjum tæknistöðlum samkvæmt EMIR </w:t>
      </w:r>
      <w:proofErr w:type="spellStart"/>
      <w:r w:rsidR="00BB7BE6">
        <w:t>Refit</w:t>
      </w:r>
      <w:proofErr w:type="spellEnd"/>
      <w:r w:rsidR="00BB7BE6">
        <w:t xml:space="preserve">. </w:t>
      </w:r>
    </w:p>
    <w:p w14:paraId="010BFCFF" w14:textId="110166E6" w:rsidR="00431841" w:rsidRDefault="00431841" w:rsidP="00943B67"/>
    <w:p w14:paraId="7886933D" w14:textId="41F3698A" w:rsidR="00431841" w:rsidRDefault="00431841" w:rsidP="00431841">
      <w:pPr>
        <w:pStyle w:val="Greinarnmer"/>
      </w:pPr>
      <w:r>
        <w:t xml:space="preserve">Um </w:t>
      </w:r>
      <w:r w:rsidR="00767D38">
        <w:t>6</w:t>
      </w:r>
      <w:r>
        <w:t>. gr.</w:t>
      </w:r>
    </w:p>
    <w:p w14:paraId="5DCB80DF" w14:textId="70FD4DBC" w:rsidR="00431841" w:rsidRDefault="00431841" w:rsidP="00431841">
      <w:r>
        <w:t>Greinin</w:t>
      </w:r>
      <w:r w:rsidR="000E130A">
        <w:t>, sem fjallar um gildistöku frumvarpsins,</w:t>
      </w:r>
      <w:r>
        <w:t xml:space="preserve"> þarfnast ekki skýringar.</w:t>
      </w:r>
    </w:p>
    <w:p w14:paraId="7DD53CB3" w14:textId="77777777" w:rsidR="00431841" w:rsidRDefault="00431841" w:rsidP="00943B67"/>
    <w:p w14:paraId="3CABCE46" w14:textId="77777777" w:rsidR="00A141B9" w:rsidRPr="00012035" w:rsidRDefault="00A141B9" w:rsidP="00943B67"/>
    <w:sectPr w:rsidR="00A141B9"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3536" w14:textId="77777777" w:rsidR="003A0A09" w:rsidRDefault="003A0A09" w:rsidP="006258D7">
      <w:r>
        <w:separator/>
      </w:r>
    </w:p>
    <w:p w14:paraId="687845C9" w14:textId="77777777" w:rsidR="003A0A09" w:rsidRDefault="003A0A09"/>
  </w:endnote>
  <w:endnote w:type="continuationSeparator" w:id="0">
    <w:p w14:paraId="2AB64388" w14:textId="77777777" w:rsidR="003A0A09" w:rsidRDefault="003A0A09" w:rsidP="006258D7">
      <w:r>
        <w:continuationSeparator/>
      </w:r>
    </w:p>
    <w:p w14:paraId="2D497433"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63A0" w14:textId="77777777" w:rsidR="003A0A09" w:rsidRDefault="003A0A09" w:rsidP="005B4CD6">
      <w:pPr>
        <w:ind w:firstLine="0"/>
      </w:pPr>
      <w:r>
        <w:separator/>
      </w:r>
    </w:p>
    <w:p w14:paraId="224BA9B3" w14:textId="77777777" w:rsidR="003A0A09" w:rsidRDefault="003A0A09"/>
  </w:footnote>
  <w:footnote w:type="continuationSeparator" w:id="0">
    <w:p w14:paraId="37589C5B" w14:textId="77777777" w:rsidR="003A0A09" w:rsidRDefault="003A0A09" w:rsidP="006258D7">
      <w:r>
        <w:continuationSeparator/>
      </w:r>
    </w:p>
    <w:p w14:paraId="5D731065"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35ACD75A"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ED3979">
      <w:rPr>
        <w:noProof/>
      </w:rPr>
      <w:t>6</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90355B">
      <w:rPr>
        <w:b/>
        <w:i/>
        <w:noProof/>
        <w:color w:val="7F7F7F"/>
        <w:sz w:val="24"/>
        <w:szCs w:val="24"/>
      </w:rPr>
      <w:t>13. október 2020</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12E89F5"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90355B">
      <w:rPr>
        <w:b/>
        <w:i/>
        <w:noProof/>
        <w:color w:val="7F7F7F"/>
        <w:sz w:val="24"/>
        <w:szCs w:val="24"/>
      </w:rPr>
      <w:t>13. október 2020</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8D5"/>
    <w:multiLevelType w:val="hybridMultilevel"/>
    <w:tmpl w:val="3542939A"/>
    <w:lvl w:ilvl="0" w:tplc="A78C3DA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1533E52"/>
    <w:multiLevelType w:val="hybridMultilevel"/>
    <w:tmpl w:val="9F145B96"/>
    <w:lvl w:ilvl="0" w:tplc="5E706D6E">
      <w:start w:val="1"/>
      <w:numFmt w:val="decimal"/>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2C4E66E8"/>
    <w:multiLevelType w:val="hybridMultilevel"/>
    <w:tmpl w:val="64C8A53E"/>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30A15FC1"/>
    <w:multiLevelType w:val="hybridMultilevel"/>
    <w:tmpl w:val="4E2C6C7A"/>
    <w:lvl w:ilvl="0" w:tplc="8C4A950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9" w15:restartNumberingAfterBreak="0">
    <w:nsid w:val="3A7C63E1"/>
    <w:multiLevelType w:val="hybridMultilevel"/>
    <w:tmpl w:val="E2C642E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0" w15:restartNumberingAfterBreak="0">
    <w:nsid w:val="3B480B4E"/>
    <w:multiLevelType w:val="multilevel"/>
    <w:tmpl w:val="6DEC8882"/>
    <w:numStyleLink w:val="Althingi---"/>
  </w:abstractNum>
  <w:abstractNum w:abstractNumId="11" w15:restartNumberingAfterBreak="0">
    <w:nsid w:val="3CDE4723"/>
    <w:multiLevelType w:val="hybridMultilevel"/>
    <w:tmpl w:val="9F145B96"/>
    <w:lvl w:ilvl="0" w:tplc="5E706D6E">
      <w:start w:val="1"/>
      <w:numFmt w:val="decimal"/>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9796548"/>
    <w:multiLevelType w:val="hybridMultilevel"/>
    <w:tmpl w:val="E4C617C6"/>
    <w:lvl w:ilvl="0" w:tplc="7578E12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4EF13A96"/>
    <w:multiLevelType w:val="hybridMultilevel"/>
    <w:tmpl w:val="1F5ECF4E"/>
    <w:lvl w:ilvl="0" w:tplc="54B06C46">
      <w:start w:val="3"/>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C4A57EE"/>
    <w:multiLevelType w:val="hybridMultilevel"/>
    <w:tmpl w:val="D9ECD9FC"/>
    <w:lvl w:ilvl="0" w:tplc="FA04F44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8"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1"/>
  </w:num>
  <w:num w:numId="2">
    <w:abstractNumId w:val="18"/>
  </w:num>
  <w:num w:numId="3">
    <w:abstractNumId w:val="20"/>
  </w:num>
  <w:num w:numId="4">
    <w:abstractNumId w:val="4"/>
  </w:num>
  <w:num w:numId="5">
    <w:abstractNumId w:val="15"/>
  </w:num>
  <w:num w:numId="6">
    <w:abstractNumId w:val="19"/>
  </w:num>
  <w:num w:numId="7">
    <w:abstractNumId w:val="5"/>
  </w:num>
  <w:num w:numId="8">
    <w:abstractNumId w:val="3"/>
  </w:num>
  <w:num w:numId="9">
    <w:abstractNumId w:val="12"/>
  </w:num>
  <w:num w:numId="10">
    <w:abstractNumId w:val="6"/>
  </w:num>
  <w:num w:numId="11">
    <w:abstractNumId w:val="10"/>
  </w:num>
  <w:num w:numId="12">
    <w:abstractNumId w:val="16"/>
  </w:num>
  <w:num w:numId="13">
    <w:abstractNumId w:val="1"/>
  </w:num>
  <w:num w:numId="14">
    <w:abstractNumId w:val="17"/>
  </w:num>
  <w:num w:numId="15">
    <w:abstractNumId w:val="7"/>
  </w:num>
  <w:num w:numId="16">
    <w:abstractNumId w:val="8"/>
  </w:num>
  <w:num w:numId="17">
    <w:abstractNumId w:val="13"/>
  </w:num>
  <w:num w:numId="18">
    <w:abstractNumId w:val="9"/>
  </w:num>
  <w:num w:numId="19">
    <w:abstractNumId w:val="14"/>
  </w:num>
  <w:num w:numId="20">
    <w:abstractNumId w:val="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spelling="clean" w:grammar="clean"/>
  <w:trackRevisions/>
  <w:defaultTabStop w:val="28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21212"/>
    <w:rsid w:val="000300CD"/>
    <w:rsid w:val="000308A8"/>
    <w:rsid w:val="00030C42"/>
    <w:rsid w:val="000509A9"/>
    <w:rsid w:val="00055B22"/>
    <w:rsid w:val="000644E5"/>
    <w:rsid w:val="000A5DF7"/>
    <w:rsid w:val="000A7848"/>
    <w:rsid w:val="000C0554"/>
    <w:rsid w:val="000C666D"/>
    <w:rsid w:val="000D40D8"/>
    <w:rsid w:val="000D4B5A"/>
    <w:rsid w:val="000E01C2"/>
    <w:rsid w:val="000E130A"/>
    <w:rsid w:val="000E16E7"/>
    <w:rsid w:val="000F0EAB"/>
    <w:rsid w:val="000F46B1"/>
    <w:rsid w:val="00117680"/>
    <w:rsid w:val="001222CE"/>
    <w:rsid w:val="00122EE4"/>
    <w:rsid w:val="00132E7E"/>
    <w:rsid w:val="00133190"/>
    <w:rsid w:val="001356B5"/>
    <w:rsid w:val="001371CD"/>
    <w:rsid w:val="0015772E"/>
    <w:rsid w:val="00170974"/>
    <w:rsid w:val="001730B2"/>
    <w:rsid w:val="00181038"/>
    <w:rsid w:val="001A3709"/>
    <w:rsid w:val="0022006D"/>
    <w:rsid w:val="002224E3"/>
    <w:rsid w:val="00246341"/>
    <w:rsid w:val="00260FE0"/>
    <w:rsid w:val="002675EE"/>
    <w:rsid w:val="00270A34"/>
    <w:rsid w:val="00293FEE"/>
    <w:rsid w:val="002B3385"/>
    <w:rsid w:val="002C28C0"/>
    <w:rsid w:val="002D034E"/>
    <w:rsid w:val="002D340A"/>
    <w:rsid w:val="002E7193"/>
    <w:rsid w:val="002F3AFA"/>
    <w:rsid w:val="00301215"/>
    <w:rsid w:val="00304D37"/>
    <w:rsid w:val="00322F35"/>
    <w:rsid w:val="0032704C"/>
    <w:rsid w:val="00335852"/>
    <w:rsid w:val="00381ECF"/>
    <w:rsid w:val="003917F4"/>
    <w:rsid w:val="003A0A09"/>
    <w:rsid w:val="003B68AB"/>
    <w:rsid w:val="003B7AF5"/>
    <w:rsid w:val="003D2E79"/>
    <w:rsid w:val="003F5B37"/>
    <w:rsid w:val="00431841"/>
    <w:rsid w:val="00436458"/>
    <w:rsid w:val="00446CB1"/>
    <w:rsid w:val="0049606B"/>
    <w:rsid w:val="004977B1"/>
    <w:rsid w:val="004B06BC"/>
    <w:rsid w:val="004B3D9B"/>
    <w:rsid w:val="004C4D11"/>
    <w:rsid w:val="004C568E"/>
    <w:rsid w:val="004F37F2"/>
    <w:rsid w:val="0050458D"/>
    <w:rsid w:val="00507520"/>
    <w:rsid w:val="00507601"/>
    <w:rsid w:val="005116B6"/>
    <w:rsid w:val="005303CF"/>
    <w:rsid w:val="005355E6"/>
    <w:rsid w:val="005375B7"/>
    <w:rsid w:val="00564348"/>
    <w:rsid w:val="0057228A"/>
    <w:rsid w:val="005B4CD6"/>
    <w:rsid w:val="005B5F0C"/>
    <w:rsid w:val="005D5AEE"/>
    <w:rsid w:val="005D7863"/>
    <w:rsid w:val="005F7A9F"/>
    <w:rsid w:val="00605FA3"/>
    <w:rsid w:val="006258D7"/>
    <w:rsid w:val="006514F9"/>
    <w:rsid w:val="00652C9A"/>
    <w:rsid w:val="00655AEA"/>
    <w:rsid w:val="00655EE3"/>
    <w:rsid w:val="0066420A"/>
    <w:rsid w:val="006703BA"/>
    <w:rsid w:val="006B6B37"/>
    <w:rsid w:val="006F069F"/>
    <w:rsid w:val="006F4043"/>
    <w:rsid w:val="006F4D1E"/>
    <w:rsid w:val="006F74FF"/>
    <w:rsid w:val="00706572"/>
    <w:rsid w:val="00707D37"/>
    <w:rsid w:val="00714EAF"/>
    <w:rsid w:val="007176DC"/>
    <w:rsid w:val="007555E3"/>
    <w:rsid w:val="00767D38"/>
    <w:rsid w:val="00782DD6"/>
    <w:rsid w:val="007937A0"/>
    <w:rsid w:val="007A08F8"/>
    <w:rsid w:val="007D4338"/>
    <w:rsid w:val="007F3B99"/>
    <w:rsid w:val="00803FAF"/>
    <w:rsid w:val="00852033"/>
    <w:rsid w:val="00852FF3"/>
    <w:rsid w:val="0085674C"/>
    <w:rsid w:val="008577B7"/>
    <w:rsid w:val="00882D45"/>
    <w:rsid w:val="00886102"/>
    <w:rsid w:val="00895423"/>
    <w:rsid w:val="008A588B"/>
    <w:rsid w:val="008C6EC3"/>
    <w:rsid w:val="008D0068"/>
    <w:rsid w:val="0090355B"/>
    <w:rsid w:val="00904DB0"/>
    <w:rsid w:val="00943713"/>
    <w:rsid w:val="00943B67"/>
    <w:rsid w:val="00947F0E"/>
    <w:rsid w:val="00976E0E"/>
    <w:rsid w:val="009818AC"/>
    <w:rsid w:val="00995085"/>
    <w:rsid w:val="00A00EA7"/>
    <w:rsid w:val="00A02D71"/>
    <w:rsid w:val="00A10AE9"/>
    <w:rsid w:val="00A141B9"/>
    <w:rsid w:val="00A2280D"/>
    <w:rsid w:val="00A24367"/>
    <w:rsid w:val="00A366EA"/>
    <w:rsid w:val="00A425DE"/>
    <w:rsid w:val="00A74357"/>
    <w:rsid w:val="00A84C9D"/>
    <w:rsid w:val="00A90212"/>
    <w:rsid w:val="00A964D7"/>
    <w:rsid w:val="00AB3D97"/>
    <w:rsid w:val="00AB4DB6"/>
    <w:rsid w:val="00AC7C2A"/>
    <w:rsid w:val="00AD0369"/>
    <w:rsid w:val="00AD0879"/>
    <w:rsid w:val="00AD1AE9"/>
    <w:rsid w:val="00AD1C6C"/>
    <w:rsid w:val="00AD5C95"/>
    <w:rsid w:val="00AF581E"/>
    <w:rsid w:val="00B135CD"/>
    <w:rsid w:val="00B203DC"/>
    <w:rsid w:val="00B20E81"/>
    <w:rsid w:val="00B27D32"/>
    <w:rsid w:val="00B322CB"/>
    <w:rsid w:val="00B41005"/>
    <w:rsid w:val="00B56947"/>
    <w:rsid w:val="00B65394"/>
    <w:rsid w:val="00BA5DFB"/>
    <w:rsid w:val="00BB2C74"/>
    <w:rsid w:val="00BB5AA6"/>
    <w:rsid w:val="00BB7BE6"/>
    <w:rsid w:val="00BC31E7"/>
    <w:rsid w:val="00BC3809"/>
    <w:rsid w:val="00BF2C1E"/>
    <w:rsid w:val="00BF3D23"/>
    <w:rsid w:val="00C311A9"/>
    <w:rsid w:val="00C34A72"/>
    <w:rsid w:val="00C350BA"/>
    <w:rsid w:val="00C35574"/>
    <w:rsid w:val="00C36086"/>
    <w:rsid w:val="00C463C7"/>
    <w:rsid w:val="00C710B1"/>
    <w:rsid w:val="00C94AC6"/>
    <w:rsid w:val="00CA31D0"/>
    <w:rsid w:val="00CA3C0D"/>
    <w:rsid w:val="00CC4311"/>
    <w:rsid w:val="00CC7ED2"/>
    <w:rsid w:val="00CD54BE"/>
    <w:rsid w:val="00D0740D"/>
    <w:rsid w:val="00D205B5"/>
    <w:rsid w:val="00D25E73"/>
    <w:rsid w:val="00D27BFB"/>
    <w:rsid w:val="00D337AE"/>
    <w:rsid w:val="00D45F78"/>
    <w:rsid w:val="00D512A4"/>
    <w:rsid w:val="00D5679C"/>
    <w:rsid w:val="00D65333"/>
    <w:rsid w:val="00D746F7"/>
    <w:rsid w:val="00DA0E37"/>
    <w:rsid w:val="00DD303D"/>
    <w:rsid w:val="00DE4B53"/>
    <w:rsid w:val="00E11B67"/>
    <w:rsid w:val="00E24177"/>
    <w:rsid w:val="00E255CC"/>
    <w:rsid w:val="00E45CB1"/>
    <w:rsid w:val="00E47305"/>
    <w:rsid w:val="00E61D77"/>
    <w:rsid w:val="00E71F27"/>
    <w:rsid w:val="00E7395A"/>
    <w:rsid w:val="00E93FC3"/>
    <w:rsid w:val="00EA31EF"/>
    <w:rsid w:val="00EA4BBC"/>
    <w:rsid w:val="00EB12F6"/>
    <w:rsid w:val="00EB3C39"/>
    <w:rsid w:val="00ED1890"/>
    <w:rsid w:val="00ED3979"/>
    <w:rsid w:val="00EF776B"/>
    <w:rsid w:val="00F01673"/>
    <w:rsid w:val="00F253D1"/>
    <w:rsid w:val="00F537AF"/>
    <w:rsid w:val="00F54C9A"/>
    <w:rsid w:val="00F601F6"/>
    <w:rsid w:val="00F64FDC"/>
    <w:rsid w:val="00F72C8A"/>
    <w:rsid w:val="00FA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064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E5"/>
    <w:rPr>
      <w:rFonts w:ascii="Segoe UI" w:hAnsi="Segoe UI" w:cs="Segoe UI"/>
      <w:sz w:val="18"/>
      <w:szCs w:val="18"/>
      <w:lang w:val="is-IS"/>
    </w:rPr>
  </w:style>
  <w:style w:type="character" w:styleId="CommentReference">
    <w:name w:val="annotation reference"/>
    <w:basedOn w:val="DefaultParagraphFont"/>
    <w:uiPriority w:val="99"/>
    <w:semiHidden/>
    <w:unhideWhenUsed/>
    <w:rsid w:val="00A00EA7"/>
    <w:rPr>
      <w:sz w:val="16"/>
      <w:szCs w:val="16"/>
    </w:rPr>
  </w:style>
  <w:style w:type="paragraph" w:styleId="CommentText">
    <w:name w:val="annotation text"/>
    <w:basedOn w:val="Normal"/>
    <w:link w:val="CommentTextChar"/>
    <w:uiPriority w:val="99"/>
    <w:semiHidden/>
    <w:unhideWhenUsed/>
    <w:rsid w:val="00A00EA7"/>
    <w:rPr>
      <w:sz w:val="20"/>
      <w:szCs w:val="20"/>
    </w:rPr>
  </w:style>
  <w:style w:type="character" w:customStyle="1" w:styleId="CommentTextChar">
    <w:name w:val="Comment Text Char"/>
    <w:basedOn w:val="DefaultParagraphFont"/>
    <w:link w:val="CommentText"/>
    <w:uiPriority w:val="99"/>
    <w:semiHidden/>
    <w:rsid w:val="00A00EA7"/>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A00EA7"/>
    <w:rPr>
      <w:b/>
      <w:bCs/>
    </w:rPr>
  </w:style>
  <w:style w:type="character" w:customStyle="1" w:styleId="CommentSubjectChar">
    <w:name w:val="Comment Subject Char"/>
    <w:basedOn w:val="CommentTextChar"/>
    <w:link w:val="CommentSubject"/>
    <w:uiPriority w:val="99"/>
    <w:semiHidden/>
    <w:rsid w:val="00A00EA7"/>
    <w:rPr>
      <w:rFonts w:ascii="Times New Roman" w:hAnsi="Times New Roman"/>
      <w:b/>
      <w:bCs/>
      <w:lang w:val="is-IS"/>
    </w:rPr>
  </w:style>
  <w:style w:type="paragraph" w:styleId="Revision">
    <w:name w:val="Revision"/>
    <w:hidden/>
    <w:uiPriority w:val="99"/>
    <w:semiHidden/>
    <w:rsid w:val="00F601F6"/>
    <w:rPr>
      <w:rFonts w:ascii="Times New Roman" w:hAnsi="Times New Roman"/>
      <w:sz w:val="21"/>
      <w:szCs w:val="22"/>
      <w:lang w:val="is-IS"/>
    </w:rPr>
  </w:style>
  <w:style w:type="character" w:styleId="UnresolvedMention">
    <w:name w:val="Unresolved Mention"/>
    <w:basedOn w:val="DefaultParagraphFont"/>
    <w:uiPriority w:val="99"/>
    <w:semiHidden/>
    <w:unhideWhenUsed/>
    <w:rsid w:val="0044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198669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5974-AC5D-4EB5-BFB4-8C4B7157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2396</Words>
  <Characters>13660</Characters>
  <Application>Microsoft Office Word</Application>
  <DocSecurity>4</DocSecurity>
  <Lines>113</Lines>
  <Paragraphs>32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Guðmundur Kári Kárason</cp:lastModifiedBy>
  <cp:revision>2</cp:revision>
  <dcterms:created xsi:type="dcterms:W3CDTF">2020-10-13T18:02:00Z</dcterms:created>
  <dcterms:modified xsi:type="dcterms:W3CDTF">2020-10-13T18:02:00Z</dcterms:modified>
</cp:coreProperties>
</file>