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MainTitle"/>
      </w:pPr>
      <w:r>
        <w:t xml:space="preserve">Framseld reglugerð framkvæmdastjórnarinnar (ESB) 2020/1273</w:t>
      </w:r>
    </w:p>
    <w:p>
      <w:pPr>
        <w:pStyle w:val="MainTitle"/>
      </w:pPr>
      <w:r>
        <w:t xml:space="preserve">frá 4. júní 2020</w:t>
      </w:r>
    </w:p>
    <w:p>
      <w:pPr>
        <w:pStyle w:val="MainTitle"/>
        <w:spacing w:after="360"/>
      </w:pPr>
      <w:r>
        <w:t xml:space="preserve">um breytingu og leiðréttingu á framseldri reglugerð (ESB) 2019/980 um viðbætur við reglugerð Evrópuþingsins og ráðsins (ESB) 2017/1129 að því er varðar sniðmát, efni, athugun og staðfestingu lýsingarinnar sem birta skal þegar verðbréf eru boðin í almennu útboði eða tekin til viðskipta á skipulegum markaði</w:t>
      </w:r>
    </w:p>
    <w:p>
      <w:pPr>
        <w:pStyle w:val="PreambleInit"/>
      </w:pPr>
      <w:r>
        <w:t xml:space="preserve">FRAMKVÆMDASTJÓRN EVRÓPUSAMBANDSINS HEFUR,</w:t>
      </w:r>
    </w:p>
    <w:p>
      <w:pPr>
        <w:pStyle w:val="Para"/>
      </w:pPr>
      <w:r>
        <w:t xml:space="preserve">með hliðsjón af sáttmálanum um starfshætti Evrópusambandsins,</w:t>
      </w:r>
    </w:p>
    <w:p>
      <w:pPr>
        <w:pStyle w:val="Para"/>
      </w:pPr>
      <w:r>
        <w:t xml:space="preserve">með hliðsjón af reglugerð Evrópuþingsins og ráðsins (ESB) 2017/1129 frá 14. júní 2017 um lýsingu sem birta skal þegar verðbréf eru boðin í almennu útboði eða tekin til viðskipta á skipulegum markaði og um niðurfellingu á tilskipun 2003/71/EB (</w:t>
      </w:r>
      <w:bookmarkStart w:id="0" w:name="NOTE_1"/>
      <w:r>
        <w:rPr>
          <w:rStyle w:val="FootnoteReference"/>
          <w:sz w:val="18"/>
        </w:rPr>
        <w:footnoteReference w:id="2"/>
      </w:r>
      <w:bookmarkEnd w:id="0"/>
      <w:r>
        <w:t xml:space="preserve">), einkum 13. gr. (1. og 2. mgr.), 14. gr. (3. mgr.) og 15. gr. (2. mgr.),</w:t>
      </w:r>
    </w:p>
    <w:p>
      <w:pPr>
        <w:pStyle w:val="Para"/>
      </w:pPr>
      <w:r>
        <w:rPr>
          <w:i/>
          <w:iCs/>
        </w:rPr>
        <w:t xml:space="preserve">og að teknu tilliti til eftirfarandi</w:t>
      </w:r>
      <w:r>
        <w:t xml:space="preserve">:</w:t>
      </w:r>
    </w:p>
    <w:p>
      <w:pPr>
        <w:pStyle w:val="Consid"/>
      </w:pPr>
      <w:r>
        <w:t xml:space="preserve">1)</w:t>
      </w:r>
      <w:r>
        <w:tab/>
      </w:r>
      <w:r>
        <w:t xml:space="preserve">Í framseldri reglugerð framkvæmdastjórnarinnar (ESB) 2019/980 (</w:t>
      </w:r>
      <w:bookmarkStart w:id="1" w:name="NOTE_2"/>
      <w:r>
        <w:rPr>
          <w:rStyle w:val="FootnoteReference"/>
          <w:sz w:val="18"/>
        </w:rPr>
        <w:footnoteReference w:id="3"/>
      </w:r>
      <w:bookmarkEnd w:id="1"/>
      <w:r>
        <w:t xml:space="preserve">) er mælt fyrir um upplýsingarnar sem útgefendur hlutabréfa og verðbréfa sem ekki eru hlutabréfatengd eiga að birta.</w:t>
      </w:r>
      <w:r>
        <w:t xml:space="preserve"> </w:t>
      </w:r>
      <w:r>
        <w:t xml:space="preserve">Verðbréf sem ekki eru hlutabréfatengd falla ekki undir jafn strangar birtingarkröfur og hlutabréfatengd verðbréf.</w:t>
      </w:r>
      <w:r>
        <w:t xml:space="preserve"> </w:t>
      </w:r>
      <w:r>
        <w:t xml:space="preserve">Sum hlutabréfatengd verðbréf, s.s. tilteknar tegundir breytanlegra og skiptanlegra verðbréfa og afleiddra verðbréfa, eru svipuð verðbréfum sem ekki eru hlutabréfatengd, áður en þeim breytt eða áður en réttindin sem fylgja þeim eru nýtt.</w:t>
      </w:r>
      <w:r>
        <w:t xml:space="preserve"> </w:t>
      </w:r>
      <w:r>
        <w:t xml:space="preserve">Þess vegna þykir rétt að útgefendur þessara breytanlegu og skiptanlegu verðbréfa og afleiddra verðbréfa falli undir minna íþyngjandi reglur um upplýsingagjöf en þær sem gilda um verðbréf sem ekki eru hlutabréfatengd.</w:t>
      </w:r>
    </w:p>
    <w:p>
      <w:pPr>
        <w:pStyle w:val="Consid"/>
      </w:pPr>
      <w:r>
        <w:t xml:space="preserve">2)</w:t>
      </w:r>
      <w:r>
        <w:tab/>
      </w:r>
      <w:r>
        <w:t xml:space="preserve">Samkvæmt reglugerð (ESB) 2017/1129 geta útgefendur notað almenna útgefandalýsingu til að birta árlegu reikningsskilin sem krafist er samkvæmt tilskipun Evrópuþingsins og ráðsins 2004/109/EB (</w:t>
      </w:r>
      <w:bookmarkStart w:id="2" w:name="NOTE_3"/>
      <w:r>
        <w:rPr>
          <w:rStyle w:val="FootnoteReference"/>
          <w:sz w:val="18"/>
        </w:rPr>
        <w:footnoteReference w:id="4"/>
      </w:r>
      <w:bookmarkEnd w:id="2"/>
      <w:r>
        <w:t xml:space="preserve">).</w:t>
      </w:r>
      <w:r>
        <w:t xml:space="preserve"> </w:t>
      </w:r>
      <w:r>
        <w:t xml:space="preserve">Samkvæmt framseldri reglugerð (ESB) 2019/980 er gerð krafa um að útgefendur sem nota þann valkost veiti heildstæða almenna útgefandalýsingu á XHTML-sniði (e. </w:t>
      </w:r>
      <w:r>
        <w:rPr>
          <w:i/>
          <w:iCs/>
        </w:rPr>
        <w:t xml:space="preserve">Extensible Hypertext Markup Language</w:t>
      </w:r>
      <w:r>
        <w:t xml:space="preserve">), sem er óhófleg stjórnsýslubyrði.</w:t>
      </w:r>
      <w:r>
        <w:t xml:space="preserve"> </w:t>
      </w:r>
      <w:r>
        <w:t xml:space="preserve">Þess vegna ætti að breyta ákvæðum 4. mgr. 24. gr. og 5. mgr. 25. gr. framseldrar reglugerðar (ESB) 2019/980 og heimila útgefendum að leggja eingöngu fram upplýsingarnar sem eru í árlegu reikningsskilum á XHTML-sniði.</w:t>
      </w:r>
    </w:p>
    <w:p>
      <w:pPr>
        <w:pStyle w:val="Consid"/>
      </w:pPr>
      <w:r>
        <w:t xml:space="preserve">3)</w:t>
      </w:r>
      <w:r>
        <w:tab/>
      </w:r>
      <w:r>
        <w:t xml:space="preserve">Ákvæði 3. þáttar II. kafla framseldrar reglugerðar (ESB) 2019/980, um viðbótarupplýsingar sem taka á með í lýsingunni, gilda um allar tegundir lýsinga, þ.m.t. ESB-vaxtarlýsinguna.</w:t>
      </w:r>
      <w:r>
        <w:t xml:space="preserve"> </w:t>
      </w:r>
      <w:r>
        <w:t xml:space="preserve">Þar sem ESB-vaxtarlýsingin fellur undir staðlað snið og röðun er nauðsynlegt að útskýra birtingaröð upplýsingaliða sem varða afleidd verðbréf og, eftir atvikum, undirliggjandi hlutabréf og/eða upplýsingarnar sem birta á ef samþykki er gefið fyrir að nota lýsinguna í samræmi við 1. mgr. 5. gr. reglugerðar (ESB) 2017/1129.</w:t>
      </w:r>
      <w:r>
        <w:t xml:space="preserve"> </w:t>
      </w:r>
      <w:r>
        <w:t xml:space="preserve">Til samræmis við það ætti að uppfæra 32. gr. framseldrar reglugerðar (ESB) 2019/980 og 26. og 27. viðauka við þá reglugerð.</w:t>
      </w:r>
    </w:p>
    <w:p>
      <w:pPr>
        <w:pStyle w:val="Consid"/>
        <w:spacing w:after="0"/>
      </w:pPr>
      <w:r>
        <w:t xml:space="preserve">4)</w:t>
      </w:r>
      <w:r>
        <w:tab/>
      </w:r>
      <w:r>
        <w:t xml:space="preserve">Með ákvæði 4. mgr. 2. gr. reglugerðar Evrópuþingsins og ráðsins (ESB) 2019/2115 (</w:t>
      </w:r>
      <w:bookmarkStart w:id="3" w:name="NOTE_4"/>
      <w:r>
        <w:rPr>
          <w:rStyle w:val="FootnoteReference"/>
          <w:sz w:val="18"/>
        </w:rPr>
        <w:footnoteReference w:id="5"/>
      </w:r>
      <w:bookmarkEnd w:id="3"/>
      <w:r>
        <w:t xml:space="preserve">) var gerð breyting á V. viðauka við reglugerð (ESB) 2017/1129, þannig að krafan um birtingu á yfirlýsingunni um veltufé í ESB-vaxtarlýsingunni var látin gilda um alla útgefendur hlutabréfatengdra verðbréfa, án tillits til markaðsverðmætis þeirra.</w:t>
      </w:r>
      <w:r>
        <w:t xml:space="preserve"> </w:t>
      </w:r>
      <w:r>
        <w:t xml:space="preserve">Til samræmis við það ætti að breyta g-lið 1. mgr. 32. gr. framseldrar reglugerðar (ESB) 2019/980 og 26. viðauka við þá reglugerð.</w:t>
      </w:r>
      <w:r>
        <w:br w:type="page"/>
      </w:r>
    </w:p>
    <w:p>
      <w:pPr>
        <w:pStyle w:val="Consid"/>
      </w:pPr>
      <w:r>
        <w:t xml:space="preserve">5)</w:t>
      </w:r>
      <w:r>
        <w:tab/>
      </w:r>
      <w:r>
        <w:t xml:space="preserve">Samkvæmt 1., 3., 6. til 9., 24. og 25. viðauka við framselda reglugerð (ESB) 2019/980 er gerð krafa um, fyrir flest hlutabréf og verðbréf sem ekki eru hlutabréfatengd, að fram fari óháð endurskoðun á sögulegum, árlegum fjárhagsupplýsingum og að endurskoðunarskýrslan sé útbúin í samræmi við tilskipun Evrópuþingsins og ráðsins 2006/43/EB (</w:t>
      </w:r>
      <w:bookmarkStart w:id="4" w:name="NOTE_5"/>
      <w:r>
        <w:rPr>
          <w:rStyle w:val="FootnoteReference"/>
          <w:sz w:val="18"/>
        </w:rPr>
        <w:footnoteReference w:id="6"/>
      </w:r>
      <w:bookmarkEnd w:id="4"/>
      <w:r>
        <w:t xml:space="preserve">) og reglugerð Evrópuþingsins og ráðsins (ESB) nr. 537/2014 (</w:t>
      </w:r>
      <w:bookmarkStart w:id="5" w:name="NOTE_6"/>
      <w:r>
        <w:rPr>
          <w:rStyle w:val="FootnoteReference"/>
          <w:sz w:val="18"/>
        </w:rPr>
        <w:footnoteReference w:id="7"/>
      </w:r>
      <w:bookmarkEnd w:id="5"/>
      <w:r>
        <w:t xml:space="preserve">).</w:t>
      </w:r>
      <w:r>
        <w:t xml:space="preserve"> </w:t>
      </w:r>
      <w:r>
        <w:t xml:space="preserve">Samkvæmt þessum viðaukum er jafnframt gerð krafa um, í þeim tilvikum þegar tilskipun 2014/43/ESB og reglugerð (ESB) nr. 537/2014 eiga ekki við og þegar löggiltir endurskoðendur hafa synjað um áritun sögulegra fjárhagsupplýsinga eða sé áritun þeirra með fyrirvara, breyttu áliti, án álits eða með ábendingum skal birta slíka synjun, fyrirvara, breytingar, áritanir án álits eða ábendingar í heild sinni og tilgreina ástæður þeirra.</w:t>
      </w:r>
      <w:r>
        <w:t xml:space="preserve"> </w:t>
      </w:r>
      <w:r>
        <w:t xml:space="preserve">Til að gera fjárfestum kleift að taka upplýsta fjárfestingarákvörðun þykir rétt að fella útgefendur undir fyrrnefndar kröfur um upplýsingagjöf, án tillits til þess hvort tilskipun 2006/43/EB eða reglugerð (ESB) nr. 537/2014 gildir eða ekki.</w:t>
      </w:r>
      <w:r>
        <w:t xml:space="preserve"> </w:t>
      </w:r>
      <w:r>
        <w:t xml:space="preserve">Því ætti að breyta 1., 3., 6. til 9., 24. og 25. viðauka við framselda reglugerð (ESB) nr. 2019/980 til samræmis við það.</w:t>
      </w:r>
    </w:p>
    <w:p>
      <w:pPr>
        <w:pStyle w:val="Consid"/>
      </w:pPr>
      <w:r>
        <w:t xml:space="preserve">6)</w:t>
      </w:r>
      <w:r>
        <w:tab/>
      </w:r>
      <w:r>
        <w:t xml:space="preserve">Þegar einfaldað fyrirkomulag upplýsingagjafar vegna síðari útgáfu gildir er í 4. viðauka við framselda reglugerð (ESB) 2019/980 gerð krafa um að sjóðir um sameiginlega fjárfestingu veiti upplýsingar sem rekja má til tiltekinna þátta og liða í 3. viðauka.</w:t>
      </w:r>
      <w:r>
        <w:t xml:space="preserve"> </w:t>
      </w:r>
      <w:r>
        <w:t xml:space="preserve">Breyta ætti þeim lista yfir þætti og liði og aðlaga að kröfunum um upplýsingagjöf fyrir frumútgáfur til að þær nái yfir upplýsingar um mikilvæga samninga og undanskilja pro forma fjárhagsupplýsingar.</w:t>
      </w:r>
    </w:p>
    <w:p>
      <w:pPr>
        <w:pStyle w:val="Consid"/>
      </w:pPr>
      <w:r>
        <w:t xml:space="preserve">7)</w:t>
      </w:r>
      <w:r>
        <w:tab/>
      </w:r>
      <w:r>
        <w:t xml:space="preserve">Í verðbréfalýsingunni fyrir síðari útgáfur verðbréfa sem ekki eru hlutabréfatengd ætti lýsingin á tegundinni, flokknum og fjárhæð verðbréfanna sem boðin eru út eða tekin til viðskipta að vera sett fram samkvæmt flokki B á sama hátt og fyrir frumútgáfur, þar sem öll atriði þeirra upplýsinga eru ekki þekkt á þeim tíma þegar grunnlýsingin er samþykkt.</w:t>
      </w:r>
      <w:r>
        <w:t xml:space="preserve"> </w:t>
      </w:r>
      <w:r>
        <w:t xml:space="preserve">Enn fremur er nauðsynlegt, til aðlögunar að kröfunum um upplýsingagjöf fyrir frumútgáfur, að útskýra nánar að fyrir síðari útgáfur verðbréfa til almennra fjárfesta sem ekki eru hlutabréfatengd, þar sem samantekt lýsingarinnar er að hluta til skipt út fyrir upplýsingarnar sem settar eru fram í c- til i-lið 3. mgr. 8. gr. reglugerð Evrópuþingsins og ráðsins (ESB) nr. 1286/2014 (</w:t>
      </w:r>
      <w:bookmarkStart w:id="6" w:name="NOTE_7"/>
      <w:r>
        <w:rPr>
          <w:rStyle w:val="FootnoteReference"/>
          <w:sz w:val="18"/>
        </w:rPr>
        <w:footnoteReference w:id="8"/>
      </w:r>
      <w:bookmarkEnd w:id="6"/>
      <w:r>
        <w:t xml:space="preserve">), að þær upplýsingar ættu einnig að vera í verðbréfalýsingunni.</w:t>
      </w:r>
      <w:r>
        <w:t xml:space="preserve"> </w:t>
      </w:r>
      <w:r>
        <w:t xml:space="preserve">Breyta ætti 16. viðauka við framselda reglugerð (ESB) 2019/980 til samræmis við það.</w:t>
      </w:r>
    </w:p>
    <w:p>
      <w:pPr>
        <w:pStyle w:val="Consid"/>
      </w:pPr>
      <w:r>
        <w:t xml:space="preserve">8)</w:t>
      </w:r>
      <w:r>
        <w:tab/>
      </w:r>
      <w:r>
        <w:t xml:space="preserve">Ákvæði 7. mgr. 33 gr. framseldrar reglugerðar (ESB) 2019/980 vísar ranglega til 22. viðauka þeirrar reglugerðar, í stað 23. viðauka.</w:t>
      </w:r>
      <w:r>
        <w:t xml:space="preserve"> </w:t>
      </w:r>
      <w:r>
        <w:t xml:space="preserve">Þessa villu ber að leiðrétta.</w:t>
      </w:r>
    </w:p>
    <w:p>
      <w:pPr>
        <w:pStyle w:val="Consid"/>
      </w:pPr>
      <w:r>
        <w:t xml:space="preserve">9)</w:t>
      </w:r>
      <w:r>
        <w:tab/>
      </w:r>
      <w:r>
        <w:t xml:space="preserve">Samkvæmt ákvæði 4. mgr. 26. gr. reglugerðar (ESB) 2017/1129 er gerð krafa um að útgefandalýsing eða almenn útgefandalýsing sem tilkynnt er í samræmi við 2. mgr., hafi að geyma viðbæti þar sem settar eru fram lykilupplýsingar um útgefandann sem um getur í 6. mgr. 7. gr. þeirrar reglugerðar.</w:t>
      </w:r>
      <w:r>
        <w:t xml:space="preserve"> </w:t>
      </w:r>
      <w:r>
        <w:t xml:space="preserve">Í g-lið 2. mgr. 42. gr. framseldrar reglugerðar (ESB) 2019/980 er ranglega gerð krafa um framlagningu á slíkum viðbæti í öllum tilvikum en ekki einungis þegar krafist er slíks viðbætis.</w:t>
      </w:r>
      <w:r>
        <w:t xml:space="preserve"> </w:t>
      </w:r>
      <w:r>
        <w:t xml:space="preserve">Þessa villu ber að leiðrétta.</w:t>
      </w:r>
    </w:p>
    <w:p>
      <w:pPr>
        <w:pStyle w:val="Consid"/>
      </w:pPr>
      <w:r>
        <w:t xml:space="preserve">10)</w:t>
      </w:r>
      <w:r>
        <w:tab/>
      </w:r>
      <w:r>
        <w:t xml:space="preserve">Reglugerð (ESB) 2017/1129 og framseld reglugerð (ESB) 2019/980 öðluðust gildi frá og með 21. júlí 2019.</w:t>
      </w:r>
      <w:r>
        <w:t xml:space="preserve"> </w:t>
      </w:r>
      <w:r>
        <w:t xml:space="preserve">Í þágu réttarvissu og til að tryggja að útgefendur sæti ekki óþarflegri stjórnsýslubyrði ætti 1. til 8. liður 1. gr. og 2. gr. þessarar framseldu reglugerðar að koma til framkvæmda sama dag og reglugerð (ESB) 2017/1129 og framseld reglugerð (ESB) 2019/980.</w:t>
      </w:r>
    </w:p>
    <w:p>
      <w:pPr>
        <w:pStyle w:val="Consid"/>
        <w:spacing w:after="0"/>
      </w:pPr>
      <w:r>
        <w:t xml:space="preserve">11)</w:t>
      </w:r>
      <w:r>
        <w:tab/>
      </w:r>
      <w:r>
        <w:t xml:space="preserve">Í þágu réttarvissu ættu lýsingar sem samþykktar voru á milli 21. júlí 2019 og 16. september 2020 að gilda áfram þar til gildistími þeirra rennur út.</w:t>
      </w:r>
      <w:r>
        <w:br w:type="page"/>
      </w:r>
    </w:p>
    <w:p>
      <w:pPr>
        <w:pStyle w:val="PreambleFinal"/>
        <w:spacing w:before="0" w:after="300" w:line="200" w:lineRule="exact"/>
      </w:pPr>
      <w:r>
        <w:t xml:space="preserve">SAMÞYKKT REGLUGERÐ ÞESSA:</w:t>
      </w:r>
    </w:p>
    <w:p>
      <w:pPr>
        <w:pStyle w:val="TIART"/>
      </w:pPr>
      <w:r>
        <w:t xml:space="preserve">1. gr.</w:t>
      </w:r>
    </w:p>
    <w:p>
      <w:pPr>
        <w:pStyle w:val="STIART"/>
      </w:pPr>
      <w:r>
        <w:t xml:space="preserve">Breytingar á framseldri reglugerð (ESB) 2019/980</w:t>
      </w:r>
    </w:p>
    <w:p>
      <w:pPr>
        <w:pStyle w:val="Alinea"/>
      </w:pPr>
      <w:r>
        <w:t xml:space="preserve">Framseldri reglugerð (ESB) 2019/980 er breytt sem hér segir:</w:t>
      </w:r>
    </w:p>
    <w:p>
      <w:pPr>
        <w:pStyle w:val="NumberedText"/>
        <w:tabs>
          <w:tab w:val="clear" w:pos="2047"/>
        </w:tabs>
        <w:ind w:left="400" w:hanging="400"/>
      </w:pPr>
      <w:r>
        <w:t xml:space="preserve">1)</w:t>
      </w:r>
      <w:r>
        <w:tab/>
      </w:r>
      <w:r>
        <w:t xml:space="preserve">Í stað 2. gr. kemur eftirfarandi:</w:t>
      </w:r>
    </w:p>
    <w:p>
      <w:pPr>
        <w:pStyle w:val="TIARTquoted"/>
        <w:ind w:left="400"/>
      </w:pPr>
      <w:r>
        <w:t xml:space="preserve">„2. gr.</w:t>
      </w:r>
    </w:p>
    <w:p>
      <w:pPr>
        <w:pStyle w:val="STIARTquoted"/>
        <w:spacing w:after="120"/>
        <w:ind w:left="400"/>
      </w:pPr>
      <w:r>
        <w:t xml:space="preserve">Útgefandalýsing fyrir hlutabréfatengd verðbréf</w:t>
      </w:r>
    </w:p>
    <w:p>
      <w:pPr>
        <w:pStyle w:val="AlineaWithParag"/>
        <w:tabs>
          <w:tab w:val="left" w:pos="783"/>
        </w:tabs>
        <w:spacing w:after="120"/>
        <w:ind w:left="400"/>
      </w:pPr>
      <w:r>
        <w:t xml:space="preserve">1.</w:t>
      </w:r>
      <w:r>
        <w:tab/>
      </w:r>
      <w:r>
        <w:t xml:space="preserve">Sé um að ræða hlutabréfatengd verðbréf skal útgefandalýsingin hafa að geyma þær upplýsingar sem um getur í 1. viðauka við þessa reglugerð nema hún sé samin í samræmi við 9., 14. eða 15. gr. reglugerðar (ESB) 2017/1129.</w:t>
      </w:r>
    </w:p>
    <w:p>
      <w:pPr>
        <w:pStyle w:val="AlineaWithParag"/>
        <w:tabs>
          <w:tab w:val="left" w:pos="783"/>
        </w:tabs>
        <w:spacing w:after="120"/>
        <w:ind w:left="400"/>
      </w:pPr>
      <w:r>
        <w:t xml:space="preserve">2.</w:t>
      </w:r>
      <w:r>
        <w:tab/>
      </w:r>
      <w:r>
        <w:t xml:space="preserve">Þrátt fyrir ákvæði 1. mgr. og þegar þessi verðbréf eru ekki hlutabréf eða önnur framseljanleg verðbréf sem eru jafngild hlutabréfum, má semja útgefandalýsinguna fyrir eftirfarandi verðbréf, í samræmi við 7. gr. þessarar reglugerðar að því er varðar verðbréf fyrir almenna fjárfesta eða 8. gr. þessarar reglugerðar fyrir verðbréf til í heildsölu:</w:t>
      </w:r>
    </w:p>
    <w:p>
      <w:pPr>
        <w:pStyle w:val="NumberedText"/>
        <w:tabs>
          <w:tab w:val="clear" w:pos="2047"/>
        </w:tabs>
        <w:spacing w:after="120"/>
        <w:ind w:left="700" w:hanging="300"/>
      </w:pPr>
      <w:r>
        <w:t xml:space="preserve">a)</w:t>
      </w:r>
      <w:r>
        <w:tab/>
      </w:r>
      <w:r>
        <w:t xml:space="preserve">verðbréfin sem um getur í 1. mgr. 19. gr. og 1. mgr. 20. gr. þessarar reglugerðar,</w:t>
      </w:r>
    </w:p>
    <w:p>
      <w:pPr>
        <w:pStyle w:val="NumberedText"/>
        <w:tabs>
          <w:tab w:val="clear" w:pos="2047"/>
        </w:tabs>
        <w:spacing w:after="120"/>
        <w:ind w:left="700" w:hanging="300"/>
      </w:pPr>
      <w:r>
        <w:t xml:space="preserve">b)</w:t>
      </w:r>
      <w:r>
        <w:tab/>
      </w:r>
      <w:r>
        <w:t xml:space="preserve">verðbréfin sem um getur í 2. mgr. 19. gr. þessarar reglugerðar, þegar þessi verðbréf eru skiptanleg fyrir eða breytanleg í hlutabréf sem eru eða verða gefin út af aðila sem tilheyrir samstæðu útgefandans og sem ekki eru tekin til viðskipta á skipulegum markaði,</w:t>
      </w:r>
    </w:p>
    <w:p>
      <w:pPr>
        <w:pStyle w:val="NumberedText"/>
        <w:tabs>
          <w:tab w:val="clear" w:pos="2047"/>
        </w:tabs>
        <w:ind w:left="700" w:hanging="300"/>
      </w:pPr>
      <w:r>
        <w:t xml:space="preserve">c)</w:t>
      </w:r>
      <w:r>
        <w:tab/>
      </w:r>
      <w:r>
        <w:t xml:space="preserve">verðbréfin sem um getur í 2. mgr. 20. gr. þessarar reglugerðar, þegar þessi verðbréf veita rétt til að skrá sig fyrir eða afla hlutabréfa sem eru eða verða gefin út af aðila sem tilheyrir samstæðu útgefandans og sem ekki eru tekin til viðskipta á skipulegum markaði.“</w:t>
      </w:r>
    </w:p>
    <w:p>
      <w:pPr>
        <w:pStyle w:val="NumberedText"/>
        <w:tabs>
          <w:tab w:val="clear" w:pos="2047"/>
        </w:tabs>
        <w:ind w:left="400" w:hanging="400"/>
      </w:pPr>
      <w:r>
        <w:t xml:space="preserve">2)</w:t>
      </w:r>
      <w:r>
        <w:tab/>
      </w:r>
      <w:r>
        <w:t xml:space="preserve">Í stað 4. gr. kemur eftirfarandi:</w:t>
      </w:r>
    </w:p>
    <w:p>
      <w:pPr>
        <w:pStyle w:val="TIARTquoted"/>
        <w:ind w:left="400"/>
      </w:pPr>
      <w:r>
        <w:t xml:space="preserve">„4. gr.</w:t>
      </w:r>
    </w:p>
    <w:p>
      <w:pPr>
        <w:pStyle w:val="STIARTquoted"/>
        <w:spacing w:after="120"/>
        <w:ind w:left="400"/>
      </w:pPr>
      <w:r>
        <w:t xml:space="preserve">Útgefandalýsing fyrir síðari útgáfur hlutabréfatengdra verðbréfa</w:t>
      </w:r>
    </w:p>
    <w:p>
      <w:pPr>
        <w:pStyle w:val="AlineaWithParag"/>
        <w:tabs>
          <w:tab w:val="left" w:pos="783"/>
        </w:tabs>
        <w:spacing w:after="120"/>
        <w:ind w:left="400"/>
      </w:pPr>
      <w:r>
        <w:t xml:space="preserve">1.</w:t>
      </w:r>
      <w:r>
        <w:tab/>
      </w:r>
      <w:r>
        <w:t xml:space="preserve">Sértæk útgefandalýsing fyrir hlutabréfatengd verðbréf sem samin er í samræmi við 14. gr. reglugerðar (ESB) 2017/1129 skal hafa að geyma þær upplýsingar sem um getur í 3. viðauka við þessa reglugerð.</w:t>
      </w:r>
    </w:p>
    <w:p>
      <w:pPr>
        <w:pStyle w:val="AlineaWithParag"/>
        <w:tabs>
          <w:tab w:val="left" w:pos="783"/>
        </w:tabs>
        <w:spacing w:after="120"/>
        <w:ind w:left="400"/>
      </w:pPr>
      <w:r>
        <w:t xml:space="preserve">2.</w:t>
      </w:r>
      <w:r>
        <w:tab/>
      </w:r>
      <w:r>
        <w:t xml:space="preserve">Þrátt fyrir ákvæði 1. mgr. og þegar þessi verðbréf eru ekki hlutabréf eða önnur framseljanleg verðbréf sem eru jafngild hlutabréfum, má semja útgefandalýsinguna fyrir eftirfarandi verðbréf í samræmi við 9. gr.:</w:t>
      </w:r>
    </w:p>
    <w:p>
      <w:pPr>
        <w:pStyle w:val="NumberedText"/>
        <w:tabs>
          <w:tab w:val="clear" w:pos="2047"/>
        </w:tabs>
        <w:spacing w:after="120"/>
        <w:ind w:left="700" w:hanging="300"/>
      </w:pPr>
      <w:r>
        <w:t xml:space="preserve">a)</w:t>
      </w:r>
      <w:r>
        <w:tab/>
      </w:r>
      <w:r>
        <w:t xml:space="preserve">verðbréfin sem um getur í 1. mgr. 19. gr. og 1. mgr. 20. gr. þessarar reglugerðar,</w:t>
      </w:r>
    </w:p>
    <w:p>
      <w:pPr>
        <w:pStyle w:val="NumberedText"/>
        <w:tabs>
          <w:tab w:val="clear" w:pos="2047"/>
        </w:tabs>
        <w:spacing w:after="120"/>
        <w:ind w:left="700" w:hanging="300"/>
      </w:pPr>
      <w:r>
        <w:t xml:space="preserve">b)</w:t>
      </w:r>
      <w:r>
        <w:tab/>
      </w:r>
      <w:r>
        <w:t xml:space="preserve">verðbréfin sem um getur í 2. mgr. 19. gr. þessarar reglugerðar, þegar þessi verðbréf eru skiptanleg fyrir eða breytanleg í hlutabréf sem eru eða verða gefin út af aðila sem tilheyrir samstæðu útgefandans og sem ekki eru tekin til viðskipta á skipulegum markaði,</w:t>
      </w:r>
    </w:p>
    <w:p>
      <w:pPr>
        <w:pStyle w:val="NumberedText"/>
        <w:tabs>
          <w:tab w:val="clear" w:pos="2047"/>
        </w:tabs>
        <w:ind w:left="700" w:hanging="300"/>
      </w:pPr>
      <w:r>
        <w:t xml:space="preserve">c)</w:t>
      </w:r>
      <w:r>
        <w:tab/>
      </w:r>
      <w:r>
        <w:t xml:space="preserve">verðbréfin sem um getur í 2. mgr. 20. gr. þessarar reglugerðar, þegar þessi verðbréf veita rétt til að skrá sig fyrir hlutabréfum eða afla hlutabréfa sem eru eða verða gefin út af aðila sem tilheyrir samstæðu útgefandans og sem ekki eru tekin til viðskipta á skipulegum markaði.</w:t>
      </w:r>
      <w:r>
        <w:rPr>
          <w:i/>
          <w:iCs/>
        </w:rPr>
        <w:t xml:space="preserve">“</w:t>
      </w:r>
    </w:p>
    <w:p>
      <w:pPr>
        <w:pStyle w:val="NumberedText"/>
        <w:tabs>
          <w:tab w:val="clear" w:pos="2047"/>
        </w:tabs>
        <w:ind w:left="400" w:hanging="400"/>
      </w:pPr>
      <w:r>
        <w:t xml:space="preserve">3)</w:t>
      </w:r>
      <w:r>
        <w:tab/>
      </w:r>
      <w:r>
        <w:t xml:space="preserve">Í stað 12. gr. kemur eftirfarandi:</w:t>
      </w:r>
    </w:p>
    <w:p>
      <w:pPr>
        <w:pStyle w:val="TIARTquoted"/>
        <w:ind w:left="400"/>
      </w:pPr>
      <w:r>
        <w:t xml:space="preserve">„12. gr.</w:t>
      </w:r>
    </w:p>
    <w:p>
      <w:pPr>
        <w:pStyle w:val="STIARTquoted"/>
        <w:spacing w:after="120"/>
        <w:ind w:left="400"/>
      </w:pPr>
      <w:r>
        <w:t xml:space="preserve">Verðbréfalýsing fyrir hlutabréfatengd verðbréf eða hlutdeildarskírteini sem gefin eru út af lokuðum sjóðum um sameiginlega fjárfestingu</w:t>
      </w:r>
    </w:p>
    <w:p>
      <w:pPr>
        <w:pStyle w:val="AlineaWithParag"/>
        <w:tabs>
          <w:tab w:val="left" w:pos="783"/>
        </w:tabs>
        <w:spacing w:after="120"/>
        <w:ind w:left="400"/>
      </w:pPr>
      <w:r>
        <w:t xml:space="preserve">1.</w:t>
      </w:r>
      <w:r>
        <w:tab/>
      </w:r>
      <w:r>
        <w:t xml:space="preserve">Sé um að ræða hlutabréfatengd verðbréf eða hlutdeildarskírteini sem gefin eru út af lokuðum sjóðum um sameiginlega fjárfestingu skal verðbréfalýsingin hafa að geyma þær upplýsingar sem um getur í 11. viðauka við þessa reglugerð nema hún sé samin í samræmi við 14. eða 15. gr. reglugerðar (ESB) 2017/1129.</w:t>
      </w:r>
    </w:p>
    <w:p>
      <w:pPr>
        <w:pStyle w:val="AlineaWithParag"/>
        <w:tabs>
          <w:tab w:val="left" w:pos="783"/>
        </w:tabs>
        <w:spacing w:after="0"/>
        <w:ind w:left="400"/>
      </w:pPr>
      <w:r>
        <w:t xml:space="preserve">2.</w:t>
      </w:r>
      <w:r>
        <w:tab/>
      </w:r>
      <w:r>
        <w:t xml:space="preserve">Þrátt fyrir ákvæði 1. mgr. og þegar þessi verðbréf eru ekki hlutabréf eða önnur framseljanleg verðbréf sem eru jafngild hlutabréfum skal semja verðbréfalýsinguna fyrir verðbréfin sem um getur í 1. og 2. mgr. 19. gr. og 1. og 2. mgr. 20 gr. þessarar reglugerðar í samræmi við 15. gr. þessarar reglugerðar að því er varðar verðbréf fyrir almenna fjárfesta eða 16. gr. þessarar reglugerðar fyrir verðbréf í heildsölu.“</w:t>
      </w:r>
      <w:r>
        <w:br w:type="page"/>
      </w:r>
    </w:p>
    <w:p>
      <w:pPr>
        <w:pStyle w:val="NumberedText"/>
        <w:tabs>
          <w:tab w:val="clear" w:pos="2047"/>
        </w:tabs>
        <w:spacing w:after="120"/>
        <w:ind w:left="400" w:hanging="400"/>
      </w:pPr>
      <w:r>
        <w:t xml:space="preserve">4)</w:t>
      </w:r>
      <w:r>
        <w:tab/>
      </w:r>
      <w:r>
        <w:t xml:space="preserve">Í stað 13. gr. kemur eftirfarandi:</w:t>
      </w:r>
    </w:p>
    <w:p>
      <w:pPr>
        <w:pStyle w:val="TIARTquoted"/>
        <w:spacing w:after="120"/>
        <w:ind w:left="400"/>
      </w:pPr>
      <w:r>
        <w:t xml:space="preserve">„13. gr.</w:t>
      </w:r>
    </w:p>
    <w:p>
      <w:pPr>
        <w:pStyle w:val="STIARTquoted"/>
        <w:spacing w:after="120"/>
        <w:ind w:left="400"/>
      </w:pPr>
      <w:r>
        <w:t xml:space="preserve">Verðbréfalýsing fyrir síðari útgáfur hlutabréfatengdra verðbréfa eða hlutdeildarskírteina sem gefin eru út af lokuðum sjóðum um sameiginlega fjárfestingu</w:t>
      </w:r>
    </w:p>
    <w:p>
      <w:pPr>
        <w:pStyle w:val="AlineaWithParag"/>
        <w:tabs>
          <w:tab w:val="left" w:pos="783"/>
        </w:tabs>
        <w:spacing w:after="120"/>
        <w:ind w:left="400"/>
      </w:pPr>
      <w:r>
        <w:t xml:space="preserve">1.</w:t>
      </w:r>
      <w:r>
        <w:tab/>
      </w:r>
      <w:r>
        <w:t xml:space="preserve">Sértæk verðbréfalýsing fyrir hlutabréfatengd verðbréf eða hlutdeildarskírteini sem gefin eru út af lokuðum sjóðum um sameiginlega fjárfestingu sem samin er í samræmi við 14. gr. reglugerðar (ESB) 2017/1129 skal hafa að geyma þær upplýsingar sem um getur í 12. viðauka við þessa reglugerð.</w:t>
      </w:r>
    </w:p>
    <w:p>
      <w:pPr>
        <w:pStyle w:val="AlineaWithParag"/>
        <w:tabs>
          <w:tab w:val="left" w:pos="783"/>
        </w:tabs>
        <w:spacing w:after="120"/>
        <w:ind w:left="400"/>
      </w:pPr>
      <w:r>
        <w:t xml:space="preserve">2.</w:t>
      </w:r>
      <w:r>
        <w:tab/>
      </w:r>
      <w:r>
        <w:t xml:space="preserve">Þrátt fyrir ákvæði 1. mgr. og þegar verðbréfin eru ekki hlutabréf eða önnur framseljanleg verðbréf sem eru jafngild hlutabréfum skal semja sértæka verðbréfalýsingu fyrir verðbréfin sem um getur í 1. og 2. mgr. 9. gr. og 1. og 2. mgr. 20 gr. þessarar reglugerðar í samræmi við 17. gr. þessarar reglugerðar.“</w:t>
      </w:r>
    </w:p>
    <w:p>
      <w:pPr>
        <w:pStyle w:val="NumberedText"/>
        <w:tabs>
          <w:tab w:val="clear" w:pos="2047"/>
        </w:tabs>
        <w:spacing w:after="120"/>
        <w:ind w:left="400" w:hanging="400"/>
      </w:pPr>
      <w:r>
        <w:t xml:space="preserve">5)</w:t>
      </w:r>
      <w:r>
        <w:tab/>
      </w:r>
      <w:r>
        <w:t xml:space="preserve">Í stað 4. mgr. 24. gr. kemur eftirfarandi:</w:t>
      </w:r>
    </w:p>
    <w:p>
      <w:pPr>
        <w:pStyle w:val="NumberedText"/>
        <w:tabs>
          <w:tab w:val="clear" w:pos="2047"/>
        </w:tabs>
        <w:spacing w:after="0"/>
        <w:ind w:left="740" w:hanging="340"/>
      </w:pPr>
      <w:r>
        <w:t xml:space="preserve">„4.</w:t>
      </w:r>
      <w:r>
        <w:tab/>
      </w:r>
      <w:r>
        <w:t xml:space="preserve">Sé almenn útgefandalýsing notuð í tengslum við 12. mgr. 9. gr. reglugerðar (ESB) 2017/1129 skal framsetning upplýsinganna sem um getur í þeirri grein vera í samræmi við framselda reglugerð framkvæmdastjórnarinnar (ESB) 2019/815 (</w:t>
      </w:r>
      <w:r>
        <w:fldChar w:fldCharType="begin" w:dirty="true"/>
      </w:r>
      <w:r>
        <w:instrText xml:space="preserve"> REF NOTE_8 \h  \* MERGEFORMAT </w:instrText>
      </w:r>
      <w:r>
        <w:fldChar w:fldCharType="separate"/>
      </w:r>
      <w:r>
        <w:t>*</w:t>
      </w:r>
      <w:r>
        <w:fldChar w:fldCharType="end"/>
      </w:r>
      <w:r>
        <w:t xml:space="preserve">).</w:t>
      </w:r>
    </w:p>
    <w:p>
      <w:pPr>
        <w:pStyle w:val="QuoteFootnoteRule"/>
        <w:pBdr>
          <w:bottom w:val="none" w:sz="0" w:space="0" w:color="auto"/>
        </w:pBdr>
        <w:tabs>
          <w:tab w:val="left" w:pos="1572"/>
        </w:tabs>
        <w:ind w:left="400" w:right="0"/>
        <w:rPr>
          <w:szCs w:val="18"/>
          <w:u w:val="single"/>
          <w:rFonts w:eastAsia="Times New Roman" w:cs="Times New Roman"/>
        </w:rPr>
      </w:pPr>
      <w:r>
        <w:rPr>
          <w:szCs w:val="18"/>
          <w:u w:val="single"/>
        </w:rPr>
        <w:tab/>
      </w:r>
    </w:p>
    <w:p>
      <w:pPr>
        <w:pStyle w:val="NumberedText"/>
        <w:spacing w:after="120"/>
        <w:ind w:left="700" w:hanging="300"/>
      </w:pPr>
      <w:r>
        <w:t xml:space="preserve">(</w:t>
      </w:r>
      <w:bookmarkStart w:id="7" w:name="NOTE_8"/>
      <w:r>
        <w:t xml:space="preserve">*</w:t>
      </w:r>
      <w:bookmarkEnd w:id="7"/>
      <w:r>
        <w:t xml:space="preserve">)</w:t>
      </w:r>
      <w:r>
        <w:tab/>
      </w:r>
      <w:r>
        <w:t xml:space="preserve">Framseld reglugerð framkvæmdastjórnarinnar (ESB) 2019/815 frá 17. desember 2018 um viðbætur við tilskipun Evrópuþingsins og ráðsins 2004/109/EB að því er varðar tæknilega eftirlitsstaðla um forskriftir fyrir sameiginlegt rafrænt skýrslusnið (Stjtíð. ESB L 143, 29.5.2019, bls. 1).“</w:t>
      </w:r>
    </w:p>
    <w:p>
      <w:pPr>
        <w:pStyle w:val="NumberedText"/>
        <w:tabs>
          <w:tab w:val="clear" w:pos="2047"/>
        </w:tabs>
        <w:spacing w:after="120"/>
        <w:ind w:left="400" w:hanging="400"/>
      </w:pPr>
      <w:r>
        <w:t xml:space="preserve">6)</w:t>
      </w:r>
      <w:r>
        <w:tab/>
      </w:r>
      <w:r>
        <w:t xml:space="preserve">Í stað 5. mgr. 25. gr. kemur eftirfarandi:</w:t>
      </w:r>
    </w:p>
    <w:p>
      <w:pPr>
        <w:pStyle w:val="NumberedText"/>
        <w:tabs>
          <w:tab w:val="clear" w:pos="2047"/>
        </w:tabs>
        <w:spacing w:after="120"/>
        <w:ind w:left="740" w:hanging="340"/>
      </w:pPr>
      <w:r>
        <w:t xml:space="preserve">„5.</w:t>
      </w:r>
      <w:r>
        <w:tab/>
      </w:r>
      <w:r>
        <w:t xml:space="preserve">Sé almenn útgefandalýsing notuð í tengslum við 12. mgr. 9. gr. reglugerðar (ESB) 2017/1129 skal framsetning upplýsinganna sem um getur í þeirri grein vera í samræmi við framselda reglugerð framkvæmdastjórnarinnar (ESB) 2019/815.“</w:t>
      </w:r>
    </w:p>
    <w:p>
      <w:pPr>
        <w:pStyle w:val="NumberedText"/>
        <w:tabs>
          <w:tab w:val="clear" w:pos="2047"/>
        </w:tabs>
        <w:spacing w:after="120"/>
        <w:ind w:left="400" w:hanging="400"/>
      </w:pPr>
      <w:r>
        <w:t xml:space="preserve">7)</w:t>
      </w:r>
      <w:r>
        <w:tab/>
      </w:r>
      <w:r>
        <w:t xml:space="preserve">Í stað 28. gr. kemur eftirfarandi:</w:t>
      </w:r>
    </w:p>
    <w:p>
      <w:pPr>
        <w:pStyle w:val="TIARTquoted"/>
        <w:spacing w:after="120"/>
        <w:ind w:left="400"/>
      </w:pPr>
      <w:r>
        <w:t xml:space="preserve">„28. gr.</w:t>
      </w:r>
    </w:p>
    <w:p>
      <w:pPr>
        <w:pStyle w:val="STIARTquoted"/>
        <w:spacing w:after="120"/>
        <w:ind w:left="400"/>
      </w:pPr>
      <w:r>
        <w:t xml:space="preserve">Útgefandalýsing fyrir ESB-vaxtarlýsingu fyrir hlutabréfatengd verðbréf</w:t>
      </w:r>
    </w:p>
    <w:p>
      <w:pPr>
        <w:pStyle w:val="AlineaWithParag"/>
        <w:tabs>
          <w:tab w:val="left" w:pos="783"/>
        </w:tabs>
        <w:spacing w:after="120"/>
        <w:ind w:left="400"/>
      </w:pPr>
      <w:r>
        <w:t xml:space="preserve">1.</w:t>
      </w:r>
      <w:r>
        <w:tab/>
      </w:r>
      <w:r>
        <w:t xml:space="preserve">Sértæk útgefandalýsing fyrir hlutabréfatengd verðbréf sem samin er í samræmi við 15. gr. reglugerðar (ESB) 2017/1129 skal hafa að geyma þær upplýsingar sem um getur í 24. viðauka við þessa reglugerð.</w:t>
      </w:r>
    </w:p>
    <w:p>
      <w:pPr>
        <w:pStyle w:val="AlineaWithParag"/>
        <w:tabs>
          <w:tab w:val="left" w:pos="783"/>
        </w:tabs>
        <w:spacing w:after="120"/>
        <w:ind w:left="400"/>
      </w:pPr>
      <w:r>
        <w:t xml:space="preserve">2.</w:t>
      </w:r>
      <w:r>
        <w:tab/>
      </w:r>
      <w:r>
        <w:t xml:space="preserve">Þrátt fyrir ákvæði 1. mgr. og þegar verðbréfin eru ekki hlutabréf eða önnur framseljanleg verðbréf sem eru jafngild hlutabréfum, má semja sértæku útgefandalýsinguna fyrir eftirfarandi verðbréf í samræmi við 29. gr. þessarar reglugerðar:</w:t>
      </w:r>
    </w:p>
    <w:p>
      <w:pPr>
        <w:pStyle w:val="NumberedText"/>
        <w:tabs>
          <w:tab w:val="clear" w:pos="2047"/>
        </w:tabs>
        <w:spacing w:after="120"/>
        <w:ind w:left="700" w:hanging="300"/>
      </w:pPr>
      <w:r>
        <w:t xml:space="preserve">a)</w:t>
      </w:r>
      <w:r>
        <w:tab/>
      </w:r>
      <w:r>
        <w:t xml:space="preserve">verðbréfin sem um getur í 1. mgr. 19. gr. og 1. mgr. 20. gr. þessarar reglugerðar,</w:t>
      </w:r>
    </w:p>
    <w:p>
      <w:pPr>
        <w:pStyle w:val="NumberedText"/>
        <w:tabs>
          <w:tab w:val="clear" w:pos="2047"/>
        </w:tabs>
        <w:spacing w:after="120"/>
        <w:ind w:left="700" w:hanging="300"/>
      </w:pPr>
      <w:r>
        <w:t xml:space="preserve">b)</w:t>
      </w:r>
      <w:r>
        <w:tab/>
      </w:r>
      <w:r>
        <w:t xml:space="preserve">verðbréfin sem um getur í 2. mgr. 19. gr. þessarar reglugerðar, þegar þessi verðbréf eru skiptanleg fyrir eða breytanleg í hlutabréf sem eru eða verða gefin út af aðila sem tilheyrir samstæðu útgefandans og sem ekki eru tekin til viðskipta á skipulegum markaði,</w:t>
      </w:r>
    </w:p>
    <w:p>
      <w:pPr>
        <w:pStyle w:val="NumberedText"/>
        <w:tabs>
          <w:tab w:val="clear" w:pos="2047"/>
        </w:tabs>
        <w:spacing w:after="120"/>
        <w:ind w:left="700" w:hanging="300"/>
      </w:pPr>
      <w:r>
        <w:t xml:space="preserve">c)</w:t>
      </w:r>
      <w:r>
        <w:tab/>
      </w:r>
      <w:r>
        <w:t xml:space="preserve">verðbréfin sem um getur í 2. mgr. 20. gr. þessarar reglugerðar, þegar þessi verðbréf veita rétt til að skrá sig fyrir hlutabréfum eða afla hlutabréfa sem eru eða verða gefin út af aðila sem tilheyrir samstæðu útgefandans og sem ekki eru tekin til viðskipta á skipulegum markaði.“</w:t>
      </w:r>
    </w:p>
    <w:p>
      <w:pPr>
        <w:pStyle w:val="NumberedText"/>
        <w:tabs>
          <w:tab w:val="clear" w:pos="2047"/>
        </w:tabs>
        <w:spacing w:after="120"/>
        <w:ind w:left="400" w:hanging="400"/>
      </w:pPr>
      <w:r>
        <w:t xml:space="preserve">8)</w:t>
      </w:r>
      <w:r>
        <w:tab/>
      </w:r>
      <w:r>
        <w:t xml:space="preserve">Í stað 30. gr. kemur eftirfarandi:</w:t>
      </w:r>
    </w:p>
    <w:p>
      <w:pPr>
        <w:pStyle w:val="TIARTquoted"/>
        <w:spacing w:after="120"/>
        <w:ind w:left="400"/>
      </w:pPr>
      <w:r>
        <w:t xml:space="preserve">„30. gr.</w:t>
      </w:r>
    </w:p>
    <w:p>
      <w:pPr>
        <w:pStyle w:val="STIARTquoted"/>
        <w:spacing w:after="120"/>
        <w:ind w:left="400"/>
      </w:pPr>
      <w:r>
        <w:t xml:space="preserve">Verðbréfalýsing fyrir ESB-vaxtarlýsingu fyrir hlutabréfatengd verðbréf</w:t>
      </w:r>
    </w:p>
    <w:p>
      <w:pPr>
        <w:pStyle w:val="AlineaWithParag"/>
        <w:tabs>
          <w:tab w:val="left" w:pos="783"/>
        </w:tabs>
        <w:spacing w:after="120"/>
        <w:ind w:left="400"/>
      </w:pPr>
      <w:r>
        <w:t xml:space="preserve">1.</w:t>
      </w:r>
      <w:r>
        <w:tab/>
      </w:r>
      <w:r>
        <w:t xml:space="preserve">Sértæk verðbréfalýsing fyrir hlutabréfatengd verðbréf sem samin er í samræmi við 15. gr. reglugerðar (ESB) 2017/1129 skal hafa að geyma þær upplýsingar sem um getur í 26. viðauka við þessa reglugerð.</w:t>
      </w:r>
    </w:p>
    <w:p>
      <w:pPr>
        <w:pStyle w:val="AlineaWithParag"/>
        <w:tabs>
          <w:tab w:val="left" w:pos="783"/>
        </w:tabs>
        <w:spacing w:after="120"/>
        <w:ind w:left="400"/>
      </w:pPr>
      <w:r>
        <w:t xml:space="preserve">2.</w:t>
      </w:r>
      <w:r>
        <w:tab/>
      </w:r>
      <w:r>
        <w:t xml:space="preserve">Þrátt fyrir ákvæði 1. mgr. og þegar þessi verðbréf eru ekki hlutabréf eða önnur framseljanleg verðbréf sem eru jafngild hlutabréfum skal semja sértæku verðbréfalýsinguna fyrir verðbréfin sem um getur í 1. og 2. mgr. 19. gr. og 1. og 2. mgr. 20 gr. þessarar reglugerðar í samræmi við 31. gr. þessarar reglugerðar.“</w:t>
      </w:r>
    </w:p>
    <w:p>
      <w:pPr>
        <w:pStyle w:val="NumberedText"/>
        <w:tabs>
          <w:tab w:val="clear" w:pos="2047"/>
        </w:tabs>
        <w:spacing w:after="120"/>
        <w:ind w:left="400" w:hanging="400"/>
      </w:pPr>
      <w:r>
        <w:t xml:space="preserve">9)</w:t>
      </w:r>
      <w:r>
        <w:tab/>
      </w:r>
      <w:r>
        <w:t xml:space="preserve">Í stað e-liðar 1. mgr. 32. gr. kemur eftirfarandi:</w:t>
      </w:r>
    </w:p>
    <w:p>
      <w:pPr>
        <w:pStyle w:val="NumberedText"/>
        <w:tabs>
          <w:tab w:val="clear" w:pos="2047"/>
        </w:tabs>
        <w:spacing w:after="0"/>
        <w:ind w:left="800" w:hanging="400"/>
      </w:pPr>
      <w:r>
        <w:t xml:space="preserve">„e)</w:t>
      </w:r>
      <w:r>
        <w:tab/>
      </w:r>
      <w:r>
        <w:t xml:space="preserve">þeim upplýsingum sem um getur í 1. þætti 24. viðauka og 1. þætti 26. viðauka eða þeim upplýsingum sem um getur í 1. þætti 25. viðauka og 1. þætti 27. viðauka við þessa reglugerð, með hliðsjón af tegund verðbréfanna.“</w:t>
      </w:r>
      <w:r>
        <w:br w:type="page"/>
      </w:r>
    </w:p>
    <w:p>
      <w:pPr>
        <w:pStyle w:val="NumberedText"/>
        <w:tabs>
          <w:tab w:val="clear" w:pos="2047"/>
        </w:tabs>
        <w:spacing w:after="120"/>
        <w:ind w:left="400" w:hanging="400"/>
      </w:pPr>
      <w:r>
        <w:t xml:space="preserve">10)</w:t>
      </w:r>
      <w:r>
        <w:tab/>
      </w:r>
      <w:r>
        <w:t xml:space="preserve">Í stað g-liðar 1. mgr. 32. gr. kemur eftirfarandi:</w:t>
      </w:r>
    </w:p>
    <w:p>
      <w:pPr>
        <w:pStyle w:val="NumberedText"/>
        <w:tabs>
          <w:tab w:val="clear" w:pos="2047"/>
        </w:tabs>
        <w:spacing w:after="120"/>
        <w:ind w:left="800" w:hanging="400"/>
      </w:pPr>
      <w:r>
        <w:t xml:space="preserve">„g)</w:t>
      </w:r>
      <w:r>
        <w:tab/>
      </w:r>
      <w:r>
        <w:t xml:space="preserve">fyrir hlutabréfatengd verðbréf, upplýsingunum sem um getur í 2.1 lið 26. viðauka og, séu hlutabréfatengd verðbréf gefin út af útgefanda með markaðsverðmæti yfir 200 000 000 evrum, þeim upplýsingum sem um getur í 2.2 lið 26. viðauka við þessa reglugerð.“</w:t>
      </w:r>
    </w:p>
    <w:p>
      <w:pPr>
        <w:pStyle w:val="NumberedText"/>
        <w:tabs>
          <w:tab w:val="clear" w:pos="2047"/>
        </w:tabs>
        <w:spacing w:after="120"/>
        <w:ind w:left="400" w:hanging="400"/>
      </w:pPr>
      <w:r>
        <w:t xml:space="preserve">11)</w:t>
      </w:r>
      <w:r>
        <w:tab/>
      </w:r>
      <w:r>
        <w:t xml:space="preserve">Eftirfarandi p- og q-liðir bætist við 1. mgr. 32. gr.:</w:t>
      </w:r>
    </w:p>
    <w:p>
      <w:pPr>
        <w:pStyle w:val="NumberedText"/>
        <w:tabs>
          <w:tab w:val="clear" w:pos="2047"/>
        </w:tabs>
        <w:spacing w:after="120"/>
        <w:ind w:left="800" w:hanging="400"/>
      </w:pPr>
      <w:r>
        <w:t xml:space="preserve">„p)</w:t>
      </w:r>
      <w:r>
        <w:tab/>
      </w:r>
      <w:r>
        <w:t xml:space="preserve">sé krafist upplýsinga um undirliggjandi hlutabréf skv. b-lið 2. mgr. 19. gr., 3. mgr. 19. gr. eða b-lið 2. mgr. 20. gr. þessarar reglugerðar, þeim upplýsingum sem um getur í 6. þætti 26. viðauka við þessa reglugerð eða þeim upplýsingum sem um getur í 6. þætti 27. viðauka við þessa reglugerð, með hliðsjón af tegund verðbréfanna,</w:t>
      </w:r>
    </w:p>
    <w:p>
      <w:pPr>
        <w:pStyle w:val="NumberedText"/>
        <w:tabs>
          <w:tab w:val="clear" w:pos="2047"/>
        </w:tabs>
        <w:ind w:left="800" w:hanging="400"/>
      </w:pPr>
      <w:r>
        <w:t xml:space="preserve">q)</w:t>
      </w:r>
      <w:r>
        <w:tab/>
      </w:r>
      <w:r>
        <w:t xml:space="preserve">samþykki útgefandinn eða sá sem ber ábyrgð á að semja lýsinguna notkun hennar eins og um getur í annarri undirgrein 1. mgr. 5. gr. reglugerðar (ESB) 2017/1129, þeim upplýsingum sem um getur í 7. þætti 26. viðauka eða í 7. þætti 27. viðauka við þessa reglugerð, með hliðsjón af tegund verðbréfanna.“</w:t>
      </w:r>
    </w:p>
    <w:p>
      <w:pPr>
        <w:pStyle w:val="NumberedText"/>
        <w:tabs>
          <w:tab w:val="clear" w:pos="2047"/>
        </w:tabs>
        <w:ind w:left="400" w:hanging="400"/>
      </w:pPr>
      <w:r>
        <w:t xml:space="preserve">12)</w:t>
      </w:r>
      <w:r>
        <w:tab/>
      </w:r>
      <w:r>
        <w:t xml:space="preserve">Eftirfarandi 46. gr. a bætist við:</w:t>
      </w:r>
    </w:p>
    <w:p>
      <w:pPr>
        <w:pStyle w:val="TIARTquoted"/>
        <w:ind w:left="400"/>
      </w:pPr>
      <w:r>
        <w:t xml:space="preserve">„46. gr. a</w:t>
      </w:r>
    </w:p>
    <w:p>
      <w:pPr>
        <w:pStyle w:val="STIARTquoted"/>
        <w:spacing w:after="120"/>
        <w:ind w:left="400"/>
      </w:pPr>
      <w:r>
        <w:t xml:space="preserve">Lýsing sem samþykkt er á milli 21. júlí 2019 og 16. september 2020</w:t>
      </w:r>
    </w:p>
    <w:p>
      <w:pPr>
        <w:pStyle w:val="Alinea"/>
        <w:spacing w:after="120"/>
        <w:ind w:left="400"/>
      </w:pPr>
      <w:r>
        <w:t xml:space="preserve">Lýsingar sem samþykktar hafa verið á milli 21. júlí 2019 og 16. september 2020 gilda áfram þar til gildistími þeirra rennur út.“</w:t>
      </w:r>
    </w:p>
    <w:p>
      <w:pPr>
        <w:pStyle w:val="NumberedText"/>
        <w:tabs>
          <w:tab w:val="clear" w:pos="2047"/>
        </w:tabs>
        <w:spacing w:after="120"/>
        <w:ind w:left="400" w:hanging="400"/>
      </w:pPr>
      <w:r>
        <w:t xml:space="preserve">13)</w:t>
      </w:r>
      <w:r>
        <w:tab/>
      </w:r>
      <w:r>
        <w:t xml:space="preserve">Ákvæðum 1. viðauka er breytt í samræmi við I. viðauka við þessa reglugerð,</w:t>
      </w:r>
    </w:p>
    <w:p>
      <w:pPr>
        <w:pStyle w:val="NumberedText"/>
        <w:tabs>
          <w:tab w:val="clear" w:pos="2047"/>
        </w:tabs>
        <w:spacing w:after="120"/>
        <w:ind w:left="400" w:hanging="400"/>
      </w:pPr>
      <w:r>
        <w:t xml:space="preserve">14)</w:t>
      </w:r>
      <w:r>
        <w:tab/>
      </w:r>
      <w:r>
        <w:t xml:space="preserve">Ákvæðum 3. viðauka er breytt í samræmi við II. viðauka við þessa reglugerð,</w:t>
      </w:r>
    </w:p>
    <w:p>
      <w:pPr>
        <w:pStyle w:val="NumberedText"/>
        <w:tabs>
          <w:tab w:val="clear" w:pos="2047"/>
        </w:tabs>
        <w:spacing w:after="120"/>
        <w:ind w:left="400" w:hanging="400"/>
      </w:pPr>
      <w:r>
        <w:t xml:space="preserve">15)</w:t>
      </w:r>
      <w:r>
        <w:tab/>
      </w:r>
      <w:r>
        <w:t xml:space="preserve">Ákvæðum 4. viðauka er breytt í samræmi við III. viðauka við þessa reglugerð,</w:t>
      </w:r>
    </w:p>
    <w:p>
      <w:pPr>
        <w:pStyle w:val="NumberedText"/>
        <w:tabs>
          <w:tab w:val="clear" w:pos="2047"/>
        </w:tabs>
        <w:spacing w:after="120"/>
        <w:ind w:left="400" w:hanging="400"/>
      </w:pPr>
      <w:r>
        <w:t xml:space="preserve">16)</w:t>
      </w:r>
      <w:r>
        <w:tab/>
      </w:r>
      <w:r>
        <w:t xml:space="preserve">Ákvæðum 6. viðauka er breytt í samræmi við IV. viðauka við þessa reglugerð,</w:t>
      </w:r>
    </w:p>
    <w:p>
      <w:pPr>
        <w:pStyle w:val="NumberedText"/>
        <w:tabs>
          <w:tab w:val="clear" w:pos="2047"/>
        </w:tabs>
        <w:spacing w:after="120"/>
        <w:ind w:left="400" w:hanging="400"/>
      </w:pPr>
      <w:r>
        <w:t xml:space="preserve">17)</w:t>
      </w:r>
      <w:r>
        <w:tab/>
      </w:r>
      <w:r>
        <w:t xml:space="preserve">Ákvæðum 7. viðauka er breytt í samræmi við V. viðauka við þessa reglugerð,</w:t>
      </w:r>
    </w:p>
    <w:p>
      <w:pPr>
        <w:pStyle w:val="NumberedText"/>
        <w:tabs>
          <w:tab w:val="clear" w:pos="2047"/>
        </w:tabs>
        <w:spacing w:after="120"/>
        <w:ind w:left="400" w:hanging="400"/>
      </w:pPr>
      <w:r>
        <w:t xml:space="preserve">18)</w:t>
      </w:r>
      <w:r>
        <w:tab/>
      </w:r>
      <w:r>
        <w:t xml:space="preserve">Ákvæðum 8. viðauka er breytt í samræmi við VI. viðauka við þessa reglugerð,</w:t>
      </w:r>
    </w:p>
    <w:p>
      <w:pPr>
        <w:pStyle w:val="NumberedText"/>
        <w:tabs>
          <w:tab w:val="clear" w:pos="2047"/>
        </w:tabs>
        <w:spacing w:after="120"/>
        <w:ind w:left="400" w:hanging="400"/>
      </w:pPr>
      <w:r>
        <w:t xml:space="preserve">19)</w:t>
      </w:r>
      <w:r>
        <w:tab/>
      </w:r>
      <w:r>
        <w:t xml:space="preserve">Ákvæðum 9. viðauka er breytt í samræmi við VII. viðauka við þessa reglugerð,</w:t>
      </w:r>
    </w:p>
    <w:p>
      <w:pPr>
        <w:pStyle w:val="NumberedText"/>
        <w:tabs>
          <w:tab w:val="clear" w:pos="2047"/>
        </w:tabs>
        <w:spacing w:after="120"/>
        <w:ind w:left="400" w:hanging="400"/>
      </w:pPr>
      <w:r>
        <w:t xml:space="preserve">20)</w:t>
      </w:r>
      <w:r>
        <w:tab/>
      </w:r>
      <w:r>
        <w:t xml:space="preserve">Ákvæðum 16. viðauka er breytt í samræmi við VIII. viðauka við þessa reglugerð,</w:t>
      </w:r>
    </w:p>
    <w:p>
      <w:pPr>
        <w:pStyle w:val="NumberedText"/>
        <w:tabs>
          <w:tab w:val="clear" w:pos="2047"/>
        </w:tabs>
        <w:spacing w:after="120"/>
        <w:ind w:left="400" w:hanging="400"/>
      </w:pPr>
      <w:r>
        <w:t xml:space="preserve">21)</w:t>
      </w:r>
      <w:r>
        <w:tab/>
      </w:r>
      <w:r>
        <w:t xml:space="preserve">Ákvæðum 24. viðauka er breytt í samræmi við IX. viðauka við þessa reglugerð,</w:t>
      </w:r>
    </w:p>
    <w:p>
      <w:pPr>
        <w:pStyle w:val="NumberedText"/>
        <w:tabs>
          <w:tab w:val="clear" w:pos="2047"/>
        </w:tabs>
        <w:spacing w:after="120"/>
        <w:ind w:left="400" w:hanging="400"/>
      </w:pPr>
      <w:r>
        <w:t xml:space="preserve">22)</w:t>
      </w:r>
      <w:r>
        <w:tab/>
      </w:r>
      <w:r>
        <w:t xml:space="preserve">Ákvæðum 25. viðauka er breytt í samræmi við X. viðauka við þessa reglugerð,</w:t>
      </w:r>
    </w:p>
    <w:p>
      <w:pPr>
        <w:pStyle w:val="NumberedText"/>
        <w:tabs>
          <w:tab w:val="clear" w:pos="2047"/>
        </w:tabs>
        <w:spacing w:after="120"/>
        <w:ind w:left="400" w:hanging="400"/>
      </w:pPr>
      <w:r>
        <w:t xml:space="preserve">23)</w:t>
      </w:r>
      <w:r>
        <w:tab/>
      </w:r>
      <w:r>
        <w:t xml:space="preserve">Ákvæðum 26. viðauka er breytt í samræmi við XI. viðauka við þessa reglugerð,</w:t>
      </w:r>
    </w:p>
    <w:p>
      <w:pPr>
        <w:pStyle w:val="NumberedText"/>
        <w:tabs>
          <w:tab w:val="clear" w:pos="2047"/>
        </w:tabs>
        <w:ind w:left="400" w:hanging="400"/>
      </w:pPr>
      <w:r>
        <w:t xml:space="preserve">24)</w:t>
      </w:r>
      <w:r>
        <w:tab/>
      </w:r>
      <w:r>
        <w:t xml:space="preserve">Ákvæðum 27. viðauka er breytt í samræmi við XII. viðauka við þessa reglugerð.</w:t>
      </w:r>
    </w:p>
    <w:p>
      <w:pPr>
        <w:pStyle w:val="TIART"/>
      </w:pPr>
      <w:r>
        <w:t xml:space="preserve">2. gr.</w:t>
      </w:r>
    </w:p>
    <w:p>
      <w:pPr>
        <w:pStyle w:val="STIART"/>
      </w:pPr>
      <w:r>
        <w:t xml:space="preserve">Leiðréttingar á framseldri reglugerð (ESB) 2019/980</w:t>
      </w:r>
    </w:p>
    <w:p>
      <w:pPr>
        <w:pStyle w:val="NumberedText"/>
        <w:tabs>
          <w:tab w:val="right" w:pos="149"/>
        </w:tabs>
        <w:spacing w:before="200"/>
        <w:ind w:left="300" w:hanging="300"/>
      </w:pPr>
      <w:r>
        <w:tab/>
      </w:r>
      <w:r>
        <w:t xml:space="preserve">1)</w:t>
      </w:r>
      <w:r>
        <w:tab/>
      </w:r>
      <w:r>
        <w:t xml:space="preserve">Í stað 7. mgr. 33. gr. framseldrar reglugerðar (ESB) 2019/980 kemur eftirfarandi:</w:t>
      </w:r>
    </w:p>
    <w:p>
      <w:pPr>
        <w:pStyle w:val="NumberedText"/>
        <w:tabs>
          <w:tab w:val="right" w:pos="488"/>
        </w:tabs>
        <w:ind w:left="632" w:hanging="338"/>
      </w:pPr>
      <w:r>
        <w:tab/>
      </w:r>
      <w:r>
        <w:t xml:space="preserve">„7.</w:t>
      </w:r>
      <w:r>
        <w:tab/>
      </w:r>
      <w:r>
        <w:t xml:space="preserve">Í sértæku samantektinni má nota undirfyrirsagnir til að framsetningar á þeim upplýsingum sem um getur í 2., 3. og 4. þætti 23. viðauka við þessa reglugerð.“</w:t>
      </w:r>
    </w:p>
    <w:p>
      <w:pPr>
        <w:pStyle w:val="NumberedText"/>
        <w:tabs>
          <w:tab w:val="right" w:pos="149"/>
        </w:tabs>
        <w:spacing w:before="200"/>
        <w:ind w:left="300" w:hanging="300"/>
      </w:pPr>
      <w:r>
        <w:tab/>
      </w:r>
      <w:r>
        <w:t xml:space="preserve">2)</w:t>
      </w:r>
      <w:r>
        <w:tab/>
      </w:r>
      <w:r>
        <w:t xml:space="preserve">Í stað g-liðar 2. mgr. 42. gr. kemur eftirfarandi:</w:t>
      </w:r>
    </w:p>
    <w:p>
      <w:pPr>
        <w:pStyle w:val="NumberedText"/>
        <w:ind w:left="707" w:hanging="413"/>
      </w:pPr>
      <w:r>
        <w:t xml:space="preserve">„g)</w:t>
      </w:r>
      <w:r>
        <w:tab/>
      </w:r>
      <w:r>
        <w:t xml:space="preserve">viðauki, sé þess krafist skv. 4. mgr. 26. gr. reglugerðar (ESB) nr. 2017/1129 nema samantektar sé ekki krafist samkvæmt annarri undirgrein 1. mgr. 7. gr. þeirrar reglugerðar.“</w:t>
      </w:r>
    </w:p>
    <w:p>
      <w:pPr>
        <w:pStyle w:val="TIART"/>
        <w:spacing w:after="120"/>
      </w:pPr>
      <w:r>
        <w:t xml:space="preserve">3. gr.</w:t>
      </w:r>
    </w:p>
    <w:p>
      <w:pPr>
        <w:pStyle w:val="STIART"/>
        <w:spacing w:after="120"/>
      </w:pPr>
      <w:r>
        <w:t xml:space="preserve">Gildistaka og dagurinn þegar reglugerðin kemur til framkvæmda</w:t>
      </w:r>
    </w:p>
    <w:p>
      <w:pPr>
        <w:pStyle w:val="Alinea"/>
        <w:spacing w:after="120"/>
      </w:pPr>
      <w:r>
        <w:t xml:space="preserve">Reglugerð þessi öðlast gildi á þriðja degi eftir að hún birtist í </w:t>
      </w:r>
      <w:r>
        <w:rPr>
          <w:i/>
          <w:iCs/>
        </w:rPr>
        <w:t xml:space="preserve">Stjórnartíðindum Evrópusambandsins</w:t>
      </w:r>
      <w:r>
        <w:t xml:space="preserve">.</w:t>
      </w:r>
    </w:p>
    <w:p>
      <w:pPr>
        <w:pStyle w:val="Alinea"/>
        <w:spacing w:after="0"/>
      </w:pPr>
      <w:r>
        <w:t xml:space="preserve">Ákvæði 1. til 8. liðar 1. gr. og 2. gr. koma þó til framkvæmda frá og með 21. júlí 2019.</w:t>
      </w:r>
    </w:p>
    <w:p>
      <w:pPr>
        <w:pStyle w:val="Para"/>
        <w:sectPr>
          <w:headerReference w:type="default" r:id="rId8"/>
          <w:footnotePr>
            <w:pos w:val="beneathText"/>
          </w:footnotePr>
          <w:pgSz w:w="11906" w:h="16838" w:code="9"/>
          <w:pgMar w:top="1680" w:right="1333" w:bottom="840" w:left="1333" w:header="920" w:footer="280" w:gutter="0"/>
          <w:cols w:space="708"/>
          <w:vAlign w:val="both"/>
          <w:docGrid w:linePitch="360"/>
        </w:sectPr>
      </w:pPr>
    </w:p>
    <w:p>
      <w:pPr>
        <w:pStyle w:val="Final"/>
        <w:spacing w:after="300"/>
        <w:ind w:left="1060"/>
      </w:pPr>
      <w:r>
        <w:t xml:space="preserve">Reglugerð þessi er bindandi í heild sinni og gildir í öllum aðildarríkjunum án frekari lögfestingar.</w:t>
      </w:r>
    </w:p>
    <w:p>
      <w:pPr>
        <w:pStyle w:val="Final"/>
        <w:spacing w:after="300"/>
        <w:ind w:left="1060"/>
      </w:pPr>
      <w:r>
        <w:t xml:space="preserve">Gjört í Brussel 4. júní 2020.</w:t>
      </w:r>
    </w:p>
    <w:tbl>
      <w:tblPr>
        <w:tblW w:w="7908" w:type="dxa"/>
        <w:tblInd w:w="670" w:type="dxa"/>
        <w:tblLook w:val="04A0" w:firstRow="1" w:lastRow="0" w:firstColumn="1" w:lastColumn="0" w:noHBand="0" w:noVBand="1"/>
      </w:tblPr>
      <w:tblGrid>
        <w:gridCol w:w="3954"/>
        <w:gridCol w:w="3954"/>
      </w:tblGrid>
      <w:tr>
        <w:trPr>
          <w:trHeight w:val="440"/>
        </w:trPr>
        <w:tc>
          <w:tcPr>
            <w:tcW w:w="3954" w:type="dxa"/>
            <w:vMerge w:val="restart"/>
          </w:tcPr>
          <w:p>
            <w:pPr>
              <w:pStyle w:val="Para"/>
            </w:pPr>
          </w:p>
        </w:tc>
        <w:tc>
          <w:tcPr>
            <w:tcW w:w="3954" w:type="dxa"/>
            <w:vMerge w:val="restart"/>
          </w:tcPr>
          <w:p>
            <w:pPr>
              <w:pStyle w:val="Signatory"/>
              <w:spacing w:after="120"/>
            </w:pPr>
            <w:r>
              <w:rPr>
                <w:i/>
              </w:rPr>
              <w:t xml:space="preserve">Fyrir hönd framkvæmdastjórnarinnar,</w:t>
            </w:r>
          </w:p>
          <w:p>
            <w:pPr>
              <w:pStyle w:val="SignatorySmall"/>
              <w:spacing w:after="120"/>
            </w:pPr>
            <w:r>
              <w:t xml:space="preserve">Ursula VON DER LEYEN</w:t>
            </w:r>
          </w:p>
          <w:p>
            <w:pPr>
              <w:pStyle w:val="Signatory"/>
              <w:spacing w:after="120"/>
            </w:pPr>
            <w:r>
              <w:rPr>
                <w:i/>
              </w:rPr>
              <w:t xml:space="preserve">forseti.</w:t>
            </w:r>
          </w:p>
        </w:tc>
      </w:tr>
    </w:tbl>
    <w:p>
      <w:pPr>
        <w:pStyle w:val="line2"/>
        <w:pBdr>
          <w:bottom w:val="none" w:sz="0" w:space="0" w:color="auto"/>
        </w:pBdr>
        <w:tabs>
          <w:tab w:val="left" w:leader="underscore" w:pos="522"/>
        </w:tabs>
        <w:spacing w:before="300"/>
        <w:ind w:left="0" w:right="0"/>
      </w:pPr>
      <w:r>
        <w:tab/>
      </w:r>
    </w:p>
    <w:p>
      <w:pPr>
        <w:pStyle w:val="Para"/>
        <w:sectPr>
          <w:pgSz w:w="11906" w:h="16838" w:code="9"/>
          <w:pgMar w:top="1680" w:right="1333" w:bottom="840" w:left="1333" w:header="920" w:footer="280" w:gutter="0"/>
          <w:cols w:space="708"/>
          <w:docGrid w:linePitch="360"/>
        </w:sectPr>
      </w:pPr>
    </w:p>
    <w:p>
      <w:pPr>
        <w:pStyle w:val="AnnexTI"/>
        <w:spacing w:after="360"/>
      </w:pPr>
      <w:r>
        <w:rPr>
          <w:i/>
          <w:iCs/>
        </w:rPr>
        <w:t xml:space="preserve">I. VIÐAUKI</w:t>
      </w:r>
    </w:p>
    <w:p>
      <w:pPr>
        <w:pStyle w:val="AnnexNormal"/>
      </w:pPr>
      <w:r>
        <w:t xml:space="preserve">Ákvæðum 18. þáttar 1. viðauka er breytt sem hér segir:</w:t>
      </w:r>
    </w:p>
    <w:p>
      <w:pPr>
        <w:pStyle w:val="AnnexNumberedText"/>
        <w:spacing w:before="200"/>
        <w:ind w:left="300" w:hanging="300"/>
      </w:pPr>
      <w:r>
        <w:t xml:space="preserve">1)</w:t>
      </w:r>
      <w:r>
        <w:tab/>
      </w:r>
      <w:r>
        <w:t xml:space="preserve">Í stað liðar 18.3.1 kemur eftirfarandi:</w:t>
      </w:r>
    </w:p>
    <w:tbl>
      <w:tblPr>
        <w:tblStyle w:val="EFTATable"/>
        <w:tblW w:w="4838" w:type="pct"/>
        <w:tblInd w:w="300" w:type="dxa"/>
        <w:tblLayout w:type="fixed"/>
        <w:tblLook w:val="04A0" w:firstRow="1" w:lastRow="0" w:firstColumn="1" w:lastColumn="0" w:noHBand="0" w:noVBand="1"/>
      </w:tblPr>
      <w:tblGrid>
        <w:gridCol w:w="1788"/>
        <w:gridCol w:w="7153"/>
      </w:tblGrid>
      <w:tr>
        <w:trPr>
          <w:trHeight w:val="240"/>
        </w:trPr>
        <w:tc>
          <w:tcPr>
            <w:tcW w:w="1000" w:type="pct"/>
            <w:tcMar>
              <w:top w:w="100" w:type="dxa"/>
              <w:left w:w="0" w:type="dxa"/>
              <w:bottom w:w="100" w:type="dxa"/>
              <w:right w:w="60" w:type="dxa"/>
            </w:tcMar>
          </w:tcPr>
          <w:p>
            <w:pPr>
              <w:pStyle w:val="AnnexTableCellLeft"/>
            </w:pPr>
            <w:r>
              <w:t xml:space="preserve">„</w:t>
            </w:r>
            <w:r>
              <w:rPr>
                <w:b/>
                <w:bCs/>
              </w:rPr>
              <w:t xml:space="preserve">Liður 18.3.1</w:t>
            </w:r>
          </w:p>
        </w:tc>
        <w:tc>
          <w:tcPr>
            <w:tcW w:w="4000" w:type="pct"/>
            <w:tcMar>
              <w:top w:w="100" w:type="dxa"/>
              <w:left w:w="60" w:type="dxa"/>
              <w:bottom w:w="100" w:type="dxa"/>
              <w:right w:w="0" w:type="dxa"/>
            </w:tcMar>
          </w:tcPr>
          <w:p>
            <w:pPr>
              <w:pStyle w:val="AnnexTableCellLeft"/>
            </w:pPr>
            <w:r>
              <w:t xml:space="preserve">Sögulegar, árlegar fjárhagsupplýsingar skulu hafa verið endurskoðaðar á óháðan hátt.</w:t>
            </w:r>
            <w:r>
              <w:t xml:space="preserve"> </w:t>
            </w:r>
            <w:r>
              <w:t xml:space="preserve">Áritun endurskoðanda skal samin í samræmi við tilskipun Evrópuþingsins og ráðsins 2006/43/EB (</w:t>
            </w:r>
            <w:r>
              <w:fldChar w:fldCharType="begin" w:dirty="true"/>
            </w:r>
            <w:r>
              <w:instrText xml:space="preserve"> REF NOTE_9 \h  \* MERGEFORMAT </w:instrText>
            </w:r>
            <w:r>
              <w:fldChar w:fldCharType="separate"/>
            </w:r>
            <w:r>
              <w:t>*</w:t>
            </w:r>
            <w:r>
              <w:fldChar w:fldCharType="end"/>
            </w:r>
            <w:r>
              <w:t xml:space="preserve">) og reglugerð Evrópuþingsins og ráðsins (ESB) nr. 537/2014 (</w:t>
            </w:r>
            <w:r>
              <w:fldChar w:fldCharType="begin" w:dirty="true"/>
            </w:r>
            <w:r>
              <w:instrText xml:space="preserve"> REF NOTE_10 \h  \* MERGEFORMAT </w:instrText>
            </w:r>
            <w:r>
              <w:fldChar w:fldCharType="separate"/>
            </w:r>
            <w:r>
              <w:t>**</w:t>
            </w:r>
            <w:r>
              <w:fldChar w:fldCharType="end"/>
            </w:r>
            <w:r>
              <w:t xml:space="preserve">).</w:t>
            </w:r>
          </w:p>
          <w:p>
            <w:pPr>
              <w:pStyle w:val="AnnexTableCellLeft"/>
            </w:pPr>
            <w:r>
              <w:t xml:space="preserve">Ef tilskipun 2006/43/EB og reglugerð (ESB) nr. 537/2014 eiga ekki við verður að endurskoða sögulegar, árlegar fjárhagsupplýsingar eða láta fylgja með þeim tilgreiningu á því hvort, með tilliti til útgefandalýsingarinnar, þær gefa glögga mynd í samræmi við gildandi endurskoðunarstaðla í viðkomandi aðildarríki eða sambærilegan staðal.</w:t>
            </w:r>
          </w:p>
        </w:tc>
      </w:tr>
    </w:tbl>
    <w:p>
      <w:pPr>
        <w:pStyle w:val="AnnexTableGrNotes"/>
        <w:tabs>
          <w:tab w:val="left" w:pos="1440"/>
        </w:tabs>
        <w:spacing w:before="400" w:line="240" w:lineRule="exact"/>
        <w:ind w:left="300" w:firstLine="0"/>
        <w:rPr>
          <w:sz w:val="18"/>
          <w:szCs w:val="18"/>
          <w:u w:val="single"/>
        </w:rPr>
      </w:pPr>
      <w:r>
        <w:rPr>
          <w:sz w:val="18"/>
          <w:szCs w:val="18"/>
          <w:u w:val="single"/>
        </w:rPr>
        <w:tab/>
      </w:r>
    </w:p>
    <w:p>
      <w:pPr>
        <w:pStyle w:val="AnnexTableGrNotes"/>
        <w:spacing w:line="240" w:lineRule="exact"/>
        <w:ind w:left="660" w:hanging="360"/>
        <w:rPr>
          <w:sz w:val="18"/>
          <w:szCs w:val="18"/>
        </w:rPr>
      </w:pPr>
      <w:r>
        <w:rPr>
          <w:sz w:val="18"/>
          <w:szCs w:val="18"/>
        </w:rPr>
        <w:t xml:space="preserve">(</w:t>
      </w:r>
      <w:bookmarkStart w:id="8" w:name="NOTE_9"/>
      <w:r>
        <w:rPr>
          <w:sz w:val="18"/>
          <w:szCs w:val="18"/>
        </w:rPr>
        <w:t xml:space="preserve">*</w:t>
      </w:r>
      <w:bookmarkEnd w:id="8"/>
      <w:r>
        <w:rPr>
          <w:sz w:val="18"/>
          <w:szCs w:val="18"/>
        </w:rPr>
        <w:t xml:space="preserve">)</w:t>
      </w:r>
      <w:r>
        <w:rPr>
          <w:sz w:val="18"/>
          <w:szCs w:val="18"/>
        </w:rPr>
        <w:tab/>
      </w:r>
      <w:r>
        <w:rPr>
          <w:sz w:val="18"/>
          <w:szCs w:val="18"/>
        </w:rPr>
        <w:t xml:space="preserve">Með tilskipun Evrópuþingsins og ráðsins 2006/43/EB frá 17. maí 2006 um lögboðna endurskoðun ársreikninga og samstæðureikningsskila, um breytingu á tilskipunum ráðsins 78/660/EBE og 83/349/EBE  og um niðurfellingu á tilskipun ráðsins 84/253/EBE (Stjtíð. ESB L 157, 9.6.2006, bls. 87).</w:t>
      </w:r>
    </w:p>
    <w:p>
      <w:pPr>
        <w:pStyle w:val="AnnexTableGrNotes"/>
        <w:spacing w:line="240" w:lineRule="exact"/>
        <w:ind w:left="660" w:hanging="360"/>
        <w:rPr>
          <w:sz w:val="18"/>
          <w:szCs w:val="18"/>
        </w:rPr>
      </w:pPr>
      <w:r>
        <w:rPr>
          <w:sz w:val="18"/>
          <w:szCs w:val="18"/>
        </w:rPr>
        <w:t xml:space="preserve">(</w:t>
      </w:r>
      <w:bookmarkStart w:id="9" w:name="NOTE_10"/>
      <w:r>
        <w:rPr>
          <w:sz w:val="18"/>
          <w:szCs w:val="18"/>
        </w:rPr>
        <w:t xml:space="preserve">**</w:t>
      </w:r>
      <w:bookmarkEnd w:id="9"/>
      <w:r>
        <w:rPr>
          <w:sz w:val="18"/>
          <w:szCs w:val="18"/>
        </w:rPr>
        <w:t xml:space="preserve">)</w:t>
      </w:r>
      <w:r>
        <w:rPr>
          <w:sz w:val="18"/>
          <w:szCs w:val="18"/>
        </w:rPr>
        <w:tab/>
      </w:r>
      <w:r>
        <w:rPr>
          <w:sz w:val="18"/>
          <w:szCs w:val="18"/>
        </w:rPr>
        <w:t xml:space="preserve">Reglugerð Evrópuþingsins og ráðsins (ESB) nr. 537/2014 frá 16. apríl 2014 um sérstakar kröfur í tengslum við lögboðna endurskoðun á einingum tengdum almannahagsmunum og niðurfellingu á ákvörðun framkvæmdastjórnarinnar 2005/909/EB (Stjtíð. ESB L 158, 27.5.2014, bls. 77).“</w:t>
      </w:r>
    </w:p>
    <w:p>
      <w:pPr>
        <w:pStyle w:val="AnnexNumberedText"/>
        <w:spacing w:before="200"/>
        <w:ind w:left="300" w:hanging="300"/>
      </w:pPr>
      <w:r>
        <w:t xml:space="preserve">2)</w:t>
      </w:r>
      <w:r>
        <w:tab/>
      </w:r>
      <w:r>
        <w:t xml:space="preserve">Eftirfarandi liður 18.3.1a bætist við:</w:t>
      </w:r>
    </w:p>
    <w:tbl>
      <w:tblPr>
        <w:tblStyle w:val="EFTATable"/>
        <w:tblW w:w="4843" w:type="pct"/>
        <w:tblInd w:w="300" w:type="dxa"/>
        <w:tblLayout w:type="fixed"/>
        <w:tblLook w:val="04A0" w:firstRow="1" w:lastRow="0" w:firstColumn="1" w:lastColumn="0" w:noHBand="0" w:noVBand="1"/>
      </w:tblPr>
      <w:tblGrid>
        <w:gridCol w:w="1776"/>
        <w:gridCol w:w="7174"/>
      </w:tblGrid>
      <w:tr>
        <w:trPr>
          <w:trHeight w:val="240"/>
        </w:trPr>
        <w:tc>
          <w:tcPr>
            <w:tcW w:w="992" w:type="pct"/>
            <w:tcMar>
              <w:top w:w="100" w:type="dxa"/>
              <w:left w:w="0" w:type="dxa"/>
              <w:bottom w:w="100" w:type="dxa"/>
              <w:right w:w="60" w:type="dxa"/>
            </w:tcMar>
          </w:tcPr>
          <w:p>
            <w:pPr>
              <w:pStyle w:val="AnnexTableCellLeft"/>
            </w:pPr>
            <w:r>
              <w:t xml:space="preserve">„</w:t>
            </w:r>
            <w:r>
              <w:rPr>
                <w:b/>
                <w:bCs/>
              </w:rPr>
              <w:t xml:space="preserve">Liður 18.3.1a</w:t>
            </w:r>
          </w:p>
        </w:tc>
        <w:tc>
          <w:tcPr>
            <w:tcW w:w="4008" w:type="pct"/>
            <w:tcMar>
              <w:top w:w="100" w:type="dxa"/>
              <w:left w:w="60" w:type="dxa"/>
              <w:bottom w:w="100" w:type="dxa"/>
              <w:right w:w="0" w:type="dxa"/>
            </w:tcMar>
          </w:tcPr>
          <w:p>
            <w:pPr>
              <w:pStyle w:val="AnnexTableCellLeft"/>
            </w:pPr>
            <w:r>
              <w:t xml:space="preserve">Hafi löggiltir endurskoðendur synjað um áritun sögulegra fjárhagsupplýsinga eða sé áritun þeirra með fyrirvara, breyttu áliti, án álits eða með ábendingum skal birta slíka fyrirvara, breytingar, áritanir án álits eða ábendingar í heild sinni og tilgreina ástæður þeirra.“</w:t>
            </w:r>
          </w:p>
        </w:tc>
      </w:tr>
    </w:tbl>
    <w:p>
      <w:pPr>
        <w:pStyle w:val="Para"/>
        <w:sectPr>
          <w:pgSz w:w="11906" w:h="16838" w:code="9"/>
          <w:pgMar w:top="1680" w:right="1333" w:bottom="840" w:left="1333" w:header="920" w:footer="280" w:gutter="0"/>
          <w:cols w:space="708"/>
          <w:docGrid w:linePitch="360"/>
        </w:sectPr>
      </w:pPr>
    </w:p>
    <w:p>
      <w:pPr>
        <w:pStyle w:val="AnnexTI"/>
        <w:spacing w:after="360"/>
      </w:pPr>
      <w:r>
        <w:t xml:space="preserve">II. VIÐAUKI</w:t>
      </w:r>
    </w:p>
    <w:p>
      <w:pPr>
        <w:pStyle w:val="AnnexNormal"/>
      </w:pPr>
      <w:r>
        <w:t xml:space="preserve">Ákvæðum 11. þáttar 3. viðauka er breytt sem hér segir:</w:t>
      </w:r>
    </w:p>
    <w:p>
      <w:pPr>
        <w:pStyle w:val="AnnexNumberedText"/>
        <w:tabs>
          <w:tab w:val="right" w:pos="149"/>
        </w:tabs>
        <w:spacing w:before="200" w:after="200"/>
        <w:ind w:left="300" w:hanging="300"/>
      </w:pPr>
      <w:r>
        <w:tab/>
      </w:r>
      <w:r>
        <w:t xml:space="preserve">1)</w:t>
      </w:r>
      <w:r>
        <w:tab/>
      </w:r>
      <w:r>
        <w:t xml:space="preserve">Í stað liðar 11.2.1 kemur eftirfarandi:</w:t>
      </w:r>
    </w:p>
    <w:tbl>
      <w:tblPr>
        <w:tblStyle w:val="EFTATable"/>
        <w:tblW w:w="4843" w:type="pct"/>
        <w:tblInd w:w="300" w:type="dxa"/>
        <w:tblLayout w:type="fixed"/>
        <w:tblLook w:val="04A0" w:firstRow="1" w:lastRow="0" w:firstColumn="1" w:lastColumn="0" w:noHBand="0" w:noVBand="1"/>
      </w:tblPr>
      <w:tblGrid>
        <w:gridCol w:w="1801"/>
        <w:gridCol w:w="7149"/>
      </w:tblGrid>
      <w:tr>
        <w:trPr>
          <w:trHeight w:val="240"/>
        </w:trPr>
        <w:tc>
          <w:tcPr>
            <w:tcW w:w="1006" w:type="pct"/>
            <w:tcMar>
              <w:top w:w="100" w:type="dxa"/>
              <w:left w:w="0" w:type="dxa"/>
              <w:bottom w:w="100" w:type="dxa"/>
              <w:right w:w="60" w:type="dxa"/>
            </w:tcMar>
          </w:tcPr>
          <w:p>
            <w:pPr>
              <w:pStyle w:val="AnnexTableCellLeft"/>
            </w:pPr>
            <w:r>
              <w:t xml:space="preserve">„</w:t>
            </w:r>
            <w:r>
              <w:rPr>
                <w:b/>
                <w:bCs/>
              </w:rPr>
              <w:t xml:space="preserve">Liður 11.2.1</w:t>
            </w:r>
          </w:p>
        </w:tc>
        <w:tc>
          <w:tcPr>
            <w:tcW w:w="3994" w:type="pct"/>
            <w:tcMar>
              <w:top w:w="100" w:type="dxa"/>
              <w:left w:w="60" w:type="dxa"/>
              <w:bottom w:w="100" w:type="dxa"/>
              <w:right w:w="0" w:type="dxa"/>
            </w:tcMar>
          </w:tcPr>
          <w:p>
            <w:pPr>
              <w:pStyle w:val="AnnexTableCellLeft"/>
              <w:spacing w:after="120"/>
            </w:pPr>
            <w:r>
              <w:t xml:space="preserve">Áritun endurskoðanda</w:t>
            </w:r>
          </w:p>
          <w:p>
            <w:pPr>
              <w:pStyle w:val="AnnexTableCellLeft"/>
              <w:spacing w:after="120"/>
            </w:pPr>
            <w:r>
              <w:t xml:space="preserve">Árleg reikningsskil verða að vera endurskoðuð með óháðum hætti.</w:t>
            </w:r>
            <w:r>
              <w:t xml:space="preserve"> </w:t>
            </w:r>
            <w:r>
              <w:t xml:space="preserve">Áritun endurskoðanda skal samin í samræmi við tilskipun 2006/43/EB og reglugerð (ESB) nr. 537/2014.</w:t>
            </w:r>
          </w:p>
          <w:p>
            <w:pPr>
              <w:pStyle w:val="AnnexTableCellLeft"/>
              <w:spacing w:after="120"/>
            </w:pPr>
            <w:r>
              <w:t xml:space="preserve">Ef tilskipun 2006/43/EB og reglugerð (ESB) nr. 537/2014 eiga ekki við verður að endurskoða sögulegar, árlegar fjárhagsupplýsingar eða láta fylgja með þeim tilgreiningu á því hvort, með tilliti til útgefandalýsingarinnar, þær gefa glögga mynd í samræmi við gildandi endurskoðunarstaðla í viðkomandi aðildarríki eða sambærilegan staðal.</w:t>
            </w:r>
            <w:r>
              <w:t xml:space="preserve"> </w:t>
            </w:r>
            <w:r>
              <w:t xml:space="preserve">Að öðrum kosti skulu eftirfarandi upplýsingar koma fram í útgefandalýsingunni:</w:t>
            </w:r>
          </w:p>
          <w:p>
            <w:pPr>
              <w:pStyle w:val="AnnexNumberedText"/>
              <w:ind w:left="300" w:hanging="300"/>
            </w:pPr>
            <w:r>
              <w:t xml:space="preserve">a)</w:t>
            </w:r>
            <w:r>
              <w:tab/>
            </w:r>
            <w:r>
              <w:t xml:space="preserve">áberandi yfirlýsing þar sem tilgreint er hvaða endurskoðunarstöðlum var beitt,</w:t>
            </w:r>
          </w:p>
          <w:p>
            <w:pPr>
              <w:pStyle w:val="AnnexNumberedText"/>
              <w:spacing w:after="0"/>
              <w:ind w:left="300" w:hanging="300"/>
            </w:pPr>
            <w:r>
              <w:t xml:space="preserve">b)</w:t>
            </w:r>
            <w:r>
              <w:tab/>
            </w:r>
            <w:r>
              <w:t xml:space="preserve">útskýring ef veruleg frávik eru frá alþjóðlegum endurskoðunarstöðlum (ISA).“</w:t>
            </w:r>
          </w:p>
        </w:tc>
      </w:tr>
    </w:tbl>
    <w:p>
      <w:pPr>
        <w:pStyle w:val="AnnexNumberedText"/>
        <w:tabs>
          <w:tab w:val="right" w:pos="149"/>
        </w:tabs>
        <w:spacing w:before="200" w:after="200"/>
        <w:ind w:left="300" w:hanging="300"/>
      </w:pPr>
      <w:r>
        <w:tab/>
      </w:r>
      <w:r>
        <w:t xml:space="preserve">2)</w:t>
      </w:r>
      <w:r>
        <w:tab/>
      </w:r>
      <w:r>
        <w:t xml:space="preserve">Eftirfarandi liður 11.2.1a bætist við:</w:t>
      </w:r>
    </w:p>
    <w:tbl>
      <w:tblPr>
        <w:tblStyle w:val="EFTATable"/>
        <w:tblW w:w="4838" w:type="pct"/>
        <w:tblInd w:w="300" w:type="dxa"/>
        <w:tblLayout w:type="fixed"/>
        <w:tblLook w:val="04A0" w:firstRow="1" w:lastRow="0" w:firstColumn="1" w:lastColumn="0" w:noHBand="0" w:noVBand="1"/>
      </w:tblPr>
      <w:tblGrid>
        <w:gridCol w:w="1811"/>
        <w:gridCol w:w="7130"/>
      </w:tblGrid>
      <w:tr>
        <w:trPr>
          <w:trHeight w:val="244"/>
        </w:trPr>
        <w:tc>
          <w:tcPr>
            <w:tcW w:w="1013" w:type="pct"/>
            <w:tcMar>
              <w:top w:w="100" w:type="dxa"/>
              <w:left w:w="0" w:type="dxa"/>
              <w:bottom w:w="100" w:type="dxa"/>
              <w:right w:w="60" w:type="dxa"/>
            </w:tcMar>
          </w:tcPr>
          <w:p>
            <w:pPr>
              <w:pStyle w:val="AnnexTableCellLeft"/>
            </w:pPr>
            <w:r>
              <w:t xml:space="preserve">„</w:t>
            </w:r>
            <w:r>
              <w:rPr>
                <w:b/>
                <w:bCs/>
              </w:rPr>
              <w:t xml:space="preserve">Liður 11.2.1a</w:t>
            </w:r>
          </w:p>
        </w:tc>
        <w:tc>
          <w:tcPr>
            <w:tcW w:w="3987" w:type="pct"/>
            <w:tcMar>
              <w:top w:w="100" w:type="dxa"/>
              <w:left w:w="60" w:type="dxa"/>
              <w:bottom w:w="100" w:type="dxa"/>
              <w:right w:w="0" w:type="dxa"/>
            </w:tcMar>
          </w:tcPr>
          <w:p>
            <w:pPr>
              <w:pStyle w:val="AnnexTableCellLeft"/>
            </w:pPr>
            <w:r>
              <w:t xml:space="preserve">Hafi löggiltir endurskoðendur synjað um áritun sögulegra fjárhagsupplýsinga eða sé áritun þeirra gerð með fyrirvara, breyttu áliti, án álits eða með ábendingum skal birta slíka fyrirvara, breytingar, áritanir án álits eða ábendingar í heild sinni og tilgreina ástæður þeirra.“</w:t>
            </w:r>
          </w:p>
        </w:tc>
      </w:tr>
    </w:tbl>
    <w:p>
      <w:pPr>
        <w:pStyle w:val="Para"/>
        <w:sectPr>
          <w:pgSz w:w="11906" w:h="16838" w:code="9"/>
          <w:pgMar w:top="1680" w:right="1333" w:bottom="840" w:left="1333" w:header="920" w:footer="280" w:gutter="0"/>
          <w:cols w:space="708"/>
          <w:docGrid w:linePitch="360"/>
        </w:sectPr>
      </w:pPr>
    </w:p>
    <w:p>
      <w:pPr>
        <w:pStyle w:val="AnnexTI"/>
        <w:spacing w:after="360"/>
      </w:pPr>
      <w:r>
        <w:t xml:space="preserve">III. VIÐAUKI</w:t>
      </w:r>
    </w:p>
    <w:p>
      <w:pPr>
        <w:pStyle w:val="AnnexNormal"/>
      </w:pPr>
      <w:r>
        <w:t xml:space="preserve">Í stað inngangsins á undan 1. þætti 4. viðauka kemur eftirfarandi:</w:t>
      </w:r>
    </w:p>
    <w:tbl>
      <w:tblPr>
        <w:tblStyle w:val="EFTATable"/>
        <w:tblW w:w="5000" w:type="pct"/>
        <w:tblLook w:val="04A0" w:firstRow="1" w:lastRow="0" w:firstColumn="1" w:lastColumn="0" w:noHBand="0" w:noVBand="1"/>
      </w:tblPr>
      <w:tblGrid>
        <w:gridCol w:w="1920"/>
        <w:gridCol w:w="7320"/>
      </w:tblGrid>
      <w:tr>
        <w:trPr>
          <w:trHeight w:val="240"/>
        </w:trPr>
        <w:tc>
          <w:tcPr>
            <w:tcW w:w="1039" w:type="pct"/>
            <w:tcMar>
              <w:top w:w="100" w:type="dxa"/>
              <w:left w:w="0" w:type="dxa"/>
              <w:bottom w:w="100" w:type="dxa"/>
              <w:right w:w="60" w:type="dxa"/>
            </w:tcMar>
          </w:tcPr>
          <w:p>
            <w:pPr>
              <w:pStyle w:val="AnnexTableCellLeft"/>
            </w:pPr>
          </w:p>
        </w:tc>
        <w:tc>
          <w:tcPr>
            <w:tcW w:w="3961" w:type="pct"/>
            <w:tcMar>
              <w:top w:w="100" w:type="dxa"/>
              <w:left w:w="60" w:type="dxa"/>
              <w:bottom w:w="100" w:type="dxa"/>
              <w:right w:w="0" w:type="dxa"/>
            </w:tcMar>
          </w:tcPr>
          <w:p>
            <w:pPr>
              <w:pStyle w:val="AnnexTableCellLeft"/>
              <w:spacing w:after="120"/>
            </w:pPr>
            <w:r>
              <w:t xml:space="preserve">„Til viðbótar þeim upplýsingum sem er krafist í þessum viðauka skulu sjóðir um sameiginlega fjárfestingu veita upplýsingarnar sem krafist er í þáttum/liðum 1, 2, 3, 4, 6, 7.1, 7.2.1, 8.4, 9 (þótt lýsing lagaumhverfisins sem útgefandi starfar í þurfi aðeins að greina frá því lagaumhverfi sem skiptir máli fyrir fjárfestingar útgefanda) 11, 12, 13, 14, 15.2, 16, 17, 18 (að undanskildum pro forma fjárhagsupplýsingum) 19, 20 og 21 í 1. viðauka við þessa reglugerð eða, ef sjóðurinn um sameiginlega fjárfestingu uppfyllir kröfurnar í 1. mgr. 14. gr. reglugerðar (ESB) 2017/1129, upplýsingarnar sem krafist er í þáttum/liðum 1, 2, 3, 4, 7, 8, 9, 10, 11 (að undanskilum pro forma fjárhagsupplýsingum), 12, 13, 14 og 15 í 3. viðauka við þessa reglugerð.</w:t>
            </w:r>
          </w:p>
          <w:p>
            <w:pPr>
              <w:pStyle w:val="AnnexTableCellLeft"/>
            </w:pPr>
            <w:r>
              <w:t xml:space="preserve">Séu hlutdeildarskírteini gefin út af sjóði um sameiginlega fjárfestingu sem er stofnaður sem sameignarsjóður og stýrt af rekstraraðila sjóðs, skulu þær upplýsingar sem um getur í þáttum/liðum 6, 12, 13, 14, 15.2, 16 og 20 í 1. viðauka við þessa reglugerð veittar um rekstraraðila sjóðsins, en þær upplýsingar sem tilgreindar eru í liðum 2, 4 og 18 í 1. viðauka við þessa reglugerð skulu veittar bæði um sjóðinn og rekstraraðilann.“</w:t>
            </w:r>
          </w:p>
        </w:tc>
      </w:tr>
    </w:tbl>
    <w:p>
      <w:pPr>
        <w:pStyle w:val="Para"/>
        <w:sectPr>
          <w:pgSz w:w="11906" w:h="16838" w:code="9"/>
          <w:pgMar w:top="1680" w:right="1333" w:bottom="840" w:left="1333" w:header="920" w:footer="280" w:gutter="0"/>
          <w:cols w:space="708"/>
          <w:docGrid w:linePitch="360"/>
        </w:sectPr>
      </w:pPr>
    </w:p>
    <w:p>
      <w:pPr>
        <w:pStyle w:val="AnnexTI"/>
        <w:spacing w:after="360"/>
      </w:pPr>
      <w:r>
        <w:t xml:space="preserve">IV. VIÐAUKI</w:t>
      </w:r>
    </w:p>
    <w:p>
      <w:pPr>
        <w:pStyle w:val="AnnexNormal"/>
      </w:pPr>
      <w:r>
        <w:t xml:space="preserve">Ákvæðum 11. þáttar 6. viðauka er breytt sem hér segir:</w:t>
      </w:r>
    </w:p>
    <w:p>
      <w:pPr>
        <w:pStyle w:val="AnnexNumberedText"/>
        <w:spacing w:before="200" w:after="200"/>
        <w:ind w:left="300" w:hanging="300"/>
      </w:pPr>
      <w:r>
        <w:t xml:space="preserve">1)</w:t>
      </w:r>
      <w:r>
        <w:tab/>
      </w:r>
      <w:r>
        <w:t xml:space="preserve">Í stað liðar 11.3.1 kemur eftirfarandi:</w:t>
      </w:r>
    </w:p>
    <w:tbl>
      <w:tblPr>
        <w:tblStyle w:val="EFTATable"/>
        <w:tblW w:w="5000" w:type="pct"/>
        <w:tblLayout w:type="fixed"/>
        <w:tblLook w:val="04A0" w:firstRow="1" w:lastRow="0" w:firstColumn="1" w:lastColumn="0" w:noHBand="0" w:noVBand="1"/>
      </w:tblPr>
      <w:tblGrid>
        <w:gridCol w:w="2064"/>
        <w:gridCol w:w="7176"/>
      </w:tblGrid>
      <w:tr>
        <w:trPr>
          <w:trHeight w:val="240"/>
        </w:trPr>
        <w:tc>
          <w:tcPr>
            <w:tcW w:w="1117" w:type="pct"/>
            <w:tcMar>
              <w:top w:w="100" w:type="dxa"/>
              <w:left w:w="0" w:type="dxa"/>
              <w:bottom w:w="100" w:type="dxa"/>
              <w:right w:w="60" w:type="dxa"/>
            </w:tcMar>
          </w:tcPr>
          <w:p>
            <w:pPr>
              <w:pStyle w:val="AnnexTableCellLeft"/>
            </w:pPr>
            <w:r>
              <w:rPr>
                <w:b/>
              </w:rPr>
              <w:t xml:space="preserve">„</w:t>
            </w:r>
            <w:r>
              <w:rPr>
                <w:b/>
                <w:b/>
                <w:bCs/>
              </w:rPr>
              <w:t xml:space="preserve">Liður 11.3.1</w:t>
            </w:r>
          </w:p>
        </w:tc>
        <w:tc>
          <w:tcPr>
            <w:tcW w:w="3883" w:type="pct"/>
            <w:tcMar>
              <w:top w:w="100" w:type="dxa"/>
              <w:left w:w="60" w:type="dxa"/>
              <w:bottom w:w="100" w:type="dxa"/>
              <w:right w:w="0" w:type="dxa"/>
            </w:tcMar>
          </w:tcPr>
          <w:p>
            <w:pPr>
              <w:pStyle w:val="AnnexTableCellLeft"/>
              <w:spacing w:after="80"/>
            </w:pPr>
            <w:r>
              <w:t xml:space="preserve">Sögulegar, árlegar fjárhagsupplýsingar skulu hafa verið endurskoðaðar á óháðan hátt.</w:t>
            </w:r>
            <w:r>
              <w:t xml:space="preserve"> </w:t>
            </w:r>
            <w:r>
              <w:t xml:space="preserve">Áritun endurskoðanda skal samin í samræmi við tilskipun 2006/43/EB og reglugerð (ESB) nr. 537/2014.</w:t>
            </w:r>
          </w:p>
          <w:p>
            <w:pPr>
              <w:pStyle w:val="AnnexTableCellLeft"/>
            </w:pPr>
            <w:r>
              <w:t xml:space="preserve">Ef tilskipun 2006/43/EB og reglugerð (ESB) nr. 537/2014 eiga ekki við verður að endurskoða sögulegar, árlegar fjárhagsupplýsingar eða láta fylgja með þeim tilgreiningu á því hvort, með tilliti til útgefandalýsingarinnar, þær gefa glögga mynd í samræmi við gildandi endurskoðunarstaðla í viðkomandi aðildarríki eða sambærilegan staðal.“</w:t>
            </w:r>
          </w:p>
        </w:tc>
      </w:tr>
    </w:tbl>
    <w:p>
      <w:pPr>
        <w:pStyle w:val="AnnexNumberedText"/>
        <w:spacing w:before="200" w:after="200"/>
        <w:ind w:left="300" w:hanging="300"/>
      </w:pPr>
      <w:r>
        <w:t xml:space="preserve">2)</w:t>
      </w:r>
      <w:r>
        <w:tab/>
      </w:r>
      <w:r>
        <w:t xml:space="preserve">Eftirfarandi liður 11.3.1a bætist við:</w:t>
      </w:r>
    </w:p>
    <w:tbl>
      <w:tblPr>
        <w:tblStyle w:val="EFTATable"/>
        <w:tblW w:w="5000" w:type="pct"/>
        <w:tblLayout w:type="fixed"/>
        <w:tblLook w:val="04A0" w:firstRow="1" w:lastRow="0" w:firstColumn="1" w:lastColumn="0" w:noHBand="0" w:noVBand="1"/>
      </w:tblPr>
      <w:tblGrid>
        <w:gridCol w:w="2051"/>
        <w:gridCol w:w="7189"/>
      </w:tblGrid>
      <w:tr>
        <w:trPr>
          <w:trHeight w:val="240"/>
        </w:trPr>
        <w:tc>
          <w:tcPr>
            <w:tcW w:w="1110" w:type="pct"/>
            <w:tcMar>
              <w:top w:w="100" w:type="dxa"/>
              <w:left w:w="0" w:type="dxa"/>
              <w:bottom w:w="100" w:type="dxa"/>
              <w:right w:w="60" w:type="dxa"/>
            </w:tcMar>
          </w:tcPr>
          <w:p>
            <w:pPr>
              <w:pStyle w:val="AnnexTableCellLeft"/>
            </w:pPr>
            <w:r>
              <w:rPr>
                <w:b/>
              </w:rPr>
              <w:t xml:space="preserve">„</w:t>
            </w:r>
            <w:r>
              <w:rPr>
                <w:b/>
                <w:b/>
                <w:bCs/>
              </w:rPr>
              <w:t xml:space="preserve">Liður 11.3.1</w:t>
            </w:r>
            <w:r>
              <w:rPr>
                <w:b/>
              </w:rPr>
              <w:t xml:space="preserve"> a</w:t>
            </w:r>
          </w:p>
        </w:tc>
        <w:tc>
          <w:tcPr>
            <w:tcW w:w="3890" w:type="pct"/>
            <w:tcMar>
              <w:top w:w="100" w:type="dxa"/>
              <w:left w:w="60" w:type="dxa"/>
              <w:bottom w:w="100" w:type="dxa"/>
              <w:right w:w="0" w:type="dxa"/>
            </w:tcMar>
          </w:tcPr>
          <w:p>
            <w:pPr>
              <w:pStyle w:val="AnnexTableCellLeft"/>
            </w:pPr>
            <w:r>
              <w:t xml:space="preserve">Hafi löggiltir endurskoðendur synjað um áritun sögulegra fjárhagsupplýsinga eða sé áritun þeirra með fyrirvara, breyttu áliti, án álits eða með ábendingum skal birta slíka fyrirvara, breytingar, áritanir án álits eða ábendingar í heild sinni og tilgreina ástæður þeirra.“</w:t>
            </w:r>
          </w:p>
        </w:tc>
      </w:tr>
    </w:tbl>
    <w:p>
      <w:pPr>
        <w:pStyle w:val="Para"/>
        <w:sectPr>
          <w:pgSz w:w="11906" w:h="16838" w:code="9"/>
          <w:pgMar w:top="1680" w:right="1333" w:bottom="840" w:left="1333" w:header="920" w:footer="280" w:gutter="0"/>
          <w:cols w:space="708"/>
          <w:docGrid w:linePitch="360"/>
        </w:sectPr>
      </w:pPr>
    </w:p>
    <w:p>
      <w:pPr>
        <w:pStyle w:val="AnnexTI"/>
      </w:pPr>
      <w:r>
        <w:t xml:space="preserve">V. VIÐAUKI</w:t>
      </w:r>
    </w:p>
    <w:p>
      <w:pPr>
        <w:pStyle w:val="AnnexNormal"/>
      </w:pPr>
      <w:r>
        <w:t xml:space="preserve">Ákvæðum 11. þáttar 7. viðauka er breytt sem hér segir:</w:t>
      </w:r>
    </w:p>
    <w:p>
      <w:pPr>
        <w:pStyle w:val="AnnexNumberedText"/>
        <w:spacing w:before="200" w:after="200"/>
        <w:ind w:left="300" w:hanging="300"/>
      </w:pPr>
      <w:r>
        <w:t xml:space="preserve">1)</w:t>
      </w:r>
      <w:r>
        <w:tab/>
      </w:r>
      <w:r>
        <w:t xml:space="preserve">Í stað liðar 11.2.1 kemur eftirfarandi:</w:t>
      </w:r>
    </w:p>
    <w:tbl>
      <w:tblPr>
        <w:tblStyle w:val="EFTATable"/>
        <w:tblW w:w="4838" w:type="pct"/>
        <w:tblInd w:w="300" w:type="dxa"/>
        <w:tblLayout w:type="fixed"/>
        <w:tblLook w:val="04A0" w:firstRow="1" w:lastRow="0" w:firstColumn="1" w:lastColumn="0" w:noHBand="0" w:noVBand="1"/>
      </w:tblPr>
      <w:tblGrid>
        <w:gridCol w:w="1849"/>
        <w:gridCol w:w="7092"/>
      </w:tblGrid>
      <w:tr>
        <w:trPr>
          <w:trHeight w:val="240"/>
        </w:trPr>
        <w:tc>
          <w:tcPr>
            <w:tcW w:w="1034" w:type="pct"/>
            <w:tcMar>
              <w:top w:w="100" w:type="dxa"/>
              <w:left w:w="0" w:type="dxa"/>
              <w:bottom w:w="100" w:type="dxa"/>
              <w:right w:w="60" w:type="dxa"/>
            </w:tcMar>
          </w:tcPr>
          <w:p>
            <w:pPr>
              <w:pStyle w:val="AnnexTableCellLeft"/>
              <w:rPr>
                <w:szCs w:val="18"/>
              </w:rPr>
            </w:pPr>
            <w:r>
              <w:rPr>
                <w:b/>
                <w:szCs w:val="18"/>
              </w:rPr>
              <w:t xml:space="preserve">„</w:t>
            </w:r>
            <w:r>
              <w:rPr>
                <w:b/>
                <w:szCs w:val="18"/>
                <w:b/>
                <w:bCs/>
              </w:rPr>
              <w:t xml:space="preserve">Liður 11.2.1</w:t>
            </w:r>
          </w:p>
        </w:tc>
        <w:tc>
          <w:tcPr>
            <w:tcW w:w="3966" w:type="pct"/>
            <w:tcMar>
              <w:top w:w="100" w:type="dxa"/>
              <w:left w:w="60" w:type="dxa"/>
              <w:bottom w:w="100" w:type="dxa"/>
              <w:right w:w="0" w:type="dxa"/>
            </w:tcMar>
          </w:tcPr>
          <w:p>
            <w:pPr>
              <w:pStyle w:val="AnnexTableCellLeft"/>
              <w:spacing w:after="120"/>
              <w:rPr>
                <w:szCs w:val="18"/>
              </w:rPr>
            </w:pPr>
            <w:r>
              <w:t xml:space="preserve">Sögulegu fjárhagsupplýsingarnar skulu hafa verið endurskoðaðar á óháðan hátt.</w:t>
            </w:r>
            <w:r>
              <w:t xml:space="preserve"> </w:t>
            </w:r>
            <w:r>
              <w:t xml:space="preserve">Áritun endurskoðanda skal samin í samræmi við tilskipun 2006/43/EB og reglugerð (ESB) nr. 537/2014.</w:t>
            </w:r>
          </w:p>
          <w:p>
            <w:pPr>
              <w:pStyle w:val="AnnexTableCellLeft"/>
              <w:spacing w:after="120"/>
              <w:rPr>
                <w:szCs w:val="18"/>
              </w:rPr>
            </w:pPr>
            <w:r>
              <w:t xml:space="preserve">Ef tilskipun 2006/43/EB og reglugerð (ESB) nr. 537/2014 eiga ekki við verður að endurskoða sögulegar, árlegar fjárhagsupplýsingar eða láta fylgja með þeim tilgreiningu á því hvort, með tilliti til útgefandalýsingarinnar, þær gefa glögga mynd í samræmi við gildandi endurskoðunarstaðla í viðkomandi aðildarríki eða sambærilegan staðal.</w:t>
            </w:r>
            <w:r>
              <w:t xml:space="preserve"> </w:t>
            </w:r>
            <w:r>
              <w:t xml:space="preserve">Að öðrum kosti skulu eftirfarandi upplýsingar koma fram í útgefandalýsingunni:</w:t>
            </w:r>
          </w:p>
          <w:p>
            <w:pPr>
              <w:pStyle w:val="AnnexNumberedText"/>
              <w:ind w:left="300" w:hanging="300"/>
              <w:rPr>
                <w:szCs w:val="18"/>
              </w:rPr>
            </w:pPr>
            <w:r>
              <w:t xml:space="preserve">a)</w:t>
            </w:r>
            <w:r>
              <w:tab/>
            </w:r>
            <w:r>
              <w:t xml:space="preserve">áberandi yfirlýsing þar sem tilgreint er hvaða endurskoðunarstöðlum var beitt,</w:t>
            </w:r>
          </w:p>
          <w:p>
            <w:pPr>
              <w:pStyle w:val="AnnexNumberedText"/>
              <w:spacing w:after="0"/>
              <w:ind w:left="300" w:hanging="300"/>
              <w:rPr>
                <w:szCs w:val="18"/>
              </w:rPr>
            </w:pPr>
            <w:r>
              <w:t xml:space="preserve">b)</w:t>
            </w:r>
            <w:r>
              <w:tab/>
            </w:r>
            <w:r>
              <w:t xml:space="preserve">útskýring ef veruleg frávik eru frá alþjóðlegum endurskoðunarstöðlum (ISA).“</w:t>
            </w:r>
          </w:p>
        </w:tc>
      </w:tr>
    </w:tbl>
    <w:p>
      <w:pPr>
        <w:pStyle w:val="AnnexNumberedText"/>
        <w:spacing w:before="200" w:after="200"/>
        <w:ind w:left="300" w:hanging="300"/>
      </w:pPr>
      <w:r>
        <w:t xml:space="preserve">2)</w:t>
      </w:r>
      <w:r>
        <w:tab/>
      </w:r>
      <w:r>
        <w:t xml:space="preserve">Eftirfarandi liður 11.2.1a bætist við:</w:t>
      </w:r>
    </w:p>
    <w:tbl>
      <w:tblPr>
        <w:tblStyle w:val="EFTATable"/>
        <w:tblW w:w="4831" w:type="pct"/>
        <w:tblInd w:w="300" w:type="dxa"/>
        <w:tblLayout w:type="fixed"/>
        <w:tblLook w:val="04A0" w:firstRow="1" w:lastRow="0" w:firstColumn="1" w:lastColumn="0" w:noHBand="0" w:noVBand="1"/>
      </w:tblPr>
      <w:tblGrid>
        <w:gridCol w:w="1825"/>
        <w:gridCol w:w="7103"/>
      </w:tblGrid>
      <w:tr>
        <w:trPr>
          <w:trHeight w:val="240"/>
        </w:trPr>
        <w:tc>
          <w:tcPr>
            <w:tcW w:w="1022" w:type="pct"/>
            <w:tcMar>
              <w:top w:w="100" w:type="dxa"/>
              <w:left w:w="0" w:type="dxa"/>
              <w:bottom w:w="100" w:type="dxa"/>
              <w:right w:w="60" w:type="dxa"/>
            </w:tcMar>
          </w:tcPr>
          <w:p>
            <w:pPr>
              <w:pStyle w:val="AnnexTableCellLeft"/>
              <w:rPr>
                <w:szCs w:val="18"/>
              </w:rPr>
            </w:pPr>
            <w:r>
              <w:rPr>
                <w:b/>
                <w:szCs w:val="18"/>
              </w:rPr>
              <w:t xml:space="preserve">„</w:t>
            </w:r>
            <w:r>
              <w:rPr>
                <w:b/>
                <w:szCs w:val="18"/>
                <w:b/>
                <w:bCs/>
              </w:rPr>
              <w:t xml:space="preserve">Liður 11.2.1a</w:t>
            </w:r>
          </w:p>
        </w:tc>
        <w:tc>
          <w:tcPr>
            <w:tcW w:w="3978" w:type="pct"/>
            <w:tcMar>
              <w:top w:w="100" w:type="dxa"/>
              <w:left w:w="60" w:type="dxa"/>
              <w:bottom w:w="100" w:type="dxa"/>
              <w:right w:w="0" w:type="dxa"/>
            </w:tcMar>
          </w:tcPr>
          <w:p>
            <w:pPr>
              <w:pStyle w:val="AnnexTableCellLeft"/>
              <w:rPr>
                <w:szCs w:val="18"/>
              </w:rPr>
            </w:pPr>
            <w:r>
              <w:t xml:space="preserve">Hafi löggiltir endurskoðendur synjað um áritun sögulegra fjárhagsupplýsinga eða sé áritun þeirra með fyrirvara, breyttu áliti, án álits eða með ábendingum skal birta slíka fyrirvara, breytingar, áritanir án álits eða ábendingar í heild sinni og tilgreina ástæður þeirra.“</w:t>
            </w:r>
          </w:p>
        </w:tc>
      </w:tr>
    </w:tbl>
    <w:p>
      <w:pPr>
        <w:pStyle w:val="Para"/>
        <w:sectPr>
          <w:pgSz w:w="11906" w:h="16838" w:code="9"/>
          <w:pgMar w:top="1680" w:right="1333" w:bottom="840" w:left="1333" w:header="920" w:footer="280" w:gutter="0"/>
          <w:cols w:space="708"/>
          <w:docGrid w:linePitch="360"/>
        </w:sectPr>
      </w:pPr>
    </w:p>
    <w:p>
      <w:pPr>
        <w:pStyle w:val="AnnexTI"/>
      </w:pPr>
      <w:r>
        <w:t xml:space="preserve">VI. VIÐAUKI</w:t>
      </w:r>
    </w:p>
    <w:p>
      <w:pPr>
        <w:pStyle w:val="AnnexNormal"/>
      </w:pPr>
      <w:r>
        <w:t xml:space="preserve">Ákvæðum 10. þáttar 8. viðauka er breytt sem hér segir:</w:t>
      </w:r>
    </w:p>
    <w:p>
      <w:pPr>
        <w:pStyle w:val="AnnexNumberedText"/>
        <w:tabs>
          <w:tab w:val="right" w:pos="149"/>
        </w:tabs>
        <w:spacing w:before="200" w:after="200"/>
        <w:ind w:left="300" w:hanging="300"/>
      </w:pPr>
      <w:r>
        <w:tab/>
      </w:r>
      <w:r>
        <w:t xml:space="preserve">1)</w:t>
      </w:r>
      <w:r>
        <w:tab/>
      </w:r>
      <w:r>
        <w:t xml:space="preserve">Í stað liðar 10.2.1 kemur eftirfarandi:</w:t>
      </w:r>
    </w:p>
    <w:tbl>
      <w:tblPr>
        <w:tblStyle w:val="EFTATable"/>
        <w:tblW w:w="4831" w:type="pct"/>
        <w:tblInd w:w="300" w:type="dxa"/>
        <w:tblLayout w:type="fixed"/>
        <w:tblLook w:val="04A0" w:firstRow="1" w:lastRow="0" w:firstColumn="1" w:lastColumn="0" w:noHBand="0" w:noVBand="1"/>
      </w:tblPr>
      <w:tblGrid>
        <w:gridCol w:w="1837"/>
        <w:gridCol w:w="7091"/>
      </w:tblGrid>
      <w:tr>
        <w:trPr>
          <w:trHeight w:val="240"/>
        </w:trPr>
        <w:tc>
          <w:tcPr>
            <w:tcW w:w="1029" w:type="pct"/>
            <w:tcMar>
              <w:top w:w="100" w:type="dxa"/>
              <w:left w:w="0" w:type="dxa"/>
              <w:bottom w:w="100" w:type="dxa"/>
              <w:right w:w="60" w:type="dxa"/>
            </w:tcMar>
          </w:tcPr>
          <w:p>
            <w:pPr>
              <w:pStyle w:val="AnnexTableCellLeft"/>
              <w:rPr>
                <w:szCs w:val="18"/>
              </w:rPr>
            </w:pPr>
            <w:r>
              <w:rPr>
                <w:b/>
                <w:szCs w:val="18"/>
              </w:rPr>
              <w:t xml:space="preserve">„</w:t>
            </w:r>
            <w:r>
              <w:rPr>
                <w:b/>
                <w:szCs w:val="18"/>
                <w:b/>
                <w:bCs/>
              </w:rPr>
              <w:t xml:space="preserve">Liður 10.2.1</w:t>
            </w:r>
          </w:p>
        </w:tc>
        <w:tc>
          <w:tcPr>
            <w:tcW w:w="3971" w:type="pct"/>
            <w:tcMar>
              <w:top w:w="100" w:type="dxa"/>
              <w:left w:w="60" w:type="dxa"/>
              <w:bottom w:w="100" w:type="dxa"/>
              <w:right w:w="0" w:type="dxa"/>
            </w:tcMar>
          </w:tcPr>
          <w:p>
            <w:pPr>
              <w:pStyle w:val="AnnexTableCellLeft"/>
              <w:spacing w:after="120"/>
              <w:rPr>
                <w:szCs w:val="18"/>
              </w:rPr>
            </w:pPr>
            <w:r>
              <w:t xml:space="preserve">Áritun endurskoðanda</w:t>
            </w:r>
          </w:p>
          <w:p>
            <w:pPr>
              <w:pStyle w:val="AnnexTableCellLeft"/>
              <w:spacing w:after="120"/>
              <w:rPr>
                <w:szCs w:val="18"/>
              </w:rPr>
            </w:pPr>
            <w:r>
              <w:t xml:space="preserve">Endurskoða verður árlegu reikningsskilin með óháðum hætti.</w:t>
            </w:r>
            <w:r>
              <w:t xml:space="preserve"> </w:t>
            </w:r>
            <w:r>
              <w:t xml:space="preserve">Áritun endurskoðanda skal samin í samræmi við tilskipun 2006/43/EB og reglugerð (ESB) nr. 537/2014.</w:t>
            </w:r>
          </w:p>
          <w:p>
            <w:pPr>
              <w:pStyle w:val="AnnexTableCellLeft"/>
              <w:spacing w:after="120"/>
              <w:rPr>
                <w:szCs w:val="18"/>
              </w:rPr>
            </w:pPr>
            <w:r>
              <w:t xml:space="preserve">Ef tilskipun 2006/43/EB og reglugerð (ESB) nr. 537/2014 eiga ekki við verður að endurskoða sögulegar, árlegar fjárhagsupplýsingar eða láta fylgja með þeim tilgreiningu á því hvort, með tilliti til útgefandalýsingarinnar, þær gefa glögga mynd í samræmi við gildandi endurskoðunarstaðla í viðkomandi aðildarríki eða sambærilegan staðal.</w:t>
            </w:r>
            <w:r>
              <w:t xml:space="preserve"> </w:t>
            </w:r>
            <w:r>
              <w:t xml:space="preserve">Að öðrum kosti skulu eftirfarandi upplýsingar koma fram í útgefandalýsingunni:</w:t>
            </w:r>
          </w:p>
          <w:p>
            <w:pPr>
              <w:pStyle w:val="AnnexNumberedText"/>
              <w:ind w:left="300" w:hanging="300"/>
              <w:rPr>
                <w:szCs w:val="18"/>
              </w:rPr>
            </w:pPr>
            <w:r>
              <w:t xml:space="preserve">a)</w:t>
            </w:r>
            <w:r>
              <w:tab/>
            </w:r>
            <w:r>
              <w:t xml:space="preserve">áberandi yfirlýsing þar sem tilgreint er hvaða endurskoðunarstöðlum var beitt,</w:t>
            </w:r>
          </w:p>
          <w:p>
            <w:pPr>
              <w:pStyle w:val="AnnexNumberedText"/>
              <w:spacing w:after="0"/>
              <w:ind w:left="300" w:hanging="300"/>
              <w:rPr>
                <w:szCs w:val="18"/>
              </w:rPr>
            </w:pPr>
            <w:r>
              <w:t xml:space="preserve">b)</w:t>
            </w:r>
            <w:r>
              <w:tab/>
            </w:r>
            <w:r>
              <w:t xml:space="preserve">útskýring ef veruleg frávik eru frá alþjóðlegum endurskoðunarstöðlum (ISA).“</w:t>
            </w:r>
          </w:p>
        </w:tc>
      </w:tr>
    </w:tbl>
    <w:p>
      <w:pPr>
        <w:pStyle w:val="AnnexNumberedText"/>
        <w:tabs>
          <w:tab w:val="right" w:pos="149"/>
        </w:tabs>
        <w:spacing w:before="200" w:after="200"/>
        <w:ind w:left="300" w:hanging="300"/>
      </w:pPr>
      <w:r>
        <w:tab/>
      </w:r>
      <w:r>
        <w:t xml:space="preserve">2)</w:t>
      </w:r>
      <w:r>
        <w:tab/>
      </w:r>
      <w:r>
        <w:t xml:space="preserve">Eftirfarandi liður 10.2.1a bætist við:</w:t>
      </w:r>
    </w:p>
    <w:tbl>
      <w:tblPr>
        <w:tblStyle w:val="EFTATable"/>
        <w:tblW w:w="4831" w:type="pct"/>
        <w:tblInd w:w="300" w:type="dxa"/>
        <w:tblLayout w:type="fixed"/>
        <w:tblLook w:val="04A0" w:firstRow="1" w:lastRow="0" w:firstColumn="1" w:lastColumn="0" w:noHBand="0" w:noVBand="1"/>
      </w:tblPr>
      <w:tblGrid>
        <w:gridCol w:w="1837"/>
        <w:gridCol w:w="7091"/>
      </w:tblGrid>
      <w:tr>
        <w:trPr>
          <w:trHeight w:val="240"/>
        </w:trPr>
        <w:tc>
          <w:tcPr>
            <w:tcW w:w="1029" w:type="pct"/>
            <w:tcMar>
              <w:top w:w="100" w:type="dxa"/>
              <w:left w:w="0" w:type="dxa"/>
              <w:bottom w:w="100" w:type="dxa"/>
              <w:right w:w="60" w:type="dxa"/>
            </w:tcMar>
          </w:tcPr>
          <w:p>
            <w:pPr>
              <w:pStyle w:val="AnnexTableCellLeft"/>
              <w:rPr>
                <w:szCs w:val="18"/>
              </w:rPr>
            </w:pPr>
            <w:r>
              <w:t xml:space="preserve">„</w:t>
            </w:r>
            <w:r>
              <w:rPr>
                <w:b/>
                <w:bCs/>
              </w:rPr>
              <w:t xml:space="preserve">Liður 10.2.1a</w:t>
            </w:r>
          </w:p>
        </w:tc>
        <w:tc>
          <w:tcPr>
            <w:tcW w:w="3971" w:type="pct"/>
            <w:tcMar>
              <w:top w:w="100" w:type="dxa"/>
              <w:left w:w="60" w:type="dxa"/>
              <w:bottom w:w="100" w:type="dxa"/>
              <w:right w:w="0" w:type="dxa"/>
            </w:tcMar>
          </w:tcPr>
          <w:p>
            <w:pPr>
              <w:pStyle w:val="AnnexTableCellLeft"/>
              <w:rPr>
                <w:szCs w:val="18"/>
              </w:rPr>
            </w:pPr>
            <w:r>
              <w:t xml:space="preserve">Hafi löggiltir endurskoðendur synjað um áritun sögulegra fjárhagsupplýsinga eða sé áritun þeirra gerð með fyrirvara, breyttu áliti, án álits eða með ábendingum skal birta slíka fyrirvara, breytingar, áritanir án álits eða ábendingar í heild sinni og tilgreina ástæður þeirra.“</w:t>
            </w:r>
          </w:p>
        </w:tc>
      </w:tr>
    </w:tbl>
    <w:p>
      <w:pPr>
        <w:pStyle w:val="Para"/>
        <w:sectPr>
          <w:pgSz w:w="11906" w:h="16838" w:code="9"/>
          <w:pgMar w:top="1680" w:right="1333" w:bottom="840" w:left="1333" w:header="920" w:footer="280" w:gutter="0"/>
          <w:cols w:space="708"/>
          <w:docGrid w:linePitch="360"/>
        </w:sectPr>
      </w:pPr>
    </w:p>
    <w:p>
      <w:pPr>
        <w:pStyle w:val="AnnexTI"/>
      </w:pPr>
      <w:r>
        <w:t xml:space="preserve">VII. VIÐAUKI</w:t>
      </w:r>
    </w:p>
    <w:p>
      <w:pPr>
        <w:pStyle w:val="AnnexNormal"/>
      </w:pPr>
      <w:r>
        <w:t xml:space="preserve">Ákvæðum 8. þáttar 9. viðauka er breytt sem hér segir:</w:t>
      </w:r>
    </w:p>
    <w:p>
      <w:pPr>
        <w:pStyle w:val="AnnexNumberedText"/>
        <w:tabs>
          <w:tab w:val="right" w:pos="149"/>
        </w:tabs>
        <w:spacing w:before="200" w:after="200"/>
        <w:ind w:left="300" w:hanging="300"/>
      </w:pPr>
      <w:r>
        <w:tab/>
      </w:r>
      <w:r>
        <w:t xml:space="preserve">1)</w:t>
      </w:r>
      <w:r>
        <w:tab/>
      </w:r>
      <w:r>
        <w:t xml:space="preserve">Í stað liðar 8.2.a.3 kemur eftirfarandi:</w:t>
      </w:r>
    </w:p>
    <w:tbl>
      <w:tblPr>
        <w:tblStyle w:val="EFTATable"/>
        <w:tblW w:w="4838" w:type="pct"/>
        <w:tblInd w:w="300" w:type="dxa"/>
        <w:tblLayout w:type="fixed"/>
        <w:tblLook w:val="04A0" w:firstRow="1" w:lastRow="0" w:firstColumn="1" w:lastColumn="0" w:noHBand="0" w:noVBand="1"/>
      </w:tblPr>
      <w:tblGrid>
        <w:gridCol w:w="1931"/>
        <w:gridCol w:w="7010"/>
      </w:tblGrid>
      <w:tr>
        <w:trPr>
          <w:trHeight w:val="240"/>
        </w:trPr>
        <w:tc>
          <w:tcPr>
            <w:tcW w:w="1080" w:type="pct"/>
            <w:tcMar>
              <w:top w:w="100" w:type="dxa"/>
              <w:left w:w="0" w:type="dxa"/>
              <w:bottom w:w="100" w:type="dxa"/>
              <w:right w:w="60" w:type="dxa"/>
            </w:tcMar>
          </w:tcPr>
          <w:p>
            <w:pPr>
              <w:pStyle w:val="AnnexTableCellLeft"/>
              <w:rPr>
                <w:szCs w:val="18"/>
              </w:rPr>
            </w:pPr>
            <w:r>
              <w:rPr>
                <w:b/>
                <w:szCs w:val="18"/>
              </w:rPr>
              <w:t xml:space="preserve">„</w:t>
            </w:r>
            <w:r>
              <w:rPr>
                <w:b/>
                <w:szCs w:val="18"/>
                <w:b/>
                <w:bCs/>
              </w:rPr>
              <w:t xml:space="preserve">Liður 8.2.a.3</w:t>
            </w:r>
          </w:p>
        </w:tc>
        <w:tc>
          <w:tcPr>
            <w:tcW w:w="3920" w:type="pct"/>
            <w:tcMar>
              <w:top w:w="100" w:type="dxa"/>
              <w:left w:w="60" w:type="dxa"/>
              <w:bottom w:w="100" w:type="dxa"/>
              <w:right w:w="0" w:type="dxa"/>
            </w:tcMar>
          </w:tcPr>
          <w:p>
            <w:pPr>
              <w:pStyle w:val="AnnexTableCellLeft"/>
              <w:spacing w:after="120"/>
              <w:rPr>
                <w:szCs w:val="18"/>
              </w:rPr>
            </w:pPr>
            <w:r>
              <w:t xml:space="preserve">Áritun endurskoðanda</w:t>
            </w:r>
          </w:p>
          <w:p>
            <w:pPr>
              <w:pStyle w:val="AnnexTableCellLeft"/>
              <w:spacing w:after="120"/>
              <w:rPr>
                <w:szCs w:val="18"/>
              </w:rPr>
            </w:pPr>
            <w:r>
              <w:t xml:space="preserve">Sögulegar, árlegar fjárhagsupplýsingar skulu hafa verið endurskoðaðar á óháðan hátt.</w:t>
            </w:r>
            <w:r>
              <w:t xml:space="preserve"> </w:t>
            </w:r>
            <w:r>
              <w:t xml:space="preserve">Áritun endurskoðanda skal samin í samræmi við tilskipun 2006/43/EB og reglugerð (ESB) nr. 537/2014.</w:t>
            </w:r>
          </w:p>
          <w:p>
            <w:pPr>
              <w:pStyle w:val="AnnexTableCellLeft"/>
              <w:spacing w:after="120"/>
              <w:rPr>
                <w:szCs w:val="18"/>
              </w:rPr>
            </w:pPr>
            <w:r>
              <w:t xml:space="preserve">Ef tilskipun 2006/43/EB og reglugerð (ESB) nr. 537/2014 gilda ekki, verður að endurskoða sögulegu fjárhagsupplýsingarnar eða tilkynna um hvort þær, að því er varðar útgefandalýsinguna, gefi sanna og trúverðuga mynd í samræmi við endurskoðunarstaðla sem gilda í aðildarríki eða jafngildan staðal eður ei.</w:t>
            </w:r>
            <w:r>
              <w:t xml:space="preserve"> </w:t>
            </w:r>
            <w:r>
              <w:t xml:space="preserve">Að öðrum kosti skulu eftirfarandi upplýsingar koma fram í útgefandalýsingunni:</w:t>
            </w:r>
          </w:p>
          <w:p>
            <w:pPr>
              <w:pStyle w:val="AnnexNumberedText"/>
              <w:ind w:left="300" w:hanging="300"/>
              <w:rPr>
                <w:szCs w:val="18"/>
              </w:rPr>
            </w:pPr>
            <w:r>
              <w:t xml:space="preserve">a)</w:t>
            </w:r>
            <w:r>
              <w:tab/>
            </w:r>
            <w:r>
              <w:t xml:space="preserve">áberandi yfirlýsing þar sem tilgreint er hvaða endurskoðunarstöðlum hefur verið beitt,</w:t>
            </w:r>
          </w:p>
          <w:p>
            <w:pPr>
              <w:pStyle w:val="AnnexNumberedText"/>
              <w:spacing w:before="200" w:after="0"/>
              <w:ind w:left="300" w:hanging="300"/>
              <w:rPr>
                <w:szCs w:val="18"/>
              </w:rPr>
            </w:pPr>
            <w:r>
              <w:t xml:space="preserve">b)</w:t>
            </w:r>
            <w:r>
              <w:tab/>
            </w:r>
            <w:r>
              <w:t xml:space="preserve">útskýring ef veruleg frávik eru frá alþjóðlegum endurskoðunarstöðlum (ISA).“</w:t>
            </w:r>
          </w:p>
        </w:tc>
      </w:tr>
    </w:tbl>
    <w:p>
      <w:pPr>
        <w:pStyle w:val="AnnexNumberedText"/>
        <w:tabs>
          <w:tab w:val="right" w:pos="149"/>
        </w:tabs>
        <w:spacing w:before="200" w:after="200"/>
        <w:ind w:left="300" w:hanging="300"/>
      </w:pPr>
      <w:r>
        <w:tab/>
      </w:r>
      <w:r>
        <w:t xml:space="preserve">2)</w:t>
      </w:r>
      <w:r>
        <w:tab/>
      </w:r>
      <w:r>
        <w:t xml:space="preserve">Eftirfarandi liður 8.2.a.4 bætist við:</w:t>
      </w:r>
    </w:p>
    <w:tbl>
      <w:tblPr>
        <w:tblStyle w:val="EFTATable"/>
        <w:tblW w:w="4838" w:type="pct"/>
        <w:tblInd w:w="300" w:type="dxa"/>
        <w:tblLayout w:type="fixed"/>
        <w:tblLook w:val="04A0" w:firstRow="1" w:lastRow="0" w:firstColumn="1" w:lastColumn="0" w:noHBand="0" w:noVBand="1"/>
      </w:tblPr>
      <w:tblGrid>
        <w:gridCol w:w="1931"/>
        <w:gridCol w:w="7010"/>
      </w:tblGrid>
      <w:tr>
        <w:trPr>
          <w:trHeight w:val="240"/>
        </w:trPr>
        <w:tc>
          <w:tcPr>
            <w:tcW w:w="1080" w:type="pct"/>
            <w:tcMar>
              <w:top w:w="100" w:type="dxa"/>
              <w:left w:w="0" w:type="dxa"/>
              <w:bottom w:w="100" w:type="dxa"/>
              <w:right w:w="60" w:type="dxa"/>
            </w:tcMar>
          </w:tcPr>
          <w:p>
            <w:pPr>
              <w:pStyle w:val="AnnexTableCellLeft"/>
              <w:rPr>
                <w:szCs w:val="18"/>
              </w:rPr>
            </w:pPr>
            <w:r>
              <w:rPr>
                <w:b/>
                <w:szCs w:val="18"/>
              </w:rPr>
              <w:t xml:space="preserve">„</w:t>
            </w:r>
            <w:r>
              <w:rPr>
                <w:b/>
                <w:szCs w:val="18"/>
                <w:b/>
                <w:bCs/>
              </w:rPr>
              <w:t xml:space="preserve">Liður 8.2.a.4</w:t>
            </w:r>
          </w:p>
        </w:tc>
        <w:tc>
          <w:tcPr>
            <w:tcW w:w="3920" w:type="pct"/>
            <w:tcMar>
              <w:top w:w="100" w:type="dxa"/>
              <w:left w:w="60" w:type="dxa"/>
              <w:bottom w:w="100" w:type="dxa"/>
              <w:right w:w="0" w:type="dxa"/>
            </w:tcMar>
          </w:tcPr>
          <w:p>
            <w:pPr>
              <w:pStyle w:val="AnnexTableCellLeft"/>
              <w:rPr>
                <w:szCs w:val="18"/>
              </w:rPr>
            </w:pPr>
            <w:r>
              <w:t xml:space="preserve">Yfirlýsing þess efnis að sögulegar fjárhagsupplýsingar hafi verið endurskoðaðar.</w:t>
            </w:r>
            <w:r>
              <w:t xml:space="preserve"> </w:t>
            </w:r>
            <w:r>
              <w:t xml:space="preserve">Hafi löggiltir endurskoðendur synjað um áritun sögulegra fjárhagsupplýsinga eða sé áritun þeirra með fyrirvara, breyttu áliti, án álits eða með ábendingum skal birta slíka fyrirvara, breytingar, áritanir án álits eða ábendingar í heild sinni og tilgreina ástæður þeirra.“</w:t>
            </w:r>
          </w:p>
        </w:tc>
      </w:tr>
    </w:tbl>
    <w:p>
      <w:pPr>
        <w:pStyle w:val="Para"/>
        <w:sectPr>
          <w:pgSz w:w="11906" w:h="16838" w:code="9"/>
          <w:pgMar w:top="1680" w:right="1333" w:bottom="840" w:left="1333" w:header="920" w:footer="280" w:gutter="0"/>
          <w:cols w:space="708"/>
          <w:docGrid w:linePitch="360"/>
        </w:sectPr>
      </w:pPr>
    </w:p>
    <w:p>
      <w:pPr>
        <w:pStyle w:val="AnnexTI"/>
      </w:pPr>
      <w:r>
        <w:t xml:space="preserve">VIII. VIÐAUKI</w:t>
      </w:r>
    </w:p>
    <w:p>
      <w:pPr>
        <w:pStyle w:val="AnnexNormal"/>
      </w:pPr>
      <w:r>
        <w:t xml:space="preserve">Ákvæðum 16. viðauka er breytt sem hér segir:</w:t>
      </w:r>
    </w:p>
    <w:p>
      <w:pPr>
        <w:pStyle w:val="AnnexNumberedText"/>
        <w:tabs>
          <w:tab w:val="right" w:pos="149"/>
        </w:tabs>
        <w:spacing w:before="200" w:after="200"/>
        <w:ind w:left="300" w:hanging="300"/>
      </w:pPr>
      <w:r>
        <w:tab/>
      </w:r>
      <w:r>
        <w:t xml:space="preserve">1)</w:t>
      </w:r>
      <w:r>
        <w:tab/>
      </w:r>
      <w:r>
        <w:t xml:space="preserve">Í stað 4.1 liðar kemur eftirfarandi:</w:t>
      </w:r>
    </w:p>
    <w:tbl>
      <w:tblPr>
        <w:tblStyle w:val="EFTATable"/>
        <w:tblW w:w="4831" w:type="pct"/>
        <w:tblInd w:w="300" w:type="dxa"/>
        <w:tblLayout w:type="fixed"/>
        <w:tblLook w:val="04A0" w:firstRow="1" w:lastRow="0" w:firstColumn="1" w:lastColumn="0" w:noHBand="0" w:noVBand="1"/>
      </w:tblPr>
      <w:tblGrid>
        <w:gridCol w:w="1909"/>
        <w:gridCol w:w="4980"/>
        <w:gridCol w:w="2039"/>
      </w:tblGrid>
      <w:tr>
        <w:trPr>
          <w:trHeight w:val="240"/>
        </w:trPr>
        <w:tc>
          <w:tcPr>
            <w:tcW w:w="1069" w:type="pct"/>
            <w:tcMar>
              <w:top w:w="100" w:type="dxa"/>
              <w:left w:w="0" w:type="dxa"/>
              <w:bottom w:w="100" w:type="dxa"/>
              <w:right w:w="60" w:type="dxa"/>
            </w:tcMar>
          </w:tcPr>
          <w:p>
            <w:pPr>
              <w:pStyle w:val="AnnexTableCellLeft"/>
              <w:rPr>
                <w:szCs w:val="18"/>
              </w:rPr>
            </w:pPr>
            <w:r>
              <w:rPr>
                <w:b/>
                <w:szCs w:val="18"/>
              </w:rPr>
              <w:t xml:space="preserve">„Liður 4.1</w:t>
            </w:r>
          </w:p>
        </w:tc>
        <w:tc>
          <w:tcPr>
            <w:tcW w:w="2789" w:type="pct"/>
            <w:tcMar>
              <w:top w:w="100" w:type="dxa"/>
              <w:left w:w="60" w:type="dxa"/>
              <w:bottom w:w="100" w:type="dxa"/>
              <w:right w:w="60" w:type="dxa"/>
            </w:tcMar>
          </w:tcPr>
          <w:p>
            <w:pPr>
              <w:pStyle w:val="AnnexNumberedText"/>
              <w:spacing w:after="0"/>
              <w:ind w:left="300" w:hanging="300"/>
              <w:rPr>
                <w:szCs w:val="18"/>
              </w:rPr>
            </w:pPr>
            <w:r>
              <w:t xml:space="preserve">a)</w:t>
            </w:r>
            <w:r>
              <w:tab/>
            </w:r>
            <w:r>
              <w:t xml:space="preserve">Lýsing á tegund, flokki og magni verðbréfa sem eru boðin út í almennu útboði og/eða tekin til viðskipta,</w:t>
            </w:r>
          </w:p>
          <w:p>
            <w:pPr>
              <w:pStyle w:val="AnnexNumberedText"/>
              <w:spacing w:after="0"/>
              <w:ind w:left="300" w:hanging="300"/>
              <w:rPr>
                <w:szCs w:val="18"/>
              </w:rPr>
            </w:pPr>
            <w:r>
              <w:t xml:space="preserve">b)</w:t>
            </w:r>
            <w:r>
              <w:tab/>
            </w:r>
            <w:r>
              <w:t xml:space="preserve">alþjóðlegt auðkennisnúmer (ISIN-númer) verðbréfa sem boðin eru út á almennum markaði og/eða tekin til viðskipta.“</w:t>
            </w:r>
          </w:p>
        </w:tc>
        <w:tc>
          <w:tcPr>
            <w:tcW w:w="1142" w:type="pct"/>
            <w:tcMar>
              <w:top w:w="100" w:type="dxa"/>
              <w:left w:w="60" w:type="dxa"/>
              <w:bottom w:w="100" w:type="dxa"/>
              <w:right w:w="0" w:type="dxa"/>
            </w:tcMar>
          </w:tcPr>
          <w:p>
            <w:pPr>
              <w:pStyle w:val="AnnexTableCellLeft"/>
              <w:spacing w:after="300"/>
              <w:rPr>
                <w:szCs w:val="18"/>
              </w:rPr>
            </w:pPr>
            <w:r>
              <w:t xml:space="preserve">Flokkur B</w:t>
            </w:r>
          </w:p>
          <w:p>
            <w:pPr>
              <w:pStyle w:val="AnnexTableCellLeft"/>
              <w:rPr>
                <w:szCs w:val="18"/>
              </w:rPr>
            </w:pPr>
            <w:r>
              <w:t xml:space="preserve">Flokkur C</w:t>
            </w:r>
          </w:p>
        </w:tc>
      </w:tr>
    </w:tbl>
    <w:p>
      <w:pPr>
        <w:pStyle w:val="AnnexNumberedText"/>
        <w:tabs>
          <w:tab w:val="right" w:pos="149"/>
        </w:tabs>
        <w:spacing w:before="200" w:after="200"/>
        <w:ind w:left="300" w:hanging="300"/>
      </w:pPr>
      <w:r>
        <w:tab/>
      </w:r>
      <w:r>
        <w:t xml:space="preserve">2)</w:t>
      </w:r>
      <w:r>
        <w:tab/>
      </w:r>
      <w:r>
        <w:t xml:space="preserve">Eftirfarandi liður 7.3.a bætist við:</w:t>
      </w:r>
    </w:p>
    <w:tbl>
      <w:tblPr>
        <w:tblStyle w:val="EFTATable"/>
        <w:tblW w:w="4831" w:type="pct"/>
        <w:tblInd w:w="300" w:type="dxa"/>
        <w:tblLayout w:type="fixed"/>
        <w:tblLook w:val="04A0" w:firstRow="1" w:lastRow="0" w:firstColumn="1" w:lastColumn="0" w:noHBand="0" w:noVBand="1"/>
      </w:tblPr>
      <w:tblGrid>
        <w:gridCol w:w="1919"/>
        <w:gridCol w:w="4982"/>
        <w:gridCol w:w="2027"/>
      </w:tblGrid>
      <w:tr>
        <w:trPr>
          <w:trHeight w:val="240"/>
        </w:trPr>
        <w:tc>
          <w:tcPr>
            <w:tcW w:w="1075" w:type="pct"/>
            <w:tcMar>
              <w:top w:w="100" w:type="dxa"/>
              <w:left w:w="0" w:type="dxa"/>
              <w:bottom w:w="100" w:type="dxa"/>
              <w:right w:w="60" w:type="dxa"/>
            </w:tcMar>
          </w:tcPr>
          <w:p>
            <w:pPr>
              <w:pStyle w:val="AnnexTableCellLeft"/>
              <w:spacing w:after="120"/>
              <w:rPr>
                <w:szCs w:val="18"/>
              </w:rPr>
            </w:pPr>
            <w:r>
              <w:rPr>
                <w:b/>
                <w:szCs w:val="18"/>
              </w:rPr>
              <w:t xml:space="preserve">„</w:t>
            </w:r>
            <w:r>
              <w:rPr>
                <w:b/>
                <w:szCs w:val="18"/>
                <w:b/>
                <w:bCs/>
              </w:rPr>
              <w:t xml:space="preserve">Liður 7.3.a</w:t>
            </w:r>
          </w:p>
          <w:p>
            <w:pPr>
              <w:pStyle w:val="AnnexTableCellLeft"/>
              <w:rPr>
                <w:szCs w:val="18"/>
              </w:rPr>
            </w:pPr>
            <w:r>
              <w:rPr>
                <w:b/>
                <w:szCs w:val="18"/>
              </w:rPr>
              <w:t xml:space="preserve">(Aðeins almennir fjárfestar)</w:t>
            </w:r>
          </w:p>
        </w:tc>
        <w:tc>
          <w:tcPr>
            <w:tcW w:w="2790" w:type="pct"/>
            <w:tcMar>
              <w:top w:w="100" w:type="dxa"/>
              <w:left w:w="60" w:type="dxa"/>
              <w:bottom w:w="100" w:type="dxa"/>
              <w:right w:w="60" w:type="dxa"/>
            </w:tcMar>
          </w:tcPr>
          <w:p>
            <w:pPr>
              <w:pStyle w:val="AnnexTableCellLeft"/>
              <w:rPr>
                <w:szCs w:val="18"/>
              </w:rPr>
            </w:pPr>
            <w:r>
              <w:t xml:space="preserve">Ef upplýsingarnar í c- til i-lið 3. mgr. 8. gr. reglugerðar (ESB) nr. 1286/2014 koma í stað hluta samantektarinnar verður að birta allar slíkar upplýsingar, að því marki sem þær eru ekki birtar annars staðar í verðbréfalýsingunni.“</w:t>
            </w:r>
          </w:p>
        </w:tc>
        <w:tc>
          <w:tcPr>
            <w:tcW w:w="1136" w:type="pct"/>
            <w:tcMar>
              <w:top w:w="100" w:type="dxa"/>
              <w:left w:w="60" w:type="dxa"/>
              <w:bottom w:w="100" w:type="dxa"/>
              <w:right w:w="0" w:type="dxa"/>
            </w:tcMar>
          </w:tcPr>
          <w:p>
            <w:pPr>
              <w:pStyle w:val="AnnexTableCellLeft"/>
              <w:rPr>
                <w:szCs w:val="18"/>
              </w:rPr>
            </w:pPr>
            <w:r>
              <w:t xml:space="preserve">Flokkur C</w:t>
            </w:r>
          </w:p>
        </w:tc>
      </w:tr>
    </w:tbl>
    <w:p>
      <w:pPr>
        <w:pStyle w:val="Para"/>
        <w:sectPr>
          <w:pgSz w:w="11906" w:h="16838" w:code="9"/>
          <w:pgMar w:top="1680" w:right="1333" w:bottom="840" w:left="1333" w:header="920" w:footer="280" w:gutter="0"/>
          <w:cols w:space="708"/>
          <w:docGrid w:linePitch="360"/>
        </w:sectPr>
      </w:pPr>
    </w:p>
    <w:p>
      <w:pPr>
        <w:pStyle w:val="AnnexTI"/>
      </w:pPr>
      <w:r>
        <w:t xml:space="preserve">IX. VIÐAUKI</w:t>
      </w:r>
    </w:p>
    <w:p>
      <w:pPr>
        <w:pStyle w:val="AnnexNormal"/>
      </w:pPr>
      <w:r>
        <w:t xml:space="preserve">Ákvæðum 5. þáttar 24. viðauka er breytt sem hér segir:</w:t>
      </w:r>
    </w:p>
    <w:p>
      <w:pPr>
        <w:pStyle w:val="AnnexNumberedText"/>
        <w:tabs>
          <w:tab w:val="right" w:pos="149"/>
        </w:tabs>
        <w:spacing w:before="200" w:after="200"/>
        <w:ind w:left="300" w:hanging="300"/>
      </w:pPr>
      <w:r>
        <w:tab/>
      </w:r>
      <w:r>
        <w:t xml:space="preserve">1)</w:t>
      </w:r>
      <w:r>
        <w:tab/>
      </w:r>
      <w:r>
        <w:t xml:space="preserve">Í stað liðar 5.3.1 kemur eftirfarandi:</w:t>
      </w:r>
    </w:p>
    <w:tbl>
      <w:tblPr>
        <w:tblStyle w:val="EFTATable"/>
        <w:tblW w:w="4844" w:type="pct"/>
        <w:tblInd w:w="300" w:type="dxa"/>
        <w:tblLayout w:type="fixed"/>
        <w:tblLook w:val="04A0" w:firstRow="1" w:lastRow="0" w:firstColumn="1" w:lastColumn="0" w:noHBand="0" w:noVBand="1"/>
      </w:tblPr>
      <w:tblGrid>
        <w:gridCol w:w="1753"/>
        <w:gridCol w:w="7199"/>
      </w:tblGrid>
      <w:tr>
        <w:trPr>
          <w:trHeight w:val="240"/>
        </w:trPr>
        <w:tc>
          <w:tcPr>
            <w:tcW w:w="979" w:type="pct"/>
            <w:tcMar>
              <w:top w:w="100" w:type="dxa"/>
              <w:left w:w="0" w:type="dxa"/>
              <w:bottom w:w="100" w:type="dxa"/>
              <w:right w:w="60" w:type="dxa"/>
            </w:tcMar>
          </w:tcPr>
          <w:p>
            <w:pPr>
              <w:pStyle w:val="AnnexTableCellLeft"/>
              <w:rPr>
                <w:szCs w:val="18"/>
              </w:rPr>
            </w:pPr>
            <w:r>
              <w:rPr>
                <w:b/>
                <w:szCs w:val="18"/>
              </w:rPr>
              <w:t xml:space="preserve">„</w:t>
            </w:r>
            <w:r>
              <w:rPr>
                <w:b/>
                <w:szCs w:val="18"/>
                <w:b/>
                <w:bCs/>
              </w:rPr>
              <w:t xml:space="preserve">Liður 5.3.1</w:t>
            </w:r>
          </w:p>
        </w:tc>
        <w:tc>
          <w:tcPr>
            <w:tcW w:w="4021" w:type="pct"/>
            <w:tcMar>
              <w:top w:w="100" w:type="dxa"/>
              <w:left w:w="60" w:type="dxa"/>
              <w:bottom w:w="100" w:type="dxa"/>
              <w:right w:w="0" w:type="dxa"/>
            </w:tcMar>
          </w:tcPr>
          <w:p>
            <w:pPr>
              <w:pStyle w:val="AnnexTableCellLeft"/>
              <w:spacing w:after="120"/>
              <w:rPr>
                <w:szCs w:val="18"/>
              </w:rPr>
            </w:pPr>
            <w:r>
              <w:t xml:space="preserve">Sögulegar, árlegar fjárhagsupplýsingar skulu hafa verið endurskoðaðar á óháðan hátt.</w:t>
            </w:r>
            <w:r>
              <w:t xml:space="preserve"> </w:t>
            </w:r>
            <w:r>
              <w:t xml:space="preserve">Áritun endurskoðanda skal samin í samræmi við tilskipun 2006/43/EB og reglugerð (ESB) nr. 537/2014.</w:t>
            </w:r>
          </w:p>
          <w:p>
            <w:pPr>
              <w:pStyle w:val="AnnexTableCellLeft"/>
              <w:rPr>
                <w:szCs w:val="18"/>
              </w:rPr>
            </w:pPr>
            <w:r>
              <w:t xml:space="preserve">Ef tilskipun 2006/43/EB og reglugerð (ESB) nr. 537/2014 eiga ekki við verður að endurskoða sögulegar, árlegar fjárhagsupplýsingar eða láta fylgja með þeim tilgreiningu á því hvort, með tilliti til útgefandalýsingarinnar, þær gefa glögga mynd í samræmi við gildandi endurskoðunarstaðla í viðkomandi aðildarríki eða sambærilegan staðal.“</w:t>
            </w:r>
          </w:p>
        </w:tc>
      </w:tr>
    </w:tbl>
    <w:p>
      <w:pPr>
        <w:pStyle w:val="AnnexNumberedText"/>
        <w:tabs>
          <w:tab w:val="right" w:pos="149"/>
        </w:tabs>
        <w:spacing w:before="200" w:after="200"/>
        <w:ind w:left="300" w:hanging="300"/>
      </w:pPr>
      <w:r>
        <w:tab/>
      </w:r>
      <w:r>
        <w:t xml:space="preserve">2)</w:t>
      </w:r>
      <w:r>
        <w:tab/>
      </w:r>
      <w:r>
        <w:t xml:space="preserve">Eftirfarandi liður 5.3.1a bætist við:</w:t>
      </w:r>
    </w:p>
    <w:tbl>
      <w:tblPr>
        <w:tblStyle w:val="EFTATable"/>
        <w:tblW w:w="4838" w:type="pct"/>
        <w:tblInd w:w="300" w:type="dxa"/>
        <w:tblLayout w:type="fixed"/>
        <w:tblLook w:val="04A0" w:firstRow="1" w:lastRow="0" w:firstColumn="1" w:lastColumn="0" w:noHBand="0" w:noVBand="1"/>
      </w:tblPr>
      <w:tblGrid>
        <w:gridCol w:w="1742"/>
        <w:gridCol w:w="7199"/>
      </w:tblGrid>
      <w:tr>
        <w:trPr>
          <w:trHeight w:val="240"/>
        </w:trPr>
        <w:tc>
          <w:tcPr>
            <w:tcW w:w="974" w:type="pct"/>
            <w:tcMar>
              <w:top w:w="100" w:type="dxa"/>
              <w:left w:w="0" w:type="dxa"/>
              <w:bottom w:w="100" w:type="dxa"/>
              <w:right w:w="60" w:type="dxa"/>
            </w:tcMar>
          </w:tcPr>
          <w:p>
            <w:pPr>
              <w:pStyle w:val="AnnexTableCellLeft"/>
              <w:rPr>
                <w:szCs w:val="18"/>
              </w:rPr>
            </w:pPr>
            <w:r>
              <w:t xml:space="preserve">„</w:t>
            </w:r>
            <w:r>
              <w:rPr>
                <w:b/>
                <w:bCs/>
              </w:rPr>
              <w:t xml:space="preserve">Liður 5.3.1a</w:t>
            </w:r>
          </w:p>
        </w:tc>
        <w:tc>
          <w:tcPr>
            <w:tcW w:w="4026" w:type="pct"/>
            <w:tcMar>
              <w:top w:w="100" w:type="dxa"/>
              <w:left w:w="60" w:type="dxa"/>
              <w:bottom w:w="100" w:type="dxa"/>
              <w:right w:w="0" w:type="dxa"/>
            </w:tcMar>
          </w:tcPr>
          <w:p>
            <w:pPr>
              <w:pStyle w:val="AnnexTableCellLeft"/>
              <w:rPr>
                <w:szCs w:val="18"/>
              </w:rPr>
            </w:pPr>
            <w:r>
              <w:t xml:space="preserve">Hafi löggiltir endurskoðendur synjað um áritun sögulegra fjárhagsupplýsinga eða sé áritun þeirra með fyrirvara, breyttu áliti, án álits eða með ábendingum skal birta slíka fyrirvara, breytingar, áritanir án álits eða ábendingar í heild sinni og tilgreina ástæður þeirra.“</w:t>
            </w:r>
          </w:p>
        </w:tc>
      </w:tr>
    </w:tbl>
    <w:p>
      <w:pPr>
        <w:pStyle w:val="Para"/>
        <w:sectPr>
          <w:pgSz w:w="11906" w:h="16838" w:code="9"/>
          <w:pgMar w:top="1680" w:right="1333" w:bottom="840" w:left="1333" w:header="920" w:footer="280" w:gutter="0"/>
          <w:cols w:space="708"/>
          <w:docGrid w:linePitch="360"/>
        </w:sectPr>
      </w:pPr>
    </w:p>
    <w:p>
      <w:pPr>
        <w:pStyle w:val="AnnexTI"/>
      </w:pPr>
      <w:r>
        <w:t xml:space="preserve">X. VIÐAUKI</w:t>
      </w:r>
    </w:p>
    <w:p>
      <w:pPr>
        <w:pStyle w:val="AnnexNormal"/>
      </w:pPr>
      <w:r>
        <w:t xml:space="preserve">Ákvæðum 5. þáttar 25. viðauka er breytt sem hér segir:</w:t>
      </w:r>
    </w:p>
    <w:p>
      <w:pPr>
        <w:pStyle w:val="AnnexNumberedText"/>
        <w:tabs>
          <w:tab w:val="right" w:pos="149"/>
        </w:tabs>
        <w:spacing w:before="200" w:after="200"/>
        <w:ind w:left="300" w:hanging="300"/>
      </w:pPr>
      <w:r>
        <w:tab/>
      </w:r>
      <w:r>
        <w:t xml:space="preserve">1)</w:t>
      </w:r>
      <w:r>
        <w:tab/>
      </w:r>
      <w:r>
        <w:t xml:space="preserve">Í stað liðar 5.3.1 kemur eftirfarandi:</w:t>
      </w:r>
    </w:p>
    <w:tbl>
      <w:tblPr>
        <w:tblStyle w:val="EFTATable"/>
        <w:tblW w:w="4844" w:type="pct"/>
        <w:tblInd w:w="300" w:type="dxa"/>
        <w:tblLayout w:type="fixed"/>
        <w:tblLook w:val="04A0" w:firstRow="1" w:lastRow="0" w:firstColumn="1" w:lastColumn="0" w:noHBand="0" w:noVBand="1"/>
      </w:tblPr>
      <w:tblGrid>
        <w:gridCol w:w="1799"/>
        <w:gridCol w:w="7153"/>
      </w:tblGrid>
      <w:tr>
        <w:trPr>
          <w:trHeight w:val="240"/>
        </w:trPr>
        <w:tc>
          <w:tcPr>
            <w:tcW w:w="1005" w:type="pct"/>
            <w:tcMar>
              <w:top w:w="100" w:type="dxa"/>
              <w:left w:w="0" w:type="dxa"/>
              <w:bottom w:w="100" w:type="dxa"/>
              <w:right w:w="60" w:type="dxa"/>
            </w:tcMar>
          </w:tcPr>
          <w:p>
            <w:pPr>
              <w:pStyle w:val="AnnexTableCellLeft"/>
              <w:rPr>
                <w:szCs w:val="18"/>
              </w:rPr>
            </w:pPr>
            <w:r>
              <w:rPr>
                <w:b/>
                <w:szCs w:val="18"/>
              </w:rPr>
              <w:t xml:space="preserve">„</w:t>
            </w:r>
            <w:r>
              <w:rPr>
                <w:b/>
                <w:szCs w:val="18"/>
                <w:b/>
                <w:bCs/>
              </w:rPr>
              <w:t xml:space="preserve">Liður 5.3.1</w:t>
            </w:r>
          </w:p>
        </w:tc>
        <w:tc>
          <w:tcPr>
            <w:tcW w:w="3995" w:type="pct"/>
            <w:tcMar>
              <w:top w:w="100" w:type="dxa"/>
              <w:left w:w="60" w:type="dxa"/>
              <w:bottom w:w="100" w:type="dxa"/>
              <w:right w:w="0" w:type="dxa"/>
            </w:tcMar>
          </w:tcPr>
          <w:p>
            <w:pPr>
              <w:pStyle w:val="AnnexTableCellLeft"/>
              <w:rPr>
                <w:szCs w:val="18"/>
              </w:rPr>
            </w:pPr>
            <w:r>
              <w:t xml:space="preserve">Sögulegar, árlegar fjárhagsupplýsingar skulu hafa verið endurskoðaðar á óháðan hátt.</w:t>
            </w:r>
            <w:r>
              <w:t xml:space="preserve"> </w:t>
            </w:r>
            <w:r>
              <w:t xml:space="preserve">Áritun endurskoðanda skal samin í samræmi við tilskipun 2006/43/EB og reglugerð (ESB) nr. 537/2014.</w:t>
            </w:r>
          </w:p>
          <w:p>
            <w:pPr>
              <w:pStyle w:val="AnnexTableCellLeft"/>
              <w:rPr>
                <w:szCs w:val="18"/>
              </w:rPr>
            </w:pPr>
            <w:r>
              <w:t xml:space="preserve">Ef tilskipun 2006/43/EB og reglugerð (ESB) nr. 537/2014 eiga ekki við verður að endurskoða sögulegar, árlegar fjárhagsupplýsingar eða láta fylgja með þeim tilgreiningu á því hvort, með tilliti til útgefandalýsingarinnar, þær gefa glögga mynd í samræmi við gildandi endurskoðunarstaðla í viðkomandi aðildarríki eða sambærilegan staðal.“</w:t>
            </w:r>
          </w:p>
        </w:tc>
      </w:tr>
    </w:tbl>
    <w:p>
      <w:pPr>
        <w:pStyle w:val="AnnexNumberedText"/>
        <w:tabs>
          <w:tab w:val="right" w:pos="149"/>
        </w:tabs>
        <w:spacing w:before="200" w:after="200"/>
        <w:ind w:left="300" w:hanging="300"/>
      </w:pPr>
      <w:r>
        <w:tab/>
      </w:r>
      <w:r>
        <w:t xml:space="preserve">2)</w:t>
      </w:r>
      <w:r>
        <w:tab/>
      </w:r>
      <w:r>
        <w:t xml:space="preserve">Eftirfarandi liður 5.3.1a bætist við:</w:t>
      </w:r>
    </w:p>
    <w:tbl>
      <w:tblPr>
        <w:tblStyle w:val="EFTATable"/>
        <w:tblW w:w="4838" w:type="pct"/>
        <w:tblInd w:w="300" w:type="dxa"/>
        <w:tblLayout w:type="fixed"/>
        <w:tblLook w:val="04A0" w:firstRow="1" w:lastRow="0" w:firstColumn="1" w:lastColumn="0" w:noHBand="0" w:noVBand="1"/>
      </w:tblPr>
      <w:tblGrid>
        <w:gridCol w:w="1801"/>
        <w:gridCol w:w="7140"/>
      </w:tblGrid>
      <w:tr>
        <w:trPr>
          <w:trHeight w:val="240"/>
        </w:trPr>
        <w:tc>
          <w:tcPr>
            <w:tcW w:w="1007" w:type="pct"/>
            <w:tcMar>
              <w:top w:w="100" w:type="dxa"/>
              <w:left w:w="0" w:type="dxa"/>
              <w:bottom w:w="100" w:type="dxa"/>
              <w:right w:w="60" w:type="dxa"/>
            </w:tcMar>
          </w:tcPr>
          <w:p>
            <w:pPr>
              <w:pStyle w:val="AnnexTableCellLeft"/>
              <w:rPr>
                <w:szCs w:val="18"/>
              </w:rPr>
            </w:pPr>
            <w:r>
              <w:rPr>
                <w:b/>
                <w:szCs w:val="18"/>
              </w:rPr>
              <w:t xml:space="preserve">„</w:t>
            </w:r>
            <w:r>
              <w:rPr>
                <w:b/>
                <w:szCs w:val="18"/>
                <w:b/>
                <w:bCs/>
              </w:rPr>
              <w:t xml:space="preserve">Liður 5.3.1a</w:t>
            </w:r>
          </w:p>
        </w:tc>
        <w:tc>
          <w:tcPr>
            <w:tcW w:w="3993" w:type="pct"/>
            <w:tcMar>
              <w:top w:w="100" w:type="dxa"/>
              <w:left w:w="60" w:type="dxa"/>
              <w:bottom w:w="100" w:type="dxa"/>
              <w:right w:w="0" w:type="dxa"/>
            </w:tcMar>
          </w:tcPr>
          <w:p>
            <w:pPr>
              <w:pStyle w:val="AnnexTableCellLeft"/>
              <w:rPr>
                <w:szCs w:val="18"/>
              </w:rPr>
            </w:pPr>
            <w:r>
              <w:t xml:space="preserve">Hafi löggiltir endurskoðendur synjað um áritun sögulegra fjárhagsupplýsinga eða sé áritun þeirra með fyrirvara, breyttu áliti, án álits eða með ábendingum skal birta slíka fyrirvara, breytingar, áritanir án álits eða ábendingar í heild sinni og tilgreina ástæður þeirra.“</w:t>
            </w:r>
          </w:p>
        </w:tc>
      </w:tr>
    </w:tbl>
    <w:p>
      <w:pPr>
        <w:pStyle w:val="Para"/>
        <w:sectPr>
          <w:pgSz w:w="11906" w:h="16838" w:code="9"/>
          <w:pgMar w:top="1680" w:right="1333" w:bottom="840" w:left="1333" w:header="920" w:footer="280" w:gutter="0"/>
          <w:cols w:space="708"/>
          <w:docGrid w:linePitch="360"/>
        </w:sectPr>
      </w:pPr>
    </w:p>
    <w:p>
      <w:pPr>
        <w:pStyle w:val="AnnexTI"/>
      </w:pPr>
      <w:r>
        <w:t xml:space="preserve">XI. VIÐAUKI</w:t>
      </w:r>
    </w:p>
    <w:p>
      <w:pPr>
        <w:pStyle w:val="AnnexNormal"/>
      </w:pPr>
      <w:r>
        <w:t xml:space="preserve">Ákvæðum 26. viðauka er breytt sem hér segir:</w:t>
      </w:r>
    </w:p>
    <w:p>
      <w:pPr>
        <w:pStyle w:val="AnnexNumberedText"/>
        <w:tabs>
          <w:tab w:val="right" w:pos="149"/>
        </w:tabs>
        <w:spacing w:before="200" w:after="200"/>
        <w:ind w:left="300" w:hanging="300"/>
      </w:pPr>
      <w:r>
        <w:tab/>
      </w:r>
      <w:r>
        <w:t xml:space="preserve">1)</w:t>
      </w:r>
      <w:r>
        <w:tab/>
      </w:r>
      <w:r>
        <w:t xml:space="preserve">Í stað 2. þáttar kemur eftirfarandi:</w:t>
      </w:r>
    </w:p>
    <w:tbl>
      <w:tblPr>
        <w:tblStyle w:val="EFTATable"/>
        <w:tblW w:w="4831" w:type="pct"/>
        <w:tblInd w:w="300" w:type="dxa"/>
        <w:tblLayout w:type="fixed"/>
        <w:tblLook w:val="04A0" w:firstRow="1" w:lastRow="0" w:firstColumn="1" w:lastColumn="0" w:noHBand="0" w:noVBand="1"/>
      </w:tblPr>
      <w:tblGrid>
        <w:gridCol w:w="2461"/>
        <w:gridCol w:w="6467"/>
      </w:tblGrid>
      <w:tr>
        <w:trPr>
          <w:trHeight w:val="240"/>
        </w:trPr>
        <w:tc>
          <w:tcPr>
            <w:tcW w:w="1378" w:type="pct"/>
            <w:tcMar>
              <w:top w:w="100" w:type="dxa"/>
              <w:left w:w="0" w:type="dxa"/>
              <w:bottom w:w="100" w:type="dxa"/>
              <w:right w:w="60" w:type="dxa"/>
            </w:tcMar>
          </w:tcPr>
          <w:p>
            <w:pPr>
              <w:pStyle w:val="AnnexTableCellLeft"/>
              <w:rPr>
                <w:szCs w:val="18"/>
              </w:rPr>
            </w:pPr>
            <w:r>
              <w:rPr>
                <w:b/>
                <w:sz w:val="16"/>
                <w:szCs w:val="18"/>
              </w:rPr>
              <w:t xml:space="preserve">„2. ÞÁTTUR</w:t>
            </w:r>
          </w:p>
        </w:tc>
        <w:tc>
          <w:tcPr>
            <w:tcW w:w="3622" w:type="pct"/>
            <w:tcMar>
              <w:top w:w="100" w:type="dxa"/>
              <w:left w:w="60" w:type="dxa"/>
              <w:bottom w:w="100" w:type="dxa"/>
              <w:right w:w="0" w:type="dxa"/>
            </w:tcMar>
          </w:tcPr>
          <w:p>
            <w:pPr>
              <w:pStyle w:val="AnnexTableCellLeft"/>
              <w:spacing w:after="120" w:line="200" w:lineRule="exact"/>
              <w:rPr>
                <w:sz w:val="16"/>
                <w:szCs w:val="18"/>
              </w:rPr>
            </w:pPr>
            <w:r>
              <w:rPr>
                <w:b/>
                <w:sz w:val="16"/>
                <w:szCs w:val="18"/>
              </w:rPr>
              <w:t xml:space="preserve">YFIRLÝSING UM VELTUFÉ OG YFIRLÝSING UM FJÁRMÖGNUN OG SKULDSETNINGU</w:t>
            </w:r>
          </w:p>
          <w:p>
            <w:pPr>
              <w:pStyle w:val="AnnexTableCellLeft"/>
              <w:rPr>
                <w:szCs w:val="18"/>
              </w:rPr>
            </w:pPr>
            <w:r>
              <w:rPr>
                <w:i/>
                <w:szCs w:val="18"/>
              </w:rPr>
              <w:t xml:space="preserve">Veiting upplýsinga samkvæmt þessum þætti eru um veltufjárþörf útgefanda sem og fjármögnun og skuldsetningu hans.</w:t>
            </w:r>
          </w:p>
        </w:tc>
      </w:tr>
      <w:tr>
        <w:trPr>
          <w:trHeight w:val="240"/>
        </w:trPr>
        <w:tc>
          <w:tcPr>
            <w:tcW w:w="1378" w:type="pct"/>
            <w:tcMar>
              <w:top w:w="100" w:type="dxa"/>
              <w:left w:w="0" w:type="dxa"/>
              <w:bottom w:w="100" w:type="dxa"/>
              <w:right w:w="60" w:type="dxa"/>
            </w:tcMar>
          </w:tcPr>
          <w:p>
            <w:pPr>
              <w:pStyle w:val="AnnexTableCellLeft"/>
              <w:rPr>
                <w:szCs w:val="18"/>
              </w:rPr>
            </w:pPr>
            <w:r>
              <w:rPr>
                <w:b/>
                <w:szCs w:val="18"/>
              </w:rPr>
              <w:t xml:space="preserve">Liður 2.1.</w:t>
            </w:r>
          </w:p>
        </w:tc>
        <w:tc>
          <w:tcPr>
            <w:tcW w:w="3622" w:type="pct"/>
            <w:tcMar>
              <w:top w:w="100" w:type="dxa"/>
              <w:left w:w="60" w:type="dxa"/>
              <w:bottom w:w="100" w:type="dxa"/>
              <w:right w:w="0" w:type="dxa"/>
            </w:tcMar>
          </w:tcPr>
          <w:p>
            <w:pPr>
              <w:pStyle w:val="AnnexTableCellLeft"/>
              <w:rPr>
                <w:szCs w:val="18"/>
              </w:rPr>
            </w:pPr>
            <w:r>
              <w:t xml:space="preserve">Yfirlýsing um veltufé</w:t>
            </w:r>
          </w:p>
          <w:p>
            <w:pPr>
              <w:pStyle w:val="AnnexTableCellLeft"/>
              <w:rPr>
                <w:szCs w:val="18"/>
              </w:rPr>
            </w:pPr>
            <w:r>
              <w:t xml:space="preserve">Yfirlýsing útgefanda um að hann telji veltufé sitt nægja til að uppfylla núverandi þarfir sínar og, ef ekki, hvernig hann hyggst afla þess viðbótarveltufjár sem til þarf.</w:t>
            </w:r>
          </w:p>
        </w:tc>
      </w:tr>
      <w:tr>
        <w:trPr>
          <w:trHeight w:val="240"/>
        </w:trPr>
        <w:tc>
          <w:tcPr>
            <w:tcW w:w="1378" w:type="pct"/>
            <w:tcMar>
              <w:top w:w="100" w:type="dxa"/>
              <w:left w:w="0" w:type="dxa"/>
              <w:bottom w:w="100" w:type="dxa"/>
              <w:right w:w="60" w:type="dxa"/>
            </w:tcMar>
          </w:tcPr>
          <w:p>
            <w:pPr>
              <w:pStyle w:val="AnnexTableCellLeft"/>
              <w:rPr>
                <w:szCs w:val="18"/>
              </w:rPr>
            </w:pPr>
            <w:r>
              <w:rPr>
                <w:b/>
                <w:szCs w:val="18"/>
              </w:rPr>
              <w:t xml:space="preserve">Liður 2.2.</w:t>
            </w:r>
          </w:p>
          <w:p>
            <w:pPr>
              <w:pStyle w:val="AnnexTableCellLeft"/>
              <w:jc w:val="left"/>
              <w:rPr>
                <w:szCs w:val="18"/>
              </w:rPr>
            </w:pPr>
            <w:r>
              <w:t xml:space="preserve">Aðeins útgefendur með markaðsverðmæti yfir 200 000 000 evrum</w:t>
            </w:r>
          </w:p>
        </w:tc>
        <w:tc>
          <w:tcPr>
            <w:tcW w:w="3622" w:type="pct"/>
            <w:tcMar>
              <w:top w:w="100" w:type="dxa"/>
              <w:left w:w="60" w:type="dxa"/>
              <w:bottom w:w="100" w:type="dxa"/>
              <w:right w:w="0" w:type="dxa"/>
            </w:tcMar>
          </w:tcPr>
          <w:p>
            <w:pPr>
              <w:pStyle w:val="AnnexTableCellLeft"/>
              <w:rPr>
                <w:szCs w:val="18"/>
              </w:rPr>
            </w:pPr>
            <w:r>
              <w:t xml:space="preserve">Fjármögnun og skuldsetning</w:t>
            </w:r>
          </w:p>
          <w:p>
            <w:pPr>
              <w:pStyle w:val="AnnexTableCellLeft"/>
              <w:rPr>
                <w:szCs w:val="18"/>
              </w:rPr>
            </w:pPr>
            <w:r>
              <w:t xml:space="preserve">Yfirlýsing um fjármögnun og skuldsetningu (þar sem gerður er greinarmunur á skuldum sem eru með og án ábyrgðar og skuldum sem eru tryggðar og ótryggðar) eigi fyrr en 90 dögum fyrir dagsetningu skjalsins.</w:t>
            </w:r>
            <w:r>
              <w:t xml:space="preserve"> </w:t>
            </w:r>
            <w:r>
              <w:t xml:space="preserve">Hugtakið „skuldsetning“ felur einnig í sér óbeinar og óvissar skuldir.</w:t>
            </w:r>
          </w:p>
          <w:p>
            <w:pPr>
              <w:pStyle w:val="AnnexTableCellLeft"/>
              <w:rPr>
                <w:szCs w:val="18"/>
              </w:rPr>
            </w:pPr>
            <w:r>
              <w:t xml:space="preserve">Verði verulegar breytingar á fjármögnun og skuldsetningu útgefanda á 90 daga tímabilinu skal veita viðbótarupplýsingar með því að leggja fram lýsingu í frásagnarformi á slíkum breytingum eða með því að uppfæra þær tölur.“</w:t>
            </w:r>
          </w:p>
        </w:tc>
      </w:tr>
    </w:tbl>
    <w:p>
      <w:pPr>
        <w:pStyle w:val="AnnexNumberedText"/>
        <w:tabs>
          <w:tab w:val="right" w:pos="149"/>
        </w:tabs>
        <w:spacing w:before="200" w:after="200"/>
        <w:ind w:left="300" w:hanging="300"/>
      </w:pPr>
      <w:r>
        <w:tab/>
      </w:r>
      <w:r>
        <w:t xml:space="preserve">2)</w:t>
      </w:r>
      <w:r>
        <w:tab/>
      </w:r>
      <w:r>
        <w:t xml:space="preserve">Eftirfarandi liður 4.2 bætist við:</w:t>
      </w:r>
    </w:p>
    <w:tbl>
      <w:tblPr>
        <w:tblStyle w:val="EFTATable"/>
        <w:tblW w:w="4838" w:type="pct"/>
        <w:tblInd w:w="300" w:type="dxa"/>
        <w:tblLayout w:type="fixed"/>
        <w:tblLook w:val="04A0" w:firstRow="1" w:lastRow="0" w:firstColumn="1" w:lastColumn="0" w:noHBand="0" w:noVBand="1"/>
      </w:tblPr>
      <w:tblGrid>
        <w:gridCol w:w="2436"/>
        <w:gridCol w:w="6505"/>
      </w:tblGrid>
      <w:tr>
        <w:trPr>
          <w:trHeight w:val="240"/>
        </w:trPr>
        <w:tc>
          <w:tcPr>
            <w:tcW w:w="1362" w:type="pct"/>
            <w:tcMar>
              <w:top w:w="100" w:type="dxa"/>
              <w:left w:w="0" w:type="dxa"/>
              <w:bottom w:w="100" w:type="dxa"/>
              <w:right w:w="60" w:type="dxa"/>
            </w:tcMar>
          </w:tcPr>
          <w:p>
            <w:pPr>
              <w:pStyle w:val="AnnexTableCellLeft"/>
              <w:rPr>
                <w:szCs w:val="18"/>
              </w:rPr>
            </w:pPr>
            <w:r>
              <w:rPr>
                <w:b/>
                <w:szCs w:val="18"/>
              </w:rPr>
              <w:t xml:space="preserve">„Liður 4.2.</w:t>
            </w:r>
          </w:p>
        </w:tc>
        <w:tc>
          <w:tcPr>
            <w:tcW w:w="3638" w:type="pct"/>
            <w:tcMar>
              <w:top w:w="100" w:type="dxa"/>
              <w:left w:w="60" w:type="dxa"/>
              <w:bottom w:w="100" w:type="dxa"/>
              <w:right w:w="0" w:type="dxa"/>
            </w:tcMar>
          </w:tcPr>
          <w:p>
            <w:pPr>
              <w:pStyle w:val="AnnexTableCellLeft"/>
              <w:rPr>
                <w:szCs w:val="18"/>
              </w:rPr>
            </w:pPr>
            <w:r>
              <w:t xml:space="preserve">Ef um er að ræða útgáfu hlutabréfa með áskriftarréttindum, upplýsingarnar sem um getur í 2. mgr. 20. gr.“</w:t>
            </w:r>
          </w:p>
        </w:tc>
      </w:tr>
    </w:tbl>
    <w:p>
      <w:pPr>
        <w:pStyle w:val="AnnexNumberedText"/>
        <w:tabs>
          <w:tab w:val="right" w:pos="149"/>
        </w:tabs>
        <w:spacing w:before="200" w:after="200"/>
        <w:ind w:left="300" w:hanging="300"/>
      </w:pPr>
      <w:r>
        <w:tab/>
      </w:r>
      <w:r>
        <w:t xml:space="preserve">3)</w:t>
      </w:r>
      <w:r>
        <w:tab/>
      </w:r>
      <w:r>
        <w:t xml:space="preserve">Eftirfarandi 6. og 7. þáttur bætast við:</w:t>
      </w:r>
    </w:p>
    <w:tbl>
      <w:tblPr>
        <w:tblStyle w:val="EFTATable"/>
        <w:tblW w:w="4831" w:type="pct"/>
        <w:tblInd w:w="300" w:type="dxa"/>
        <w:tblLayout w:type="fixed"/>
        <w:tblLook w:val="04A0" w:firstRow="1" w:lastRow="0" w:firstColumn="1" w:lastColumn="0" w:noHBand="0" w:noVBand="1"/>
      </w:tblPr>
      <w:tblGrid>
        <w:gridCol w:w="2436"/>
        <w:gridCol w:w="6492"/>
      </w:tblGrid>
      <w:tr>
        <w:trPr>
          <w:trHeight w:val="240"/>
        </w:trPr>
        <w:tc>
          <w:tcPr>
            <w:tcW w:w="1364" w:type="pct"/>
            <w:tcMar>
              <w:top w:w="100" w:type="dxa"/>
              <w:left w:w="0" w:type="dxa"/>
              <w:bottom w:w="100" w:type="dxa"/>
              <w:right w:w="60" w:type="dxa"/>
            </w:tcMar>
          </w:tcPr>
          <w:p>
            <w:pPr>
              <w:pStyle w:val="AnnexTableCellLeft"/>
              <w:spacing w:line="200" w:lineRule="exact"/>
              <w:rPr>
                <w:sz w:val="16"/>
                <w:szCs w:val="18"/>
              </w:rPr>
            </w:pPr>
            <w:r>
              <w:rPr>
                <w:b/>
                <w:sz w:val="16"/>
                <w:szCs w:val="18"/>
              </w:rPr>
              <w:t xml:space="preserve">„6. þáttur</w:t>
            </w:r>
          </w:p>
        </w:tc>
        <w:tc>
          <w:tcPr>
            <w:tcW w:w="3636" w:type="pct"/>
            <w:tcMar>
              <w:top w:w="100" w:type="dxa"/>
              <w:left w:w="60" w:type="dxa"/>
              <w:bottom w:w="100" w:type="dxa"/>
              <w:right w:w="0" w:type="dxa"/>
            </w:tcMar>
          </w:tcPr>
          <w:p>
            <w:pPr>
              <w:pStyle w:val="AnnexTableCellLeft"/>
              <w:spacing w:line="200" w:lineRule="exact"/>
              <w:rPr>
                <w:sz w:val="16"/>
                <w:szCs w:val="18"/>
              </w:rPr>
            </w:pPr>
            <w:r>
              <w:rPr>
                <w:b/>
                <w:sz w:val="16"/>
                <w:szCs w:val="18"/>
              </w:rPr>
              <w:t xml:space="preserve">UPPLÝSINGAR UM UNDIRLIGGJANDI HLUTABRÉF (EFTIR ATVIKUM)</w:t>
            </w:r>
          </w:p>
        </w:tc>
      </w:tr>
      <w:tr>
        <w:trPr>
          <w:trHeight w:val="240"/>
        </w:trPr>
        <w:tc>
          <w:tcPr>
            <w:tcW w:w="1364" w:type="pct"/>
            <w:tcMar>
              <w:top w:w="100" w:type="dxa"/>
              <w:left w:w="0" w:type="dxa"/>
              <w:bottom w:w="100" w:type="dxa"/>
              <w:right w:w="60" w:type="dxa"/>
            </w:tcMar>
          </w:tcPr>
          <w:p>
            <w:pPr>
              <w:pStyle w:val="AnnexTableCellLeft"/>
              <w:rPr>
                <w:szCs w:val="18"/>
              </w:rPr>
            </w:pPr>
            <w:r>
              <w:rPr>
                <w:b/>
                <w:szCs w:val="18"/>
              </w:rPr>
              <w:t xml:space="preserve">Liður 6.1.</w:t>
            </w:r>
          </w:p>
        </w:tc>
        <w:tc>
          <w:tcPr>
            <w:tcW w:w="3636" w:type="pct"/>
            <w:tcMar>
              <w:top w:w="100" w:type="dxa"/>
              <w:left w:w="60" w:type="dxa"/>
              <w:bottom w:w="100" w:type="dxa"/>
              <w:right w:w="0" w:type="dxa"/>
            </w:tcMar>
          </w:tcPr>
          <w:p>
            <w:pPr>
              <w:pStyle w:val="AnnexTableCellLeft"/>
              <w:rPr>
                <w:szCs w:val="18"/>
              </w:rPr>
            </w:pPr>
            <w:r>
              <w:t xml:space="preserve">Eftir atvikum, upplýsingarnar sem um getur í 18. viðauka.</w:t>
            </w:r>
          </w:p>
        </w:tc>
      </w:tr>
      <w:tr>
        <w:trPr>
          <w:trHeight w:val="240"/>
        </w:trPr>
        <w:tc>
          <w:tcPr>
            <w:tcW w:w="1364" w:type="pct"/>
            <w:tcMar>
              <w:top w:w="100" w:type="dxa"/>
              <w:left w:w="0" w:type="dxa"/>
              <w:bottom w:w="100" w:type="dxa"/>
              <w:right w:w="60" w:type="dxa"/>
            </w:tcMar>
          </w:tcPr>
          <w:p>
            <w:pPr>
              <w:pStyle w:val="AnnexTableCellLeft"/>
              <w:spacing w:line="200" w:lineRule="exact"/>
              <w:rPr>
                <w:sz w:val="16"/>
                <w:szCs w:val="18"/>
              </w:rPr>
            </w:pPr>
            <w:r>
              <w:rPr>
                <w:b/>
                <w:sz w:val="16"/>
                <w:szCs w:val="18"/>
              </w:rPr>
              <w:t xml:space="preserve">„7. þáttur</w:t>
            </w:r>
          </w:p>
        </w:tc>
        <w:tc>
          <w:tcPr>
            <w:tcW w:w="3636" w:type="pct"/>
            <w:tcMar>
              <w:top w:w="100" w:type="dxa"/>
              <w:left w:w="60" w:type="dxa"/>
              <w:bottom w:w="100" w:type="dxa"/>
              <w:right w:w="0" w:type="dxa"/>
            </w:tcMar>
          </w:tcPr>
          <w:p>
            <w:pPr>
              <w:pStyle w:val="AnnexTableCellLeft"/>
              <w:spacing w:line="200" w:lineRule="exact"/>
              <w:rPr>
                <w:sz w:val="16"/>
                <w:szCs w:val="18"/>
              </w:rPr>
            </w:pPr>
            <w:r>
              <w:rPr>
                <w:b/>
                <w:sz w:val="16"/>
                <w:szCs w:val="18"/>
              </w:rPr>
              <w:t xml:space="preserve">UPPLÝSINGAR UM SAMÞYKKI (EFTIR ATVIKUM)</w:t>
            </w:r>
          </w:p>
        </w:tc>
      </w:tr>
      <w:tr>
        <w:trPr>
          <w:trHeight w:val="360"/>
        </w:trPr>
        <w:tc>
          <w:tcPr>
            <w:tcW w:w="1364" w:type="pct"/>
            <w:tcMar>
              <w:top w:w="100" w:type="dxa"/>
              <w:left w:w="0" w:type="dxa"/>
              <w:bottom w:w="100" w:type="dxa"/>
              <w:right w:w="60" w:type="dxa"/>
            </w:tcMar>
          </w:tcPr>
          <w:p>
            <w:pPr>
              <w:pStyle w:val="AnnexTableCellLeft"/>
              <w:spacing w:after="120"/>
              <w:rPr>
                <w:szCs w:val="18"/>
              </w:rPr>
            </w:pPr>
            <w:r>
              <w:rPr>
                <w:b/>
                <w:szCs w:val="18"/>
              </w:rPr>
              <w:t xml:space="preserve">Liður 7.1.</w:t>
            </w:r>
          </w:p>
        </w:tc>
        <w:tc>
          <w:tcPr>
            <w:tcW w:w="3636" w:type="pct"/>
            <w:tcMar>
              <w:top w:w="100" w:type="dxa"/>
              <w:left w:w="60" w:type="dxa"/>
              <w:bottom w:w="100" w:type="dxa"/>
              <w:right w:w="0" w:type="dxa"/>
            </w:tcMar>
          </w:tcPr>
          <w:p>
            <w:pPr>
              <w:pStyle w:val="AnnexTableCellLeft"/>
              <w:spacing w:after="120"/>
              <w:rPr>
                <w:szCs w:val="18"/>
              </w:rPr>
            </w:pPr>
            <w:r>
              <w:t xml:space="preserve">Ef útgefandinn eða sá sem ber ábyrgð á að semja lýsinguna samþykkir notkun hennar eins og um getur í annarri undirgrein 1. mgr. 5. gr. reglugerðar (ESB) 2017/1129, eftirfarandi viðbótarupplýsingar:</w:t>
            </w:r>
          </w:p>
          <w:p>
            <w:pPr>
              <w:pStyle w:val="AnnexNumberedText"/>
              <w:ind w:left="300" w:hanging="300"/>
              <w:rPr>
                <w:szCs w:val="18"/>
              </w:rPr>
            </w:pPr>
            <w:r>
              <w:t xml:space="preserve">a)</w:t>
            </w:r>
            <w:r>
              <w:tab/>
            </w:r>
            <w:r>
              <w:t xml:space="preserve">þær upplýsingar sem um getur í 1. og 2.A þætti 22. viðauka við þessa reglugerð ef samþykkið er veitt einum eða fleiri tilgreindum fjármálamilliliðum,</w:t>
            </w:r>
          </w:p>
          <w:p>
            <w:pPr>
              <w:pStyle w:val="AnnexNumberedText"/>
              <w:spacing w:after="0"/>
              <w:ind w:left="300" w:hanging="300"/>
              <w:rPr>
                <w:szCs w:val="18"/>
              </w:rPr>
            </w:pPr>
            <w:r>
              <w:t xml:space="preserve">b)</w:t>
            </w:r>
            <w:r>
              <w:tab/>
            </w:r>
            <w:r>
              <w:t xml:space="preserve">þær upplýsingar sem um getur í 1. og 2.B þætti 22. viðauka við þessa reglugerð ef samþykkið er veitt öllum fjármálamilliliðum.“</w:t>
            </w:r>
          </w:p>
        </w:tc>
      </w:tr>
    </w:tbl>
    <w:p>
      <w:pPr>
        <w:pStyle w:val="Para"/>
        <w:sectPr>
          <w:pgSz w:w="11906" w:h="16838" w:code="9"/>
          <w:pgMar w:top="1680" w:right="1333" w:bottom="840" w:left="1333" w:header="920" w:footer="280" w:gutter="0"/>
          <w:cols w:space="708"/>
          <w:docGrid w:linePitch="360"/>
        </w:sectPr>
      </w:pPr>
    </w:p>
    <w:p>
      <w:pPr>
        <w:pStyle w:val="AnnexTI"/>
      </w:pPr>
      <w:r>
        <w:t xml:space="preserve">XII. VIÐAUKI</w:t>
      </w:r>
    </w:p>
    <w:p>
      <w:pPr>
        <w:pStyle w:val="AnnexNormal"/>
      </w:pPr>
      <w:r>
        <w:t xml:space="preserve">Ákvæðum 27. viðauka er breytt sem hér segir:</w:t>
      </w:r>
    </w:p>
    <w:p>
      <w:pPr>
        <w:pStyle w:val="AnnexNumberedText"/>
        <w:tabs>
          <w:tab w:val="right" w:pos="149"/>
        </w:tabs>
        <w:spacing w:before="200" w:after="200"/>
        <w:ind w:left="300" w:hanging="300"/>
      </w:pPr>
      <w:r>
        <w:tab/>
      </w:r>
      <w:r>
        <w:t xml:space="preserve">1)</w:t>
      </w:r>
      <w:r>
        <w:tab/>
      </w:r>
      <w:r>
        <w:t xml:space="preserve">ákvæðum 3. þáttar er breytt sem hér segir:</w:t>
      </w:r>
    </w:p>
    <w:p>
      <w:pPr>
        <w:pStyle w:val="AnnexNumberedText"/>
        <w:ind w:left="587" w:hanging="293"/>
      </w:pPr>
      <w:r>
        <w:t xml:space="preserve">a)</w:t>
      </w:r>
      <w:r>
        <w:tab/>
      </w:r>
      <w:r>
        <w:t xml:space="preserve">liður 3.1.17 fellur brott,</w:t>
      </w:r>
    </w:p>
    <w:p>
      <w:pPr>
        <w:pStyle w:val="AnnexNumberedText"/>
        <w:ind w:left="587" w:hanging="293"/>
      </w:pPr>
      <w:r>
        <w:t xml:space="preserve">b)</w:t>
      </w:r>
      <w:r>
        <w:tab/>
      </w:r>
      <w:r>
        <w:t xml:space="preserve">eftirfarandi liður 3.2 bætist við:</w:t>
      </w:r>
    </w:p>
    <w:tbl>
      <w:tblPr>
        <w:tblStyle w:val="EFTATable"/>
        <w:tblW w:w="4641" w:type="pct"/>
        <w:tblInd w:w="600" w:type="dxa"/>
        <w:tblLayout w:type="fixed"/>
        <w:tblLook w:val="04A0" w:firstRow="1" w:lastRow="0" w:firstColumn="1" w:lastColumn="0" w:noHBand="0" w:noVBand="1"/>
      </w:tblPr>
      <w:tblGrid>
        <w:gridCol w:w="1368"/>
        <w:gridCol w:w="5904"/>
        <w:gridCol w:w="1360"/>
      </w:tblGrid>
      <w:tr>
        <w:trPr>
          <w:trHeight w:val="237"/>
        </w:trPr>
        <w:tc>
          <w:tcPr>
            <w:tcW w:w="792" w:type="pct"/>
            <w:tcMar>
              <w:top w:w="100" w:type="dxa"/>
              <w:left w:w="0" w:type="dxa"/>
              <w:bottom w:w="100" w:type="dxa"/>
              <w:right w:w="60" w:type="dxa"/>
            </w:tcMar>
          </w:tcPr>
          <w:p>
            <w:pPr>
              <w:pStyle w:val="AnnexTableCellLeft"/>
              <w:spacing w:after="120"/>
              <w:rPr>
                <w:szCs w:val="18"/>
              </w:rPr>
            </w:pPr>
            <w:r>
              <w:rPr>
                <w:b/>
                <w:szCs w:val="18"/>
              </w:rPr>
              <w:t xml:space="preserve">„Liður 3.2.</w:t>
            </w:r>
          </w:p>
        </w:tc>
        <w:tc>
          <w:tcPr>
            <w:tcW w:w="3420" w:type="pct"/>
            <w:tcMar>
              <w:top w:w="100" w:type="dxa"/>
              <w:left w:w="60" w:type="dxa"/>
              <w:bottom w:w="100" w:type="dxa"/>
              <w:right w:w="0" w:type="dxa"/>
            </w:tcMar>
          </w:tcPr>
          <w:p>
            <w:pPr>
              <w:pStyle w:val="AnnexTableCellLeft"/>
              <w:spacing w:after="120"/>
              <w:ind w:right="60"/>
              <w:rPr>
                <w:szCs w:val="18"/>
              </w:rPr>
            </w:pPr>
            <w:r>
              <w:t xml:space="preserve">Upplýsingar um afleidd verðbréf</w:t>
            </w:r>
          </w:p>
          <w:p>
            <w:pPr>
              <w:pStyle w:val="AnnexTableCellLeft"/>
              <w:spacing w:after="120"/>
              <w:ind w:right="60"/>
              <w:rPr>
                <w:szCs w:val="18"/>
              </w:rPr>
            </w:pPr>
            <w:r>
              <w:t xml:space="preserve">Ef um er að ræða útgáfu afleiddra verðbréfa, eftirfarandi upplýsingar:</w:t>
            </w:r>
          </w:p>
          <w:p>
            <w:pPr>
              <w:pStyle w:val="AnnexNumberedText"/>
              <w:ind w:left="300" w:right="60" w:hanging="300"/>
              <w:rPr>
                <w:szCs w:val="18"/>
              </w:rPr>
            </w:pPr>
            <w:r>
              <w:t xml:space="preserve">a)</w:t>
            </w:r>
            <w:r>
              <w:tab/>
            </w:r>
            <w:r>
              <w:t xml:space="preserve">fyrir afleidd verðbréf sem um getur í 1. mgr. 20. gr., upplýsingarnar sem um getur í þeirri málsgrein,</w:t>
            </w:r>
          </w:p>
          <w:p>
            <w:pPr>
              <w:pStyle w:val="AnnexNumberedText"/>
              <w:ind w:left="300" w:right="60" w:hanging="300"/>
              <w:rPr>
                <w:szCs w:val="18"/>
              </w:rPr>
            </w:pPr>
            <w:r>
              <w:t xml:space="preserve">b)</w:t>
            </w:r>
            <w:r>
              <w:tab/>
            </w:r>
            <w:r>
              <w:t xml:space="preserve">fyrir afleidd verðbréf sem um getur í 2. mgr. 20. gr., upplýsingarnar sem um getur í þeirri málsgrein,</w:t>
            </w:r>
          </w:p>
          <w:p>
            <w:pPr>
              <w:pStyle w:val="AnnexNumberedText"/>
              <w:spacing w:after="0"/>
              <w:ind w:left="300" w:right="60" w:hanging="300"/>
              <w:rPr>
                <w:szCs w:val="18"/>
              </w:rPr>
            </w:pPr>
            <w:r>
              <w:t xml:space="preserve">c)</w:t>
            </w:r>
            <w:r>
              <w:tab/>
            </w:r>
            <w:r>
              <w:t xml:space="preserve">fyrir afleidd verðbréf sem um getur í 3. mgr. 20. gr., upplýsingarnar sem um getur í þeirri málsgrein.“</w:t>
            </w:r>
          </w:p>
        </w:tc>
        <w:tc>
          <w:tcPr>
            <w:tcW w:w="788" w:type="pct"/>
            <w:tcMar>
              <w:top w:w="100" w:type="dxa"/>
              <w:left w:w="60" w:type="dxa"/>
              <w:bottom w:w="100" w:type="dxa"/>
              <w:right w:w="60" w:type="dxa"/>
            </w:tcMar>
          </w:tcPr>
          <w:p>
            <w:pPr>
              <w:pStyle w:val="AnnexTableCellLeft"/>
              <w:spacing w:after="120"/>
              <w:rPr>
                <w:szCs w:val="18"/>
              </w:rPr>
            </w:pPr>
          </w:p>
        </w:tc>
      </w:tr>
    </w:tbl>
    <w:p>
      <w:pPr>
        <w:pStyle w:val="AnnexNumberedText"/>
        <w:tabs>
          <w:tab w:val="right" w:pos="149"/>
        </w:tabs>
        <w:spacing w:before="200" w:after="200"/>
        <w:ind w:left="300" w:hanging="300"/>
      </w:pPr>
      <w:r>
        <w:tab/>
      </w:r>
      <w:r>
        <w:t xml:space="preserve">2)</w:t>
      </w:r>
      <w:r>
        <w:tab/>
      </w:r>
      <w:r>
        <w:t xml:space="preserve">Eftirfarandi 6. og 7. þáttur bætast við:</w:t>
      </w:r>
    </w:p>
    <w:tbl>
      <w:tblPr>
        <w:tblStyle w:val="EFTATable"/>
        <w:tblW w:w="4838" w:type="pct"/>
        <w:tblInd w:w="300" w:type="dxa"/>
        <w:tblLayout w:type="fixed"/>
        <w:tblLook w:val="04A0" w:firstRow="1" w:lastRow="0" w:firstColumn="1" w:lastColumn="0" w:noHBand="0" w:noVBand="1"/>
      </w:tblPr>
      <w:tblGrid>
        <w:gridCol w:w="1813"/>
        <w:gridCol w:w="7128"/>
      </w:tblGrid>
      <w:tr>
        <w:trPr>
          <w:trHeight w:val="240"/>
        </w:trPr>
        <w:tc>
          <w:tcPr>
            <w:tcW w:w="1014" w:type="pct"/>
            <w:tcMar>
              <w:top w:w="100" w:type="dxa"/>
              <w:left w:w="0" w:type="dxa"/>
              <w:bottom w:w="100" w:type="dxa"/>
              <w:right w:w="60" w:type="dxa"/>
            </w:tcMar>
          </w:tcPr>
          <w:p>
            <w:pPr>
              <w:pStyle w:val="AnnexTableCellLeft"/>
              <w:spacing w:line="200" w:lineRule="exact"/>
              <w:rPr>
                <w:sz w:val="16"/>
                <w:szCs w:val="18"/>
              </w:rPr>
            </w:pPr>
            <w:r>
              <w:rPr>
                <w:b/>
                <w:sz w:val="16"/>
                <w:szCs w:val="18"/>
              </w:rPr>
              <w:t xml:space="preserve">„6. þáttur</w:t>
            </w:r>
          </w:p>
        </w:tc>
        <w:tc>
          <w:tcPr>
            <w:tcW w:w="3986" w:type="pct"/>
            <w:tcMar>
              <w:top w:w="100" w:type="dxa"/>
              <w:left w:w="60" w:type="dxa"/>
              <w:bottom w:w="100" w:type="dxa"/>
              <w:right w:w="0" w:type="dxa"/>
            </w:tcMar>
          </w:tcPr>
          <w:p>
            <w:pPr>
              <w:pStyle w:val="AnnexTableCellLeft"/>
              <w:spacing w:line="200" w:lineRule="exact"/>
              <w:rPr>
                <w:sz w:val="16"/>
                <w:szCs w:val="18"/>
              </w:rPr>
            </w:pPr>
            <w:r>
              <w:rPr>
                <w:b/>
                <w:sz w:val="16"/>
                <w:szCs w:val="18"/>
              </w:rPr>
              <w:t xml:space="preserve">UPPLÝSINGAR UM UNDIRLIGGJANDI HLUTABRÉF (EFTIR ATVIKUM)</w:t>
            </w:r>
          </w:p>
        </w:tc>
      </w:tr>
      <w:tr>
        <w:trPr>
          <w:trHeight w:val="240"/>
        </w:trPr>
        <w:tc>
          <w:tcPr>
            <w:tcW w:w="1014" w:type="pct"/>
            <w:tcMar>
              <w:top w:w="100" w:type="dxa"/>
              <w:left w:w="0" w:type="dxa"/>
              <w:bottom w:w="100" w:type="dxa"/>
              <w:right w:w="60" w:type="dxa"/>
            </w:tcMar>
          </w:tcPr>
          <w:p>
            <w:pPr>
              <w:pStyle w:val="AnnexTableCellLeft"/>
              <w:spacing w:after="120"/>
              <w:rPr>
                <w:szCs w:val="18"/>
              </w:rPr>
            </w:pPr>
            <w:r>
              <w:rPr>
                <w:b/>
                <w:szCs w:val="18"/>
              </w:rPr>
              <w:t xml:space="preserve">Liður 6.1.</w:t>
            </w:r>
          </w:p>
        </w:tc>
        <w:tc>
          <w:tcPr>
            <w:tcW w:w="3986" w:type="pct"/>
            <w:tcMar>
              <w:top w:w="100" w:type="dxa"/>
              <w:left w:w="60" w:type="dxa"/>
              <w:bottom w:w="100" w:type="dxa"/>
              <w:right w:w="0" w:type="dxa"/>
            </w:tcMar>
          </w:tcPr>
          <w:p>
            <w:pPr>
              <w:pStyle w:val="AnnexNumberedText"/>
              <w:ind w:left="300" w:hanging="300"/>
              <w:rPr>
                <w:szCs w:val="18"/>
              </w:rPr>
            </w:pPr>
            <w:r>
              <w:t xml:space="preserve">a)</w:t>
            </w:r>
            <w:r>
              <w:tab/>
            </w:r>
            <w:r>
              <w:t xml:space="preserve">Eftir atvikum, þær upplýsingar sem um getur í 2.1 og 2.2 lið 26. viðauka að því er varðar útgefanda hinna undirliggjandi hlutabréfa.</w:t>
            </w:r>
          </w:p>
          <w:p>
            <w:pPr>
              <w:pStyle w:val="AnnexNumberedText"/>
              <w:spacing w:after="0"/>
              <w:ind w:left="300" w:hanging="300"/>
              <w:rPr>
                <w:szCs w:val="18"/>
              </w:rPr>
            </w:pPr>
            <w:r>
              <w:t xml:space="preserve">b)</w:t>
            </w:r>
            <w:r>
              <w:tab/>
            </w:r>
            <w:r>
              <w:t xml:space="preserve">Eftir atvikum, þær upplýsingar sem um getur í 18. viðauka.</w:t>
            </w:r>
          </w:p>
        </w:tc>
      </w:tr>
      <w:tr>
        <w:trPr>
          <w:trHeight w:val="240"/>
        </w:trPr>
        <w:tc>
          <w:tcPr>
            <w:tcW w:w="1014" w:type="pct"/>
            <w:tcMar>
              <w:top w:w="100" w:type="dxa"/>
              <w:left w:w="0" w:type="dxa"/>
              <w:bottom w:w="100" w:type="dxa"/>
              <w:right w:w="60" w:type="dxa"/>
            </w:tcMar>
          </w:tcPr>
          <w:p>
            <w:pPr>
              <w:pStyle w:val="AnnexTableCellLeft"/>
              <w:spacing w:line="200" w:lineRule="exact"/>
              <w:rPr>
                <w:sz w:val="16"/>
                <w:szCs w:val="18"/>
              </w:rPr>
            </w:pPr>
            <w:r>
              <w:rPr>
                <w:b/>
                <w:sz w:val="16"/>
                <w:szCs w:val="18"/>
              </w:rPr>
              <w:t xml:space="preserve">7. HLUTI</w:t>
            </w:r>
          </w:p>
        </w:tc>
        <w:tc>
          <w:tcPr>
            <w:tcW w:w="3986" w:type="pct"/>
            <w:tcMar>
              <w:top w:w="100" w:type="dxa"/>
              <w:left w:w="60" w:type="dxa"/>
              <w:bottom w:w="100" w:type="dxa"/>
              <w:right w:w="0" w:type="dxa"/>
            </w:tcMar>
          </w:tcPr>
          <w:p>
            <w:pPr>
              <w:pStyle w:val="AnnexTableCellLeft"/>
              <w:spacing w:line="200" w:lineRule="exact"/>
              <w:rPr>
                <w:sz w:val="16"/>
                <w:szCs w:val="18"/>
              </w:rPr>
            </w:pPr>
            <w:r>
              <w:rPr>
                <w:b/>
                <w:sz w:val="16"/>
                <w:szCs w:val="18"/>
              </w:rPr>
              <w:t xml:space="preserve">UPPLÝSINGAR UM SAMÞYKKI (EFTIR ATVIKUM)</w:t>
            </w:r>
          </w:p>
        </w:tc>
      </w:tr>
      <w:tr>
        <w:trPr>
          <w:trHeight w:val="240"/>
        </w:trPr>
        <w:tc>
          <w:tcPr>
            <w:tcW w:w="1014" w:type="pct"/>
            <w:tcMar>
              <w:top w:w="100" w:type="dxa"/>
              <w:left w:w="0" w:type="dxa"/>
              <w:bottom w:w="100" w:type="dxa"/>
              <w:right w:w="60" w:type="dxa"/>
            </w:tcMar>
          </w:tcPr>
          <w:p>
            <w:pPr>
              <w:pStyle w:val="AnnexTableCellLeft"/>
              <w:spacing w:after="120"/>
              <w:rPr>
                <w:szCs w:val="18"/>
              </w:rPr>
            </w:pPr>
            <w:r>
              <w:rPr>
                <w:b/>
                <w:szCs w:val="18"/>
              </w:rPr>
              <w:t xml:space="preserve">Liður 7.1.</w:t>
            </w:r>
          </w:p>
        </w:tc>
        <w:tc>
          <w:tcPr>
            <w:tcW w:w="3986" w:type="pct"/>
            <w:tcMar>
              <w:top w:w="100" w:type="dxa"/>
              <w:left w:w="60" w:type="dxa"/>
              <w:bottom w:w="100" w:type="dxa"/>
              <w:right w:w="0" w:type="dxa"/>
            </w:tcMar>
          </w:tcPr>
          <w:p>
            <w:pPr>
              <w:pStyle w:val="AnnexTableCellLeft"/>
              <w:spacing w:after="120"/>
              <w:rPr>
                <w:szCs w:val="18"/>
              </w:rPr>
            </w:pPr>
            <w:r>
              <w:t xml:space="preserve">Ef útgefandinn eða sá sem ber ábyrgð á að semja lýsinguna samþykkir notkun hennar eins og um getur í annarri undirgrein 1. mgr. 5. gr. reglugerðar (ESB) 2017/1129, eftirfarandi viðbótarupplýsingar:</w:t>
            </w:r>
          </w:p>
          <w:p>
            <w:pPr>
              <w:pStyle w:val="AnnexNumberedText"/>
              <w:ind w:left="300" w:hanging="300"/>
              <w:rPr>
                <w:szCs w:val="18"/>
              </w:rPr>
            </w:pPr>
            <w:r>
              <w:t xml:space="preserve">a)</w:t>
            </w:r>
            <w:r>
              <w:tab/>
            </w:r>
            <w:r>
              <w:t xml:space="preserve">þær upplýsingar sem um getur í 1. og 2.A þætti 22. viðauka við þessa reglugerð, ef samþykkið er veitt einum eða fleiri tilgreindum fjármálamilliliðum,</w:t>
            </w:r>
          </w:p>
          <w:p>
            <w:pPr>
              <w:pStyle w:val="AnnexNumberedText"/>
              <w:spacing w:after="0"/>
              <w:ind w:left="300" w:hanging="300"/>
              <w:rPr>
                <w:szCs w:val="18"/>
              </w:rPr>
            </w:pPr>
            <w:r>
              <w:t xml:space="preserve">b)</w:t>
            </w:r>
            <w:r>
              <w:tab/>
            </w:r>
            <w:r>
              <w:t xml:space="preserve">þær upplýsingar sem um getur í 1. og 2.B þætti 22. viðauka við þessa reglugerð, ef samþykkið er veitt öllum fjármálamilliliðum.“</w:t>
            </w:r>
          </w:p>
        </w:tc>
      </w:tr>
    </w:tbl>
    <w:p>
      <w:pPr>
        <w:pStyle w:val="Para"/>
      </w:pPr>
    </w:p>
    <w:sectPr>
      <w:pgSz w:w="11906" w:h="16838" w:code="9"/>
      <w:pgMar w:top="1680" w:right="1333" w:bottom="840" w:left="1333" w:header="920"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pStyle w:val="FooterRule"/>
        <w:rPr>
          <w:lang w:val="de-DE"/>
        </w:rPr>
      </w:pPr>
      <w:r>
        <w:rPr>
          <w:lang w:val="de-DE"/>
        </w:rPr>
        <w:tab/>
      </w:r>
    </w:p>
  </w:footnote>
  <w:footnote w:type="continuationSeparator" w:id="0">
    <w:p>
      <w:pPr>
        <w:spacing w:after="0" w:line="240" w:lineRule="auto"/>
      </w:pPr>
      <w:r>
        <w:continuationSeparator/>
      </w:r>
    </w:p>
  </w:footnote>
  <w:footnote w:type="continuationNotice" w:id="1">
    <w:p>
      <w:pPr>
        <w:spacing w:after="0" w:line="240" w:lineRule="auto"/>
      </w:pPr>
    </w:p>
  </w:footnote>
  <w:footnote w:id="2">
    <w:p>
      <w:pPr>
        <w:pStyle w:val="FootnoteText"/>
        <w:rPr>
          <w:szCs w:val="16"/>
        </w:rPr>
      </w:pPr>
      <w:r>
        <w:t xml:space="preserve">(</w:t>
      </w:r>
      <w:r>
        <w:rPr>
          <w:rStyle w:val="FootnoteReference"/>
          <w:szCs w:val="16"/>
        </w:rPr>
        <w:footnoteRef/>
      </w:r>
      <w:r>
        <w:t xml:space="preserve">)</w:t>
      </w:r>
      <w:r>
        <w:tab/>
      </w:r>
      <w:r>
        <w:t xml:space="preserve">Stjtíð. ESB L 168, 30.6.2017, bls. 12.</w:t>
      </w:r>
    </w:p>
  </w:footnote>
  <w:footnote w:id="3">
    <w:p>
      <w:pPr>
        <w:pStyle w:val="FootnoteText"/>
        <w:rPr>
          <w:szCs w:val="16"/>
        </w:rPr>
      </w:pPr>
      <w:r>
        <w:t xml:space="preserve">(</w:t>
      </w:r>
      <w:r>
        <w:rPr>
          <w:rStyle w:val="FootnoteReference"/>
          <w:szCs w:val="16"/>
        </w:rPr>
        <w:footnoteRef/>
      </w:r>
      <w:r>
        <w:t xml:space="preserve">)</w:t>
      </w:r>
      <w:r>
        <w:tab/>
      </w:r>
      <w:r>
        <w:t xml:space="preserve">Framseld reglugerð framkvæmdastjórnarinnar 2019/980 frá 14. mars 2019 um viðbætur við reglugerð Evrópuþingsins og ráðsins (ESB) 2017/1129 að því er varðar sniðmát, efni, athugun og staðfestingu lýsinga sem birta skal þegar verðbréf eru boðin í almennu útboði eða tekin til viðskipta á skipulegum markaði og um niðurfellingu á reglugerð framkvæmdastjórnarinnar (EB) nr. 809/2004 (Stjtíð. ESB L 166, 21.6.2019, bls. 26).</w:t>
      </w:r>
    </w:p>
  </w:footnote>
  <w:footnote w:id="4">
    <w:p>
      <w:pPr>
        <w:pStyle w:val="FootnoteText"/>
        <w:rPr>
          <w:szCs w:val="16"/>
        </w:rPr>
      </w:pPr>
      <w:r>
        <w:t xml:space="preserve">(</w:t>
      </w:r>
      <w:r>
        <w:rPr>
          <w:rStyle w:val="FootnoteReference"/>
          <w:szCs w:val="16"/>
        </w:rPr>
        <w:footnoteRef/>
      </w:r>
      <w:r>
        <w:t xml:space="preserve">)</w:t>
      </w:r>
      <w:r>
        <w:tab/>
      </w:r>
      <w:r>
        <w:t xml:space="preserve">Tilskipun Evrópuþingsins og ráðsins 2004/109/EB frá 15. desember 2004 um samhæfingu krafna um gagnsæi í tengslum við upplýsingar um útgefendur verðbréfa sem eru skráð á skipulegan markað og um breytingu á tilskipun 2001/34/EB (Stjtíð. ESB L 390, 31.12.2004, bls. 38).</w:t>
      </w:r>
    </w:p>
  </w:footnote>
  <w:footnote w:id="5">
    <w:p>
      <w:pPr>
        <w:pStyle w:val="FootnoteText"/>
        <w:rPr>
          <w:szCs w:val="16"/>
        </w:rPr>
      </w:pPr>
      <w:r>
        <w:t xml:space="preserve">(</w:t>
      </w:r>
      <w:r>
        <w:rPr>
          <w:rStyle w:val="FootnoteReference"/>
          <w:szCs w:val="16"/>
        </w:rPr>
        <w:footnoteRef/>
      </w:r>
      <w:r>
        <w:t xml:space="preserve">)</w:t>
      </w:r>
      <w:r>
        <w:tab/>
      </w:r>
      <w:r>
        <w:t xml:space="preserve">Reglugerð Evrópuþingsins og ráðsins (ESB) 2019/2115 frá 27. nóvember 2019 um breytingu á tilskipun 2014/65/ESB og reglugerðum (ESB) nr. 596/2014 og (ESB) 2017/1129 að því er varðar að stuðla að notkun vaxtarmarkaða lítilla og meðalstórra fyrirtækja (Stjtíð. ESB L 320, 11.12.2019, bls. 1).</w:t>
      </w:r>
    </w:p>
  </w:footnote>
  <w:footnote w:id="6">
    <w:p>
      <w:pPr>
        <w:pStyle w:val="FootnoteText"/>
        <w:rPr>
          <w:szCs w:val="16"/>
        </w:rPr>
      </w:pPr>
      <w:r>
        <w:t xml:space="preserve">(</w:t>
      </w:r>
      <w:r>
        <w:rPr>
          <w:rStyle w:val="FootnoteReference"/>
          <w:szCs w:val="16"/>
        </w:rPr>
        <w:footnoteRef/>
      </w:r>
      <w:r>
        <w:t xml:space="preserve">)</w:t>
      </w:r>
      <w:r>
        <w:tab/>
      </w:r>
      <w:r>
        <w:t xml:space="preserve">Tilskipun Evrópuþingsins og ráðsins 2006/43/EB frá 17. maí 2006 um lögboðna endurskoðun ársreikninga og samstæðureikningsskila, um breytingu á tilskipunum ráðsins 78/660/EBE og 83/349/EBE  og um niðurfellingu á tilskipun ráðsins 84/253/EBE (Stjtíð. ESB L 157, 9.6.2006, bls. 87).</w:t>
      </w:r>
    </w:p>
  </w:footnote>
  <w:footnote w:id="7">
    <w:p>
      <w:pPr>
        <w:pStyle w:val="FootnoteText"/>
        <w:rPr>
          <w:szCs w:val="16"/>
        </w:rPr>
      </w:pPr>
      <w:r>
        <w:t xml:space="preserve">(</w:t>
      </w:r>
      <w:r>
        <w:rPr>
          <w:rStyle w:val="FootnoteReference"/>
          <w:szCs w:val="16"/>
        </w:rPr>
        <w:footnoteRef/>
      </w:r>
      <w:r>
        <w:t xml:space="preserve">)</w:t>
      </w:r>
      <w:r>
        <w:tab/>
      </w:r>
      <w:r>
        <w:t xml:space="preserve">Reglugerð Evrópuþingsins og ráðsins (ESB) nr. 537/2014 frá 16. apríl 2014 um sérstakar kröfur í tengslum við lögboðna endurskoðun á einingum tengdum almannahagsmunum og niðurfellingu á ákvörðun framkvæmdastjórnarinnar 2005/909/EB (Stjtíð. ESB L 158, 27.5.2014, bls. 77).</w:t>
      </w:r>
    </w:p>
  </w:footnote>
  <w:footnote w:id="8">
    <w:p>
      <w:pPr>
        <w:pStyle w:val="FootnoteText"/>
        <w:rPr>
          <w:szCs w:val="16"/>
        </w:rPr>
      </w:pPr>
      <w:r>
        <w:t xml:space="preserve">(</w:t>
      </w:r>
      <w:r>
        <w:rPr>
          <w:rStyle w:val="FootnoteReference"/>
          <w:szCs w:val="16"/>
        </w:rPr>
        <w:footnoteRef/>
      </w:r>
      <w:r>
        <w:t xml:space="preserve">)</w:t>
      </w:r>
      <w:r>
        <w:tab/>
      </w:r>
      <w:r>
        <w:t xml:space="preserve">Reglugerð Evrópuþingsins og ráðsins (ESB) nr. 1286/2014 frá 26. nóvember 2014 um lykilupplýsingaskjöl fyrir pakkaðar og vátryggingatengdar fjárfestingavörur fyrir almenna fjárfesta (PRIIP) (Stjtíð. ESB L 352, 9.12.2014, bls.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049987"/>
      <w:docPartObj>
        <w:docPartGallery w:val="Page Numbers (Top of Page)"/>
        <w:docPartUnique/>
      </w:docPartObj>
    </w:sdtPr>
    <w:sdtEndPr>
      <w:rPr>
        <w:noProof/>
      </w:rPr>
    </w:sdtEndPr>
    <w:sdtContent>
      <w:p>
        <w:pPr>
          <w:pStyle w:val="Header"/>
          <w:jc w:val="right"/>
        </w:pPr>
        <w:r>
          <w:fldChar w:fldCharType="begin"/>
        </w:r>
        <w:r>
          <w:instrText xml:space="preserve"> PAGE   \* MERGEFORMAT </w:instrText>
        </w:r>
        <w:r>
          <w:fldChar w:fldCharType="separate"/>
        </w:r>
        <w:r>
          <w:t>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D19D3"/>
    <w:multiLevelType w:val="hybridMultilevel"/>
    <w:tmpl w:val="C8CE26D2"/>
    <w:lvl w:ilvl="0" w:tplc="CD48D4A2">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4A12FEB"/>
    <w:multiLevelType w:val="hybridMultilevel"/>
    <w:tmpl w:val="5ED6C5BA"/>
    <w:lvl w:ilvl="0" w:tplc="57724CBC">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6CAF3640"/>
    <w:multiLevelType w:val="hybridMultilevel"/>
    <w:tmpl w:val="185CD1C6"/>
    <w:lvl w:ilvl="0" w:tplc="4300D4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autoHyphenation/>
  <w:consecutiveHyphenLimit w:val="2"/>
  <w:hyphenationZone w:val="357"/>
  <w:doNotHyphenateCaps/>
  <w:defaultTableStyle w:val="EFTATable"/>
  <w:characterSpacingControl w:val="doNotCompress"/>
  <w:hdrShapeDefaults>
    <o:shapedefaults v:ext="edit" spidmax="6145"/>
  </w:hdrShapeDefaults>
  <w:footnotePr>
    <w:pos w:val="beneathTex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23DF6DD-A029-4972-8D85-ADD81DCB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hd w:val="clear" w:color="auto" w:fill="FF0000"/>
      <w:spacing w:line="240" w:lineRule="exact"/>
      <w:jc w:val="both"/>
    </w:pPr>
    <w:rPr>
      <w:rFonts w:ascii="Times New Roman" w:hAnsi="Times New Roman"/>
      <w:color w:val="00B05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4">
    <w:name w:val="line4"/>
    <w:next w:val="Para"/>
    <w:qFormat/>
    <w:pPr>
      <w:widowControl w:val="0"/>
      <w:pBdr>
        <w:bottom w:val="single" w:sz="4" w:space="1" w:color="auto"/>
      </w:pBdr>
      <w:suppressAutoHyphens/>
      <w:spacing w:after="257" w:line="240" w:lineRule="exact"/>
      <w:ind w:left="4162" w:right="4162"/>
      <w:jc w:val="center"/>
    </w:pPr>
    <w:rPr>
      <w:rFonts w:ascii="Times New Roman" w:hAnsi="Times New Roman"/>
      <w:sz w:val="18"/>
    </w:rPr>
  </w:style>
  <w:style w:type="paragraph" w:customStyle="1" w:styleId="line2">
    <w:name w:val="line2"/>
    <w:basedOn w:val="line4"/>
    <w:next w:val="Para"/>
    <w:qFormat/>
    <w:pPr>
      <w:ind w:left="4282" w:right="4282"/>
    </w:pPr>
  </w:style>
  <w:style w:type="paragraph" w:customStyle="1" w:styleId="line8">
    <w:name w:val="line8"/>
    <w:basedOn w:val="line2"/>
    <w:next w:val="Para"/>
    <w:qFormat/>
    <w:pPr>
      <w:ind w:left="4126" w:right="4126"/>
    </w:pPr>
  </w:style>
  <w:style w:type="paragraph" w:customStyle="1" w:styleId="line12">
    <w:name w:val="line12"/>
    <w:basedOn w:val="line2"/>
    <w:next w:val="Para"/>
    <w:qFormat/>
    <w:pPr>
      <w:ind w:left="3614" w:right="3614"/>
    </w:pPr>
  </w:style>
  <w:style w:type="paragraph" w:styleId="Header">
    <w:name w:val="header"/>
    <w:basedOn w:val="Para"/>
    <w:link w:val="HeaderChar"/>
    <w:uiPriority w:val="99"/>
    <w:unhideWhenUsed/>
    <w:pPr>
      <w:spacing w:after="100" w:line="200" w:lineRule="exact"/>
    </w:pPr>
  </w:style>
  <w:style w:type="character" w:customStyle="1" w:styleId="HeaderChar">
    <w:name w:val="Header Char"/>
    <w:basedOn w:val="DefaultParagraphFont"/>
    <w:link w:val="Header"/>
    <w:uiPriority w:val="99"/>
    <w:rPr>
      <w:rFonts w:ascii="Times New Roman" w:hAnsi="Times New Roman"/>
      <w:sz w:val="18"/>
      <w14:ligatures w14:val="standard"/>
    </w:rPr>
  </w:style>
  <w:style w:type="paragraph" w:styleId="Footer">
    <w:name w:val="footer"/>
    <w:basedOn w:val="Para"/>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imes New Roman" w:hAnsi="Times New Roman"/>
      <w:sz w:val="18"/>
      <w14:ligatures w14:val="standard"/>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Title"/>
    <w:basedOn w:val="Para"/>
    <w:next w:val="SectionSubTitle"/>
    <w:qFormat/>
    <w:pPr>
      <w:keepNext/>
      <w:keepLines/>
      <w:suppressAutoHyphens/>
      <w:spacing w:line="680" w:lineRule="exact"/>
      <w:jc w:val="center"/>
      <w:outlineLvl w:val="0"/>
    </w:pPr>
    <w:rPr>
      <w:b/>
      <w:caps/>
      <w:color w:val="666666"/>
      <w:sz w:val="72"/>
    </w:rPr>
  </w:style>
  <w:style w:type="paragraph" w:customStyle="1" w:styleId="SectionSubTitle">
    <w:name w:val="SectionSubTitle"/>
    <w:basedOn w:val="Para"/>
    <w:next w:val="MainTitle"/>
    <w:qFormat/>
    <w:pPr>
      <w:keepNext/>
      <w:keepLines/>
      <w:suppressAutoHyphens/>
      <w:spacing w:after="500" w:line="400" w:lineRule="exact"/>
      <w:jc w:val="center"/>
      <w:outlineLvl w:val="1"/>
    </w:pPr>
    <w:rPr>
      <w:b/>
      <w:caps/>
      <w:color w:val="666666"/>
      <w:sz w:val="36"/>
    </w:rPr>
  </w:style>
  <w:style w:type="paragraph" w:customStyle="1" w:styleId="MainTitle">
    <w:name w:val="MainTitle"/>
    <w:basedOn w:val="Para"/>
    <w:qFormat/>
    <w:pPr>
      <w:keepNext/>
      <w:suppressAutoHyphens/>
      <w:spacing w:after="120"/>
      <w:jc w:val="center"/>
      <w:outlineLvl w:val="2"/>
    </w:pPr>
    <w:rPr>
      <w:b/>
    </w:rPr>
  </w:style>
  <w:style w:type="paragraph" w:customStyle="1" w:styleId="MainTitleItalic">
    <w:name w:val="MainTitleItalic"/>
    <w:basedOn w:val="MainTitle"/>
    <w:next w:val="Normal"/>
    <w:qFormat/>
    <w:pPr>
      <w:spacing w:after="240"/>
    </w:pPr>
    <w:rPr>
      <w:b w:val="0"/>
      <w:i/>
    </w:rPr>
  </w:style>
  <w:style w:type="paragraph" w:customStyle="1" w:styleId="PreambleInit">
    <w:name w:val="PreambleInit"/>
    <w:basedOn w:val="ParaSmall"/>
    <w:qFormat/>
    <w:pPr>
      <w:spacing w:before="240" w:after="240"/>
    </w:pPr>
  </w:style>
  <w:style w:type="paragraph" w:customStyle="1" w:styleId="Pa8">
    <w:name w:val="Pa8"/>
    <w:basedOn w:val="Normal"/>
    <w:next w:val="Normal"/>
    <w:uiPriority w:val="99"/>
    <w:pPr>
      <w:autoSpaceDE w:val="0"/>
      <w:autoSpaceDN w:val="0"/>
      <w:adjustRightInd w:val="0"/>
      <w:spacing w:after="0" w:line="241" w:lineRule="atLeast"/>
    </w:pPr>
    <w:rPr>
      <w:rFonts w:cs="Times New Roman"/>
      <w:sz w:val="24"/>
      <w:szCs w:val="24"/>
    </w:rPr>
  </w:style>
  <w:style w:type="paragraph" w:customStyle="1" w:styleId="GrSeq1">
    <w:name w:val="GrSeq1"/>
    <w:basedOn w:val="Para"/>
    <w:qFormat/>
    <w:pPr>
      <w:keepNext/>
      <w:keepLines/>
      <w:tabs>
        <w:tab w:val="left" w:pos="2027"/>
      </w:tabs>
      <w:suppressAutoHyphens/>
      <w:ind w:left="1020" w:hanging="1020"/>
    </w:pPr>
    <w:rPr>
      <w:rFonts w:eastAsia="Times New Roman" w:cs="Times New Roman"/>
      <w:b/>
      <w:bCs/>
      <w:szCs w:val="18"/>
    </w:rPr>
  </w:style>
  <w:style w:type="paragraph" w:customStyle="1" w:styleId="NumberedText">
    <w:name w:val="NumberedText"/>
    <w:basedOn w:val="Para"/>
    <w:qFormat/>
    <w:pPr>
      <w:tabs>
        <w:tab w:val="left" w:pos="2047"/>
      </w:tabs>
      <w:ind w:left="1020" w:hanging="1020"/>
    </w:pPr>
    <w:rPr>
      <w:rFonts w:eastAsia="Times New Roman" w:cs="Times New Roman"/>
      <w:szCs w:val="18"/>
    </w:rPr>
  </w:style>
  <w:style w:type="paragraph" w:styleId="FootnoteText">
    <w:name w:val="footnote text"/>
    <w:basedOn w:val="ParaSmall"/>
    <w:link w:val="FootnoteTextChar"/>
    <w:uiPriority w:val="99"/>
    <w:semiHidden/>
    <w:unhideWhenUsed/>
    <w:pPr>
      <w:spacing w:after="0"/>
      <w:ind w:left="300" w:hanging="300"/>
    </w:pPr>
    <w:rPr>
      <w:szCs w:val="20"/>
    </w:rPr>
  </w:style>
  <w:style w:type="character" w:customStyle="1" w:styleId="FootnoteTextChar">
    <w:name w:val="Footnote Text Char"/>
    <w:basedOn w:val="DefaultParagraphFont"/>
    <w:link w:val="FootnoteText"/>
    <w:uiPriority w:val="99"/>
    <w:semiHidden/>
    <w:rPr>
      <w:rFonts w:ascii="Times New Roman" w:hAnsi="Times New Roman"/>
      <w:sz w:val="16"/>
      <w:szCs w:val="20"/>
      <w14:ligatures w14:val="standard"/>
    </w:rPr>
  </w:style>
  <w:style w:type="character" w:styleId="FootnoteReference">
    <w:name w:val="footnote reference"/>
    <w:basedOn w:val="DefaultParagraphFont"/>
    <w:uiPriority w:val="99"/>
    <w:semiHidden/>
    <w:unhideWhenUsed/>
    <w:rPr>
      <w:rFonts w:ascii="Times New Roman" w:hAnsi="Times New Roman"/>
      <w:b w:val="0"/>
      <w:i w:val="0"/>
      <w:color w:val="auto"/>
      <w:position w:val="-2"/>
      <w:sz w:val="16"/>
      <w:vertAlign w:val="superscript"/>
    </w:rPr>
  </w:style>
  <w:style w:type="paragraph" w:customStyle="1" w:styleId="Footnote">
    <w:name w:val="Footnote"/>
    <w:basedOn w:val="FootnoteText"/>
    <w:qFormat/>
    <w:pPr>
      <w:spacing w:line="180" w:lineRule="exact"/>
    </w:pPr>
    <w:rPr>
      <w:rFonts w:eastAsia="Times New Roman" w:cs="Times New Roman"/>
      <w:sz w:val="14"/>
      <w:szCs w:val="14"/>
    </w:rPr>
  </w:style>
  <w:style w:type="paragraph" w:customStyle="1" w:styleId="FooterRule">
    <w:name w:val="FooterRule"/>
    <w:basedOn w:val="Para"/>
    <w:next w:val="Para"/>
    <w:qFormat/>
    <w:pPr>
      <w:tabs>
        <w:tab w:val="left" w:pos="2041"/>
      </w:tabs>
      <w:adjustRightInd w:val="0"/>
      <w:snapToGrid w:val="0"/>
      <w:spacing w:after="20" w:line="200" w:lineRule="exact"/>
      <w:ind w:right="-57"/>
    </w:pPr>
    <w:rPr>
      <w:u w:val="single"/>
    </w:rPr>
  </w:style>
  <w:style w:type="paragraph" w:customStyle="1" w:styleId="PreambleFinal">
    <w:name w:val="PreambleFinal"/>
    <w:basedOn w:val="PreambleInit"/>
    <w:qFormat/>
    <w:pPr>
      <w:spacing w:before="480" w:after="480" w:line="240" w:lineRule="exact"/>
      <w:jc w:val="left"/>
    </w:pPr>
  </w:style>
  <w:style w:type="paragraph" w:customStyle="1" w:styleId="Visas">
    <w:name w:val="Visas"/>
    <w:basedOn w:val="PreambleInit"/>
    <w:qFormat/>
    <w:pPr>
      <w:spacing w:line="240" w:lineRule="exact"/>
    </w:pPr>
    <w:rPr>
      <w:sz w:val="18"/>
    </w:rPr>
  </w:style>
  <w:style w:type="paragraph" w:customStyle="1" w:styleId="GrSeq2">
    <w:name w:val="GrSeq2"/>
    <w:basedOn w:val="GrSeq1"/>
    <w:qFormat/>
    <w:rPr>
      <w:i/>
    </w:rPr>
  </w:style>
  <w:style w:type="paragraph" w:customStyle="1" w:styleId="GrSeq3">
    <w:name w:val="GrSeq3"/>
    <w:basedOn w:val="GrSeq2"/>
    <w:next w:val="Para"/>
    <w:qFormat/>
    <w:rPr>
      <w:b w:val="0"/>
    </w:rPr>
  </w:style>
  <w:style w:type="paragraph" w:customStyle="1" w:styleId="GrSeq4">
    <w:name w:val="GrSeq4"/>
    <w:basedOn w:val="GrSeq3"/>
    <w:next w:val="Para"/>
    <w:qFormat/>
    <w:rPr>
      <w:i w:val="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0">
    <w:name w:val="Pa10"/>
    <w:basedOn w:val="Default"/>
    <w:next w:val="Default"/>
    <w:uiPriority w:val="99"/>
    <w:pPr>
      <w:spacing w:line="241" w:lineRule="atLeast"/>
    </w:pPr>
    <w:rPr>
      <w:color w:val="auto"/>
    </w:rPr>
  </w:style>
  <w:style w:type="paragraph" w:customStyle="1" w:styleId="TableTitle">
    <w:name w:val="TableTitle"/>
    <w:basedOn w:val="Para"/>
    <w:next w:val="Para"/>
    <w:qFormat/>
    <w:pPr>
      <w:keepNext/>
      <w:spacing w:after="120"/>
    </w:pPr>
  </w:style>
  <w:style w:type="paragraph" w:customStyle="1" w:styleId="Pa4">
    <w:name w:val="Pa4"/>
    <w:basedOn w:val="Default"/>
    <w:next w:val="Default"/>
    <w:uiPriority w:val="99"/>
    <w:pPr>
      <w:spacing w:line="241" w:lineRule="atLeast"/>
    </w:pPr>
    <w:rPr>
      <w:color w:val="auto"/>
    </w:rPr>
  </w:style>
  <w:style w:type="paragraph" w:customStyle="1" w:styleId="TableHeader">
    <w:name w:val="TableHeader"/>
    <w:basedOn w:val="Para"/>
    <w:qFormat/>
    <w:pPr>
      <w:spacing w:after="100" w:afterAutospacing="1" w:line="200" w:lineRule="exact"/>
      <w:jc w:val="center"/>
    </w:pPr>
    <w:rPr>
      <w:bCs/>
      <w:sz w:val="16"/>
    </w:rPr>
  </w:style>
  <w:style w:type="paragraph" w:customStyle="1" w:styleId="Pa15">
    <w:name w:val="Pa15"/>
    <w:basedOn w:val="Default"/>
    <w:next w:val="Default"/>
    <w:uiPriority w:val="99"/>
    <w:pPr>
      <w:spacing w:line="221" w:lineRule="atLeast"/>
    </w:pPr>
    <w:rPr>
      <w:color w:val="auto"/>
    </w:rPr>
  </w:style>
  <w:style w:type="paragraph" w:customStyle="1" w:styleId="Pa2">
    <w:name w:val="Pa2"/>
    <w:basedOn w:val="Default"/>
    <w:next w:val="Default"/>
    <w:uiPriority w:val="99"/>
    <w:pPr>
      <w:spacing w:line="241" w:lineRule="atLeast"/>
    </w:pPr>
    <w:rPr>
      <w:color w:val="auto"/>
    </w:rPr>
  </w:style>
  <w:style w:type="paragraph" w:customStyle="1" w:styleId="TableCell">
    <w:name w:val="TableCell"/>
    <w:basedOn w:val="TableHeader"/>
    <w:qFormat/>
    <w:rPr>
      <w:sz w:val="18"/>
    </w:rPr>
  </w:style>
  <w:style w:type="paragraph" w:customStyle="1" w:styleId="Pa16">
    <w:name w:val="Pa16"/>
    <w:basedOn w:val="Default"/>
    <w:next w:val="Default"/>
    <w:uiPriority w:val="99"/>
    <w:pPr>
      <w:spacing w:line="221" w:lineRule="atLeast"/>
    </w:pPr>
    <w:rPr>
      <w:color w:val="auto"/>
    </w:rPr>
  </w:style>
  <w:style w:type="paragraph" w:customStyle="1" w:styleId="TableCellRight">
    <w:name w:val="TableCellRight"/>
    <w:basedOn w:val="TableCell"/>
    <w:qFormat/>
    <w:pPr>
      <w:jc w:val="right"/>
    </w:pPr>
  </w:style>
  <w:style w:type="paragraph" w:customStyle="1" w:styleId="TableCellLeft">
    <w:name w:val="TableCellLeft"/>
    <w:basedOn w:val="TableCell"/>
    <w:qFormat/>
    <w:pPr>
      <w:jc w:val="left"/>
    </w:pPr>
  </w:style>
  <w:style w:type="paragraph" w:customStyle="1" w:styleId="TableGrNotes">
    <w:name w:val="TableGrNotes"/>
    <w:basedOn w:val="Para"/>
    <w:qFormat/>
    <w:pPr>
      <w:spacing w:after="0" w:line="180" w:lineRule="exact"/>
      <w:ind w:left="280" w:hanging="280"/>
    </w:pPr>
    <w:rPr>
      <w:sz w:val="16"/>
    </w:rPr>
  </w:style>
  <w:style w:type="paragraph" w:customStyle="1" w:styleId="NormalSmall">
    <w:name w:val="NormalSmall"/>
    <w:basedOn w:val="Normal"/>
    <w:qFormat/>
    <w:pPr>
      <w:spacing w:after="120" w:line="200" w:lineRule="exact"/>
    </w:pPr>
    <w:rPr>
      <w:sz w:val="16"/>
    </w:rPr>
  </w:style>
  <w:style w:type="paragraph" w:customStyle="1" w:styleId="TIART">
    <w:name w:val="TIART"/>
    <w:basedOn w:val="Para"/>
    <w:qFormat/>
    <w:pPr>
      <w:keepNext/>
      <w:keepLines/>
      <w:suppressAutoHyphens/>
      <w:jc w:val="center"/>
    </w:pPr>
    <w:rPr>
      <w:i/>
    </w:rPr>
  </w:style>
  <w:style w:type="paragraph" w:customStyle="1" w:styleId="STIART">
    <w:name w:val="STIART"/>
    <w:basedOn w:val="Para"/>
    <w:qFormat/>
    <w:pPr>
      <w:keepNext/>
      <w:keepLines/>
      <w:suppressAutoHyphens/>
      <w:jc w:val="center"/>
    </w:pPr>
    <w:rPr>
      <w:b/>
    </w:rPr>
  </w:style>
  <w:style w:type="paragraph" w:customStyle="1" w:styleId="Final">
    <w:name w:val="Final"/>
    <w:basedOn w:val="Para"/>
    <w:qFormat/>
    <w:pPr>
      <w:ind w:left="547" w:right="547"/>
    </w:pPr>
  </w:style>
  <w:style w:type="paragraph" w:customStyle="1" w:styleId="AnnexTI">
    <w:name w:val="AnnexTI"/>
    <w:basedOn w:val="ParaSmall"/>
    <w:qFormat/>
    <w:pPr>
      <w:keepNext/>
      <w:keepLines/>
      <w:suppressAutoHyphens/>
      <w:jc w:val="center"/>
    </w:pPr>
    <w:rPr>
      <w:i/>
    </w:rPr>
  </w:style>
  <w:style w:type="paragraph" w:customStyle="1" w:styleId="AnnexSTI">
    <w:name w:val="AnnexSTI"/>
    <w:basedOn w:val="Para"/>
    <w:qFormat/>
    <w:pPr>
      <w:keepNext/>
      <w:keepLines/>
      <w:suppressAutoHyphens/>
      <w:spacing w:after="400"/>
      <w:jc w:val="center"/>
    </w:pPr>
    <w:rPr>
      <w:b/>
    </w:rPr>
  </w:style>
  <w:style w:type="paragraph" w:customStyle="1" w:styleId="SmallNumberedText">
    <w:name w:val="SmallNumberedText"/>
    <w:basedOn w:val="ParaSmall"/>
    <w:qFormat/>
    <w:pPr>
      <w:ind w:left="280" w:hanging="280"/>
    </w:pPr>
  </w:style>
  <w:style w:type="paragraph" w:customStyle="1" w:styleId="QuoteStart">
    <w:name w:val="QuoteStart"/>
    <w:basedOn w:val="NumberedText"/>
    <w:qFormat/>
    <w:pPr>
      <w:spacing w:after="100" w:afterAutospacing="1"/>
      <w:ind w:left="0" w:firstLine="0"/>
    </w:pPr>
    <w:rPr>
      <w:i/>
    </w:rPr>
  </w:style>
  <w:style w:type="character" w:styleId="Hyperlink">
    <w:name w:val="Hyperlink"/>
    <w:basedOn w:val="DefaultParagraphFont"/>
    <w:uiPriority w:val="99"/>
    <w:unhideWhenUsed/>
    <w:rPr>
      <w:color w:val="0000FF" w:themeColor="hyperlink"/>
      <w:u w:val="none"/>
    </w:rPr>
  </w:style>
  <w:style w:type="paragraph" w:customStyle="1" w:styleId="SNF">
    <w:name w:val="SNF"/>
    <w:basedOn w:val="Para"/>
    <w:qFormat/>
    <w:rPr>
      <w:color w:val="FF0000"/>
    </w:rPr>
  </w:style>
  <w:style w:type="paragraph" w:customStyle="1" w:styleId="QuoteFootnoteRule">
    <w:name w:val="QuoteFootnoteRule"/>
    <w:basedOn w:val="Para"/>
    <w:qFormat/>
    <w:pPr>
      <w:keepNext/>
      <w:keepLines/>
      <w:pBdr>
        <w:bottom w:val="single" w:sz="4" w:space="1" w:color="auto"/>
      </w:pBdr>
      <w:spacing w:after="0" w:line="180" w:lineRule="exact"/>
      <w:ind w:right="8226"/>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0"/>
    </w:rPr>
  </w:style>
  <w:style w:type="paragraph" w:styleId="Revision">
    <w:name w:val="Revision"/>
    <w:hidden/>
    <w:uiPriority w:val="99"/>
    <w:semiHidden/>
    <w:pPr>
      <w:spacing w:after="0" w:line="240" w:lineRule="auto"/>
    </w:pPr>
    <w:rPr>
      <w:rFonts w:ascii="Times New Roman" w:hAnsi="Times New Roman"/>
      <w:sz w:val="1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Consid">
    <w:name w:val="Consid"/>
    <w:basedOn w:val="Para"/>
    <w:qFormat/>
    <w:pPr>
      <w:ind w:left="540" w:hanging="540"/>
    </w:pPr>
  </w:style>
  <w:style w:type="paragraph" w:customStyle="1" w:styleId="ConsidWithoutNumber">
    <w:name w:val="ConsidWithoutNumber"/>
    <w:basedOn w:val="Consid"/>
    <w:qFormat/>
    <w:pPr>
      <w:ind w:left="0" w:firstLine="0"/>
    </w:pPr>
  </w:style>
  <w:style w:type="paragraph" w:customStyle="1" w:styleId="Alinea">
    <w:name w:val="Alinea"/>
    <w:basedOn w:val="Para"/>
    <w:qFormat/>
  </w:style>
  <w:style w:type="paragraph" w:customStyle="1" w:styleId="AlineaWithParag">
    <w:name w:val="AlineaWithParag"/>
    <w:basedOn w:val="Para"/>
    <w:qFormat/>
    <w:pPr>
      <w:tabs>
        <w:tab w:val="left" w:pos="400"/>
      </w:tabs>
    </w:pPr>
  </w:style>
  <w:style w:type="paragraph" w:customStyle="1" w:styleId="SignatoryItalic">
    <w:name w:val="SignatoryItalic"/>
    <w:basedOn w:val="Para"/>
    <w:qFormat/>
    <w:pPr>
      <w:spacing w:after="60"/>
      <w:jc w:val="center"/>
    </w:pPr>
    <w:rPr>
      <w:i/>
    </w:rPr>
  </w:style>
  <w:style w:type="paragraph" w:customStyle="1" w:styleId="Signatory">
    <w:name w:val="Signatory"/>
    <w:basedOn w:val="Para"/>
    <w:qFormat/>
    <w:pPr>
      <w:keepNext/>
      <w:keepLines/>
      <w:suppressAutoHyphens/>
      <w:spacing w:after="60"/>
      <w:jc w:val="center"/>
    </w:pPr>
  </w:style>
  <w:style w:type="paragraph" w:customStyle="1" w:styleId="TIARTquoted">
    <w:name w:val="TIART_quoted"/>
    <w:basedOn w:val="TIART"/>
    <w:qFormat/>
    <w:pPr>
      <w:jc w:val="left"/>
    </w:pPr>
  </w:style>
  <w:style w:type="paragraph" w:customStyle="1" w:styleId="STIARTquoted">
    <w:name w:val="STIART_quoted"/>
    <w:basedOn w:val="STIART"/>
    <w:qFormat/>
    <w:pPr>
      <w:jc w:val="left"/>
    </w:pPr>
  </w:style>
  <w:style w:type="paragraph" w:customStyle="1" w:styleId="MainTitleRoman">
    <w:name w:val="MainTitleRoman"/>
    <w:basedOn w:val="MainTitle"/>
    <w:qFormat/>
    <w:rPr>
      <w:b w:val="0"/>
    </w:rPr>
  </w:style>
  <w:style w:type="paragraph" w:customStyle="1" w:styleId="MainTitleSmall">
    <w:name w:val="MainTitleSmall"/>
    <w:basedOn w:val="MainTitle"/>
    <w:qFormat/>
    <w:pPr>
      <w:spacing w:line="200" w:lineRule="exact"/>
    </w:pPr>
    <w:rPr>
      <w:sz w:val="16"/>
    </w:rPr>
  </w:style>
  <w:style w:type="paragraph" w:customStyle="1" w:styleId="MainTitleRomanSmall">
    <w:name w:val="MainTitleRomanSmall"/>
    <w:basedOn w:val="MainTitleSmall"/>
    <w:qFormat/>
    <w:rPr>
      <w:b w:val="0"/>
    </w:rPr>
  </w:style>
  <w:style w:type="paragraph" w:customStyle="1" w:styleId="Formula">
    <w:name w:val="Formula"/>
    <w:basedOn w:val="Para"/>
    <w:qFormat/>
    <w:pPr>
      <w:spacing w:line="240" w:lineRule="auto"/>
    </w:pPr>
    <w:rPr>
      <w:rFonts w:ascii="Cambria Math" w:hAnsi="Cambria Math"/>
    </w:rPr>
  </w:style>
  <w:style w:type="paragraph" w:customStyle="1" w:styleId="FormulaSmall">
    <w:name w:val="FormulaSmall"/>
    <w:basedOn w:val="Formula"/>
    <w:qFormat/>
    <w:rPr>
      <w:rFonts w:eastAsiaTheme="minorEastAsia"/>
      <w:sz w:val="16"/>
    </w:rPr>
  </w:style>
  <w:style w:type="table" w:customStyle="1" w:styleId="EFTATable">
    <w:name w:val="EFTATable"/>
    <w:basedOn w:val="TableNormal"/>
    <w:uiPriority w:val="99"/>
    <w:pPr>
      <w:spacing w:after="0" w:line="200" w:lineRule="exact"/>
    </w:pPr>
    <w:rPr>
      <w:rFonts w:ascii="Times New Roman" w:hAnsi="Times New Roman"/>
      <w:sz w:val="16"/>
    </w:rPr>
    <w:tblPr>
      <w:tblBorders>
        <w:top w:val="single" w:sz="4" w:space="0" w:color="auto"/>
        <w:bottom w:val="single" w:sz="4" w:space="0" w:color="auto"/>
        <w:insideH w:val="single" w:sz="4" w:space="0" w:color="auto"/>
        <w:insideV w:val="single" w:sz="4" w:space="0" w:color="auto"/>
      </w:tblBorders>
      <w:tblCellMar>
        <w:top w:w="20" w:type="dxa"/>
        <w:left w:w="40" w:type="dxa"/>
        <w:bottom w:w="20" w:type="dxa"/>
        <w:right w:w="40" w:type="dxa"/>
      </w:tblCellMar>
    </w:tblPr>
  </w:style>
  <w:style w:type="paragraph" w:customStyle="1" w:styleId="TableTIGrNotes">
    <w:name w:val="TableTIGrNotes"/>
    <w:basedOn w:val="TableGrNotes"/>
    <w:qFormat/>
    <w:pPr>
      <w:spacing w:after="120"/>
    </w:pPr>
  </w:style>
  <w:style w:type="paragraph" w:customStyle="1" w:styleId="TableGrAnnotations">
    <w:name w:val="TableGrAnnotations"/>
    <w:basedOn w:val="ParaSmall"/>
    <w:qFormat/>
    <w:pPr>
      <w:spacing w:after="0" w:line="180" w:lineRule="exact"/>
    </w:pPr>
    <w:rPr>
      <w:sz w:val="14"/>
    </w:rPr>
  </w:style>
  <w:style w:type="paragraph" w:customStyle="1" w:styleId="FigureTI">
    <w:name w:val="FigureTI"/>
    <w:basedOn w:val="Para"/>
    <w:qFormat/>
    <w:pPr>
      <w:keepNext/>
      <w:keepLines/>
      <w:suppressAutoHyphens/>
      <w:jc w:val="center"/>
    </w:pPr>
    <w:rPr>
      <w:i/>
    </w:rPr>
  </w:style>
  <w:style w:type="paragraph" w:customStyle="1" w:styleId="FigureSTI">
    <w:name w:val="FigureSTI"/>
    <w:basedOn w:val="Para"/>
    <w:qFormat/>
    <w:pPr>
      <w:keepNext/>
      <w:keepLines/>
      <w:suppressAutoHyphens/>
      <w:jc w:val="center"/>
    </w:pPr>
    <w:rPr>
      <w:b/>
    </w:rPr>
  </w:style>
  <w:style w:type="paragraph" w:customStyle="1" w:styleId="FigureTISmall">
    <w:name w:val="FigureTISmall"/>
    <w:basedOn w:val="ParaSmall"/>
    <w:qFormat/>
    <w:pPr>
      <w:keepNext/>
      <w:keepLines/>
      <w:suppressAutoHyphens/>
      <w:jc w:val="center"/>
    </w:pPr>
    <w:rPr>
      <w:i/>
    </w:rPr>
  </w:style>
  <w:style w:type="paragraph" w:customStyle="1" w:styleId="FigureSTISmall">
    <w:name w:val="FigureSTISmall"/>
    <w:basedOn w:val="ParaSmall"/>
    <w:qFormat/>
    <w:pPr>
      <w:keepNext/>
      <w:keepLines/>
      <w:suppressAutoHyphens/>
      <w:jc w:val="center"/>
    </w:pPr>
    <w:rPr>
      <w:b/>
    </w:rPr>
  </w:style>
  <w:style w:type="paragraph" w:customStyle="1" w:styleId="AnnexNumberedText">
    <w:name w:val="AnnexNumberedText"/>
    <w:basedOn w:val="AnnexNormal"/>
    <w:qFormat/>
    <w:pPr>
      <w:spacing w:after="120"/>
      <w:ind w:left="280" w:hanging="280"/>
    </w:pPr>
  </w:style>
  <w:style w:type="paragraph" w:customStyle="1" w:styleId="AnnexNormal">
    <w:name w:val="AnnexNormal"/>
    <w:basedOn w:val="Para"/>
    <w:qFormat/>
  </w:style>
  <w:style w:type="paragraph" w:customStyle="1" w:styleId="AnnexGrSeq4">
    <w:name w:val="AnnexGrSeq4"/>
    <w:basedOn w:val="ParaSmall"/>
    <w:qFormat/>
    <w:pPr>
      <w:keepNext/>
      <w:keepLines/>
      <w:suppressAutoHyphens/>
      <w:jc w:val="center"/>
    </w:pPr>
  </w:style>
  <w:style w:type="paragraph" w:customStyle="1" w:styleId="AnnexTableCellLeft">
    <w:name w:val="AnnexTableCellLeft"/>
    <w:basedOn w:val="Para"/>
    <w:qFormat/>
    <w:pPr>
      <w:spacing w:after="0"/>
    </w:pPr>
  </w:style>
  <w:style w:type="paragraph" w:customStyle="1" w:styleId="AnnexTableHeader">
    <w:name w:val="AnnexTableHeader"/>
    <w:basedOn w:val="Para"/>
    <w:qFormat/>
    <w:pPr>
      <w:spacing w:after="0"/>
      <w:jc w:val="center"/>
    </w:pPr>
    <w:rPr>
      <w:sz w:val="16"/>
    </w:rPr>
  </w:style>
  <w:style w:type="paragraph" w:customStyle="1" w:styleId="AnnexTableGrNotes">
    <w:name w:val="AnnexTableGrNotes"/>
    <w:basedOn w:val="Para"/>
    <w:qFormat/>
    <w:pPr>
      <w:spacing w:after="0" w:line="220" w:lineRule="exact"/>
      <w:ind w:left="280" w:hanging="280"/>
    </w:pPr>
    <w:rPr>
      <w:sz w:val="16"/>
    </w:rPr>
  </w:style>
  <w:style w:type="paragraph" w:customStyle="1" w:styleId="AnnexTableGrAnnotations">
    <w:name w:val="AnnexTableGrAnnotations"/>
    <w:basedOn w:val="AnnexTableGrNotes"/>
    <w:qFormat/>
    <w:pPr>
      <w:ind w:left="0" w:firstLine="0"/>
    </w:pPr>
  </w:style>
  <w:style w:type="paragraph" w:customStyle="1" w:styleId="AnnexTableCell">
    <w:name w:val="AnnexTableCell"/>
    <w:basedOn w:val="Para"/>
    <w:qFormat/>
    <w:pPr>
      <w:spacing w:after="0"/>
      <w:jc w:val="center"/>
    </w:pPr>
  </w:style>
  <w:style w:type="paragraph" w:customStyle="1" w:styleId="Style1">
    <w:name w:val="Style1"/>
    <w:basedOn w:val="AnnexTableCell"/>
    <w:qFormat/>
  </w:style>
  <w:style w:type="paragraph" w:customStyle="1" w:styleId="AnnexTableCellRight">
    <w:name w:val="AnnexTableCellRight"/>
    <w:basedOn w:val="AnnexTableCell"/>
    <w:qFormat/>
    <w:pPr>
      <w:jc w:val="right"/>
    </w:pPr>
  </w:style>
  <w:style w:type="paragraph" w:customStyle="1" w:styleId="AnnexGrSeq1">
    <w:name w:val="AnnexGrSeq1"/>
    <w:basedOn w:val="ParaSmall"/>
    <w:qFormat/>
    <w:pPr>
      <w:keepNext/>
      <w:keepLines/>
      <w:suppressAutoHyphens/>
      <w:jc w:val="center"/>
    </w:pPr>
  </w:style>
  <w:style w:type="paragraph" w:customStyle="1" w:styleId="AnnexGrSeq2">
    <w:name w:val="AnnexGrSeq2"/>
    <w:basedOn w:val="AnnexGrSeq1"/>
    <w:qFormat/>
    <w:pPr>
      <w:spacing w:line="240" w:lineRule="exact"/>
    </w:pPr>
    <w:rPr>
      <w:sz w:val="18"/>
    </w:rPr>
  </w:style>
  <w:style w:type="paragraph" w:customStyle="1" w:styleId="AnnexGrSeq3">
    <w:name w:val="AnnexGrSeq3"/>
    <w:basedOn w:val="AnnexGrSeq2"/>
    <w:qFormat/>
  </w:style>
  <w:style w:type="paragraph" w:customStyle="1" w:styleId="AnnexAlinea">
    <w:name w:val="AnnexAlinea"/>
    <w:basedOn w:val="ParaSmall"/>
    <w:qFormat/>
  </w:style>
  <w:style w:type="paragraph" w:customStyle="1" w:styleId="AnnexAlineaWithParag">
    <w:name w:val="AnnexAlineaWithParag"/>
    <w:basedOn w:val="AnnexNormal"/>
    <w:qFormat/>
    <w:pPr>
      <w:tabs>
        <w:tab w:val="left" w:pos="400"/>
      </w:tabs>
    </w:pPr>
  </w:style>
  <w:style w:type="paragraph" w:customStyle="1" w:styleId="AnnexTIART">
    <w:name w:val="AnnexTIART"/>
    <w:basedOn w:val="ParaSmall"/>
    <w:qFormat/>
    <w:pPr>
      <w:keepNext/>
      <w:keepLines/>
      <w:suppressAutoHyphens/>
      <w:jc w:val="center"/>
    </w:pPr>
    <w:rPr>
      <w:i/>
    </w:rPr>
  </w:style>
  <w:style w:type="paragraph" w:customStyle="1" w:styleId="AnnexSTIART">
    <w:name w:val="AnnexSTIART"/>
    <w:basedOn w:val="AnnexTIART"/>
    <w:qFormat/>
    <w:rPr>
      <w:b/>
      <w:i w:val="0"/>
    </w:rPr>
  </w:style>
  <w:style w:type="paragraph" w:customStyle="1" w:styleId="AnnexDivisionTI">
    <w:name w:val="AnnexDivisionTI"/>
    <w:basedOn w:val="ParaSmall"/>
    <w:qFormat/>
    <w:pPr>
      <w:keepNext/>
      <w:keepLines/>
      <w:suppressAutoHyphens/>
      <w:jc w:val="center"/>
    </w:pPr>
  </w:style>
  <w:style w:type="paragraph" w:customStyle="1" w:styleId="AnnexDivisionSTI">
    <w:name w:val="AnnexDivisionSTI"/>
    <w:basedOn w:val="ParaSmall"/>
    <w:qFormat/>
    <w:pPr>
      <w:keepNext/>
      <w:keepLines/>
      <w:suppressAutoHyphens/>
      <w:jc w:val="center"/>
    </w:pPr>
  </w:style>
  <w:style w:type="paragraph" w:customStyle="1" w:styleId="DivConsidTIlt51">
    <w:name w:val="DivConsidTIlt51"/>
    <w:basedOn w:val="Para"/>
    <w:qFormat/>
    <w:pPr>
      <w:keepNext/>
      <w:keepLines/>
      <w:suppressAutoHyphens/>
      <w:jc w:val="center"/>
    </w:pPr>
    <w:rPr>
      <w:caps/>
      <w:sz w:val="16"/>
    </w:rPr>
  </w:style>
  <w:style w:type="paragraph" w:customStyle="1" w:styleId="DivConsidSTIlt51">
    <w:name w:val="DivConsidSTIlt51"/>
    <w:basedOn w:val="Para"/>
    <w:qFormat/>
    <w:pPr>
      <w:keepNext/>
      <w:keepLines/>
      <w:suppressAutoHyphens/>
      <w:jc w:val="center"/>
    </w:pPr>
    <w:rPr>
      <w:b/>
    </w:rPr>
  </w:style>
  <w:style w:type="paragraph" w:customStyle="1" w:styleId="AnnexFigureSTI">
    <w:name w:val="AnnexFigureSTI"/>
    <w:basedOn w:val="ParaSmall"/>
    <w:qFormat/>
    <w:pPr>
      <w:keepNext/>
      <w:keepLines/>
      <w:suppressAutoHyphens/>
      <w:jc w:val="center"/>
    </w:pPr>
    <w:rPr>
      <w:b/>
    </w:rPr>
  </w:style>
  <w:style w:type="paragraph" w:customStyle="1" w:styleId="AnnexFigureTI">
    <w:name w:val="AnnexFigureTI"/>
    <w:basedOn w:val="ParaSmall"/>
    <w:qFormat/>
    <w:pPr>
      <w:keepNext/>
      <w:keepLines/>
      <w:suppressAutoHyphens/>
      <w:jc w:val="center"/>
    </w:pPr>
    <w:rPr>
      <w:i/>
    </w:rPr>
  </w:style>
  <w:style w:type="paragraph" w:customStyle="1" w:styleId="Para">
    <w:name w:val="Para"/>
    <w:qFormat/>
    <w:pPr>
      <w:spacing w:line="240" w:lineRule="exact"/>
      <w:jc w:val="both"/>
    </w:pPr>
    <w:rPr>
      <w:rFonts w:ascii="Times New Roman" w:hAnsi="Times New Roman"/>
      <w:sz w:val="18"/>
      <w14:ligatures w14:val="standard"/>
    </w:rPr>
  </w:style>
  <w:style w:type="paragraph" w:customStyle="1" w:styleId="ParaSmall">
    <w:name w:val="ParaSmall"/>
    <w:basedOn w:val="Para"/>
    <w:qFormat/>
    <w:pPr>
      <w:spacing w:line="200" w:lineRule="exact"/>
    </w:pPr>
    <w:rPr>
      <w:sz w:val="16"/>
    </w:rPr>
  </w:style>
  <w:style w:type="paragraph" w:styleId="Quote">
    <w:name w:val="Quote"/>
    <w:basedOn w:val="Para"/>
    <w:next w:val="Para"/>
    <w:link w:val="QuoteChar"/>
    <w:uiPriority w:val="29"/>
    <w:qFormat/>
    <w:rPr>
      <w:i/>
      <w:iCs/>
      <w:color w:val="000000" w:themeColor="text1"/>
    </w:rPr>
  </w:style>
  <w:style w:type="character" w:customStyle="1" w:styleId="QuoteChar">
    <w:name w:val="Quote Char"/>
    <w:basedOn w:val="DefaultParagraphFont"/>
    <w:link w:val="Quote"/>
    <w:uiPriority w:val="29"/>
    <w:rPr>
      <w:rFonts w:ascii="Times New Roman" w:hAnsi="Times New Roman"/>
      <w:i/>
      <w:iCs/>
      <w:color w:val="000000" w:themeColor="text1"/>
      <w:sz w:val="18"/>
      <w14:ligatures w14:val="standard"/>
    </w:rPr>
  </w:style>
  <w:style w:type="paragraph" w:customStyle="1" w:styleId="SequenceNumber">
    <w:name w:val="SequenceNumber"/>
    <w:basedOn w:val="Para"/>
    <w:qFormat/>
    <w:pPr>
      <w:jc w:val="right"/>
    </w:pPr>
    <w:rPr>
      <w:b/>
    </w:rPr>
  </w:style>
  <w:style w:type="paragraph" w:customStyle="1" w:styleId="SignatorySmall">
    <w:name w:val="SignatorySmall"/>
    <w:basedOn w:val="ParaSmall"/>
    <w:qFormat/>
    <w:pPr>
      <w:spacing w:after="60"/>
      <w:jc w:val="center"/>
    </w:pPr>
  </w:style>
  <w:style w:type="paragraph" w:customStyle="1" w:styleId="SignatoryItalicSmall">
    <w:name w:val="SignatoryItalicSmall"/>
    <w:basedOn w:val="SignatorySmall"/>
    <w:qFormat/>
    <w:rPr>
      <w:i/>
    </w:rPr>
  </w:style>
  <w:style w:type="paragraph" w:customStyle="1" w:styleId="GrSeq5">
    <w:name w:val="GrSeq5"/>
    <w:basedOn w:val="GrSeq1"/>
    <w:qFormat/>
    <w:rPr>
      <w:b w:val="0"/>
    </w:rPr>
  </w:style>
  <w:style w:type="paragraph" w:customStyle="1" w:styleId="GrSeq6">
    <w:name w:val="GrSeq6"/>
    <w:basedOn w:val="GrSeq5"/>
    <w:qFormat/>
  </w:style>
  <w:style w:type="paragraph" w:customStyle="1" w:styleId="GrSeq7">
    <w:name w:val="GrSeq7"/>
    <w:basedOn w:val="GrSeq6"/>
    <w:qFormat/>
  </w:style>
  <w:style w:type="paragraph" w:customStyle="1" w:styleId="AnnexGrSeq5">
    <w:name w:val="AnnexGrSeq5"/>
    <w:basedOn w:val="AnnexGrSeq4"/>
    <w:qFormat/>
    <w:pPr>
      <w:spacing w:line="240" w:lineRule="exact"/>
    </w:pPr>
    <w:rPr>
      <w:sz w:val="18"/>
    </w:rPr>
  </w:style>
  <w:style w:type="paragraph" w:customStyle="1" w:styleId="AnnexGrSeq6">
    <w:name w:val="AnnexGrSeq6"/>
    <w:basedOn w:val="AnnexGrSeq5"/>
    <w:qFormat/>
  </w:style>
  <w:style w:type="paragraph" w:customStyle="1" w:styleId="AnnexGrSeq7">
    <w:name w:val="AnnexGrSeq7"/>
    <w:basedOn w:val="AnnexGrSeq6"/>
    <w:qFormat/>
  </w:style>
  <w:style w:type="paragraph" w:customStyle="1" w:styleId="AnnexQuoteFootnoteRule">
    <w:name w:val="AnnexQuoteFootnoteRule"/>
    <w:basedOn w:val="AnnexNormal"/>
    <w:qFormat/>
    <w:pPr>
      <w:pBdr>
        <w:bottom w:val="single" w:sz="4" w:space="1" w:color="auto"/>
      </w:pBdr>
      <w:spacing w:after="0"/>
      <w:ind w:right="7500"/>
    </w:pPr>
  </w:style>
  <w:style w:type="paragraph" w:customStyle="1" w:styleId="RotatedHeader">
    <w:name w:val="RotatedHeader"/>
    <w:basedOn w:val="Header"/>
    <w:qFormat/>
    <w:pPr>
      <w:pBdr>
        <w:bottom w:val="single" w:sz="4" w:space="6" w:color="auto"/>
      </w:pBdr>
      <w:tabs>
        <w:tab w:val="center" w:pos="4848"/>
        <w:tab w:val="right" w:pos="9611"/>
      </w:tabs>
      <w:spacing w:after="120"/>
    </w:pPr>
  </w:style>
  <w:style w:type="paragraph" w:customStyle="1" w:styleId="DivConsidTIlt52">
    <w:name w:val="DivConsidTIlt52"/>
    <w:basedOn w:val="Para"/>
    <w:qFormat/>
    <w:pPr>
      <w:keepNext/>
      <w:keepLines/>
      <w:suppressAutoHyphens/>
      <w:jc w:val="center"/>
    </w:pPr>
    <w:rPr>
      <w:caps/>
      <w:sz w:val="16"/>
    </w:rPr>
  </w:style>
  <w:style w:type="paragraph" w:customStyle="1" w:styleId="DivConsidSTIlt52">
    <w:name w:val="DivConsidSTIlt52"/>
    <w:basedOn w:val="Para"/>
    <w:qFormat/>
    <w:pPr>
      <w:keepNext/>
      <w:suppressAutoHyphens/>
      <w:jc w:val="center"/>
    </w:pPr>
    <w:rPr>
      <w:b/>
    </w:rPr>
  </w:style>
  <w:style w:type="paragraph" w:customStyle="1" w:styleId="DivConsidTIlt53">
    <w:name w:val="DivConsidTIlt53"/>
    <w:basedOn w:val="Para"/>
    <w:qFormat/>
    <w:pPr>
      <w:keepNext/>
      <w:keepLines/>
      <w:suppressAutoHyphens/>
      <w:jc w:val="left"/>
    </w:pPr>
  </w:style>
  <w:style w:type="paragraph" w:customStyle="1" w:styleId="DivConsidSTIlt53">
    <w:name w:val="DivConsidSTIlt53"/>
    <w:basedOn w:val="Para"/>
    <w:qFormat/>
    <w:pPr>
      <w:keepNext/>
      <w:keepLines/>
      <w:suppressAutoHyphens/>
      <w:jc w:val="left"/>
    </w:pPr>
  </w:style>
  <w:style w:type="paragraph" w:customStyle="1" w:styleId="DivConsidTIlt54">
    <w:name w:val="DivConsidTIlt54"/>
    <w:basedOn w:val="Para"/>
    <w:qFormat/>
    <w:pPr>
      <w:keepNext/>
      <w:keepLines/>
      <w:suppressAutoHyphens/>
      <w:jc w:val="left"/>
    </w:pPr>
  </w:style>
  <w:style w:type="paragraph" w:customStyle="1" w:styleId="DivConsidSTIlt54">
    <w:name w:val="DivConsidSTIlt54"/>
    <w:basedOn w:val="Para"/>
    <w:qFormat/>
    <w:pPr>
      <w:keepNext/>
      <w:keepLines/>
      <w:suppressAutoHyphens/>
      <w:jc w:val="left"/>
    </w:pPr>
  </w:style>
  <w:style w:type="paragraph" w:customStyle="1" w:styleId="DivConsidTIgt51">
    <w:name w:val="DivConsidTIgt51"/>
    <w:basedOn w:val="Para"/>
    <w:qFormat/>
    <w:pPr>
      <w:jc w:val="center"/>
    </w:pPr>
    <w:rPr>
      <w:caps/>
      <w:sz w:val="16"/>
    </w:rPr>
  </w:style>
  <w:style w:type="paragraph" w:customStyle="1" w:styleId="DivConsidSTIgt55">
    <w:name w:val="DivConsidSTIgt55"/>
    <w:basedOn w:val="Para"/>
    <w:qFormat/>
    <w:pPr>
      <w:jc w:val="left"/>
    </w:pPr>
  </w:style>
  <w:style w:type="paragraph" w:customStyle="1" w:styleId="DivConsidTIgt56">
    <w:name w:val="DivConsidTIgt56"/>
    <w:basedOn w:val="Para"/>
    <w:qFormat/>
    <w:pPr>
      <w:keepNext/>
      <w:keepLines/>
      <w:suppressAutoHyphens/>
      <w:jc w:val="left"/>
    </w:pPr>
  </w:style>
  <w:style w:type="paragraph" w:customStyle="1" w:styleId="DivConsidSTIgt56">
    <w:name w:val="DivConsidSTIgt56"/>
    <w:basedOn w:val="Para"/>
    <w:qFormat/>
    <w:pPr>
      <w:jc w:val="left"/>
    </w:pPr>
  </w:style>
  <w:style w:type="paragraph" w:customStyle="1" w:styleId="DivConsidTIgt57">
    <w:name w:val="DivConsidTIgt57"/>
    <w:basedOn w:val="DivConsidTIgt56"/>
    <w:qFormat/>
  </w:style>
  <w:style w:type="paragraph" w:customStyle="1" w:styleId="DivConsidSTIgt57">
    <w:name w:val="DivConsidSTIgt57"/>
    <w:basedOn w:val="DivConsidSTIgt56"/>
    <w:qFormat/>
  </w:style>
  <w:style w:type="paragraph" w:customStyle="1" w:styleId="DivConsidTIgt58">
    <w:name w:val="DivConsidTIgt58"/>
    <w:basedOn w:val="DivConsidTIgt57"/>
    <w:qFormat/>
  </w:style>
  <w:style w:type="paragraph" w:customStyle="1" w:styleId="DivConsidSTIgt58">
    <w:name w:val="DivConsidSTIgt58"/>
    <w:basedOn w:val="DivConsidSTIgt57"/>
    <w:qFormat/>
  </w:style>
  <w:style w:type="paragraph" w:customStyle="1" w:styleId="DivisionTI1">
    <w:name w:val="DivisionTI1"/>
    <w:basedOn w:val="Para"/>
    <w:qFormat/>
    <w:pPr>
      <w:keepNext/>
      <w:keepLines/>
      <w:suppressAutoHyphens/>
      <w:jc w:val="center"/>
    </w:pPr>
    <w:rPr>
      <w:caps/>
      <w:sz w:val="16"/>
    </w:rPr>
  </w:style>
  <w:style w:type="paragraph" w:customStyle="1" w:styleId="DivisionSTI1">
    <w:name w:val="DivisionSTI1"/>
    <w:basedOn w:val="Para"/>
    <w:qFormat/>
    <w:pPr>
      <w:keepNext/>
      <w:keepLines/>
      <w:suppressAutoHyphens/>
      <w:jc w:val="center"/>
    </w:pPr>
  </w:style>
  <w:style w:type="paragraph" w:customStyle="1" w:styleId="DivisionTI2">
    <w:name w:val="DivisionTI2"/>
    <w:basedOn w:val="Para"/>
    <w:qFormat/>
    <w:pPr>
      <w:keepNext/>
      <w:keepLines/>
      <w:suppressAutoHyphens/>
      <w:jc w:val="center"/>
    </w:pPr>
  </w:style>
  <w:style w:type="paragraph" w:customStyle="1" w:styleId="DivisionSTI2">
    <w:name w:val="DivisionSTI2"/>
    <w:basedOn w:val="Para"/>
    <w:qFormat/>
    <w:pPr>
      <w:keepNext/>
      <w:keepLines/>
      <w:suppressAutoHyphens/>
      <w:jc w:val="center"/>
    </w:pPr>
  </w:style>
  <w:style w:type="paragraph" w:customStyle="1" w:styleId="DivisionTI3">
    <w:name w:val="DivisionTI3"/>
    <w:basedOn w:val="Para"/>
    <w:qFormat/>
    <w:pPr>
      <w:keepNext/>
      <w:keepLines/>
      <w:suppressAutoHyphens/>
      <w:jc w:val="left"/>
    </w:pPr>
  </w:style>
  <w:style w:type="paragraph" w:customStyle="1" w:styleId="DivisionSTI3">
    <w:name w:val="DivisionSTI3"/>
    <w:basedOn w:val="Para"/>
    <w:qFormat/>
    <w:pPr>
      <w:keepNext/>
      <w:keepLines/>
      <w:suppressAutoHyphens/>
      <w:jc w:val="left"/>
    </w:pPr>
  </w:style>
  <w:style w:type="paragraph" w:customStyle="1" w:styleId="DivisionTI4">
    <w:name w:val="DivisionTI4"/>
    <w:basedOn w:val="DivisionTI3"/>
    <w:qFormat/>
  </w:style>
  <w:style w:type="paragraph" w:customStyle="1" w:styleId="DivisionSTI4">
    <w:name w:val="DivisionSTI4"/>
    <w:basedOn w:val="DivisionSTI3"/>
    <w:qFormat/>
  </w:style>
  <w:style w:type="paragraph" w:customStyle="1" w:styleId="DivisionTI5">
    <w:name w:val="DivisionTI5"/>
    <w:basedOn w:val="DivisionTI4"/>
    <w:qFormat/>
  </w:style>
  <w:style w:type="paragraph" w:customStyle="1" w:styleId="DivisionSTI5">
    <w:name w:val="DivisionSTI5"/>
    <w:basedOn w:val="DivisionSTI4"/>
    <w:qFormat/>
  </w:style>
  <w:style w:type="paragraph" w:customStyle="1" w:styleId="DivisionTI6">
    <w:name w:val="DivisionTI6"/>
    <w:basedOn w:val="DivisionTI5"/>
    <w:qFormat/>
  </w:style>
  <w:style w:type="paragraph" w:customStyle="1" w:styleId="DivisionSTI6">
    <w:name w:val="DivisionSTI6"/>
    <w:basedOn w:val="DivisionSTI5"/>
    <w:qFormat/>
  </w:style>
  <w:style w:type="paragraph" w:customStyle="1" w:styleId="DivisionTI7">
    <w:name w:val="DivisionTI7"/>
    <w:basedOn w:val="DivisionTI6"/>
    <w:qFormat/>
  </w:style>
  <w:style w:type="paragraph" w:customStyle="1" w:styleId="DivisionSTI7">
    <w:name w:val="DivisionSTI7"/>
    <w:basedOn w:val="DivisionSTI6"/>
    <w:qFormat/>
  </w:style>
  <w:style w:type="paragraph" w:customStyle="1" w:styleId="DivisionTI8">
    <w:name w:val="DivisionTI8"/>
    <w:basedOn w:val="DivisionTI7"/>
    <w:qFormat/>
  </w:style>
  <w:style w:type="paragraph" w:customStyle="1" w:styleId="DivisionSTI8">
    <w:name w:val="DivisionSTI8"/>
    <w:basedOn w:val="DivisionSTI7"/>
    <w:qFormat/>
  </w:style>
  <w:style w:type="paragraph" w:customStyle="1" w:styleId="DivConsidSTIgt51">
    <w:name w:val="DivConsidSTIgt51"/>
    <w:basedOn w:val="DivConsidSTIgt55"/>
    <w:qFormat/>
    <w:pPr>
      <w:jc w:val="center"/>
    </w:pPr>
    <w:rPr>
      <w:sz w:val="16"/>
    </w:rPr>
  </w:style>
  <w:style w:type="paragraph" w:customStyle="1" w:styleId="DivConsidTIgt52">
    <w:name w:val="DivConsidTIgt52"/>
    <w:basedOn w:val="DivConsidTIgt51"/>
    <w:qFormat/>
  </w:style>
  <w:style w:type="paragraph" w:customStyle="1" w:styleId="DivConsidSTIgt52">
    <w:name w:val="DivConsidSTIgt52"/>
    <w:basedOn w:val="DivConsidSTIgt51"/>
    <w:qFormat/>
  </w:style>
  <w:style w:type="paragraph" w:customStyle="1" w:styleId="DivConsidTIgt53">
    <w:name w:val="DivConsidTIgt53"/>
    <w:basedOn w:val="DivConsidTIgt51"/>
    <w:qFormat/>
    <w:pPr>
      <w:jc w:val="left"/>
    </w:pPr>
  </w:style>
  <w:style w:type="paragraph" w:customStyle="1" w:styleId="DivConsidSTIgt53">
    <w:name w:val="DivConsidSTIgt53"/>
    <w:basedOn w:val="DivConsidSTIgt55"/>
    <w:qFormat/>
  </w:style>
  <w:style w:type="paragraph" w:customStyle="1" w:styleId="DivConsidTIgt54">
    <w:name w:val="DivConsidTIgt54"/>
    <w:basedOn w:val="DivConsidTIgt51"/>
    <w:qFormat/>
    <w:pPr>
      <w:jc w:val="left"/>
    </w:pPr>
    <w:rPr>
      <w:sz w:val="18"/>
    </w:rPr>
  </w:style>
  <w:style w:type="paragraph" w:customStyle="1" w:styleId="DivConsidSTIgt54">
    <w:name w:val="DivConsidSTIgt54"/>
    <w:basedOn w:val="DivConsidSTIgt55"/>
    <w:qFormat/>
  </w:style>
  <w:style w:type="paragraph" w:customStyle="1" w:styleId="DivConsidTIgt55">
    <w:name w:val="DivConsidTIgt55"/>
    <w:basedOn w:val="DivConsidTIgt51"/>
    <w:qFormat/>
    <w:pPr>
      <w:jc w:val="left"/>
    </w:pPr>
  </w:style>
  <w:style w:type="paragraph" w:customStyle="1" w:styleId="DivisionChapterTI1">
    <w:name w:val="DivisionChapterTI1"/>
    <w:basedOn w:val="Para"/>
    <w:qFormat/>
    <w:pPr>
      <w:keepNext/>
      <w:keepLines/>
      <w:suppressAutoHyphens/>
      <w:jc w:val="center"/>
    </w:pPr>
    <w:rPr>
      <w:caps/>
      <w:sz w:val="16"/>
    </w:rPr>
  </w:style>
  <w:style w:type="paragraph" w:customStyle="1" w:styleId="DivisionChapterSTI1">
    <w:name w:val="DivisionChapterSTI1"/>
    <w:basedOn w:val="Para"/>
    <w:qFormat/>
    <w:pPr>
      <w:keepNext/>
      <w:keepLines/>
      <w:suppressAutoHyphens/>
      <w:jc w:val="center"/>
    </w:pPr>
    <w:rPr>
      <w:b/>
      <w:caps/>
      <w:sz w:val="16"/>
    </w:rPr>
  </w:style>
  <w:style w:type="paragraph" w:customStyle="1" w:styleId="DivisionSectionTI1">
    <w:name w:val="DivisionSectionTI1"/>
    <w:basedOn w:val="Para"/>
    <w:qFormat/>
    <w:pPr>
      <w:keepNext/>
      <w:keepLines/>
      <w:suppressAutoHyphens/>
      <w:jc w:val="center"/>
    </w:pPr>
    <w:rPr>
      <w:caps/>
      <w:sz w:val="16"/>
    </w:rPr>
  </w:style>
  <w:style w:type="paragraph" w:customStyle="1" w:styleId="DivisionSectionSTI1">
    <w:name w:val="DivisionSectionSTI1"/>
    <w:basedOn w:val="Para"/>
    <w:qFormat/>
    <w:pPr>
      <w:jc w:val="center"/>
    </w:pPr>
    <w:rPr>
      <w:b/>
      <w:caps/>
      <w:sz w:val="16"/>
    </w:rPr>
  </w:style>
  <w:style w:type="character" w:styleId="FollowedHyperlink">
    <w:name w:val="FollowedHyperlink"/>
    <w:basedOn w:val="DefaultParagraphFont"/>
    <w:uiPriority w:val="99"/>
    <w:semiHidden/>
    <w:unhideWhenUsed/>
    <w:rPr>
      <w:color w:val="0000FF"/>
      <w:u w:val="none"/>
    </w:rPr>
  </w:style>
  <w:style w:type="character" w:customStyle="1" w:styleId="Footnote8pt">
    <w:name w:val="Footnote8pt"/>
    <w:basedOn w:val="DefaultParagraphFont"/>
    <w:uiPriority w:val="1"/>
    <w:qFormat/>
    <w:rPr>
      <w:rFonts w:ascii="Times New Roman" w:hAnsi="Times New Roman"/>
      <w:color w:val="auto"/>
      <w:sz w:val="16"/>
      <w:lang w:val="is-IS"/>
    </w:rPr>
  </w:style>
  <w:style w:type="character" w:customStyle="1" w:styleId="Footnote7pt">
    <w:name w:val="Footnote7pt"/>
    <w:basedOn w:val="DefaultParagraphFont"/>
    <w:uiPriority w:val="1"/>
    <w:qFormat/>
    <w:rPr>
      <w:rFonts w:ascii="Times New Roman" w:hAnsi="Times New Roman"/>
      <w:color w:val="auto"/>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1E45D-B5C7-4E72-BB9C-2669E712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18</Pages>
  <Words>4963</Words>
  <Characters>28294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amplexor</Company>
  <LinksUpToDate>false</LinksUpToDate>
  <CharactersWithSpaces>33191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EFTA</dc:creator>
  <cp:lastModifiedBy>Thiyagarajan, Vijayakumar</cp:lastModifiedBy>
  <cp:revision>320</cp:revision>
  <cp:lastPrinted>2017-02-23T13:37:00Z</cp:lastPrinted>
  <dcterms:created xsi:type="dcterms:W3CDTF">2016-11-02T11:36:00Z</dcterms:created>
  <dcterms:modified xsi:type="dcterms:W3CDTF">2020-09-21T13:10:00Z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_date">
    <vt:lpwstr>27.10.2016</vt:lpwstr>
  </property>
  <property fmtid="{D5CDD505-2E9C-101B-9397-08002B2CF9AE}" pid="3" name="volume">
    <vt:lpwstr>56</vt:lpwstr>
  </property>
  <property fmtid="{D5CDD505-2E9C-101B-9397-08002B2CF9AE}" pid="4" name="rhead">
    <vt:lpwstr>EØS-tillegget til Den europeiske unions tidende</vt:lpwstr>
  </property>
  <property fmtid="{D5CDD505-2E9C-101B-9397-08002B2CF9AE}" pid="5" name="producer">
    <vt:lpwstr>amplexor</vt:lpwstr>
  </property>
  <property fmtid="{D5CDD505-2E9C-101B-9397-08002B2CF9AE}" pid="6" name="issue_nr">
    <vt:lpwstr>23</vt:lpwstr>
  </property>
</Properties>
</file>