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A193" w14:textId="77777777" w:rsidR="00D911B9" w:rsidRPr="00D911B9" w:rsidRDefault="00D911B9" w:rsidP="00D911B9">
      <w:pPr>
        <w:spacing w:after="0" w:line="240" w:lineRule="auto"/>
        <w:jc w:val="both"/>
        <w:rPr>
          <w:rFonts w:ascii="Times New Roman" w:eastAsia="Calibri" w:hAnsi="Times New Roman" w:cs="Times New Roman"/>
          <w:b/>
          <w:sz w:val="21"/>
        </w:rPr>
      </w:pPr>
      <w:bookmarkStart w:id="0" w:name="_Toc303616026"/>
      <w:bookmarkStart w:id="1" w:name="_Toc303616027"/>
      <w:bookmarkStart w:id="2" w:name="_Hlk528327003"/>
      <w:bookmarkStart w:id="3" w:name="_Hlk529277879"/>
      <w:r w:rsidRPr="00D911B9">
        <w:rPr>
          <w:rFonts w:ascii="Times New Roman" w:eastAsia="Calibri" w:hAnsi="Times New Roman" w:cs="Times New Roman"/>
          <w:b/>
          <w:sz w:val="21"/>
        </w:rPr>
        <w:t>149. löggjafarþing 201</w:t>
      </w:r>
      <w:bookmarkEnd w:id="0"/>
      <w:r w:rsidRPr="00D911B9">
        <w:rPr>
          <w:rFonts w:ascii="Times New Roman" w:eastAsia="Calibri" w:hAnsi="Times New Roman" w:cs="Times New Roman"/>
          <w:b/>
          <w:sz w:val="21"/>
        </w:rPr>
        <w:t xml:space="preserve">8–2019. </w:t>
      </w:r>
    </w:p>
    <w:p w14:paraId="65DE589F"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Þingskjal x — x. mál</w:t>
      </w:r>
      <w:bookmarkEnd w:id="1"/>
      <w:r w:rsidRPr="00D911B9">
        <w:rPr>
          <w:rFonts w:ascii="Times New Roman" w:eastAsia="Calibri" w:hAnsi="Times New Roman" w:cs="Times New Roman"/>
          <w:b/>
          <w:sz w:val="21"/>
        </w:rPr>
        <w:t>.</w:t>
      </w:r>
    </w:p>
    <w:p w14:paraId="1DFAABE6"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Stjórnarfrumvarp. </w:t>
      </w:r>
    </w:p>
    <w:p w14:paraId="34A14BC1" w14:textId="77777777" w:rsidR="00D911B9" w:rsidRPr="00D911B9" w:rsidRDefault="00D911B9" w:rsidP="00D911B9">
      <w:pPr>
        <w:spacing w:before="480" w:after="240" w:line="240" w:lineRule="auto"/>
        <w:jc w:val="center"/>
        <w:outlineLvl w:val="0"/>
        <w:rPr>
          <w:rFonts w:ascii="Times New Roman" w:eastAsia="Calibri" w:hAnsi="Times New Roman" w:cs="Times New Roman"/>
          <w:b/>
          <w:sz w:val="32"/>
        </w:rPr>
      </w:pPr>
      <w:r w:rsidRPr="00D911B9">
        <w:rPr>
          <w:rFonts w:ascii="Times New Roman" w:eastAsia="Calibri" w:hAnsi="Times New Roman" w:cs="Times New Roman"/>
          <w:b/>
          <w:sz w:val="32"/>
        </w:rPr>
        <w:t>Frumvarp til laga</w:t>
      </w:r>
    </w:p>
    <w:p w14:paraId="2AE4039B" w14:textId="77777777" w:rsidR="00D911B9" w:rsidRPr="00D911B9" w:rsidRDefault="00D911B9" w:rsidP="00D911B9">
      <w:pPr>
        <w:spacing w:after="0" w:line="240" w:lineRule="auto"/>
        <w:jc w:val="center"/>
        <w:rPr>
          <w:rFonts w:ascii="Times New Roman" w:eastAsia="Calibri" w:hAnsi="Times New Roman" w:cs="Times New Roman"/>
          <w:b/>
          <w:sz w:val="21"/>
        </w:rPr>
      </w:pPr>
      <w:r w:rsidRPr="00D911B9">
        <w:rPr>
          <w:rFonts w:ascii="Times New Roman" w:eastAsia="Calibri" w:hAnsi="Times New Roman" w:cs="Times New Roman"/>
          <w:b/>
          <w:sz w:val="21"/>
        </w:rPr>
        <w:t xml:space="preserve">um </w:t>
      </w:r>
      <w:proofErr w:type="spellStart"/>
      <w:r w:rsidRPr="00D911B9">
        <w:rPr>
          <w:rFonts w:ascii="Times New Roman" w:eastAsia="Calibri" w:hAnsi="Times New Roman" w:cs="Times New Roman"/>
          <w:b/>
          <w:sz w:val="21"/>
        </w:rPr>
        <w:t>milligjöld</w:t>
      </w:r>
      <w:proofErr w:type="spellEnd"/>
      <w:r w:rsidRPr="00D911B9">
        <w:rPr>
          <w:rFonts w:ascii="Times New Roman" w:eastAsia="Calibri" w:hAnsi="Times New Roman" w:cs="Times New Roman"/>
          <w:b/>
          <w:sz w:val="21"/>
        </w:rPr>
        <w:t xml:space="preserve"> fyrir kortatengdar greiðslur.</w:t>
      </w:r>
    </w:p>
    <w:p w14:paraId="086B18A5"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0F9D226C" w14:textId="77777777"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Frá fjármála- og efnahagsráðherra. </w:t>
      </w:r>
    </w:p>
    <w:p w14:paraId="1A3E50B8"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63AB6142"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40BF0694" w14:textId="77777777" w:rsidR="00D911B9" w:rsidRPr="00D911B9" w:rsidRDefault="00D911B9" w:rsidP="00D911B9">
      <w:pPr>
        <w:spacing w:after="0" w:line="240" w:lineRule="auto"/>
        <w:jc w:val="center"/>
        <w:rPr>
          <w:rFonts w:ascii="Times New Roman" w:eastAsia="Calibri" w:hAnsi="Times New Roman" w:cs="Times New Roman"/>
          <w:sz w:val="21"/>
        </w:rPr>
      </w:pPr>
      <w:bookmarkStart w:id="4" w:name="_Hlk529348635"/>
      <w:r w:rsidRPr="00D911B9">
        <w:rPr>
          <w:rFonts w:ascii="Times New Roman" w:eastAsia="Calibri" w:hAnsi="Times New Roman" w:cs="Times New Roman"/>
          <w:sz w:val="21"/>
        </w:rPr>
        <w:t>1. gr.</w:t>
      </w:r>
    </w:p>
    <w:p w14:paraId="7B6C414A" w14:textId="77777777" w:rsidR="00D911B9" w:rsidRPr="00D911B9" w:rsidRDefault="00D911B9" w:rsidP="00D911B9">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Lögfesting.</w:t>
      </w:r>
    </w:p>
    <w:p w14:paraId="0311B8CF" w14:textId="77777777" w:rsidR="00D911B9" w:rsidRP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 xml:space="preserve">Reglugerð Evrópuþingsins og ráðsins (ESB) 2015/751 frá 29. apríl 2015 um </w:t>
      </w:r>
      <w:proofErr w:type="spellStart"/>
      <w:r w:rsidRPr="00D911B9">
        <w:rPr>
          <w:rFonts w:ascii="Times New Roman" w:eastAsia="Calibri" w:hAnsi="Times New Roman" w:cs="Times New Roman"/>
          <w:color w:val="242424"/>
          <w:sz w:val="21"/>
          <w:shd w:val="clear" w:color="auto" w:fill="FFFFFF"/>
        </w:rPr>
        <w:t>milligjöld</w:t>
      </w:r>
      <w:proofErr w:type="spellEnd"/>
      <w:r w:rsidRPr="00D911B9">
        <w:rPr>
          <w:rFonts w:ascii="Times New Roman" w:eastAsia="Calibri" w:hAnsi="Times New Roman" w:cs="Times New Roman"/>
          <w:color w:val="242424"/>
          <w:sz w:val="21"/>
          <w:shd w:val="clear" w:color="auto" w:fill="FFFFFF"/>
        </w:rPr>
        <w:t xml:space="preserve"> fyrir kortatengdar greiðslur, með þeim aðlögunum sem leiðir af bókun 1 um altæka aðlögun við samninginn um Evrópska efnahagssvæðið og ákvörðun sameiginlegu EES-nefndarinnar nr. [ ] frá [ ], hefur lagagildi. Reglugerðin er birt á bls. [ ] í EES-viðbæti við Stjórnartíðindi Evrópusambandsins nr. [ ] frá [ ]. Ákvörðunin er birt á bls. [ ] í EES-viðbæti við Stjórnartíðindi Evrópusambandsins nr. [ ] frá [ ].</w:t>
      </w:r>
    </w:p>
    <w:p w14:paraId="59EB99AA" w14:textId="77777777" w:rsidR="00D911B9" w:rsidRPr="00D911B9" w:rsidRDefault="00D911B9" w:rsidP="00D911B9">
      <w:pPr>
        <w:spacing w:after="0" w:line="240" w:lineRule="auto"/>
        <w:jc w:val="both"/>
        <w:rPr>
          <w:rFonts w:ascii="Times New Roman" w:eastAsia="Calibri" w:hAnsi="Times New Roman" w:cs="Times New Roman"/>
          <w:color w:val="242424"/>
          <w:sz w:val="21"/>
          <w:shd w:val="clear" w:color="auto" w:fill="FFFFFF"/>
        </w:rPr>
      </w:pPr>
    </w:p>
    <w:p w14:paraId="3E72FF01" w14:textId="77777777"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2. gr.</w:t>
      </w:r>
    </w:p>
    <w:p w14:paraId="5CAD9796" w14:textId="2485FFD4" w:rsidR="00D911B9" w:rsidRPr="00D911B9" w:rsidRDefault="00D911B9" w:rsidP="00D911B9">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Eftirlit</w:t>
      </w:r>
      <w:r w:rsidR="00680F61">
        <w:rPr>
          <w:rFonts w:ascii="Times New Roman" w:eastAsia="Calibri" w:hAnsi="Times New Roman" w:cs="Times New Roman"/>
          <w:i/>
          <w:sz w:val="21"/>
        </w:rPr>
        <w:t>.</w:t>
      </w:r>
    </w:p>
    <w:p w14:paraId="0A9D479D" w14:textId="7D1B5039" w:rsid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Fjármálaeftirlitið hefur eftirlit með því að farið sé að lögum þessum</w:t>
      </w:r>
      <w:r w:rsidR="00680F61">
        <w:rPr>
          <w:rFonts w:ascii="Times New Roman" w:eastAsia="Calibri" w:hAnsi="Times New Roman" w:cs="Times New Roman"/>
          <w:color w:val="242424"/>
          <w:sz w:val="21"/>
          <w:shd w:val="clear" w:color="auto" w:fill="FFFFFF"/>
        </w:rPr>
        <w:t>.</w:t>
      </w:r>
    </w:p>
    <w:p w14:paraId="4292C794" w14:textId="4BC10172" w:rsidR="00EC28CF" w:rsidRDefault="00EC28CF" w:rsidP="00EC28CF">
      <w:pPr>
        <w:spacing w:after="0" w:line="240" w:lineRule="auto"/>
        <w:ind w:firstLine="284"/>
        <w:jc w:val="both"/>
        <w:rPr>
          <w:rFonts w:ascii="Times New Roman" w:eastAsia="Calibri" w:hAnsi="Times New Roman" w:cs="Times New Roman"/>
          <w:color w:val="242424"/>
          <w:sz w:val="21"/>
          <w:shd w:val="clear" w:color="auto" w:fill="FFFFFF"/>
        </w:rPr>
      </w:pPr>
      <w:r w:rsidRPr="001534C0">
        <w:rPr>
          <w:rFonts w:ascii="Times New Roman" w:eastAsia="Calibri" w:hAnsi="Times New Roman" w:cs="Times New Roman"/>
          <w:color w:val="242424"/>
          <w:sz w:val="21"/>
          <w:shd w:val="clear" w:color="auto" w:fill="FFFFFF"/>
        </w:rPr>
        <w:t>Neytendastofa hefur</w:t>
      </w:r>
      <w:r>
        <w:rPr>
          <w:rFonts w:ascii="Times New Roman" w:eastAsia="Calibri" w:hAnsi="Times New Roman" w:cs="Times New Roman"/>
          <w:color w:val="242424"/>
          <w:sz w:val="21"/>
          <w:shd w:val="clear" w:color="auto" w:fill="FFFFFF"/>
        </w:rPr>
        <w:t xml:space="preserve"> þó</w:t>
      </w:r>
      <w:r w:rsidRPr="001534C0">
        <w:rPr>
          <w:rFonts w:ascii="Times New Roman" w:eastAsia="Calibri" w:hAnsi="Times New Roman" w:cs="Times New Roman"/>
          <w:color w:val="242424"/>
          <w:sz w:val="21"/>
          <w:shd w:val="clear" w:color="auto" w:fill="FFFFFF"/>
        </w:rPr>
        <w:t xml:space="preserve"> eftirlit með því að farið sé að 4. mgr. 10. gr. reglugerðar (ESB) 2015/751</w:t>
      </w:r>
      <w:r>
        <w:rPr>
          <w:rFonts w:ascii="Times New Roman" w:eastAsia="Calibri" w:hAnsi="Times New Roman" w:cs="Times New Roman"/>
          <w:color w:val="242424"/>
          <w:sz w:val="21"/>
          <w:shd w:val="clear" w:color="auto" w:fill="FFFFFF"/>
        </w:rPr>
        <w:t xml:space="preserve"> um </w:t>
      </w:r>
      <w:r w:rsidRPr="00F223E7">
        <w:rPr>
          <w:rFonts w:ascii="Times New Roman" w:eastAsia="Calibri" w:hAnsi="Times New Roman" w:cs="Times New Roman"/>
          <w:sz w:val="21"/>
        </w:rPr>
        <w:t>merking</w:t>
      </w:r>
      <w:r>
        <w:rPr>
          <w:rFonts w:ascii="Times New Roman" w:eastAsia="Calibri" w:hAnsi="Times New Roman" w:cs="Times New Roman"/>
          <w:sz w:val="21"/>
        </w:rPr>
        <w:t>ar</w:t>
      </w:r>
      <w:r w:rsidRPr="00F223E7">
        <w:rPr>
          <w:rFonts w:ascii="Times New Roman" w:eastAsia="Calibri" w:hAnsi="Times New Roman" w:cs="Times New Roman"/>
          <w:sz w:val="21"/>
        </w:rPr>
        <w:t xml:space="preserve"> söluaðila um viðtöku korta</w:t>
      </w:r>
      <w:r w:rsidRPr="001534C0">
        <w:rPr>
          <w:rFonts w:ascii="Times New Roman" w:eastAsia="Calibri" w:hAnsi="Times New Roman" w:cs="Times New Roman"/>
          <w:color w:val="242424"/>
          <w:sz w:val="21"/>
          <w:shd w:val="clear" w:color="auto" w:fill="FFFFFF"/>
        </w:rPr>
        <w:t>. Um eftirlit</w:t>
      </w:r>
      <w:r>
        <w:rPr>
          <w:rFonts w:ascii="Times New Roman" w:eastAsia="Calibri" w:hAnsi="Times New Roman" w:cs="Times New Roman"/>
          <w:color w:val="242424"/>
          <w:sz w:val="21"/>
          <w:shd w:val="clear" w:color="auto" w:fill="FFFFFF"/>
        </w:rPr>
        <w:t xml:space="preserve"> Neytendastofu</w:t>
      </w:r>
      <w:r w:rsidRPr="001534C0">
        <w:rPr>
          <w:rFonts w:ascii="Times New Roman" w:eastAsia="Calibri" w:hAnsi="Times New Roman" w:cs="Times New Roman"/>
          <w:color w:val="242424"/>
          <w:sz w:val="21"/>
          <w:shd w:val="clear" w:color="auto" w:fill="FFFFFF"/>
        </w:rPr>
        <w:t xml:space="preserve"> fer samkvæmt lögum um eftirlit með viðskiptaháttum og markaðssetningu eftir því sem við getur átt, þar á meðal varðandi kærur</w:t>
      </w:r>
      <w:r>
        <w:rPr>
          <w:rFonts w:ascii="Times New Roman" w:eastAsia="Calibri" w:hAnsi="Times New Roman" w:cs="Times New Roman"/>
          <w:color w:val="242424"/>
          <w:sz w:val="21"/>
          <w:shd w:val="clear" w:color="auto" w:fill="FFFFFF"/>
        </w:rPr>
        <w:t xml:space="preserve">étt, </w:t>
      </w:r>
      <w:r w:rsidRPr="001534C0">
        <w:rPr>
          <w:rFonts w:ascii="Times New Roman" w:eastAsia="Calibri" w:hAnsi="Times New Roman" w:cs="Times New Roman"/>
          <w:color w:val="242424"/>
          <w:sz w:val="21"/>
          <w:shd w:val="clear" w:color="auto" w:fill="FFFFFF"/>
        </w:rPr>
        <w:t>öflun upplýsinga</w:t>
      </w:r>
      <w:r>
        <w:rPr>
          <w:rFonts w:ascii="Times New Roman" w:eastAsia="Calibri" w:hAnsi="Times New Roman" w:cs="Times New Roman"/>
          <w:color w:val="242424"/>
          <w:sz w:val="21"/>
          <w:shd w:val="clear" w:color="auto" w:fill="FFFFFF"/>
        </w:rPr>
        <w:t xml:space="preserve"> og gagna</w:t>
      </w:r>
      <w:r w:rsidRPr="001534C0">
        <w:rPr>
          <w:rFonts w:ascii="Times New Roman" w:eastAsia="Calibri" w:hAnsi="Times New Roman" w:cs="Times New Roman"/>
          <w:color w:val="242424"/>
          <w:sz w:val="21"/>
          <w:shd w:val="clear" w:color="auto" w:fill="FFFFFF"/>
        </w:rPr>
        <w:t xml:space="preserve"> og þvingunarúrræði Neytendastofu. </w:t>
      </w:r>
    </w:p>
    <w:p w14:paraId="4ED0F7A6" w14:textId="77777777" w:rsidR="00D911B9" w:rsidRPr="00D911B9" w:rsidRDefault="00D911B9" w:rsidP="00D911B9">
      <w:pPr>
        <w:spacing w:after="0" w:line="240" w:lineRule="auto"/>
        <w:rPr>
          <w:rFonts w:ascii="Times New Roman" w:eastAsia="Calibri" w:hAnsi="Times New Roman" w:cs="Times New Roman"/>
          <w:sz w:val="21"/>
        </w:rPr>
      </w:pPr>
    </w:p>
    <w:p w14:paraId="41B97C30" w14:textId="77777777" w:rsidR="00D911B9" w:rsidRPr="00D911B9" w:rsidRDefault="00D911B9" w:rsidP="00D911B9">
      <w:pPr>
        <w:spacing w:after="0" w:line="240" w:lineRule="auto"/>
        <w:jc w:val="center"/>
        <w:rPr>
          <w:rFonts w:ascii="Times New Roman" w:eastAsia="Calibri" w:hAnsi="Times New Roman" w:cs="Times New Roman"/>
          <w:sz w:val="21"/>
        </w:rPr>
      </w:pPr>
      <w:bookmarkStart w:id="5" w:name="_Hlk529367777"/>
      <w:bookmarkStart w:id="6" w:name="_Hlk528238678"/>
      <w:bookmarkStart w:id="7" w:name="_Hlk527722736"/>
      <w:r w:rsidRPr="00D911B9">
        <w:rPr>
          <w:rFonts w:ascii="Times New Roman" w:eastAsia="Calibri" w:hAnsi="Times New Roman" w:cs="Times New Roman"/>
          <w:sz w:val="21"/>
        </w:rPr>
        <w:t>3. gr.</w:t>
      </w:r>
    </w:p>
    <w:p w14:paraId="03DE11F6" w14:textId="41321B43" w:rsidR="00D911B9" w:rsidRPr="00D911B9" w:rsidRDefault="00D911B9" w:rsidP="00D911B9">
      <w:pPr>
        <w:spacing w:after="0" w:line="240" w:lineRule="auto"/>
        <w:jc w:val="center"/>
        <w:rPr>
          <w:rFonts w:ascii="Times New Roman" w:eastAsia="Calibri" w:hAnsi="Times New Roman" w:cs="Times New Roman"/>
          <w:i/>
          <w:sz w:val="21"/>
        </w:rPr>
      </w:pPr>
      <w:bookmarkStart w:id="8" w:name="_Hlk528066903"/>
      <w:r w:rsidRPr="00D911B9">
        <w:rPr>
          <w:rFonts w:ascii="Times New Roman" w:eastAsia="Calibri" w:hAnsi="Times New Roman" w:cs="Times New Roman"/>
          <w:i/>
          <w:sz w:val="21"/>
        </w:rPr>
        <w:t>Stjórnvaldssekt.</w:t>
      </w:r>
    </w:p>
    <w:p w14:paraId="7963B9A5" w14:textId="38BBB17F" w:rsidR="00D911B9" w:rsidRDefault="00D911B9" w:rsidP="00D911B9">
      <w:pPr>
        <w:spacing w:after="0" w:line="240" w:lineRule="auto"/>
        <w:ind w:firstLine="284"/>
        <w:jc w:val="both"/>
        <w:rPr>
          <w:rFonts w:ascii="Times New Roman" w:eastAsia="Calibri" w:hAnsi="Times New Roman" w:cs="Times New Roman"/>
          <w:sz w:val="21"/>
        </w:rPr>
      </w:pPr>
      <w:bookmarkStart w:id="9" w:name="_Hlk529273467"/>
      <w:r w:rsidRPr="00D911B9">
        <w:rPr>
          <w:rFonts w:ascii="Times New Roman" w:eastAsia="Calibri" w:hAnsi="Times New Roman" w:cs="Times New Roman"/>
          <w:color w:val="242424"/>
          <w:sz w:val="21"/>
          <w:shd w:val="clear" w:color="auto" w:fill="FFFFFF"/>
        </w:rPr>
        <w:t xml:space="preserve">Fjármálaeftirlitið getur lagt stjórnvaldssekt á einstakling og lögaðila sem af ásetningi eða gáleysi brýtur gegn </w:t>
      </w:r>
      <w:r w:rsidR="004A1B31">
        <w:rPr>
          <w:rFonts w:ascii="Times New Roman" w:eastAsia="Calibri" w:hAnsi="Times New Roman" w:cs="Times New Roman"/>
          <w:sz w:val="21"/>
        </w:rPr>
        <w:t xml:space="preserve">eftirtöldum </w:t>
      </w:r>
      <w:r w:rsidR="001005DB">
        <w:rPr>
          <w:rFonts w:ascii="Times New Roman" w:eastAsia="Calibri" w:hAnsi="Times New Roman" w:cs="Times New Roman"/>
          <w:sz w:val="21"/>
        </w:rPr>
        <w:t>greinum</w:t>
      </w:r>
      <w:r w:rsidRPr="00D911B9">
        <w:rPr>
          <w:rFonts w:ascii="Times New Roman" w:eastAsia="Calibri" w:hAnsi="Times New Roman" w:cs="Times New Roman"/>
          <w:sz w:val="21"/>
        </w:rPr>
        <w:t xml:space="preserve"> reglugerðar (ESB) 2015/751</w:t>
      </w:r>
      <w:r w:rsidR="004A1B31">
        <w:rPr>
          <w:rFonts w:ascii="Times New Roman" w:eastAsia="Calibri" w:hAnsi="Times New Roman" w:cs="Times New Roman"/>
          <w:sz w:val="21"/>
        </w:rPr>
        <w:t>:</w:t>
      </w:r>
    </w:p>
    <w:p w14:paraId="1F41E88E" w14:textId="1DB6D55E" w:rsidR="004A1B31" w:rsidRDefault="004A1B31"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 xml:space="preserve">1. 3. gr. um </w:t>
      </w:r>
      <w:proofErr w:type="spellStart"/>
      <w:r>
        <w:rPr>
          <w:rFonts w:ascii="Times New Roman" w:eastAsia="Calibri" w:hAnsi="Times New Roman" w:cs="Times New Roman"/>
          <w:color w:val="242424"/>
          <w:sz w:val="21"/>
          <w:shd w:val="clear" w:color="auto" w:fill="FFFFFF"/>
        </w:rPr>
        <w:t>milligj</w:t>
      </w:r>
      <w:r w:rsidR="001005DB">
        <w:rPr>
          <w:rFonts w:ascii="Times New Roman" w:eastAsia="Calibri" w:hAnsi="Times New Roman" w:cs="Times New Roman"/>
          <w:color w:val="242424"/>
          <w:sz w:val="21"/>
          <w:shd w:val="clear" w:color="auto" w:fill="FFFFFF"/>
        </w:rPr>
        <w:t>öld</w:t>
      </w:r>
      <w:proofErr w:type="spellEnd"/>
      <w:r>
        <w:rPr>
          <w:rFonts w:ascii="Times New Roman" w:eastAsia="Calibri" w:hAnsi="Times New Roman" w:cs="Times New Roman"/>
          <w:color w:val="242424"/>
          <w:sz w:val="21"/>
          <w:shd w:val="clear" w:color="auto" w:fill="FFFFFF"/>
        </w:rPr>
        <w:t xml:space="preserve"> fyrir debetkortafærslur</w:t>
      </w:r>
      <w:r w:rsidR="001005DB">
        <w:rPr>
          <w:rFonts w:ascii="Times New Roman" w:eastAsia="Calibri" w:hAnsi="Times New Roman" w:cs="Times New Roman"/>
          <w:color w:val="242424"/>
          <w:sz w:val="21"/>
          <w:shd w:val="clear" w:color="auto" w:fill="FFFFFF"/>
        </w:rPr>
        <w:t xml:space="preserve"> neytenda.</w:t>
      </w:r>
    </w:p>
    <w:p w14:paraId="5CCE771D" w14:textId="66E005C2" w:rsidR="004A1B31" w:rsidRDefault="004A1B31"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 xml:space="preserve">2. 4. gr. um </w:t>
      </w:r>
      <w:proofErr w:type="spellStart"/>
      <w:r w:rsidR="001005DB">
        <w:rPr>
          <w:rFonts w:ascii="Times New Roman" w:eastAsia="Calibri" w:hAnsi="Times New Roman" w:cs="Times New Roman"/>
          <w:color w:val="242424"/>
          <w:sz w:val="21"/>
          <w:shd w:val="clear" w:color="auto" w:fill="FFFFFF"/>
        </w:rPr>
        <w:t>milligjöld</w:t>
      </w:r>
      <w:proofErr w:type="spellEnd"/>
      <w:r w:rsidR="001005DB">
        <w:rPr>
          <w:rFonts w:ascii="Times New Roman" w:eastAsia="Calibri" w:hAnsi="Times New Roman" w:cs="Times New Roman"/>
          <w:color w:val="242424"/>
          <w:sz w:val="21"/>
          <w:shd w:val="clear" w:color="auto" w:fill="FFFFFF"/>
        </w:rPr>
        <w:t xml:space="preserve"> </w:t>
      </w:r>
      <w:r>
        <w:rPr>
          <w:rFonts w:ascii="Times New Roman" w:eastAsia="Calibri" w:hAnsi="Times New Roman" w:cs="Times New Roman"/>
          <w:color w:val="242424"/>
          <w:sz w:val="21"/>
          <w:shd w:val="clear" w:color="auto" w:fill="FFFFFF"/>
        </w:rPr>
        <w:t>fyrir kreditkortafærslur</w:t>
      </w:r>
      <w:r w:rsidR="001005DB">
        <w:rPr>
          <w:rFonts w:ascii="Times New Roman" w:eastAsia="Calibri" w:hAnsi="Times New Roman" w:cs="Times New Roman"/>
          <w:color w:val="242424"/>
          <w:sz w:val="21"/>
          <w:shd w:val="clear" w:color="auto" w:fill="FFFFFF"/>
        </w:rPr>
        <w:t xml:space="preserve"> neytenda</w:t>
      </w:r>
      <w:r>
        <w:rPr>
          <w:rFonts w:ascii="Times New Roman" w:eastAsia="Calibri" w:hAnsi="Times New Roman" w:cs="Times New Roman"/>
          <w:color w:val="242424"/>
          <w:sz w:val="21"/>
          <w:shd w:val="clear" w:color="auto" w:fill="FFFFFF"/>
        </w:rPr>
        <w:t>.</w:t>
      </w:r>
    </w:p>
    <w:p w14:paraId="1A087968" w14:textId="7947BE96" w:rsidR="001005DB" w:rsidRDefault="001005DB"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3. 6. gr. um leyfisveiting</w:t>
      </w:r>
      <w:r w:rsidR="00035CA6">
        <w:rPr>
          <w:rFonts w:ascii="Times New Roman" w:eastAsia="Calibri" w:hAnsi="Times New Roman" w:cs="Times New Roman"/>
          <w:color w:val="242424"/>
          <w:sz w:val="21"/>
          <w:shd w:val="clear" w:color="auto" w:fill="FFFFFF"/>
        </w:rPr>
        <w:t>u</w:t>
      </w:r>
      <w:r>
        <w:rPr>
          <w:rFonts w:ascii="Times New Roman" w:eastAsia="Calibri" w:hAnsi="Times New Roman" w:cs="Times New Roman"/>
          <w:color w:val="242424"/>
          <w:sz w:val="21"/>
          <w:shd w:val="clear" w:color="auto" w:fill="FFFFFF"/>
        </w:rPr>
        <w:t>.</w:t>
      </w:r>
    </w:p>
    <w:p w14:paraId="631AC80B" w14:textId="3B49E1A8" w:rsidR="001005DB" w:rsidRDefault="001005DB"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4. 7. gr. um aðgreiningu greiðslukortakerfa og vinnslueininga.</w:t>
      </w:r>
    </w:p>
    <w:p w14:paraId="1C62BF61" w14:textId="64225138" w:rsidR="001005DB" w:rsidRDefault="001005DB"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5. 8. gr. um kortasamstarf og val á greiðsluvörumerki eða greiðsluhugbúnaði.</w:t>
      </w:r>
    </w:p>
    <w:p w14:paraId="1392B779" w14:textId="43C8A5EA" w:rsidR="00BF5894" w:rsidRDefault="00BF5894"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6. 9. gr. um aðgreiningu gjalda.</w:t>
      </w:r>
    </w:p>
    <w:p w14:paraId="0391D9C1" w14:textId="6F0FDD05" w:rsidR="00147A8A" w:rsidRDefault="00147A8A"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 xml:space="preserve">7. 10. gr. um regluna um að taka við öllum kortum, </w:t>
      </w:r>
      <w:r w:rsidR="00035CA6">
        <w:rPr>
          <w:rFonts w:ascii="Times New Roman" w:eastAsia="Calibri" w:hAnsi="Times New Roman" w:cs="Times New Roman"/>
          <w:color w:val="242424"/>
          <w:sz w:val="21"/>
          <w:shd w:val="clear" w:color="auto" w:fill="FFFFFF"/>
        </w:rPr>
        <w:t>að 4. mgr. frátalinni.</w:t>
      </w:r>
    </w:p>
    <w:p w14:paraId="02E20E0B" w14:textId="2B63A9C6" w:rsidR="0042081C" w:rsidRDefault="0042081C"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8. 11. gr. um reglur um stýringu.</w:t>
      </w:r>
    </w:p>
    <w:p w14:paraId="2974D185" w14:textId="1D3992F6" w:rsidR="0042081C" w:rsidRPr="00D911B9" w:rsidRDefault="0042081C"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9. 12. gr. um upplýsingar til viðtakanda greiðslu um einstakar kortatengdar greiðslur.</w:t>
      </w:r>
    </w:p>
    <w:bookmarkEnd w:id="9"/>
    <w:p w14:paraId="61C1E7A5" w14:textId="33FC7DB0" w:rsidR="004E3FBE" w:rsidRDefault="00E33541" w:rsidP="004E3FBE">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 xml:space="preserve">Stjórnvaldssekt sem </w:t>
      </w:r>
      <w:r>
        <w:rPr>
          <w:rFonts w:ascii="Times New Roman" w:eastAsia="Calibri" w:hAnsi="Times New Roman" w:cs="Times New Roman"/>
          <w:color w:val="242424"/>
          <w:sz w:val="21"/>
          <w:shd w:val="clear" w:color="auto" w:fill="FFFFFF"/>
        </w:rPr>
        <w:t>Fjármálaeftirlitið leggur</w:t>
      </w:r>
      <w:r w:rsidRPr="00D911B9">
        <w:rPr>
          <w:rFonts w:ascii="Times New Roman" w:eastAsia="Calibri" w:hAnsi="Times New Roman" w:cs="Times New Roman"/>
          <w:color w:val="242424"/>
          <w:sz w:val="21"/>
          <w:shd w:val="clear" w:color="auto" w:fill="FFFFFF"/>
        </w:rPr>
        <w:t xml:space="preserve"> á einstakling getur numið frá 100 þús. kr. til 65 </w:t>
      </w:r>
      <w:proofErr w:type="spellStart"/>
      <w:r w:rsidRPr="00D911B9">
        <w:rPr>
          <w:rFonts w:ascii="Times New Roman" w:eastAsia="Calibri" w:hAnsi="Times New Roman" w:cs="Times New Roman"/>
          <w:color w:val="242424"/>
          <w:sz w:val="21"/>
          <w:shd w:val="clear" w:color="auto" w:fill="FFFFFF"/>
        </w:rPr>
        <w:t>millj</w:t>
      </w:r>
      <w:proofErr w:type="spellEnd"/>
      <w:r w:rsidRPr="00D911B9">
        <w:rPr>
          <w:rFonts w:ascii="Times New Roman" w:eastAsia="Calibri" w:hAnsi="Times New Roman" w:cs="Times New Roman"/>
          <w:color w:val="242424"/>
          <w:sz w:val="21"/>
          <w:shd w:val="clear" w:color="auto" w:fill="FFFFFF"/>
        </w:rPr>
        <w:t xml:space="preserve">. kr. eða allt að tvöföldum ávinningi hans af broti ef sú fjárhæð er hærri. Stjórnvaldssekt sem </w:t>
      </w:r>
      <w:r>
        <w:rPr>
          <w:rFonts w:ascii="Times New Roman" w:eastAsia="Calibri" w:hAnsi="Times New Roman" w:cs="Times New Roman"/>
          <w:color w:val="242424"/>
          <w:sz w:val="21"/>
          <w:shd w:val="clear" w:color="auto" w:fill="FFFFFF"/>
        </w:rPr>
        <w:t>Fjármálaeftirlitið leggur</w:t>
      </w:r>
      <w:r w:rsidRPr="00D911B9">
        <w:rPr>
          <w:rFonts w:ascii="Times New Roman" w:eastAsia="Calibri" w:hAnsi="Times New Roman" w:cs="Times New Roman"/>
          <w:color w:val="242424"/>
          <w:sz w:val="21"/>
          <w:shd w:val="clear" w:color="auto" w:fill="FFFFFF"/>
        </w:rPr>
        <w:t xml:space="preserve"> á lögaðila getur numið frá 500 þús. kr. til 800 </w:t>
      </w:r>
      <w:proofErr w:type="spellStart"/>
      <w:r w:rsidRPr="00D911B9">
        <w:rPr>
          <w:rFonts w:ascii="Times New Roman" w:eastAsia="Calibri" w:hAnsi="Times New Roman" w:cs="Times New Roman"/>
          <w:color w:val="242424"/>
          <w:sz w:val="21"/>
          <w:shd w:val="clear" w:color="auto" w:fill="FFFFFF"/>
        </w:rPr>
        <w:t>millj</w:t>
      </w:r>
      <w:proofErr w:type="spellEnd"/>
      <w:r w:rsidRPr="00D911B9">
        <w:rPr>
          <w:rFonts w:ascii="Times New Roman" w:eastAsia="Calibri" w:hAnsi="Times New Roman" w:cs="Times New Roman"/>
          <w:color w:val="242424"/>
          <w:sz w:val="21"/>
          <w:shd w:val="clear" w:color="auto" w:fill="FFFFFF"/>
        </w:rPr>
        <w:t xml:space="preserve">. kr. eða allt að tvöföldum ávinningi hans af broti eða 10% af heildarveltu samkvæmt </w:t>
      </w:r>
      <w:r w:rsidRPr="00D911B9">
        <w:rPr>
          <w:rFonts w:ascii="Times New Roman" w:eastAsia="Calibri" w:hAnsi="Times New Roman" w:cs="Times New Roman"/>
          <w:color w:val="242424"/>
          <w:sz w:val="21"/>
          <w:shd w:val="clear" w:color="auto" w:fill="FFFFFF"/>
        </w:rPr>
        <w:lastRenderedPageBreak/>
        <w:t>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 ef sú fjárhæð er hærri.</w:t>
      </w:r>
    </w:p>
    <w:p w14:paraId="3FF110BF" w14:textId="58C81E03" w:rsidR="00D5143C" w:rsidRDefault="00D5143C" w:rsidP="00D911B9">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Neytendastofa</w:t>
      </w:r>
      <w:r w:rsidRPr="00D911B9">
        <w:rPr>
          <w:rFonts w:ascii="Times New Roman" w:eastAsia="Calibri" w:hAnsi="Times New Roman" w:cs="Times New Roman"/>
          <w:color w:val="242424"/>
          <w:sz w:val="21"/>
          <w:shd w:val="clear" w:color="auto" w:fill="FFFFFF"/>
        </w:rPr>
        <w:t xml:space="preserve"> getur lagt</w:t>
      </w:r>
      <w:r w:rsidR="004D5F45">
        <w:rPr>
          <w:rFonts w:ascii="Times New Roman" w:eastAsia="Calibri" w:hAnsi="Times New Roman" w:cs="Times New Roman"/>
          <w:color w:val="242424"/>
          <w:sz w:val="21"/>
          <w:shd w:val="clear" w:color="auto" w:fill="FFFFFF"/>
        </w:rPr>
        <w:t xml:space="preserve"> allt að 10 </w:t>
      </w:r>
      <w:proofErr w:type="spellStart"/>
      <w:r w:rsidR="004D5F45">
        <w:rPr>
          <w:rFonts w:ascii="Times New Roman" w:eastAsia="Calibri" w:hAnsi="Times New Roman" w:cs="Times New Roman"/>
          <w:color w:val="242424"/>
          <w:sz w:val="21"/>
          <w:shd w:val="clear" w:color="auto" w:fill="FFFFFF"/>
        </w:rPr>
        <w:t>millj</w:t>
      </w:r>
      <w:proofErr w:type="spellEnd"/>
      <w:r w:rsidR="004D5F45">
        <w:rPr>
          <w:rFonts w:ascii="Times New Roman" w:eastAsia="Calibri" w:hAnsi="Times New Roman" w:cs="Times New Roman"/>
          <w:color w:val="242424"/>
          <w:sz w:val="21"/>
          <w:shd w:val="clear" w:color="auto" w:fill="FFFFFF"/>
        </w:rPr>
        <w:t>. kr.</w:t>
      </w:r>
      <w:r w:rsidRPr="00D911B9">
        <w:rPr>
          <w:rFonts w:ascii="Times New Roman" w:eastAsia="Calibri" w:hAnsi="Times New Roman" w:cs="Times New Roman"/>
          <w:color w:val="242424"/>
          <w:sz w:val="21"/>
          <w:shd w:val="clear" w:color="auto" w:fill="FFFFFF"/>
        </w:rPr>
        <w:t xml:space="preserve"> stjórnvaldssekt á einstakling og lögaðila sem af ásetningi eða gáleysi brýtur gegn </w:t>
      </w:r>
      <w:r w:rsidRPr="001534C0">
        <w:rPr>
          <w:rFonts w:ascii="Times New Roman" w:eastAsia="Calibri" w:hAnsi="Times New Roman" w:cs="Times New Roman"/>
          <w:color w:val="242424"/>
          <w:sz w:val="21"/>
          <w:shd w:val="clear" w:color="auto" w:fill="FFFFFF"/>
        </w:rPr>
        <w:t>4. mgr. 10. gr. reglugerðar (ESB) 2015/751</w:t>
      </w:r>
      <w:r>
        <w:rPr>
          <w:rFonts w:ascii="Times New Roman" w:eastAsia="Calibri" w:hAnsi="Times New Roman" w:cs="Times New Roman"/>
          <w:color w:val="242424"/>
          <w:sz w:val="21"/>
          <w:shd w:val="clear" w:color="auto" w:fill="FFFFFF"/>
        </w:rPr>
        <w:t xml:space="preserve"> um </w:t>
      </w:r>
      <w:r w:rsidRPr="00F223E7">
        <w:rPr>
          <w:rFonts w:ascii="Times New Roman" w:eastAsia="Calibri" w:hAnsi="Times New Roman" w:cs="Times New Roman"/>
          <w:sz w:val="21"/>
        </w:rPr>
        <w:t>merking</w:t>
      </w:r>
      <w:r>
        <w:rPr>
          <w:rFonts w:ascii="Times New Roman" w:eastAsia="Calibri" w:hAnsi="Times New Roman" w:cs="Times New Roman"/>
          <w:sz w:val="21"/>
        </w:rPr>
        <w:t>ar</w:t>
      </w:r>
      <w:r w:rsidRPr="00F223E7">
        <w:rPr>
          <w:rFonts w:ascii="Times New Roman" w:eastAsia="Calibri" w:hAnsi="Times New Roman" w:cs="Times New Roman"/>
          <w:sz w:val="21"/>
        </w:rPr>
        <w:t xml:space="preserve"> söluaðila um viðtöku korta</w:t>
      </w:r>
      <w:r>
        <w:rPr>
          <w:rFonts w:ascii="Times New Roman" w:eastAsia="Calibri" w:hAnsi="Times New Roman" w:cs="Times New Roman"/>
          <w:sz w:val="21"/>
        </w:rPr>
        <w:t>.</w:t>
      </w:r>
    </w:p>
    <w:bookmarkEnd w:id="5"/>
    <w:p w14:paraId="27FCCDAF" w14:textId="68E40DA0" w:rsidR="00077A0E" w:rsidRPr="00D911B9" w:rsidRDefault="00077A0E" w:rsidP="00554459">
      <w:pPr>
        <w:spacing w:after="0" w:line="240" w:lineRule="auto"/>
        <w:ind w:firstLine="284"/>
        <w:jc w:val="both"/>
        <w:rPr>
          <w:rFonts w:ascii="Times New Roman" w:eastAsia="Calibri" w:hAnsi="Times New Roman" w:cs="Times New Roman"/>
          <w:color w:val="242424"/>
          <w:sz w:val="21"/>
          <w:shd w:val="clear" w:color="auto" w:fill="FFFFFF"/>
        </w:rPr>
      </w:pPr>
    </w:p>
    <w:p w14:paraId="428C558A" w14:textId="1F9291A5" w:rsidR="00D24E2D" w:rsidRPr="00D911B9" w:rsidRDefault="00D24E2D" w:rsidP="00D24E2D">
      <w:pPr>
        <w:spacing w:after="0" w:line="240" w:lineRule="auto"/>
        <w:jc w:val="center"/>
        <w:rPr>
          <w:rFonts w:ascii="Times New Roman" w:eastAsia="Calibri" w:hAnsi="Times New Roman" w:cs="Times New Roman"/>
          <w:sz w:val="21"/>
        </w:rPr>
      </w:pPr>
      <w:bookmarkStart w:id="10" w:name="_Hlk529369342"/>
      <w:bookmarkEnd w:id="8"/>
      <w:r>
        <w:rPr>
          <w:rFonts w:ascii="Times New Roman" w:eastAsia="Calibri" w:hAnsi="Times New Roman" w:cs="Times New Roman"/>
          <w:sz w:val="21"/>
        </w:rPr>
        <w:t>4</w:t>
      </w:r>
      <w:r w:rsidRPr="00D911B9">
        <w:rPr>
          <w:rFonts w:ascii="Times New Roman" w:eastAsia="Calibri" w:hAnsi="Times New Roman" w:cs="Times New Roman"/>
          <w:sz w:val="21"/>
        </w:rPr>
        <w:t>. gr.</w:t>
      </w:r>
    </w:p>
    <w:p w14:paraId="1CBA6694" w14:textId="77777777" w:rsidR="00D24E2D" w:rsidRPr="00D911B9" w:rsidRDefault="00D24E2D" w:rsidP="00D24E2D">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Réttur til að fella ekki á sig sök</w:t>
      </w:r>
      <w:r w:rsidRPr="00D911B9">
        <w:rPr>
          <w:rFonts w:ascii="Times New Roman" w:eastAsia="Calibri" w:hAnsi="Times New Roman" w:cs="Times New Roman"/>
          <w:i/>
          <w:sz w:val="21"/>
        </w:rPr>
        <w:t>.</w:t>
      </w:r>
    </w:p>
    <w:p w14:paraId="7EB21BCF" w14:textId="5D9FA569" w:rsidR="007447E8" w:rsidRPr="00D911B9" w:rsidRDefault="00AC49C4" w:rsidP="00D911B9">
      <w:pPr>
        <w:spacing w:after="0" w:line="240" w:lineRule="auto"/>
        <w:ind w:firstLine="284"/>
        <w:jc w:val="both"/>
        <w:rPr>
          <w:rFonts w:ascii="Times New Roman" w:eastAsia="Calibri" w:hAnsi="Times New Roman" w:cs="Times New Roman"/>
          <w:color w:val="242424"/>
          <w:sz w:val="21"/>
          <w:shd w:val="clear" w:color="auto" w:fill="FFFFFF"/>
        </w:rPr>
      </w:pPr>
      <w:bookmarkStart w:id="11" w:name="_Hlk529367136"/>
      <w:bookmarkStart w:id="12" w:name="_Hlk529367149"/>
      <w:r>
        <w:rPr>
          <w:rFonts w:ascii="Times New Roman" w:eastAsia="Calibri" w:hAnsi="Times New Roman" w:cs="Times New Roman"/>
          <w:color w:val="242424"/>
          <w:sz w:val="21"/>
          <w:shd w:val="clear" w:color="auto" w:fill="FFFFFF"/>
        </w:rPr>
        <w:t>E</w:t>
      </w:r>
      <w:r w:rsidR="00D911B9" w:rsidRPr="00D911B9">
        <w:rPr>
          <w:rFonts w:ascii="Times New Roman" w:eastAsia="Calibri" w:hAnsi="Times New Roman" w:cs="Times New Roman"/>
          <w:color w:val="242424"/>
          <w:sz w:val="21"/>
          <w:shd w:val="clear" w:color="auto" w:fill="FFFFFF"/>
        </w:rPr>
        <w:t>instakling</w:t>
      </w:r>
      <w:r w:rsidR="00B646B3">
        <w:rPr>
          <w:rFonts w:ascii="Times New Roman" w:eastAsia="Calibri" w:hAnsi="Times New Roman" w:cs="Times New Roman"/>
          <w:color w:val="242424"/>
          <w:sz w:val="21"/>
          <w:shd w:val="clear" w:color="auto" w:fill="FFFFFF"/>
        </w:rPr>
        <w:t>i</w:t>
      </w:r>
      <w:r w:rsidR="00D911B9" w:rsidRPr="00D911B9">
        <w:rPr>
          <w:rFonts w:ascii="Times New Roman" w:eastAsia="Calibri" w:hAnsi="Times New Roman" w:cs="Times New Roman"/>
          <w:color w:val="242424"/>
          <w:sz w:val="21"/>
          <w:shd w:val="clear" w:color="auto" w:fill="FFFFFF"/>
        </w:rPr>
        <w:t xml:space="preserve"> </w:t>
      </w:r>
      <w:r w:rsidRPr="00D911B9">
        <w:rPr>
          <w:rFonts w:ascii="Times New Roman" w:eastAsia="Calibri" w:hAnsi="Times New Roman" w:cs="Times New Roman"/>
          <w:color w:val="242424"/>
          <w:sz w:val="21"/>
          <w:shd w:val="clear" w:color="auto" w:fill="FFFFFF"/>
        </w:rPr>
        <w:t>sem rökstuddur grunur leikur á að hafi gerst sekur um brot</w:t>
      </w:r>
      <w:r>
        <w:rPr>
          <w:rFonts w:ascii="Times New Roman" w:eastAsia="Calibri" w:hAnsi="Times New Roman" w:cs="Times New Roman"/>
          <w:color w:val="242424"/>
          <w:sz w:val="21"/>
          <w:shd w:val="clear" w:color="auto" w:fill="FFFFFF"/>
        </w:rPr>
        <w:t xml:space="preserve"> sem varðar</w:t>
      </w:r>
      <w:r w:rsidR="00D911B9" w:rsidRPr="00D911B9">
        <w:rPr>
          <w:rFonts w:ascii="Times New Roman" w:eastAsia="Calibri" w:hAnsi="Times New Roman" w:cs="Times New Roman"/>
          <w:color w:val="242424"/>
          <w:sz w:val="21"/>
          <w:shd w:val="clear" w:color="auto" w:fill="FFFFFF"/>
        </w:rPr>
        <w:t xml:space="preserve"> stjórnvaldssekt </w:t>
      </w:r>
      <w:r>
        <w:rPr>
          <w:rFonts w:ascii="Times New Roman" w:eastAsia="Calibri" w:hAnsi="Times New Roman" w:cs="Times New Roman"/>
          <w:color w:val="242424"/>
          <w:sz w:val="21"/>
          <w:shd w:val="clear" w:color="auto" w:fill="FFFFFF"/>
        </w:rPr>
        <w:t>samkvæmt lögum þessum er óskylt</w:t>
      </w:r>
      <w:r w:rsidR="00D911B9" w:rsidRPr="00D911B9">
        <w:rPr>
          <w:rFonts w:ascii="Times New Roman" w:eastAsia="Calibri" w:hAnsi="Times New Roman" w:cs="Times New Roman"/>
          <w:color w:val="242424"/>
          <w:sz w:val="21"/>
          <w:shd w:val="clear" w:color="auto" w:fill="FFFFFF"/>
        </w:rPr>
        <w:t xml:space="preserve"> að svara spurningum eða afhenda gögn eða muni </w:t>
      </w:r>
      <w:r>
        <w:rPr>
          <w:rFonts w:ascii="Times New Roman" w:eastAsia="Calibri" w:hAnsi="Times New Roman" w:cs="Times New Roman"/>
          <w:color w:val="242424"/>
          <w:sz w:val="21"/>
          <w:shd w:val="clear" w:color="auto" w:fill="FFFFFF"/>
        </w:rPr>
        <w:t>geti</w:t>
      </w:r>
      <w:r w:rsidR="00D911B9" w:rsidRPr="00D911B9">
        <w:rPr>
          <w:rFonts w:ascii="Times New Roman" w:eastAsia="Calibri" w:hAnsi="Times New Roman" w:cs="Times New Roman"/>
          <w:color w:val="242424"/>
          <w:sz w:val="21"/>
          <w:shd w:val="clear" w:color="auto" w:fill="FFFFFF"/>
        </w:rPr>
        <w:t xml:space="preserve"> það haft þýðingu fyrir ákvörðun um brot hans. </w:t>
      </w:r>
      <w:bookmarkEnd w:id="11"/>
      <w:r w:rsidR="00D911B9" w:rsidRPr="00D911B9">
        <w:rPr>
          <w:rFonts w:ascii="Times New Roman" w:eastAsia="Calibri" w:hAnsi="Times New Roman" w:cs="Times New Roman"/>
          <w:color w:val="242424"/>
          <w:sz w:val="21"/>
          <w:shd w:val="clear" w:color="auto" w:fill="FFFFFF"/>
        </w:rPr>
        <w:t xml:space="preserve">Fjármálaeftirlitið </w:t>
      </w:r>
      <w:r w:rsidR="00D5143C">
        <w:rPr>
          <w:rFonts w:ascii="Times New Roman" w:eastAsia="Calibri" w:hAnsi="Times New Roman" w:cs="Times New Roman"/>
          <w:color w:val="242424"/>
          <w:sz w:val="21"/>
          <w:shd w:val="clear" w:color="auto" w:fill="FFFFFF"/>
        </w:rPr>
        <w:t xml:space="preserve">eða Neytendastofa, eftir því sem við á, </w:t>
      </w:r>
      <w:r w:rsidR="00D911B9" w:rsidRPr="00D911B9">
        <w:rPr>
          <w:rFonts w:ascii="Times New Roman" w:eastAsia="Calibri" w:hAnsi="Times New Roman" w:cs="Times New Roman"/>
          <w:color w:val="242424"/>
          <w:sz w:val="21"/>
          <w:shd w:val="clear" w:color="auto" w:fill="FFFFFF"/>
        </w:rPr>
        <w:t xml:space="preserve">skal leiðbeina </w:t>
      </w:r>
      <w:r w:rsidR="00E6536F">
        <w:rPr>
          <w:rFonts w:ascii="Times New Roman" w:eastAsia="Calibri" w:hAnsi="Times New Roman" w:cs="Times New Roman"/>
          <w:color w:val="242424"/>
          <w:sz w:val="21"/>
          <w:shd w:val="clear" w:color="auto" w:fill="FFFFFF"/>
        </w:rPr>
        <w:t>honum</w:t>
      </w:r>
      <w:r w:rsidR="00D911B9" w:rsidRPr="00D911B9">
        <w:rPr>
          <w:rFonts w:ascii="Times New Roman" w:eastAsia="Calibri" w:hAnsi="Times New Roman" w:cs="Times New Roman"/>
          <w:color w:val="242424"/>
          <w:sz w:val="21"/>
          <w:shd w:val="clear" w:color="auto" w:fill="FFFFFF"/>
        </w:rPr>
        <w:t xml:space="preserve"> um þennan rétt.</w:t>
      </w:r>
      <w:bookmarkEnd w:id="10"/>
      <w:bookmarkEnd w:id="12"/>
    </w:p>
    <w:p w14:paraId="39B6C4F8" w14:textId="77777777" w:rsidR="00D24E2D" w:rsidRDefault="00D24E2D" w:rsidP="00D911B9">
      <w:pPr>
        <w:spacing w:after="0" w:line="240" w:lineRule="auto"/>
        <w:ind w:firstLine="284"/>
        <w:jc w:val="both"/>
        <w:rPr>
          <w:rFonts w:ascii="Times New Roman" w:eastAsia="Calibri" w:hAnsi="Times New Roman" w:cs="Times New Roman"/>
          <w:color w:val="242424"/>
          <w:sz w:val="21"/>
          <w:shd w:val="clear" w:color="auto" w:fill="FFFFFF"/>
        </w:rPr>
      </w:pPr>
    </w:p>
    <w:p w14:paraId="59EA016B" w14:textId="1F036E10" w:rsidR="00D24E2D" w:rsidRPr="00D911B9" w:rsidRDefault="00D24E2D" w:rsidP="00D24E2D">
      <w:p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5</w:t>
      </w:r>
      <w:r w:rsidRPr="00D911B9">
        <w:rPr>
          <w:rFonts w:ascii="Times New Roman" w:eastAsia="Calibri" w:hAnsi="Times New Roman" w:cs="Times New Roman"/>
          <w:sz w:val="21"/>
        </w:rPr>
        <w:t>. gr.</w:t>
      </w:r>
    </w:p>
    <w:p w14:paraId="01454A21" w14:textId="77777777" w:rsidR="00D24E2D" w:rsidRPr="00D911B9" w:rsidRDefault="00D24E2D" w:rsidP="00D24E2D">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Aðfararhæfi</w:t>
      </w:r>
      <w:r w:rsidRPr="00D911B9">
        <w:rPr>
          <w:rFonts w:ascii="Times New Roman" w:eastAsia="Calibri" w:hAnsi="Times New Roman" w:cs="Times New Roman"/>
          <w:i/>
          <w:sz w:val="21"/>
        </w:rPr>
        <w:t>.</w:t>
      </w:r>
    </w:p>
    <w:p w14:paraId="2074AFDB" w14:textId="09F58F69" w:rsid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Ákvörðun Fjármálaeftirlitsins</w:t>
      </w:r>
      <w:r w:rsidR="00D5143C">
        <w:rPr>
          <w:rFonts w:ascii="Times New Roman" w:eastAsia="Calibri" w:hAnsi="Times New Roman" w:cs="Times New Roman"/>
          <w:color w:val="242424"/>
          <w:sz w:val="21"/>
          <w:shd w:val="clear" w:color="auto" w:fill="FFFFFF"/>
        </w:rPr>
        <w:t xml:space="preserve"> </w:t>
      </w:r>
      <w:r w:rsidR="00811236">
        <w:rPr>
          <w:rFonts w:ascii="Times New Roman" w:eastAsia="Calibri" w:hAnsi="Times New Roman" w:cs="Times New Roman"/>
          <w:color w:val="242424"/>
          <w:sz w:val="21"/>
          <w:shd w:val="clear" w:color="auto" w:fill="FFFFFF"/>
        </w:rPr>
        <w:t>eða</w:t>
      </w:r>
      <w:r w:rsidR="00D5143C">
        <w:rPr>
          <w:rFonts w:ascii="Times New Roman" w:eastAsia="Calibri" w:hAnsi="Times New Roman" w:cs="Times New Roman"/>
          <w:color w:val="242424"/>
          <w:sz w:val="21"/>
          <w:shd w:val="clear" w:color="auto" w:fill="FFFFFF"/>
        </w:rPr>
        <w:t xml:space="preserve"> Neytendastofu</w:t>
      </w:r>
      <w:r w:rsidRPr="00D911B9">
        <w:rPr>
          <w:rFonts w:ascii="Times New Roman" w:eastAsia="Calibri" w:hAnsi="Times New Roman" w:cs="Times New Roman"/>
          <w:color w:val="242424"/>
          <w:sz w:val="21"/>
          <w:shd w:val="clear" w:color="auto" w:fill="FFFFFF"/>
        </w:rPr>
        <w:t xml:space="preserve"> um stjórnvaldssekt er aðfararhæf.</w:t>
      </w:r>
    </w:p>
    <w:p w14:paraId="2C8B7042" w14:textId="12EF4EA0" w:rsidR="00861910" w:rsidRDefault="00861910" w:rsidP="00D911B9">
      <w:pPr>
        <w:spacing w:after="0" w:line="240" w:lineRule="auto"/>
        <w:ind w:firstLine="284"/>
        <w:jc w:val="both"/>
        <w:rPr>
          <w:rFonts w:ascii="Times New Roman" w:eastAsia="Calibri" w:hAnsi="Times New Roman" w:cs="Times New Roman"/>
          <w:color w:val="242424"/>
          <w:sz w:val="21"/>
          <w:shd w:val="clear" w:color="auto" w:fill="FFFFFF"/>
        </w:rPr>
      </w:pPr>
      <w:r w:rsidRPr="00861910">
        <w:rPr>
          <w:rFonts w:ascii="Times New Roman" w:eastAsia="Calibri" w:hAnsi="Times New Roman" w:cs="Times New Roman"/>
          <w:color w:val="242424"/>
          <w:sz w:val="21"/>
          <w:shd w:val="clear" w:color="auto" w:fill="FFFFFF"/>
        </w:rPr>
        <w:t xml:space="preserve">Málskot til </w:t>
      </w:r>
      <w:proofErr w:type="spellStart"/>
      <w:r w:rsidRPr="00861910">
        <w:rPr>
          <w:rFonts w:ascii="Times New Roman" w:eastAsia="Calibri" w:hAnsi="Times New Roman" w:cs="Times New Roman"/>
          <w:color w:val="242424"/>
          <w:sz w:val="21"/>
          <w:shd w:val="clear" w:color="auto" w:fill="FFFFFF"/>
        </w:rPr>
        <w:t>áfrýjunarnefndar</w:t>
      </w:r>
      <w:proofErr w:type="spellEnd"/>
      <w:r w:rsidRPr="00861910">
        <w:rPr>
          <w:rFonts w:ascii="Times New Roman" w:eastAsia="Calibri" w:hAnsi="Times New Roman" w:cs="Times New Roman"/>
          <w:color w:val="242424"/>
          <w:sz w:val="21"/>
          <w:shd w:val="clear" w:color="auto" w:fill="FFFFFF"/>
        </w:rPr>
        <w:t xml:space="preserve"> neytendamála frestar aðför</w:t>
      </w:r>
      <w:r>
        <w:rPr>
          <w:rFonts w:ascii="Times New Roman" w:eastAsia="Calibri" w:hAnsi="Times New Roman" w:cs="Times New Roman"/>
          <w:color w:val="242424"/>
          <w:sz w:val="21"/>
          <w:shd w:val="clear" w:color="auto" w:fill="FFFFFF"/>
        </w:rPr>
        <w:t xml:space="preserve"> til fullnustu </w:t>
      </w:r>
      <w:r w:rsidR="007547C0">
        <w:rPr>
          <w:rFonts w:ascii="Times New Roman" w:eastAsia="Calibri" w:hAnsi="Times New Roman" w:cs="Times New Roman"/>
          <w:color w:val="242424"/>
          <w:sz w:val="21"/>
          <w:shd w:val="clear" w:color="auto" w:fill="FFFFFF"/>
        </w:rPr>
        <w:t>ákvörðun Neytendastofu um stjórnvaldssekt.</w:t>
      </w:r>
      <w:r w:rsidR="006B3063">
        <w:rPr>
          <w:rFonts w:ascii="Times New Roman" w:eastAsia="Calibri" w:hAnsi="Times New Roman" w:cs="Times New Roman"/>
          <w:color w:val="242424"/>
          <w:sz w:val="21"/>
          <w:shd w:val="clear" w:color="auto" w:fill="FFFFFF"/>
        </w:rPr>
        <w:t xml:space="preserve"> Úrskurður nefndarinnar er aðfararhæfur.</w:t>
      </w:r>
    </w:p>
    <w:p w14:paraId="6E4DB50D" w14:textId="77777777" w:rsidR="00D24E2D" w:rsidRDefault="00D24E2D" w:rsidP="000C604B">
      <w:pPr>
        <w:spacing w:after="0" w:line="240" w:lineRule="auto"/>
        <w:jc w:val="both"/>
        <w:rPr>
          <w:rFonts w:ascii="Times New Roman" w:eastAsia="Calibri" w:hAnsi="Times New Roman" w:cs="Times New Roman"/>
          <w:color w:val="242424"/>
          <w:sz w:val="21"/>
          <w:shd w:val="clear" w:color="auto" w:fill="FFFFFF"/>
        </w:rPr>
      </w:pPr>
    </w:p>
    <w:p w14:paraId="78FEC9CE" w14:textId="7BE3516C" w:rsidR="00D24E2D" w:rsidRPr="00D911B9" w:rsidRDefault="000C604B" w:rsidP="00D24E2D">
      <w:p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6</w:t>
      </w:r>
      <w:r w:rsidR="00D24E2D" w:rsidRPr="00D911B9">
        <w:rPr>
          <w:rFonts w:ascii="Times New Roman" w:eastAsia="Calibri" w:hAnsi="Times New Roman" w:cs="Times New Roman"/>
          <w:sz w:val="21"/>
        </w:rPr>
        <w:t>. gr.</w:t>
      </w:r>
    </w:p>
    <w:p w14:paraId="6190CA69" w14:textId="77777777" w:rsidR="00D24E2D" w:rsidRPr="00D911B9" w:rsidRDefault="00D24E2D" w:rsidP="00D24E2D">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Frestur til að leggja á stjórnvaldssekt</w:t>
      </w:r>
      <w:r w:rsidRPr="00D911B9">
        <w:rPr>
          <w:rFonts w:ascii="Times New Roman" w:eastAsia="Calibri" w:hAnsi="Times New Roman" w:cs="Times New Roman"/>
          <w:i/>
          <w:sz w:val="21"/>
        </w:rPr>
        <w:t>.</w:t>
      </w:r>
    </w:p>
    <w:p w14:paraId="61433109" w14:textId="5099A089" w:rsidR="00F030D8" w:rsidRDefault="00D911B9" w:rsidP="00F030D8">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 xml:space="preserve">Heimild til að leggja á stjórnvaldssekt samkvæmt lögum þessum fellur niður þegar fimm ár eru liðin frá því að háttsemi lauk. </w:t>
      </w:r>
      <w:r w:rsidR="00C63132">
        <w:rPr>
          <w:rFonts w:ascii="Times New Roman" w:eastAsia="Calibri" w:hAnsi="Times New Roman" w:cs="Times New Roman"/>
          <w:color w:val="242424"/>
          <w:sz w:val="21"/>
          <w:shd w:val="clear" w:color="auto" w:fill="FFFFFF"/>
        </w:rPr>
        <w:t>Tilkynning Fjármálaeftirlitsins</w:t>
      </w:r>
      <w:r w:rsidR="00D5143C">
        <w:rPr>
          <w:rFonts w:ascii="Times New Roman" w:eastAsia="Calibri" w:hAnsi="Times New Roman" w:cs="Times New Roman"/>
          <w:color w:val="242424"/>
          <w:sz w:val="21"/>
          <w:shd w:val="clear" w:color="auto" w:fill="FFFFFF"/>
        </w:rPr>
        <w:t xml:space="preserve"> eða Neytendastofu</w:t>
      </w:r>
      <w:r w:rsidR="00C63132">
        <w:rPr>
          <w:rFonts w:ascii="Times New Roman" w:eastAsia="Calibri" w:hAnsi="Times New Roman" w:cs="Times New Roman"/>
          <w:color w:val="242424"/>
          <w:sz w:val="21"/>
          <w:shd w:val="clear" w:color="auto" w:fill="FFFFFF"/>
        </w:rPr>
        <w:t xml:space="preserve"> til </w:t>
      </w:r>
      <w:r w:rsidR="004024EF">
        <w:rPr>
          <w:rFonts w:ascii="Times New Roman" w:eastAsia="Calibri" w:hAnsi="Times New Roman" w:cs="Times New Roman"/>
          <w:color w:val="242424"/>
          <w:sz w:val="21"/>
          <w:shd w:val="clear" w:color="auto" w:fill="FFFFFF"/>
        </w:rPr>
        <w:t>máls</w:t>
      </w:r>
      <w:r w:rsidR="00C63132">
        <w:rPr>
          <w:rFonts w:ascii="Times New Roman" w:eastAsia="Calibri" w:hAnsi="Times New Roman" w:cs="Times New Roman"/>
          <w:color w:val="242424"/>
          <w:sz w:val="21"/>
          <w:shd w:val="clear" w:color="auto" w:fill="FFFFFF"/>
        </w:rPr>
        <w:t xml:space="preserve">aðila um rannsókn á meintu broti rýfur frestinn gagnvart </w:t>
      </w:r>
      <w:r w:rsidRPr="00D911B9">
        <w:rPr>
          <w:rFonts w:ascii="Times New Roman" w:eastAsia="Calibri" w:hAnsi="Times New Roman" w:cs="Times New Roman"/>
          <w:color w:val="242424"/>
          <w:sz w:val="21"/>
          <w:shd w:val="clear" w:color="auto" w:fill="FFFFFF"/>
        </w:rPr>
        <w:t>öllum sem staðið hafa að broti.</w:t>
      </w:r>
    </w:p>
    <w:bookmarkEnd w:id="6"/>
    <w:bookmarkEnd w:id="7"/>
    <w:p w14:paraId="031FEE62" w14:textId="39E911CD" w:rsidR="00D911B9" w:rsidRDefault="00D911B9" w:rsidP="00AC49C4">
      <w:pPr>
        <w:spacing w:after="0" w:line="240" w:lineRule="auto"/>
        <w:jc w:val="both"/>
        <w:rPr>
          <w:rFonts w:ascii="Times New Roman" w:eastAsia="Calibri" w:hAnsi="Times New Roman" w:cs="Times New Roman"/>
          <w:color w:val="242424"/>
          <w:sz w:val="21"/>
          <w:shd w:val="clear" w:color="auto" w:fill="FFFFFF"/>
        </w:rPr>
      </w:pPr>
    </w:p>
    <w:p w14:paraId="3833D981" w14:textId="7D55B66E" w:rsidR="000C604B" w:rsidRPr="00D911B9" w:rsidRDefault="000C604B" w:rsidP="000C604B">
      <w:p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7</w:t>
      </w:r>
      <w:r w:rsidRPr="00D911B9">
        <w:rPr>
          <w:rFonts w:ascii="Times New Roman" w:eastAsia="Calibri" w:hAnsi="Times New Roman" w:cs="Times New Roman"/>
          <w:sz w:val="21"/>
        </w:rPr>
        <w:t>. gr.</w:t>
      </w:r>
    </w:p>
    <w:p w14:paraId="382C0234" w14:textId="77777777" w:rsidR="000C604B" w:rsidRPr="00D911B9" w:rsidRDefault="000C604B" w:rsidP="000C604B">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Sátt.</w:t>
      </w:r>
    </w:p>
    <w:p w14:paraId="0B5D64A7" w14:textId="4DB8BC24" w:rsidR="000C604B" w:rsidRDefault="000C604B" w:rsidP="000C604B">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 xml:space="preserve">Hafi aðili gerst brotlegur við ákvæði laga þessara eða ákvarðanir Fjármálaeftirlitsins á grundvelli þeirra er Fjármálaeftirlitinu heimilt að ljúka málinu með sátt </w:t>
      </w:r>
      <w:r>
        <w:rPr>
          <w:rFonts w:ascii="Times New Roman" w:eastAsia="Calibri" w:hAnsi="Times New Roman" w:cs="Times New Roman"/>
          <w:color w:val="242424"/>
          <w:sz w:val="21"/>
          <w:shd w:val="clear" w:color="auto" w:fill="FFFFFF"/>
        </w:rPr>
        <w:t>við</w:t>
      </w:r>
      <w:r w:rsidRPr="00D911B9">
        <w:rPr>
          <w:rFonts w:ascii="Times New Roman" w:eastAsia="Calibri" w:hAnsi="Times New Roman" w:cs="Times New Roman"/>
          <w:color w:val="242424"/>
          <w:sz w:val="21"/>
          <w:shd w:val="clear" w:color="auto" w:fill="FFFFFF"/>
        </w:rPr>
        <w:t xml:space="preserve"> málsaðila. Sátt er bindandi fyrir málsaðila þegar hann hefur samþykkt og staðfest efni hennar með undirskrift sinni. Fjármálaeftirlitið </w:t>
      </w:r>
      <w:r w:rsidR="00557460">
        <w:rPr>
          <w:rFonts w:ascii="Times New Roman" w:eastAsia="Calibri" w:hAnsi="Times New Roman" w:cs="Times New Roman"/>
          <w:color w:val="242424"/>
          <w:sz w:val="21"/>
          <w:shd w:val="clear" w:color="auto" w:fill="FFFFFF"/>
        </w:rPr>
        <w:t>getur sett</w:t>
      </w:r>
      <w:r w:rsidR="00557460" w:rsidRPr="00D911B9">
        <w:rPr>
          <w:rFonts w:ascii="Times New Roman" w:eastAsia="Calibri" w:hAnsi="Times New Roman" w:cs="Times New Roman"/>
          <w:color w:val="242424"/>
          <w:sz w:val="21"/>
          <w:shd w:val="clear" w:color="auto" w:fill="FFFFFF"/>
        </w:rPr>
        <w:t xml:space="preserve"> </w:t>
      </w:r>
      <w:r w:rsidRPr="00D911B9">
        <w:rPr>
          <w:rFonts w:ascii="Times New Roman" w:eastAsia="Calibri" w:hAnsi="Times New Roman" w:cs="Times New Roman"/>
          <w:color w:val="242424"/>
          <w:sz w:val="21"/>
          <w:shd w:val="clear" w:color="auto" w:fill="FFFFFF"/>
        </w:rPr>
        <w:t>reglur um</w:t>
      </w:r>
      <w:r w:rsidR="006B1DBE">
        <w:rPr>
          <w:rFonts w:ascii="Times New Roman" w:eastAsia="Calibri" w:hAnsi="Times New Roman" w:cs="Times New Roman"/>
          <w:color w:val="242424"/>
          <w:sz w:val="21"/>
          <w:shd w:val="clear" w:color="auto" w:fill="FFFFFF"/>
        </w:rPr>
        <w:t xml:space="preserve"> nánari</w:t>
      </w:r>
      <w:r w:rsidRPr="00D911B9">
        <w:rPr>
          <w:rFonts w:ascii="Times New Roman" w:eastAsia="Calibri" w:hAnsi="Times New Roman" w:cs="Times New Roman"/>
          <w:color w:val="242424"/>
          <w:sz w:val="21"/>
          <w:shd w:val="clear" w:color="auto" w:fill="FFFFFF"/>
        </w:rPr>
        <w:t xml:space="preserve"> framkvæmd ákvæðisins.</w:t>
      </w:r>
    </w:p>
    <w:p w14:paraId="5F4D8ADE" w14:textId="24AFB0D5" w:rsidR="00620A77" w:rsidRPr="00D911B9" w:rsidRDefault="00557460" w:rsidP="00AC49C4">
      <w:pPr>
        <w:spacing w:after="0" w:line="240" w:lineRule="auto"/>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tab/>
      </w:r>
    </w:p>
    <w:p w14:paraId="7B08C811" w14:textId="75E2C779" w:rsidR="00D911B9" w:rsidRPr="00D911B9" w:rsidRDefault="00C30755" w:rsidP="00D911B9">
      <w:p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8</w:t>
      </w:r>
      <w:r w:rsidR="00D911B9" w:rsidRPr="00D911B9">
        <w:rPr>
          <w:rFonts w:ascii="Times New Roman" w:eastAsia="Calibri" w:hAnsi="Times New Roman" w:cs="Times New Roman"/>
          <w:sz w:val="21"/>
        </w:rPr>
        <w:t>. gr.</w:t>
      </w:r>
    </w:p>
    <w:p w14:paraId="1AF0234D" w14:textId="77777777" w:rsidR="00D911B9" w:rsidRPr="00D911B9" w:rsidRDefault="00D911B9" w:rsidP="00D911B9">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Reglugerð.</w:t>
      </w:r>
    </w:p>
    <w:p w14:paraId="0986F367" w14:textId="7CCA008E" w:rsidR="00D911B9" w:rsidRP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Ráðherra er heimilt að setja reglugerð um nánari framkvæmd laga þessara, þar á meðal áskilnað</w:t>
      </w:r>
      <w:r w:rsidR="006B1DBE">
        <w:rPr>
          <w:rFonts w:ascii="Times New Roman" w:eastAsia="Calibri" w:hAnsi="Times New Roman" w:cs="Times New Roman"/>
          <w:color w:val="242424"/>
          <w:sz w:val="21"/>
          <w:shd w:val="clear" w:color="auto" w:fill="FFFFFF"/>
        </w:rPr>
        <w:t>ar</w:t>
      </w:r>
      <w:r w:rsidRPr="00D911B9">
        <w:rPr>
          <w:rFonts w:ascii="Times New Roman" w:eastAsia="Calibri" w:hAnsi="Times New Roman" w:cs="Times New Roman"/>
          <w:color w:val="242424"/>
          <w:sz w:val="21"/>
          <w:shd w:val="clear" w:color="auto" w:fill="FFFFFF"/>
        </w:rPr>
        <w:t xml:space="preserve"> a-liðar 1. mgr. 7. gr. reglugerðar (ESB) 2015/751 um að greiðslukortakerfi og vinnslueiningar skuli vera óháðar með tilliti til reikningshalds, skipulags og ákvarðanatökuferlis.</w:t>
      </w:r>
    </w:p>
    <w:p w14:paraId="19347343" w14:textId="77777777" w:rsidR="00D911B9" w:rsidRP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p>
    <w:p w14:paraId="0C3697B3" w14:textId="6C843D72" w:rsidR="00D911B9" w:rsidRPr="00D911B9" w:rsidRDefault="00C30755" w:rsidP="00D911B9">
      <w:p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9</w:t>
      </w:r>
      <w:r w:rsidR="00D911B9" w:rsidRPr="00D911B9">
        <w:rPr>
          <w:rFonts w:ascii="Times New Roman" w:eastAsia="Calibri" w:hAnsi="Times New Roman" w:cs="Times New Roman"/>
          <w:sz w:val="21"/>
        </w:rPr>
        <w:t>. gr.</w:t>
      </w:r>
    </w:p>
    <w:p w14:paraId="25667702" w14:textId="77777777" w:rsidR="00D911B9" w:rsidRPr="00D911B9" w:rsidRDefault="00D911B9" w:rsidP="00D911B9">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Gildistaka.</w:t>
      </w:r>
    </w:p>
    <w:p w14:paraId="66F05E6B" w14:textId="1C0143BA" w:rsidR="00D911B9"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color w:val="242424"/>
          <w:sz w:val="21"/>
          <w:shd w:val="clear" w:color="auto" w:fill="FFFFFF"/>
        </w:rPr>
        <w:t>Lög þessi öðlast gildi [</w:t>
      </w:r>
      <w:r w:rsidR="00D238F3">
        <w:rPr>
          <w:rFonts w:ascii="Times New Roman" w:eastAsia="Calibri" w:hAnsi="Times New Roman" w:cs="Times New Roman"/>
          <w:color w:val="242424"/>
          <w:sz w:val="21"/>
          <w:shd w:val="clear" w:color="auto" w:fill="FFFFFF"/>
        </w:rPr>
        <w:t xml:space="preserve">dags. </w:t>
      </w:r>
      <w:r w:rsidR="00D305F1">
        <w:rPr>
          <w:rFonts w:ascii="Times New Roman" w:eastAsia="Calibri" w:hAnsi="Times New Roman" w:cs="Times New Roman"/>
          <w:color w:val="242424"/>
          <w:sz w:val="21"/>
          <w:shd w:val="clear" w:color="auto" w:fill="FFFFFF"/>
        </w:rPr>
        <w:t xml:space="preserve">um </w:t>
      </w:r>
      <w:r w:rsidR="00D238F3">
        <w:rPr>
          <w:rFonts w:ascii="Times New Roman" w:eastAsia="Calibri" w:hAnsi="Times New Roman" w:cs="Times New Roman"/>
          <w:color w:val="242424"/>
          <w:sz w:val="21"/>
          <w:shd w:val="clear" w:color="auto" w:fill="FFFFFF"/>
        </w:rPr>
        <w:t>þremur</w:t>
      </w:r>
      <w:r w:rsidR="00DB2B6D">
        <w:rPr>
          <w:rFonts w:ascii="Times New Roman" w:eastAsia="Calibri" w:hAnsi="Times New Roman" w:cs="Times New Roman"/>
          <w:color w:val="242424"/>
          <w:sz w:val="21"/>
          <w:shd w:val="clear" w:color="auto" w:fill="FFFFFF"/>
        </w:rPr>
        <w:t xml:space="preserve"> mánuð</w:t>
      </w:r>
      <w:r w:rsidR="00B755B2">
        <w:rPr>
          <w:rFonts w:ascii="Times New Roman" w:eastAsia="Calibri" w:hAnsi="Times New Roman" w:cs="Times New Roman"/>
          <w:color w:val="242424"/>
          <w:sz w:val="21"/>
          <w:shd w:val="clear" w:color="auto" w:fill="FFFFFF"/>
        </w:rPr>
        <w:t>um</w:t>
      </w:r>
      <w:r w:rsidR="00DB2B6D">
        <w:rPr>
          <w:rFonts w:ascii="Times New Roman" w:eastAsia="Calibri" w:hAnsi="Times New Roman" w:cs="Times New Roman"/>
          <w:color w:val="242424"/>
          <w:sz w:val="21"/>
          <w:shd w:val="clear" w:color="auto" w:fill="FFFFFF"/>
        </w:rPr>
        <w:t xml:space="preserve"> frá</w:t>
      </w:r>
      <w:r w:rsidR="00204072">
        <w:rPr>
          <w:rFonts w:ascii="Times New Roman" w:eastAsia="Calibri" w:hAnsi="Times New Roman" w:cs="Times New Roman"/>
          <w:color w:val="242424"/>
          <w:sz w:val="21"/>
          <w:shd w:val="clear" w:color="auto" w:fill="FFFFFF"/>
        </w:rPr>
        <w:t xml:space="preserve"> áætlaðri</w:t>
      </w:r>
      <w:r w:rsidR="00DB2B6D">
        <w:rPr>
          <w:rFonts w:ascii="Times New Roman" w:eastAsia="Calibri" w:hAnsi="Times New Roman" w:cs="Times New Roman"/>
          <w:color w:val="242424"/>
          <w:sz w:val="21"/>
          <w:shd w:val="clear" w:color="auto" w:fill="FFFFFF"/>
        </w:rPr>
        <w:t xml:space="preserve"> samþykkt</w:t>
      </w:r>
      <w:r w:rsidRPr="00D911B9">
        <w:rPr>
          <w:rFonts w:ascii="Times New Roman" w:eastAsia="Calibri" w:hAnsi="Times New Roman" w:cs="Times New Roman"/>
          <w:color w:val="242424"/>
          <w:sz w:val="21"/>
          <w:shd w:val="clear" w:color="auto" w:fill="FFFFFF"/>
        </w:rPr>
        <w:t>].</w:t>
      </w:r>
    </w:p>
    <w:p w14:paraId="40879654" w14:textId="42BF5953" w:rsidR="00324D4A" w:rsidRDefault="00324D4A" w:rsidP="00D911B9">
      <w:pPr>
        <w:spacing w:after="0" w:line="240" w:lineRule="auto"/>
        <w:ind w:firstLine="284"/>
        <w:jc w:val="both"/>
        <w:rPr>
          <w:rFonts w:ascii="Times New Roman" w:eastAsia="Calibri" w:hAnsi="Times New Roman" w:cs="Times New Roman"/>
          <w:color w:val="242424"/>
          <w:sz w:val="21"/>
          <w:shd w:val="clear" w:color="auto" w:fill="FFFFFF"/>
        </w:rPr>
      </w:pPr>
    </w:p>
    <w:p w14:paraId="41D2AA9B" w14:textId="0F3F2F89" w:rsidR="00324D4A" w:rsidRDefault="00324D4A" w:rsidP="00D0374E">
      <w:pPr>
        <w:spacing w:after="0" w:line="240" w:lineRule="auto"/>
        <w:jc w:val="center"/>
        <w:rPr>
          <w:rFonts w:ascii="Times New Roman" w:eastAsia="Calibri" w:hAnsi="Times New Roman" w:cs="Times New Roman"/>
          <w:b/>
          <w:color w:val="242424"/>
          <w:sz w:val="21"/>
          <w:shd w:val="clear" w:color="auto" w:fill="FFFFFF"/>
        </w:rPr>
      </w:pPr>
      <w:r>
        <w:rPr>
          <w:rFonts w:ascii="Times New Roman" w:eastAsia="Calibri" w:hAnsi="Times New Roman" w:cs="Times New Roman"/>
          <w:b/>
          <w:color w:val="242424"/>
          <w:sz w:val="21"/>
          <w:shd w:val="clear" w:color="auto" w:fill="FFFFFF"/>
        </w:rPr>
        <w:t>Ákvæði til bráðabirgða.</w:t>
      </w:r>
    </w:p>
    <w:p w14:paraId="060F47E1" w14:textId="064B3ABD" w:rsidR="00324D4A" w:rsidRPr="00D0374E" w:rsidRDefault="00771DCE" w:rsidP="00D0374E">
      <w:pPr>
        <w:spacing w:after="0" w:line="240" w:lineRule="auto"/>
        <w:ind w:firstLine="284"/>
        <w:jc w:val="both"/>
        <w:rPr>
          <w:rFonts w:ascii="Times New Roman" w:eastAsia="Calibri" w:hAnsi="Times New Roman" w:cs="Times New Roman"/>
          <w:color w:val="242424"/>
          <w:sz w:val="21"/>
          <w:shd w:val="clear" w:color="auto" w:fill="FFFFFF"/>
        </w:rPr>
      </w:pPr>
      <w:r>
        <w:rPr>
          <w:rFonts w:ascii="Times New Roman" w:eastAsia="Calibri" w:hAnsi="Times New Roman" w:cs="Times New Roman"/>
          <w:color w:val="242424"/>
          <w:sz w:val="21"/>
          <w:shd w:val="clear" w:color="auto" w:fill="FFFFFF"/>
        </w:rPr>
        <w:lastRenderedPageBreak/>
        <w:t>R</w:t>
      </w:r>
      <w:r w:rsidR="00FB6C2B">
        <w:rPr>
          <w:rFonts w:ascii="Times New Roman" w:eastAsia="Calibri" w:hAnsi="Times New Roman" w:cs="Times New Roman"/>
          <w:color w:val="242424"/>
          <w:sz w:val="21"/>
          <w:shd w:val="clear" w:color="auto" w:fill="FFFFFF"/>
        </w:rPr>
        <w:t>áð</w:t>
      </w:r>
      <w:r w:rsidR="003C70EB">
        <w:rPr>
          <w:rFonts w:ascii="Times New Roman" w:eastAsia="Calibri" w:hAnsi="Times New Roman" w:cs="Times New Roman"/>
          <w:color w:val="242424"/>
          <w:sz w:val="21"/>
          <w:shd w:val="clear" w:color="auto" w:fill="FFFFFF"/>
        </w:rPr>
        <w:t>herra</w:t>
      </w:r>
      <w:r w:rsidR="00FB6C2B">
        <w:rPr>
          <w:rFonts w:ascii="Times New Roman" w:eastAsia="Calibri" w:hAnsi="Times New Roman" w:cs="Times New Roman"/>
          <w:color w:val="242424"/>
          <w:sz w:val="21"/>
          <w:shd w:val="clear" w:color="auto" w:fill="FFFFFF"/>
        </w:rPr>
        <w:t xml:space="preserve"> skal innan tveggja ára frá gildistöku laga þessara meta </w:t>
      </w:r>
      <w:r w:rsidR="005561C7">
        <w:rPr>
          <w:rFonts w:ascii="Times New Roman" w:eastAsia="Calibri" w:hAnsi="Times New Roman" w:cs="Times New Roman"/>
          <w:color w:val="242424"/>
          <w:sz w:val="21"/>
          <w:shd w:val="clear" w:color="auto" w:fill="FFFFFF"/>
        </w:rPr>
        <w:t xml:space="preserve">í samráði við </w:t>
      </w:r>
      <w:r w:rsidR="005561C7">
        <w:rPr>
          <w:rFonts w:ascii="Times New Roman" w:eastAsia="Calibri" w:hAnsi="Times New Roman" w:cs="Times New Roman"/>
          <w:sz w:val="21"/>
        </w:rPr>
        <w:t>Fjármálaeftirlitið, Neytendastofu, Samkeppniseftirlitið og Seðlabanka Íslands</w:t>
      </w:r>
      <w:r w:rsidR="005561C7">
        <w:rPr>
          <w:rFonts w:ascii="Times New Roman" w:eastAsia="Calibri" w:hAnsi="Times New Roman" w:cs="Times New Roman"/>
          <w:color w:val="242424"/>
          <w:sz w:val="21"/>
          <w:shd w:val="clear" w:color="auto" w:fill="FFFFFF"/>
        </w:rPr>
        <w:t xml:space="preserve"> </w:t>
      </w:r>
      <w:r w:rsidR="00FB6C2B">
        <w:rPr>
          <w:rFonts w:ascii="Times New Roman" w:eastAsia="Calibri" w:hAnsi="Times New Roman" w:cs="Times New Roman"/>
          <w:color w:val="242424"/>
          <w:sz w:val="21"/>
          <w:shd w:val="clear" w:color="auto" w:fill="FFFFFF"/>
        </w:rPr>
        <w:t xml:space="preserve">hvort tilefni sé til að </w:t>
      </w:r>
      <w:r w:rsidR="002700AF">
        <w:rPr>
          <w:rFonts w:ascii="Times New Roman" w:eastAsia="Calibri" w:hAnsi="Times New Roman" w:cs="Times New Roman"/>
          <w:sz w:val="21"/>
        </w:rPr>
        <w:t>leggja til</w:t>
      </w:r>
      <w:r w:rsidR="00FB6C2B" w:rsidRPr="00D911B9">
        <w:rPr>
          <w:rFonts w:ascii="Times New Roman" w:eastAsia="Calibri" w:hAnsi="Times New Roman" w:cs="Times New Roman"/>
          <w:sz w:val="21"/>
        </w:rPr>
        <w:t xml:space="preserve"> </w:t>
      </w:r>
      <w:bookmarkStart w:id="13" w:name="_Hlk533078756"/>
      <w:r w:rsidR="00FB6C2B" w:rsidRPr="00D911B9">
        <w:rPr>
          <w:rFonts w:ascii="Times New Roman" w:eastAsia="Calibri" w:hAnsi="Times New Roman" w:cs="Times New Roman"/>
          <w:sz w:val="21"/>
        </w:rPr>
        <w:t xml:space="preserve">lægra hámark </w:t>
      </w:r>
      <w:r w:rsidR="0084161C">
        <w:rPr>
          <w:rFonts w:ascii="Times New Roman" w:eastAsia="Calibri" w:hAnsi="Times New Roman" w:cs="Times New Roman"/>
          <w:sz w:val="21"/>
        </w:rPr>
        <w:t>á</w:t>
      </w:r>
      <w:r w:rsidR="00FB6C2B" w:rsidRPr="00D911B9">
        <w:rPr>
          <w:rFonts w:ascii="Times New Roman" w:eastAsia="Calibri" w:hAnsi="Times New Roman" w:cs="Times New Roman"/>
          <w:sz w:val="21"/>
        </w:rPr>
        <w:t xml:space="preserve"> </w:t>
      </w:r>
      <w:proofErr w:type="spellStart"/>
      <w:r w:rsidR="00FB6C2B" w:rsidRPr="00D911B9">
        <w:rPr>
          <w:rFonts w:ascii="Times New Roman" w:eastAsia="Calibri" w:hAnsi="Times New Roman" w:cs="Times New Roman"/>
          <w:sz w:val="21"/>
        </w:rPr>
        <w:t>milligjöld</w:t>
      </w:r>
      <w:proofErr w:type="spellEnd"/>
      <w:r w:rsidR="00FB6C2B" w:rsidRPr="00D911B9">
        <w:rPr>
          <w:rFonts w:ascii="Times New Roman" w:eastAsia="Calibri" w:hAnsi="Times New Roman" w:cs="Times New Roman"/>
          <w:sz w:val="21"/>
        </w:rPr>
        <w:t xml:space="preserve"> vegna innlendra </w:t>
      </w:r>
      <w:r w:rsidR="00BC7D93">
        <w:rPr>
          <w:rFonts w:ascii="Times New Roman" w:eastAsia="Calibri" w:hAnsi="Times New Roman" w:cs="Times New Roman"/>
          <w:sz w:val="21"/>
        </w:rPr>
        <w:t>debet</w:t>
      </w:r>
      <w:r w:rsidR="00FB6C2B" w:rsidRPr="00D911B9">
        <w:rPr>
          <w:rFonts w:ascii="Times New Roman" w:eastAsia="Calibri" w:hAnsi="Times New Roman" w:cs="Times New Roman"/>
          <w:sz w:val="21"/>
        </w:rPr>
        <w:t>kortafærslna</w:t>
      </w:r>
      <w:r w:rsidR="00CA37E7">
        <w:rPr>
          <w:rFonts w:ascii="Times New Roman" w:eastAsia="Calibri" w:hAnsi="Times New Roman" w:cs="Times New Roman"/>
          <w:sz w:val="21"/>
        </w:rPr>
        <w:t xml:space="preserve"> en 0,2%</w:t>
      </w:r>
      <w:bookmarkEnd w:id="13"/>
      <w:r w:rsidR="00FB6C2B">
        <w:rPr>
          <w:rFonts w:ascii="Times New Roman" w:eastAsia="Calibri" w:hAnsi="Times New Roman" w:cs="Times New Roman"/>
          <w:sz w:val="21"/>
        </w:rPr>
        <w:t>.</w:t>
      </w:r>
    </w:p>
    <w:bookmarkEnd w:id="4"/>
    <w:p w14:paraId="2E630EC8"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293AD551" w14:textId="77777777" w:rsidR="00D911B9" w:rsidRPr="00D911B9" w:rsidRDefault="00D911B9" w:rsidP="00D911B9">
      <w:pPr>
        <w:spacing w:after="0" w:line="240" w:lineRule="auto"/>
        <w:jc w:val="center"/>
        <w:outlineLvl w:val="0"/>
        <w:rPr>
          <w:rFonts w:ascii="Times New Roman" w:eastAsia="Calibri" w:hAnsi="Times New Roman" w:cs="Times New Roman"/>
          <w:spacing w:val="44"/>
          <w:sz w:val="21"/>
        </w:rPr>
      </w:pPr>
      <w:r w:rsidRPr="00D911B9">
        <w:rPr>
          <w:rFonts w:ascii="Times New Roman" w:eastAsia="Calibri" w:hAnsi="Times New Roman" w:cs="Times New Roman"/>
          <w:spacing w:val="44"/>
          <w:sz w:val="21"/>
        </w:rPr>
        <w:t>Greinargerð.</w:t>
      </w:r>
    </w:p>
    <w:p w14:paraId="511642EA"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1. Inngangur. </w:t>
      </w:r>
    </w:p>
    <w:p w14:paraId="14D6C7E7" w14:textId="7EF5B24C" w:rsidR="00AE0EF7" w:rsidRDefault="00D911B9" w:rsidP="00D911B9">
      <w:pPr>
        <w:spacing w:after="0" w:line="240" w:lineRule="auto"/>
        <w:ind w:firstLine="284"/>
        <w:jc w:val="both"/>
        <w:rPr>
          <w:rFonts w:ascii="Times New Roman" w:eastAsia="Calibri" w:hAnsi="Times New Roman" w:cs="Times New Roman"/>
          <w:color w:val="242424"/>
          <w:sz w:val="21"/>
          <w:shd w:val="clear" w:color="auto" w:fill="FFFFFF"/>
        </w:rPr>
      </w:pPr>
      <w:r w:rsidRPr="00D911B9">
        <w:rPr>
          <w:rFonts w:ascii="Times New Roman" w:eastAsia="Calibri" w:hAnsi="Times New Roman" w:cs="Times New Roman"/>
          <w:sz w:val="21"/>
        </w:rPr>
        <w:t xml:space="preserve">Frumvarp þetta er samið af starfshópi sem fjármála- og efnahagsráðuneytið skipaði 24. september 2018 til að vinna frumvarp til innleiðingar á reglugerð </w:t>
      </w:r>
      <w:r w:rsidRPr="00D911B9">
        <w:rPr>
          <w:rFonts w:ascii="Times New Roman" w:eastAsia="Calibri" w:hAnsi="Times New Roman" w:cs="Times New Roman"/>
          <w:color w:val="242424"/>
          <w:sz w:val="21"/>
          <w:shd w:val="clear" w:color="auto" w:fill="FFFFFF"/>
        </w:rPr>
        <w:t xml:space="preserve">Evrópuþingsins og ráðsins (ESB) 2015/751 frá 29. apríl 2015 um </w:t>
      </w:r>
      <w:proofErr w:type="spellStart"/>
      <w:r w:rsidRPr="00D911B9">
        <w:rPr>
          <w:rFonts w:ascii="Times New Roman" w:eastAsia="Calibri" w:hAnsi="Times New Roman" w:cs="Times New Roman"/>
          <w:color w:val="242424"/>
          <w:sz w:val="21"/>
          <w:shd w:val="clear" w:color="auto" w:fill="FFFFFF"/>
        </w:rPr>
        <w:t>milligjöld</w:t>
      </w:r>
      <w:proofErr w:type="spellEnd"/>
      <w:r w:rsidRPr="00D911B9">
        <w:rPr>
          <w:rFonts w:ascii="Times New Roman" w:eastAsia="Calibri" w:hAnsi="Times New Roman" w:cs="Times New Roman"/>
          <w:color w:val="242424"/>
          <w:sz w:val="21"/>
          <w:shd w:val="clear" w:color="auto" w:fill="FFFFFF"/>
        </w:rPr>
        <w:t xml:space="preserve"> fyrir kortatengdar greiðslur. Í nefndinni áttu </w:t>
      </w:r>
      <w:r w:rsidR="00AE0EF7">
        <w:rPr>
          <w:rFonts w:ascii="Times New Roman" w:eastAsia="Calibri" w:hAnsi="Times New Roman" w:cs="Times New Roman"/>
          <w:color w:val="242424"/>
          <w:sz w:val="21"/>
          <w:shd w:val="clear" w:color="auto" w:fill="FFFFFF"/>
        </w:rPr>
        <w:t>sæti fulltrúi frá ráðuneytinu, sem gegndi formennsku, Fjármálaeftirlitinu</w:t>
      </w:r>
      <w:r w:rsidR="00A362C7">
        <w:rPr>
          <w:rFonts w:ascii="Times New Roman" w:eastAsia="Calibri" w:hAnsi="Times New Roman" w:cs="Times New Roman"/>
          <w:color w:val="242424"/>
          <w:sz w:val="21"/>
          <w:shd w:val="clear" w:color="auto" w:fill="FFFFFF"/>
        </w:rPr>
        <w:t xml:space="preserve"> og Seðlabanka Íslands og tveir fulltrúar frá</w:t>
      </w:r>
      <w:r w:rsidR="00AE0EF7">
        <w:rPr>
          <w:rFonts w:ascii="Times New Roman" w:eastAsia="Calibri" w:hAnsi="Times New Roman" w:cs="Times New Roman"/>
          <w:color w:val="242424"/>
          <w:sz w:val="21"/>
          <w:shd w:val="clear" w:color="auto" w:fill="FFFFFF"/>
        </w:rPr>
        <w:t xml:space="preserve"> Samtökum fjármálafyrirtækja.</w:t>
      </w:r>
    </w:p>
    <w:p w14:paraId="7253CA2B" w14:textId="77777777" w:rsidR="00D911B9" w:rsidRPr="00D911B9" w:rsidRDefault="00D911B9" w:rsidP="00AE0EF7">
      <w:pPr>
        <w:spacing w:after="0" w:line="240" w:lineRule="auto"/>
        <w:jc w:val="both"/>
        <w:rPr>
          <w:rFonts w:ascii="Times New Roman" w:eastAsia="Calibri" w:hAnsi="Times New Roman" w:cs="Times New Roman"/>
          <w:sz w:val="21"/>
        </w:rPr>
      </w:pPr>
    </w:p>
    <w:p w14:paraId="137FD8EC"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2. Tilefni og nauðsyn lagasetningar. </w:t>
      </w:r>
    </w:p>
    <w:p w14:paraId="2AB18E9B" w14:textId="53D1B1B1" w:rsid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Helstu greiðslukortakerfi á Íslandi, </w:t>
      </w:r>
      <w:proofErr w:type="spellStart"/>
      <w:r w:rsidRPr="00D911B9">
        <w:rPr>
          <w:rFonts w:ascii="Times New Roman" w:eastAsia="Calibri" w:hAnsi="Times New Roman" w:cs="Times New Roman"/>
          <w:sz w:val="21"/>
        </w:rPr>
        <w:t>Master</w:t>
      </w:r>
      <w:r w:rsidR="00185574">
        <w:rPr>
          <w:rFonts w:ascii="Times New Roman" w:eastAsia="Calibri" w:hAnsi="Times New Roman" w:cs="Times New Roman"/>
          <w:sz w:val="21"/>
        </w:rPr>
        <w:t>c</w:t>
      </w:r>
      <w:r w:rsidRPr="00D911B9">
        <w:rPr>
          <w:rFonts w:ascii="Times New Roman" w:eastAsia="Calibri" w:hAnsi="Times New Roman" w:cs="Times New Roman"/>
          <w:sz w:val="21"/>
        </w:rPr>
        <w:t>ard</w:t>
      </w:r>
      <w:proofErr w:type="spellEnd"/>
      <w:r w:rsidRPr="00D911B9">
        <w:rPr>
          <w:rFonts w:ascii="Times New Roman" w:eastAsia="Calibri" w:hAnsi="Times New Roman" w:cs="Times New Roman"/>
          <w:sz w:val="21"/>
        </w:rPr>
        <w:t xml:space="preserve"> og </w:t>
      </w:r>
      <w:r w:rsidR="00185574">
        <w:rPr>
          <w:rFonts w:ascii="Times New Roman" w:eastAsia="Calibri" w:hAnsi="Times New Roman" w:cs="Times New Roman"/>
          <w:sz w:val="21"/>
        </w:rPr>
        <w:t>Visa</w:t>
      </w:r>
      <w:r w:rsidRPr="00D911B9">
        <w:rPr>
          <w:rFonts w:ascii="Times New Roman" w:eastAsia="Calibri" w:hAnsi="Times New Roman" w:cs="Times New Roman"/>
          <w:sz w:val="21"/>
        </w:rPr>
        <w:t xml:space="preserve">, eru svokölluð fjögurra aðila kerfi. Heitið vísar til korthafa, útgefanda korts, sem er yfirleitt banki eða sparisjóður, færsluhirðis, sem er fyrirtæki sem samið hefur við söluaðila um viðtöku greiðslukorts og uppgjör greiðslna, og söluaðila. Í slíkum kerfum hafa útgefandi og færsluhirðir milligöngu um greiðslu frá korthafa til söluaðila. Fyrir milligönguna fær útgefandinn almennt svonefnt </w:t>
      </w:r>
      <w:proofErr w:type="spellStart"/>
      <w:r w:rsidRPr="00D911B9">
        <w:rPr>
          <w:rFonts w:ascii="Times New Roman" w:eastAsia="Calibri" w:hAnsi="Times New Roman" w:cs="Times New Roman"/>
          <w:sz w:val="21"/>
        </w:rPr>
        <w:t>milligjald</w:t>
      </w:r>
      <w:proofErr w:type="spellEnd"/>
      <w:r w:rsidRPr="00D911B9">
        <w:rPr>
          <w:rFonts w:ascii="Times New Roman" w:eastAsia="Calibri" w:hAnsi="Times New Roman" w:cs="Times New Roman"/>
          <w:sz w:val="21"/>
        </w:rPr>
        <w:t xml:space="preserve"> frá færsluhirðinum</w:t>
      </w:r>
      <w:r w:rsidR="009A0E9C">
        <w:rPr>
          <w:rFonts w:ascii="Times New Roman" w:eastAsia="Calibri" w:hAnsi="Times New Roman" w:cs="Times New Roman"/>
          <w:sz w:val="21"/>
        </w:rPr>
        <w:t xml:space="preserve"> en færsluhirðirinn þjónustugjald frá söluaðila</w:t>
      </w:r>
      <w:r w:rsidRPr="00D911B9">
        <w:rPr>
          <w:rFonts w:ascii="Times New Roman" w:eastAsia="Calibri" w:hAnsi="Times New Roman" w:cs="Times New Roman"/>
          <w:sz w:val="21"/>
        </w:rPr>
        <w:t>.</w:t>
      </w:r>
      <w:r w:rsidR="00407E91">
        <w:rPr>
          <w:rFonts w:ascii="Times New Roman" w:eastAsia="Calibri" w:hAnsi="Times New Roman" w:cs="Times New Roman"/>
          <w:sz w:val="21"/>
        </w:rPr>
        <w:t xml:space="preserve"> </w:t>
      </w:r>
      <w:r w:rsidR="00407E91" w:rsidRPr="00407E91">
        <w:rPr>
          <w:rFonts w:ascii="Times New Roman" w:eastAsia="Calibri" w:hAnsi="Times New Roman" w:cs="Times New Roman"/>
          <w:sz w:val="21"/>
        </w:rPr>
        <w:t xml:space="preserve">Hluti af þjónustugjaldinu sem söluaðili greiðir færsluhirði fer sem </w:t>
      </w:r>
      <w:proofErr w:type="spellStart"/>
      <w:r w:rsidR="00407E91" w:rsidRPr="00407E91">
        <w:rPr>
          <w:rFonts w:ascii="Times New Roman" w:eastAsia="Calibri" w:hAnsi="Times New Roman" w:cs="Times New Roman"/>
          <w:sz w:val="21"/>
        </w:rPr>
        <w:t>milligjald</w:t>
      </w:r>
      <w:proofErr w:type="spellEnd"/>
      <w:r w:rsidR="00407E91" w:rsidRPr="00407E91">
        <w:rPr>
          <w:rFonts w:ascii="Times New Roman" w:eastAsia="Calibri" w:hAnsi="Times New Roman" w:cs="Times New Roman"/>
          <w:sz w:val="21"/>
        </w:rPr>
        <w:t xml:space="preserve"> þess síðarnefnda til útgefanda.</w:t>
      </w:r>
    </w:p>
    <w:p w14:paraId="2D22E8A0" w14:textId="77777777" w:rsidR="00FF31B1" w:rsidRPr="00D911B9" w:rsidRDefault="00FF31B1" w:rsidP="00D911B9">
      <w:pPr>
        <w:spacing w:after="0" w:line="240" w:lineRule="auto"/>
        <w:ind w:firstLine="284"/>
        <w:jc w:val="both"/>
        <w:rPr>
          <w:rFonts w:ascii="Times New Roman" w:eastAsia="Calibri" w:hAnsi="Times New Roman" w:cs="Times New Roman"/>
          <w:sz w:val="21"/>
        </w:rPr>
      </w:pPr>
    </w:p>
    <w:p w14:paraId="78B8A4F9" w14:textId="6E01E12A" w:rsidR="00D911B9" w:rsidRDefault="000A3A38" w:rsidP="00D911B9">
      <w:pPr>
        <w:spacing w:after="0" w:line="240" w:lineRule="auto"/>
        <w:jc w:val="both"/>
        <w:rPr>
          <w:rFonts w:ascii="Times New Roman" w:eastAsia="Calibri" w:hAnsi="Times New Roman" w:cs="Times New Roman"/>
          <w:sz w:val="21"/>
        </w:rPr>
      </w:pPr>
      <w:r>
        <w:rPr>
          <w:noProof/>
          <w:lang w:eastAsia="is-IS"/>
        </w:rPr>
        <w:drawing>
          <wp:inline distT="0" distB="0" distL="0" distR="0" wp14:anchorId="5927F893" wp14:editId="6D780407">
            <wp:extent cx="3644988" cy="133985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0925" cy="1342032"/>
                    </a:xfrm>
                    <a:prstGeom prst="rect">
                      <a:avLst/>
                    </a:prstGeom>
                  </pic:spPr>
                </pic:pic>
              </a:graphicData>
            </a:graphic>
          </wp:inline>
        </w:drawing>
      </w:r>
    </w:p>
    <w:p w14:paraId="5A18832B" w14:textId="77777777" w:rsidR="00FF31B1" w:rsidRPr="00D911B9" w:rsidRDefault="00FF31B1" w:rsidP="00D911B9">
      <w:pPr>
        <w:spacing w:after="0" w:line="240" w:lineRule="auto"/>
        <w:jc w:val="both"/>
        <w:rPr>
          <w:rFonts w:ascii="Times New Roman" w:eastAsia="Calibri" w:hAnsi="Times New Roman" w:cs="Times New Roman"/>
          <w:sz w:val="21"/>
        </w:rPr>
      </w:pPr>
    </w:p>
    <w:p w14:paraId="5E9DEE66" w14:textId="557B66CD"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Söluaðilar eiga </w:t>
      </w:r>
      <w:r w:rsidR="0028234C">
        <w:rPr>
          <w:rFonts w:ascii="Times New Roman" w:eastAsia="Calibri" w:hAnsi="Times New Roman" w:cs="Times New Roman"/>
          <w:sz w:val="21"/>
        </w:rPr>
        <w:t>erfitt</w:t>
      </w:r>
      <w:r w:rsidRPr="00D911B9">
        <w:rPr>
          <w:rFonts w:ascii="Times New Roman" w:eastAsia="Calibri" w:hAnsi="Times New Roman" w:cs="Times New Roman"/>
          <w:sz w:val="21"/>
        </w:rPr>
        <w:t xml:space="preserve"> með að hafna algengum greiðslukortum þrátt fyrir há þjónustugjöld enda eiga þeir þá á hættu að glata viðskiptum margra korthafa. Korthafar hafa yfirleitt lítinn eða engan hvata til að velja ódýrari greiðslumáta enda er kostnaðinum venjulega jafnað niður á neytendur í formi hærra verðlags.</w:t>
      </w:r>
      <w:r w:rsidR="00D27FA5">
        <w:rPr>
          <w:rFonts w:ascii="Times New Roman" w:eastAsia="Calibri" w:hAnsi="Times New Roman" w:cs="Times New Roman"/>
          <w:sz w:val="21"/>
        </w:rPr>
        <w:t xml:space="preserve"> Hérlendis birtist það m.a. í mikilli notkun kreditkorta þótt kostnaður vegna notkunar þeirra sé meiri en vegna debetkorta.</w:t>
      </w:r>
    </w:p>
    <w:p w14:paraId="6BCFA854"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Samkeppnisyfirvöld hafa víða brugðist við þessum aðstæðum með tilmælum um ákvörðun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Þann 18. desember 2014 tilkynnti Samkeppniseftirlitið um að Arion banki hf., Íslandsbanki hf., Landsbankinn hf., Borgun hf. og </w:t>
      </w:r>
      <w:proofErr w:type="spellStart"/>
      <w:r w:rsidRPr="00D911B9">
        <w:rPr>
          <w:rFonts w:ascii="Times New Roman" w:eastAsia="Calibri" w:hAnsi="Times New Roman" w:cs="Times New Roman"/>
          <w:sz w:val="21"/>
        </w:rPr>
        <w:t>Valitor</w:t>
      </w:r>
      <w:proofErr w:type="spellEnd"/>
      <w:r w:rsidRPr="00D911B9">
        <w:rPr>
          <w:rFonts w:ascii="Times New Roman" w:eastAsia="Calibri" w:hAnsi="Times New Roman" w:cs="Times New Roman"/>
          <w:sz w:val="21"/>
        </w:rPr>
        <w:t xml:space="preserve"> hf. hefðu hvert fyrir sig gert sátt við eftirlitið vegna rannsóknar þess á samkeppnishömlum á greiðslukortamarkaði, sbr. ákvörðun Samkeppniseftirlitsins nr. 8/2015 frá 30. apríl 2015. Fyrirtækin féllust meðal annars á hámörk á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vegna neytendagreiðslukorta, 0,2% fyrir debetkort og 0,6% fyrir kreditkort. Hámörkin voru að hluta til hugsuð sem aðlögun að ákvæðum í fyrirhugaðri reglugerð Evrópusambandsins um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sem gert var ráð fyrir að tæki gildi skömmu síðar.</w:t>
      </w:r>
    </w:p>
    <w:p w14:paraId="1879803A" w14:textId="2E33496F"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Þann 29. apríl 2015 samþykkti Evrópusambandið reglugerð Evrópuþingsins og ráðsins (ESB) 2015/751 um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fyrir kortatengdar greiðslur (</w:t>
      </w:r>
      <w:r w:rsidRPr="00D911B9">
        <w:rPr>
          <w:rFonts w:ascii="Times New Roman" w:eastAsia="Calibri" w:hAnsi="Times New Roman" w:cs="Times New Roman"/>
          <w:color w:val="242424"/>
          <w:sz w:val="21"/>
          <w:shd w:val="clear" w:color="auto" w:fill="FFFFFF"/>
        </w:rPr>
        <w:t xml:space="preserve">hér eftir </w:t>
      </w:r>
      <w:proofErr w:type="spellStart"/>
      <w:r w:rsidRPr="00D911B9">
        <w:rPr>
          <w:rFonts w:ascii="Times New Roman" w:eastAsia="Calibri" w:hAnsi="Times New Roman" w:cs="Times New Roman"/>
          <w:color w:val="242424"/>
          <w:sz w:val="21"/>
          <w:shd w:val="clear" w:color="auto" w:fill="FFFFFF"/>
        </w:rPr>
        <w:t>milligjaldareglugerðin</w:t>
      </w:r>
      <w:proofErr w:type="spellEnd"/>
      <w:r w:rsidRPr="00D911B9">
        <w:rPr>
          <w:rFonts w:ascii="Times New Roman" w:eastAsia="Calibri" w:hAnsi="Times New Roman" w:cs="Times New Roman"/>
          <w:sz w:val="21"/>
        </w:rPr>
        <w:t xml:space="preserve">). </w:t>
      </w:r>
      <w:proofErr w:type="spellStart"/>
      <w:r w:rsidR="007D4896">
        <w:rPr>
          <w:rFonts w:ascii="Times New Roman" w:eastAsia="Calibri" w:hAnsi="Times New Roman" w:cs="Times New Roman"/>
          <w:sz w:val="21"/>
        </w:rPr>
        <w:t>Milligjaldareglug</w:t>
      </w:r>
      <w:r w:rsidRPr="00D911B9">
        <w:rPr>
          <w:rFonts w:ascii="Times New Roman" w:eastAsia="Calibri" w:hAnsi="Times New Roman" w:cs="Times New Roman"/>
          <w:sz w:val="21"/>
        </w:rPr>
        <w:t>erðin</w:t>
      </w:r>
      <w:proofErr w:type="spellEnd"/>
      <w:r w:rsidRPr="00D911B9">
        <w:rPr>
          <w:rFonts w:ascii="Times New Roman" w:eastAsia="Calibri" w:hAnsi="Times New Roman" w:cs="Times New Roman"/>
          <w:sz w:val="21"/>
        </w:rPr>
        <w:t xml:space="preserve"> var tekin upp í samninginn um Evrópska efnahagssvæðið (hér eftir </w:t>
      </w:r>
      <w:r w:rsidRPr="00D911B9">
        <w:rPr>
          <w:rFonts w:ascii="Times New Roman" w:eastAsia="Calibri" w:hAnsi="Times New Roman" w:cs="Times New Roman"/>
          <w:sz w:val="21"/>
        </w:rPr>
        <w:lastRenderedPageBreak/>
        <w:t xml:space="preserve">EES-samningurinn) með ákvörðun sameiginlegu EES-nefndarinnar nr. [ ] frá [ ]. </w:t>
      </w:r>
      <w:r w:rsidR="0058428C">
        <w:rPr>
          <w:rFonts w:ascii="Times New Roman" w:eastAsia="Calibri" w:hAnsi="Times New Roman" w:cs="Times New Roman"/>
          <w:sz w:val="21"/>
        </w:rPr>
        <w:t>[</w:t>
      </w:r>
      <w:r w:rsidRPr="00D911B9">
        <w:rPr>
          <w:rFonts w:ascii="Times New Roman" w:eastAsia="Calibri" w:hAnsi="Times New Roman" w:cs="Times New Roman"/>
          <w:sz w:val="21"/>
        </w:rPr>
        <w:t xml:space="preserve">Við upptökuna voru gerðar aðlaganir á dagsetningum í 1. </w:t>
      </w:r>
      <w:proofErr w:type="spellStart"/>
      <w:r w:rsidRPr="00D911B9">
        <w:rPr>
          <w:rFonts w:ascii="Times New Roman" w:eastAsia="Calibri" w:hAnsi="Times New Roman" w:cs="Times New Roman"/>
          <w:sz w:val="21"/>
        </w:rPr>
        <w:t>málsl</w:t>
      </w:r>
      <w:proofErr w:type="spellEnd"/>
      <w:r w:rsidRPr="00D911B9">
        <w:rPr>
          <w:rFonts w:ascii="Times New Roman" w:eastAsia="Calibri" w:hAnsi="Times New Roman" w:cs="Times New Roman"/>
          <w:sz w:val="21"/>
        </w:rPr>
        <w:t xml:space="preserve">. </w:t>
      </w:r>
      <w:proofErr w:type="spellStart"/>
      <w:r w:rsidRPr="00D911B9">
        <w:rPr>
          <w:rFonts w:ascii="Times New Roman" w:eastAsia="Calibri" w:hAnsi="Times New Roman" w:cs="Times New Roman"/>
          <w:sz w:val="21"/>
        </w:rPr>
        <w:t>b-liðar</w:t>
      </w:r>
      <w:proofErr w:type="spellEnd"/>
      <w:r w:rsidRPr="00D911B9">
        <w:rPr>
          <w:rFonts w:ascii="Times New Roman" w:eastAsia="Calibri" w:hAnsi="Times New Roman" w:cs="Times New Roman"/>
          <w:sz w:val="21"/>
        </w:rPr>
        <w:t xml:space="preserve"> 2. mgr. 3. gr. og 2. mgr. 16. gr. gerðarinnar sem voru þegar liðnar</w:t>
      </w:r>
      <w:r w:rsidR="0058428C">
        <w:rPr>
          <w:rFonts w:ascii="Times New Roman" w:eastAsia="Calibri" w:hAnsi="Times New Roman" w:cs="Times New Roman"/>
          <w:sz w:val="21"/>
        </w:rPr>
        <w:t>]</w:t>
      </w:r>
      <w:r w:rsidRPr="00D911B9">
        <w:rPr>
          <w:rFonts w:ascii="Times New Roman" w:eastAsia="Calibri" w:hAnsi="Times New Roman" w:cs="Times New Roman"/>
          <w:sz w:val="21"/>
        </w:rPr>
        <w:t xml:space="preserve"> auk svonefndra altækra aðlagana sem eiga við um allar gerðir sem eru teknar upp í EES-samninginn samkvæmt bókun 1 við samninginn. Ísland er skuldbundið skv. 7. gr. EES-samningsins til þess að taka gerðina með aðlögununum upp í landsrétt. </w:t>
      </w:r>
    </w:p>
    <w:p w14:paraId="0838DF28" w14:textId="77777777" w:rsidR="00D911B9" w:rsidRPr="00D911B9" w:rsidRDefault="00D911B9" w:rsidP="00D911B9">
      <w:pPr>
        <w:spacing w:after="0" w:line="240" w:lineRule="auto"/>
        <w:jc w:val="both"/>
        <w:rPr>
          <w:rFonts w:ascii="Times New Roman" w:eastAsia="Calibri" w:hAnsi="Times New Roman" w:cs="Times New Roman"/>
          <w:sz w:val="21"/>
        </w:rPr>
      </w:pPr>
    </w:p>
    <w:p w14:paraId="08D5A9D9"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3. Meginefni frumvarpsins. </w:t>
      </w:r>
    </w:p>
    <w:p w14:paraId="07E192AC" w14:textId="5BD58804" w:rsidR="00D911B9" w:rsidRPr="00D911B9" w:rsidRDefault="00D911B9" w:rsidP="00D911B9">
      <w:pPr>
        <w:spacing w:after="0" w:line="240" w:lineRule="auto"/>
        <w:ind w:firstLine="284"/>
        <w:jc w:val="both"/>
        <w:rPr>
          <w:rFonts w:ascii="Times New Roman" w:eastAsia="Calibri" w:hAnsi="Times New Roman" w:cs="Times New Roman"/>
          <w:sz w:val="21"/>
        </w:rPr>
      </w:pPr>
      <w:bookmarkStart w:id="14" w:name="_Hlk527969978"/>
      <w:r w:rsidRPr="00D911B9">
        <w:rPr>
          <w:rFonts w:ascii="Times New Roman" w:eastAsia="Calibri" w:hAnsi="Times New Roman" w:cs="Times New Roman"/>
          <w:sz w:val="21"/>
        </w:rPr>
        <w:t xml:space="preserve">Lagt er til að </w:t>
      </w:r>
      <w:proofErr w:type="spellStart"/>
      <w:r w:rsidRPr="00D911B9">
        <w:rPr>
          <w:rFonts w:ascii="Times New Roman" w:eastAsia="Calibri" w:hAnsi="Times New Roman" w:cs="Times New Roman"/>
          <w:sz w:val="21"/>
        </w:rPr>
        <w:t>milligjaldareglugerðinn</w:t>
      </w:r>
      <w:r w:rsidR="0044438A">
        <w:rPr>
          <w:rFonts w:ascii="Times New Roman" w:eastAsia="Calibri" w:hAnsi="Times New Roman" w:cs="Times New Roman"/>
          <w:sz w:val="21"/>
        </w:rPr>
        <w:t>i</w:t>
      </w:r>
      <w:proofErr w:type="spellEnd"/>
      <w:r w:rsidRPr="00D911B9">
        <w:rPr>
          <w:rFonts w:ascii="Times New Roman" w:eastAsia="Calibri" w:hAnsi="Times New Roman" w:cs="Times New Roman"/>
          <w:sz w:val="21"/>
        </w:rPr>
        <w:t xml:space="preserve"> verði veitt lagagildi hér á landi. Með henni eru sett hámörk á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vegna neytendagreiðslukorta, 0,2% af fjárhæð greiðslu vegna debetkorta og 0,3% vegna kreditkorta (3.–5. gr.). Auk þess eru svæðisbundnar takmarkanir í leyfissamningum eða í reglum um greiðslukortakerfi bannaðar (6. gr.) og mælt fyrir um aðgreiningu greiðslukortakerfa og vinnsluaðila (7. gr.), aukin úrræði korthafa og söluaðila til að ákveða greiðslumáta (8., 10. og 11. gr.), sundurliðun þjónustugjalda færsluhirða (9. gr.) og upplýsingagjöf færsluhirða til söluaðila (12. gr.). Reglugerðinni er ætlað að lækka kostnað söluaðila og neytenda, bæta samkeppni og stuðla að samþættingu greiðslukortamarkaða þvert á landamæri innan Evróp</w:t>
      </w:r>
      <w:r w:rsidR="0086484C">
        <w:rPr>
          <w:rFonts w:ascii="Times New Roman" w:eastAsia="Calibri" w:hAnsi="Times New Roman" w:cs="Times New Roman"/>
          <w:sz w:val="21"/>
        </w:rPr>
        <w:t>sk</w:t>
      </w:r>
      <w:r w:rsidRPr="00D911B9">
        <w:rPr>
          <w:rFonts w:ascii="Times New Roman" w:eastAsia="Calibri" w:hAnsi="Times New Roman" w:cs="Times New Roman"/>
          <w:sz w:val="21"/>
        </w:rPr>
        <w:t>a efnahagssvæðisins.</w:t>
      </w:r>
    </w:p>
    <w:p w14:paraId="73C483BC" w14:textId="4D22FE4B"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Aðildarríki þurfa að tilnefna </w:t>
      </w:r>
      <w:proofErr w:type="spellStart"/>
      <w:r w:rsidRPr="00D911B9">
        <w:rPr>
          <w:rFonts w:ascii="Times New Roman" w:eastAsia="Calibri" w:hAnsi="Times New Roman" w:cs="Times New Roman"/>
          <w:sz w:val="21"/>
        </w:rPr>
        <w:t>lögbær</w:t>
      </w:r>
      <w:proofErr w:type="spellEnd"/>
      <w:r w:rsidRPr="00D911B9">
        <w:rPr>
          <w:rFonts w:ascii="Times New Roman" w:eastAsia="Calibri" w:hAnsi="Times New Roman" w:cs="Times New Roman"/>
          <w:sz w:val="21"/>
        </w:rPr>
        <w:t xml:space="preserve"> yfirvöld með fullnægjandi rannsóknar- og framkvæmdarheimildir til að tryggja framfylgd </w:t>
      </w:r>
      <w:proofErr w:type="spellStart"/>
      <w:r w:rsidR="00FF6827">
        <w:rPr>
          <w:rFonts w:ascii="Times New Roman" w:eastAsia="Calibri" w:hAnsi="Times New Roman" w:cs="Times New Roman"/>
          <w:sz w:val="21"/>
        </w:rPr>
        <w:t>milligjaldareglugerðarinnar</w:t>
      </w:r>
      <w:proofErr w:type="spellEnd"/>
      <w:r w:rsidR="00FF6827" w:rsidRPr="00D911B9">
        <w:rPr>
          <w:rFonts w:ascii="Times New Roman" w:eastAsia="Calibri" w:hAnsi="Times New Roman" w:cs="Times New Roman"/>
          <w:sz w:val="21"/>
        </w:rPr>
        <w:t xml:space="preserve"> </w:t>
      </w:r>
      <w:r w:rsidRPr="00D911B9">
        <w:rPr>
          <w:rFonts w:ascii="Times New Roman" w:eastAsia="Calibri" w:hAnsi="Times New Roman" w:cs="Times New Roman"/>
          <w:sz w:val="21"/>
        </w:rPr>
        <w:t xml:space="preserve">(13. gr.), setja reglur um viðurlög við brotum gegn henni (14. gr.) og tryggja kæru- og úrlausnarmeðferð utan réttar eða gera jafngildar ráðstafanir til að leysa deilumál milli viðtakenda greiðslna og greiðsluþjónustuveitenda þeirra (15. gr.). </w:t>
      </w:r>
      <w:r w:rsidR="00A2609D">
        <w:rPr>
          <w:rFonts w:ascii="Times New Roman" w:eastAsia="Calibri" w:hAnsi="Times New Roman" w:cs="Times New Roman"/>
          <w:sz w:val="21"/>
        </w:rPr>
        <w:t>L</w:t>
      </w:r>
      <w:r w:rsidRPr="00D911B9">
        <w:rPr>
          <w:rFonts w:ascii="Times New Roman" w:eastAsia="Calibri" w:hAnsi="Times New Roman" w:cs="Times New Roman"/>
          <w:sz w:val="21"/>
        </w:rPr>
        <w:t>agt</w:t>
      </w:r>
      <w:r w:rsidR="00A2609D">
        <w:rPr>
          <w:rFonts w:ascii="Times New Roman" w:eastAsia="Calibri" w:hAnsi="Times New Roman" w:cs="Times New Roman"/>
          <w:sz w:val="21"/>
        </w:rPr>
        <w:t xml:space="preserve"> er</w:t>
      </w:r>
      <w:r w:rsidRPr="00D911B9">
        <w:rPr>
          <w:rFonts w:ascii="Times New Roman" w:eastAsia="Calibri" w:hAnsi="Times New Roman" w:cs="Times New Roman"/>
          <w:sz w:val="21"/>
        </w:rPr>
        <w:t xml:space="preserve"> til að Fjármálaeftirlitinu verði falið eftirlit með lögunum</w:t>
      </w:r>
      <w:r w:rsidR="006D6E75">
        <w:rPr>
          <w:rFonts w:ascii="Times New Roman" w:eastAsia="Calibri" w:hAnsi="Times New Roman" w:cs="Times New Roman"/>
          <w:sz w:val="21"/>
        </w:rPr>
        <w:t>,</w:t>
      </w:r>
      <w:r w:rsidR="009B3565">
        <w:rPr>
          <w:rFonts w:ascii="Times New Roman" w:eastAsia="Calibri" w:hAnsi="Times New Roman" w:cs="Times New Roman"/>
          <w:sz w:val="21"/>
        </w:rPr>
        <w:t xml:space="preserve"> utan</w:t>
      </w:r>
      <w:r w:rsidR="009B3565" w:rsidRPr="00D911B9">
        <w:rPr>
          <w:rFonts w:ascii="Times New Roman" w:eastAsia="Calibri" w:hAnsi="Times New Roman" w:cs="Times New Roman"/>
          <w:sz w:val="21"/>
        </w:rPr>
        <w:t xml:space="preserve"> </w:t>
      </w:r>
      <w:r w:rsidR="009B3565">
        <w:rPr>
          <w:rFonts w:ascii="Times New Roman" w:eastAsia="Calibri" w:hAnsi="Times New Roman" w:cs="Times New Roman"/>
          <w:sz w:val="21"/>
        </w:rPr>
        <w:t>4. mgr. 10. gr. gerðarinnar</w:t>
      </w:r>
      <w:r w:rsidR="009B3565">
        <w:rPr>
          <w:rFonts w:ascii="Times New Roman" w:eastAsia="Calibri" w:hAnsi="Times New Roman" w:cs="Times New Roman"/>
          <w:color w:val="242424"/>
          <w:sz w:val="21"/>
          <w:shd w:val="clear" w:color="auto" w:fill="FFFFFF"/>
        </w:rPr>
        <w:t xml:space="preserve"> sem </w:t>
      </w:r>
      <w:r w:rsidR="009B3565">
        <w:rPr>
          <w:rFonts w:ascii="Times New Roman" w:eastAsia="Calibri" w:hAnsi="Times New Roman" w:cs="Times New Roman"/>
          <w:sz w:val="21"/>
        </w:rPr>
        <w:t>Neytendastofa hafi eftirlit með</w:t>
      </w:r>
      <w:r w:rsidR="006D6E75">
        <w:rPr>
          <w:rFonts w:ascii="Times New Roman" w:eastAsia="Calibri" w:hAnsi="Times New Roman" w:cs="Times New Roman"/>
          <w:sz w:val="21"/>
        </w:rPr>
        <w:t>, og</w:t>
      </w:r>
      <w:r w:rsidRPr="00D911B9">
        <w:rPr>
          <w:rFonts w:ascii="Times New Roman" w:eastAsia="Calibri" w:hAnsi="Times New Roman" w:cs="Times New Roman"/>
          <w:sz w:val="21"/>
        </w:rPr>
        <w:t xml:space="preserve"> </w:t>
      </w:r>
      <w:r w:rsidR="006D6E75">
        <w:rPr>
          <w:rFonts w:ascii="Times New Roman" w:eastAsia="Calibri" w:hAnsi="Times New Roman" w:cs="Times New Roman"/>
          <w:sz w:val="21"/>
        </w:rPr>
        <w:t xml:space="preserve">að </w:t>
      </w:r>
      <w:r w:rsidR="009B3565">
        <w:rPr>
          <w:rFonts w:ascii="Times New Roman" w:eastAsia="Calibri" w:hAnsi="Times New Roman" w:cs="Times New Roman"/>
          <w:sz w:val="21"/>
        </w:rPr>
        <w:t>brot varði</w:t>
      </w:r>
      <w:r w:rsidR="00467B57">
        <w:rPr>
          <w:rFonts w:ascii="Times New Roman" w:eastAsia="Calibri" w:hAnsi="Times New Roman" w:cs="Times New Roman"/>
          <w:sz w:val="21"/>
        </w:rPr>
        <w:t xml:space="preserve"> </w:t>
      </w:r>
      <w:r w:rsidR="009B3565">
        <w:rPr>
          <w:rFonts w:ascii="Times New Roman" w:eastAsia="Calibri" w:hAnsi="Times New Roman" w:cs="Times New Roman"/>
          <w:sz w:val="21"/>
        </w:rPr>
        <w:t>stjórnvaldssektum</w:t>
      </w:r>
      <w:r w:rsidR="00654022">
        <w:rPr>
          <w:rFonts w:ascii="Times New Roman" w:eastAsia="Calibri" w:hAnsi="Times New Roman" w:cs="Times New Roman"/>
          <w:color w:val="242424"/>
          <w:sz w:val="21"/>
          <w:shd w:val="clear" w:color="auto" w:fill="FFFFFF"/>
        </w:rPr>
        <w:t>.</w:t>
      </w:r>
      <w:r w:rsidR="00654022">
        <w:rPr>
          <w:rFonts w:ascii="Times New Roman" w:eastAsia="Calibri" w:hAnsi="Times New Roman" w:cs="Times New Roman"/>
          <w:sz w:val="21"/>
        </w:rPr>
        <w:t xml:space="preserve"> </w:t>
      </w:r>
      <w:r w:rsidRPr="00D911B9">
        <w:rPr>
          <w:rFonts w:ascii="Times New Roman" w:eastAsia="Calibri" w:hAnsi="Times New Roman" w:cs="Times New Roman"/>
          <w:sz w:val="21"/>
        </w:rPr>
        <w:t xml:space="preserve">Viðtakendur greiðslna geta þegar </w:t>
      </w:r>
      <w:r w:rsidRPr="00D911B9">
        <w:rPr>
          <w:rFonts w:ascii="Times New Roman" w:eastAsia="Calibri" w:hAnsi="Times New Roman" w:cs="Times New Roman"/>
          <w:color w:val="242424"/>
          <w:sz w:val="21"/>
          <w:shd w:val="clear" w:color="auto" w:fill="FFFFFF"/>
        </w:rPr>
        <w:t xml:space="preserve">skotið ágreiningi við greiðsluþjónustuveitendur sína til úrskurðarnefndar um viðskipti við fjármálafyrirtæki á grundvelli </w:t>
      </w:r>
      <w:r w:rsidRPr="00D911B9">
        <w:rPr>
          <w:rFonts w:ascii="Times New Roman" w:eastAsia="Calibri" w:hAnsi="Times New Roman" w:cs="Times New Roman"/>
          <w:sz w:val="21"/>
        </w:rPr>
        <w:t xml:space="preserve">2. mgr. 76. gr. laga um greiðsluþjónustu, nr. 120/2011, sbr. einnig 2. mgr. 42. gr. laga um útgáfu og meðferð </w:t>
      </w:r>
      <w:proofErr w:type="spellStart"/>
      <w:r w:rsidRPr="00D911B9">
        <w:rPr>
          <w:rFonts w:ascii="Times New Roman" w:eastAsia="Calibri" w:hAnsi="Times New Roman" w:cs="Times New Roman"/>
          <w:sz w:val="21"/>
        </w:rPr>
        <w:t>rafeyris</w:t>
      </w:r>
      <w:proofErr w:type="spellEnd"/>
      <w:r w:rsidRPr="00D911B9">
        <w:rPr>
          <w:rFonts w:ascii="Times New Roman" w:eastAsia="Calibri" w:hAnsi="Times New Roman" w:cs="Times New Roman"/>
          <w:sz w:val="21"/>
        </w:rPr>
        <w:t xml:space="preserve">, nr. 17/2013. Því er ekki talin þörf á </w:t>
      </w:r>
      <w:r w:rsidR="00100A40">
        <w:rPr>
          <w:rFonts w:ascii="Times New Roman" w:eastAsia="Calibri" w:hAnsi="Times New Roman" w:cs="Times New Roman"/>
          <w:sz w:val="21"/>
        </w:rPr>
        <w:t>nýju</w:t>
      </w:r>
      <w:r w:rsidR="00100A40" w:rsidRPr="00D911B9">
        <w:rPr>
          <w:rFonts w:ascii="Times New Roman" w:eastAsia="Calibri" w:hAnsi="Times New Roman" w:cs="Times New Roman"/>
          <w:sz w:val="21"/>
        </w:rPr>
        <w:t xml:space="preserve"> </w:t>
      </w:r>
      <w:r w:rsidRPr="00D911B9">
        <w:rPr>
          <w:rFonts w:ascii="Times New Roman" w:eastAsia="Calibri" w:hAnsi="Times New Roman" w:cs="Times New Roman"/>
          <w:sz w:val="21"/>
        </w:rPr>
        <w:t>ákvæði til</w:t>
      </w:r>
      <w:r w:rsidR="008F4475">
        <w:rPr>
          <w:rFonts w:ascii="Times New Roman" w:eastAsia="Calibri" w:hAnsi="Times New Roman" w:cs="Times New Roman"/>
          <w:sz w:val="21"/>
        </w:rPr>
        <w:t xml:space="preserve"> að</w:t>
      </w:r>
      <w:r w:rsidRPr="00D911B9">
        <w:rPr>
          <w:rFonts w:ascii="Times New Roman" w:eastAsia="Calibri" w:hAnsi="Times New Roman" w:cs="Times New Roman"/>
          <w:sz w:val="21"/>
        </w:rPr>
        <w:t xml:space="preserve"> innleiða 15. gr.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w:t>
      </w:r>
    </w:p>
    <w:bookmarkEnd w:id="14"/>
    <w:p w14:paraId="54FEA66D" w14:textId="238837AE" w:rsidR="00D911B9" w:rsidRPr="00D911B9" w:rsidRDefault="00D911B9" w:rsidP="005C487A">
      <w:pPr>
        <w:spacing w:after="0" w:line="240" w:lineRule="auto"/>
        <w:ind w:firstLine="284"/>
        <w:jc w:val="both"/>
        <w:rPr>
          <w:rFonts w:ascii="Times New Roman" w:eastAsia="Calibri" w:hAnsi="Times New Roman" w:cs="Times New Roman"/>
          <w:sz w:val="21"/>
        </w:rPr>
      </w:pPr>
      <w:proofErr w:type="spellStart"/>
      <w:r w:rsidRPr="00D911B9">
        <w:rPr>
          <w:rFonts w:ascii="Times New Roman" w:eastAsia="Calibri" w:hAnsi="Times New Roman" w:cs="Times New Roman"/>
          <w:sz w:val="21"/>
        </w:rPr>
        <w:t>Milligjaldareglugerðin</w:t>
      </w:r>
      <w:proofErr w:type="spellEnd"/>
      <w:r w:rsidRPr="00D911B9">
        <w:rPr>
          <w:rFonts w:ascii="Times New Roman" w:eastAsia="Calibri" w:hAnsi="Times New Roman" w:cs="Times New Roman"/>
          <w:sz w:val="21"/>
        </w:rPr>
        <w:t xml:space="preserve"> heimilar aðildarríkjum að veita tímabundna undanþágu frá gildissviði reglugerðarinnar vegna þriggja aðila greiðslukortakerfa (2. </w:t>
      </w:r>
      <w:proofErr w:type="spellStart"/>
      <w:r w:rsidRPr="00D911B9">
        <w:rPr>
          <w:rFonts w:ascii="Times New Roman" w:eastAsia="Calibri" w:hAnsi="Times New Roman" w:cs="Times New Roman"/>
          <w:sz w:val="21"/>
        </w:rPr>
        <w:t>málsl</w:t>
      </w:r>
      <w:proofErr w:type="spellEnd"/>
      <w:r w:rsidRPr="00D911B9">
        <w:rPr>
          <w:rFonts w:ascii="Times New Roman" w:eastAsia="Calibri" w:hAnsi="Times New Roman" w:cs="Times New Roman"/>
          <w:sz w:val="21"/>
        </w:rPr>
        <w:t xml:space="preserve">. 5. mgr. 1. gr.), ákveða lægra hámark fyrir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vegna innlendra greiðslukortafærslna (2. mgr. 3. gr. og 2. </w:t>
      </w:r>
      <w:proofErr w:type="spellStart"/>
      <w:r w:rsidRPr="00D911B9">
        <w:rPr>
          <w:rFonts w:ascii="Times New Roman" w:eastAsia="Calibri" w:hAnsi="Times New Roman" w:cs="Times New Roman"/>
          <w:sz w:val="21"/>
        </w:rPr>
        <w:t>málsl</w:t>
      </w:r>
      <w:proofErr w:type="spellEnd"/>
      <w:r w:rsidRPr="00D911B9">
        <w:rPr>
          <w:rFonts w:ascii="Times New Roman" w:eastAsia="Calibri" w:hAnsi="Times New Roman" w:cs="Times New Roman"/>
          <w:sz w:val="21"/>
        </w:rPr>
        <w:t xml:space="preserve">. 4. gr.), heimila greiðsluþjónustuveitendum tímabundið notkun vegins meðaltals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vegna innlendra debetkortafærslna (3. mgr. 3. gr.) og beita tímabundið 0,3% hámarki á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vegna hluta innlendra greiðslna sem greiðslukortakerfi getur ekki greint hvort séu </w:t>
      </w:r>
      <w:proofErr w:type="spellStart"/>
      <w:r w:rsidRPr="00D911B9">
        <w:rPr>
          <w:rFonts w:ascii="Times New Roman" w:eastAsia="Calibri" w:hAnsi="Times New Roman" w:cs="Times New Roman"/>
          <w:sz w:val="21"/>
        </w:rPr>
        <w:t>debet</w:t>
      </w:r>
      <w:proofErr w:type="spellEnd"/>
      <w:r w:rsidRPr="00D911B9">
        <w:rPr>
          <w:rFonts w:ascii="Times New Roman" w:eastAsia="Calibri" w:hAnsi="Times New Roman" w:cs="Times New Roman"/>
          <w:sz w:val="21"/>
        </w:rPr>
        <w:t>- eða kreditkortafærslur (2. mgr. 16. gr.). Ekki var talið tilefni til að nýta þessar heimildir til að víkja frá almennum reglum gerðarinnar</w:t>
      </w:r>
      <w:r w:rsidR="002700AF">
        <w:rPr>
          <w:rFonts w:ascii="Times New Roman" w:eastAsia="Calibri" w:hAnsi="Times New Roman" w:cs="Times New Roman"/>
          <w:sz w:val="21"/>
        </w:rPr>
        <w:t xml:space="preserve"> að sinni</w:t>
      </w:r>
      <w:r w:rsidRPr="00D911B9">
        <w:rPr>
          <w:rFonts w:ascii="Times New Roman" w:eastAsia="Calibri" w:hAnsi="Times New Roman" w:cs="Times New Roman"/>
          <w:sz w:val="21"/>
        </w:rPr>
        <w:t>.</w:t>
      </w:r>
      <w:r w:rsidR="002700AF">
        <w:rPr>
          <w:rFonts w:ascii="Times New Roman" w:eastAsia="Calibri" w:hAnsi="Times New Roman" w:cs="Times New Roman"/>
          <w:sz w:val="21"/>
        </w:rPr>
        <w:t xml:space="preserve"> </w:t>
      </w:r>
      <w:r w:rsidR="008946E6">
        <w:rPr>
          <w:rFonts w:ascii="Times New Roman" w:eastAsia="Calibri" w:hAnsi="Times New Roman" w:cs="Times New Roman"/>
          <w:sz w:val="21"/>
        </w:rPr>
        <w:t xml:space="preserve">Í ljósi örrar þróunar </w:t>
      </w:r>
      <w:r w:rsidR="00201C57">
        <w:rPr>
          <w:rFonts w:ascii="Times New Roman" w:eastAsia="Calibri" w:hAnsi="Times New Roman" w:cs="Times New Roman"/>
          <w:sz w:val="21"/>
        </w:rPr>
        <w:t>smá</w:t>
      </w:r>
      <w:r w:rsidR="008946E6">
        <w:rPr>
          <w:rFonts w:ascii="Times New Roman" w:eastAsia="Calibri" w:hAnsi="Times New Roman" w:cs="Times New Roman"/>
          <w:sz w:val="21"/>
        </w:rPr>
        <w:t>greiðslumiðlunar</w:t>
      </w:r>
      <w:r w:rsidR="00DD417C">
        <w:rPr>
          <w:rFonts w:ascii="Times New Roman" w:eastAsia="Calibri" w:hAnsi="Times New Roman" w:cs="Times New Roman"/>
          <w:sz w:val="21"/>
        </w:rPr>
        <w:t xml:space="preserve"> um þessar mundir</w:t>
      </w:r>
      <w:r w:rsidR="00BC7D93">
        <w:rPr>
          <w:rFonts w:ascii="Times New Roman" w:eastAsia="Calibri" w:hAnsi="Times New Roman" w:cs="Times New Roman"/>
          <w:sz w:val="21"/>
        </w:rPr>
        <w:t xml:space="preserve">, </w:t>
      </w:r>
      <w:r w:rsidR="00DD417C">
        <w:rPr>
          <w:rFonts w:ascii="Times New Roman" w:eastAsia="Calibri" w:hAnsi="Times New Roman" w:cs="Times New Roman"/>
          <w:sz w:val="21"/>
        </w:rPr>
        <w:t>m.a. vegna breytinga á tækni og regluverki</w:t>
      </w:r>
      <w:r w:rsidR="00BC7D93">
        <w:rPr>
          <w:rFonts w:ascii="Times New Roman" w:eastAsia="Calibri" w:hAnsi="Times New Roman" w:cs="Times New Roman"/>
          <w:sz w:val="21"/>
        </w:rPr>
        <w:t>,</w:t>
      </w:r>
      <w:r w:rsidR="008946E6">
        <w:rPr>
          <w:rFonts w:ascii="Times New Roman" w:eastAsia="Calibri" w:hAnsi="Times New Roman" w:cs="Times New Roman"/>
          <w:sz w:val="21"/>
        </w:rPr>
        <w:t xml:space="preserve"> </w:t>
      </w:r>
      <w:r w:rsidR="00CA37E7">
        <w:rPr>
          <w:rFonts w:ascii="Times New Roman" w:eastAsia="Calibri" w:hAnsi="Times New Roman" w:cs="Times New Roman"/>
          <w:sz w:val="21"/>
        </w:rPr>
        <w:t xml:space="preserve">gætu þó forsendur skapast </w:t>
      </w:r>
      <w:r w:rsidR="005D1304">
        <w:rPr>
          <w:rFonts w:ascii="Times New Roman" w:eastAsia="Calibri" w:hAnsi="Times New Roman" w:cs="Times New Roman"/>
          <w:sz w:val="21"/>
        </w:rPr>
        <w:t>í framtíðinni</w:t>
      </w:r>
      <w:r w:rsidR="00CA37E7">
        <w:rPr>
          <w:rFonts w:ascii="Times New Roman" w:eastAsia="Calibri" w:hAnsi="Times New Roman" w:cs="Times New Roman"/>
          <w:sz w:val="21"/>
        </w:rPr>
        <w:t xml:space="preserve"> til að nýta heimild reglugerðarinnar til að </w:t>
      </w:r>
      <w:r w:rsidR="00CA37E7" w:rsidRPr="00D911B9">
        <w:rPr>
          <w:rFonts w:ascii="Times New Roman" w:eastAsia="Calibri" w:hAnsi="Times New Roman" w:cs="Times New Roman"/>
          <w:sz w:val="21"/>
        </w:rPr>
        <w:t xml:space="preserve">ákveða lægra hámark </w:t>
      </w:r>
      <w:r w:rsidR="00A32919">
        <w:rPr>
          <w:rFonts w:ascii="Times New Roman" w:eastAsia="Calibri" w:hAnsi="Times New Roman" w:cs="Times New Roman"/>
          <w:sz w:val="21"/>
        </w:rPr>
        <w:t>á</w:t>
      </w:r>
      <w:r w:rsidR="00CA37E7" w:rsidRPr="00D911B9">
        <w:rPr>
          <w:rFonts w:ascii="Times New Roman" w:eastAsia="Calibri" w:hAnsi="Times New Roman" w:cs="Times New Roman"/>
          <w:sz w:val="21"/>
        </w:rPr>
        <w:t xml:space="preserve"> </w:t>
      </w:r>
      <w:proofErr w:type="spellStart"/>
      <w:r w:rsidR="00CA37E7" w:rsidRPr="00D911B9">
        <w:rPr>
          <w:rFonts w:ascii="Times New Roman" w:eastAsia="Calibri" w:hAnsi="Times New Roman" w:cs="Times New Roman"/>
          <w:sz w:val="21"/>
        </w:rPr>
        <w:t>milligjöld</w:t>
      </w:r>
      <w:proofErr w:type="spellEnd"/>
      <w:r w:rsidR="00CA37E7" w:rsidRPr="00D911B9">
        <w:rPr>
          <w:rFonts w:ascii="Times New Roman" w:eastAsia="Calibri" w:hAnsi="Times New Roman" w:cs="Times New Roman"/>
          <w:sz w:val="21"/>
        </w:rPr>
        <w:t xml:space="preserve"> vegna innlendra </w:t>
      </w:r>
      <w:r w:rsidR="003C70EB">
        <w:rPr>
          <w:rFonts w:ascii="Times New Roman" w:eastAsia="Calibri" w:hAnsi="Times New Roman" w:cs="Times New Roman"/>
          <w:sz w:val="21"/>
        </w:rPr>
        <w:t>debet</w:t>
      </w:r>
      <w:r w:rsidR="00CA37E7" w:rsidRPr="00D911B9">
        <w:rPr>
          <w:rFonts w:ascii="Times New Roman" w:eastAsia="Calibri" w:hAnsi="Times New Roman" w:cs="Times New Roman"/>
          <w:sz w:val="21"/>
        </w:rPr>
        <w:t>kortafærslna</w:t>
      </w:r>
      <w:r w:rsidR="00CA37E7">
        <w:rPr>
          <w:rFonts w:ascii="Times New Roman" w:eastAsia="Calibri" w:hAnsi="Times New Roman" w:cs="Times New Roman"/>
          <w:sz w:val="21"/>
        </w:rPr>
        <w:t xml:space="preserve">. </w:t>
      </w:r>
      <w:r w:rsidR="00DD417C" w:rsidRPr="00DD417C">
        <w:rPr>
          <w:rFonts w:ascii="Times New Roman" w:eastAsia="Calibri" w:hAnsi="Times New Roman" w:cs="Times New Roman"/>
          <w:sz w:val="21"/>
        </w:rPr>
        <w:t>Smáforritum (öppum) fjölgar ört sem nota má til miðlunar greiðslna í rauntíma, innlendum sem og erlendum. Hér á landi hafa debetkort verið talin meðal mikilvægustu greiðslumiðla í viðskiptum og litið á greiðslur með þeim sem ígildi staðgreiðsl</w:t>
      </w:r>
      <w:r w:rsidR="00DD417C">
        <w:rPr>
          <w:rFonts w:ascii="Times New Roman" w:eastAsia="Calibri" w:hAnsi="Times New Roman" w:cs="Times New Roman"/>
          <w:sz w:val="21"/>
        </w:rPr>
        <w:t>na</w:t>
      </w:r>
      <w:r w:rsidR="00DD417C" w:rsidRPr="00DD417C">
        <w:rPr>
          <w:rFonts w:ascii="Times New Roman" w:eastAsia="Calibri" w:hAnsi="Times New Roman" w:cs="Times New Roman"/>
          <w:sz w:val="21"/>
        </w:rPr>
        <w:t xml:space="preserve">. </w:t>
      </w:r>
      <w:r w:rsidR="00CA37E7">
        <w:rPr>
          <w:rFonts w:ascii="Times New Roman" w:eastAsia="Calibri" w:hAnsi="Times New Roman" w:cs="Times New Roman"/>
          <w:sz w:val="21"/>
        </w:rPr>
        <w:t xml:space="preserve">Af </w:t>
      </w:r>
      <w:r w:rsidR="007A274E">
        <w:rPr>
          <w:rFonts w:ascii="Times New Roman" w:eastAsia="Calibri" w:hAnsi="Times New Roman" w:cs="Times New Roman"/>
          <w:sz w:val="21"/>
        </w:rPr>
        <w:t>þessum</w:t>
      </w:r>
      <w:r w:rsidR="00CA37E7">
        <w:rPr>
          <w:rFonts w:ascii="Times New Roman" w:eastAsia="Calibri" w:hAnsi="Times New Roman" w:cs="Times New Roman"/>
          <w:sz w:val="21"/>
        </w:rPr>
        <w:t xml:space="preserve"> sökum er gert ráð fyrir því að f</w:t>
      </w:r>
      <w:r w:rsidR="00CA37E7">
        <w:rPr>
          <w:rFonts w:ascii="Times New Roman" w:eastAsia="Calibri" w:hAnsi="Times New Roman" w:cs="Times New Roman"/>
          <w:color w:val="242424"/>
          <w:sz w:val="21"/>
          <w:shd w:val="clear" w:color="auto" w:fill="FFFFFF"/>
        </w:rPr>
        <w:t>jármála- og efnahagsráð</w:t>
      </w:r>
      <w:r w:rsidR="003C70EB">
        <w:rPr>
          <w:rFonts w:ascii="Times New Roman" w:eastAsia="Calibri" w:hAnsi="Times New Roman" w:cs="Times New Roman"/>
          <w:color w:val="242424"/>
          <w:sz w:val="21"/>
          <w:shd w:val="clear" w:color="auto" w:fill="FFFFFF"/>
        </w:rPr>
        <w:t>sherra</w:t>
      </w:r>
      <w:r w:rsidR="00CA37E7">
        <w:rPr>
          <w:rFonts w:ascii="Times New Roman" w:eastAsia="Calibri" w:hAnsi="Times New Roman" w:cs="Times New Roman"/>
          <w:color w:val="242424"/>
          <w:sz w:val="21"/>
          <w:shd w:val="clear" w:color="auto" w:fill="FFFFFF"/>
        </w:rPr>
        <w:t xml:space="preserve"> </w:t>
      </w:r>
      <w:r w:rsidR="007A274E">
        <w:rPr>
          <w:rFonts w:ascii="Times New Roman" w:eastAsia="Calibri" w:hAnsi="Times New Roman" w:cs="Times New Roman"/>
          <w:color w:val="242424"/>
          <w:sz w:val="21"/>
          <w:shd w:val="clear" w:color="auto" w:fill="FFFFFF"/>
        </w:rPr>
        <w:t>verði falið að meta</w:t>
      </w:r>
      <w:r w:rsidR="00CA37E7">
        <w:rPr>
          <w:rFonts w:ascii="Times New Roman" w:eastAsia="Calibri" w:hAnsi="Times New Roman" w:cs="Times New Roman"/>
          <w:color w:val="242424"/>
          <w:sz w:val="21"/>
          <w:shd w:val="clear" w:color="auto" w:fill="FFFFFF"/>
        </w:rPr>
        <w:t xml:space="preserve"> innan tveggja ára frá gildistöku laga</w:t>
      </w:r>
      <w:r w:rsidR="007A274E">
        <w:rPr>
          <w:rFonts w:ascii="Times New Roman" w:eastAsia="Calibri" w:hAnsi="Times New Roman" w:cs="Times New Roman"/>
          <w:color w:val="242424"/>
          <w:sz w:val="21"/>
          <w:shd w:val="clear" w:color="auto" w:fill="FFFFFF"/>
        </w:rPr>
        <w:t>nna</w:t>
      </w:r>
      <w:r w:rsidR="00CA37E7">
        <w:rPr>
          <w:rFonts w:ascii="Times New Roman" w:eastAsia="Calibri" w:hAnsi="Times New Roman" w:cs="Times New Roman"/>
          <w:color w:val="242424"/>
          <w:sz w:val="21"/>
          <w:shd w:val="clear" w:color="auto" w:fill="FFFFFF"/>
        </w:rPr>
        <w:t xml:space="preserve"> hvort tilefni sé til að </w:t>
      </w:r>
      <w:r w:rsidR="00CA37E7">
        <w:rPr>
          <w:rFonts w:ascii="Times New Roman" w:eastAsia="Calibri" w:hAnsi="Times New Roman" w:cs="Times New Roman"/>
          <w:sz w:val="21"/>
        </w:rPr>
        <w:t>leggja til</w:t>
      </w:r>
      <w:r w:rsidR="00CA37E7" w:rsidRPr="00D911B9">
        <w:rPr>
          <w:rFonts w:ascii="Times New Roman" w:eastAsia="Calibri" w:hAnsi="Times New Roman" w:cs="Times New Roman"/>
          <w:sz w:val="21"/>
        </w:rPr>
        <w:t xml:space="preserve"> lægra hámark </w:t>
      </w:r>
      <w:r w:rsidR="00A32919">
        <w:rPr>
          <w:rFonts w:ascii="Times New Roman" w:eastAsia="Calibri" w:hAnsi="Times New Roman" w:cs="Times New Roman"/>
          <w:sz w:val="21"/>
        </w:rPr>
        <w:t>á</w:t>
      </w:r>
      <w:r w:rsidR="00CA37E7" w:rsidRPr="00D911B9">
        <w:rPr>
          <w:rFonts w:ascii="Times New Roman" w:eastAsia="Calibri" w:hAnsi="Times New Roman" w:cs="Times New Roman"/>
          <w:sz w:val="21"/>
        </w:rPr>
        <w:t xml:space="preserve"> </w:t>
      </w:r>
      <w:proofErr w:type="spellStart"/>
      <w:r w:rsidR="00CA37E7" w:rsidRPr="00D911B9">
        <w:rPr>
          <w:rFonts w:ascii="Times New Roman" w:eastAsia="Calibri" w:hAnsi="Times New Roman" w:cs="Times New Roman"/>
          <w:sz w:val="21"/>
        </w:rPr>
        <w:t>milligjöld</w:t>
      </w:r>
      <w:proofErr w:type="spellEnd"/>
      <w:r w:rsidR="00CA37E7" w:rsidRPr="00D911B9">
        <w:rPr>
          <w:rFonts w:ascii="Times New Roman" w:eastAsia="Calibri" w:hAnsi="Times New Roman" w:cs="Times New Roman"/>
          <w:sz w:val="21"/>
        </w:rPr>
        <w:t xml:space="preserve"> vegna innlendra </w:t>
      </w:r>
      <w:r w:rsidR="005D1304">
        <w:rPr>
          <w:rFonts w:ascii="Times New Roman" w:eastAsia="Calibri" w:hAnsi="Times New Roman" w:cs="Times New Roman"/>
          <w:sz w:val="21"/>
        </w:rPr>
        <w:t>debet</w:t>
      </w:r>
      <w:r w:rsidR="00CA37E7" w:rsidRPr="00D911B9">
        <w:rPr>
          <w:rFonts w:ascii="Times New Roman" w:eastAsia="Calibri" w:hAnsi="Times New Roman" w:cs="Times New Roman"/>
          <w:sz w:val="21"/>
        </w:rPr>
        <w:t>kortafærslna</w:t>
      </w:r>
      <w:r w:rsidR="00CE4285" w:rsidRPr="00CE4285">
        <w:rPr>
          <w:rFonts w:ascii="Times New Roman" w:eastAsia="Calibri" w:hAnsi="Times New Roman" w:cs="Times New Roman"/>
          <w:sz w:val="21"/>
        </w:rPr>
        <w:t xml:space="preserve"> </w:t>
      </w:r>
      <w:r w:rsidR="00CE4285">
        <w:rPr>
          <w:rFonts w:ascii="Times New Roman" w:eastAsia="Calibri" w:hAnsi="Times New Roman" w:cs="Times New Roman"/>
          <w:sz w:val="21"/>
        </w:rPr>
        <w:t>en 0,2%</w:t>
      </w:r>
      <w:r w:rsidR="00CA37E7">
        <w:rPr>
          <w:rFonts w:ascii="Times New Roman" w:eastAsia="Calibri" w:hAnsi="Times New Roman" w:cs="Times New Roman"/>
          <w:sz w:val="21"/>
        </w:rPr>
        <w:t>.</w:t>
      </w:r>
    </w:p>
    <w:p w14:paraId="4843896D" w14:textId="77777777" w:rsidR="00D911B9" w:rsidRPr="00D911B9" w:rsidRDefault="00D911B9" w:rsidP="00D911B9">
      <w:pPr>
        <w:spacing w:after="0" w:line="240" w:lineRule="auto"/>
        <w:jc w:val="both"/>
        <w:rPr>
          <w:rFonts w:ascii="Times New Roman" w:eastAsia="Calibri" w:hAnsi="Times New Roman" w:cs="Times New Roman"/>
          <w:sz w:val="21"/>
        </w:rPr>
      </w:pPr>
    </w:p>
    <w:p w14:paraId="61FBEEAA"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4. Samræmi við stjórnarskrá og alþjóðlegar skuldbindingar. </w:t>
      </w:r>
    </w:p>
    <w:p w14:paraId="234537B6" w14:textId="1DC04C0C" w:rsidR="00723747"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lastRenderedPageBreak/>
        <w:t>Atvinnufrelsi nýtur verndar í 1. mgr. 75. gr. stjórnarskrár lýðveldisins Íslands, nr. 33/1944</w:t>
      </w:r>
      <w:r w:rsidR="001F6AF1">
        <w:rPr>
          <w:rFonts w:ascii="Times New Roman" w:eastAsia="Calibri" w:hAnsi="Times New Roman" w:cs="Times New Roman"/>
          <w:sz w:val="21"/>
        </w:rPr>
        <w:t xml:space="preserve">, og inngrip í það verða að </w:t>
      </w:r>
      <w:r w:rsidR="001F6AF1" w:rsidRPr="00D911B9">
        <w:rPr>
          <w:rFonts w:ascii="Times New Roman" w:eastAsia="Calibri" w:hAnsi="Times New Roman" w:cs="Times New Roman"/>
          <w:sz w:val="21"/>
        </w:rPr>
        <w:t>hafa stoð í lögum</w:t>
      </w:r>
      <w:r w:rsidRPr="00D911B9">
        <w:rPr>
          <w:rFonts w:ascii="Times New Roman" w:eastAsia="Calibri" w:hAnsi="Times New Roman" w:cs="Times New Roman"/>
          <w:sz w:val="21"/>
        </w:rPr>
        <w:t xml:space="preserve">. </w:t>
      </w:r>
      <w:proofErr w:type="spellStart"/>
      <w:r w:rsidR="00FB2930">
        <w:rPr>
          <w:rFonts w:ascii="Times New Roman" w:eastAsia="Calibri" w:hAnsi="Times New Roman" w:cs="Times New Roman"/>
          <w:sz w:val="21"/>
        </w:rPr>
        <w:t>Milligjaldareglugerðin</w:t>
      </w:r>
      <w:proofErr w:type="spellEnd"/>
      <w:r w:rsidRPr="00D911B9">
        <w:rPr>
          <w:rFonts w:ascii="Times New Roman" w:eastAsia="Calibri" w:hAnsi="Times New Roman" w:cs="Times New Roman"/>
          <w:sz w:val="21"/>
        </w:rPr>
        <w:t xml:space="preserve"> felur í sér inngrip í starfsemi kortaútgefenda og færsluhirða.</w:t>
      </w:r>
      <w:r w:rsidR="0093122B">
        <w:rPr>
          <w:rFonts w:ascii="Times New Roman" w:eastAsia="Calibri" w:hAnsi="Times New Roman" w:cs="Times New Roman"/>
          <w:sz w:val="21"/>
        </w:rPr>
        <w:t xml:space="preserve"> </w:t>
      </w:r>
      <w:proofErr w:type="spellStart"/>
      <w:r w:rsidR="00723747">
        <w:rPr>
          <w:rFonts w:ascii="Times New Roman" w:eastAsia="Calibri" w:hAnsi="Times New Roman" w:cs="Times New Roman"/>
          <w:sz w:val="21"/>
        </w:rPr>
        <w:t>Lagaáskilnaðarreglu</w:t>
      </w:r>
      <w:proofErr w:type="spellEnd"/>
      <w:r w:rsidR="00723747">
        <w:rPr>
          <w:rFonts w:ascii="Times New Roman" w:eastAsia="Calibri" w:hAnsi="Times New Roman" w:cs="Times New Roman"/>
          <w:sz w:val="21"/>
        </w:rPr>
        <w:t xml:space="preserve"> </w:t>
      </w:r>
      <w:r w:rsidR="00723747" w:rsidRPr="00D911B9">
        <w:rPr>
          <w:rFonts w:ascii="Times New Roman" w:eastAsia="Calibri" w:hAnsi="Times New Roman" w:cs="Times New Roman"/>
          <w:sz w:val="21"/>
        </w:rPr>
        <w:t>1. mgr. 75. gr. stjórnarskrár</w:t>
      </w:r>
      <w:r w:rsidR="00723747">
        <w:rPr>
          <w:rFonts w:ascii="Times New Roman" w:eastAsia="Calibri" w:hAnsi="Times New Roman" w:cs="Times New Roman"/>
          <w:sz w:val="21"/>
        </w:rPr>
        <w:t>innar er gætt með því að innleiða reglugerðina með lögum.</w:t>
      </w:r>
    </w:p>
    <w:p w14:paraId="2C804F3B"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Innleiðing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samræmist skuldbindingum Íslands samkvæmt 7. gr. EES-samningsins.</w:t>
      </w:r>
    </w:p>
    <w:p w14:paraId="516C622D"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45FF26B9"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5. Samráð. </w:t>
      </w:r>
    </w:p>
    <w:p w14:paraId="687D60E5" w14:textId="683EF4DE"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Frumvarpið snertir greiðslukortakerfi, </w:t>
      </w:r>
      <w:r w:rsidR="00F63C72">
        <w:rPr>
          <w:rFonts w:ascii="Times New Roman" w:eastAsia="Calibri" w:hAnsi="Times New Roman" w:cs="Times New Roman"/>
          <w:sz w:val="21"/>
        </w:rPr>
        <w:t>korta</w:t>
      </w:r>
      <w:r w:rsidRPr="00D911B9">
        <w:rPr>
          <w:rFonts w:ascii="Times New Roman" w:eastAsia="Calibri" w:hAnsi="Times New Roman" w:cs="Times New Roman"/>
          <w:sz w:val="21"/>
        </w:rPr>
        <w:t>útgefendur, korthafa, færsluhirða, söluaðila og neytendur.</w:t>
      </w:r>
    </w:p>
    <w:p w14:paraId="05EB52AD" w14:textId="77777777" w:rsidR="00A32061"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Áform um lagasetningu og frummat á áhrifum lagasetningar voru send öllum ráðuneytum til yfirferðar og birt í samráðsgátt stjórnvalda í september 2018 en engar umsagnir bárust. </w:t>
      </w:r>
    </w:p>
    <w:p w14:paraId="60FB3068" w14:textId="2F6ABA08" w:rsidR="002263E1"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Frumvarp þetta var mótað af fyrrgreindum starfshópi þar sem sæti áttu fulltrúar frá fjármála- og efnahagsráðuneyti, Fjármálaeftirlitinu, Samtökum fjármálafyrirtækja og Seðlabanka Íslands. </w:t>
      </w:r>
      <w:r w:rsidR="00112B63" w:rsidRPr="00112B63">
        <w:rPr>
          <w:rFonts w:ascii="Times New Roman" w:eastAsia="Calibri" w:hAnsi="Times New Roman" w:cs="Times New Roman"/>
          <w:sz w:val="21"/>
        </w:rPr>
        <w:t xml:space="preserve">Starfshópurinn hafði samráð við </w:t>
      </w:r>
      <w:r w:rsidR="00747556">
        <w:rPr>
          <w:rFonts w:ascii="Times New Roman" w:eastAsia="Calibri" w:hAnsi="Times New Roman" w:cs="Times New Roman"/>
          <w:sz w:val="21"/>
        </w:rPr>
        <w:t xml:space="preserve">atvinnuvega- og nýsköpunarráðuneytið </w:t>
      </w:r>
      <w:r w:rsidR="00E51E62">
        <w:rPr>
          <w:rFonts w:ascii="Times New Roman" w:eastAsia="Calibri" w:hAnsi="Times New Roman" w:cs="Times New Roman"/>
          <w:sz w:val="21"/>
        </w:rPr>
        <w:t xml:space="preserve">og </w:t>
      </w:r>
      <w:r w:rsidR="00112B63" w:rsidRPr="00112B63">
        <w:rPr>
          <w:rFonts w:ascii="Times New Roman" w:eastAsia="Calibri" w:hAnsi="Times New Roman" w:cs="Times New Roman"/>
          <w:sz w:val="21"/>
        </w:rPr>
        <w:t xml:space="preserve">Neytendastofu um að fela stofnuninni eftirlit með því að farið væri að 4. mgr. 10. gr. </w:t>
      </w:r>
      <w:proofErr w:type="spellStart"/>
      <w:r w:rsidR="00112B63" w:rsidRPr="00112B63">
        <w:rPr>
          <w:rFonts w:ascii="Times New Roman" w:eastAsia="Calibri" w:hAnsi="Times New Roman" w:cs="Times New Roman"/>
          <w:sz w:val="21"/>
        </w:rPr>
        <w:t>milligjaldareglugerðarinnar</w:t>
      </w:r>
      <w:proofErr w:type="spellEnd"/>
      <w:r w:rsidR="00112B63" w:rsidRPr="00112B63">
        <w:rPr>
          <w:rFonts w:ascii="Times New Roman" w:eastAsia="Calibri" w:hAnsi="Times New Roman" w:cs="Times New Roman"/>
          <w:sz w:val="21"/>
        </w:rPr>
        <w:t>.</w:t>
      </w:r>
      <w:r w:rsidR="008921FE">
        <w:rPr>
          <w:rFonts w:ascii="Times New Roman" w:eastAsia="Calibri" w:hAnsi="Times New Roman" w:cs="Times New Roman"/>
          <w:sz w:val="21"/>
        </w:rPr>
        <w:t xml:space="preserve"> </w:t>
      </w:r>
      <w:r w:rsidR="00B06C15">
        <w:rPr>
          <w:rFonts w:ascii="Times New Roman" w:eastAsia="Calibri" w:hAnsi="Times New Roman" w:cs="Times New Roman"/>
          <w:sz w:val="21"/>
        </w:rPr>
        <w:t xml:space="preserve">Atvinnuvega- og nýsköpunarráðuneytið gerði ekki athugasemd við að Neytendastofu væri falið eftirlit með ákvæðinu. </w:t>
      </w:r>
      <w:r w:rsidR="008921FE">
        <w:rPr>
          <w:rFonts w:ascii="Times New Roman" w:eastAsia="Calibri" w:hAnsi="Times New Roman" w:cs="Times New Roman"/>
          <w:sz w:val="21"/>
        </w:rPr>
        <w:t xml:space="preserve">Neytendastofa taldi eftirlitið falla </w:t>
      </w:r>
      <w:r w:rsidR="00E54EF5">
        <w:rPr>
          <w:rFonts w:ascii="Times New Roman" w:eastAsia="Calibri" w:hAnsi="Times New Roman" w:cs="Times New Roman"/>
          <w:sz w:val="21"/>
        </w:rPr>
        <w:t xml:space="preserve">vel </w:t>
      </w:r>
      <w:r w:rsidR="008921FE">
        <w:rPr>
          <w:rFonts w:ascii="Times New Roman" w:eastAsia="Calibri" w:hAnsi="Times New Roman" w:cs="Times New Roman"/>
          <w:sz w:val="21"/>
        </w:rPr>
        <w:t xml:space="preserve">að </w:t>
      </w:r>
      <w:r w:rsidR="00E54EF5">
        <w:rPr>
          <w:rFonts w:ascii="Times New Roman" w:eastAsia="Calibri" w:hAnsi="Times New Roman" w:cs="Times New Roman"/>
          <w:sz w:val="21"/>
        </w:rPr>
        <w:t xml:space="preserve">öðrum eftirlitsverkefnum </w:t>
      </w:r>
      <w:r w:rsidR="008921FE">
        <w:rPr>
          <w:rFonts w:ascii="Times New Roman" w:eastAsia="Calibri" w:hAnsi="Times New Roman" w:cs="Times New Roman"/>
          <w:sz w:val="21"/>
        </w:rPr>
        <w:t xml:space="preserve">stofnunarinnar. </w:t>
      </w:r>
    </w:p>
    <w:p w14:paraId="2CFB1B4B" w14:textId="7E676E30"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Drög að frumvarpi voru birt í samráðsgátt stjórnvalda [dags.]. [Umfjöllun um umsagnir og viðbrögð við þeim.]</w:t>
      </w:r>
    </w:p>
    <w:p w14:paraId="3852C784"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5ABCE06D" w14:textId="77777777" w:rsidR="00D911B9" w:rsidRPr="00D911B9" w:rsidRDefault="00D911B9" w:rsidP="00D911B9">
      <w:pPr>
        <w:spacing w:after="0" w:line="240" w:lineRule="auto"/>
        <w:jc w:val="both"/>
        <w:rPr>
          <w:rFonts w:ascii="Times New Roman" w:eastAsia="Calibri" w:hAnsi="Times New Roman" w:cs="Times New Roman"/>
          <w:b/>
          <w:sz w:val="21"/>
        </w:rPr>
      </w:pPr>
      <w:r w:rsidRPr="00D911B9">
        <w:rPr>
          <w:rFonts w:ascii="Times New Roman" w:eastAsia="Calibri" w:hAnsi="Times New Roman" w:cs="Times New Roman"/>
          <w:b/>
          <w:sz w:val="21"/>
        </w:rPr>
        <w:t xml:space="preserve">6. Mat á áhrifum. </w:t>
      </w:r>
    </w:p>
    <w:p w14:paraId="1AFAAEC2" w14:textId="77777777" w:rsidR="00D911B9" w:rsidRPr="00D911B9" w:rsidRDefault="00D911B9" w:rsidP="00D911B9">
      <w:pPr>
        <w:spacing w:after="0" w:line="240" w:lineRule="auto"/>
        <w:jc w:val="both"/>
        <w:rPr>
          <w:rFonts w:ascii="Times New Roman" w:eastAsia="Calibri" w:hAnsi="Times New Roman" w:cs="Times New Roman"/>
          <w:i/>
          <w:sz w:val="21"/>
        </w:rPr>
      </w:pPr>
      <w:r w:rsidRPr="00D911B9">
        <w:rPr>
          <w:rFonts w:ascii="Times New Roman" w:eastAsia="Calibri" w:hAnsi="Times New Roman" w:cs="Times New Roman"/>
          <w:i/>
          <w:sz w:val="21"/>
        </w:rPr>
        <w:t xml:space="preserve">Efnahagsleg áhrif. </w:t>
      </w:r>
    </w:p>
    <w:p w14:paraId="1E0F174E" w14:textId="1A711C40"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Mikilvægustu áhrif af innleiðingu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verða sennilega lækkun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vegna kreditkortaviðskipta, en hámark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vegna debetkortaviðskipta samkvæmt reglugerðinni er hið sama og þegar gildir almennt samkvæmt fyrrgreindum sáttum sem Samkeppniseftirlitið hefur gert við kortaútgefendur og færsluhirða. </w:t>
      </w:r>
      <w:r w:rsidR="00407E91">
        <w:rPr>
          <w:rFonts w:ascii="Times New Roman" w:eastAsia="Calibri" w:hAnsi="Times New Roman" w:cs="Times New Roman"/>
          <w:sz w:val="21"/>
        </w:rPr>
        <w:t>Ætla má að</w:t>
      </w:r>
      <w:r w:rsidRPr="00D911B9">
        <w:rPr>
          <w:rFonts w:ascii="Times New Roman" w:eastAsia="Calibri" w:hAnsi="Times New Roman" w:cs="Times New Roman"/>
          <w:sz w:val="21"/>
        </w:rPr>
        <w:t xml:space="preserve"> lækkun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skil</w:t>
      </w:r>
      <w:r w:rsidR="00407E91">
        <w:rPr>
          <w:rFonts w:ascii="Times New Roman" w:eastAsia="Calibri" w:hAnsi="Times New Roman" w:cs="Times New Roman"/>
          <w:sz w:val="21"/>
        </w:rPr>
        <w:t>i</w:t>
      </w:r>
      <w:r w:rsidRPr="00D911B9">
        <w:rPr>
          <w:rFonts w:ascii="Times New Roman" w:eastAsia="Calibri" w:hAnsi="Times New Roman" w:cs="Times New Roman"/>
          <w:sz w:val="21"/>
        </w:rPr>
        <w:t xml:space="preserve"> sér í lækkun þjónustugjalda sem færsluhirðar </w:t>
      </w:r>
      <w:r w:rsidR="00445B8A">
        <w:rPr>
          <w:rFonts w:ascii="Times New Roman" w:eastAsia="Calibri" w:hAnsi="Times New Roman" w:cs="Times New Roman"/>
          <w:sz w:val="21"/>
        </w:rPr>
        <w:t>krefja</w:t>
      </w:r>
      <w:r w:rsidRPr="00D911B9">
        <w:rPr>
          <w:rFonts w:ascii="Times New Roman" w:eastAsia="Calibri" w:hAnsi="Times New Roman" w:cs="Times New Roman"/>
          <w:sz w:val="21"/>
        </w:rPr>
        <w:t xml:space="preserve"> söluaðil</w:t>
      </w:r>
      <w:r w:rsidR="00616D84">
        <w:rPr>
          <w:rFonts w:ascii="Times New Roman" w:eastAsia="Calibri" w:hAnsi="Times New Roman" w:cs="Times New Roman"/>
          <w:sz w:val="21"/>
        </w:rPr>
        <w:t>a um</w:t>
      </w:r>
      <w:r w:rsidRPr="00D911B9">
        <w:rPr>
          <w:rFonts w:ascii="Times New Roman" w:eastAsia="Calibri" w:hAnsi="Times New Roman" w:cs="Times New Roman"/>
          <w:sz w:val="21"/>
        </w:rPr>
        <w:t xml:space="preserve"> </w:t>
      </w:r>
      <w:r w:rsidR="008E2076">
        <w:rPr>
          <w:rFonts w:ascii="Times New Roman" w:eastAsia="Calibri" w:hAnsi="Times New Roman" w:cs="Times New Roman"/>
          <w:sz w:val="21"/>
        </w:rPr>
        <w:t>sem</w:t>
      </w:r>
      <w:r w:rsidR="00407E91">
        <w:rPr>
          <w:rFonts w:ascii="Times New Roman" w:eastAsia="Calibri" w:hAnsi="Times New Roman" w:cs="Times New Roman"/>
          <w:sz w:val="21"/>
        </w:rPr>
        <w:t xml:space="preserve"> </w:t>
      </w:r>
      <w:r w:rsidR="00026707">
        <w:rPr>
          <w:rFonts w:ascii="Times New Roman" w:eastAsia="Calibri" w:hAnsi="Times New Roman" w:cs="Times New Roman"/>
          <w:sz w:val="21"/>
        </w:rPr>
        <w:t>ætti</w:t>
      </w:r>
      <w:r w:rsidRPr="00D911B9">
        <w:rPr>
          <w:rFonts w:ascii="Times New Roman" w:eastAsia="Calibri" w:hAnsi="Times New Roman" w:cs="Times New Roman"/>
          <w:sz w:val="21"/>
        </w:rPr>
        <w:t xml:space="preserve"> </w:t>
      </w:r>
      <w:r w:rsidR="00407E91">
        <w:rPr>
          <w:rFonts w:ascii="Times New Roman" w:eastAsia="Calibri" w:hAnsi="Times New Roman" w:cs="Times New Roman"/>
          <w:sz w:val="21"/>
        </w:rPr>
        <w:t xml:space="preserve">að sama skapi </w:t>
      </w:r>
      <w:r w:rsidR="00445B8A">
        <w:rPr>
          <w:rFonts w:ascii="Times New Roman" w:eastAsia="Calibri" w:hAnsi="Times New Roman" w:cs="Times New Roman"/>
          <w:sz w:val="21"/>
        </w:rPr>
        <w:t xml:space="preserve">að </w:t>
      </w:r>
      <w:r w:rsidRPr="00D911B9">
        <w:rPr>
          <w:rFonts w:ascii="Times New Roman" w:eastAsia="Calibri" w:hAnsi="Times New Roman" w:cs="Times New Roman"/>
          <w:sz w:val="21"/>
        </w:rPr>
        <w:t>leið</w:t>
      </w:r>
      <w:r w:rsidR="00445B8A">
        <w:rPr>
          <w:rFonts w:ascii="Times New Roman" w:eastAsia="Calibri" w:hAnsi="Times New Roman" w:cs="Times New Roman"/>
          <w:sz w:val="21"/>
        </w:rPr>
        <w:t>a</w:t>
      </w:r>
      <w:r w:rsidRPr="00D911B9">
        <w:rPr>
          <w:rFonts w:ascii="Times New Roman" w:eastAsia="Calibri" w:hAnsi="Times New Roman" w:cs="Times New Roman"/>
          <w:sz w:val="21"/>
        </w:rPr>
        <w:t xml:space="preserve"> til </w:t>
      </w:r>
      <w:r w:rsidR="001D6C24">
        <w:rPr>
          <w:rFonts w:ascii="Times New Roman" w:eastAsia="Calibri" w:hAnsi="Times New Roman" w:cs="Times New Roman"/>
          <w:sz w:val="21"/>
        </w:rPr>
        <w:t>lægra vöru</w:t>
      </w:r>
      <w:r w:rsidRPr="00D911B9">
        <w:rPr>
          <w:rFonts w:ascii="Times New Roman" w:eastAsia="Calibri" w:hAnsi="Times New Roman" w:cs="Times New Roman"/>
          <w:sz w:val="21"/>
        </w:rPr>
        <w:t>verð</w:t>
      </w:r>
      <w:r w:rsidR="001D6C24">
        <w:rPr>
          <w:rFonts w:ascii="Times New Roman" w:eastAsia="Calibri" w:hAnsi="Times New Roman" w:cs="Times New Roman"/>
          <w:sz w:val="21"/>
        </w:rPr>
        <w:t>s</w:t>
      </w:r>
      <w:r w:rsidRPr="00D911B9">
        <w:rPr>
          <w:rFonts w:ascii="Times New Roman" w:eastAsia="Calibri" w:hAnsi="Times New Roman" w:cs="Times New Roman"/>
          <w:sz w:val="21"/>
        </w:rPr>
        <w:t>, söluaðilum og neytendum til hagsbóta.</w:t>
      </w:r>
    </w:p>
    <w:p w14:paraId="43FDC21C" w14:textId="5D70CE79"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Kreditkortavelta </w:t>
      </w:r>
      <w:r w:rsidR="001D6C24">
        <w:rPr>
          <w:rFonts w:ascii="Times New Roman" w:eastAsia="Calibri" w:hAnsi="Times New Roman" w:cs="Times New Roman"/>
          <w:sz w:val="21"/>
        </w:rPr>
        <w:t xml:space="preserve">heimila (neytenda) </w:t>
      </w:r>
      <w:r w:rsidRPr="00D911B9">
        <w:rPr>
          <w:rFonts w:ascii="Times New Roman" w:eastAsia="Calibri" w:hAnsi="Times New Roman" w:cs="Times New Roman"/>
          <w:sz w:val="21"/>
        </w:rPr>
        <w:t xml:space="preserve">innanlands </w:t>
      </w:r>
      <w:r w:rsidR="00A12F9A">
        <w:rPr>
          <w:rFonts w:ascii="Times New Roman" w:eastAsia="Calibri" w:hAnsi="Times New Roman" w:cs="Times New Roman"/>
          <w:sz w:val="21"/>
        </w:rPr>
        <w:t xml:space="preserve">árið </w:t>
      </w:r>
      <w:r w:rsidRPr="00D911B9">
        <w:rPr>
          <w:rFonts w:ascii="Times New Roman" w:eastAsia="Calibri" w:hAnsi="Times New Roman" w:cs="Times New Roman"/>
          <w:sz w:val="21"/>
        </w:rPr>
        <w:t xml:space="preserve">2018 nam </w:t>
      </w:r>
      <w:r w:rsidR="001D6C24">
        <w:rPr>
          <w:rFonts w:ascii="Times New Roman" w:eastAsia="Calibri" w:hAnsi="Times New Roman" w:cs="Times New Roman"/>
          <w:sz w:val="21"/>
        </w:rPr>
        <w:t xml:space="preserve">um </w:t>
      </w:r>
      <w:r w:rsidR="00A12F9A">
        <w:rPr>
          <w:rFonts w:ascii="Times New Roman" w:eastAsia="Calibri" w:hAnsi="Times New Roman" w:cs="Times New Roman"/>
          <w:sz w:val="21"/>
        </w:rPr>
        <w:t>351</w:t>
      </w:r>
      <w:r w:rsidRPr="00D911B9">
        <w:rPr>
          <w:rFonts w:ascii="Times New Roman" w:eastAsia="Calibri" w:hAnsi="Times New Roman" w:cs="Times New Roman"/>
          <w:sz w:val="21"/>
        </w:rPr>
        <w:t xml:space="preserve"> millj</w:t>
      </w:r>
      <w:r w:rsidR="00A12F9A">
        <w:rPr>
          <w:rFonts w:ascii="Times New Roman" w:eastAsia="Calibri" w:hAnsi="Times New Roman" w:cs="Times New Roman"/>
          <w:sz w:val="21"/>
        </w:rPr>
        <w:t>arði</w:t>
      </w:r>
      <w:r w:rsidRPr="00D911B9">
        <w:rPr>
          <w:rFonts w:ascii="Times New Roman" w:eastAsia="Calibri" w:hAnsi="Times New Roman" w:cs="Times New Roman"/>
          <w:sz w:val="21"/>
        </w:rPr>
        <w:t xml:space="preserve"> króna. Ef gert er ráð fyrir því að um 0,6% þeirrar fjárhæðar hafi verið vegna </w:t>
      </w:r>
      <w:proofErr w:type="spellStart"/>
      <w:r w:rsidRPr="00D911B9">
        <w:rPr>
          <w:rFonts w:ascii="Times New Roman" w:eastAsia="Calibri" w:hAnsi="Times New Roman" w:cs="Times New Roman"/>
          <w:sz w:val="21"/>
        </w:rPr>
        <w:t>milligjalda</w:t>
      </w:r>
      <w:proofErr w:type="spellEnd"/>
      <w:r w:rsidRPr="00D911B9">
        <w:rPr>
          <w:rFonts w:ascii="Times New Roman" w:eastAsia="Calibri" w:hAnsi="Times New Roman" w:cs="Times New Roman"/>
          <w:sz w:val="21"/>
        </w:rPr>
        <w:t xml:space="preserve"> </w:t>
      </w:r>
      <w:r w:rsidR="001D6C24">
        <w:rPr>
          <w:rFonts w:ascii="Times New Roman" w:eastAsia="Calibri" w:hAnsi="Times New Roman" w:cs="Times New Roman"/>
          <w:sz w:val="21"/>
        </w:rPr>
        <w:t xml:space="preserve">sem færsluhirðar greiddu til útgefenda </w:t>
      </w:r>
      <w:r w:rsidR="002618F7">
        <w:rPr>
          <w:rFonts w:ascii="Times New Roman" w:eastAsia="Calibri" w:hAnsi="Times New Roman" w:cs="Times New Roman"/>
          <w:sz w:val="21"/>
        </w:rPr>
        <w:t xml:space="preserve">kreditkorta </w:t>
      </w:r>
      <w:r w:rsidRPr="00D911B9">
        <w:rPr>
          <w:rFonts w:ascii="Times New Roman" w:eastAsia="Calibri" w:hAnsi="Times New Roman" w:cs="Times New Roman"/>
          <w:sz w:val="21"/>
        </w:rPr>
        <w:t xml:space="preserve">þá nam </w:t>
      </w:r>
      <w:r w:rsidR="00967F67">
        <w:rPr>
          <w:rFonts w:ascii="Times New Roman" w:eastAsia="Calibri" w:hAnsi="Times New Roman" w:cs="Times New Roman"/>
          <w:sz w:val="21"/>
        </w:rPr>
        <w:t xml:space="preserve">sá </w:t>
      </w:r>
      <w:r w:rsidRPr="00D911B9">
        <w:rPr>
          <w:rFonts w:ascii="Times New Roman" w:eastAsia="Calibri" w:hAnsi="Times New Roman" w:cs="Times New Roman"/>
          <w:sz w:val="21"/>
        </w:rPr>
        <w:t xml:space="preserve">kostnaður </w:t>
      </w:r>
      <w:r w:rsidR="002C7855">
        <w:rPr>
          <w:rFonts w:ascii="Times New Roman" w:eastAsia="Calibri" w:hAnsi="Times New Roman" w:cs="Times New Roman"/>
          <w:sz w:val="21"/>
        </w:rPr>
        <w:t>um</w:t>
      </w:r>
      <w:r w:rsidRPr="00D911B9">
        <w:rPr>
          <w:rFonts w:ascii="Times New Roman" w:eastAsia="Calibri" w:hAnsi="Times New Roman" w:cs="Times New Roman"/>
          <w:sz w:val="21"/>
        </w:rPr>
        <w:t xml:space="preserve"> </w:t>
      </w:r>
      <w:r w:rsidR="002C7855">
        <w:rPr>
          <w:rFonts w:ascii="Times New Roman" w:eastAsia="Calibri" w:hAnsi="Times New Roman" w:cs="Times New Roman"/>
          <w:sz w:val="21"/>
        </w:rPr>
        <w:t>2,1</w:t>
      </w:r>
      <w:r w:rsidRPr="00D911B9">
        <w:rPr>
          <w:rFonts w:ascii="Times New Roman" w:eastAsia="Calibri" w:hAnsi="Times New Roman" w:cs="Times New Roman"/>
          <w:sz w:val="21"/>
        </w:rPr>
        <w:t xml:space="preserve"> millj</w:t>
      </w:r>
      <w:r w:rsidR="002C7855">
        <w:rPr>
          <w:rFonts w:ascii="Times New Roman" w:eastAsia="Calibri" w:hAnsi="Times New Roman" w:cs="Times New Roman"/>
          <w:sz w:val="21"/>
        </w:rPr>
        <w:t>arði</w:t>
      </w:r>
      <w:r w:rsidRPr="00D911B9">
        <w:rPr>
          <w:rFonts w:ascii="Times New Roman" w:eastAsia="Calibri" w:hAnsi="Times New Roman" w:cs="Times New Roman"/>
          <w:sz w:val="21"/>
        </w:rPr>
        <w:t xml:space="preserve"> króna á tímabilinu. Miðað við þá forsendu og það að </w:t>
      </w:r>
      <w:proofErr w:type="spellStart"/>
      <w:r w:rsidRPr="00D911B9">
        <w:rPr>
          <w:rFonts w:ascii="Times New Roman" w:eastAsia="Calibri" w:hAnsi="Times New Roman" w:cs="Times New Roman"/>
          <w:sz w:val="21"/>
        </w:rPr>
        <w:t>milligjöld</w:t>
      </w:r>
      <w:proofErr w:type="spellEnd"/>
      <w:r w:rsidRPr="00D911B9">
        <w:rPr>
          <w:rFonts w:ascii="Times New Roman" w:eastAsia="Calibri" w:hAnsi="Times New Roman" w:cs="Times New Roman"/>
          <w:sz w:val="21"/>
        </w:rPr>
        <w:t xml:space="preserve"> </w:t>
      </w:r>
      <w:r w:rsidR="00967F67">
        <w:rPr>
          <w:rFonts w:ascii="Times New Roman" w:eastAsia="Calibri" w:hAnsi="Times New Roman" w:cs="Times New Roman"/>
          <w:sz w:val="21"/>
        </w:rPr>
        <w:t xml:space="preserve">vegna kreditkortafærslna </w:t>
      </w:r>
      <w:r w:rsidRPr="00D911B9">
        <w:rPr>
          <w:rFonts w:ascii="Times New Roman" w:eastAsia="Calibri" w:hAnsi="Times New Roman" w:cs="Times New Roman"/>
          <w:sz w:val="21"/>
        </w:rPr>
        <w:t xml:space="preserve">lækki um 0,3 prósentustig við lögfestingu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lækkar kostnaður </w:t>
      </w:r>
      <w:r w:rsidR="00967F67">
        <w:rPr>
          <w:rFonts w:ascii="Times New Roman" w:eastAsia="Calibri" w:hAnsi="Times New Roman" w:cs="Times New Roman"/>
          <w:sz w:val="21"/>
        </w:rPr>
        <w:t>færsluhirða</w:t>
      </w:r>
      <w:r w:rsidRPr="00D911B9">
        <w:rPr>
          <w:rFonts w:ascii="Times New Roman" w:eastAsia="Calibri" w:hAnsi="Times New Roman" w:cs="Times New Roman"/>
          <w:sz w:val="21"/>
        </w:rPr>
        <w:t xml:space="preserve"> um </w:t>
      </w:r>
      <w:r w:rsidR="00652340">
        <w:rPr>
          <w:rFonts w:ascii="Times New Roman" w:eastAsia="Calibri" w:hAnsi="Times New Roman" w:cs="Times New Roman"/>
          <w:sz w:val="21"/>
        </w:rPr>
        <w:t xml:space="preserve">ríflega </w:t>
      </w:r>
      <w:r w:rsidR="00026707">
        <w:rPr>
          <w:rFonts w:ascii="Times New Roman" w:eastAsia="Calibri" w:hAnsi="Times New Roman" w:cs="Times New Roman"/>
          <w:sz w:val="21"/>
        </w:rPr>
        <w:t>einn</w:t>
      </w:r>
      <w:r w:rsidRPr="00D911B9">
        <w:rPr>
          <w:rFonts w:ascii="Times New Roman" w:eastAsia="Calibri" w:hAnsi="Times New Roman" w:cs="Times New Roman"/>
          <w:sz w:val="21"/>
        </w:rPr>
        <w:t xml:space="preserve"> milljarð króna á ári og tekjur kortaútgefenda</w:t>
      </w:r>
      <w:bookmarkStart w:id="15" w:name="_GoBack"/>
      <w:bookmarkEnd w:id="15"/>
      <w:r w:rsidRPr="00D911B9">
        <w:rPr>
          <w:rFonts w:ascii="Times New Roman" w:eastAsia="Calibri" w:hAnsi="Times New Roman" w:cs="Times New Roman"/>
          <w:sz w:val="21"/>
        </w:rPr>
        <w:t xml:space="preserve"> um sömu fjárhæð vegna lögfestingar frumvarpsins. </w:t>
      </w:r>
      <w:r w:rsidR="00967F67">
        <w:rPr>
          <w:rFonts w:ascii="Times New Roman" w:eastAsia="Calibri" w:hAnsi="Times New Roman" w:cs="Times New Roman"/>
          <w:sz w:val="21"/>
        </w:rPr>
        <w:t>Sú</w:t>
      </w:r>
      <w:r w:rsidRPr="00D911B9">
        <w:rPr>
          <w:rFonts w:ascii="Times New Roman" w:eastAsia="Calibri" w:hAnsi="Times New Roman" w:cs="Times New Roman"/>
          <w:sz w:val="21"/>
        </w:rPr>
        <w:t xml:space="preserve"> lækkun </w:t>
      </w:r>
      <w:r w:rsidR="00967F67">
        <w:rPr>
          <w:rFonts w:ascii="Times New Roman" w:eastAsia="Calibri" w:hAnsi="Times New Roman" w:cs="Times New Roman"/>
          <w:sz w:val="21"/>
        </w:rPr>
        <w:t xml:space="preserve">ætti að </w:t>
      </w:r>
      <w:r w:rsidRPr="00D911B9">
        <w:rPr>
          <w:rFonts w:ascii="Times New Roman" w:eastAsia="Calibri" w:hAnsi="Times New Roman" w:cs="Times New Roman"/>
          <w:sz w:val="21"/>
        </w:rPr>
        <w:t>skil</w:t>
      </w:r>
      <w:r w:rsidR="00967F67">
        <w:rPr>
          <w:rFonts w:ascii="Times New Roman" w:eastAsia="Calibri" w:hAnsi="Times New Roman" w:cs="Times New Roman"/>
          <w:sz w:val="21"/>
        </w:rPr>
        <w:t>a</w:t>
      </w:r>
      <w:r w:rsidRPr="00D911B9">
        <w:rPr>
          <w:rFonts w:ascii="Times New Roman" w:eastAsia="Calibri" w:hAnsi="Times New Roman" w:cs="Times New Roman"/>
          <w:sz w:val="21"/>
        </w:rPr>
        <w:t xml:space="preserve"> sér í </w:t>
      </w:r>
      <w:r w:rsidR="00967F67">
        <w:rPr>
          <w:rFonts w:ascii="Times New Roman" w:eastAsia="Calibri" w:hAnsi="Times New Roman" w:cs="Times New Roman"/>
          <w:sz w:val="21"/>
        </w:rPr>
        <w:t xml:space="preserve">lægri þjónustugjöldum </w:t>
      </w:r>
      <w:r w:rsidR="007E298A">
        <w:rPr>
          <w:rFonts w:ascii="Times New Roman" w:eastAsia="Calibri" w:hAnsi="Times New Roman" w:cs="Times New Roman"/>
          <w:sz w:val="21"/>
        </w:rPr>
        <w:t>sem færsluhirðar krefja söluaðil</w:t>
      </w:r>
      <w:r w:rsidR="00026707">
        <w:rPr>
          <w:rFonts w:ascii="Times New Roman" w:eastAsia="Calibri" w:hAnsi="Times New Roman" w:cs="Times New Roman"/>
          <w:sz w:val="21"/>
        </w:rPr>
        <w:t>a um</w:t>
      </w:r>
      <w:r w:rsidR="007E298A">
        <w:rPr>
          <w:rFonts w:ascii="Times New Roman" w:eastAsia="Calibri" w:hAnsi="Times New Roman" w:cs="Times New Roman"/>
          <w:sz w:val="21"/>
        </w:rPr>
        <w:t xml:space="preserve"> og þar með í lægra vöruverði til neytenda.</w:t>
      </w:r>
    </w:p>
    <w:p w14:paraId="790C7D8A" w14:textId="77777777" w:rsidR="00D911B9" w:rsidRPr="00D911B9" w:rsidRDefault="00D911B9" w:rsidP="00D911B9">
      <w:pPr>
        <w:spacing w:after="0" w:line="240" w:lineRule="auto"/>
        <w:jc w:val="both"/>
        <w:rPr>
          <w:rFonts w:ascii="Times New Roman" w:eastAsia="Calibri" w:hAnsi="Times New Roman" w:cs="Times New Roman"/>
          <w:sz w:val="21"/>
        </w:rPr>
      </w:pPr>
    </w:p>
    <w:p w14:paraId="6F39215F" w14:textId="77777777" w:rsidR="00D911B9" w:rsidRPr="00D911B9" w:rsidRDefault="00D911B9" w:rsidP="00D911B9">
      <w:pPr>
        <w:spacing w:after="0" w:line="240" w:lineRule="auto"/>
        <w:jc w:val="both"/>
        <w:rPr>
          <w:rFonts w:ascii="Times New Roman" w:eastAsia="Calibri" w:hAnsi="Times New Roman" w:cs="Times New Roman"/>
          <w:i/>
          <w:sz w:val="21"/>
        </w:rPr>
      </w:pPr>
      <w:r w:rsidRPr="00D911B9">
        <w:rPr>
          <w:rFonts w:ascii="Times New Roman" w:eastAsia="Calibri" w:hAnsi="Times New Roman" w:cs="Times New Roman"/>
          <w:i/>
          <w:sz w:val="21"/>
        </w:rPr>
        <w:t>Áhrif á fjárhag ríkisins.</w:t>
      </w:r>
    </w:p>
    <w:p w14:paraId="0BBF4B64" w14:textId="77777777" w:rsidR="00A509D1" w:rsidRDefault="00D911B9" w:rsidP="00D911B9">
      <w:pPr>
        <w:spacing w:after="0" w:line="240" w:lineRule="auto"/>
        <w:ind w:firstLine="284"/>
        <w:jc w:val="both"/>
        <w:rPr>
          <w:rFonts w:ascii="Times New Roman" w:eastAsia="Calibri" w:hAnsi="Times New Roman" w:cs="Times New Roman"/>
          <w:sz w:val="21"/>
        </w:rPr>
      </w:pPr>
      <w:bookmarkStart w:id="16" w:name="_Hlk528325770"/>
      <w:r w:rsidRPr="00D911B9">
        <w:rPr>
          <w:rFonts w:ascii="Times New Roman" w:eastAsia="Calibri" w:hAnsi="Times New Roman" w:cs="Times New Roman"/>
          <w:sz w:val="21"/>
        </w:rPr>
        <w:t xml:space="preserve">Gert er ráð fyrir að eftirlit með framkvæmd laganna verði </w:t>
      </w:r>
      <w:r w:rsidR="009C6F0B">
        <w:rPr>
          <w:rFonts w:ascii="Times New Roman" w:eastAsia="Calibri" w:hAnsi="Times New Roman" w:cs="Times New Roman"/>
          <w:sz w:val="21"/>
        </w:rPr>
        <w:t xml:space="preserve">í megindráttum </w:t>
      </w:r>
      <w:r w:rsidRPr="00D911B9">
        <w:rPr>
          <w:rFonts w:ascii="Times New Roman" w:eastAsia="Calibri" w:hAnsi="Times New Roman" w:cs="Times New Roman"/>
          <w:sz w:val="21"/>
        </w:rPr>
        <w:t xml:space="preserve">falið Fjármálaeftirlitinu. Fjármálaeftirlitið telur þau verkefni sem fylgja lögfestingu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falla undir núverandi eftirlitsstarfsemi og því hvorki kalla á fjölgun starfsfólks né annan viðvarandi kostnað eða einskiptiskostnað.</w:t>
      </w:r>
      <w:r w:rsidR="00E54EF5">
        <w:rPr>
          <w:rFonts w:ascii="Times New Roman" w:eastAsia="Calibri" w:hAnsi="Times New Roman" w:cs="Times New Roman"/>
          <w:sz w:val="21"/>
        </w:rPr>
        <w:t xml:space="preserve"> </w:t>
      </w:r>
    </w:p>
    <w:p w14:paraId="7DC23EA8" w14:textId="41FB4C42" w:rsidR="00D911B9" w:rsidRPr="00D911B9" w:rsidRDefault="00A509D1" w:rsidP="00D911B9">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G</w:t>
      </w:r>
      <w:r w:rsidR="00E54EF5">
        <w:rPr>
          <w:rFonts w:ascii="Times New Roman" w:eastAsia="Calibri" w:hAnsi="Times New Roman" w:cs="Times New Roman"/>
          <w:sz w:val="21"/>
        </w:rPr>
        <w:t>ert</w:t>
      </w:r>
      <w:r>
        <w:rPr>
          <w:rFonts w:ascii="Times New Roman" w:eastAsia="Calibri" w:hAnsi="Times New Roman" w:cs="Times New Roman"/>
          <w:sz w:val="21"/>
        </w:rPr>
        <w:t xml:space="preserve"> er</w:t>
      </w:r>
      <w:r w:rsidR="00E54EF5">
        <w:rPr>
          <w:rFonts w:ascii="Times New Roman" w:eastAsia="Calibri" w:hAnsi="Times New Roman" w:cs="Times New Roman"/>
          <w:sz w:val="21"/>
        </w:rPr>
        <w:t xml:space="preserve"> ráð fyrir að </w:t>
      </w:r>
      <w:r w:rsidR="00E54EF5" w:rsidRPr="001534C0">
        <w:rPr>
          <w:rFonts w:ascii="Times New Roman" w:eastAsia="Calibri" w:hAnsi="Times New Roman" w:cs="Times New Roman"/>
          <w:color w:val="242424"/>
          <w:sz w:val="21"/>
          <w:shd w:val="clear" w:color="auto" w:fill="FFFFFF"/>
        </w:rPr>
        <w:t xml:space="preserve">Neytendastofa </w:t>
      </w:r>
      <w:r>
        <w:rPr>
          <w:rFonts w:ascii="Times New Roman" w:eastAsia="Calibri" w:hAnsi="Times New Roman" w:cs="Times New Roman"/>
          <w:color w:val="242424"/>
          <w:sz w:val="21"/>
          <w:shd w:val="clear" w:color="auto" w:fill="FFFFFF"/>
        </w:rPr>
        <w:t>hafi</w:t>
      </w:r>
      <w:r w:rsidR="00E54EF5">
        <w:rPr>
          <w:rFonts w:ascii="Times New Roman" w:eastAsia="Calibri" w:hAnsi="Times New Roman" w:cs="Times New Roman"/>
          <w:color w:val="242424"/>
          <w:sz w:val="21"/>
          <w:shd w:val="clear" w:color="auto" w:fill="FFFFFF"/>
        </w:rPr>
        <w:t xml:space="preserve"> </w:t>
      </w:r>
      <w:r w:rsidR="00E54EF5" w:rsidRPr="001534C0">
        <w:rPr>
          <w:rFonts w:ascii="Times New Roman" w:eastAsia="Calibri" w:hAnsi="Times New Roman" w:cs="Times New Roman"/>
          <w:color w:val="242424"/>
          <w:sz w:val="21"/>
          <w:shd w:val="clear" w:color="auto" w:fill="FFFFFF"/>
        </w:rPr>
        <w:t xml:space="preserve">eftirlit með því að farið sé að 4. mgr. 10. gr. </w:t>
      </w:r>
      <w:r>
        <w:rPr>
          <w:rFonts w:ascii="Times New Roman" w:eastAsia="Calibri" w:hAnsi="Times New Roman" w:cs="Times New Roman"/>
          <w:color w:val="242424"/>
          <w:sz w:val="21"/>
          <w:shd w:val="clear" w:color="auto" w:fill="FFFFFF"/>
        </w:rPr>
        <w:t xml:space="preserve">gerðarinnar um </w:t>
      </w:r>
      <w:r w:rsidRPr="00F223E7">
        <w:rPr>
          <w:rFonts w:ascii="Times New Roman" w:eastAsia="Calibri" w:hAnsi="Times New Roman" w:cs="Times New Roman"/>
          <w:sz w:val="21"/>
        </w:rPr>
        <w:t>merking</w:t>
      </w:r>
      <w:r>
        <w:rPr>
          <w:rFonts w:ascii="Times New Roman" w:eastAsia="Calibri" w:hAnsi="Times New Roman" w:cs="Times New Roman"/>
          <w:sz w:val="21"/>
        </w:rPr>
        <w:t>ar</w:t>
      </w:r>
      <w:r w:rsidRPr="00F223E7">
        <w:rPr>
          <w:rFonts w:ascii="Times New Roman" w:eastAsia="Calibri" w:hAnsi="Times New Roman" w:cs="Times New Roman"/>
          <w:sz w:val="21"/>
        </w:rPr>
        <w:t xml:space="preserve"> söluaðila um viðtöku korta</w:t>
      </w:r>
      <w:r>
        <w:rPr>
          <w:rFonts w:ascii="Times New Roman" w:eastAsia="Calibri" w:hAnsi="Times New Roman" w:cs="Times New Roman"/>
          <w:color w:val="242424"/>
          <w:sz w:val="21"/>
          <w:shd w:val="clear" w:color="auto" w:fill="FFFFFF"/>
        </w:rPr>
        <w:t xml:space="preserve">. Neytendastofa telur verkefnið krefjast </w:t>
      </w:r>
      <w:r>
        <w:rPr>
          <w:rFonts w:ascii="Times New Roman" w:eastAsia="Calibri" w:hAnsi="Times New Roman" w:cs="Times New Roman"/>
          <w:color w:val="242424"/>
          <w:sz w:val="21"/>
          <w:shd w:val="clear" w:color="auto" w:fill="FFFFFF"/>
        </w:rPr>
        <w:lastRenderedPageBreak/>
        <w:t xml:space="preserve">fimmtungs af stöðugildi sérfræðings. Kostnaður nemi um </w:t>
      </w:r>
      <w:r w:rsidR="003E3FC2">
        <w:rPr>
          <w:rFonts w:ascii="Times New Roman" w:eastAsia="Calibri" w:hAnsi="Times New Roman" w:cs="Times New Roman"/>
          <w:color w:val="242424"/>
          <w:sz w:val="21"/>
          <w:shd w:val="clear" w:color="auto" w:fill="FFFFFF"/>
        </w:rPr>
        <w:t>1,8</w:t>
      </w:r>
      <w:r>
        <w:rPr>
          <w:rFonts w:ascii="Times New Roman" w:eastAsia="Calibri" w:hAnsi="Times New Roman" w:cs="Times New Roman"/>
          <w:color w:val="242424"/>
          <w:sz w:val="21"/>
          <w:shd w:val="clear" w:color="auto" w:fill="FFFFFF"/>
        </w:rPr>
        <w:t xml:space="preserve"> milljónum króna á ári með launum og launatengdum gjöldum.</w:t>
      </w:r>
    </w:p>
    <w:bookmarkEnd w:id="16"/>
    <w:p w14:paraId="1FEAAAB2" w14:textId="4489F53D" w:rsidR="00D911B9" w:rsidRPr="00D911B9" w:rsidRDefault="00A149E8" w:rsidP="00D911B9">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L</w:t>
      </w:r>
      <w:r w:rsidR="00D911B9" w:rsidRPr="00D911B9">
        <w:rPr>
          <w:rFonts w:ascii="Times New Roman" w:eastAsia="Calibri" w:hAnsi="Times New Roman" w:cs="Times New Roman"/>
          <w:sz w:val="21"/>
        </w:rPr>
        <w:t>ögfesting frumvarpsins get</w:t>
      </w:r>
      <w:r>
        <w:rPr>
          <w:rFonts w:ascii="Times New Roman" w:eastAsia="Calibri" w:hAnsi="Times New Roman" w:cs="Times New Roman"/>
          <w:sz w:val="21"/>
        </w:rPr>
        <w:t>ur</w:t>
      </w:r>
      <w:r w:rsidR="00D911B9" w:rsidRPr="00D911B9">
        <w:rPr>
          <w:rFonts w:ascii="Times New Roman" w:eastAsia="Calibri" w:hAnsi="Times New Roman" w:cs="Times New Roman"/>
          <w:sz w:val="21"/>
        </w:rPr>
        <w:t xml:space="preserve"> lækkað verðlag</w:t>
      </w:r>
      <w:r>
        <w:rPr>
          <w:rFonts w:ascii="Times New Roman" w:eastAsia="Calibri" w:hAnsi="Times New Roman" w:cs="Times New Roman"/>
          <w:sz w:val="21"/>
        </w:rPr>
        <w:t xml:space="preserve"> lítillega og þar með </w:t>
      </w:r>
      <w:r w:rsidRPr="00D911B9">
        <w:rPr>
          <w:rFonts w:ascii="Times New Roman" w:eastAsia="Calibri" w:hAnsi="Times New Roman" w:cs="Times New Roman"/>
          <w:sz w:val="21"/>
        </w:rPr>
        <w:t>útgjöld ríkisins vegna kaupa á vörum og þjónustu</w:t>
      </w:r>
      <w:r>
        <w:rPr>
          <w:rFonts w:ascii="Times New Roman" w:eastAsia="Calibri" w:hAnsi="Times New Roman" w:cs="Times New Roman"/>
          <w:sz w:val="21"/>
        </w:rPr>
        <w:t>. Lægra verðlag</w:t>
      </w:r>
      <w:r w:rsidR="00D911B9" w:rsidRPr="00D911B9">
        <w:rPr>
          <w:rFonts w:ascii="Times New Roman" w:eastAsia="Calibri" w:hAnsi="Times New Roman" w:cs="Times New Roman"/>
          <w:sz w:val="21"/>
        </w:rPr>
        <w:t xml:space="preserve"> lækkað</w:t>
      </w:r>
      <w:r>
        <w:rPr>
          <w:rFonts w:ascii="Times New Roman" w:eastAsia="Calibri" w:hAnsi="Times New Roman" w:cs="Times New Roman"/>
          <w:sz w:val="21"/>
        </w:rPr>
        <w:t>i að öðru óbreyttu</w:t>
      </w:r>
      <w:r w:rsidR="00D911B9" w:rsidRPr="00D911B9">
        <w:rPr>
          <w:rFonts w:ascii="Times New Roman" w:eastAsia="Calibri" w:hAnsi="Times New Roman" w:cs="Times New Roman"/>
          <w:sz w:val="21"/>
        </w:rPr>
        <w:t xml:space="preserve"> virðisaukaskattstekjur ríkissjóðs</w:t>
      </w:r>
      <w:r>
        <w:rPr>
          <w:rFonts w:ascii="Times New Roman" w:eastAsia="Calibri" w:hAnsi="Times New Roman" w:cs="Times New Roman"/>
          <w:sz w:val="21"/>
        </w:rPr>
        <w:t xml:space="preserve">, en </w:t>
      </w:r>
      <w:r w:rsidR="00D911B9" w:rsidRPr="00D911B9">
        <w:rPr>
          <w:rFonts w:ascii="Times New Roman" w:eastAsia="Calibri" w:hAnsi="Times New Roman" w:cs="Times New Roman"/>
          <w:sz w:val="21"/>
        </w:rPr>
        <w:t>gæti á móti aukið neyslu sem skilaði auknum tekjum af virðisaukaskatti.</w:t>
      </w:r>
    </w:p>
    <w:p w14:paraId="08A3254A"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Heilt yfir er talið að innleiðing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hafi óveruleg áhrif á fjárhag ríkisins.</w:t>
      </w:r>
    </w:p>
    <w:p w14:paraId="75DA4B51"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52884E8C" w14:textId="77777777" w:rsidR="00D911B9" w:rsidRPr="00D911B9" w:rsidRDefault="00D911B9" w:rsidP="00D911B9">
      <w:pPr>
        <w:spacing w:after="0" w:line="240" w:lineRule="auto"/>
        <w:jc w:val="center"/>
        <w:rPr>
          <w:rFonts w:ascii="Times New Roman" w:eastAsia="Calibri" w:hAnsi="Times New Roman" w:cs="Times New Roman"/>
          <w:i/>
          <w:sz w:val="21"/>
        </w:rPr>
      </w:pPr>
      <w:r w:rsidRPr="00D911B9">
        <w:rPr>
          <w:rFonts w:ascii="Times New Roman" w:eastAsia="Calibri" w:hAnsi="Times New Roman" w:cs="Times New Roman"/>
          <w:i/>
          <w:sz w:val="21"/>
        </w:rPr>
        <w:t>Um einstakar greinar frumvarpsins.</w:t>
      </w:r>
    </w:p>
    <w:p w14:paraId="523A2EE5" w14:textId="77777777"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Um 1. gr.</w:t>
      </w:r>
    </w:p>
    <w:p w14:paraId="1D25DF76"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Gerðir sem eru teknar upp í EES-samninginn og samsvara reglugerðum ESB skulu teknar sem slíkar upp í landsrétt, sbr. a-lið 7. gr. EES-samningsins. Því er lagt til að </w:t>
      </w:r>
      <w:proofErr w:type="spellStart"/>
      <w:r w:rsidRPr="00D911B9">
        <w:rPr>
          <w:rFonts w:ascii="Times New Roman" w:eastAsia="Calibri" w:hAnsi="Times New Roman" w:cs="Times New Roman"/>
          <w:sz w:val="21"/>
        </w:rPr>
        <w:t>milligjaldareglugerðin</w:t>
      </w:r>
      <w:proofErr w:type="spellEnd"/>
      <w:r w:rsidRPr="00D911B9">
        <w:rPr>
          <w:rFonts w:ascii="Times New Roman" w:eastAsia="Calibri" w:hAnsi="Times New Roman" w:cs="Times New Roman"/>
          <w:sz w:val="21"/>
        </w:rPr>
        <w:t xml:space="preserve">, eins og hún var aðlöguð við upptöku í EES-samninginn samkvæmt bókun 1 og ákvörðun sameiginlegu EES-nefndarinnar nr. [ ] frá [ ], verði lögfest í heild. Lagt er til að vísað verði til birtingar gerðarinnar og ákvörðunar sameiginlegu EES-nefndarinnar í EES-viðbæti við Stjórnartíðindi Evrópusambandsins, til samræmis við heimild 1. </w:t>
      </w:r>
      <w:proofErr w:type="spellStart"/>
      <w:r w:rsidRPr="00D911B9">
        <w:rPr>
          <w:rFonts w:ascii="Times New Roman" w:eastAsia="Calibri" w:hAnsi="Times New Roman" w:cs="Times New Roman"/>
          <w:sz w:val="21"/>
        </w:rPr>
        <w:t>málsl</w:t>
      </w:r>
      <w:proofErr w:type="spellEnd"/>
      <w:r w:rsidRPr="00D911B9">
        <w:rPr>
          <w:rFonts w:ascii="Times New Roman" w:eastAsia="Calibri" w:hAnsi="Times New Roman" w:cs="Times New Roman"/>
          <w:sz w:val="21"/>
        </w:rPr>
        <w:t xml:space="preserve">. 2. mgr. 2. gr. laga um Stjórnartíðindi og </w:t>
      </w:r>
      <w:proofErr w:type="spellStart"/>
      <w:r w:rsidRPr="00D911B9">
        <w:rPr>
          <w:rFonts w:ascii="Times New Roman" w:eastAsia="Calibri" w:hAnsi="Times New Roman" w:cs="Times New Roman"/>
          <w:sz w:val="21"/>
        </w:rPr>
        <w:t>Lögbirtingablað</w:t>
      </w:r>
      <w:proofErr w:type="spellEnd"/>
      <w:r w:rsidRPr="00D911B9">
        <w:rPr>
          <w:rFonts w:ascii="Times New Roman" w:eastAsia="Calibri" w:hAnsi="Times New Roman" w:cs="Times New Roman"/>
          <w:sz w:val="21"/>
        </w:rPr>
        <w:t xml:space="preserve">, nr. 15/2005, sbr. 2. </w:t>
      </w:r>
      <w:proofErr w:type="spellStart"/>
      <w:r w:rsidRPr="00D911B9">
        <w:rPr>
          <w:rFonts w:ascii="Times New Roman" w:eastAsia="Calibri" w:hAnsi="Times New Roman" w:cs="Times New Roman"/>
          <w:sz w:val="21"/>
        </w:rPr>
        <w:t>málsl</w:t>
      </w:r>
      <w:proofErr w:type="spellEnd"/>
      <w:r w:rsidRPr="00D911B9">
        <w:rPr>
          <w:rFonts w:ascii="Times New Roman" w:eastAsia="Calibri" w:hAnsi="Times New Roman" w:cs="Times New Roman"/>
          <w:sz w:val="21"/>
        </w:rPr>
        <w:t>. 1. mgr. 4. gr. sömu laga.</w:t>
      </w:r>
    </w:p>
    <w:p w14:paraId="50FA644B"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30E67474" w14:textId="77777777"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Um 2. gr.</w:t>
      </w:r>
    </w:p>
    <w:p w14:paraId="140E4C80"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Aðildarríki skulu skv. 13. gr.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tilnefna </w:t>
      </w:r>
      <w:proofErr w:type="spellStart"/>
      <w:r w:rsidRPr="00D911B9">
        <w:rPr>
          <w:rFonts w:ascii="Times New Roman" w:eastAsia="Calibri" w:hAnsi="Times New Roman" w:cs="Times New Roman"/>
          <w:sz w:val="21"/>
        </w:rPr>
        <w:t>lögbær</w:t>
      </w:r>
      <w:proofErr w:type="spellEnd"/>
      <w:r w:rsidRPr="00D911B9">
        <w:rPr>
          <w:rFonts w:ascii="Times New Roman" w:eastAsia="Calibri" w:hAnsi="Times New Roman" w:cs="Times New Roman"/>
          <w:sz w:val="21"/>
        </w:rPr>
        <w:t xml:space="preserve"> yfirvöld sem hafi eftirlit með því að farið sé að reglugerðinni. Heimilt er að tilnefna starfandi stofnanir og tilnefna má eitt eða fleiri yfirvöld.</w:t>
      </w:r>
    </w:p>
    <w:p w14:paraId="0399937C" w14:textId="5BE4FA0C" w:rsidR="00D911B9" w:rsidRDefault="00D911B9" w:rsidP="00D911B9">
      <w:pPr>
        <w:spacing w:after="0" w:line="240" w:lineRule="auto"/>
        <w:ind w:firstLine="284"/>
        <w:jc w:val="both"/>
        <w:rPr>
          <w:rFonts w:ascii="Times New Roman" w:eastAsia="Calibri" w:hAnsi="Times New Roman" w:cs="Times New Roman"/>
          <w:sz w:val="21"/>
        </w:rPr>
      </w:pPr>
      <w:proofErr w:type="spellStart"/>
      <w:r w:rsidRPr="00D911B9">
        <w:rPr>
          <w:rFonts w:ascii="Times New Roman" w:eastAsia="Calibri" w:hAnsi="Times New Roman" w:cs="Times New Roman"/>
          <w:sz w:val="21"/>
        </w:rPr>
        <w:t>Milligjaldareglugerðin</w:t>
      </w:r>
      <w:proofErr w:type="spellEnd"/>
      <w:r w:rsidRPr="00D911B9">
        <w:rPr>
          <w:rFonts w:ascii="Times New Roman" w:eastAsia="Calibri" w:hAnsi="Times New Roman" w:cs="Times New Roman"/>
          <w:sz w:val="21"/>
        </w:rPr>
        <w:t xml:space="preserve"> varðar starfsemi aðila á fjármálamarkaði, það er kortaútgefenda (banka og sparisjóða) og færsluhirða (lánafyrirtækja og greiðslustofnana), sem sæta þegar eftirliti Fjármálaeftirlitsins samkvæmt </w:t>
      </w:r>
      <w:hyperlink r:id="rId9" w:history="1">
        <w:r w:rsidRPr="00D911B9">
          <w:rPr>
            <w:rFonts w:ascii="Times New Roman" w:eastAsia="Calibri" w:hAnsi="Times New Roman" w:cs="Times New Roman"/>
            <w:sz w:val="21"/>
          </w:rPr>
          <w:t>lögum um opinbert eftirlit með fjármálastarfsemi, nr. 87/1998</w:t>
        </w:r>
      </w:hyperlink>
      <w:r w:rsidRPr="00D911B9">
        <w:rPr>
          <w:rFonts w:ascii="Times New Roman" w:eastAsia="Calibri" w:hAnsi="Times New Roman" w:cs="Times New Roman"/>
          <w:sz w:val="21"/>
        </w:rPr>
        <w:t>, og lögum um greiðsluþjónustu, nr. 120/2011. Því er talið haganlegast að fela Fjármálaeftirlitinu eftirlit með því að farið sé að lögunum.</w:t>
      </w:r>
      <w:r w:rsidR="00F223E7">
        <w:rPr>
          <w:rFonts w:ascii="Times New Roman" w:eastAsia="Calibri" w:hAnsi="Times New Roman" w:cs="Times New Roman"/>
          <w:sz w:val="21"/>
        </w:rPr>
        <w:t xml:space="preserve"> </w:t>
      </w:r>
      <w:r w:rsidR="00F223E7" w:rsidRPr="00F223E7">
        <w:rPr>
          <w:rFonts w:ascii="Times New Roman" w:eastAsia="Calibri" w:hAnsi="Times New Roman" w:cs="Times New Roman"/>
          <w:sz w:val="21"/>
        </w:rPr>
        <w:t xml:space="preserve">Þó er lagt til að Neytendastofa hafi eftirlit með merkingum söluaðila um viðtöku korta skv. 4. mgr. 10. gr. </w:t>
      </w:r>
      <w:proofErr w:type="spellStart"/>
      <w:r w:rsidR="00F223E7" w:rsidRPr="00F223E7">
        <w:rPr>
          <w:rFonts w:ascii="Times New Roman" w:eastAsia="Calibri" w:hAnsi="Times New Roman" w:cs="Times New Roman"/>
          <w:sz w:val="21"/>
        </w:rPr>
        <w:t>milligjaldareglugerðarinnar</w:t>
      </w:r>
      <w:proofErr w:type="spellEnd"/>
      <w:r w:rsidR="00F223E7" w:rsidRPr="00F223E7">
        <w:rPr>
          <w:rFonts w:ascii="Times New Roman" w:eastAsia="Calibri" w:hAnsi="Times New Roman" w:cs="Times New Roman"/>
          <w:sz w:val="21"/>
        </w:rPr>
        <w:t xml:space="preserve"> þar sem það er talið falla betur að hefðbundinni eftirlitsstarfsemi Neytendastofu en Fjármálaeftirlitsins</w:t>
      </w:r>
      <w:r w:rsidR="00D16C6B">
        <w:rPr>
          <w:rFonts w:ascii="Times New Roman" w:eastAsia="Calibri" w:hAnsi="Times New Roman" w:cs="Times New Roman"/>
          <w:sz w:val="21"/>
        </w:rPr>
        <w:t>.</w:t>
      </w:r>
    </w:p>
    <w:p w14:paraId="5ACAFACC" w14:textId="4E2C81E3" w:rsidR="00E379B6" w:rsidRDefault="00385E48" w:rsidP="008D432B">
      <w:pPr>
        <w:spacing w:after="0" w:line="240" w:lineRule="auto"/>
        <w:ind w:firstLine="284"/>
        <w:jc w:val="both"/>
        <w:rPr>
          <w:rFonts w:ascii="Times New Roman" w:eastAsia="Calibri" w:hAnsi="Times New Roman" w:cs="Times New Roman"/>
          <w:color w:val="242424"/>
          <w:sz w:val="21"/>
          <w:shd w:val="clear" w:color="auto" w:fill="FFFFFF"/>
        </w:rPr>
      </w:pPr>
      <w:r w:rsidRPr="00385E48">
        <w:rPr>
          <w:rFonts w:ascii="Times New Roman" w:eastAsia="Calibri" w:hAnsi="Times New Roman" w:cs="Times New Roman"/>
          <w:sz w:val="21"/>
        </w:rPr>
        <w:t>Um eftirlit</w:t>
      </w:r>
      <w:r w:rsidR="00E379B6">
        <w:rPr>
          <w:rFonts w:ascii="Times New Roman" w:eastAsia="Calibri" w:hAnsi="Times New Roman" w:cs="Times New Roman"/>
          <w:sz w:val="21"/>
        </w:rPr>
        <w:t xml:space="preserve"> beggja stjórnvalda gilda </w:t>
      </w:r>
      <w:r w:rsidR="00E379B6" w:rsidRPr="00385E48">
        <w:rPr>
          <w:rFonts w:ascii="Times New Roman" w:eastAsia="Calibri" w:hAnsi="Times New Roman" w:cs="Times New Roman"/>
          <w:sz w:val="21"/>
        </w:rPr>
        <w:t>stjórnsýslul</w:t>
      </w:r>
      <w:r w:rsidR="00E379B6">
        <w:rPr>
          <w:rFonts w:ascii="Times New Roman" w:eastAsia="Calibri" w:hAnsi="Times New Roman" w:cs="Times New Roman"/>
          <w:sz w:val="21"/>
        </w:rPr>
        <w:t>ög</w:t>
      </w:r>
      <w:r w:rsidR="00E379B6" w:rsidRPr="00385E48">
        <w:rPr>
          <w:rFonts w:ascii="Times New Roman" w:eastAsia="Calibri" w:hAnsi="Times New Roman" w:cs="Times New Roman"/>
          <w:sz w:val="21"/>
        </w:rPr>
        <w:t xml:space="preserve">, nr. 37/1993, og </w:t>
      </w:r>
      <w:r w:rsidR="00E379B6">
        <w:rPr>
          <w:rFonts w:ascii="Times New Roman" w:eastAsia="Calibri" w:hAnsi="Times New Roman" w:cs="Times New Roman"/>
          <w:sz w:val="21"/>
        </w:rPr>
        <w:t>aðrar</w:t>
      </w:r>
      <w:r w:rsidR="00E379B6" w:rsidRPr="00385E48">
        <w:rPr>
          <w:rFonts w:ascii="Times New Roman" w:eastAsia="Calibri" w:hAnsi="Times New Roman" w:cs="Times New Roman"/>
          <w:sz w:val="21"/>
        </w:rPr>
        <w:t xml:space="preserve"> almenn</w:t>
      </w:r>
      <w:r w:rsidR="00E379B6">
        <w:rPr>
          <w:rFonts w:ascii="Times New Roman" w:eastAsia="Calibri" w:hAnsi="Times New Roman" w:cs="Times New Roman"/>
          <w:sz w:val="21"/>
        </w:rPr>
        <w:t>ar</w:t>
      </w:r>
      <w:r w:rsidR="00E379B6" w:rsidRPr="00385E48">
        <w:rPr>
          <w:rFonts w:ascii="Times New Roman" w:eastAsia="Calibri" w:hAnsi="Times New Roman" w:cs="Times New Roman"/>
          <w:sz w:val="21"/>
        </w:rPr>
        <w:t xml:space="preserve"> regl</w:t>
      </w:r>
      <w:r w:rsidR="00E379B6">
        <w:rPr>
          <w:rFonts w:ascii="Times New Roman" w:eastAsia="Calibri" w:hAnsi="Times New Roman" w:cs="Times New Roman"/>
          <w:sz w:val="21"/>
        </w:rPr>
        <w:t>ur</w:t>
      </w:r>
      <w:r w:rsidR="00E379B6" w:rsidRPr="00385E48">
        <w:rPr>
          <w:rFonts w:ascii="Times New Roman" w:eastAsia="Calibri" w:hAnsi="Times New Roman" w:cs="Times New Roman"/>
          <w:sz w:val="21"/>
        </w:rPr>
        <w:t xml:space="preserve"> stjórnsýsluréttar</w:t>
      </w:r>
      <w:r w:rsidR="00E379B6">
        <w:rPr>
          <w:rFonts w:ascii="Times New Roman" w:eastAsia="Calibri" w:hAnsi="Times New Roman" w:cs="Times New Roman"/>
          <w:sz w:val="21"/>
        </w:rPr>
        <w:t xml:space="preserve">. Um eftirlit </w:t>
      </w:r>
      <w:r>
        <w:rPr>
          <w:rFonts w:ascii="Times New Roman" w:eastAsia="Calibri" w:hAnsi="Times New Roman" w:cs="Times New Roman"/>
          <w:sz w:val="21"/>
        </w:rPr>
        <w:t>Fjármálaeftirlitsins</w:t>
      </w:r>
      <w:r w:rsidRPr="00385E48">
        <w:rPr>
          <w:rFonts w:ascii="Times New Roman" w:eastAsia="Calibri" w:hAnsi="Times New Roman" w:cs="Times New Roman"/>
          <w:sz w:val="21"/>
        </w:rPr>
        <w:t xml:space="preserve"> gilda </w:t>
      </w:r>
      <w:r w:rsidR="00E379B6">
        <w:rPr>
          <w:rFonts w:ascii="Times New Roman" w:eastAsia="Calibri" w:hAnsi="Times New Roman" w:cs="Times New Roman"/>
          <w:sz w:val="21"/>
        </w:rPr>
        <w:t xml:space="preserve">auk </w:t>
      </w:r>
      <w:r w:rsidR="008E7F80">
        <w:rPr>
          <w:rFonts w:ascii="Times New Roman" w:eastAsia="Calibri" w:hAnsi="Times New Roman" w:cs="Times New Roman"/>
          <w:sz w:val="21"/>
        </w:rPr>
        <w:t>þeirra</w:t>
      </w:r>
      <w:r w:rsidR="00E379B6">
        <w:rPr>
          <w:rFonts w:ascii="Times New Roman" w:eastAsia="Calibri" w:hAnsi="Times New Roman" w:cs="Times New Roman"/>
          <w:sz w:val="21"/>
        </w:rPr>
        <w:t xml:space="preserve"> </w:t>
      </w:r>
      <w:r w:rsidRPr="00385E48">
        <w:rPr>
          <w:rFonts w:ascii="Times New Roman" w:eastAsia="Calibri" w:hAnsi="Times New Roman" w:cs="Times New Roman"/>
          <w:sz w:val="21"/>
        </w:rPr>
        <w:t>lög um opinbert eftirlit með fjármálastarfsemi, sbr. 1.–3. mgr. 2. gr. og 3. mgr. 8. gr. þeirra laga. Um kostnað við eftirlit Fjármálaeftirlitsins fer samkvæmt lögum um greiðslu kostnaðar við opinbert eftirlit með fjármálastarfsemi, nr. 99/1999.</w:t>
      </w:r>
      <w:r w:rsidR="00E379B6">
        <w:rPr>
          <w:rFonts w:ascii="Times New Roman" w:eastAsia="Calibri" w:hAnsi="Times New Roman" w:cs="Times New Roman"/>
          <w:sz w:val="21"/>
        </w:rPr>
        <w:t xml:space="preserve"> Lagt er til að ákvæði laga um eftirlit með </w:t>
      </w:r>
      <w:r w:rsidR="00E379B6" w:rsidRPr="00514CEC">
        <w:rPr>
          <w:rFonts w:ascii="Times New Roman" w:eastAsia="Calibri" w:hAnsi="Times New Roman" w:cs="Times New Roman"/>
          <w:color w:val="242424"/>
          <w:sz w:val="21"/>
          <w:shd w:val="clear" w:color="auto" w:fill="FFFFFF"/>
        </w:rPr>
        <w:t>viðskiptaháttum og markaðssetningu</w:t>
      </w:r>
      <w:r w:rsidR="00E379B6">
        <w:rPr>
          <w:rFonts w:ascii="Times New Roman" w:eastAsia="Calibri" w:hAnsi="Times New Roman" w:cs="Times New Roman"/>
          <w:color w:val="242424"/>
          <w:sz w:val="21"/>
          <w:shd w:val="clear" w:color="auto" w:fill="FFFFFF"/>
        </w:rPr>
        <w:t>, nr. 57/2005, gildi eftir því sem við getur átt um eftirlit</w:t>
      </w:r>
      <w:r w:rsidR="009A418B">
        <w:rPr>
          <w:rFonts w:ascii="Times New Roman" w:eastAsia="Calibri" w:hAnsi="Times New Roman" w:cs="Times New Roman"/>
          <w:color w:val="242424"/>
          <w:sz w:val="21"/>
          <w:shd w:val="clear" w:color="auto" w:fill="FFFFFF"/>
        </w:rPr>
        <w:t xml:space="preserve"> Neytendastofu</w:t>
      </w:r>
      <w:r w:rsidR="00E379B6">
        <w:rPr>
          <w:rFonts w:ascii="Times New Roman" w:eastAsia="Calibri" w:hAnsi="Times New Roman" w:cs="Times New Roman"/>
          <w:color w:val="242424"/>
          <w:sz w:val="21"/>
          <w:shd w:val="clear" w:color="auto" w:fill="FFFFFF"/>
        </w:rPr>
        <w:t xml:space="preserve">, enda hefur </w:t>
      </w:r>
      <w:r w:rsidR="00E379B6" w:rsidRPr="00F223E7">
        <w:rPr>
          <w:rFonts w:ascii="Times New Roman" w:eastAsia="Calibri" w:hAnsi="Times New Roman" w:cs="Times New Roman"/>
          <w:sz w:val="21"/>
        </w:rPr>
        <w:t xml:space="preserve">4. mgr. 10. gr. </w:t>
      </w:r>
      <w:proofErr w:type="spellStart"/>
      <w:r w:rsidR="00E379B6" w:rsidRPr="00F223E7">
        <w:rPr>
          <w:rFonts w:ascii="Times New Roman" w:eastAsia="Calibri" w:hAnsi="Times New Roman" w:cs="Times New Roman"/>
          <w:sz w:val="21"/>
        </w:rPr>
        <w:t>milligjaldareglugerðarinnar</w:t>
      </w:r>
      <w:proofErr w:type="spellEnd"/>
      <w:r w:rsidR="00E379B6">
        <w:rPr>
          <w:rFonts w:ascii="Times New Roman" w:eastAsia="Calibri" w:hAnsi="Times New Roman" w:cs="Times New Roman"/>
          <w:sz w:val="21"/>
        </w:rPr>
        <w:t xml:space="preserve"> ríka samstöðu með efnisákvæðum þeirra laga. Í því felst m.a. </w:t>
      </w:r>
      <w:r w:rsidR="00E379B6">
        <w:rPr>
          <w:rFonts w:ascii="Times New Roman" w:eastAsia="Calibri" w:hAnsi="Times New Roman" w:cs="Times New Roman"/>
          <w:color w:val="242424"/>
          <w:sz w:val="21"/>
          <w:shd w:val="clear" w:color="auto" w:fill="FFFFFF"/>
        </w:rPr>
        <w:t xml:space="preserve">að ákvörðunum Neytendastofu verður skotið til </w:t>
      </w:r>
      <w:proofErr w:type="spellStart"/>
      <w:r w:rsidR="00E379B6">
        <w:rPr>
          <w:rFonts w:ascii="Times New Roman" w:eastAsia="Calibri" w:hAnsi="Times New Roman" w:cs="Times New Roman"/>
          <w:color w:val="242424"/>
          <w:sz w:val="21"/>
          <w:shd w:val="clear" w:color="auto" w:fill="FFFFFF"/>
        </w:rPr>
        <w:t>áfrýjunarnefndar</w:t>
      </w:r>
      <w:proofErr w:type="spellEnd"/>
      <w:r w:rsidR="00E379B6">
        <w:rPr>
          <w:rFonts w:ascii="Times New Roman" w:eastAsia="Calibri" w:hAnsi="Times New Roman" w:cs="Times New Roman"/>
          <w:color w:val="242424"/>
          <w:sz w:val="21"/>
          <w:shd w:val="clear" w:color="auto" w:fill="FFFFFF"/>
        </w:rPr>
        <w:t xml:space="preserve"> neytendamála en ekki áður til dómstóla, sbr. 4. mgr. 4. gr. og 24. og 25. gr. laganna, að Neytendastofa getur krafist</w:t>
      </w:r>
      <w:r w:rsidR="00E379B6" w:rsidRPr="006D24CE">
        <w:rPr>
          <w:rFonts w:ascii="Times New Roman" w:eastAsia="Calibri" w:hAnsi="Times New Roman" w:cs="Times New Roman"/>
          <w:color w:val="242424"/>
          <w:sz w:val="21"/>
          <w:shd w:val="clear" w:color="auto" w:fill="FFFFFF"/>
        </w:rPr>
        <w:t xml:space="preserve"> </w:t>
      </w:r>
      <w:r w:rsidR="00E379B6">
        <w:rPr>
          <w:rFonts w:ascii="Times New Roman" w:eastAsia="Calibri" w:hAnsi="Times New Roman" w:cs="Times New Roman"/>
          <w:color w:val="242424"/>
          <w:sz w:val="21"/>
          <w:shd w:val="clear" w:color="auto" w:fill="FFFFFF"/>
        </w:rPr>
        <w:t xml:space="preserve">upplýsinga og gagna til samræmis við 20. gr. þeirra, gert athuganir á starfsstöðvum og lagt hald á gögn til samræmis við 20. gr. a, afhent stjórnvöldum annarra ríkja upplýsingar og gögn </w:t>
      </w:r>
      <w:r w:rsidR="00B46F8E">
        <w:rPr>
          <w:rFonts w:ascii="Times New Roman" w:eastAsia="Calibri" w:hAnsi="Times New Roman" w:cs="Times New Roman"/>
          <w:color w:val="242424"/>
          <w:sz w:val="21"/>
          <w:shd w:val="clear" w:color="auto" w:fill="FFFFFF"/>
        </w:rPr>
        <w:t>á grundvelli</w:t>
      </w:r>
      <w:r w:rsidR="00E379B6">
        <w:rPr>
          <w:rFonts w:ascii="Times New Roman" w:eastAsia="Calibri" w:hAnsi="Times New Roman" w:cs="Times New Roman"/>
          <w:color w:val="242424"/>
          <w:sz w:val="21"/>
          <w:shd w:val="clear" w:color="auto" w:fill="FFFFFF"/>
        </w:rPr>
        <w:t xml:space="preserve"> 21. gr. a, sett reglur og gripið til aðgerða </w:t>
      </w:r>
      <w:r w:rsidR="00B46F8E">
        <w:rPr>
          <w:rFonts w:ascii="Times New Roman" w:eastAsia="Calibri" w:hAnsi="Times New Roman" w:cs="Times New Roman"/>
          <w:color w:val="242424"/>
          <w:sz w:val="21"/>
          <w:shd w:val="clear" w:color="auto" w:fill="FFFFFF"/>
        </w:rPr>
        <w:t>skv.</w:t>
      </w:r>
      <w:r w:rsidR="00E379B6">
        <w:rPr>
          <w:rFonts w:ascii="Times New Roman" w:eastAsia="Calibri" w:hAnsi="Times New Roman" w:cs="Times New Roman"/>
          <w:color w:val="242424"/>
          <w:sz w:val="21"/>
          <w:shd w:val="clear" w:color="auto" w:fill="FFFFFF"/>
        </w:rPr>
        <w:t xml:space="preserve"> 21. gr. b og lagt á dagsektir til samræmis við 23. gr.</w:t>
      </w:r>
      <w:r w:rsidR="00E379B6" w:rsidRPr="002B2876">
        <w:rPr>
          <w:rFonts w:ascii="Times New Roman" w:eastAsia="Calibri" w:hAnsi="Times New Roman" w:cs="Times New Roman"/>
          <w:color w:val="242424"/>
          <w:sz w:val="21"/>
          <w:shd w:val="clear" w:color="auto" w:fill="FFFFFF"/>
        </w:rPr>
        <w:t xml:space="preserve"> </w:t>
      </w:r>
    </w:p>
    <w:p w14:paraId="7BD0BEC8" w14:textId="6850914C" w:rsidR="00D911B9" w:rsidRPr="00D911B9" w:rsidRDefault="00D911B9" w:rsidP="00FB3555">
      <w:pPr>
        <w:spacing w:after="0" w:line="240" w:lineRule="auto"/>
        <w:jc w:val="both"/>
        <w:rPr>
          <w:rFonts w:ascii="Times New Roman" w:eastAsia="Calibri" w:hAnsi="Times New Roman" w:cs="Times New Roman"/>
          <w:sz w:val="21"/>
        </w:rPr>
      </w:pPr>
    </w:p>
    <w:p w14:paraId="1233EBAE" w14:textId="0A998A47"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3. gr. </w:t>
      </w:r>
    </w:p>
    <w:p w14:paraId="6CE530C6" w14:textId="29200685"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lastRenderedPageBreak/>
        <w:t xml:space="preserve">Aðildarríki skulu samkvæmt 14. gr.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setja reglur um viðurlög við brotum gegn reglugerðinni og gera allar nauðsynlegar ráðstafanir til að tryggja að þeim sé beitt.</w:t>
      </w:r>
    </w:p>
    <w:p w14:paraId="51974C07" w14:textId="279D5AE6"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Lagt er til að </w:t>
      </w:r>
      <w:r w:rsidR="00B72340">
        <w:rPr>
          <w:rFonts w:ascii="Times New Roman" w:eastAsia="Calibri" w:hAnsi="Times New Roman" w:cs="Times New Roman"/>
          <w:sz w:val="21"/>
        </w:rPr>
        <w:t xml:space="preserve">Fjármálaeftirlitið </w:t>
      </w:r>
      <w:r w:rsidR="00373C68" w:rsidRPr="00230CEF">
        <w:rPr>
          <w:rFonts w:ascii="Times New Roman" w:eastAsia="Calibri" w:hAnsi="Times New Roman" w:cs="Times New Roman"/>
          <w:sz w:val="21"/>
        </w:rPr>
        <w:t xml:space="preserve">og Neytendastofa </w:t>
      </w:r>
      <w:r w:rsidR="00D75F84">
        <w:rPr>
          <w:rFonts w:ascii="Times New Roman" w:eastAsia="Calibri" w:hAnsi="Times New Roman" w:cs="Times New Roman"/>
          <w:sz w:val="21"/>
        </w:rPr>
        <w:t xml:space="preserve">geti </w:t>
      </w:r>
      <w:r w:rsidR="00B72340">
        <w:rPr>
          <w:rFonts w:ascii="Times New Roman" w:eastAsia="Calibri" w:hAnsi="Times New Roman" w:cs="Times New Roman"/>
          <w:sz w:val="21"/>
        </w:rPr>
        <w:t xml:space="preserve">lagt á stjórnvaldssektir fyrir brot gegn </w:t>
      </w:r>
      <w:r w:rsidRPr="00D911B9">
        <w:rPr>
          <w:rFonts w:ascii="Times New Roman" w:eastAsia="Calibri" w:hAnsi="Times New Roman" w:cs="Times New Roman"/>
          <w:sz w:val="21"/>
        </w:rPr>
        <w:t>3.</w:t>
      </w:r>
      <w:r w:rsidR="00373C68">
        <w:rPr>
          <w:rFonts w:ascii="Times New Roman" w:eastAsia="Calibri" w:hAnsi="Times New Roman" w:cs="Times New Roman"/>
          <w:sz w:val="21"/>
        </w:rPr>
        <w:t>, 4. og 6.</w:t>
      </w:r>
      <w:r w:rsidRPr="00D911B9">
        <w:rPr>
          <w:rFonts w:ascii="Times New Roman" w:eastAsia="Calibri" w:hAnsi="Times New Roman" w:cs="Times New Roman"/>
          <w:sz w:val="21"/>
        </w:rPr>
        <w:t xml:space="preserve">–12. gr.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w:t>
      </w:r>
      <w:r w:rsidR="00F55A86" w:rsidRPr="00D911B9">
        <w:rPr>
          <w:rFonts w:ascii="Times New Roman" w:eastAsia="Calibri" w:hAnsi="Times New Roman" w:cs="Times New Roman"/>
          <w:sz w:val="21"/>
        </w:rPr>
        <w:t xml:space="preserve"> eftir atvikum eins og </w:t>
      </w:r>
      <w:r w:rsidR="00BD53AD">
        <w:rPr>
          <w:rFonts w:ascii="Times New Roman" w:eastAsia="Calibri" w:hAnsi="Times New Roman" w:cs="Times New Roman"/>
          <w:sz w:val="21"/>
        </w:rPr>
        <w:t>þær</w:t>
      </w:r>
      <w:r w:rsidR="00BD53AD" w:rsidRPr="00D911B9">
        <w:rPr>
          <w:rFonts w:ascii="Times New Roman" w:eastAsia="Calibri" w:hAnsi="Times New Roman" w:cs="Times New Roman"/>
          <w:sz w:val="21"/>
        </w:rPr>
        <w:t xml:space="preserve"> </w:t>
      </w:r>
      <w:r w:rsidR="00F55A86" w:rsidRPr="00D911B9">
        <w:rPr>
          <w:rFonts w:ascii="Times New Roman" w:eastAsia="Calibri" w:hAnsi="Times New Roman" w:cs="Times New Roman"/>
          <w:sz w:val="21"/>
        </w:rPr>
        <w:t>eru nánar útfærð</w:t>
      </w:r>
      <w:r w:rsidR="00BD53AD">
        <w:rPr>
          <w:rFonts w:ascii="Times New Roman" w:eastAsia="Calibri" w:hAnsi="Times New Roman" w:cs="Times New Roman"/>
          <w:sz w:val="21"/>
        </w:rPr>
        <w:t>ar</w:t>
      </w:r>
      <w:r w:rsidR="00F55A86" w:rsidRPr="00D911B9">
        <w:rPr>
          <w:rFonts w:ascii="Times New Roman" w:eastAsia="Calibri" w:hAnsi="Times New Roman" w:cs="Times New Roman"/>
          <w:sz w:val="21"/>
        </w:rPr>
        <w:t xml:space="preserve"> í reglugerð</w:t>
      </w:r>
      <w:r w:rsidRPr="00D911B9">
        <w:rPr>
          <w:rFonts w:ascii="Times New Roman" w:eastAsia="Calibri" w:hAnsi="Times New Roman" w:cs="Times New Roman"/>
          <w:sz w:val="21"/>
        </w:rPr>
        <w:t xml:space="preserve">. Stjórnvaldssektir eru skilvirkt viðurlagaúrræði sem nýtir sérfræðiþekkingu Fjármálaeftirlitsins </w:t>
      </w:r>
      <w:r w:rsidR="00373C68">
        <w:rPr>
          <w:rFonts w:ascii="Times New Roman" w:eastAsia="Calibri" w:hAnsi="Times New Roman" w:cs="Times New Roman"/>
          <w:sz w:val="21"/>
        </w:rPr>
        <w:t xml:space="preserve">og Neytendastofu </w:t>
      </w:r>
      <w:r w:rsidRPr="00D911B9">
        <w:rPr>
          <w:rFonts w:ascii="Times New Roman" w:eastAsia="Calibri" w:hAnsi="Times New Roman" w:cs="Times New Roman"/>
          <w:sz w:val="21"/>
        </w:rPr>
        <w:t>betur en hefðbundin refsiúrræði. Heimild til að leggja á hæfilegar stjórnvaldssektir vegur upp von um ábata af brotum gegn ákvæðunum og hefur þannig nauðsynleg varnaðaráhrif.</w:t>
      </w:r>
    </w:p>
    <w:p w14:paraId="791B39C6" w14:textId="5ADC9518" w:rsidR="00D911B9" w:rsidRPr="00D911B9" w:rsidRDefault="00D911B9" w:rsidP="00D911B9">
      <w:pPr>
        <w:spacing w:after="0" w:line="240" w:lineRule="auto"/>
        <w:ind w:firstLine="284"/>
        <w:jc w:val="both"/>
        <w:rPr>
          <w:rFonts w:ascii="Times New Roman" w:eastAsia="Calibri" w:hAnsi="Times New Roman" w:cs="Times New Roman"/>
          <w:sz w:val="21"/>
        </w:rPr>
      </w:pPr>
      <w:bookmarkStart w:id="17" w:name="_Hlk529274095"/>
      <w:r w:rsidRPr="00D911B9">
        <w:rPr>
          <w:rFonts w:ascii="Times New Roman" w:eastAsia="Calibri" w:hAnsi="Times New Roman" w:cs="Times New Roman"/>
          <w:sz w:val="21"/>
        </w:rPr>
        <w:t xml:space="preserve">Lagt er til að Fjármálaeftirlitinu </w:t>
      </w:r>
      <w:r w:rsidR="00430906">
        <w:rPr>
          <w:rFonts w:ascii="Times New Roman" w:eastAsia="Calibri" w:hAnsi="Times New Roman" w:cs="Times New Roman"/>
          <w:sz w:val="21"/>
        </w:rPr>
        <w:t xml:space="preserve">og Neytendastofu </w:t>
      </w:r>
      <w:r w:rsidRPr="00D911B9">
        <w:rPr>
          <w:rFonts w:ascii="Times New Roman" w:eastAsia="Calibri" w:hAnsi="Times New Roman" w:cs="Times New Roman"/>
          <w:sz w:val="21"/>
        </w:rPr>
        <w:t xml:space="preserve">verði heimilt en ekki skylt að leggja á stjórnvaldssekt fyrir brot. </w:t>
      </w:r>
      <w:r w:rsidR="0066188C">
        <w:rPr>
          <w:rFonts w:ascii="Times New Roman" w:eastAsia="Calibri" w:hAnsi="Times New Roman" w:cs="Times New Roman"/>
          <w:sz w:val="21"/>
        </w:rPr>
        <w:t>Stofnanirnar</w:t>
      </w:r>
      <w:r w:rsidR="0066188C" w:rsidRPr="00D911B9">
        <w:rPr>
          <w:rFonts w:ascii="Times New Roman" w:eastAsia="Calibri" w:hAnsi="Times New Roman" w:cs="Times New Roman"/>
          <w:sz w:val="21"/>
        </w:rPr>
        <w:t xml:space="preserve"> </w:t>
      </w:r>
      <w:r w:rsidRPr="00D911B9">
        <w:rPr>
          <w:rFonts w:ascii="Times New Roman" w:eastAsia="Calibri" w:hAnsi="Times New Roman" w:cs="Times New Roman"/>
          <w:sz w:val="21"/>
        </w:rPr>
        <w:t>get</w:t>
      </w:r>
      <w:r w:rsidR="0066188C">
        <w:rPr>
          <w:rFonts w:ascii="Times New Roman" w:eastAsia="Calibri" w:hAnsi="Times New Roman" w:cs="Times New Roman"/>
          <w:sz w:val="21"/>
        </w:rPr>
        <w:t>a</w:t>
      </w:r>
      <w:r w:rsidRPr="00D911B9">
        <w:rPr>
          <w:rFonts w:ascii="Times New Roman" w:eastAsia="Calibri" w:hAnsi="Times New Roman" w:cs="Times New Roman"/>
          <w:sz w:val="21"/>
        </w:rPr>
        <w:t xml:space="preserve"> því metið hvort réttarvörslusjónarmið kalli á álagningu stjórnvaldssektar. Eftir atvikum gæti verið nægjanlegt að beita vægari úrræðum á borð við kröfu um úrbætur að viðlögðum dagsektum</w:t>
      </w:r>
      <w:r w:rsidR="00D75F84">
        <w:rPr>
          <w:rFonts w:ascii="Times New Roman" w:eastAsia="Calibri" w:hAnsi="Times New Roman" w:cs="Times New Roman"/>
          <w:sz w:val="21"/>
        </w:rPr>
        <w:t xml:space="preserve">, sbr. </w:t>
      </w:r>
      <w:r w:rsidR="00D75F84" w:rsidRPr="00D75F84">
        <w:rPr>
          <w:rFonts w:ascii="Times New Roman" w:eastAsia="Calibri" w:hAnsi="Times New Roman" w:cs="Times New Roman"/>
          <w:sz w:val="21"/>
        </w:rPr>
        <w:t>10. og 11. gr. laga um opinbert eftirlit með fjármálastarfsemi, nr. 87/1998</w:t>
      </w:r>
      <w:r w:rsidR="00D75F84">
        <w:rPr>
          <w:rFonts w:ascii="Times New Roman" w:eastAsia="Calibri" w:hAnsi="Times New Roman" w:cs="Times New Roman"/>
          <w:sz w:val="21"/>
        </w:rPr>
        <w:t xml:space="preserve">, og </w:t>
      </w:r>
      <w:r w:rsidR="00D75F84" w:rsidRPr="00D75F84">
        <w:rPr>
          <w:rFonts w:ascii="Times New Roman" w:eastAsia="Calibri" w:hAnsi="Times New Roman" w:cs="Times New Roman"/>
          <w:sz w:val="21"/>
        </w:rPr>
        <w:t>2. mgr. 21. gr.</w:t>
      </w:r>
      <w:r w:rsidR="004D27E8">
        <w:rPr>
          <w:rFonts w:ascii="Times New Roman" w:eastAsia="Calibri" w:hAnsi="Times New Roman" w:cs="Times New Roman"/>
          <w:sz w:val="21"/>
        </w:rPr>
        <w:t xml:space="preserve"> b</w:t>
      </w:r>
      <w:r w:rsidR="00D75F84">
        <w:rPr>
          <w:rFonts w:ascii="Times New Roman" w:eastAsia="Calibri" w:hAnsi="Times New Roman" w:cs="Times New Roman"/>
          <w:sz w:val="21"/>
        </w:rPr>
        <w:t xml:space="preserve"> og </w:t>
      </w:r>
      <w:r w:rsidR="00D75F84" w:rsidRPr="00D75F84">
        <w:rPr>
          <w:rFonts w:ascii="Times New Roman" w:eastAsia="Calibri" w:hAnsi="Times New Roman" w:cs="Times New Roman"/>
          <w:sz w:val="21"/>
        </w:rPr>
        <w:t>23. gr.</w:t>
      </w:r>
      <w:r w:rsidR="00D75F84">
        <w:rPr>
          <w:rFonts w:ascii="Times New Roman" w:eastAsia="Calibri" w:hAnsi="Times New Roman" w:cs="Times New Roman"/>
          <w:sz w:val="21"/>
        </w:rPr>
        <w:t xml:space="preserve"> </w:t>
      </w:r>
      <w:r w:rsidR="00D75F84" w:rsidRPr="00D75F84">
        <w:rPr>
          <w:rFonts w:ascii="Times New Roman" w:eastAsia="Calibri" w:hAnsi="Times New Roman" w:cs="Times New Roman"/>
          <w:sz w:val="21"/>
        </w:rPr>
        <w:t>laga um um eftirlit með viðskiptaháttum og markaðssetningu, nr. 57/2005</w:t>
      </w:r>
      <w:r w:rsidRPr="00D911B9">
        <w:rPr>
          <w:rFonts w:ascii="Times New Roman" w:eastAsia="Calibri" w:hAnsi="Times New Roman" w:cs="Times New Roman"/>
          <w:sz w:val="21"/>
        </w:rPr>
        <w:t>.</w:t>
      </w:r>
    </w:p>
    <w:p w14:paraId="24846781" w14:textId="5B50AF34" w:rsidR="00D911B9" w:rsidRPr="00D911B9" w:rsidRDefault="004E3FBE" w:rsidP="00D911B9">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Greinin</w:t>
      </w:r>
      <w:r w:rsidRPr="00D911B9">
        <w:rPr>
          <w:rFonts w:ascii="Times New Roman" w:eastAsia="Calibri" w:hAnsi="Times New Roman" w:cs="Times New Roman"/>
          <w:sz w:val="21"/>
        </w:rPr>
        <w:t xml:space="preserve"> </w:t>
      </w:r>
      <w:r w:rsidR="00D911B9" w:rsidRPr="00D911B9">
        <w:rPr>
          <w:rFonts w:ascii="Times New Roman" w:eastAsia="Calibri" w:hAnsi="Times New Roman" w:cs="Times New Roman"/>
          <w:sz w:val="21"/>
        </w:rPr>
        <w:t xml:space="preserve">tekur bæði til einstaklinga og lögaðila. </w:t>
      </w:r>
      <w:r w:rsidR="00485C50">
        <w:rPr>
          <w:rFonts w:ascii="Times New Roman" w:eastAsia="Calibri" w:hAnsi="Times New Roman" w:cs="Times New Roman"/>
          <w:sz w:val="21"/>
        </w:rPr>
        <w:t>L</w:t>
      </w:r>
      <w:r w:rsidR="00D911B9" w:rsidRPr="00D911B9">
        <w:rPr>
          <w:rFonts w:ascii="Times New Roman" w:eastAsia="Calibri" w:hAnsi="Times New Roman" w:cs="Times New Roman"/>
          <w:sz w:val="21"/>
        </w:rPr>
        <w:t>ögaðil</w:t>
      </w:r>
      <w:r w:rsidR="00485C50">
        <w:rPr>
          <w:rFonts w:ascii="Times New Roman" w:eastAsia="Calibri" w:hAnsi="Times New Roman" w:cs="Times New Roman"/>
          <w:sz w:val="21"/>
        </w:rPr>
        <w:t>i telst því aðeins hafa brotið af sér</w:t>
      </w:r>
      <w:r w:rsidR="00D911B9" w:rsidRPr="00D911B9">
        <w:rPr>
          <w:rFonts w:ascii="Times New Roman" w:eastAsia="Calibri" w:hAnsi="Times New Roman" w:cs="Times New Roman"/>
          <w:sz w:val="21"/>
        </w:rPr>
        <w:t xml:space="preserve"> </w:t>
      </w:r>
      <w:r w:rsidR="00485C50">
        <w:rPr>
          <w:rFonts w:ascii="Times New Roman" w:eastAsia="Calibri" w:hAnsi="Times New Roman" w:cs="Times New Roman"/>
          <w:sz w:val="21"/>
        </w:rPr>
        <w:t>að</w:t>
      </w:r>
      <w:r w:rsidR="00D911B9" w:rsidRPr="00D911B9">
        <w:rPr>
          <w:rFonts w:ascii="Times New Roman" w:eastAsia="Calibri" w:hAnsi="Times New Roman" w:cs="Times New Roman"/>
          <w:sz w:val="21"/>
        </w:rPr>
        <w:t xml:space="preserve"> fyrirsvarsmaður hans, starfsmaður eða annar á hans vegum hafi </w:t>
      </w:r>
      <w:r w:rsidR="00485C50">
        <w:rPr>
          <w:rFonts w:ascii="Times New Roman" w:eastAsia="Calibri" w:hAnsi="Times New Roman" w:cs="Times New Roman"/>
          <w:sz w:val="21"/>
        </w:rPr>
        <w:t>framið brot</w:t>
      </w:r>
      <w:r w:rsidR="00D911B9" w:rsidRPr="00D911B9">
        <w:rPr>
          <w:rFonts w:ascii="Times New Roman" w:eastAsia="Calibri" w:hAnsi="Times New Roman" w:cs="Times New Roman"/>
          <w:sz w:val="21"/>
        </w:rPr>
        <w:t xml:space="preserve"> í starfsemi lögaðilans, þótt ekki verði endilega staðreynt hver þessara aðila hafi átt í hlut, sbr. til hliðsjónar 19. gr. c almennra hegningarlaga, nr. 19/1940. Ábyrgðin er </w:t>
      </w:r>
      <w:proofErr w:type="spellStart"/>
      <w:r w:rsidR="00D911B9" w:rsidRPr="00D911B9">
        <w:rPr>
          <w:rFonts w:ascii="Times New Roman" w:eastAsia="Calibri" w:hAnsi="Times New Roman" w:cs="Times New Roman"/>
          <w:sz w:val="21"/>
        </w:rPr>
        <w:t>valkvæð</w:t>
      </w:r>
      <w:proofErr w:type="spellEnd"/>
      <w:r w:rsidR="00D911B9" w:rsidRPr="00D911B9">
        <w:rPr>
          <w:rFonts w:ascii="Times New Roman" w:eastAsia="Calibri" w:hAnsi="Times New Roman" w:cs="Times New Roman"/>
          <w:sz w:val="21"/>
        </w:rPr>
        <w:t xml:space="preserve"> í þeim skilningi að gera má annaðhvort einstaklingi eða lögaðila eða þeim báðum stjórnvaldssekt. Við ákvörðun á því er eðlilegt að taka mið af því meginmarkmiði stjórnvaldssektanna að hafa tilhlýðileg varnaðaráhrif með því að vega upp von um ábata af brotum. Ætla má að brot gegn </w:t>
      </w:r>
      <w:proofErr w:type="spellStart"/>
      <w:r w:rsidR="00D911B9" w:rsidRPr="00D911B9">
        <w:rPr>
          <w:rFonts w:ascii="Times New Roman" w:eastAsia="Calibri" w:hAnsi="Times New Roman" w:cs="Times New Roman"/>
          <w:sz w:val="21"/>
        </w:rPr>
        <w:t>milligjaldareglugerðinni</w:t>
      </w:r>
      <w:proofErr w:type="spellEnd"/>
      <w:r w:rsidR="00D911B9" w:rsidRPr="00D911B9">
        <w:rPr>
          <w:rFonts w:ascii="Times New Roman" w:eastAsia="Calibri" w:hAnsi="Times New Roman" w:cs="Times New Roman"/>
          <w:sz w:val="21"/>
        </w:rPr>
        <w:t xml:space="preserve"> séu yfirleitt framin í þágu fyrirtækja og því eðlilegt að þeim séu venjulega gerðar stjórnvaldssektir fremur en einstökum starfsmönnum.</w:t>
      </w:r>
    </w:p>
    <w:p w14:paraId="06837C09" w14:textId="5B389CCE"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Gert er ráð fyrir að bæði ásetnings- og gáleysisbrot varði stjórnvaldssektum til að styrkja varnaðaráhrif þeirra og til samræmis við það sem almennt gildir um stjórnvaldssektir á sviði fjármálamarkaðar. Saknæmisstig getur þó haft áhrif á það hversu alvarlegt brot er talið og þar með ákvörðun sektarfjárhæðar.</w:t>
      </w:r>
    </w:p>
    <w:bookmarkEnd w:id="17"/>
    <w:p w14:paraId="5A2330A1" w14:textId="23ABD8C2" w:rsidR="00277AF3" w:rsidRDefault="00D911B9" w:rsidP="0066188C">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Stjórnvaldssektarmörk </w:t>
      </w:r>
      <w:r w:rsidR="00116013">
        <w:rPr>
          <w:rFonts w:ascii="Times New Roman" w:eastAsia="Calibri" w:hAnsi="Times New Roman" w:cs="Times New Roman"/>
          <w:sz w:val="21"/>
        </w:rPr>
        <w:t>2</w:t>
      </w:r>
      <w:r w:rsidRPr="00D911B9">
        <w:rPr>
          <w:rFonts w:ascii="Times New Roman" w:eastAsia="Calibri" w:hAnsi="Times New Roman" w:cs="Times New Roman"/>
          <w:sz w:val="21"/>
        </w:rPr>
        <w:t xml:space="preserve">. mgr. </w:t>
      </w:r>
      <w:r w:rsidR="0066188C" w:rsidRPr="00D911B9">
        <w:rPr>
          <w:rFonts w:ascii="Times New Roman" w:eastAsia="Calibri" w:hAnsi="Times New Roman" w:cs="Times New Roman"/>
          <w:sz w:val="21"/>
        </w:rPr>
        <w:t xml:space="preserve">byggjast á </w:t>
      </w:r>
      <w:r w:rsidR="006A4EA1">
        <w:rPr>
          <w:rFonts w:ascii="Times New Roman" w:eastAsia="Calibri" w:hAnsi="Times New Roman" w:cs="Times New Roman"/>
          <w:sz w:val="21"/>
        </w:rPr>
        <w:t xml:space="preserve">lögum </w:t>
      </w:r>
      <w:r w:rsidR="0066188C" w:rsidRPr="00D911B9">
        <w:rPr>
          <w:rFonts w:ascii="Times New Roman" w:eastAsia="Calibri" w:hAnsi="Times New Roman" w:cs="Times New Roman"/>
          <w:sz w:val="21"/>
        </w:rPr>
        <w:t xml:space="preserve">um breytingar á lagaákvæðum um viðurlög við brotum á fjármálamarkaði o.fl., nr. 58/2015. Gagnvart einstaklingum er lágmark stjórnvaldssekta 100 þúsund krónur en hámark 65 milljónir króna eða tvöfaldur ávinningur þeirra af broti, hvort heldur er hærra. Gagnvart lögaðilum er lágmark stjórnvaldssekta 500 þúsund krónur en hámark 800 milljónir króna, tvöfaldur ávinningur þeirra af broti eða 10% af </w:t>
      </w:r>
      <w:r w:rsidR="0066188C">
        <w:rPr>
          <w:rFonts w:ascii="Times New Roman" w:eastAsia="Calibri" w:hAnsi="Times New Roman" w:cs="Times New Roman"/>
          <w:sz w:val="21"/>
        </w:rPr>
        <w:t xml:space="preserve">viðkomandi </w:t>
      </w:r>
      <w:r w:rsidR="0066188C" w:rsidRPr="00D911B9">
        <w:rPr>
          <w:rFonts w:ascii="Times New Roman" w:eastAsia="Calibri" w:hAnsi="Times New Roman" w:cs="Times New Roman"/>
          <w:sz w:val="21"/>
        </w:rPr>
        <w:t xml:space="preserve">veltu, eftir því hver fjárhæðin er hæst. Eðli máls samkvæmt </w:t>
      </w:r>
      <w:r w:rsidR="0066188C">
        <w:rPr>
          <w:rFonts w:ascii="Times New Roman" w:eastAsia="Calibri" w:hAnsi="Times New Roman" w:cs="Times New Roman"/>
          <w:sz w:val="21"/>
        </w:rPr>
        <w:t>verður aðeins miðað</w:t>
      </w:r>
      <w:r w:rsidR="0066188C" w:rsidRPr="00D911B9">
        <w:rPr>
          <w:rFonts w:ascii="Times New Roman" w:eastAsia="Calibri" w:hAnsi="Times New Roman" w:cs="Times New Roman"/>
          <w:sz w:val="21"/>
        </w:rPr>
        <w:t xml:space="preserve"> við ávinning af broti ef unnt er að meta fjárhæð hans.</w:t>
      </w:r>
      <w:r w:rsidR="00D75F84">
        <w:rPr>
          <w:rFonts w:ascii="Times New Roman" w:eastAsia="Calibri" w:hAnsi="Times New Roman" w:cs="Times New Roman"/>
          <w:sz w:val="21"/>
        </w:rPr>
        <w:t xml:space="preserve"> </w:t>
      </w:r>
    </w:p>
    <w:p w14:paraId="6752B02B" w14:textId="0288D660" w:rsidR="0066188C" w:rsidRPr="00D911B9" w:rsidRDefault="0007212E" w:rsidP="007E6597">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Fjárhæð</w:t>
      </w:r>
      <w:r w:rsidR="00D8745D">
        <w:rPr>
          <w:rFonts w:ascii="Times New Roman" w:eastAsia="Calibri" w:hAnsi="Times New Roman" w:cs="Times New Roman"/>
          <w:sz w:val="21"/>
        </w:rPr>
        <w:t xml:space="preserve"> </w:t>
      </w:r>
      <w:r>
        <w:rPr>
          <w:rFonts w:ascii="Times New Roman" w:eastAsia="Calibri" w:hAnsi="Times New Roman" w:cs="Times New Roman"/>
          <w:sz w:val="21"/>
        </w:rPr>
        <w:t>stjórnvalds</w:t>
      </w:r>
      <w:r w:rsidR="00D8745D">
        <w:rPr>
          <w:rFonts w:ascii="Times New Roman" w:eastAsia="Calibri" w:hAnsi="Times New Roman" w:cs="Times New Roman"/>
          <w:sz w:val="21"/>
        </w:rPr>
        <w:t>sektanna verður að taka mið af því markmiði þeirra að hafa tilhlýðileg varnaðaráhrif.</w:t>
      </w:r>
      <w:r w:rsidR="00277AF3">
        <w:rPr>
          <w:rFonts w:ascii="Times New Roman" w:eastAsia="Calibri" w:hAnsi="Times New Roman" w:cs="Times New Roman"/>
          <w:sz w:val="21"/>
        </w:rPr>
        <w:t xml:space="preserve"> </w:t>
      </w:r>
      <w:r w:rsidR="00934FB2">
        <w:rPr>
          <w:rFonts w:ascii="Times New Roman" w:eastAsia="Calibri" w:hAnsi="Times New Roman" w:cs="Times New Roman"/>
          <w:sz w:val="21"/>
        </w:rPr>
        <w:t xml:space="preserve">Því þarf </w:t>
      </w:r>
      <w:r>
        <w:rPr>
          <w:rFonts w:ascii="Times New Roman" w:eastAsia="Calibri" w:hAnsi="Times New Roman" w:cs="Times New Roman"/>
          <w:sz w:val="21"/>
        </w:rPr>
        <w:t xml:space="preserve">við ákvörðun þeirra </w:t>
      </w:r>
      <w:r w:rsidR="00934FB2">
        <w:rPr>
          <w:rFonts w:ascii="Times New Roman" w:eastAsia="Calibri" w:hAnsi="Times New Roman" w:cs="Times New Roman"/>
          <w:sz w:val="21"/>
        </w:rPr>
        <w:t>að líta til þess hve</w:t>
      </w:r>
      <w:r w:rsidR="00132E84">
        <w:rPr>
          <w:rFonts w:ascii="Times New Roman" w:eastAsia="Calibri" w:hAnsi="Times New Roman" w:cs="Times New Roman"/>
          <w:sz w:val="21"/>
        </w:rPr>
        <w:t>rsu</w:t>
      </w:r>
      <w:r w:rsidR="00934FB2">
        <w:rPr>
          <w:rFonts w:ascii="Times New Roman" w:eastAsia="Calibri" w:hAnsi="Times New Roman" w:cs="Times New Roman"/>
          <w:sz w:val="21"/>
        </w:rPr>
        <w:t xml:space="preserve"> alvarlegt brot </w:t>
      </w:r>
      <w:r>
        <w:rPr>
          <w:rFonts w:ascii="Times New Roman" w:eastAsia="Calibri" w:hAnsi="Times New Roman" w:cs="Times New Roman"/>
          <w:sz w:val="21"/>
        </w:rPr>
        <w:t>er</w:t>
      </w:r>
      <w:r w:rsidR="00934FB2">
        <w:rPr>
          <w:rFonts w:ascii="Times New Roman" w:eastAsia="Calibri" w:hAnsi="Times New Roman" w:cs="Times New Roman"/>
          <w:sz w:val="21"/>
        </w:rPr>
        <w:t xml:space="preserve">, m.a. þess tjóns sem það hefur valdið eða er til þess fallið að valda, hve lengi það hefur staðið, saknæmisstigs þess sem braut af sér og hvort um ítrekað brot sé að ræða. </w:t>
      </w:r>
      <w:r>
        <w:rPr>
          <w:rFonts w:ascii="Times New Roman" w:eastAsia="Calibri" w:hAnsi="Times New Roman" w:cs="Times New Roman"/>
          <w:sz w:val="21"/>
        </w:rPr>
        <w:t>S</w:t>
      </w:r>
      <w:r w:rsidR="00934FB2">
        <w:rPr>
          <w:rFonts w:ascii="Times New Roman" w:eastAsia="Calibri" w:hAnsi="Times New Roman" w:cs="Times New Roman"/>
          <w:sz w:val="21"/>
        </w:rPr>
        <w:t xml:space="preserve">tjórnvaldssektir </w:t>
      </w:r>
      <w:r>
        <w:rPr>
          <w:rFonts w:ascii="Times New Roman" w:eastAsia="Calibri" w:hAnsi="Times New Roman" w:cs="Times New Roman"/>
          <w:sz w:val="21"/>
        </w:rPr>
        <w:t xml:space="preserve">fyrir brot sem er ólíklegt að komist upp um þurfa </w:t>
      </w:r>
      <w:r w:rsidR="00934FB2">
        <w:rPr>
          <w:rFonts w:ascii="Times New Roman" w:eastAsia="Calibri" w:hAnsi="Times New Roman" w:cs="Times New Roman"/>
          <w:sz w:val="21"/>
        </w:rPr>
        <w:t xml:space="preserve">að öðru jöfnu að vera hærri til að hafa tilhlýðileg varnaðaráhrif. </w:t>
      </w:r>
      <w:r>
        <w:rPr>
          <w:rFonts w:ascii="Times New Roman" w:eastAsia="Calibri" w:hAnsi="Times New Roman" w:cs="Times New Roman"/>
          <w:sz w:val="21"/>
        </w:rPr>
        <w:t>Með tilliti til þess</w:t>
      </w:r>
      <w:r w:rsidR="00934FB2">
        <w:rPr>
          <w:rFonts w:ascii="Times New Roman" w:eastAsia="Calibri" w:hAnsi="Times New Roman" w:cs="Times New Roman"/>
          <w:sz w:val="21"/>
        </w:rPr>
        <w:t xml:space="preserve"> er eðlilegt að samstarfsvilj</w:t>
      </w:r>
      <w:r>
        <w:rPr>
          <w:rFonts w:ascii="Times New Roman" w:eastAsia="Calibri" w:hAnsi="Times New Roman" w:cs="Times New Roman"/>
          <w:sz w:val="21"/>
        </w:rPr>
        <w:t>i</w:t>
      </w:r>
      <w:r w:rsidR="00934FB2">
        <w:rPr>
          <w:rFonts w:ascii="Times New Roman" w:eastAsia="Calibri" w:hAnsi="Times New Roman" w:cs="Times New Roman"/>
          <w:sz w:val="21"/>
        </w:rPr>
        <w:t xml:space="preserve"> hins brotlega og </w:t>
      </w:r>
      <w:r w:rsidR="001D146F">
        <w:rPr>
          <w:rFonts w:ascii="Times New Roman" w:eastAsia="Calibri" w:hAnsi="Times New Roman" w:cs="Times New Roman"/>
          <w:sz w:val="21"/>
        </w:rPr>
        <w:t>frumkvæði</w:t>
      </w:r>
      <w:r w:rsidR="00934FB2">
        <w:rPr>
          <w:rFonts w:ascii="Times New Roman" w:eastAsia="Calibri" w:hAnsi="Times New Roman" w:cs="Times New Roman"/>
          <w:sz w:val="21"/>
        </w:rPr>
        <w:t xml:space="preserve"> hans að</w:t>
      </w:r>
      <w:r w:rsidR="001D146F">
        <w:rPr>
          <w:rFonts w:ascii="Times New Roman" w:eastAsia="Calibri" w:hAnsi="Times New Roman" w:cs="Times New Roman"/>
          <w:sz w:val="21"/>
        </w:rPr>
        <w:t xml:space="preserve"> því að</w:t>
      </w:r>
      <w:r w:rsidR="00934FB2">
        <w:rPr>
          <w:rFonts w:ascii="Times New Roman" w:eastAsia="Calibri" w:hAnsi="Times New Roman" w:cs="Times New Roman"/>
          <w:sz w:val="21"/>
        </w:rPr>
        <w:t xml:space="preserve"> upplýsa um brot</w:t>
      </w:r>
      <w:r>
        <w:rPr>
          <w:rFonts w:ascii="Times New Roman" w:eastAsia="Calibri" w:hAnsi="Times New Roman" w:cs="Times New Roman"/>
          <w:sz w:val="21"/>
        </w:rPr>
        <w:t xml:space="preserve"> komi til lækkunar á stjórnvaldssekt</w:t>
      </w:r>
      <w:r w:rsidR="00934FB2">
        <w:rPr>
          <w:rFonts w:ascii="Times New Roman" w:eastAsia="Calibri" w:hAnsi="Times New Roman" w:cs="Times New Roman"/>
          <w:sz w:val="21"/>
        </w:rPr>
        <w:t>.</w:t>
      </w:r>
    </w:p>
    <w:p w14:paraId="6B9C507E" w14:textId="061C621F" w:rsidR="0066188C" w:rsidRPr="0066188C" w:rsidRDefault="0066188C" w:rsidP="00D911B9">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Stjórnvaldssektarmörk </w:t>
      </w:r>
      <w:r w:rsidR="00A05CB2">
        <w:rPr>
          <w:rFonts w:ascii="Times New Roman" w:eastAsia="Calibri" w:hAnsi="Times New Roman" w:cs="Times New Roman"/>
          <w:sz w:val="21"/>
        </w:rPr>
        <w:t>3</w:t>
      </w:r>
      <w:r>
        <w:rPr>
          <w:rFonts w:ascii="Times New Roman" w:eastAsia="Calibri" w:hAnsi="Times New Roman" w:cs="Times New Roman"/>
          <w:sz w:val="21"/>
        </w:rPr>
        <w:t xml:space="preserve">. mgr. eru þau sömu og í 2. mgr. 22. gr. laga um eftirlit með viðskiptaháttum og markaðssetningu. Ákvæði 4. mgr. 10. gr. </w:t>
      </w:r>
      <w:proofErr w:type="spellStart"/>
      <w:r>
        <w:rPr>
          <w:rFonts w:ascii="Times New Roman" w:eastAsia="Calibri" w:hAnsi="Times New Roman" w:cs="Times New Roman"/>
          <w:sz w:val="21"/>
        </w:rPr>
        <w:t>milligjaldareglugerðarinnar</w:t>
      </w:r>
      <w:proofErr w:type="spellEnd"/>
      <w:r>
        <w:rPr>
          <w:rFonts w:ascii="Times New Roman" w:eastAsia="Calibri" w:hAnsi="Times New Roman" w:cs="Times New Roman"/>
          <w:sz w:val="21"/>
        </w:rPr>
        <w:t xml:space="preserve"> er eðlislíkt efnisákvæðum þeirra laga og þykir því eðlilegt að miða við sömu stjórnvaldssektarmörk.</w:t>
      </w:r>
    </w:p>
    <w:p w14:paraId="2041E2B7" w14:textId="5CF740E0" w:rsidR="00894FF1" w:rsidRDefault="00894FF1" w:rsidP="00894FF1">
      <w:pPr>
        <w:spacing w:after="0" w:line="240" w:lineRule="auto"/>
        <w:ind w:firstLine="284"/>
        <w:jc w:val="both"/>
        <w:rPr>
          <w:rFonts w:ascii="Times New Roman" w:eastAsia="Calibri" w:hAnsi="Times New Roman" w:cs="Times New Roman"/>
          <w:sz w:val="21"/>
        </w:rPr>
      </w:pPr>
    </w:p>
    <w:p w14:paraId="42BAD61B" w14:textId="48A2F1D0" w:rsidR="00395EC3" w:rsidRPr="00D911B9" w:rsidRDefault="00395EC3" w:rsidP="00395EC3">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lastRenderedPageBreak/>
        <w:t xml:space="preserve">Um </w:t>
      </w:r>
      <w:r>
        <w:rPr>
          <w:rFonts w:ascii="Times New Roman" w:eastAsia="Calibri" w:hAnsi="Times New Roman" w:cs="Times New Roman"/>
          <w:sz w:val="21"/>
        </w:rPr>
        <w:t>4</w:t>
      </w:r>
      <w:r w:rsidRPr="00D911B9">
        <w:rPr>
          <w:rFonts w:ascii="Times New Roman" w:eastAsia="Calibri" w:hAnsi="Times New Roman" w:cs="Times New Roman"/>
          <w:sz w:val="21"/>
        </w:rPr>
        <w:t xml:space="preserve">. gr. </w:t>
      </w:r>
    </w:p>
    <w:p w14:paraId="1451F067" w14:textId="6132141E"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Mannréttindadómstóll Evrópu hefur talið að það sé þáttur í réttlátri málsmeðferð skv. 6. gr. mannréttindasáttmála Evrópu að þeim sem sakaður er um refsiverða háttsemi í skilningi þess ákvæðis sé óskylt að tjá sig eða láta í té upplýsingar sem leitt geta til </w:t>
      </w:r>
      <w:proofErr w:type="spellStart"/>
      <w:r w:rsidRPr="00D911B9">
        <w:rPr>
          <w:rFonts w:ascii="Times New Roman" w:eastAsia="Calibri" w:hAnsi="Times New Roman" w:cs="Times New Roman"/>
          <w:sz w:val="21"/>
        </w:rPr>
        <w:t>sakfellingar</w:t>
      </w:r>
      <w:proofErr w:type="spellEnd"/>
      <w:r w:rsidRPr="00D911B9">
        <w:rPr>
          <w:rFonts w:ascii="Times New Roman" w:eastAsia="Calibri" w:hAnsi="Times New Roman" w:cs="Times New Roman"/>
          <w:sz w:val="21"/>
        </w:rPr>
        <w:t xml:space="preserve"> hans. Dómstóllinn hefur komist að þeirri niðurstöðu að ákvæðið geti við ákveðnar aðstæður verndað rétt manns til að fella ekki á sig sök í tengslum við meðferð stjórnsýslumála og álagningu stjórnsýsluviðurlaga, einkum stjórnvaldssekta. Ekki hefur þó enn verið sett almenn regla í íslensk lög um rétt einstaklinga til þess að fella ekki á sig sök við meðferð stjórnsýslumála sem geta leitt til álagningar stjórnsýsluviðurlaga. Því er lagt til rétturinn verði tilgreindur í </w:t>
      </w:r>
      <w:r w:rsidR="003B177A">
        <w:rPr>
          <w:rFonts w:ascii="Times New Roman" w:eastAsia="Calibri" w:hAnsi="Times New Roman" w:cs="Times New Roman"/>
          <w:sz w:val="21"/>
        </w:rPr>
        <w:t>4</w:t>
      </w:r>
      <w:r w:rsidRPr="00D911B9">
        <w:rPr>
          <w:rFonts w:ascii="Times New Roman" w:eastAsia="Calibri" w:hAnsi="Times New Roman" w:cs="Times New Roman"/>
          <w:sz w:val="21"/>
        </w:rPr>
        <w:t>. gr. frumvarpsins.</w:t>
      </w:r>
      <w:r w:rsidR="00EE1256">
        <w:rPr>
          <w:rFonts w:ascii="Times New Roman" w:eastAsia="Calibri" w:hAnsi="Times New Roman" w:cs="Times New Roman"/>
          <w:sz w:val="21"/>
        </w:rPr>
        <w:t xml:space="preserve"> Ákvæðið byggist á l</w:t>
      </w:r>
      <w:r w:rsidR="003B177A">
        <w:rPr>
          <w:rFonts w:ascii="Times New Roman" w:eastAsia="Calibri" w:hAnsi="Times New Roman" w:cs="Times New Roman"/>
          <w:sz w:val="21"/>
        </w:rPr>
        <w:t>ögum</w:t>
      </w:r>
      <w:r w:rsidR="00EE1256">
        <w:rPr>
          <w:rFonts w:ascii="Times New Roman" w:eastAsia="Calibri" w:hAnsi="Times New Roman" w:cs="Times New Roman"/>
          <w:sz w:val="21"/>
        </w:rPr>
        <w:t xml:space="preserve"> um </w:t>
      </w:r>
      <w:r w:rsidR="00EE1256" w:rsidRPr="00EE1256">
        <w:rPr>
          <w:rFonts w:ascii="Times New Roman" w:eastAsia="Calibri" w:hAnsi="Times New Roman" w:cs="Times New Roman"/>
          <w:sz w:val="21"/>
        </w:rPr>
        <w:t xml:space="preserve">breytingar á lagaákvæðum um viðurlög við brotum á fjármálamarkaði, nr. 55/2007, sem </w:t>
      </w:r>
      <w:r w:rsidR="00223A46">
        <w:rPr>
          <w:rFonts w:ascii="Times New Roman" w:eastAsia="Calibri" w:hAnsi="Times New Roman" w:cs="Times New Roman"/>
          <w:sz w:val="21"/>
        </w:rPr>
        <w:t xml:space="preserve">aftur </w:t>
      </w:r>
      <w:r w:rsidR="00EE1256" w:rsidRPr="00EE1256">
        <w:rPr>
          <w:rFonts w:ascii="Times New Roman" w:eastAsia="Calibri" w:hAnsi="Times New Roman" w:cs="Times New Roman"/>
          <w:sz w:val="21"/>
        </w:rPr>
        <w:t>byggðust á skýrslu nefndar um viðurlög við efnahagsbrotum frá 12. október 2006.</w:t>
      </w:r>
    </w:p>
    <w:p w14:paraId="26805B96"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Ákvæðið tekur aðeins til einstaklinga en ekki til lögaðila. Ákvæðinu er ekki ætlað að taka til réttinda annarra einstaklinga en þeirra sem eru aðilar að stjórnsýslumáli. Því hefur maður ekki rétt til að neita að svara spurningum eða afhenda gögn með vísan til þess að uppi sé rökstuddur grunur um lögbrot þriðja manns og upplýsingar eða gögn kunni að fella sök á hann.</w:t>
      </w:r>
    </w:p>
    <w:p w14:paraId="25465DDD"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manna. </w:t>
      </w:r>
    </w:p>
    <w:p w14:paraId="178BAEFF" w14:textId="60C555BC"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Ef til staðar er rökstuddur grunur um að viðkomandi hafi framið lögbrot sem varðað getur stjórnvaldssektum er honum aðeins skylt að veita upplýsingar eða gögn ef unnt er að útiloka að þær geti haft þýðingu fyrir ákvörðun um sekt hans. Væri honum því til dæmis skylt að veita upplýsingar um nafn sitt og heimilisfang. Einstaklingur getur </w:t>
      </w:r>
      <w:r w:rsidR="00AC011B">
        <w:rPr>
          <w:rFonts w:ascii="Times New Roman" w:eastAsia="Calibri" w:hAnsi="Times New Roman" w:cs="Times New Roman"/>
          <w:sz w:val="21"/>
        </w:rPr>
        <w:t>aftur á móti</w:t>
      </w:r>
      <w:r w:rsidRPr="00D911B9">
        <w:rPr>
          <w:rFonts w:ascii="Times New Roman" w:eastAsia="Calibri" w:hAnsi="Times New Roman" w:cs="Times New Roman"/>
          <w:sz w:val="21"/>
        </w:rPr>
        <w:t xml:space="preserve"> ákveðið að nýta sér ekki þagnarrétt sinn og bæði tjáð sig og afhent gögn í stjórnsýslumáli sem kann að ljúka með stjórnsýsluviðurlögum. Við þær aðstæður telst ekki brotið gegn þagnarrétti hans.</w:t>
      </w:r>
    </w:p>
    <w:p w14:paraId="64C51997" w14:textId="2C106A98" w:rsid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Áréttað skal að rétturinn er víðtækari en að neita að gefa munnlegar upplýsingar. Hann tekur einnig til þess að þurfa ekki að afhenda gögn eða ljá atbeina sinn að öðru leyti við rannsókn máls sem getur fellt sök á mann.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w:t>
      </w:r>
      <w:proofErr w:type="spellStart"/>
      <w:r w:rsidRPr="00D911B9">
        <w:rPr>
          <w:rFonts w:ascii="Times New Roman" w:eastAsia="Calibri" w:hAnsi="Times New Roman" w:cs="Times New Roman"/>
          <w:sz w:val="21"/>
        </w:rPr>
        <w:t>lögmæltri</w:t>
      </w:r>
      <w:proofErr w:type="spellEnd"/>
      <w:r w:rsidRPr="00D911B9">
        <w:rPr>
          <w:rFonts w:ascii="Times New Roman" w:eastAsia="Calibri" w:hAnsi="Times New Roman" w:cs="Times New Roman"/>
          <w:sz w:val="21"/>
        </w:rPr>
        <w:t xml:space="preserve"> skyldu til að veita stjórnvaldi aðgang að húsnæði eða hirslum í fyrirtækjum. Það sem mestu skiptir og ákvæðið stefnir að er að einstaklingi verður ekki gert skylt að ljá atbeina sinni til rannsóknarinnar með virkum hætti þegar rökstuddur grunur leikur á að hann hafi gerst sekur um lögbrot.</w:t>
      </w:r>
    </w:p>
    <w:p w14:paraId="0CD61FEA" w14:textId="61A87C4F" w:rsidR="0087394C" w:rsidRDefault="0087394C" w:rsidP="00D911B9">
      <w:pPr>
        <w:spacing w:after="0" w:line="240" w:lineRule="auto"/>
        <w:ind w:firstLine="284"/>
        <w:jc w:val="both"/>
        <w:rPr>
          <w:rFonts w:ascii="Times New Roman" w:eastAsia="Calibri" w:hAnsi="Times New Roman" w:cs="Times New Roman"/>
          <w:sz w:val="21"/>
        </w:rPr>
      </w:pPr>
    </w:p>
    <w:p w14:paraId="3CD18471" w14:textId="46390AE4" w:rsidR="0087394C" w:rsidRPr="00D911B9" w:rsidRDefault="0087394C" w:rsidP="0087394C">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Pr>
          <w:rFonts w:ascii="Times New Roman" w:eastAsia="Calibri" w:hAnsi="Times New Roman" w:cs="Times New Roman"/>
          <w:sz w:val="21"/>
        </w:rPr>
        <w:t>5</w:t>
      </w:r>
      <w:r w:rsidRPr="00D911B9">
        <w:rPr>
          <w:rFonts w:ascii="Times New Roman" w:eastAsia="Calibri" w:hAnsi="Times New Roman" w:cs="Times New Roman"/>
          <w:sz w:val="21"/>
        </w:rPr>
        <w:t xml:space="preserve">. gr. </w:t>
      </w:r>
    </w:p>
    <w:p w14:paraId="7873B575" w14:textId="593AAA39" w:rsid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Lagt til að gera megi aðför til fullnustu ákvörðunum Fjármálaeftirlitsins</w:t>
      </w:r>
      <w:r w:rsidR="0087394C">
        <w:rPr>
          <w:rFonts w:ascii="Times New Roman" w:eastAsia="Calibri" w:hAnsi="Times New Roman" w:cs="Times New Roman"/>
          <w:sz w:val="21"/>
        </w:rPr>
        <w:t xml:space="preserve"> og Neytendastofu</w:t>
      </w:r>
      <w:r w:rsidRPr="00D911B9">
        <w:rPr>
          <w:rFonts w:ascii="Times New Roman" w:eastAsia="Calibri" w:hAnsi="Times New Roman" w:cs="Times New Roman"/>
          <w:sz w:val="21"/>
        </w:rPr>
        <w:t xml:space="preserve"> um álagningu stjórnvaldssekta án undangengins dóms, sbr. 6. </w:t>
      </w:r>
      <w:proofErr w:type="spellStart"/>
      <w:r w:rsidRPr="00D911B9">
        <w:rPr>
          <w:rFonts w:ascii="Times New Roman" w:eastAsia="Calibri" w:hAnsi="Times New Roman" w:cs="Times New Roman"/>
          <w:sz w:val="21"/>
        </w:rPr>
        <w:t>tölul</w:t>
      </w:r>
      <w:proofErr w:type="spellEnd"/>
      <w:r w:rsidRPr="00D911B9">
        <w:rPr>
          <w:rFonts w:ascii="Times New Roman" w:eastAsia="Calibri" w:hAnsi="Times New Roman" w:cs="Times New Roman"/>
          <w:sz w:val="21"/>
        </w:rPr>
        <w:t>. 1. mgr. 1. gr. laga um aðför, nr. 90/1989. Það hnikar þó vitaskuld ekki réttinum til að bera ákvarðanirnar undir dómstóla. Um framkvæmd fullnustunnar fer samkvæmt lögum um aðför.</w:t>
      </w:r>
    </w:p>
    <w:p w14:paraId="1A9D7E34" w14:textId="6F0F2C84" w:rsidR="0087394C" w:rsidRDefault="00681A89" w:rsidP="00D911B9">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Lagt er til að málskot til </w:t>
      </w:r>
      <w:proofErr w:type="spellStart"/>
      <w:r w:rsidRPr="00681A89">
        <w:rPr>
          <w:rFonts w:ascii="Times New Roman" w:eastAsia="Calibri" w:hAnsi="Times New Roman" w:cs="Times New Roman"/>
          <w:sz w:val="21"/>
        </w:rPr>
        <w:t>áfrýjunarnefndar</w:t>
      </w:r>
      <w:proofErr w:type="spellEnd"/>
      <w:r w:rsidRPr="00681A89">
        <w:rPr>
          <w:rFonts w:ascii="Times New Roman" w:eastAsia="Calibri" w:hAnsi="Times New Roman" w:cs="Times New Roman"/>
          <w:sz w:val="21"/>
        </w:rPr>
        <w:t xml:space="preserve"> neytendamála frest</w:t>
      </w:r>
      <w:r>
        <w:rPr>
          <w:rFonts w:ascii="Times New Roman" w:eastAsia="Calibri" w:hAnsi="Times New Roman" w:cs="Times New Roman"/>
          <w:sz w:val="21"/>
        </w:rPr>
        <w:t>i</w:t>
      </w:r>
      <w:r w:rsidRPr="00681A89">
        <w:rPr>
          <w:rFonts w:ascii="Times New Roman" w:eastAsia="Calibri" w:hAnsi="Times New Roman" w:cs="Times New Roman"/>
          <w:sz w:val="21"/>
        </w:rPr>
        <w:t xml:space="preserve"> aðför til fullnustu ákvörðun Neytendastofu um stjórnvaldssekt</w:t>
      </w:r>
      <w:r>
        <w:rPr>
          <w:rFonts w:ascii="Times New Roman" w:eastAsia="Calibri" w:hAnsi="Times New Roman" w:cs="Times New Roman"/>
          <w:sz w:val="21"/>
        </w:rPr>
        <w:t xml:space="preserve"> með hliðsjón </w:t>
      </w:r>
      <w:r w:rsidR="00122E9A">
        <w:rPr>
          <w:rFonts w:ascii="Times New Roman" w:eastAsia="Calibri" w:hAnsi="Times New Roman" w:cs="Times New Roman"/>
          <w:sz w:val="21"/>
        </w:rPr>
        <w:t xml:space="preserve">af </w:t>
      </w:r>
      <w:r>
        <w:rPr>
          <w:rFonts w:ascii="Times New Roman" w:eastAsia="Calibri" w:hAnsi="Times New Roman" w:cs="Times New Roman"/>
          <w:sz w:val="21"/>
        </w:rPr>
        <w:t xml:space="preserve">2. mgr. 27. gr. laga um eftirlit með viðskiptaháttum og markaðssetningu, nr. 57/2005. Ákvarðanir Fjármálaeftirlitsins </w:t>
      </w:r>
      <w:r w:rsidR="00122E9A">
        <w:rPr>
          <w:rFonts w:ascii="Times New Roman" w:eastAsia="Calibri" w:hAnsi="Times New Roman" w:cs="Times New Roman"/>
          <w:sz w:val="21"/>
        </w:rPr>
        <w:t>verða ekki kærðar</w:t>
      </w:r>
      <w:r w:rsidR="003C2C66">
        <w:rPr>
          <w:rFonts w:ascii="Times New Roman" w:eastAsia="Calibri" w:hAnsi="Times New Roman" w:cs="Times New Roman"/>
          <w:sz w:val="21"/>
        </w:rPr>
        <w:t xml:space="preserve"> til æðra stjórnvalds</w:t>
      </w:r>
      <w:r>
        <w:rPr>
          <w:rFonts w:ascii="Times New Roman" w:eastAsia="Calibri" w:hAnsi="Times New Roman" w:cs="Times New Roman"/>
          <w:sz w:val="21"/>
        </w:rPr>
        <w:t>, sbr. 2. mgr. 18. gr. laga um opinbert eftirlit með fjármálastarfsemi, nr. 87/1998, og hliðstæð fyrirmæli eiga því ekki við um þ</w:t>
      </w:r>
      <w:r w:rsidR="00BA6C6F">
        <w:rPr>
          <w:rFonts w:ascii="Times New Roman" w:eastAsia="Calibri" w:hAnsi="Times New Roman" w:cs="Times New Roman"/>
          <w:sz w:val="21"/>
        </w:rPr>
        <w:t>ær</w:t>
      </w:r>
      <w:r>
        <w:rPr>
          <w:rFonts w:ascii="Times New Roman" w:eastAsia="Calibri" w:hAnsi="Times New Roman" w:cs="Times New Roman"/>
          <w:sz w:val="21"/>
        </w:rPr>
        <w:t>.</w:t>
      </w:r>
    </w:p>
    <w:p w14:paraId="51FB6E07" w14:textId="1C4F3837" w:rsidR="005A6C2C" w:rsidRDefault="005A6C2C" w:rsidP="00D911B9">
      <w:pPr>
        <w:spacing w:after="0" w:line="240" w:lineRule="auto"/>
        <w:ind w:firstLine="284"/>
        <w:jc w:val="both"/>
        <w:rPr>
          <w:rFonts w:ascii="Times New Roman" w:eastAsia="Calibri" w:hAnsi="Times New Roman" w:cs="Times New Roman"/>
          <w:sz w:val="21"/>
        </w:rPr>
      </w:pPr>
    </w:p>
    <w:p w14:paraId="16E53642" w14:textId="77777777" w:rsidR="000C604B" w:rsidRPr="00D911B9" w:rsidRDefault="000C604B" w:rsidP="000C604B">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Pr>
          <w:rFonts w:ascii="Times New Roman" w:eastAsia="Calibri" w:hAnsi="Times New Roman" w:cs="Times New Roman"/>
          <w:sz w:val="21"/>
        </w:rPr>
        <w:t>6</w:t>
      </w:r>
      <w:r w:rsidRPr="00D911B9">
        <w:rPr>
          <w:rFonts w:ascii="Times New Roman" w:eastAsia="Calibri" w:hAnsi="Times New Roman" w:cs="Times New Roman"/>
          <w:sz w:val="21"/>
        </w:rPr>
        <w:t xml:space="preserve">. gr. </w:t>
      </w:r>
    </w:p>
    <w:p w14:paraId="3369C29E" w14:textId="3AA1390E" w:rsidR="000C604B" w:rsidRPr="00D911B9" w:rsidRDefault="000C604B" w:rsidP="000C604B">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lastRenderedPageBreak/>
        <w:t>Lagt er til að heimild Fjármálaeftirlitsins</w:t>
      </w:r>
      <w:r>
        <w:rPr>
          <w:rFonts w:ascii="Times New Roman" w:eastAsia="Calibri" w:hAnsi="Times New Roman" w:cs="Times New Roman"/>
          <w:sz w:val="21"/>
        </w:rPr>
        <w:t xml:space="preserve"> og Neytendastofu</w:t>
      </w:r>
      <w:r w:rsidRPr="00D911B9">
        <w:rPr>
          <w:rFonts w:ascii="Times New Roman" w:eastAsia="Calibri" w:hAnsi="Times New Roman" w:cs="Times New Roman"/>
          <w:sz w:val="21"/>
        </w:rPr>
        <w:t xml:space="preserve"> til að leggja á stjórnvaldssektir falli niður </w:t>
      </w:r>
      <w:r w:rsidRPr="00D911B9">
        <w:rPr>
          <w:rFonts w:ascii="Times New Roman" w:eastAsia="Calibri" w:hAnsi="Times New Roman" w:cs="Times New Roman"/>
          <w:color w:val="242424"/>
          <w:sz w:val="21"/>
          <w:shd w:val="clear" w:color="auto" w:fill="FFFFFF"/>
        </w:rPr>
        <w:t>þegar fimm ár eru liðin frá því að háttsemi lauk til að knýja á um úrlausn mála. Almennt er miðað við þann frest í löggjöf á sviði fjármálamarkaðar, að frátöldum fáeinum ákvæðum á sviði verðbréfaviðskipta þar sem miðað er við sjö ár.</w:t>
      </w:r>
      <w:r w:rsidR="00340170">
        <w:rPr>
          <w:rFonts w:ascii="Times New Roman" w:eastAsia="Calibri" w:hAnsi="Times New Roman" w:cs="Times New Roman"/>
          <w:color w:val="242424"/>
          <w:sz w:val="21"/>
          <w:shd w:val="clear" w:color="auto" w:fill="FFFFFF"/>
        </w:rPr>
        <w:t xml:space="preserve"> </w:t>
      </w:r>
      <w:r w:rsidRPr="00D911B9">
        <w:rPr>
          <w:rFonts w:ascii="Times New Roman" w:eastAsia="Calibri" w:hAnsi="Times New Roman" w:cs="Times New Roman"/>
          <w:color w:val="242424"/>
          <w:sz w:val="21"/>
          <w:shd w:val="clear" w:color="auto" w:fill="FFFFFF"/>
        </w:rPr>
        <w:t xml:space="preserve">Rétt er að taka </w:t>
      </w:r>
      <w:r w:rsidRPr="00D911B9">
        <w:rPr>
          <w:rFonts w:ascii="Times New Roman" w:eastAsia="Calibri" w:hAnsi="Times New Roman" w:cs="Times New Roman"/>
          <w:sz w:val="21"/>
        </w:rPr>
        <w:t>mið af meginreglum refsiréttar og fjármálamarkaðsréttar um það hvenær háttsemi telst lokið. Af því leiðir m.a. að ef um samfellda brotastarfsemi eða ástandsbrot er að ræða telst broti ekki lokið fyrr en hinu ólögmæta ástandi linnir og upphaf frestsins telst þá einnig frá þeim tíma.</w:t>
      </w:r>
    </w:p>
    <w:p w14:paraId="7B5BEDFA" w14:textId="2C840AE9" w:rsidR="000C604B" w:rsidRDefault="00340170" w:rsidP="007E6597">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Af 2. </w:t>
      </w:r>
      <w:proofErr w:type="spellStart"/>
      <w:r>
        <w:rPr>
          <w:rFonts w:ascii="Times New Roman" w:eastAsia="Calibri" w:hAnsi="Times New Roman" w:cs="Times New Roman"/>
          <w:sz w:val="21"/>
        </w:rPr>
        <w:t>málsl</w:t>
      </w:r>
      <w:proofErr w:type="spellEnd"/>
      <w:r>
        <w:rPr>
          <w:rFonts w:ascii="Times New Roman" w:eastAsia="Calibri" w:hAnsi="Times New Roman" w:cs="Times New Roman"/>
          <w:sz w:val="21"/>
        </w:rPr>
        <w:t xml:space="preserve">. leiðir m.a. </w:t>
      </w:r>
      <w:r w:rsidRPr="00D911B9">
        <w:rPr>
          <w:rFonts w:ascii="Times New Roman" w:eastAsia="Calibri" w:hAnsi="Times New Roman" w:cs="Times New Roman"/>
          <w:sz w:val="21"/>
        </w:rPr>
        <w:t>að þótt rannsókn beinist í upphafi að einum aðila hindra</w:t>
      </w:r>
      <w:r w:rsidR="00100446">
        <w:rPr>
          <w:rFonts w:ascii="Times New Roman" w:eastAsia="Calibri" w:hAnsi="Times New Roman" w:cs="Times New Roman"/>
          <w:sz w:val="21"/>
        </w:rPr>
        <w:t>r</w:t>
      </w:r>
      <w:r w:rsidRPr="00D911B9">
        <w:rPr>
          <w:rFonts w:ascii="Times New Roman" w:eastAsia="Calibri" w:hAnsi="Times New Roman" w:cs="Times New Roman"/>
          <w:sz w:val="21"/>
        </w:rPr>
        <w:t xml:space="preserve"> </w:t>
      </w:r>
      <w:r w:rsidR="00100446">
        <w:rPr>
          <w:rFonts w:ascii="Times New Roman" w:eastAsia="Calibri" w:hAnsi="Times New Roman" w:cs="Times New Roman"/>
          <w:sz w:val="21"/>
        </w:rPr>
        <w:t xml:space="preserve">1. </w:t>
      </w:r>
      <w:proofErr w:type="spellStart"/>
      <w:r w:rsidR="00100446">
        <w:rPr>
          <w:rFonts w:ascii="Times New Roman" w:eastAsia="Calibri" w:hAnsi="Times New Roman" w:cs="Times New Roman"/>
          <w:sz w:val="21"/>
        </w:rPr>
        <w:t>málsl</w:t>
      </w:r>
      <w:proofErr w:type="spellEnd"/>
      <w:r w:rsidR="00100446">
        <w:rPr>
          <w:rFonts w:ascii="Times New Roman" w:eastAsia="Calibri" w:hAnsi="Times New Roman" w:cs="Times New Roman"/>
          <w:sz w:val="21"/>
        </w:rPr>
        <w:t>.</w:t>
      </w:r>
      <w:r w:rsidRPr="00D911B9">
        <w:rPr>
          <w:rFonts w:ascii="Times New Roman" w:eastAsia="Calibri" w:hAnsi="Times New Roman" w:cs="Times New Roman"/>
          <w:sz w:val="21"/>
        </w:rPr>
        <w:t xml:space="preserve"> ekki að lögð verði stjórnvaldssekt á aðra aðila sem síðar kemur í ljós að stóðu einnig að broti.</w:t>
      </w:r>
      <w:r w:rsidR="000C604B" w:rsidRPr="00D911B9">
        <w:rPr>
          <w:rFonts w:ascii="Times New Roman" w:eastAsia="Calibri" w:hAnsi="Times New Roman" w:cs="Times New Roman"/>
          <w:sz w:val="21"/>
        </w:rPr>
        <w:t xml:space="preserve"> Regla</w:t>
      </w:r>
      <w:r>
        <w:rPr>
          <w:rFonts w:ascii="Times New Roman" w:eastAsia="Calibri" w:hAnsi="Times New Roman" w:cs="Times New Roman"/>
          <w:sz w:val="21"/>
        </w:rPr>
        <w:t>n</w:t>
      </w:r>
      <w:r w:rsidR="000C604B" w:rsidRPr="00D911B9">
        <w:rPr>
          <w:rFonts w:ascii="Times New Roman" w:eastAsia="Calibri" w:hAnsi="Times New Roman" w:cs="Times New Roman"/>
          <w:sz w:val="21"/>
        </w:rPr>
        <w:t xml:space="preserve"> á sér að nokkru leyti hliðstæðu í 4. mgr. 82. gr. almennra hegningarlaga. </w:t>
      </w:r>
    </w:p>
    <w:p w14:paraId="262C621C" w14:textId="77777777" w:rsidR="000C604B" w:rsidRPr="000C604B" w:rsidRDefault="000C604B" w:rsidP="00D911B9">
      <w:pPr>
        <w:spacing w:after="0" w:line="240" w:lineRule="auto"/>
        <w:ind w:firstLine="284"/>
        <w:jc w:val="both"/>
        <w:rPr>
          <w:rFonts w:ascii="Times New Roman" w:eastAsia="Calibri" w:hAnsi="Times New Roman" w:cs="Times New Roman"/>
          <w:b/>
          <w:sz w:val="21"/>
        </w:rPr>
      </w:pPr>
    </w:p>
    <w:p w14:paraId="474C7E00" w14:textId="550B2A11" w:rsidR="005A6C2C" w:rsidRPr="00D911B9" w:rsidRDefault="005A6C2C" w:rsidP="005A6C2C">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sidR="00557766">
        <w:rPr>
          <w:rFonts w:ascii="Times New Roman" w:eastAsia="Calibri" w:hAnsi="Times New Roman" w:cs="Times New Roman"/>
          <w:sz w:val="21"/>
        </w:rPr>
        <w:t>7</w:t>
      </w:r>
      <w:r w:rsidRPr="00D911B9">
        <w:rPr>
          <w:rFonts w:ascii="Times New Roman" w:eastAsia="Calibri" w:hAnsi="Times New Roman" w:cs="Times New Roman"/>
          <w:sz w:val="21"/>
        </w:rPr>
        <w:t xml:space="preserve">. gr. </w:t>
      </w:r>
    </w:p>
    <w:p w14:paraId="46ADFA25" w14:textId="37B03AC4" w:rsidR="009A418B" w:rsidRPr="00D911B9" w:rsidRDefault="009A418B" w:rsidP="009A418B">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Oft er unnt að greiða fyrir úrlausn mála og spara bæði Fjármálaeftirlitinu og málsaðila tíma og fé með því að ljúka máli með sátt fremur en með einhliða ákvörðun eftirlitsins um beitingu stjórnsýsluviðurlaga. Af þeim sökum er í ýmsum lögum á sviði fjármálamarkaðar mælt fyrir um heimild Fjármálaeftirlitsins til að ljúka málum með sátt við málsaðila. Fjármálaeftirlitið hefur á grundvelli þeirra sett reglur um heimild Fjármálaeftirlitsins til að ljúka máli með sátt, nr. 728/2014.</w:t>
      </w:r>
    </w:p>
    <w:p w14:paraId="1B623A6E" w14:textId="7423E0B3" w:rsidR="009A418B" w:rsidRDefault="009A418B" w:rsidP="009A418B">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 Í sátt felst yfirleitt að málsaðili gengst við broti og upplýsir að fullu um það auk þess að greiða sekt, sem er þó lægri en ef Fjármálaeftirlitið hefði einhliða lagt á stjórnvaldssekt. Sátt getur einnig falið í sér annars konar úrræði, svo sem um viðeigandi úrbætur. Brjóti málsaðili gegn sátt getur Fjármálaeftirlitið fellt hana úr gildi og tekið mál til meðferðar á ný og þá eftir atvikum gert </w:t>
      </w:r>
      <w:r>
        <w:rPr>
          <w:rFonts w:ascii="Times New Roman" w:eastAsia="Calibri" w:hAnsi="Times New Roman" w:cs="Times New Roman"/>
          <w:sz w:val="21"/>
        </w:rPr>
        <w:t>honum</w:t>
      </w:r>
      <w:r w:rsidRPr="00D911B9">
        <w:rPr>
          <w:rFonts w:ascii="Times New Roman" w:eastAsia="Calibri" w:hAnsi="Times New Roman" w:cs="Times New Roman"/>
          <w:sz w:val="21"/>
        </w:rPr>
        <w:t xml:space="preserve"> stjórnvaldssekt.</w:t>
      </w:r>
    </w:p>
    <w:p w14:paraId="78D6C19C" w14:textId="697BE56F" w:rsidR="00003087" w:rsidRPr="00D911B9" w:rsidRDefault="00003087" w:rsidP="00972F7F">
      <w:pPr>
        <w:spacing w:after="0" w:line="240" w:lineRule="auto"/>
        <w:jc w:val="both"/>
        <w:rPr>
          <w:rFonts w:ascii="Times New Roman" w:eastAsia="Calibri" w:hAnsi="Times New Roman" w:cs="Times New Roman"/>
          <w:sz w:val="21"/>
        </w:rPr>
      </w:pPr>
      <w:bookmarkStart w:id="18" w:name="_Hlk529277041"/>
    </w:p>
    <w:bookmarkEnd w:id="18"/>
    <w:p w14:paraId="5EDD180B" w14:textId="17F05C1C"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sidR="005A6C2C">
        <w:rPr>
          <w:rFonts w:ascii="Times New Roman" w:eastAsia="Calibri" w:hAnsi="Times New Roman" w:cs="Times New Roman"/>
          <w:sz w:val="21"/>
        </w:rPr>
        <w:t>8</w:t>
      </w:r>
      <w:r w:rsidRPr="00D911B9">
        <w:rPr>
          <w:rFonts w:ascii="Times New Roman" w:eastAsia="Calibri" w:hAnsi="Times New Roman" w:cs="Times New Roman"/>
          <w:sz w:val="21"/>
        </w:rPr>
        <w:t>. gr.</w:t>
      </w:r>
    </w:p>
    <w:p w14:paraId="62F03789" w14:textId="553EA6BC"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 xml:space="preserve">Framkvæmdastjórn Evrópusambandsins er í 6. mgr. 7. gr. </w:t>
      </w:r>
      <w:proofErr w:type="spellStart"/>
      <w:r w:rsidRPr="00D911B9">
        <w:rPr>
          <w:rFonts w:ascii="Times New Roman" w:eastAsia="Calibri" w:hAnsi="Times New Roman" w:cs="Times New Roman"/>
          <w:sz w:val="21"/>
        </w:rPr>
        <w:t>milligjaldareglugerðarinnar</w:t>
      </w:r>
      <w:proofErr w:type="spellEnd"/>
      <w:r w:rsidRPr="00D911B9">
        <w:rPr>
          <w:rFonts w:ascii="Times New Roman" w:eastAsia="Calibri" w:hAnsi="Times New Roman" w:cs="Times New Roman"/>
          <w:sz w:val="21"/>
        </w:rPr>
        <w:t xml:space="preserve"> veitt vald til að samþykkja tæknilega </w:t>
      </w:r>
      <w:proofErr w:type="spellStart"/>
      <w:r w:rsidRPr="00D911B9">
        <w:rPr>
          <w:rFonts w:ascii="Times New Roman" w:eastAsia="Calibri" w:hAnsi="Times New Roman" w:cs="Times New Roman"/>
          <w:sz w:val="21"/>
        </w:rPr>
        <w:t>eftirlitsstaðla</w:t>
      </w:r>
      <w:proofErr w:type="spellEnd"/>
      <w:r w:rsidRPr="00D911B9">
        <w:rPr>
          <w:rFonts w:ascii="Times New Roman" w:eastAsia="Calibri" w:hAnsi="Times New Roman" w:cs="Times New Roman"/>
          <w:sz w:val="21"/>
        </w:rPr>
        <w:t xml:space="preserve"> um áskilnað a</w:t>
      </w:r>
      <w:r w:rsidRPr="00D911B9">
        <w:rPr>
          <w:rFonts w:ascii="Times New Roman" w:eastAsia="Calibri" w:hAnsi="Times New Roman" w:cs="Times New Roman"/>
          <w:color w:val="242424"/>
          <w:sz w:val="21"/>
          <w:shd w:val="clear" w:color="auto" w:fill="FFFFFF"/>
        </w:rPr>
        <w:t xml:space="preserve">-liðar 1. mgr. 7. gr. reglugerðarinnar um að greiðslukortakerfi og vinnslueiningar skuli vera óháðar með tilliti til reikningshalds, skipulags og ákvarðanatökuferlis. Framkvæmdastjórnin hefur á þessum grundvelli gefið út </w:t>
      </w:r>
      <w:r w:rsidRPr="00D911B9">
        <w:rPr>
          <w:rFonts w:ascii="Times New Roman" w:eastAsia="Calibri" w:hAnsi="Times New Roman" w:cs="Times New Roman"/>
          <w:sz w:val="21"/>
        </w:rPr>
        <w:t xml:space="preserve">framselda reglugerð (ESB) 2018/72 um viðbætur við </w:t>
      </w:r>
      <w:proofErr w:type="spellStart"/>
      <w:r w:rsidRPr="00D911B9">
        <w:rPr>
          <w:rFonts w:ascii="Times New Roman" w:eastAsia="Calibri" w:hAnsi="Times New Roman" w:cs="Times New Roman"/>
          <w:sz w:val="21"/>
        </w:rPr>
        <w:t>milligjaldareglugerðina</w:t>
      </w:r>
      <w:proofErr w:type="spellEnd"/>
      <w:r w:rsidRPr="00D911B9">
        <w:rPr>
          <w:rFonts w:ascii="Times New Roman" w:eastAsia="Calibri" w:hAnsi="Times New Roman" w:cs="Times New Roman"/>
          <w:sz w:val="21"/>
        </w:rPr>
        <w:t>. Ráðgert er að innleiða framseldu reglugerðina með reglugerð ráðherra þegar hún hefur verið tekin upp í EES-samninginn</w:t>
      </w:r>
      <w:r w:rsidR="00823AB8">
        <w:rPr>
          <w:rFonts w:ascii="Times New Roman" w:eastAsia="Calibri" w:hAnsi="Times New Roman" w:cs="Times New Roman"/>
          <w:sz w:val="21"/>
        </w:rPr>
        <w:t>.</w:t>
      </w:r>
    </w:p>
    <w:p w14:paraId="348F5EEF" w14:textId="77777777" w:rsidR="00D911B9" w:rsidRPr="00D911B9" w:rsidRDefault="00D911B9" w:rsidP="00D911B9">
      <w:pPr>
        <w:spacing w:after="0" w:line="240" w:lineRule="auto"/>
        <w:ind w:firstLine="284"/>
        <w:jc w:val="both"/>
        <w:rPr>
          <w:rFonts w:ascii="Times New Roman" w:eastAsia="Calibri" w:hAnsi="Times New Roman" w:cs="Times New Roman"/>
          <w:sz w:val="21"/>
        </w:rPr>
      </w:pPr>
    </w:p>
    <w:p w14:paraId="7B39BA55" w14:textId="5F8F64EB" w:rsidR="00D911B9" w:rsidRPr="00D911B9" w:rsidRDefault="00D911B9" w:rsidP="00D911B9">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sidR="005A6C2C">
        <w:rPr>
          <w:rFonts w:ascii="Times New Roman" w:eastAsia="Calibri" w:hAnsi="Times New Roman" w:cs="Times New Roman"/>
          <w:sz w:val="21"/>
        </w:rPr>
        <w:t>9</w:t>
      </w:r>
      <w:r w:rsidRPr="00D911B9">
        <w:rPr>
          <w:rFonts w:ascii="Times New Roman" w:eastAsia="Calibri" w:hAnsi="Times New Roman" w:cs="Times New Roman"/>
          <w:sz w:val="21"/>
        </w:rPr>
        <w:t>. gr.</w:t>
      </w:r>
    </w:p>
    <w:p w14:paraId="70AE41F7" w14:textId="62679968" w:rsidR="00D911B9" w:rsidRPr="00D911B9" w:rsidRDefault="00D911B9" w:rsidP="00D911B9">
      <w:pPr>
        <w:spacing w:after="0" w:line="240" w:lineRule="auto"/>
        <w:ind w:firstLine="284"/>
        <w:jc w:val="both"/>
        <w:rPr>
          <w:rFonts w:ascii="Times New Roman" w:eastAsia="Calibri" w:hAnsi="Times New Roman" w:cs="Times New Roman"/>
          <w:sz w:val="21"/>
        </w:rPr>
      </w:pPr>
      <w:r w:rsidRPr="00D911B9">
        <w:rPr>
          <w:rFonts w:ascii="Times New Roman" w:eastAsia="Calibri" w:hAnsi="Times New Roman" w:cs="Times New Roman"/>
          <w:sz w:val="21"/>
        </w:rPr>
        <w:t>Talið er nauðsynlegt að veita markaðsaðilum visst svigrúm til að undirbúa sig fyrir gildistöku laganna, svo sem með breytingum á gjaldatöflum, samningum og kerfum. Því er lagt til að lögin taki ekki gildi fyrr en [</w:t>
      </w:r>
      <w:r w:rsidR="00D238F3">
        <w:rPr>
          <w:rFonts w:ascii="Times New Roman" w:eastAsia="Calibri" w:hAnsi="Times New Roman" w:cs="Times New Roman"/>
          <w:sz w:val="21"/>
        </w:rPr>
        <w:t xml:space="preserve">dags. </w:t>
      </w:r>
      <w:r w:rsidR="00780696">
        <w:rPr>
          <w:rFonts w:ascii="Times New Roman" w:eastAsia="Calibri" w:hAnsi="Times New Roman" w:cs="Times New Roman"/>
          <w:color w:val="242424"/>
          <w:sz w:val="21"/>
          <w:shd w:val="clear" w:color="auto" w:fill="FFFFFF"/>
        </w:rPr>
        <w:t xml:space="preserve">um </w:t>
      </w:r>
      <w:r w:rsidR="00547B35">
        <w:rPr>
          <w:rFonts w:ascii="Times New Roman" w:eastAsia="Calibri" w:hAnsi="Times New Roman" w:cs="Times New Roman"/>
          <w:color w:val="242424"/>
          <w:sz w:val="21"/>
          <w:shd w:val="clear" w:color="auto" w:fill="FFFFFF"/>
        </w:rPr>
        <w:t>þremur mánuðum</w:t>
      </w:r>
      <w:r w:rsidR="00780696">
        <w:rPr>
          <w:rFonts w:ascii="Times New Roman" w:eastAsia="Calibri" w:hAnsi="Times New Roman" w:cs="Times New Roman"/>
          <w:color w:val="242424"/>
          <w:sz w:val="21"/>
          <w:shd w:val="clear" w:color="auto" w:fill="FFFFFF"/>
        </w:rPr>
        <w:t xml:space="preserve"> frá áætlaðri samþykkt</w:t>
      </w:r>
      <w:r w:rsidRPr="00D911B9">
        <w:rPr>
          <w:rFonts w:ascii="Times New Roman" w:eastAsia="Calibri" w:hAnsi="Times New Roman" w:cs="Times New Roman"/>
          <w:sz w:val="21"/>
        </w:rPr>
        <w:t>].</w:t>
      </w:r>
      <w:bookmarkEnd w:id="2"/>
    </w:p>
    <w:bookmarkEnd w:id="3"/>
    <w:p w14:paraId="6825A0EE" w14:textId="35310F51" w:rsidR="00C95ED5" w:rsidRDefault="00C95ED5" w:rsidP="00C1775C">
      <w:pPr>
        <w:spacing w:after="0" w:line="240" w:lineRule="auto"/>
      </w:pPr>
    </w:p>
    <w:p w14:paraId="13D08538" w14:textId="097E39CC" w:rsidR="00CA37E7" w:rsidRPr="00D911B9" w:rsidRDefault="00CA37E7" w:rsidP="00CA37E7">
      <w:pPr>
        <w:spacing w:after="0" w:line="240" w:lineRule="auto"/>
        <w:jc w:val="center"/>
        <w:rPr>
          <w:rFonts w:ascii="Times New Roman" w:eastAsia="Calibri" w:hAnsi="Times New Roman" w:cs="Times New Roman"/>
          <w:sz w:val="21"/>
        </w:rPr>
      </w:pPr>
      <w:r w:rsidRPr="00D911B9">
        <w:rPr>
          <w:rFonts w:ascii="Times New Roman" w:eastAsia="Calibri" w:hAnsi="Times New Roman" w:cs="Times New Roman"/>
          <w:sz w:val="21"/>
        </w:rPr>
        <w:t xml:space="preserve">Um </w:t>
      </w:r>
      <w:r>
        <w:rPr>
          <w:rFonts w:ascii="Times New Roman" w:eastAsia="Calibri" w:hAnsi="Times New Roman" w:cs="Times New Roman"/>
          <w:sz w:val="21"/>
        </w:rPr>
        <w:t>ákvæði til bráðabirgða.</w:t>
      </w:r>
    </w:p>
    <w:p w14:paraId="36256AA6" w14:textId="366FD8A5" w:rsidR="00CA37E7" w:rsidRDefault="00284FF6">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L</w:t>
      </w:r>
      <w:r w:rsidR="005A3F24">
        <w:rPr>
          <w:rFonts w:ascii="Times New Roman" w:eastAsia="Calibri" w:hAnsi="Times New Roman" w:cs="Times New Roman"/>
          <w:sz w:val="21"/>
        </w:rPr>
        <w:t>agt</w:t>
      </w:r>
      <w:r>
        <w:rPr>
          <w:rFonts w:ascii="Times New Roman" w:eastAsia="Calibri" w:hAnsi="Times New Roman" w:cs="Times New Roman"/>
          <w:sz w:val="21"/>
        </w:rPr>
        <w:t xml:space="preserve"> er</w:t>
      </w:r>
      <w:r w:rsidR="005A3F24">
        <w:rPr>
          <w:rFonts w:ascii="Times New Roman" w:eastAsia="Calibri" w:hAnsi="Times New Roman" w:cs="Times New Roman"/>
          <w:sz w:val="21"/>
        </w:rPr>
        <w:t xml:space="preserve"> til að fjármála- og efnahagsráðherra verði falið að meta </w:t>
      </w:r>
      <w:r w:rsidR="005561C7">
        <w:rPr>
          <w:rFonts w:ascii="Times New Roman" w:eastAsia="Calibri" w:hAnsi="Times New Roman" w:cs="Times New Roman"/>
          <w:color w:val="242424"/>
          <w:sz w:val="21"/>
          <w:shd w:val="clear" w:color="auto" w:fill="FFFFFF"/>
        </w:rPr>
        <w:t xml:space="preserve">í samráði við </w:t>
      </w:r>
      <w:r w:rsidR="005561C7">
        <w:rPr>
          <w:rFonts w:ascii="Times New Roman" w:eastAsia="Calibri" w:hAnsi="Times New Roman" w:cs="Times New Roman"/>
          <w:sz w:val="21"/>
        </w:rPr>
        <w:t xml:space="preserve">Fjármálaeftirlitið, Neytendastofu, Samkeppniseftirlitið og Seðlabanka Íslands </w:t>
      </w:r>
      <w:r w:rsidR="005A3F24">
        <w:rPr>
          <w:rFonts w:ascii="Times New Roman" w:eastAsia="Calibri" w:hAnsi="Times New Roman" w:cs="Times New Roman"/>
          <w:sz w:val="21"/>
        </w:rPr>
        <w:t>innan tveggja</w:t>
      </w:r>
      <w:r w:rsidR="00911535">
        <w:rPr>
          <w:rFonts w:ascii="Times New Roman" w:eastAsia="Calibri" w:hAnsi="Times New Roman" w:cs="Times New Roman"/>
          <w:sz w:val="21"/>
        </w:rPr>
        <w:t xml:space="preserve"> </w:t>
      </w:r>
      <w:r w:rsidR="005A3F24">
        <w:rPr>
          <w:rFonts w:ascii="Times New Roman" w:eastAsia="Calibri" w:hAnsi="Times New Roman" w:cs="Times New Roman"/>
          <w:sz w:val="21"/>
        </w:rPr>
        <w:t>ára frá gildistöku laganna hvort tilefni sé til að nýta heimild</w:t>
      </w:r>
      <w:r>
        <w:rPr>
          <w:rFonts w:ascii="Times New Roman" w:eastAsia="Calibri" w:hAnsi="Times New Roman" w:cs="Times New Roman"/>
          <w:sz w:val="21"/>
        </w:rPr>
        <w:t xml:space="preserve"> 2. mgr. 3. gr. </w:t>
      </w:r>
      <w:proofErr w:type="spellStart"/>
      <w:r>
        <w:rPr>
          <w:rFonts w:ascii="Times New Roman" w:eastAsia="Calibri" w:hAnsi="Times New Roman" w:cs="Times New Roman"/>
          <w:sz w:val="21"/>
        </w:rPr>
        <w:t>milligjaldareglugerðarinnar</w:t>
      </w:r>
      <w:proofErr w:type="spellEnd"/>
      <w:r>
        <w:rPr>
          <w:rFonts w:ascii="Times New Roman" w:eastAsia="Calibri" w:hAnsi="Times New Roman" w:cs="Times New Roman"/>
          <w:sz w:val="21"/>
        </w:rPr>
        <w:t xml:space="preserve"> til þess að setja </w:t>
      </w:r>
      <w:proofErr w:type="spellStart"/>
      <w:r>
        <w:rPr>
          <w:rFonts w:ascii="Times New Roman" w:eastAsia="Calibri" w:hAnsi="Times New Roman" w:cs="Times New Roman"/>
          <w:sz w:val="21"/>
        </w:rPr>
        <w:t>milligjöldum</w:t>
      </w:r>
      <w:proofErr w:type="spellEnd"/>
      <w:r>
        <w:rPr>
          <w:rFonts w:ascii="Times New Roman" w:eastAsia="Calibri" w:hAnsi="Times New Roman" w:cs="Times New Roman"/>
          <w:sz w:val="21"/>
        </w:rPr>
        <w:t xml:space="preserve"> vegna innlendra debetkortafærslna lægra hámark en 0,2%</w:t>
      </w:r>
      <w:r w:rsidR="005A3F24">
        <w:rPr>
          <w:rFonts w:ascii="Times New Roman" w:eastAsia="Calibri" w:hAnsi="Times New Roman" w:cs="Times New Roman"/>
          <w:sz w:val="21"/>
        </w:rPr>
        <w:t>.</w:t>
      </w:r>
    </w:p>
    <w:p w14:paraId="19516848" w14:textId="5106A29D" w:rsidR="005A3F24" w:rsidRPr="006C34C5" w:rsidRDefault="006C34C5">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Við matið</w:t>
      </w:r>
      <w:r w:rsidR="005A3F24">
        <w:rPr>
          <w:rFonts w:ascii="Times New Roman" w:eastAsia="Calibri" w:hAnsi="Times New Roman" w:cs="Times New Roman"/>
          <w:sz w:val="21"/>
        </w:rPr>
        <w:t xml:space="preserve"> verði m.a. litið til skýrslu framkvæmdastjórnar Evrópusambandsins um beitingu </w:t>
      </w:r>
      <w:proofErr w:type="spellStart"/>
      <w:r w:rsidR="005A3F24">
        <w:rPr>
          <w:rFonts w:ascii="Times New Roman" w:eastAsia="Calibri" w:hAnsi="Times New Roman" w:cs="Times New Roman"/>
          <w:sz w:val="21"/>
        </w:rPr>
        <w:t>milligjaldareglugerðarinnar</w:t>
      </w:r>
      <w:proofErr w:type="spellEnd"/>
      <w:r w:rsidR="005A3F24">
        <w:rPr>
          <w:rFonts w:ascii="Times New Roman" w:eastAsia="Calibri" w:hAnsi="Times New Roman" w:cs="Times New Roman"/>
          <w:sz w:val="21"/>
        </w:rPr>
        <w:t xml:space="preserve">, þar á meðal um áhrif sérákvæða um </w:t>
      </w:r>
      <w:proofErr w:type="spellStart"/>
      <w:r w:rsidR="005A3F24">
        <w:rPr>
          <w:rFonts w:ascii="Times New Roman" w:eastAsia="Calibri" w:hAnsi="Times New Roman" w:cs="Times New Roman"/>
          <w:sz w:val="21"/>
        </w:rPr>
        <w:t>milligjöld</w:t>
      </w:r>
      <w:proofErr w:type="spellEnd"/>
      <w:r w:rsidR="005A3F24">
        <w:rPr>
          <w:rFonts w:ascii="Times New Roman" w:eastAsia="Calibri" w:hAnsi="Times New Roman" w:cs="Times New Roman"/>
          <w:sz w:val="21"/>
        </w:rPr>
        <w:t xml:space="preserve"> fyrir innlendar debetkortafærslur, sbr. 17. gr. gerðarinnar. Jafnframt verði horft til nágrannaríkjanna en Danir </w:t>
      </w:r>
      <w:r w:rsidR="005A3F24">
        <w:rPr>
          <w:rFonts w:ascii="Times New Roman" w:eastAsia="Calibri" w:hAnsi="Times New Roman" w:cs="Times New Roman"/>
          <w:sz w:val="21"/>
        </w:rPr>
        <w:lastRenderedPageBreak/>
        <w:t xml:space="preserve">hafa veitt ráðherra heimild til að setja reglur um það </w:t>
      </w:r>
      <w:proofErr w:type="spellStart"/>
      <w:r w:rsidR="005A3F24">
        <w:rPr>
          <w:rFonts w:ascii="Times New Roman" w:eastAsia="Calibri" w:hAnsi="Times New Roman" w:cs="Times New Roman"/>
          <w:sz w:val="21"/>
        </w:rPr>
        <w:t>milligjald</w:t>
      </w:r>
      <w:proofErr w:type="spellEnd"/>
      <w:r w:rsidR="005A3F24">
        <w:rPr>
          <w:rFonts w:ascii="Times New Roman" w:eastAsia="Calibri" w:hAnsi="Times New Roman" w:cs="Times New Roman"/>
          <w:sz w:val="21"/>
        </w:rPr>
        <w:t xml:space="preserve"> sem greiðsluþjónustuveitendur mega bjóða eða krefjast vegna innlendra debetkortafærslna. </w:t>
      </w:r>
      <w:r w:rsidR="00B22BA9">
        <w:rPr>
          <w:rFonts w:ascii="Times New Roman" w:eastAsia="Calibri" w:hAnsi="Times New Roman" w:cs="Times New Roman"/>
          <w:sz w:val="21"/>
        </w:rPr>
        <w:t xml:space="preserve">Gert er ráð fyrir að leitað verði sjónarmiða fyrirtækja á greiðslukortamarkaði og neytenda um mögulegar hugmyndir um breytingar í samráðsferli í samráðsgátt stjórnvalda. </w:t>
      </w:r>
      <w:r w:rsidR="005A3F24">
        <w:rPr>
          <w:rFonts w:ascii="Times New Roman" w:eastAsia="Calibri" w:hAnsi="Times New Roman" w:cs="Times New Roman"/>
          <w:sz w:val="21"/>
        </w:rPr>
        <w:t>Komist ráðherra að þeirri niðurstöðu að æskilegt sé að mæla fyrir um lægra hámark er gert ráð fyrir að hann leggi frumvarp þess efnis fyrir Alþingi.</w:t>
      </w:r>
    </w:p>
    <w:sectPr w:rsidR="005A3F24" w:rsidRPr="006C34C5" w:rsidSect="001D1A23">
      <w:headerReference w:type="even" r:id="rId10"/>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4FB5C" w14:textId="77777777" w:rsidR="00153755" w:rsidRDefault="00153755">
      <w:pPr>
        <w:spacing w:after="0" w:line="240" w:lineRule="auto"/>
      </w:pPr>
      <w:r>
        <w:separator/>
      </w:r>
    </w:p>
  </w:endnote>
  <w:endnote w:type="continuationSeparator" w:id="0">
    <w:p w14:paraId="5D3535E7" w14:textId="77777777" w:rsidR="00153755" w:rsidRDefault="0015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AEBC" w14:textId="77777777" w:rsidR="00153755" w:rsidRDefault="00153755">
      <w:pPr>
        <w:spacing w:after="0" w:line="240" w:lineRule="auto"/>
      </w:pPr>
      <w:r>
        <w:separator/>
      </w:r>
    </w:p>
  </w:footnote>
  <w:footnote w:type="continuationSeparator" w:id="0">
    <w:p w14:paraId="1F119E25" w14:textId="77777777" w:rsidR="00153755" w:rsidRDefault="00153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B4B4" w14:textId="59B1EA35" w:rsidR="00AA2DD7" w:rsidRDefault="00652340">
    <w:pPr>
      <w:pStyle w:val="Header"/>
    </w:pPr>
    <w:r>
      <w:rPr>
        <w:noProof/>
      </w:rPr>
      <w:pict w14:anchorId="49BFA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2813" o:spid="_x0000_s8197" type="#_x0000_t136" style="position:absolute;margin-left:0;margin-top:0;width:315.15pt;height:236.35pt;rotation:315;z-index:-251655168;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57465"/>
      <w:docPartObj>
        <w:docPartGallery w:val="Page Numbers (Top of Page)"/>
        <w:docPartUnique/>
      </w:docPartObj>
    </w:sdtPr>
    <w:sdtEndPr/>
    <w:sdtContent>
      <w:p w14:paraId="5A3C89C6" w14:textId="6C9C85C6" w:rsidR="009B245D" w:rsidRDefault="009B245D">
        <w:pPr>
          <w:pStyle w:val="Header"/>
          <w:jc w:val="center"/>
        </w:pPr>
        <w:r>
          <w:fldChar w:fldCharType="begin"/>
        </w:r>
        <w:r>
          <w:instrText>PAGE   \* MERGEFORMAT</w:instrText>
        </w:r>
        <w:r>
          <w:fldChar w:fldCharType="separate"/>
        </w:r>
        <w:r w:rsidR="00652340">
          <w:rPr>
            <w:noProof/>
          </w:rPr>
          <w:t>10</w:t>
        </w:r>
        <w:r>
          <w:fldChar w:fldCharType="end"/>
        </w:r>
      </w:p>
    </w:sdtContent>
  </w:sdt>
  <w:p w14:paraId="52DAE048" w14:textId="16361BAA" w:rsidR="00AA2DD7" w:rsidRDefault="00652340">
    <w:pPr>
      <w:pStyle w:val="Header"/>
    </w:pPr>
    <w:r>
      <w:rPr>
        <w:noProof/>
      </w:rPr>
      <w:pict w14:anchorId="104DD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2814" o:spid="_x0000_s8198" type="#_x0000_t136" style="position:absolute;margin-left:0;margin-top:0;width:315.15pt;height:236.35pt;rotation:315;z-index:-251653120;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958"/>
      <w:docPartObj>
        <w:docPartGallery w:val="Page Numbers (Top of Page)"/>
        <w:docPartUnique/>
      </w:docPartObj>
    </w:sdtPr>
    <w:sdtEndPr>
      <w:rPr>
        <w:color w:val="FFFFFF" w:themeColor="background1"/>
      </w:rPr>
    </w:sdtEndPr>
    <w:sdtContent>
      <w:p w14:paraId="4F8E5F03" w14:textId="3E9DB361" w:rsidR="009B245D" w:rsidRPr="001D1A23" w:rsidRDefault="009B245D">
        <w:pPr>
          <w:pStyle w:val="Header"/>
          <w:jc w:val="center"/>
          <w:rPr>
            <w:color w:val="FFFFFF" w:themeColor="background1"/>
          </w:rPr>
        </w:pPr>
        <w:r w:rsidRPr="001D1A23">
          <w:rPr>
            <w:color w:val="FFFFFF" w:themeColor="background1"/>
          </w:rPr>
          <w:fldChar w:fldCharType="begin"/>
        </w:r>
        <w:r w:rsidRPr="001D1A23">
          <w:rPr>
            <w:color w:val="FFFFFF" w:themeColor="background1"/>
          </w:rPr>
          <w:instrText>PAGE   \* MERGEFORMAT</w:instrText>
        </w:r>
        <w:r w:rsidRPr="001D1A23">
          <w:rPr>
            <w:color w:val="FFFFFF" w:themeColor="background1"/>
          </w:rPr>
          <w:fldChar w:fldCharType="separate"/>
        </w:r>
        <w:r w:rsidR="00A12F9A">
          <w:rPr>
            <w:noProof/>
            <w:color w:val="FFFFFF" w:themeColor="background1"/>
          </w:rPr>
          <w:t>1</w:t>
        </w:r>
        <w:r w:rsidRPr="001D1A23">
          <w:rPr>
            <w:color w:val="FFFFFF" w:themeColor="background1"/>
          </w:rPr>
          <w:fldChar w:fldCharType="end"/>
        </w:r>
      </w:p>
    </w:sdtContent>
  </w:sdt>
  <w:p w14:paraId="41CFFD59" w14:textId="38C5FB74" w:rsidR="000949CF" w:rsidRDefault="00652340" w:rsidP="00A36DFA">
    <w:pPr>
      <w:pStyle w:val="Header"/>
      <w:tabs>
        <w:tab w:val="clear" w:pos="4513"/>
        <w:tab w:val="center" w:pos="3969"/>
        <w:tab w:val="right" w:pos="7797"/>
      </w:tabs>
    </w:pPr>
    <w:r>
      <w:rPr>
        <w:noProof/>
      </w:rPr>
      <w:pict w14:anchorId="3E96C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2812" o:spid="_x0000_s8196" type="#_x0000_t136" style="position:absolute;margin-left:0;margin-top:0;width:315.15pt;height:236.3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02C0"/>
    <w:multiLevelType w:val="hybridMultilevel"/>
    <w:tmpl w:val="5C7C7E14"/>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08"/>
  <w:hyphenationZone w:val="425"/>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B9"/>
    <w:rsid w:val="00003087"/>
    <w:rsid w:val="00006264"/>
    <w:rsid w:val="00010C7E"/>
    <w:rsid w:val="00014AB5"/>
    <w:rsid w:val="00015C50"/>
    <w:rsid w:val="00026707"/>
    <w:rsid w:val="00035CA6"/>
    <w:rsid w:val="00037115"/>
    <w:rsid w:val="0004538A"/>
    <w:rsid w:val="0006117F"/>
    <w:rsid w:val="000619F9"/>
    <w:rsid w:val="00063FD9"/>
    <w:rsid w:val="0006751D"/>
    <w:rsid w:val="000711CA"/>
    <w:rsid w:val="0007212E"/>
    <w:rsid w:val="00077A0E"/>
    <w:rsid w:val="0008229B"/>
    <w:rsid w:val="00092562"/>
    <w:rsid w:val="00092CD8"/>
    <w:rsid w:val="000949CF"/>
    <w:rsid w:val="000A3A38"/>
    <w:rsid w:val="000A7687"/>
    <w:rsid w:val="000A7DDB"/>
    <w:rsid w:val="000B2D48"/>
    <w:rsid w:val="000C604B"/>
    <w:rsid w:val="000C7299"/>
    <w:rsid w:val="000D2FC0"/>
    <w:rsid w:val="000D392B"/>
    <w:rsid w:val="000F6346"/>
    <w:rsid w:val="00100446"/>
    <w:rsid w:val="001005DB"/>
    <w:rsid w:val="00100A40"/>
    <w:rsid w:val="001058B3"/>
    <w:rsid w:val="0011097F"/>
    <w:rsid w:val="00112B63"/>
    <w:rsid w:val="00116013"/>
    <w:rsid w:val="001211AB"/>
    <w:rsid w:val="00122E9A"/>
    <w:rsid w:val="00123118"/>
    <w:rsid w:val="00124A2C"/>
    <w:rsid w:val="00124B54"/>
    <w:rsid w:val="00126AFD"/>
    <w:rsid w:val="00132E84"/>
    <w:rsid w:val="0014479B"/>
    <w:rsid w:val="00147A8A"/>
    <w:rsid w:val="001534C0"/>
    <w:rsid w:val="00153755"/>
    <w:rsid w:val="00164ADD"/>
    <w:rsid w:val="00170033"/>
    <w:rsid w:val="00170709"/>
    <w:rsid w:val="001806F7"/>
    <w:rsid w:val="00185574"/>
    <w:rsid w:val="00187EF7"/>
    <w:rsid w:val="00192A7E"/>
    <w:rsid w:val="001A512A"/>
    <w:rsid w:val="001A6CD2"/>
    <w:rsid w:val="001B2D93"/>
    <w:rsid w:val="001C4EB1"/>
    <w:rsid w:val="001D146F"/>
    <w:rsid w:val="001D1A23"/>
    <w:rsid w:val="001D6C24"/>
    <w:rsid w:val="001E0CE3"/>
    <w:rsid w:val="001E2F9F"/>
    <w:rsid w:val="001F6AF1"/>
    <w:rsid w:val="00201C57"/>
    <w:rsid w:val="00204072"/>
    <w:rsid w:val="002045E0"/>
    <w:rsid w:val="00223A46"/>
    <w:rsid w:val="002263E1"/>
    <w:rsid w:val="00236735"/>
    <w:rsid w:val="00244FEE"/>
    <w:rsid w:val="002571AE"/>
    <w:rsid w:val="00261581"/>
    <w:rsid w:val="002618F7"/>
    <w:rsid w:val="00262C83"/>
    <w:rsid w:val="002700AF"/>
    <w:rsid w:val="002733CF"/>
    <w:rsid w:val="00277AF3"/>
    <w:rsid w:val="0028234C"/>
    <w:rsid w:val="00282923"/>
    <w:rsid w:val="00284FF6"/>
    <w:rsid w:val="0029137D"/>
    <w:rsid w:val="002A5513"/>
    <w:rsid w:val="002B2876"/>
    <w:rsid w:val="002C6E57"/>
    <w:rsid w:val="002C7855"/>
    <w:rsid w:val="002D6B44"/>
    <w:rsid w:val="002E09FA"/>
    <w:rsid w:val="002E4A93"/>
    <w:rsid w:val="002E58E9"/>
    <w:rsid w:val="00304390"/>
    <w:rsid w:val="00307FDE"/>
    <w:rsid w:val="003168B2"/>
    <w:rsid w:val="00316BE2"/>
    <w:rsid w:val="00324D4A"/>
    <w:rsid w:val="00333412"/>
    <w:rsid w:val="00335125"/>
    <w:rsid w:val="00337B3B"/>
    <w:rsid w:val="00340170"/>
    <w:rsid w:val="0034070B"/>
    <w:rsid w:val="0034309E"/>
    <w:rsid w:val="00343C52"/>
    <w:rsid w:val="003540F4"/>
    <w:rsid w:val="003709D3"/>
    <w:rsid w:val="00371D17"/>
    <w:rsid w:val="00373C68"/>
    <w:rsid w:val="003804B7"/>
    <w:rsid w:val="00385E48"/>
    <w:rsid w:val="003959D1"/>
    <w:rsid w:val="00395EC3"/>
    <w:rsid w:val="003A0126"/>
    <w:rsid w:val="003A78A4"/>
    <w:rsid w:val="003A7B49"/>
    <w:rsid w:val="003B177A"/>
    <w:rsid w:val="003C2C66"/>
    <w:rsid w:val="003C70EB"/>
    <w:rsid w:val="003E3FC2"/>
    <w:rsid w:val="003F4917"/>
    <w:rsid w:val="00400099"/>
    <w:rsid w:val="00400797"/>
    <w:rsid w:val="004024EF"/>
    <w:rsid w:val="00406CFF"/>
    <w:rsid w:val="00407E91"/>
    <w:rsid w:val="0042081C"/>
    <w:rsid w:val="00430906"/>
    <w:rsid w:val="00434EB5"/>
    <w:rsid w:val="00440372"/>
    <w:rsid w:val="0044438A"/>
    <w:rsid w:val="00445B8A"/>
    <w:rsid w:val="00467B57"/>
    <w:rsid w:val="0047467B"/>
    <w:rsid w:val="00485C50"/>
    <w:rsid w:val="004932A1"/>
    <w:rsid w:val="004A1B31"/>
    <w:rsid w:val="004A4245"/>
    <w:rsid w:val="004A4B18"/>
    <w:rsid w:val="004B02F2"/>
    <w:rsid w:val="004B79D5"/>
    <w:rsid w:val="004D27E8"/>
    <w:rsid w:val="004D5F45"/>
    <w:rsid w:val="004E3FBE"/>
    <w:rsid w:val="004E6B93"/>
    <w:rsid w:val="004E6E25"/>
    <w:rsid w:val="004F22B2"/>
    <w:rsid w:val="004F24CF"/>
    <w:rsid w:val="004F74D2"/>
    <w:rsid w:val="00501974"/>
    <w:rsid w:val="00506EE8"/>
    <w:rsid w:val="0051082D"/>
    <w:rsid w:val="00514CEC"/>
    <w:rsid w:val="0051777C"/>
    <w:rsid w:val="00522ADE"/>
    <w:rsid w:val="00535B6B"/>
    <w:rsid w:val="00547862"/>
    <w:rsid w:val="00547B35"/>
    <w:rsid w:val="005529E8"/>
    <w:rsid w:val="00554459"/>
    <w:rsid w:val="005561C7"/>
    <w:rsid w:val="00557460"/>
    <w:rsid w:val="00557766"/>
    <w:rsid w:val="005602DC"/>
    <w:rsid w:val="0057064C"/>
    <w:rsid w:val="00574145"/>
    <w:rsid w:val="0058428C"/>
    <w:rsid w:val="00585250"/>
    <w:rsid w:val="00594A92"/>
    <w:rsid w:val="005A3F24"/>
    <w:rsid w:val="005A6C2C"/>
    <w:rsid w:val="005B220A"/>
    <w:rsid w:val="005B3A04"/>
    <w:rsid w:val="005C487A"/>
    <w:rsid w:val="005C53F3"/>
    <w:rsid w:val="005C593C"/>
    <w:rsid w:val="005D1304"/>
    <w:rsid w:val="005D494F"/>
    <w:rsid w:val="005E1302"/>
    <w:rsid w:val="005F0A8C"/>
    <w:rsid w:val="005F155F"/>
    <w:rsid w:val="005F62E4"/>
    <w:rsid w:val="00616D84"/>
    <w:rsid w:val="00620A77"/>
    <w:rsid w:val="006273BF"/>
    <w:rsid w:val="00640D11"/>
    <w:rsid w:val="00652340"/>
    <w:rsid w:val="00654022"/>
    <w:rsid w:val="0066188C"/>
    <w:rsid w:val="00664ADD"/>
    <w:rsid w:val="00673E70"/>
    <w:rsid w:val="006746F7"/>
    <w:rsid w:val="00677D2D"/>
    <w:rsid w:val="00677F62"/>
    <w:rsid w:val="00680F61"/>
    <w:rsid w:val="00681A89"/>
    <w:rsid w:val="0068253E"/>
    <w:rsid w:val="006835E1"/>
    <w:rsid w:val="006863BE"/>
    <w:rsid w:val="006A4EA1"/>
    <w:rsid w:val="006B1DBE"/>
    <w:rsid w:val="006B2E0B"/>
    <w:rsid w:val="006B3063"/>
    <w:rsid w:val="006B6C10"/>
    <w:rsid w:val="006C34C5"/>
    <w:rsid w:val="006D01E6"/>
    <w:rsid w:val="006D0E17"/>
    <w:rsid w:val="006D24CE"/>
    <w:rsid w:val="006D6E75"/>
    <w:rsid w:val="006F69A9"/>
    <w:rsid w:val="00702C00"/>
    <w:rsid w:val="00706690"/>
    <w:rsid w:val="00720050"/>
    <w:rsid w:val="00723747"/>
    <w:rsid w:val="00725E53"/>
    <w:rsid w:val="00726881"/>
    <w:rsid w:val="00727888"/>
    <w:rsid w:val="00732BB6"/>
    <w:rsid w:val="007447E8"/>
    <w:rsid w:val="0074656E"/>
    <w:rsid w:val="00747556"/>
    <w:rsid w:val="007547C0"/>
    <w:rsid w:val="00771DCE"/>
    <w:rsid w:val="00780696"/>
    <w:rsid w:val="00782319"/>
    <w:rsid w:val="007A274E"/>
    <w:rsid w:val="007A4226"/>
    <w:rsid w:val="007B0152"/>
    <w:rsid w:val="007B76A3"/>
    <w:rsid w:val="007C46A3"/>
    <w:rsid w:val="007C5D8F"/>
    <w:rsid w:val="007D4896"/>
    <w:rsid w:val="007E298A"/>
    <w:rsid w:val="007E6597"/>
    <w:rsid w:val="007F35FE"/>
    <w:rsid w:val="008033A8"/>
    <w:rsid w:val="0081037F"/>
    <w:rsid w:val="00811236"/>
    <w:rsid w:val="00812C57"/>
    <w:rsid w:val="00812E46"/>
    <w:rsid w:val="00813217"/>
    <w:rsid w:val="00817B21"/>
    <w:rsid w:val="00822ED3"/>
    <w:rsid w:val="00823AB8"/>
    <w:rsid w:val="00823EDE"/>
    <w:rsid w:val="00832913"/>
    <w:rsid w:val="0084161C"/>
    <w:rsid w:val="00861910"/>
    <w:rsid w:val="00864128"/>
    <w:rsid w:val="0086484C"/>
    <w:rsid w:val="008652CB"/>
    <w:rsid w:val="0087394C"/>
    <w:rsid w:val="00880DAB"/>
    <w:rsid w:val="008921FE"/>
    <w:rsid w:val="008946E6"/>
    <w:rsid w:val="00894FF1"/>
    <w:rsid w:val="00897285"/>
    <w:rsid w:val="008A42A8"/>
    <w:rsid w:val="008B3AD0"/>
    <w:rsid w:val="008B4C0E"/>
    <w:rsid w:val="008C4B83"/>
    <w:rsid w:val="008C620F"/>
    <w:rsid w:val="008C7413"/>
    <w:rsid w:val="008D2306"/>
    <w:rsid w:val="008D2706"/>
    <w:rsid w:val="008D432B"/>
    <w:rsid w:val="008D50AC"/>
    <w:rsid w:val="008D51A0"/>
    <w:rsid w:val="008E2076"/>
    <w:rsid w:val="008E632E"/>
    <w:rsid w:val="008E7F80"/>
    <w:rsid w:val="008F419B"/>
    <w:rsid w:val="008F4475"/>
    <w:rsid w:val="008F7BEA"/>
    <w:rsid w:val="00911535"/>
    <w:rsid w:val="009241F2"/>
    <w:rsid w:val="0093122B"/>
    <w:rsid w:val="00932492"/>
    <w:rsid w:val="00934FB2"/>
    <w:rsid w:val="00940E4F"/>
    <w:rsid w:val="0094774B"/>
    <w:rsid w:val="0095130E"/>
    <w:rsid w:val="009610E9"/>
    <w:rsid w:val="00967F67"/>
    <w:rsid w:val="00971F59"/>
    <w:rsid w:val="00972F7F"/>
    <w:rsid w:val="009823CB"/>
    <w:rsid w:val="00983455"/>
    <w:rsid w:val="00987E72"/>
    <w:rsid w:val="009A0E9C"/>
    <w:rsid w:val="009A1904"/>
    <w:rsid w:val="009A3BBF"/>
    <w:rsid w:val="009A418B"/>
    <w:rsid w:val="009B245D"/>
    <w:rsid w:val="009B3565"/>
    <w:rsid w:val="009B5CB3"/>
    <w:rsid w:val="009B6F01"/>
    <w:rsid w:val="009C136F"/>
    <w:rsid w:val="009C269A"/>
    <w:rsid w:val="009C6F0B"/>
    <w:rsid w:val="009C74D4"/>
    <w:rsid w:val="009C76F1"/>
    <w:rsid w:val="009E1CDF"/>
    <w:rsid w:val="009F1114"/>
    <w:rsid w:val="00A05CB2"/>
    <w:rsid w:val="00A063DC"/>
    <w:rsid w:val="00A12F9A"/>
    <w:rsid w:val="00A149E8"/>
    <w:rsid w:val="00A2609D"/>
    <w:rsid w:val="00A32061"/>
    <w:rsid w:val="00A32919"/>
    <w:rsid w:val="00A362C7"/>
    <w:rsid w:val="00A36DFA"/>
    <w:rsid w:val="00A40EED"/>
    <w:rsid w:val="00A509D1"/>
    <w:rsid w:val="00A54509"/>
    <w:rsid w:val="00A54B1C"/>
    <w:rsid w:val="00A55665"/>
    <w:rsid w:val="00A907E6"/>
    <w:rsid w:val="00AA2DD7"/>
    <w:rsid w:val="00AB14FB"/>
    <w:rsid w:val="00AC011B"/>
    <w:rsid w:val="00AC277F"/>
    <w:rsid w:val="00AC49C4"/>
    <w:rsid w:val="00AD4820"/>
    <w:rsid w:val="00AE0EF7"/>
    <w:rsid w:val="00B037C6"/>
    <w:rsid w:val="00B04224"/>
    <w:rsid w:val="00B06C15"/>
    <w:rsid w:val="00B17536"/>
    <w:rsid w:val="00B20755"/>
    <w:rsid w:val="00B22BA9"/>
    <w:rsid w:val="00B24533"/>
    <w:rsid w:val="00B27A20"/>
    <w:rsid w:val="00B32884"/>
    <w:rsid w:val="00B36BE1"/>
    <w:rsid w:val="00B46F8E"/>
    <w:rsid w:val="00B503C1"/>
    <w:rsid w:val="00B6362D"/>
    <w:rsid w:val="00B646B3"/>
    <w:rsid w:val="00B72340"/>
    <w:rsid w:val="00B72EC8"/>
    <w:rsid w:val="00B755B2"/>
    <w:rsid w:val="00B77427"/>
    <w:rsid w:val="00B9473D"/>
    <w:rsid w:val="00BA204A"/>
    <w:rsid w:val="00BA6C6F"/>
    <w:rsid w:val="00BB18D7"/>
    <w:rsid w:val="00BC0D29"/>
    <w:rsid w:val="00BC7D93"/>
    <w:rsid w:val="00BD1B9E"/>
    <w:rsid w:val="00BD53AD"/>
    <w:rsid w:val="00BE1122"/>
    <w:rsid w:val="00BE22A6"/>
    <w:rsid w:val="00BE3650"/>
    <w:rsid w:val="00BE3AE6"/>
    <w:rsid w:val="00BE525A"/>
    <w:rsid w:val="00BF5894"/>
    <w:rsid w:val="00BF6F92"/>
    <w:rsid w:val="00C15825"/>
    <w:rsid w:val="00C1775C"/>
    <w:rsid w:val="00C24209"/>
    <w:rsid w:val="00C30755"/>
    <w:rsid w:val="00C52650"/>
    <w:rsid w:val="00C63132"/>
    <w:rsid w:val="00C83051"/>
    <w:rsid w:val="00C83E37"/>
    <w:rsid w:val="00C84610"/>
    <w:rsid w:val="00C85705"/>
    <w:rsid w:val="00C87298"/>
    <w:rsid w:val="00C912B8"/>
    <w:rsid w:val="00C95ED5"/>
    <w:rsid w:val="00CA0429"/>
    <w:rsid w:val="00CA37E7"/>
    <w:rsid w:val="00CB00A2"/>
    <w:rsid w:val="00CC2734"/>
    <w:rsid w:val="00CD1B92"/>
    <w:rsid w:val="00CD2DAE"/>
    <w:rsid w:val="00CE4285"/>
    <w:rsid w:val="00CE49CF"/>
    <w:rsid w:val="00CF63EB"/>
    <w:rsid w:val="00CF6A71"/>
    <w:rsid w:val="00CF6DE7"/>
    <w:rsid w:val="00D01494"/>
    <w:rsid w:val="00D0374E"/>
    <w:rsid w:val="00D04AF7"/>
    <w:rsid w:val="00D06EBC"/>
    <w:rsid w:val="00D12C55"/>
    <w:rsid w:val="00D142EB"/>
    <w:rsid w:val="00D144FB"/>
    <w:rsid w:val="00D14C8F"/>
    <w:rsid w:val="00D16C6B"/>
    <w:rsid w:val="00D23682"/>
    <w:rsid w:val="00D238F3"/>
    <w:rsid w:val="00D24E2D"/>
    <w:rsid w:val="00D27FA5"/>
    <w:rsid w:val="00D305F1"/>
    <w:rsid w:val="00D31769"/>
    <w:rsid w:val="00D44288"/>
    <w:rsid w:val="00D506A4"/>
    <w:rsid w:val="00D5143C"/>
    <w:rsid w:val="00D533C4"/>
    <w:rsid w:val="00D5618D"/>
    <w:rsid w:val="00D72DFE"/>
    <w:rsid w:val="00D75F84"/>
    <w:rsid w:val="00D77E7B"/>
    <w:rsid w:val="00D8275A"/>
    <w:rsid w:val="00D8745D"/>
    <w:rsid w:val="00D911B9"/>
    <w:rsid w:val="00D92C28"/>
    <w:rsid w:val="00D975C5"/>
    <w:rsid w:val="00DA1A00"/>
    <w:rsid w:val="00DA3CD8"/>
    <w:rsid w:val="00DB2B6D"/>
    <w:rsid w:val="00DB3590"/>
    <w:rsid w:val="00DD417C"/>
    <w:rsid w:val="00DD79F8"/>
    <w:rsid w:val="00DE00A3"/>
    <w:rsid w:val="00DE4025"/>
    <w:rsid w:val="00DF0F3B"/>
    <w:rsid w:val="00DF1984"/>
    <w:rsid w:val="00DF404E"/>
    <w:rsid w:val="00E041DB"/>
    <w:rsid w:val="00E15A7A"/>
    <w:rsid w:val="00E33541"/>
    <w:rsid w:val="00E379B6"/>
    <w:rsid w:val="00E425F6"/>
    <w:rsid w:val="00E47C57"/>
    <w:rsid w:val="00E51E62"/>
    <w:rsid w:val="00E525C8"/>
    <w:rsid w:val="00E54978"/>
    <w:rsid w:val="00E54EF5"/>
    <w:rsid w:val="00E62820"/>
    <w:rsid w:val="00E6536F"/>
    <w:rsid w:val="00E719EA"/>
    <w:rsid w:val="00E75936"/>
    <w:rsid w:val="00E77507"/>
    <w:rsid w:val="00E9145F"/>
    <w:rsid w:val="00E935E1"/>
    <w:rsid w:val="00EC28CF"/>
    <w:rsid w:val="00ED2438"/>
    <w:rsid w:val="00EE1256"/>
    <w:rsid w:val="00EF00F8"/>
    <w:rsid w:val="00EF44B4"/>
    <w:rsid w:val="00EF4674"/>
    <w:rsid w:val="00EF6CD5"/>
    <w:rsid w:val="00F030D8"/>
    <w:rsid w:val="00F06AF3"/>
    <w:rsid w:val="00F13B6A"/>
    <w:rsid w:val="00F223E7"/>
    <w:rsid w:val="00F26555"/>
    <w:rsid w:val="00F55A86"/>
    <w:rsid w:val="00F63C72"/>
    <w:rsid w:val="00F6557A"/>
    <w:rsid w:val="00F82600"/>
    <w:rsid w:val="00F9776B"/>
    <w:rsid w:val="00FA58E1"/>
    <w:rsid w:val="00FA66D5"/>
    <w:rsid w:val="00FA6977"/>
    <w:rsid w:val="00FB0F4B"/>
    <w:rsid w:val="00FB2930"/>
    <w:rsid w:val="00FB3555"/>
    <w:rsid w:val="00FB6C2B"/>
    <w:rsid w:val="00FC2D89"/>
    <w:rsid w:val="00FD5F6A"/>
    <w:rsid w:val="00FD7759"/>
    <w:rsid w:val="00FE2B0D"/>
    <w:rsid w:val="00FF31B1"/>
    <w:rsid w:val="00FF4953"/>
    <w:rsid w:val="00FF6827"/>
    <w:rsid w:val="00FF73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27C70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911B9"/>
    <w:pPr>
      <w:spacing w:line="240" w:lineRule="auto"/>
    </w:pPr>
    <w:rPr>
      <w:sz w:val="20"/>
      <w:szCs w:val="20"/>
    </w:rPr>
  </w:style>
  <w:style w:type="character" w:customStyle="1" w:styleId="CommentTextChar">
    <w:name w:val="Comment Text Char"/>
    <w:basedOn w:val="DefaultParagraphFont"/>
    <w:link w:val="CommentText"/>
    <w:uiPriority w:val="99"/>
    <w:semiHidden/>
    <w:rsid w:val="00D911B9"/>
    <w:rPr>
      <w:sz w:val="20"/>
      <w:szCs w:val="20"/>
    </w:rPr>
  </w:style>
  <w:style w:type="paragraph" w:styleId="Header">
    <w:name w:val="header"/>
    <w:basedOn w:val="Normal"/>
    <w:link w:val="HeaderChar"/>
    <w:uiPriority w:val="99"/>
    <w:unhideWhenUsed/>
    <w:rsid w:val="00D91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B9"/>
  </w:style>
  <w:style w:type="character" w:styleId="CommentReference">
    <w:name w:val="annotation reference"/>
    <w:basedOn w:val="DefaultParagraphFont"/>
    <w:uiPriority w:val="99"/>
    <w:semiHidden/>
    <w:unhideWhenUsed/>
    <w:rsid w:val="00D911B9"/>
    <w:rPr>
      <w:sz w:val="16"/>
      <w:szCs w:val="16"/>
    </w:rPr>
  </w:style>
  <w:style w:type="paragraph" w:styleId="BalloonText">
    <w:name w:val="Balloon Text"/>
    <w:basedOn w:val="Normal"/>
    <w:link w:val="BalloonTextChar"/>
    <w:uiPriority w:val="99"/>
    <w:semiHidden/>
    <w:unhideWhenUsed/>
    <w:rsid w:val="00D9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B9"/>
    <w:rPr>
      <w:rFonts w:ascii="Segoe UI" w:hAnsi="Segoe UI" w:cs="Segoe UI"/>
      <w:sz w:val="18"/>
      <w:szCs w:val="18"/>
    </w:rPr>
  </w:style>
  <w:style w:type="paragraph" w:styleId="Footer">
    <w:name w:val="footer"/>
    <w:basedOn w:val="Normal"/>
    <w:link w:val="FooterChar"/>
    <w:uiPriority w:val="99"/>
    <w:unhideWhenUsed/>
    <w:rsid w:val="008B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0E"/>
  </w:style>
  <w:style w:type="paragraph" w:styleId="CommentSubject">
    <w:name w:val="annotation subject"/>
    <w:basedOn w:val="CommentText"/>
    <w:next w:val="CommentText"/>
    <w:link w:val="CommentSubjectChar"/>
    <w:uiPriority w:val="99"/>
    <w:semiHidden/>
    <w:unhideWhenUsed/>
    <w:rsid w:val="009C136F"/>
    <w:rPr>
      <w:b/>
      <w:bCs/>
    </w:rPr>
  </w:style>
  <w:style w:type="character" w:customStyle="1" w:styleId="CommentSubjectChar">
    <w:name w:val="Comment Subject Char"/>
    <w:basedOn w:val="CommentTextChar"/>
    <w:link w:val="CommentSubject"/>
    <w:uiPriority w:val="99"/>
    <w:semiHidden/>
    <w:rsid w:val="009C136F"/>
    <w:rPr>
      <w:b/>
      <w:bCs/>
      <w:sz w:val="20"/>
      <w:szCs w:val="20"/>
    </w:rPr>
  </w:style>
  <w:style w:type="paragraph" w:styleId="ListParagraph">
    <w:name w:val="List Paragraph"/>
    <w:basedOn w:val="Normal"/>
    <w:uiPriority w:val="34"/>
    <w:qFormat/>
    <w:rsid w:val="004A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13953">
      <w:bodyDiv w:val="1"/>
      <w:marLeft w:val="0"/>
      <w:marRight w:val="0"/>
      <w:marTop w:val="0"/>
      <w:marBottom w:val="0"/>
      <w:divBdr>
        <w:top w:val="none" w:sz="0" w:space="0" w:color="auto"/>
        <w:left w:val="none" w:sz="0" w:space="0" w:color="auto"/>
        <w:bottom w:val="none" w:sz="0" w:space="0" w:color="auto"/>
        <w:right w:val="none" w:sz="0" w:space="0" w:color="auto"/>
      </w:divBdr>
    </w:div>
    <w:div w:id="1152911513">
      <w:bodyDiv w:val="1"/>
      <w:marLeft w:val="0"/>
      <w:marRight w:val="0"/>
      <w:marTop w:val="0"/>
      <w:marBottom w:val="0"/>
      <w:divBdr>
        <w:top w:val="none" w:sz="0" w:space="0" w:color="auto"/>
        <w:left w:val="none" w:sz="0" w:space="0" w:color="auto"/>
        <w:bottom w:val="none" w:sz="0" w:space="0" w:color="auto"/>
        <w:right w:val="none" w:sz="0" w:space="0" w:color="auto"/>
      </w:divBdr>
    </w:div>
    <w:div w:id="20790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hingi.is/lagas/nuna/1998087.html" TargetMode="External"/><Relationship Id="rId14"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B7DC-9774-4CF8-9072-D9E59887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2019-01-15T12:56:00Z</dcterms:created>
  <dcterms:modified xsi:type="dcterms:W3CDTF">2019-01-15T14:15:00Z</dcterms:modified>
</cp:coreProperties>
</file>