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7951" w14:textId="77777777" w:rsidR="00900D88" w:rsidRDefault="00900D88"/>
    <w:p w14:paraId="446903DF" w14:textId="77777777" w:rsidR="00A437E4" w:rsidRDefault="00A437E4"/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A437E4" w:rsidRPr="00E34B42" w14:paraId="13A127EE" w14:textId="77777777" w:rsidTr="00A83500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C66DFD" w14:textId="77777777" w:rsidR="00A437E4" w:rsidRPr="00E34B42" w:rsidRDefault="00A437E4" w:rsidP="00A835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EEA640F" wp14:editId="610D6C16">
                  <wp:extent cx="690040" cy="67689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62C92" w14:textId="77777777" w:rsidR="00A437E4" w:rsidRPr="00E34B42" w:rsidRDefault="00A437E4" w:rsidP="00A83500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0E98B695" w14:textId="77777777" w:rsidR="00A437E4" w:rsidRPr="00E34B42" w:rsidRDefault="00A437E4" w:rsidP="00A83500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A437E4" w:rsidRPr="00E34B42" w14:paraId="46B2C5EA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88598F9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4BAA32E8841241DD944D9AF47E30EADB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4A552F" w14:textId="4B4BF4AE" w:rsidR="00A437E4" w:rsidRPr="00E34B42" w:rsidRDefault="00A437E4" w:rsidP="002611F5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Frum</w:t>
                </w:r>
                <w:r w:rsidR="003E5A99">
                  <w:rPr>
                    <w:rFonts w:ascii="Times New Roman" w:hAnsi="Times New Roman" w:cs="Times New Roman"/>
                    <w:lang w:val="is-IS"/>
                  </w:rPr>
                  <w:t>v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arp til laga um 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203C1E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A3401C">
                  <w:rPr>
                    <w:rFonts w:ascii="Times New Roman" w:hAnsi="Times New Roman" w:cs="Times New Roman"/>
                    <w:lang w:val="is-IS"/>
                  </w:rPr>
                  <w:t xml:space="preserve"> ásamt breytingum á lögum um </w:t>
                </w:r>
                <w:proofErr w:type="spellStart"/>
                <w:r w:rsidR="00A3401C">
                  <w:rPr>
                    <w:rFonts w:ascii="Times New Roman" w:hAnsi="Times New Roman" w:cs="Times New Roman"/>
                    <w:lang w:val="is-IS"/>
                  </w:rPr>
                  <w:t>vátryggingasamninga</w:t>
                </w:r>
                <w:proofErr w:type="spellEnd"/>
                <w:r w:rsidR="00A3401C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1F2932" w:rsidRPr="001F2932">
                  <w:rPr>
                    <w:rFonts w:ascii="Times New Roman" w:hAnsi="Times New Roman" w:cs="Times New Roman"/>
                    <w:lang w:val="is-IS"/>
                  </w:rPr>
                  <w:t>FJR18110060</w:t>
                </w:r>
              </w:p>
            </w:tc>
          </w:sdtContent>
        </w:sdt>
      </w:tr>
      <w:tr w:rsidR="00A437E4" w:rsidRPr="00E34B42" w14:paraId="7A27E92B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35F73AE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6C08A7672E5149768638A84C9AFFC3AE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FE5B39B" w14:textId="77777777" w:rsidR="00A437E4" w:rsidRPr="00E34B42" w:rsidRDefault="00A437E4" w:rsidP="00A83500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Fjármála- og efnahagsráðuneytið </w:t>
                </w:r>
              </w:p>
            </w:tc>
          </w:sdtContent>
        </w:sdt>
      </w:tr>
      <w:tr w:rsidR="00A437E4" w:rsidRPr="00E34B42" w14:paraId="2EF4097E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82908BC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94106B7" w14:textId="3555EED2" w:rsidR="00A437E4" w:rsidRPr="00E34B42" w:rsidRDefault="005C1262" w:rsidP="00A83500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574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A437E4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1EAB5BF8" w14:textId="70ED1283" w:rsidR="00A437E4" w:rsidRPr="00E34B42" w:rsidRDefault="005C1262" w:rsidP="00A83500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574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A437E4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A437E4" w:rsidRPr="00E34B42" w14:paraId="1F29D8B9" w14:textId="77777777" w:rsidTr="00A8350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CCA" w14:textId="77777777" w:rsidR="00A437E4" w:rsidRPr="00E34B42" w:rsidRDefault="00A437E4" w:rsidP="00A83500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ABF4D" w14:textId="02592B6C" w:rsidR="00A437E4" w:rsidRPr="00E34B42" w:rsidRDefault="00EE6941" w:rsidP="005E6AA9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3</w:t>
                </w:r>
                <w:r w:rsidR="003C313A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janúar 2019</w:t>
                </w:r>
                <w:r w:rsidR="003C313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tc>
          </w:sdtContent>
        </w:sdt>
      </w:tr>
    </w:tbl>
    <w:p w14:paraId="236BEC54" w14:textId="017E4B83" w:rsidR="00A437E4" w:rsidRPr="00E34B42" w:rsidRDefault="00A437E4" w:rsidP="00A437E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437E4" w:rsidRPr="00E34B42" w14:paraId="46FF7E20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7E56120D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A437E4" w:rsidRPr="002A54E0" w14:paraId="64486A19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 w14:paraId="52965FC6" w14:textId="7325100D" w:rsidR="00A437E4" w:rsidRDefault="00A437E4" w:rsidP="00A83500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Forsaga máls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2C21744C" w14:textId="224EA3B6" w:rsidR="00E96B05" w:rsidRDefault="00E96B05" w:rsidP="00E96B05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Áformað er að leggja fram frumvarp til </w:t>
                </w:r>
                <w:r w:rsidR="00EB5841">
                  <w:rPr>
                    <w:rFonts w:ascii="Times New Roman" w:hAnsi="Times New Roman" w:cs="Times New Roman"/>
                    <w:lang w:val="is-IS"/>
                  </w:rPr>
                  <w:t xml:space="preserve">að innleiða ákvæði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 w:rsidR="00A40056">
                  <w:rPr>
                    <w:rFonts w:ascii="Times New Roman" w:hAnsi="Times New Roman" w:cs="Times New Roman"/>
                    <w:lang w:val="is-IS"/>
                  </w:rPr>
                  <w:t>ilskipun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="00A4005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32CE5">
                  <w:rPr>
                    <w:rFonts w:ascii="Times New Roman" w:hAnsi="Times New Roman" w:cs="Times New Roman"/>
                    <w:lang w:val="is-IS"/>
                  </w:rPr>
                  <w:t xml:space="preserve">Evrópuþingsins og ráðsins </w:t>
                </w:r>
                <w:r w:rsidR="00A40056">
                  <w:rPr>
                    <w:rFonts w:ascii="Times New Roman" w:hAnsi="Times New Roman" w:cs="Times New Roman"/>
                    <w:lang w:val="is-IS"/>
                  </w:rPr>
                  <w:t>2016/97/ESB</w:t>
                </w:r>
                <w:r w:rsidR="00032CE5">
                  <w:rPr>
                    <w:rFonts w:ascii="Times New Roman" w:hAnsi="Times New Roman" w:cs="Times New Roman"/>
                    <w:lang w:val="is-IS"/>
                  </w:rPr>
                  <w:t xml:space="preserve"> frá 20. janúar 2016 um dreifingu 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A3401C">
                  <w:rPr>
                    <w:rFonts w:ascii="Times New Roman" w:hAnsi="Times New Roman" w:cs="Times New Roman"/>
                    <w:lang w:val="is-IS"/>
                  </w:rPr>
                  <w:t xml:space="preserve">. Tilskipunin </w:t>
                </w:r>
                <w:r w:rsidR="00032CE5" w:rsidRPr="00E96B05">
                  <w:rPr>
                    <w:rFonts w:ascii="Times New Roman" w:hAnsi="Times New Roman" w:cs="Times New Roman"/>
                    <w:lang w:val="is-IS"/>
                  </w:rPr>
                  <w:t xml:space="preserve">var tekin upp í EES-samninginn með ákvörðun sameiginlegu EES-nefndarinnar 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nr</w:t>
                </w:r>
                <w:proofErr w:type="spellEnd"/>
                <w:r w:rsidR="00032CE5" w:rsidRPr="00E96B05">
                  <w:rPr>
                    <w:rFonts w:ascii="Times New Roman" w:hAnsi="Times New Roman" w:cs="Times New Roman"/>
                  </w:rPr>
                  <w:t xml:space="preserve">. 214/2018 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frá</w:t>
                </w:r>
                <w:proofErr w:type="spellEnd"/>
                <w:r w:rsidR="00032CE5" w:rsidRPr="00E96B05">
                  <w:rPr>
                    <w:rFonts w:ascii="Times New Roman" w:hAnsi="Times New Roman" w:cs="Times New Roman"/>
                  </w:rPr>
                  <w:t xml:space="preserve"> 26. 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október</w:t>
                </w:r>
                <w:proofErr w:type="spellEnd"/>
                <w:r w:rsidR="00032CE5" w:rsidRPr="00E96B05">
                  <w:rPr>
                    <w:rFonts w:ascii="Times New Roman" w:hAnsi="Times New Roman" w:cs="Times New Roman"/>
                  </w:rPr>
                  <w:t xml:space="preserve"> 2018 </w:t>
                </w:r>
                <w:proofErr w:type="spellStart"/>
                <w:r w:rsidRPr="00E96B05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E96B05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E96B05">
                  <w:rPr>
                    <w:rFonts w:ascii="Times New Roman" w:hAnsi="Times New Roman" w:cs="Times New Roman"/>
                  </w:rPr>
                  <w:t>breytti</w:t>
                </w:r>
                <w:proofErr w:type="spellEnd"/>
                <w:r w:rsidRPr="00E96B05">
                  <w:rPr>
                    <w:rFonts w:ascii="Times New Roman" w:hAnsi="Times New Roman" w:cs="Times New Roman"/>
                  </w:rPr>
                  <w:t xml:space="preserve"> </w:t>
                </w:r>
                <w:r w:rsidR="00032CE5" w:rsidRPr="00E96B05">
                  <w:rPr>
                    <w:rFonts w:ascii="Times New Roman" w:hAnsi="Times New Roman" w:cs="Times New Roman"/>
                  </w:rPr>
                  <w:t xml:space="preserve">IX. 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viðauka</w:t>
                </w:r>
                <w:proofErr w:type="spellEnd"/>
                <w:r w:rsidR="00032CE5" w:rsidRPr="00E96B05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 w:rsidR="00032CE5" w:rsidRPr="00E96B05">
                  <w:rPr>
                    <w:rFonts w:ascii="Times New Roman" w:hAnsi="Times New Roman" w:cs="Times New Roman"/>
                  </w:rPr>
                  <w:t xml:space="preserve"> EES-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samninginn</w:t>
                </w:r>
                <w:proofErr w:type="spellEnd"/>
                <w:r w:rsidRPr="00E96B05">
                  <w:rPr>
                    <w:rFonts w:ascii="Times New Roman" w:hAnsi="Times New Roman" w:cs="Times New Roman"/>
                  </w:rPr>
                  <w:t xml:space="preserve"> (</w:t>
                </w:r>
                <w:proofErr w:type="spellStart"/>
                <w:r w:rsidR="00032CE5" w:rsidRPr="00E96B05">
                  <w:rPr>
                    <w:rFonts w:ascii="Times New Roman" w:hAnsi="Times New Roman" w:cs="Times New Roman"/>
                  </w:rPr>
                  <w:t>Fjármálaþjónust</w:t>
                </w:r>
                <w:r w:rsidRPr="00E96B05">
                  <w:rPr>
                    <w:rFonts w:ascii="Times New Roman" w:hAnsi="Times New Roman" w:cs="Times New Roman"/>
                  </w:rPr>
                  <w:t>u</w:t>
                </w:r>
                <w:proofErr w:type="spellEnd"/>
                <w:r w:rsidR="00032CE5" w:rsidRPr="00E96B05">
                  <w:rPr>
                    <w:rFonts w:ascii="Times New Roman" w:hAnsi="Times New Roman" w:cs="Times New Roman"/>
                  </w:rPr>
                  <w:t>)</w:t>
                </w:r>
                <w:r w:rsidRPr="00E96B05">
                  <w:rPr>
                    <w:rFonts w:ascii="Times New Roman" w:hAnsi="Times New Roman" w:cs="Times New Roman"/>
                  </w:rPr>
                  <w:t>.</w:t>
                </w:r>
              </w:p>
              <w:p w14:paraId="3069218F" w14:textId="77777777" w:rsidR="00373A4C" w:rsidRDefault="00E96B05" w:rsidP="00E96B05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Meginmarkmið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tilskipunarinnar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samræma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ákvæði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dreifingu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. </w:t>
                </w:r>
                <w:bookmarkStart w:id="0" w:name="_Hlk530657703"/>
              </w:p>
              <w:p w14:paraId="21710901" w14:textId="61DE838A" w:rsidR="00373A4C" w:rsidRDefault="00E96B05" w:rsidP="00E96B05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dreifingu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átt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 w:rsidR="00373A4C">
                  <w:rPr>
                    <w:rFonts w:ascii="Times New Roman" w:hAnsi="Times New Roman" w:cs="Times New Roman"/>
                  </w:rPr>
                  <w:t>:</w:t>
                </w:r>
              </w:p>
              <w:p w14:paraId="4C05253E" w14:textId="01AA4E1F" w:rsidR="00406240" w:rsidRDefault="00406240" w:rsidP="00373A4C">
                <w:pPr>
                  <w:pStyle w:val="ListParagraph"/>
                  <w:numPr>
                    <w:ilvl w:val="2"/>
                    <w:numId w:val="1"/>
                  </w:numPr>
                  <w:spacing w:before="60" w:after="60"/>
                  <w:ind w:left="1309" w:hanging="28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starfsemi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felst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kynna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bjóða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fram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undirbúa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öðrum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hætti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samninga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vátryggingu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koma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slíkum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samningum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aðstoða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framkvæmd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slíkra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samninga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einnig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þegar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krafa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vátryggingarbætur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sett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fram</w:t>
                </w:r>
                <w:bookmarkEnd w:id="0"/>
                <w:proofErr w:type="spellEnd"/>
                <w:r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6F3FDE8E" w14:textId="18061AC1" w:rsidR="00373A4C" w:rsidRPr="00373A4C" w:rsidRDefault="00373A4C" w:rsidP="00373A4C">
                <w:pPr>
                  <w:pStyle w:val="ListParagraph"/>
                  <w:numPr>
                    <w:ilvl w:val="2"/>
                    <w:numId w:val="1"/>
                  </w:numPr>
                  <w:ind w:left="1309" w:hanging="284"/>
                  <w:rPr>
                    <w:rFonts w:ascii="Times New Roman" w:hAnsi="Times New Roman" w:cs="Times New Roman"/>
                  </w:rPr>
                </w:pPr>
                <w:proofErr w:type="spellStart"/>
                <w:r w:rsidRPr="00373A4C">
                  <w:rPr>
                    <w:rFonts w:ascii="Times New Roman" w:hAnsi="Times New Roman" w:cs="Times New Roman"/>
                  </w:rPr>
                  <w:t>starfsemi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felst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veita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upplýsingar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vátryggingarsamninga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eftir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ákveðnum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viðmiðum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viðskiptamaður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velur</w:t>
                </w:r>
                <w:proofErr w:type="spellEnd"/>
                <w:r w:rsidR="00B07729">
                  <w:rPr>
                    <w:rFonts w:ascii="Times New Roman" w:hAnsi="Times New Roman" w:cs="Times New Roman"/>
                  </w:rPr>
                  <w:t>,</w:t>
                </w:r>
                <w:r w:rsidRPr="00373A4C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vefsíðu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öðrum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miðlum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, og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gera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samantekt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um vátryggingar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boði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ásamt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samanburði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afslætti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vátryggingum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ef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viðskiptamaður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getur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gert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vátryggingarsamning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beint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óbeint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, á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vefsíðunni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373A4C">
                  <w:rPr>
                    <w:rFonts w:ascii="Times New Roman" w:hAnsi="Times New Roman" w:cs="Times New Roman"/>
                  </w:rPr>
                  <w:t>miðlinum</w:t>
                </w:r>
                <w:proofErr w:type="spellEnd"/>
                <w:r w:rsidRPr="00373A4C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180D94A5" w14:textId="77777777" w:rsidR="00406240" w:rsidRDefault="00406240" w:rsidP="00E96B05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Þeir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hafa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heimild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dreifa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vátryggingum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hér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landi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: </w:t>
                </w:r>
              </w:p>
              <w:p w14:paraId="6A504658" w14:textId="4317A192" w:rsidR="00406240" w:rsidRPr="00406240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Vátryggingafélög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hafa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starfsleyfi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hér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landi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>.</w:t>
                </w:r>
              </w:p>
              <w:p w14:paraId="24A77F74" w14:textId="5B1A77CE" w:rsidR="00406240" w:rsidRPr="00406240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Útibú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vátryggingafélaga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hafa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leyfi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starfa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hér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landi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.  </w:t>
                </w:r>
              </w:p>
              <w:p w14:paraId="48D144AE" w14:textId="2172F9E5" w:rsidR="00406240" w:rsidRPr="00406240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Vátryggingamiðlarar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hafa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starfsleyfi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Fjármálaeftirlitsins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.</w:t>
                </w:r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1F44A240" w14:textId="58F26FDE" w:rsidR="00406240" w:rsidRPr="00406240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Aðil</w:t>
                </w:r>
                <w:r>
                  <w:rPr>
                    <w:rFonts w:ascii="Times New Roman" w:hAnsi="Times New Roman" w:cs="Times New Roman"/>
                  </w:rPr>
                  <w:t>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dreifa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vátryggingu</w:t>
                </w:r>
                <w:r w:rsidR="00D873FF">
                  <w:rPr>
                    <w:rFonts w:ascii="Times New Roman" w:hAnsi="Times New Roman" w:cs="Times New Roman"/>
                  </w:rPr>
                  <w:t>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aukaafurð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.  </w:t>
                </w:r>
              </w:p>
              <w:p w14:paraId="27113F54" w14:textId="66E3EDA1" w:rsidR="00406240" w:rsidRPr="00406240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Vátryggingaumboðsmenn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skráðir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eru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hjá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vátryggingafélagi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>.</w:t>
                </w:r>
              </w:p>
              <w:p w14:paraId="5BB73755" w14:textId="512026CF" w:rsidR="00406240" w:rsidRPr="00406240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Vátryggingamiðlarar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vátryggingaumboðsmenn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starfsleyfi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öðru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aðildarríki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03EE27AA" w14:textId="597DAD90" w:rsidR="00E96B05" w:rsidRDefault="00406240" w:rsidP="00406240">
                <w:pPr>
                  <w:pStyle w:val="ListParagraph"/>
                  <w:numPr>
                    <w:ilvl w:val="1"/>
                    <w:numId w:val="14"/>
                  </w:numPr>
                  <w:spacing w:before="60" w:after="60"/>
                  <w:ind w:left="1309" w:hanging="28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Vátryggingamiðlarar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vátryggingaumboðsmenn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starfsleyfi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utan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aðildarríkja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proofErr w:type="gramStart"/>
                <w:r w:rsidRPr="0040624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hafa</w:t>
                </w:r>
                <w:proofErr w:type="spellEnd"/>
                <w:proofErr w:type="gram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fengið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leyfi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reka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útibú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hér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 xml:space="preserve"> á </w:t>
                </w:r>
                <w:proofErr w:type="spellStart"/>
                <w:r w:rsidRPr="00406240">
                  <w:rPr>
                    <w:rFonts w:ascii="Times New Roman" w:hAnsi="Times New Roman" w:cs="Times New Roman"/>
                  </w:rPr>
                  <w:t>landi</w:t>
                </w:r>
                <w:proofErr w:type="spellEnd"/>
                <w:r w:rsidRPr="00406240">
                  <w:rPr>
                    <w:rFonts w:ascii="Times New Roman" w:hAnsi="Times New Roman" w:cs="Times New Roman"/>
                  </w:rPr>
                  <w:t>.</w:t>
                </w:r>
              </w:p>
              <w:p w14:paraId="20CDC54A" w14:textId="117E9730" w:rsidR="003A2F99" w:rsidRPr="003A2F99" w:rsidRDefault="00373A4C" w:rsidP="003A2F99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Tilskipunin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sett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víkka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út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ákvæði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tilskipunar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 xml:space="preserve"> 2002/92//EB, um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vátryggingamiðlun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Síðarnefnda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tilskipunin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náði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einungis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yfir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vátryggingamiðlara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en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nýja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tilskipunin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nær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auk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vátryggingamiðlara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til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vátryggingafélaga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aðila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dreifa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vátryggingu</w:t>
                </w:r>
                <w:r w:rsidR="009E4584">
                  <w:rPr>
                    <w:rFonts w:ascii="Times New Roman" w:hAnsi="Times New Roman" w:cs="Times New Roman"/>
                  </w:rPr>
                  <w:t>m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550526">
                  <w:rPr>
                    <w:rFonts w:ascii="Times New Roman" w:hAnsi="Times New Roman" w:cs="Times New Roman"/>
                  </w:rPr>
                  <w:t>aukaafurð</w:t>
                </w:r>
                <w:proofErr w:type="spellEnd"/>
                <w:r w:rsidR="00550526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7E79FCB5" w14:textId="77777777" w:rsidR="00A437E4" w:rsidRDefault="00A437E4" w:rsidP="00A83500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úrlausnarefnið? </w:t>
                </w:r>
              </w:p>
              <w:p w14:paraId="1FA47803" w14:textId="7735F6BD" w:rsidR="003A2F99" w:rsidRDefault="003A2F99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Lögfesta þarf ákvæði tilskipunar 2016/97/ESB um dreifingu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Efni tilskipunarinnar 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snýr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meðal annars 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frjáls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flæði þjónustunnar, skilyrð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fyrir starfsleyfi, starfsh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áttum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hæfi </w:t>
                </w: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og hæfni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 þeirra sem dreifa </w:t>
                </w:r>
                <w:proofErr w:type="spellStart"/>
                <w:r w:rsidR="00203C1E"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>, upplýsingagjöf, eftirlit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með starfseminni og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vátryggingatengd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fjárfestingarafurð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50C1C85E" w14:textId="021D4947" w:rsidR="003A2F99" w:rsidRDefault="003A2F99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Annars vegar er á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formað að leggja fram frumvarp til laga um 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203C1E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 sem kemur í stað laga nr. 32/2005, um miðlun </w:t>
                </w:r>
                <w:proofErr w:type="spellStart"/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. Það frumvarp mun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meðal annars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fela í sér ákvæði um 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þá aðila sem dreifa </w:t>
                </w:r>
                <w:proofErr w:type="spellStart"/>
                <w:r w:rsidR="00203C1E"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, þ.e.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>starfskilyrði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star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shætti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>hæf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 og hæfni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 þeirra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. Auk þess verða ákvæði 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frjáls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flæði þjónustunnar og eftir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lit með starfseminni og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dreifingar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>aðilum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357EBE1" w14:textId="548D5113" w:rsidR="00550526" w:rsidRDefault="003A2F99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Hins vegar er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áformað að breyta lögum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nr. 32/2004,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proofErr w:type="spellStart"/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meðal annars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bæta þar ákvæðum 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>vegna aukinna krafna um upplýsingaskyldu vegna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 dreifingar á </w:t>
                </w:r>
                <w:proofErr w:type="spellStart"/>
                <w:r w:rsidR="00576F6A"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ákvæðum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vátryggingatengd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fjárfestingarafurð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="00550526" w:rsidRPr="0055052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37C3022" w14:textId="77777777" w:rsidR="0020659A" w:rsidRDefault="00A437E4" w:rsidP="00A32614">
                <w:pPr>
                  <w:pStyle w:val="ListParagraph"/>
                  <w:numPr>
                    <w:ilvl w:val="0"/>
                    <w:numId w:val="4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Að hvaða marki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10FAFA2" w14:textId="2BE78BBD" w:rsidR="00EE319F" w:rsidRDefault="00692737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Lög nr. 32/2005, um miðlun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lög nr. 30/2004,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hafa 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 xml:space="preserve">að geyma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mörg ákvæði tilskipun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>arinnar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 Sum ákvæðin eru í samræmi við tilskipunina en ö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>ðrum</w:t>
                </w:r>
                <w:r w:rsidR="003A2F9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þarf að breyta til að þau samræmist tilskipuninni. Auk þess þarf að bæta við nýjum ákvæðum.</w:t>
                </w:r>
                <w:r w:rsidR="005F2BC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Flest nýmælin snúa að 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 xml:space="preserve">aukinni neytendavernd og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varða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 xml:space="preserve"> aukna upplýsing</w:t>
                </w:r>
                <w:r w:rsidR="00B07729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>gjöf til neytenda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. E</w:t>
                </w:r>
                <w:r w:rsidR="000466B1">
                  <w:rPr>
                    <w:rFonts w:ascii="Times New Roman" w:hAnsi="Times New Roman" w:cs="Times New Roman"/>
                    <w:lang w:val="is-IS"/>
                  </w:rPr>
                  <w:t xml:space="preserve">innig eru ítarlegri skilyrði fyrir starfsemi sem dreifir </w:t>
                </w:r>
                <w:proofErr w:type="spellStart"/>
                <w:r w:rsidR="000466B1"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 w:rsidR="000466B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566E9E27" w14:textId="68C19C25" w:rsidR="00EE319F" w:rsidRDefault="00EE319F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Þar sem ákvæðin í tilsk</w:t>
                </w:r>
                <w:r w:rsidR="003A2F99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>p</w:t>
                </w:r>
                <w:r w:rsidR="003A2F99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0E525D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nni fela í sér miklar breytingar á ákvæðum laga nr. 32/2005 verður lagt til að sett verði sérlög um </w:t>
                </w:r>
                <w:r w:rsidR="003C0E65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3C0E65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. Í því frumvarpi verða meðal annars ákvæði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um starfsleyfi</w:t>
                </w:r>
                <w:r w:rsidR="003C0E6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3C0E65">
                  <w:rPr>
                    <w:rFonts w:ascii="Times New Roman" w:hAnsi="Times New Roman" w:cs="Times New Roman"/>
                    <w:lang w:val="is-IS"/>
                  </w:rPr>
                  <w:t>vátryggingamiðlara</w:t>
                </w:r>
                <w:proofErr w:type="spellEnd"/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hæfi og hæfni og starfshætti</w:t>
                </w:r>
                <w:r w:rsidR="003C0E65">
                  <w:rPr>
                    <w:rFonts w:ascii="Times New Roman" w:hAnsi="Times New Roman" w:cs="Times New Roman"/>
                    <w:lang w:val="is-IS"/>
                  </w:rPr>
                  <w:t xml:space="preserve"> þeirra sem dreifa </w:t>
                </w:r>
                <w:proofErr w:type="spellStart"/>
                <w:r w:rsidR="003C0E65"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r w:rsidR="000E525D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66C9BC44" w14:textId="477D72E7" w:rsidR="00A437E4" w:rsidRPr="00E34B42" w:rsidRDefault="00EE319F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Ákvæði er varða upplýsingagjöf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vegna </w:t>
                </w:r>
                <w:proofErr w:type="spellStart"/>
                <w:r w:rsidR="00AA3BF3"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eru nú í lögum um miðlun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lögum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. Reglur tilskipunarinnar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um upplýsingagjöf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eru mun ítarlegri og viðameiri og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einnig eru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mörg nýmæli. Áformað er 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öll ákvæði er varða upplýsingagjöf vegna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proofErr w:type="spellStart"/>
                <w:r w:rsidR="00576F6A">
                  <w:rPr>
                    <w:rFonts w:ascii="Times New Roman" w:hAnsi="Times New Roman" w:cs="Times New Roman"/>
                    <w:lang w:val="is-IS"/>
                  </w:rPr>
                  <w:t>vátryggingar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rsamninga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verði í lögum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A437E4" w:rsidRPr="00E34B42" w14:paraId="3104147A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491B226A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Markmið </w:t>
            </w:r>
          </w:p>
        </w:tc>
      </w:tr>
      <w:tr w:rsidR="00A437E4" w:rsidRPr="002A54E0" w14:paraId="7612589B" w14:textId="77777777" w:rsidTr="00A83500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492493E" w14:textId="77777777" w:rsidR="00A437E4" w:rsidRDefault="00A437E4" w:rsidP="00A83500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3552EC88" w14:textId="32882C27" w:rsidR="00D40CFF" w:rsidRPr="00D40CFF" w:rsidRDefault="00D40CFF" w:rsidP="00D40CFF">
                <w:pPr>
                  <w:pStyle w:val="ListParagraph"/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D40CFF">
                  <w:rPr>
                    <w:rFonts w:ascii="Times New Roman" w:hAnsi="Times New Roman" w:cs="Times New Roman"/>
                    <w:lang w:val="is-IS"/>
                  </w:rPr>
                  <w:t>Í sáttmála Framsóknarflokks, Sjálfstæðisflokks og Vinstri</w:t>
                </w:r>
                <w:r w:rsidR="001842E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D40CFF">
                  <w:rPr>
                    <w:rFonts w:ascii="Times New Roman" w:hAnsi="Times New Roman" w:cs="Times New Roman"/>
                    <w:lang w:val="is-IS"/>
                  </w:rPr>
                  <w:t>hreyfingarinnar – græns framboðs um ríkisstjórnarsamstarf og eflingu Alþingis segir að fjármálakerfið eigi að vera traust og þjóna samfélaginu á hagkvæman og sanngjarnan hátt. Stefnt sé að auknu trausti á íslenskum fjármálamarkaði, auknu gagnsæi og fjármálastöðugleika. Unnið verði að frekari skilvirkni í fjármálakerfinu með það að leiðarljósi að lækka kostnað neytenda. Þá tel</w:t>
                </w:r>
                <w:r w:rsidR="00626AB0">
                  <w:rPr>
                    <w:rFonts w:ascii="Times New Roman" w:hAnsi="Times New Roman" w:cs="Times New Roman"/>
                    <w:lang w:val="is-IS"/>
                  </w:rPr>
                  <w:t>ur</w:t>
                </w:r>
                <w:r w:rsidRPr="00D40CFF">
                  <w:rPr>
                    <w:rFonts w:ascii="Times New Roman" w:hAnsi="Times New Roman" w:cs="Times New Roman"/>
                    <w:lang w:val="is-IS"/>
                  </w:rPr>
                  <w:t xml:space="preserve"> ríkisstjórnin það eitt mikilvægasta hagsmunamál Íslands að sinna framkvæmd EES-samningsins vel.</w:t>
                </w:r>
              </w:p>
              <w:p w14:paraId="02AB2598" w14:textId="4948F526" w:rsidR="00D40CFF" w:rsidRDefault="00D40CFF" w:rsidP="00D40CFF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D40CFF">
                  <w:rPr>
                    <w:rFonts w:ascii="Times New Roman" w:hAnsi="Times New Roman" w:cs="Times New Roman"/>
                    <w:lang w:val="is-IS"/>
                  </w:rPr>
                  <w:t>Í umfjöllun um stefnumótun á sviði markaðseftirlits, neytendamála og stjórnsýslu atvinnumála og nýsköpunar í greinargerð með tillögu til gildandi þingsályktunar um fjármálaáætlun fyrir árin 2019–2023 segir að mikilvægt sé að á Íslandi gildi sömu reglur og annars staðar á Evrópska efnahagssvæðinu. Samræmdar reglur leiði til aukins trúverðugleika, skapi viðskiptatækifæri fyrir innlend fyrirtæki erlendis og auðveldi þátttöku erlendra fyrirtækja á innlendum markaði. Því verði til að mynda lögð áhersla á að fækka óinnleiddum Evrópugerðum á fjármálamarkaði.</w:t>
                </w:r>
              </w:p>
              <w:p w14:paraId="419E5E45" w14:textId="77777777" w:rsidR="00A437E4" w:rsidRDefault="00A437E4" w:rsidP="00A83500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73935435" w14:textId="7DD8F1F4" w:rsidR="00A437E4" w:rsidRPr="00D40CFF" w:rsidRDefault="00A437E4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Markmið fyrirhugaðs frumvarps er </w:t>
                </w:r>
                <w:r w:rsidR="00063101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D40CFF">
                  <w:rPr>
                    <w:rFonts w:ascii="Times New Roman" w:hAnsi="Times New Roman" w:cs="Times New Roman"/>
                    <w:lang w:val="is-IS"/>
                  </w:rPr>
                  <w:t xml:space="preserve">innleiða ákvæði tilskipunar 2016/97/ESB í samræmi við markmið ríkisins um góða framkvæmd EES-samningsins og að tryggja neytendavernd á fjármálamarkaði. </w:t>
                </w:r>
              </w:p>
            </w:sdtContent>
          </w:sdt>
        </w:tc>
      </w:tr>
      <w:tr w:rsidR="00A437E4" w:rsidRPr="00E34B42" w14:paraId="3E75A6A6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38DE2D1E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A437E4" w:rsidRPr="00E34B42" w14:paraId="63D8473F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2870479" w14:textId="356EC7C8" w:rsidR="00A437E4" w:rsidRDefault="00A437E4" w:rsidP="00A83500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Ekkert aðhafst hvaða afleiðingar hefði það? </w:t>
                </w:r>
              </w:p>
              <w:p w14:paraId="6D4B64AD" w14:textId="1DF6DAB3" w:rsidR="00560C8A" w:rsidRDefault="00EF59B1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EF59B1">
                  <w:rPr>
                    <w:rFonts w:ascii="Times New Roman" w:hAnsi="Times New Roman" w:cs="Times New Roman"/>
                    <w:lang w:val="is-IS"/>
                  </w:rPr>
                  <w:t xml:space="preserve">Mikilvægt er að lagaumgjörð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</w:t>
                </w:r>
                <w:r w:rsidRPr="00EF59B1">
                  <w:rPr>
                    <w:rFonts w:ascii="Times New Roman" w:hAnsi="Times New Roman" w:cs="Times New Roman"/>
                    <w:lang w:val="is-IS"/>
                  </w:rPr>
                  <w:t>arkað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</w:t>
                </w:r>
                <w:proofErr w:type="spellEnd"/>
                <w:r w:rsidRPr="00EF59B1">
                  <w:rPr>
                    <w:rFonts w:ascii="Times New Roman" w:hAnsi="Times New Roman" w:cs="Times New Roman"/>
                    <w:lang w:val="is-IS"/>
                  </w:rPr>
                  <w:t xml:space="preserve"> á Íslandi sé vönduð og í samræmi við löggjöf annars staðar innan Evrópska efnahagssvæðisins. </w:t>
                </w:r>
                <w:r w:rsidR="00605975">
                  <w:rPr>
                    <w:rFonts w:ascii="Times New Roman" w:hAnsi="Times New Roman" w:cs="Times New Roman"/>
                    <w:lang w:val="is-IS"/>
                  </w:rPr>
                  <w:t>Ef ekkert y</w:t>
                </w:r>
                <w:r w:rsidRPr="00EF59B1">
                  <w:rPr>
                    <w:rFonts w:ascii="Times New Roman" w:hAnsi="Times New Roman" w:cs="Times New Roman"/>
                    <w:lang w:val="is-IS"/>
                  </w:rPr>
                  <w:t xml:space="preserve">rði aðhafst yrðu reglur um </w:t>
                </w:r>
                <w:r w:rsidR="008F61FF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8F61FF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Pr="00EF59B1">
                  <w:rPr>
                    <w:rFonts w:ascii="Times New Roman" w:hAnsi="Times New Roman" w:cs="Times New Roman"/>
                    <w:lang w:val="is-IS"/>
                  </w:rPr>
                  <w:t xml:space="preserve"> ekki í samræmi við reglur innan Evrópska efnahagssvæðisins, sem kynni að hafa áhrif á stöðu íslenskra fyrirtækja og hagsmuni íslenskra neytenda.</w:t>
                </w:r>
                <w:r w:rsidR="008F61FF">
                  <w:rPr>
                    <w:rFonts w:ascii="Times New Roman" w:hAnsi="Times New Roman" w:cs="Times New Roman"/>
                    <w:lang w:val="is-IS"/>
                  </w:rPr>
                  <w:t xml:space="preserve"> Auk þess yrði Ísland brotlegt við </w:t>
                </w:r>
                <w:r w:rsidR="00482CA0">
                  <w:rPr>
                    <w:rFonts w:ascii="Times New Roman" w:hAnsi="Times New Roman" w:cs="Times New Roman"/>
                    <w:lang w:val="is-IS"/>
                  </w:rPr>
                  <w:t xml:space="preserve">skuldbindingar sínar samkvæmt </w:t>
                </w:r>
                <w:r w:rsidR="008F61FF">
                  <w:rPr>
                    <w:rFonts w:ascii="Times New Roman" w:hAnsi="Times New Roman" w:cs="Times New Roman"/>
                    <w:lang w:val="is-IS"/>
                  </w:rPr>
                  <w:t>EES-samning</w:t>
                </w:r>
                <w:r w:rsidR="00482CA0">
                  <w:rPr>
                    <w:rFonts w:ascii="Times New Roman" w:hAnsi="Times New Roman" w:cs="Times New Roman"/>
                    <w:lang w:val="is-IS"/>
                  </w:rPr>
                  <w:t>num</w:t>
                </w:r>
                <w:r w:rsidR="008F61F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0F2F9EE7" w14:textId="77777777" w:rsidR="00A437E4" w:rsidRDefault="00A437E4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30EFBCCA" w14:textId="0EDC72F2" w:rsidR="00A437E4" w:rsidRPr="00076DA6" w:rsidRDefault="00A32CBC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Fyrirhuguð löggjöf felur í sér inngrip í starfsemi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vátryggingamiðlara</w:t>
                </w:r>
                <w:proofErr w:type="spellEnd"/>
                <w:r w:rsidR="00076DA6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="00076DA6">
                  <w:rPr>
                    <w:rFonts w:ascii="Times New Roman" w:hAnsi="Times New Roman" w:cs="Times New Roman"/>
                    <w:lang w:val="is-IS"/>
                  </w:rPr>
                  <w:t xml:space="preserve"> auk þess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sem hún mun hafa </w:t>
                </w:r>
                <w:r w:rsidR="00076DA6">
                  <w:rPr>
                    <w:rFonts w:ascii="Times New Roman" w:hAnsi="Times New Roman" w:cs="Times New Roman"/>
                    <w:lang w:val="is-IS"/>
                  </w:rPr>
                  <w:t xml:space="preserve">reglur um aðila </w:t>
                </w:r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sem </w:t>
                </w:r>
                <w:r w:rsidR="00076DA6">
                  <w:rPr>
                    <w:rFonts w:ascii="Times New Roman" w:hAnsi="Times New Roman" w:cs="Times New Roman"/>
                    <w:lang w:val="is-IS"/>
                  </w:rPr>
                  <w:t xml:space="preserve">dreifa </w:t>
                </w:r>
                <w:proofErr w:type="spellStart"/>
                <w:r w:rsidR="00076DA6"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r w:rsidR="009E4584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proofErr w:type="spellEnd"/>
                <w:r w:rsidR="00076DA6">
                  <w:rPr>
                    <w:rFonts w:ascii="Times New Roman" w:hAnsi="Times New Roman" w:cs="Times New Roman"/>
                    <w:lang w:val="is-IS"/>
                  </w:rPr>
                  <w:t xml:space="preserve"> sem aukaafurð. Slík inngrip verða að íslenskri stjórnskipan að hafa stoð í lögum. Önnur úrræði en lagasetning dugar því ekki til. </w:t>
                </w:r>
                <w:r w:rsidR="00A437E4" w:rsidRPr="00076DA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82A660C" w14:textId="77777777" w:rsidR="00A437E4" w:rsidRDefault="00A437E4" w:rsidP="00A83500">
                <w:pPr>
                  <w:pStyle w:val="ListParagraph"/>
                  <w:numPr>
                    <w:ilvl w:val="0"/>
                    <w:numId w:val="3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0D99E44E" w14:textId="39D1BE94" w:rsidR="00A437E4" w:rsidRPr="00CF5C52" w:rsidRDefault="00CF5C52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Reglur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proofErr w:type="spellStart"/>
                <w:r w:rsidR="007C3FEE">
                  <w:rPr>
                    <w:rFonts w:ascii="Times New Roman" w:hAnsi="Times New Roman" w:cs="Times New Roman"/>
                    <w:lang w:val="is-IS"/>
                  </w:rPr>
                  <w:t>vátryggingaumboðsmenn</w:t>
                </w:r>
                <w:proofErr w:type="spellEnd"/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eru </w:t>
                </w:r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nú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í lögum um miðlun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Það liggur beinast við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reglur sem varða þá</w:t>
                </w:r>
                <w:r w:rsidR="003C0E65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aðila sem </w:t>
                </w:r>
                <w:r w:rsidR="007C3FEE">
                  <w:rPr>
                    <w:rFonts w:ascii="Times New Roman" w:hAnsi="Times New Roman" w:cs="Times New Roman"/>
                    <w:lang w:val="is-IS"/>
                  </w:rPr>
                  <w:t>dreifa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r w:rsidR="00F63F8C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sem aukaafurð </w:t>
                </w:r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verði </w:t>
                </w:r>
                <w:r w:rsidR="003C0E65">
                  <w:rPr>
                    <w:rFonts w:ascii="Times New Roman" w:hAnsi="Times New Roman" w:cs="Times New Roman"/>
                    <w:lang w:val="is-IS"/>
                  </w:rPr>
                  <w:t xml:space="preserve">áfram </w:t>
                </w:r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sérlögum. </w:t>
                </w:r>
                <w:r w:rsidR="000763B2">
                  <w:rPr>
                    <w:rFonts w:ascii="Times New Roman" w:hAnsi="Times New Roman" w:cs="Times New Roman"/>
                    <w:lang w:val="is-IS"/>
                  </w:rPr>
                  <w:t xml:space="preserve">Í stað þess að halda eldri lögum um miðlun </w:t>
                </w:r>
                <w:proofErr w:type="spellStart"/>
                <w:r w:rsidR="000763B2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0763B2">
                  <w:rPr>
                    <w:rFonts w:ascii="Times New Roman" w:hAnsi="Times New Roman" w:cs="Times New Roman"/>
                    <w:lang w:val="is-IS"/>
                  </w:rPr>
                  <w:t xml:space="preserve"> þykir h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eppilegra að setja ný lög um 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203C1E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7C3FE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þar sem breytingar verða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meðal annars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 starfsskilyrðum og h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æfniskröfum frá gildandi lögum auk þess sem 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nokkur 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ákvæði varða 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193C47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 hjá </w:t>
                </w:r>
                <w:proofErr w:type="spellStart"/>
                <w:r w:rsidR="00203C1E">
                  <w:rPr>
                    <w:rFonts w:ascii="Times New Roman" w:hAnsi="Times New Roman" w:cs="Times New Roman"/>
                    <w:lang w:val="is-IS"/>
                  </w:rPr>
                  <w:t>vátryggingafélög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proofErr w:type="spellEnd"/>
                <w:r w:rsidR="00193C47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203C1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Breytt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reglu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upplýsingaskyldu</w:t>
                </w:r>
                <w:r w:rsidR="00F6327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best komið fyrir í lögum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 w:rsidR="00F6327C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Reglur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vátryggingatengd</w:t>
                </w:r>
                <w:r w:rsidR="00F6327C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fjárfestingaafurð</w:t>
                </w:r>
                <w:r w:rsidR="00F6327C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eru nýmæli </w:t>
                </w:r>
                <w:r w:rsidR="003A2F99">
                  <w:rPr>
                    <w:rFonts w:ascii="Times New Roman" w:hAnsi="Times New Roman" w:cs="Times New Roman"/>
                    <w:lang w:val="is-IS"/>
                  </w:rPr>
                  <w:t xml:space="preserve">í tilskipuninni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1257FA">
                  <w:rPr>
                    <w:rFonts w:ascii="Times New Roman" w:hAnsi="Times New Roman" w:cs="Times New Roman"/>
                    <w:lang w:val="is-IS"/>
                  </w:rPr>
                  <w:t xml:space="preserve">liggur beinast við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 hafa þau ákvæði í sér kafla í lögum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vátryggingasamninga</w:t>
                </w:r>
                <w:proofErr w:type="spellEnd"/>
                <w:r w:rsidR="000F78CB">
                  <w:rPr>
                    <w:rFonts w:ascii="Times New Roman" w:hAnsi="Times New Roman" w:cs="Times New Roman"/>
                    <w:lang w:val="is-IS"/>
                  </w:rPr>
                  <w:t xml:space="preserve"> eins og aðra flokka </w:t>
                </w:r>
                <w:proofErr w:type="spellStart"/>
                <w:r w:rsidR="000F78CB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0F78C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</w:sdtContent>
          </w:sdt>
        </w:tc>
      </w:tr>
      <w:tr w:rsidR="00A437E4" w:rsidRPr="00E34B42" w14:paraId="4CA624AA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7B321D97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A437E4" w:rsidRPr="002A54E0" w14:paraId="474D8ED5" w14:textId="77777777" w:rsidTr="00A83500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 w14:paraId="1CD95C83" w14:textId="115C3DDA" w:rsidR="00A437E4" w:rsidRDefault="00A437E4" w:rsidP="00A83500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52085299" w14:textId="18405D89" w:rsidR="00191ACD" w:rsidRDefault="00F83221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Lag</w:t>
                </w:r>
                <w:r w:rsidR="004E4228">
                  <w:rPr>
                    <w:rFonts w:ascii="Times New Roman" w:hAnsi="Times New Roman" w:cs="Times New Roman"/>
                    <w:lang w:val="is-IS"/>
                  </w:rPr>
                  <w:t xml:space="preserve">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til að sett verði sérstök lög um 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dreifingu </w:t>
                </w:r>
                <w:proofErr w:type="spellStart"/>
                <w:r w:rsidR="00193C47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. Helstu breytingar frá lögum um miðlun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verða eftirfarandi: </w:t>
                </w:r>
              </w:p>
              <w:p w14:paraId="16F8E7E8" w14:textId="2DD92E24" w:rsidR="00F83221" w:rsidRDefault="00F83221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Lögin munu auk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vátryggingaumboðsmanna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gilda um </w:t>
                </w:r>
                <w:proofErr w:type="spellStart"/>
                <w:r w:rsidR="00193C47">
                  <w:rPr>
                    <w:rFonts w:ascii="Times New Roman" w:hAnsi="Times New Roman" w:cs="Times New Roman"/>
                    <w:lang w:val="is-IS"/>
                  </w:rPr>
                  <w:t>vátryggingafé</w:t>
                </w:r>
                <w:r w:rsidR="00585CE8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>ög</w:t>
                </w:r>
                <w:proofErr w:type="spellEnd"/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aðila sem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>dreifa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r w:rsidR="003C42E6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sem aukaafurð. Aðili sem 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>dreifir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sem aukaafurð er einstaklingur eða lögaðili sem hvorki er fjármálafyrirtæki né fjárfestingarfyrirtæki og starfsemin er í meginatriðum önnur en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vátryggingamiðlun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>, dreifingin viðbót við sölu á vöru eða þjónust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ekki líf- eða ábyrgðartrygging nema hún sé hluti af vörun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>ni eða þjónustunni sem er seld.</w:t>
                </w:r>
              </w:p>
              <w:p w14:paraId="089D5E64" w14:textId="28EE3865" w:rsidR="00FA40D4" w:rsidRDefault="00576F6A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Auknar k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röfur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verða gerðar </w:t>
                </w:r>
                <w:r w:rsidR="00FA40D4">
                  <w:rPr>
                    <w:rFonts w:ascii="Times New Roman" w:hAnsi="Times New Roman" w:cs="Times New Roman"/>
                    <w:lang w:val="is-IS"/>
                  </w:rPr>
                  <w:t xml:space="preserve">til að fá starfsleyfi sem </w:t>
                </w:r>
                <w:proofErr w:type="spellStart"/>
                <w:r w:rsidR="00FA40D4">
                  <w:rPr>
                    <w:rFonts w:ascii="Times New Roman" w:hAnsi="Times New Roman" w:cs="Times New Roman"/>
                    <w:lang w:val="is-IS"/>
                  </w:rPr>
                  <w:t>vátryggingamiðlari</w:t>
                </w:r>
                <w:proofErr w:type="spellEnd"/>
                <w:r w:rsidR="00FA40D4">
                  <w:rPr>
                    <w:rFonts w:ascii="Times New Roman" w:hAnsi="Times New Roman" w:cs="Times New Roman"/>
                    <w:lang w:val="is-IS"/>
                  </w:rPr>
                  <w:t xml:space="preserve">. Það mega t.d. ekki vera náin tengsl við </w:t>
                </w:r>
                <w:r w:rsidR="004071D5">
                  <w:rPr>
                    <w:rFonts w:ascii="Times New Roman" w:hAnsi="Times New Roman" w:cs="Times New Roman"/>
                    <w:lang w:val="is-IS"/>
                  </w:rPr>
                  <w:t>aðra starfsemi eða einstaklinga sem geta hindrað eftirlit Fjármálaeftirlitsins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 xml:space="preserve"> og g</w:t>
                </w:r>
                <w:r w:rsidR="004071D5">
                  <w:rPr>
                    <w:rFonts w:ascii="Times New Roman" w:hAnsi="Times New Roman" w:cs="Times New Roman"/>
                    <w:lang w:val="is-IS"/>
                  </w:rPr>
                  <w:t xml:space="preserve">efa þarf upplýsingar um hluthafa sem eiga meira en 10% hlut í starfsemi </w:t>
                </w:r>
                <w:proofErr w:type="spellStart"/>
                <w:r w:rsidR="004071D5">
                  <w:rPr>
                    <w:rFonts w:ascii="Times New Roman" w:hAnsi="Times New Roman" w:cs="Times New Roman"/>
                    <w:lang w:val="is-IS"/>
                  </w:rPr>
                  <w:t>vátryggingamiðlun</w:t>
                </w:r>
                <w:r w:rsidR="000F78CB">
                  <w:rPr>
                    <w:rFonts w:ascii="Times New Roman" w:hAnsi="Times New Roman" w:cs="Times New Roman"/>
                    <w:lang w:val="is-IS"/>
                  </w:rPr>
                  <w:t>arinnar</w:t>
                </w:r>
                <w:proofErr w:type="spellEnd"/>
                <w:r w:rsidR="004071D5">
                  <w:rPr>
                    <w:rFonts w:ascii="Times New Roman" w:hAnsi="Times New Roman" w:cs="Times New Roman"/>
                    <w:lang w:val="is-IS"/>
                  </w:rPr>
                  <w:t>. Þá eru settar viðmiðunarfjárhæði</w:t>
                </w:r>
                <w:r w:rsidR="000F78CB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4071D5">
                  <w:rPr>
                    <w:rFonts w:ascii="Times New Roman" w:hAnsi="Times New Roman" w:cs="Times New Roman"/>
                    <w:lang w:val="is-IS"/>
                  </w:rPr>
                  <w:t xml:space="preserve"> vegna starfsábyrgðartryggingar. </w:t>
                </w:r>
              </w:p>
              <w:p w14:paraId="223824AA" w14:textId="23F67E28" w:rsidR="004071D5" w:rsidRDefault="00AA3BF3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Það 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 xml:space="preserve">mun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>urfa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s</w:t>
                </w:r>
                <w:r w:rsidR="004071D5">
                  <w:rPr>
                    <w:rFonts w:ascii="Times New Roman" w:hAnsi="Times New Roman" w:cs="Times New Roman"/>
                    <w:lang w:val="is-IS"/>
                  </w:rPr>
                  <w:t xml:space="preserve">krá meiri upplýsingar </w:t>
                </w:r>
                <w:r w:rsidR="000F78CB">
                  <w:rPr>
                    <w:rFonts w:ascii="Times New Roman" w:hAnsi="Times New Roman" w:cs="Times New Roman"/>
                    <w:lang w:val="is-IS"/>
                  </w:rPr>
                  <w:t xml:space="preserve">hjá FME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upplýsingarnar verða að vera </w:t>
                </w:r>
                <w:r w:rsidR="000F78CB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4071D5">
                  <w:rPr>
                    <w:rFonts w:ascii="Times New Roman" w:hAnsi="Times New Roman" w:cs="Times New Roman"/>
                    <w:lang w:val="is-IS"/>
                  </w:rPr>
                  <w:t>vera aðgengilega</w:t>
                </w:r>
                <w:r w:rsidR="000F78CB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4071D5">
                  <w:rPr>
                    <w:rFonts w:ascii="Times New Roman" w:hAnsi="Times New Roman" w:cs="Times New Roman"/>
                    <w:lang w:val="is-IS"/>
                  </w:rPr>
                  <w:t xml:space="preserve"> á heimasíðu FME. </w:t>
                </w:r>
              </w:p>
              <w:p w14:paraId="4CE10924" w14:textId="2F8B979F" w:rsidR="00F1564C" w:rsidRDefault="00F1564C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Vátryggingamiðlari</w:t>
                </w:r>
                <w:proofErr w:type="spellEnd"/>
                <w:r w:rsidR="000F78CB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stjórnarmaður og framkvæmdastjóri lögaðila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verða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hafa gott orðspor. </w:t>
                </w:r>
              </w:p>
              <w:p w14:paraId="32EA7FE4" w14:textId="7FCBD4EB" w:rsidR="00F1564C" w:rsidRDefault="00AA3BF3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Það verða s</w:t>
                </w:r>
                <w:r w:rsidR="00F1564C">
                  <w:rPr>
                    <w:rFonts w:ascii="Times New Roman" w:hAnsi="Times New Roman" w:cs="Times New Roman"/>
                    <w:lang w:val="is-IS"/>
                  </w:rPr>
                  <w:t xml:space="preserve">ett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</w:t>
                </w:r>
                <w:r w:rsidR="00F1564C">
                  <w:rPr>
                    <w:rFonts w:ascii="Times New Roman" w:hAnsi="Times New Roman" w:cs="Times New Roman"/>
                    <w:lang w:val="is-IS"/>
                  </w:rPr>
                  <w:t xml:space="preserve">æfis- og hæfnisskilyrði fyrir starfsmenn </w:t>
                </w:r>
                <w:proofErr w:type="spellStart"/>
                <w:r w:rsidR="00193C47">
                  <w:rPr>
                    <w:rFonts w:ascii="Times New Roman" w:hAnsi="Times New Roman" w:cs="Times New Roman"/>
                    <w:lang w:val="is-IS"/>
                  </w:rPr>
                  <w:t>vátryggingamiðlara</w:t>
                </w:r>
                <w:proofErr w:type="spellEnd"/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1564C">
                  <w:rPr>
                    <w:rFonts w:ascii="Times New Roman" w:hAnsi="Times New Roman" w:cs="Times New Roman"/>
                    <w:lang w:val="is-IS"/>
                  </w:rPr>
                  <w:t xml:space="preserve">sem dreifa </w:t>
                </w:r>
                <w:proofErr w:type="spellStart"/>
                <w:r w:rsidR="00F1564C"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 w:rsidR="00F1564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326F9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F1564C">
                  <w:rPr>
                    <w:rFonts w:ascii="Times New Roman" w:hAnsi="Times New Roman" w:cs="Times New Roman"/>
                    <w:lang w:val="is-IS"/>
                  </w:rPr>
                  <w:t xml:space="preserve">aðila sem dreifa </w:t>
                </w:r>
                <w:proofErr w:type="spellStart"/>
                <w:r w:rsidR="00F1564C"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r w:rsidR="003C42E6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proofErr w:type="spellEnd"/>
                <w:r w:rsidR="00F1564C">
                  <w:rPr>
                    <w:rFonts w:ascii="Times New Roman" w:hAnsi="Times New Roman" w:cs="Times New Roman"/>
                    <w:lang w:val="is-IS"/>
                  </w:rPr>
                  <w:t xml:space="preserve"> sem aukaafurð.  </w:t>
                </w:r>
              </w:p>
              <w:p w14:paraId="4CE53ECF" w14:textId="7F261DBD" w:rsidR="00193C47" w:rsidRPr="00193C47" w:rsidRDefault="00193C47" w:rsidP="00193C47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Times New Roman" w:hAnsi="Times New Roman" w:cs="Times New Roman"/>
                    <w:lang w:val="is-IS"/>
                  </w:rPr>
                </w:pPr>
                <w:r w:rsidRPr="00193C47">
                  <w:rPr>
                    <w:rFonts w:ascii="Times New Roman" w:hAnsi="Times New Roman" w:cs="Times New Roman"/>
                    <w:lang w:val="is-IS"/>
                  </w:rPr>
                  <w:t xml:space="preserve">Meiri kröfur verðar 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 xml:space="preserve">gerðar til </w:t>
                </w:r>
                <w:r w:rsidRPr="00193C47">
                  <w:rPr>
                    <w:rFonts w:ascii="Times New Roman" w:hAnsi="Times New Roman" w:cs="Times New Roman"/>
                    <w:lang w:val="is-IS"/>
                  </w:rPr>
                  <w:t>starfsfólk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Pr="00193C4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Pr="00193C47"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Pr="00193C47">
                  <w:rPr>
                    <w:rFonts w:ascii="Times New Roman" w:hAnsi="Times New Roman" w:cs="Times New Roman"/>
                    <w:lang w:val="is-IS"/>
                  </w:rPr>
                  <w:t xml:space="preserve"> sem dreifir </w:t>
                </w:r>
                <w:proofErr w:type="spellStart"/>
                <w:r w:rsidRPr="00193C47"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 w:rsidRPr="00193C47">
                  <w:rPr>
                    <w:rFonts w:ascii="Times New Roman" w:hAnsi="Times New Roman" w:cs="Times New Roman"/>
                    <w:lang w:val="is-IS"/>
                  </w:rPr>
                  <w:t>, m.a. sérstök hæfisskilyrð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576F6A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193C4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88744B6" w14:textId="187A111B" w:rsidR="00F1564C" w:rsidRDefault="00F1564C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Vátryggingamiðlarar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starfsmenn </w:t>
                </w:r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þeirra og starfsfólk </w:t>
                </w:r>
                <w:proofErr w:type="spellStart"/>
                <w:r w:rsidR="00193C47"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="00193C4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sem dreifa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verða að endurmennta sig árlega. </w:t>
                </w:r>
              </w:p>
              <w:p w14:paraId="648193C2" w14:textId="61D16DBE" w:rsidR="004E4228" w:rsidRDefault="00EA1CE1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aðili sem dreifir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sem aukaafurð </w:t>
                </w:r>
                <w:r w:rsidR="00C326F9">
                  <w:rPr>
                    <w:rFonts w:ascii="Times New Roman" w:hAnsi="Times New Roman" w:cs="Times New Roman"/>
                    <w:lang w:val="is-IS"/>
                  </w:rPr>
                  <w:t>sk</w:t>
                </w:r>
                <w:r w:rsidR="00AA3BF3">
                  <w:rPr>
                    <w:rFonts w:ascii="Times New Roman" w:hAnsi="Times New Roman" w:cs="Times New Roman"/>
                    <w:lang w:val="is-IS"/>
                  </w:rPr>
                  <w:t>ulu</w:t>
                </w:r>
                <w:r w:rsidR="00C326F9">
                  <w:rPr>
                    <w:rFonts w:ascii="Times New Roman" w:hAnsi="Times New Roman" w:cs="Times New Roman"/>
                    <w:lang w:val="is-IS"/>
                  </w:rPr>
                  <w:t xml:space="preserve"> tryggja að endurgjald fyrir dreifingu </w:t>
                </w:r>
                <w:proofErr w:type="spellStart"/>
                <w:r w:rsidR="00C326F9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C326F9">
                  <w:rPr>
                    <w:rFonts w:ascii="Times New Roman" w:hAnsi="Times New Roman" w:cs="Times New Roman"/>
                    <w:lang w:val="is-IS"/>
                  </w:rPr>
                  <w:t xml:space="preserve"> brjóti ekki í bága við þá skyldu að hafa hagsmuni neytenda að leiðarljósi. Endurgjald má ekki vera þess eðlis að það hvetji til þess að mælt sé með tiltekinni </w:t>
                </w:r>
                <w:proofErr w:type="spellStart"/>
                <w:r w:rsidR="00C326F9"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proofErr w:type="spellEnd"/>
                <w:r w:rsidR="00C326F9">
                  <w:rPr>
                    <w:rFonts w:ascii="Times New Roman" w:hAnsi="Times New Roman" w:cs="Times New Roman"/>
                    <w:lang w:val="is-IS"/>
                  </w:rPr>
                  <w:t xml:space="preserve"> umfram aðra sem hentar þörfum </w:t>
                </w:r>
                <w:r w:rsidR="00F96947">
                  <w:rPr>
                    <w:rFonts w:ascii="Times New Roman" w:hAnsi="Times New Roman" w:cs="Times New Roman"/>
                    <w:lang w:val="is-IS"/>
                  </w:rPr>
                  <w:t xml:space="preserve">viðskiptavinar betur. </w:t>
                </w:r>
              </w:p>
              <w:p w14:paraId="3A6A698B" w14:textId="4EE15BDB" w:rsidR="000307D5" w:rsidRDefault="000307D5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Ágreiningsmálum um réttindi og skyldu</w:t>
                </w:r>
                <w:r w:rsidR="002740F9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6E64A0">
                  <w:rPr>
                    <w:rFonts w:ascii="Times New Roman" w:hAnsi="Times New Roman" w:cs="Times New Roman"/>
                    <w:lang w:val="is-IS"/>
                  </w:rPr>
                  <w:t>vátryggingartaka</w:t>
                </w:r>
                <w:proofErr w:type="spellEnd"/>
                <w:r w:rsidR="006E64A0">
                  <w:rPr>
                    <w:rFonts w:ascii="Times New Roman" w:hAnsi="Times New Roman" w:cs="Times New Roman"/>
                    <w:lang w:val="is-IS"/>
                  </w:rPr>
                  <w:t xml:space="preserve"> og dre</w:t>
                </w:r>
                <w:r w:rsidR="00862CDE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6E64A0">
                  <w:rPr>
                    <w:rFonts w:ascii="Times New Roman" w:hAnsi="Times New Roman" w:cs="Times New Roman"/>
                    <w:lang w:val="is-IS"/>
                  </w:rPr>
                  <w:t>fingar</w:t>
                </w:r>
                <w:r w:rsidR="004E6B71">
                  <w:rPr>
                    <w:rFonts w:ascii="Times New Roman" w:hAnsi="Times New Roman" w:cs="Times New Roman"/>
                    <w:lang w:val="is-IS"/>
                  </w:rPr>
                  <w:t xml:space="preserve">aðila </w:t>
                </w:r>
                <w:proofErr w:type="spellStart"/>
                <w:r w:rsidR="004E6B71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4E6B7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má vísa til kærunefndar.</w:t>
                </w:r>
              </w:p>
              <w:p w14:paraId="709B2C37" w14:textId="6700903A" w:rsidR="000307D5" w:rsidRDefault="00AA3BF3" w:rsidP="00F6327C">
                <w:pPr>
                  <w:pStyle w:val="ListParagraph"/>
                  <w:numPr>
                    <w:ilvl w:val="1"/>
                    <w:numId w:val="1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Það verða í</w:t>
                </w:r>
                <w:r w:rsidR="000307D5">
                  <w:rPr>
                    <w:rFonts w:ascii="Times New Roman" w:hAnsi="Times New Roman" w:cs="Times New Roman"/>
                    <w:lang w:val="is-IS"/>
                  </w:rPr>
                  <w:t>tarlegri ákvæði um þjónustu án starfstöðvar og stofnun útibús í öðru aðildarríki</w:t>
                </w:r>
                <w:r w:rsidR="004E4228">
                  <w:rPr>
                    <w:rFonts w:ascii="Times New Roman" w:hAnsi="Times New Roman" w:cs="Times New Roman"/>
                    <w:lang w:val="is-IS"/>
                  </w:rPr>
                  <w:t xml:space="preserve"> og eftirlit FME vegna þess.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Einnig verða r</w:t>
                </w:r>
                <w:r w:rsidR="00AF3C5C">
                  <w:rPr>
                    <w:rFonts w:ascii="Times New Roman" w:hAnsi="Times New Roman" w:cs="Times New Roman"/>
                    <w:lang w:val="is-IS"/>
                  </w:rPr>
                  <w:t xml:space="preserve">ýmri heimildir fyrir FME til að hafa eftirlit með </w:t>
                </w:r>
                <w:r w:rsidR="00A21ACA">
                  <w:rPr>
                    <w:rFonts w:ascii="Times New Roman" w:hAnsi="Times New Roman" w:cs="Times New Roman"/>
                    <w:lang w:val="is-IS"/>
                  </w:rPr>
                  <w:t>útibú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="00A21ACA">
                  <w:rPr>
                    <w:rFonts w:ascii="Times New Roman" w:hAnsi="Times New Roman" w:cs="Times New Roman"/>
                    <w:lang w:val="is-IS"/>
                  </w:rPr>
                  <w:t xml:space="preserve">m erlendra félaga og þjónustu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þeirra </w:t>
                </w:r>
                <w:r w:rsidR="00A21ACA">
                  <w:rPr>
                    <w:rFonts w:ascii="Times New Roman" w:hAnsi="Times New Roman" w:cs="Times New Roman"/>
                    <w:lang w:val="is-IS"/>
                  </w:rPr>
                  <w:t>án starfsstö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A21ACA">
                  <w:rPr>
                    <w:rFonts w:ascii="Times New Roman" w:hAnsi="Times New Roman" w:cs="Times New Roman"/>
                    <w:lang w:val="is-IS"/>
                  </w:rPr>
                  <w:t>var hér á landi.</w:t>
                </w:r>
                <w:r w:rsidR="00AF3C5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2B5F2FB" w14:textId="1E43397C" w:rsidR="00EA1CE1" w:rsidRPr="00EA1CE1" w:rsidRDefault="004E4228" w:rsidP="00F6327C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          Helstu breytingar sem verða 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 xml:space="preserve">lagðar til 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lögum </w:t>
                </w:r>
                <w:r w:rsidR="00347FAE">
                  <w:rPr>
                    <w:rFonts w:ascii="Times New Roman" w:hAnsi="Times New Roman" w:cs="Times New Roman"/>
                    <w:lang w:val="is-IS"/>
                  </w:rPr>
                  <w:t xml:space="preserve">nr. 30/2004,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eru eftirfarandi: </w:t>
                </w:r>
              </w:p>
              <w:p w14:paraId="2940FFEF" w14:textId="3C16C7FD" w:rsidR="00EA1CE1" w:rsidRDefault="00EA1CE1" w:rsidP="00F6327C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ind w:left="1734" w:hanging="56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Sér</w:t>
                </w:r>
                <w:r w:rsidR="00404536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takur kafli um upplýsinga</w:t>
                </w:r>
                <w:r w:rsidR="00404536">
                  <w:rPr>
                    <w:rFonts w:ascii="Times New Roman" w:hAnsi="Times New Roman" w:cs="Times New Roman"/>
                    <w:lang w:val="is-IS"/>
                  </w:rPr>
                  <w:t xml:space="preserve">skyldu vegna </w:t>
                </w:r>
                <w:proofErr w:type="spellStart"/>
                <w:r w:rsidR="00404536"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 w:rsidR="0040453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B3C9F07" w14:textId="08BB2147" w:rsidR="002B5251" w:rsidRDefault="006B5E2F" w:rsidP="00F6327C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2443" w:hanging="28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6B5E2F">
                  <w:rPr>
                    <w:rFonts w:ascii="Times New Roman" w:hAnsi="Times New Roman" w:cs="Times New Roman"/>
                    <w:lang w:val="is-IS"/>
                  </w:rPr>
                  <w:t>Mun í</w:t>
                </w:r>
                <w:r w:rsidR="002B5251" w:rsidRPr="006B5E2F">
                  <w:rPr>
                    <w:rFonts w:ascii="Times New Roman" w:hAnsi="Times New Roman" w:cs="Times New Roman"/>
                    <w:lang w:val="is-IS"/>
                  </w:rPr>
                  <w:t>tarlegri upplýsinga</w:t>
                </w:r>
                <w:r w:rsidR="00EA1CE1" w:rsidRPr="006B5E2F">
                  <w:rPr>
                    <w:rFonts w:ascii="Times New Roman" w:hAnsi="Times New Roman" w:cs="Times New Roman"/>
                    <w:lang w:val="is-IS"/>
                  </w:rPr>
                  <w:t>gjöf</w:t>
                </w:r>
                <w:r w:rsidRPr="006B5E2F">
                  <w:rPr>
                    <w:rFonts w:ascii="Times New Roman" w:hAnsi="Times New Roman" w:cs="Times New Roman"/>
                    <w:lang w:val="is-IS"/>
                  </w:rPr>
                  <w:t xml:space="preserve">, t.d. 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 xml:space="preserve">skal </w:t>
                </w:r>
                <w:r w:rsidR="00EA1CE1" w:rsidRPr="006B5E2F">
                  <w:rPr>
                    <w:rFonts w:ascii="Times New Roman" w:hAnsi="Times New Roman" w:cs="Times New Roman"/>
                    <w:lang w:val="is-IS"/>
                  </w:rPr>
                  <w:t xml:space="preserve">upplýsa </w:t>
                </w:r>
                <w:proofErr w:type="spellStart"/>
                <w:r w:rsidR="00EA1CE1" w:rsidRPr="006B5E2F">
                  <w:rPr>
                    <w:rFonts w:ascii="Times New Roman" w:hAnsi="Times New Roman" w:cs="Times New Roman"/>
                    <w:lang w:val="is-IS"/>
                  </w:rPr>
                  <w:t>vátryggingartaka</w:t>
                </w:r>
                <w:proofErr w:type="spellEnd"/>
                <w:r w:rsidR="00EA1CE1" w:rsidRPr="006B5E2F">
                  <w:rPr>
                    <w:rFonts w:ascii="Times New Roman" w:hAnsi="Times New Roman" w:cs="Times New Roman"/>
                    <w:lang w:val="is-IS"/>
                  </w:rPr>
                  <w:t xml:space="preserve"> um hverskonar endurgjald starfsmaður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fær vegna vinnu</w:t>
                </w:r>
                <w:r w:rsidR="00FD4B00">
                  <w:rPr>
                    <w:rFonts w:ascii="Times New Roman" w:hAnsi="Times New Roman" w:cs="Times New Roman"/>
                    <w:lang w:val="is-IS"/>
                  </w:rPr>
                  <w:t xml:space="preserve"> við</w:t>
                </w:r>
                <w:r w:rsidR="00CA7474" w:rsidRPr="006B5E2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="00EA1CE1" w:rsidRPr="006B5E2F">
                  <w:rPr>
                    <w:rFonts w:ascii="Times New Roman" w:hAnsi="Times New Roman" w:cs="Times New Roman"/>
                    <w:lang w:val="is-IS"/>
                  </w:rPr>
                  <w:t>vátryggingarsamning</w:t>
                </w:r>
                <w:proofErr w:type="spellEnd"/>
                <w:r w:rsidR="00EA1CE1" w:rsidRPr="006B5E2F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4EFAF3E8" w14:textId="798CAFF0" w:rsidR="00FD4B00" w:rsidRDefault="00FD4B00" w:rsidP="00F6327C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2443" w:hanging="28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Upplýsa 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 xml:space="preserve">skal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um mögulega hagsmunaárekstra og tryggja gagnsæi.</w:t>
                </w:r>
              </w:p>
              <w:p w14:paraId="02AB4B35" w14:textId="4F3A5142" w:rsidR="00FD4B00" w:rsidRDefault="00FD4B00" w:rsidP="00FD4B00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Gera </w:t>
                </w:r>
                <w:r w:rsidR="003F6A02">
                  <w:rPr>
                    <w:rFonts w:ascii="Times New Roman" w:hAnsi="Times New Roman" w:cs="Times New Roman"/>
                    <w:lang w:val="is-IS"/>
                  </w:rPr>
                  <w:t>skal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þarfagreiningu fyrir </w:t>
                </w:r>
                <w:proofErr w:type="spellStart"/>
                <w:r w:rsidRPr="00FD4B00">
                  <w:rPr>
                    <w:rFonts w:ascii="Times New Roman" w:hAnsi="Times New Roman" w:cs="Times New Roman"/>
                    <w:lang w:val="is-IS"/>
                  </w:rPr>
                  <w:t>vátryggingartaka</w:t>
                </w:r>
                <w:proofErr w:type="spellEnd"/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 áður en </w:t>
                </w:r>
                <w:proofErr w:type="spellStart"/>
                <w:r w:rsidRPr="00FD4B00">
                  <w:rPr>
                    <w:rFonts w:ascii="Times New Roman" w:hAnsi="Times New Roman" w:cs="Times New Roman"/>
                    <w:lang w:val="is-IS"/>
                  </w:rPr>
                  <w:t>vátryggingarsamningur</w:t>
                </w:r>
                <w:proofErr w:type="spellEnd"/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 er gerður.</w:t>
                </w:r>
              </w:p>
              <w:p w14:paraId="7A0AD5FB" w14:textId="7D07B29D" w:rsidR="00FD4B00" w:rsidRDefault="00FD4B00" w:rsidP="00FD4B00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Ítarlegri formkröfur 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Pr="00FD4B00">
                  <w:rPr>
                    <w:rFonts w:ascii="Times New Roman" w:hAnsi="Times New Roman" w:cs="Times New Roman"/>
                    <w:lang w:val="is-IS"/>
                  </w:rPr>
                  <w:t>upplýsingagjöf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E7B4BA3" w14:textId="606B6580" w:rsidR="00FD4B00" w:rsidRPr="00FD4B00" w:rsidRDefault="00FD4B00" w:rsidP="00FD4B00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Meiri u</w:t>
                </w:r>
                <w:r w:rsidRPr="00FD4B00">
                  <w:rPr>
                    <w:rFonts w:ascii="Times New Roman" w:hAnsi="Times New Roman" w:cs="Times New Roman"/>
                    <w:lang w:val="is-IS"/>
                  </w:rPr>
                  <w:t>pplýsinga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gjöf þegar</w:t>
                </w:r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Pr="00FD4B00">
                  <w:rPr>
                    <w:rFonts w:ascii="Times New Roman" w:hAnsi="Times New Roman" w:cs="Times New Roman"/>
                    <w:lang w:val="is-IS"/>
                  </w:rPr>
                  <w:t>vátrygging</w:t>
                </w:r>
                <w:proofErr w:type="spellEnd"/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 er boðin með vöru eða þjónustu sem er hluti af pakka eða í sama samningi. </w:t>
                </w:r>
              </w:p>
              <w:p w14:paraId="47F3B905" w14:textId="5E4C02C0" w:rsidR="00FD4B00" w:rsidRDefault="00FD4B00" w:rsidP="00FD4B00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Kröfur 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 hafa til staðar </w:t>
                </w:r>
                <w:r w:rsidRPr="00FD4B00">
                  <w:rPr>
                    <w:rFonts w:ascii="Times New Roman" w:hAnsi="Times New Roman" w:cs="Times New Roman"/>
                    <w:lang w:val="is-IS"/>
                  </w:rPr>
                  <w:t xml:space="preserve">sérstakt ferli vegna nýrra </w:t>
                </w:r>
                <w:proofErr w:type="spellStart"/>
                <w:r w:rsidRPr="00FD4B00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greina markhóp þeirra. </w:t>
                </w:r>
              </w:p>
              <w:p w14:paraId="33B303B7" w14:textId="32CC8720" w:rsidR="00EA1CE1" w:rsidRPr="00FD4B00" w:rsidRDefault="00FD4B00" w:rsidP="00FD4B00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Times New Roman" w:hAnsi="Times New Roman" w:cs="Times New Roman"/>
                    <w:lang w:val="is-IS"/>
                  </w:rPr>
                </w:pPr>
                <w:r w:rsidRPr="00FD4B00">
                  <w:rPr>
                    <w:rFonts w:ascii="Times New Roman" w:hAnsi="Times New Roman" w:cs="Times New Roman"/>
                    <w:lang w:val="is-IS"/>
                  </w:rPr>
                  <w:t>Sérstök upplýsingaskylda vegna skaðatrygginga.</w:t>
                </w:r>
              </w:p>
              <w:p w14:paraId="6629159A" w14:textId="46AE0F35" w:rsidR="00704D9A" w:rsidRDefault="00704D9A" w:rsidP="00F6327C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ind w:left="1734" w:hanging="56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Sérstakur kafli um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vátryggingate</w:t>
                </w:r>
                <w:r w:rsidR="00B85183">
                  <w:rPr>
                    <w:rFonts w:ascii="Times New Roman" w:hAnsi="Times New Roman" w:cs="Times New Roman"/>
                    <w:lang w:val="is-IS"/>
                  </w:rPr>
                  <w:t>ng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dar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fjárfestingarafurðir, m.a. um: </w:t>
                </w:r>
              </w:p>
              <w:p w14:paraId="45052898" w14:textId="77777777" w:rsidR="00704D9A" w:rsidRDefault="00704D9A" w:rsidP="00F6327C">
                <w:pPr>
                  <w:pStyle w:val="ListParagraph"/>
                  <w:numPr>
                    <w:ilvl w:val="0"/>
                    <w:numId w:val="18"/>
                  </w:numPr>
                  <w:spacing w:before="60" w:after="60"/>
                  <w:ind w:left="2443" w:hanging="28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Ráðstafanir til varnar hagsmunaárekstrum.</w:t>
                </w:r>
              </w:p>
              <w:p w14:paraId="458012DE" w14:textId="77777777" w:rsidR="00704D9A" w:rsidRDefault="00704D9A" w:rsidP="00F6327C">
                <w:pPr>
                  <w:pStyle w:val="ListParagraph"/>
                  <w:numPr>
                    <w:ilvl w:val="0"/>
                    <w:numId w:val="18"/>
                  </w:numPr>
                  <w:spacing w:before="60" w:after="60"/>
                  <w:ind w:left="2443" w:hanging="28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Greiningu á hagsmunaárekstrum. </w:t>
                </w:r>
              </w:p>
              <w:p w14:paraId="1C5C3075" w14:textId="4B5EAB44" w:rsidR="00704D9A" w:rsidRDefault="00704D9A" w:rsidP="00F6327C">
                <w:pPr>
                  <w:pStyle w:val="ListParagraph"/>
                  <w:numPr>
                    <w:ilvl w:val="0"/>
                    <w:numId w:val="18"/>
                  </w:numPr>
                  <w:spacing w:before="60" w:after="60"/>
                  <w:ind w:left="2443" w:hanging="28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Upplýsingagjöf til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taka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formkröfur 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</w:t>
                </w:r>
                <w:r w:rsidR="005C1262">
                  <w:rPr>
                    <w:rFonts w:ascii="Times New Roman" w:hAnsi="Times New Roman" w:cs="Times New Roman"/>
                    <w:lang w:val="is-IS"/>
                  </w:rPr>
                  <w:t>ana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04841120" w14:textId="70C38C9C" w:rsidR="00704D9A" w:rsidRDefault="00347FAE" w:rsidP="00F6327C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ind w:left="1734" w:hanging="567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Ágreiningsmálum um réttindi og skyldur má vísa til kærunefndar. </w:t>
                </w:r>
              </w:p>
              <w:p w14:paraId="00B5F98D" w14:textId="0FA144AA" w:rsidR="00191ACD" w:rsidRDefault="00690BFE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Sjá einnig C.2. </w:t>
                </w:r>
              </w:p>
              <w:p w14:paraId="5421D453" w14:textId="77777777" w:rsidR="00EE4DFB" w:rsidRDefault="00A437E4" w:rsidP="00201B72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Helstu fyrirhuguðu breytingar á gildandi lögum og reglum, hvort heldur bætt er við eða fellt brott</w:t>
                </w:r>
                <w:r w:rsidR="0028744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6098C05" w14:textId="210D9C32" w:rsidR="00A437E4" w:rsidRPr="00E34B42" w:rsidRDefault="00690BFE" w:rsidP="00BB0BBD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90BFE">
                  <w:rPr>
                    <w:rFonts w:ascii="Times New Roman" w:hAnsi="Times New Roman" w:cs="Times New Roman"/>
                    <w:lang w:val="is-IS"/>
                  </w:rPr>
                  <w:t>Sjá D.1.</w:t>
                </w:r>
              </w:p>
            </w:sdtContent>
          </w:sdt>
        </w:tc>
      </w:tr>
      <w:tr w:rsidR="00A437E4" w:rsidRPr="002A54E0" w14:paraId="4E45F10B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056D5441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A437E4" w:rsidRPr="00E34B42" w14:paraId="4BEFD93E" w14:textId="77777777" w:rsidTr="00A83500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C3D0C02" w14:textId="77777777" w:rsidR="00A437E4" w:rsidRDefault="00A437E4" w:rsidP="00A83500">
                <w:pPr>
                  <w:pStyle w:val="ListParagraph"/>
                  <w:numPr>
                    <w:ilvl w:val="0"/>
                    <w:numId w:val="8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Koma áformin inn á svið stjórnarskrár og þjóðréttarskuldbindinga? </w:t>
                </w:r>
              </w:p>
              <w:p w14:paraId="149A7ADD" w14:textId="77777777" w:rsidR="00E46666" w:rsidRDefault="00A437E4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Frumvarpið er ekki talið koma inn á svið stjórnarskrár</w:t>
                </w:r>
                <w:r w:rsidR="00E4666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D02A0D5" w14:textId="20B5CD72" w:rsidR="00A437E4" w:rsidRPr="00C02EFA" w:rsidRDefault="00E46666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Með frumvarpinu mun Ísland </w:t>
                </w:r>
                <w:r w:rsidR="00690BFE"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ppfylla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þjóðréttarlegar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skuldbindingar sínar vegna </w:t>
                </w:r>
                <w:r w:rsidR="00773A48">
                  <w:rPr>
                    <w:rFonts w:ascii="Times New Roman" w:hAnsi="Times New Roman" w:cs="Times New Roman"/>
                    <w:lang w:val="is-IS"/>
                  </w:rPr>
                  <w:t>tilskipunar Evrópuþingsins og ráðsins 20</w:t>
                </w:r>
                <w:r w:rsidR="00690BFE">
                  <w:rPr>
                    <w:rFonts w:ascii="Times New Roman" w:hAnsi="Times New Roman" w:cs="Times New Roman"/>
                    <w:lang w:val="is-IS"/>
                  </w:rPr>
                  <w:t>16</w:t>
                </w:r>
                <w:r w:rsidR="00773A48">
                  <w:rPr>
                    <w:rFonts w:ascii="Times New Roman" w:hAnsi="Times New Roman" w:cs="Times New Roman"/>
                    <w:lang w:val="is-IS"/>
                  </w:rPr>
                  <w:t>/</w:t>
                </w:r>
                <w:r w:rsidR="00690BFE">
                  <w:rPr>
                    <w:rFonts w:ascii="Times New Roman" w:hAnsi="Times New Roman" w:cs="Times New Roman"/>
                    <w:lang w:val="is-IS"/>
                  </w:rPr>
                  <w:t>97</w:t>
                </w:r>
                <w:r w:rsidR="00773A48">
                  <w:rPr>
                    <w:rFonts w:ascii="Times New Roman" w:hAnsi="Times New Roman" w:cs="Times New Roman"/>
                    <w:lang w:val="is-IS"/>
                  </w:rPr>
                  <w:t>/E</w:t>
                </w:r>
                <w:r w:rsidR="00690BFE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773A48">
                  <w:rPr>
                    <w:rFonts w:ascii="Times New Roman" w:hAnsi="Times New Roman" w:cs="Times New Roman"/>
                    <w:lang w:val="is-IS"/>
                  </w:rPr>
                  <w:t xml:space="preserve">B sem hefur verið tekin upp í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EES-samning</w:t>
                </w:r>
                <w:r w:rsidR="00773A48">
                  <w:rPr>
                    <w:rFonts w:ascii="Times New Roman" w:hAnsi="Times New Roman" w:cs="Times New Roman"/>
                    <w:lang w:val="is-IS"/>
                  </w:rPr>
                  <w:t>inn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A437E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8E1122C" w14:textId="77777777" w:rsidR="00A437E4" w:rsidRDefault="00A437E4" w:rsidP="00A83500">
                <w:pPr>
                  <w:pStyle w:val="ListParagraph"/>
                  <w:numPr>
                    <w:ilvl w:val="0"/>
                    <w:numId w:val="8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 </w:t>
                </w:r>
              </w:p>
              <w:p w14:paraId="1D83197F" w14:textId="21786390" w:rsidR="00A437E4" w:rsidRPr="00C02EFA" w:rsidRDefault="00FE7228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</w:t>
                </w:r>
              </w:p>
              <w:p w14:paraId="00E5B98D" w14:textId="77777777" w:rsidR="00F47EE0" w:rsidRDefault="00A437E4" w:rsidP="00A83500">
                <w:pPr>
                  <w:pStyle w:val="ListParagraph"/>
                  <w:numPr>
                    <w:ilvl w:val="0"/>
                    <w:numId w:val="8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 sem taka þarf tillit til?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975EC1C" w14:textId="58E830E0" w:rsidR="00A437E4" w:rsidRPr="003472DE" w:rsidRDefault="003472DE" w:rsidP="004E6B71">
                <w:pPr>
                  <w:spacing w:before="60" w:after="60"/>
                  <w:ind w:left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      </w:t>
                </w:r>
                <w:r w:rsidR="00A437E4" w:rsidRPr="004E6B71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A437E4" w:rsidRPr="003472D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</w:sdtContent>
          </w:sdt>
        </w:tc>
      </w:tr>
      <w:tr w:rsidR="00A437E4" w:rsidRPr="00E34B42" w14:paraId="5842F115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4B6E0F04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A437E4" w:rsidRPr="00E34B42" w14:paraId="7A3220E9" w14:textId="77777777" w:rsidTr="00A83500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1B278A4C" w14:textId="77777777" w:rsidR="00A437E4" w:rsidRDefault="00A437E4" w:rsidP="00A83500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56F14D04" w14:textId="75BC85EA" w:rsidR="00A437E4" w:rsidRPr="00C02EFA" w:rsidRDefault="00690BFE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Neytendur,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vátryggingamiðlarar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vátryggingafélög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vátryggingaumboðsmenn</w:t>
                </w:r>
                <w:proofErr w:type="spellEnd"/>
                <w:r w:rsidR="00CA0EF8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aðilar sem dreifa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vátryggingum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sem aukaafurð</w:t>
                </w:r>
                <w:r w:rsidR="00CA0EF8">
                  <w:rPr>
                    <w:rFonts w:ascii="Times New Roman" w:hAnsi="Times New Roman" w:cs="Times New Roman"/>
                    <w:lang w:val="is-IS"/>
                  </w:rPr>
                  <w:t xml:space="preserve"> og Fjármálaeftirlitið. </w:t>
                </w:r>
              </w:p>
              <w:p w14:paraId="02247044" w14:textId="77777777" w:rsidR="00A437E4" w:rsidRDefault="00A437E4" w:rsidP="00A83500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4AF3A410" w14:textId="731EBB7C" w:rsidR="00A437E4" w:rsidRPr="00D16C8B" w:rsidRDefault="002A3786" w:rsidP="00A8350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7FE9DEF7" w14:textId="77777777" w:rsidR="00A437E4" w:rsidRDefault="00A437E4" w:rsidP="00A83500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8ABEC37" w14:textId="683A59A6" w:rsidR="00CA0EF8" w:rsidRDefault="00CA0EF8" w:rsidP="00F6327C">
                <w:pPr>
                  <w:pStyle w:val="ListParagraph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Fjármála- og efn</w:t>
                </w:r>
                <w:r w:rsidR="003F6A02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hagsráðherra skipaði nefnd</w:t>
                </w:r>
                <w:r w:rsidR="00E65C91">
                  <w:rPr>
                    <w:rFonts w:ascii="Times New Roman" w:hAnsi="Times New Roman" w:cs="Times New Roman"/>
                    <w:lang w:val="is-IS"/>
                  </w:rPr>
                  <w:t xml:space="preserve"> í október 2017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 að innleiða tilskipun 2016/97/ESB. Aðilar í nefndinni eru </w:t>
                </w:r>
                <w:bookmarkStart w:id="1" w:name="_GoBack"/>
                <w:bookmarkEnd w:id="1"/>
                <w:r>
                  <w:rPr>
                    <w:rFonts w:ascii="Times New Roman" w:hAnsi="Times New Roman" w:cs="Times New Roman"/>
                    <w:lang w:val="is-IS"/>
                  </w:rPr>
                  <w:t>meðal annars frá Fjármálaeftirlitinu og á vegum Samtaka fjármálafyrirtækja. Þessir aðilar hafa því komið að greiningu á tilskipuninni og að s</w:t>
                </w:r>
                <w:r w:rsidR="00F46DD1">
                  <w:rPr>
                    <w:rFonts w:ascii="Times New Roman" w:hAnsi="Times New Roman" w:cs="Times New Roman"/>
                    <w:lang w:val="is-IS"/>
                  </w:rPr>
                  <w:t>amningu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frumvarpsdr</w:t>
                </w:r>
                <w:r w:rsidR="00F46DD1">
                  <w:rPr>
                    <w:rFonts w:ascii="Times New Roman" w:hAnsi="Times New Roman" w:cs="Times New Roman"/>
                    <w:lang w:val="is-IS"/>
                  </w:rPr>
                  <w:t>aga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5E666160" w14:textId="77777777" w:rsidR="00F46DD1" w:rsidRDefault="00A437E4" w:rsidP="00F6327C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C5A964F" w14:textId="386330AD" w:rsidR="00A278CD" w:rsidRDefault="003B4056" w:rsidP="00384C8B">
                <w:pPr>
                  <w:spacing w:before="60" w:after="60"/>
                  <w:ind w:left="714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Frumvarpið verður birt í samráðsgátt stjórnvalda. Auk þess verður haft frekara samráð við hagsmunaaðila við gerð frumvarpsins. </w:t>
                </w:r>
              </w:p>
              <w:p w14:paraId="2141F3C9" w14:textId="756E5A2C" w:rsidR="00A437E4" w:rsidRPr="00862CDE" w:rsidRDefault="005C1262" w:rsidP="00862CDE">
                <w:pPr>
                  <w:spacing w:before="60" w:after="60"/>
                  <w:ind w:left="357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tr w:rsidR="00A437E4" w:rsidRPr="00E34B42" w14:paraId="69F947D6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70258201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á áhrifum þeirrar leiðar sem áformuð er </w:t>
            </w:r>
          </w:p>
        </w:tc>
      </w:tr>
      <w:tr w:rsidR="00A437E4" w:rsidRPr="002A54E0" w14:paraId="6159CBAC" w14:textId="77777777" w:rsidTr="00A83500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EDB2B1B" w14:textId="77777777" w:rsidR="002B4760" w:rsidRDefault="00A437E4" w:rsidP="00A8350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79FC66B5" w14:textId="1D12263C" w:rsidR="00C35461" w:rsidRDefault="00C35461" w:rsidP="00C35461">
                <w:pPr>
                  <w:spacing w:after="120"/>
                  <w:ind w:left="714"/>
                  <w:rPr>
                    <w:rFonts w:ascii="Times New Roman" w:hAnsi="Times New Roman"/>
                  </w:rPr>
                </w:pPr>
                <w:proofErr w:type="spellStart"/>
                <w:r>
                  <w:rPr>
                    <w:rFonts w:ascii="Times New Roman" w:hAnsi="Times New Roman"/>
                  </w:rPr>
                  <w:t>Meginmarkmið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tilskipunarinnar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er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samþætta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markaði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og </w:t>
                </w:r>
                <w:proofErr w:type="spellStart"/>
                <w:r>
                  <w:rPr>
                    <w:rFonts w:ascii="Times New Roman" w:hAnsi="Times New Roman"/>
                  </w:rPr>
                  <w:t>auka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neytendavernd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. </w:t>
                </w:r>
                <w:proofErr w:type="spellStart"/>
                <w:r>
                  <w:rPr>
                    <w:rFonts w:ascii="Times New Roman" w:hAnsi="Times New Roman"/>
                  </w:rPr>
                  <w:t>Til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að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ná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þessu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markmiði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eru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gerðar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auknar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og </w:t>
                </w:r>
                <w:proofErr w:type="spellStart"/>
                <w:r>
                  <w:rPr>
                    <w:rFonts w:ascii="Times New Roman" w:hAnsi="Times New Roman"/>
                  </w:rPr>
                  <w:t>samræmdar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kröfur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til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þeirra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sem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dreifa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</w:rPr>
                  <w:t>vátryggingum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.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Kröfurnar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ganga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lengra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og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ná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til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fleiri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aðila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en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núgildandi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kröfur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og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því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líklegt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að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einhver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breyting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verði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á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rekstrarumhverfi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þeirra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sem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dreifa</w:t>
                </w:r>
                <w:proofErr w:type="spellEnd"/>
                <w:r w:rsidR="00E73C8F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E73C8F">
                  <w:rPr>
                    <w:rFonts w:ascii="Times New Roman" w:hAnsi="Times New Roman"/>
                  </w:rPr>
                  <w:t>vátryggingum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.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Ávinningurinn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af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fyrirhugaðri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lagasetningu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felst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í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samræmingu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á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innri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markaðnum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646A4">
                  <w:rPr>
                    <w:rFonts w:ascii="Times New Roman" w:hAnsi="Times New Roman"/>
                  </w:rPr>
                  <w:t>sem</w:t>
                </w:r>
                <w:proofErr w:type="spellEnd"/>
                <w:r w:rsidR="006646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er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til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þess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fallin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að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ýta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undir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samkeppni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 á </w:t>
                </w:r>
                <w:proofErr w:type="spellStart"/>
                <w:r w:rsidR="00F00B77">
                  <w:rPr>
                    <w:rFonts w:ascii="Times New Roman" w:hAnsi="Times New Roman"/>
                  </w:rPr>
                  <w:t>markaðnum</w:t>
                </w:r>
                <w:proofErr w:type="spellEnd"/>
                <w:r w:rsidR="00F00B77">
                  <w:rPr>
                    <w:rFonts w:ascii="Times New Roman" w:hAnsi="Times New Roman"/>
                  </w:rPr>
                  <w:t xml:space="preserve">. </w:t>
                </w:r>
                <w:proofErr w:type="spellStart"/>
                <w:r w:rsidR="006C7423">
                  <w:rPr>
                    <w:rFonts w:ascii="Times New Roman" w:hAnsi="Times New Roman"/>
                  </w:rPr>
                  <w:t>Þá</w:t>
                </w:r>
                <w:proofErr w:type="spellEnd"/>
                <w:r w:rsidR="009A73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9A73A4">
                  <w:rPr>
                    <w:rFonts w:ascii="Times New Roman" w:hAnsi="Times New Roman"/>
                  </w:rPr>
                  <w:t>er</w:t>
                </w:r>
                <w:proofErr w:type="spellEnd"/>
                <w:r w:rsidR="009A73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9A73A4">
                  <w:rPr>
                    <w:rFonts w:ascii="Times New Roman" w:hAnsi="Times New Roman"/>
                  </w:rPr>
                  <w:t>tryggð</w:t>
                </w:r>
                <w:proofErr w:type="spellEnd"/>
                <w:r w:rsidR="009A73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9A73A4">
                  <w:rPr>
                    <w:rFonts w:ascii="Times New Roman" w:hAnsi="Times New Roman"/>
                  </w:rPr>
                  <w:t>aukin</w:t>
                </w:r>
                <w:proofErr w:type="spellEnd"/>
                <w:r w:rsidR="009A73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9A73A4">
                  <w:rPr>
                    <w:rFonts w:ascii="Times New Roman" w:hAnsi="Times New Roman"/>
                  </w:rPr>
                  <w:t>upplýsingagjöf</w:t>
                </w:r>
                <w:proofErr w:type="spellEnd"/>
                <w:r w:rsidR="009A73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9A73A4">
                  <w:rPr>
                    <w:rFonts w:ascii="Times New Roman" w:hAnsi="Times New Roman"/>
                  </w:rPr>
                  <w:t>til</w:t>
                </w:r>
                <w:proofErr w:type="spellEnd"/>
                <w:r w:rsidR="009A73A4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9A73A4">
                  <w:rPr>
                    <w:rFonts w:ascii="Times New Roman" w:hAnsi="Times New Roman"/>
                  </w:rPr>
                  <w:t>neytenda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, auk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annarra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ákvæða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,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sem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eiga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að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efla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neytendavernd</w:t>
                </w:r>
                <w:proofErr w:type="spellEnd"/>
                <w:r w:rsidR="00476B2D">
                  <w:rPr>
                    <w:rFonts w:ascii="Times New Roman" w:hAnsi="Times New Roman"/>
                  </w:rPr>
                  <w:t xml:space="preserve"> á </w:t>
                </w:r>
                <w:proofErr w:type="spellStart"/>
                <w:r w:rsidR="00476B2D">
                  <w:rPr>
                    <w:rFonts w:ascii="Times New Roman" w:hAnsi="Times New Roman"/>
                  </w:rPr>
                  <w:t>markaðnum</w:t>
                </w:r>
                <w:proofErr w:type="spellEnd"/>
                <w:r w:rsidR="00476B2D">
                  <w:rPr>
                    <w:rFonts w:ascii="Times New Roman" w:hAnsi="Times New Roman"/>
                  </w:rPr>
                  <w:t>.</w:t>
                </w:r>
              </w:p>
              <w:p w14:paraId="1B45D71A" w14:textId="767A59FD" w:rsidR="00A437E4" w:rsidRPr="001C0944" w:rsidRDefault="005C1262" w:rsidP="001C0944">
                <w:pPr>
                  <w:spacing w:before="60" w:after="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tr w:rsidR="00A437E4" w:rsidRPr="00E34B42" w14:paraId="655D2C82" w14:textId="77777777" w:rsidTr="00A83500">
        <w:tc>
          <w:tcPr>
            <w:tcW w:w="9288" w:type="dxa"/>
            <w:shd w:val="clear" w:color="auto" w:fill="92CDDC" w:themeFill="accent5" w:themeFillTint="99"/>
          </w:tcPr>
          <w:p w14:paraId="4CE76D69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A437E4" w:rsidRPr="002A54E0" w14:paraId="765456B1" w14:textId="77777777" w:rsidTr="00A83500">
        <w:trPr>
          <w:trHeight w:val="826"/>
        </w:trPr>
        <w:tc>
          <w:tcPr>
            <w:tcW w:w="9288" w:type="dxa"/>
          </w:tcPr>
          <w:p w14:paraId="42816F7D" w14:textId="1326B384" w:rsidR="00A437E4" w:rsidRDefault="00A437E4" w:rsidP="00A83500">
            <w:pPr>
              <w:pStyle w:val="ListParagraph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Hefur verið gerð verkefnisáætlun fyrir frumvarpssmíðina? </w:t>
            </w:r>
          </w:p>
          <w:p w14:paraId="7A9ED657" w14:textId="6EFCC415" w:rsidR="00A437E4" w:rsidRPr="00D16C8B" w:rsidRDefault="00A437E4" w:rsidP="00F6327C">
            <w:pPr>
              <w:pStyle w:val="ListParagraph"/>
              <w:spacing w:before="60" w:after="60"/>
              <w:ind w:left="714"/>
              <w:contextualSpacing w:val="0"/>
              <w:jc w:val="both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Verkefnið hefur verið gróflega áætlað og er gert ráð fyrir því að frumvarpið verði lagt fyrir Alþingi í </w:t>
            </w:r>
            <w:r w:rsidR="00CA0EF8">
              <w:rPr>
                <w:rFonts w:ascii="Times New Roman" w:hAnsi="Times New Roman" w:cs="Times New Roman"/>
                <w:lang w:val="is-IS"/>
              </w:rPr>
              <w:t xml:space="preserve">mars </w:t>
            </w:r>
            <w:r>
              <w:rPr>
                <w:rFonts w:ascii="Times New Roman" w:hAnsi="Times New Roman" w:cs="Times New Roman"/>
                <w:lang w:val="is-IS"/>
              </w:rPr>
              <w:t>201</w:t>
            </w:r>
            <w:r w:rsidR="00CA0EF8">
              <w:rPr>
                <w:rFonts w:ascii="Times New Roman" w:hAnsi="Times New Roman" w:cs="Times New Roman"/>
                <w:lang w:val="is-IS"/>
              </w:rPr>
              <w:t>9</w:t>
            </w:r>
            <w:r>
              <w:rPr>
                <w:rFonts w:ascii="Times New Roman" w:hAnsi="Times New Roman" w:cs="Times New Roman"/>
                <w:lang w:val="is-IS"/>
              </w:rPr>
              <w:t xml:space="preserve">. </w:t>
            </w:r>
          </w:p>
          <w:p w14:paraId="3A91AFD5" w14:textId="77777777" w:rsidR="00A437E4" w:rsidRDefault="00A437E4" w:rsidP="00A83500">
            <w:pPr>
              <w:pStyle w:val="ListParagraph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Hvernig verður staðið að innleiðingu löggjafar? Hvað má gera ráð fyrir að þeir sem verða fyrir áhrifum, opinberar stofnanir/hagsmunaaðilar/almenningur, þurfi langan tíma til undirbúnings/aðlögunar?</w:t>
            </w:r>
          </w:p>
          <w:p w14:paraId="393DC443" w14:textId="059E2ECE" w:rsidR="00A437E4" w:rsidRPr="00D16C8B" w:rsidRDefault="00611219" w:rsidP="00A83500">
            <w:pPr>
              <w:pStyle w:val="ListParagraph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Ekki er gert </w:t>
            </w:r>
            <w:r w:rsidR="008C1A82">
              <w:rPr>
                <w:rFonts w:ascii="Times New Roman" w:hAnsi="Times New Roman" w:cs="Times New Roman"/>
                <w:lang w:val="is-IS"/>
              </w:rPr>
              <w:t xml:space="preserve">ráð </w:t>
            </w:r>
            <w:r>
              <w:rPr>
                <w:rFonts w:ascii="Times New Roman" w:hAnsi="Times New Roman" w:cs="Times New Roman"/>
                <w:lang w:val="is-IS"/>
              </w:rPr>
              <w:t xml:space="preserve">fyrir löngum aðlögunartíma. </w:t>
            </w:r>
          </w:p>
          <w:p w14:paraId="119F03A7" w14:textId="77777777" w:rsidR="00A437E4" w:rsidRDefault="00A437E4" w:rsidP="00A83500">
            <w:pPr>
              <w:pStyle w:val="ListParagraph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Hvaða forsendur þurfa að vera fyrir hendi til að lagasetning beri árangur? </w:t>
            </w:r>
          </w:p>
          <w:p w14:paraId="1C5BE8D3" w14:textId="6AA3DF95" w:rsidR="00A437E4" w:rsidRPr="00D16C8B" w:rsidRDefault="005307E4" w:rsidP="00F6327C">
            <w:pPr>
              <w:pStyle w:val="ListParagraph"/>
              <w:spacing w:before="60" w:after="60"/>
              <w:ind w:left="714"/>
              <w:contextualSpacing w:val="0"/>
              <w:jc w:val="both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Kynning á </w:t>
            </w:r>
            <w:r w:rsidR="00611219">
              <w:rPr>
                <w:rFonts w:ascii="Times New Roman" w:hAnsi="Times New Roman" w:cs="Times New Roman"/>
                <w:lang w:val="is-IS"/>
              </w:rPr>
              <w:t xml:space="preserve">þeim ákvæðum frumvarpsins sem eru breyting frá gildandi lögum </w:t>
            </w:r>
            <w:r w:rsidR="00BB0BBD">
              <w:rPr>
                <w:rFonts w:ascii="Times New Roman" w:hAnsi="Times New Roman" w:cs="Times New Roman"/>
                <w:lang w:val="is-IS"/>
              </w:rPr>
              <w:t>og</w:t>
            </w:r>
            <w:r w:rsidR="00611219">
              <w:rPr>
                <w:rFonts w:ascii="Times New Roman" w:hAnsi="Times New Roman" w:cs="Times New Roman"/>
                <w:lang w:val="is-IS"/>
              </w:rPr>
              <w:t xml:space="preserve"> nýmæl</w:t>
            </w:r>
            <w:r w:rsidR="00BB0BBD">
              <w:rPr>
                <w:rFonts w:ascii="Times New Roman" w:hAnsi="Times New Roman" w:cs="Times New Roman"/>
                <w:lang w:val="is-IS"/>
              </w:rPr>
              <w:t>um í frumvarpinu</w:t>
            </w:r>
            <w:r w:rsidR="00611219">
              <w:rPr>
                <w:rFonts w:ascii="Times New Roman" w:hAnsi="Times New Roman" w:cs="Times New Roman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lang w:val="is-IS"/>
              </w:rPr>
              <w:t>væri æskileg</w:t>
            </w:r>
            <w:r w:rsidR="00611219">
              <w:rPr>
                <w:rFonts w:ascii="Times New Roman" w:hAnsi="Times New Roman" w:cs="Times New Roman"/>
                <w:lang w:val="is-IS"/>
              </w:rPr>
              <w:t xml:space="preserve">. </w:t>
            </w:r>
            <w:r>
              <w:rPr>
                <w:rFonts w:ascii="Times New Roman" w:hAnsi="Times New Roman" w:cs="Times New Roman"/>
                <w:lang w:val="is-IS"/>
              </w:rPr>
              <w:t xml:space="preserve"> </w:t>
            </w:r>
          </w:p>
          <w:p w14:paraId="0CFFA140" w14:textId="77777777" w:rsidR="00A437E4" w:rsidRDefault="00A437E4" w:rsidP="00A83500">
            <w:pPr>
              <w:pStyle w:val="ListParagraph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Mælikvarðar á árangur og útkomu</w:t>
            </w:r>
          </w:p>
          <w:p w14:paraId="45D9C960" w14:textId="2EA9A83F" w:rsidR="00A437E4" w:rsidRPr="00D16C8B" w:rsidRDefault="009E4504" w:rsidP="00A83500">
            <w:pPr>
              <w:pStyle w:val="ListParagraph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Ekki er gert ráð mælanlegum áhrifum vegna frumvarpsins</w:t>
            </w:r>
            <w:r w:rsidR="00CA0EF8">
              <w:rPr>
                <w:rFonts w:ascii="Times New Roman" w:hAnsi="Times New Roman" w:cs="Times New Roman"/>
                <w:lang w:val="is-IS"/>
              </w:rPr>
              <w:t xml:space="preserve">. </w:t>
            </w:r>
            <w:r w:rsidR="00193C47">
              <w:rPr>
                <w:rFonts w:ascii="Times New Roman" w:hAnsi="Times New Roman" w:cs="Times New Roman"/>
                <w:lang w:val="is-IS"/>
              </w:rPr>
              <w:t>Neytendavernd og r</w:t>
            </w:r>
            <w:r w:rsidR="00CA0EF8">
              <w:rPr>
                <w:rFonts w:ascii="Times New Roman" w:hAnsi="Times New Roman" w:cs="Times New Roman"/>
                <w:lang w:val="is-IS"/>
              </w:rPr>
              <w:t xml:space="preserve">éttarstaða neytenda mun aukast. </w:t>
            </w:r>
          </w:p>
          <w:p w14:paraId="4F0F3965" w14:textId="6F06EA78" w:rsidR="00A437E4" w:rsidRDefault="00A437E4" w:rsidP="00A83500">
            <w:pPr>
              <w:pStyle w:val="ListParagraph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Hefur verið hugað að því að afla gagna til að meta árangur þegar þar að kemur?</w:t>
            </w:r>
          </w:p>
          <w:p w14:paraId="5E96AD0E" w14:textId="77777777" w:rsidR="00B85183" w:rsidRDefault="00081929" w:rsidP="00F6327C">
            <w:pPr>
              <w:pStyle w:val="ListParagraph"/>
              <w:spacing w:before="60" w:after="60"/>
              <w:ind w:left="714"/>
              <w:contextualSpacing w:val="0"/>
              <w:jc w:val="both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 xml:space="preserve">Gögn er varða vátryggingar munu verða tiltæk hjá </w:t>
            </w:r>
            <w:proofErr w:type="spellStart"/>
            <w:r>
              <w:rPr>
                <w:rFonts w:ascii="Times New Roman" w:hAnsi="Times New Roman" w:cs="Times New Roman"/>
                <w:lang w:val="is-IS"/>
              </w:rPr>
              <w:t>vátryggingafélögum</w:t>
            </w:r>
            <w:proofErr w:type="spellEnd"/>
            <w:r w:rsidR="004C4FC1">
              <w:rPr>
                <w:rFonts w:ascii="Times New Roman" w:hAnsi="Times New Roman" w:cs="Times New Roman"/>
                <w:lang w:val="is-IS"/>
              </w:rPr>
              <w:t xml:space="preserve"> líkt</w:t>
            </w:r>
            <w:r w:rsidR="00160A55">
              <w:rPr>
                <w:rFonts w:ascii="Times New Roman" w:hAnsi="Times New Roman" w:cs="Times New Roman"/>
                <w:lang w:val="is-IS"/>
              </w:rPr>
              <w:t xml:space="preserve"> og á</w:t>
            </w:r>
            <w:r>
              <w:rPr>
                <w:rFonts w:ascii="Times New Roman" w:hAnsi="Times New Roman" w:cs="Times New Roman"/>
                <w:lang w:val="is-IS"/>
              </w:rPr>
              <w:t>ður.</w:t>
            </w:r>
            <w:r w:rsidR="00CA0EF8">
              <w:rPr>
                <w:rFonts w:ascii="Times New Roman" w:hAnsi="Times New Roman" w:cs="Times New Roman"/>
                <w:lang w:val="is-IS"/>
              </w:rPr>
              <w:t xml:space="preserve"> </w:t>
            </w:r>
            <w:proofErr w:type="spellStart"/>
            <w:r w:rsidR="00CA0EF8">
              <w:rPr>
                <w:rFonts w:ascii="Times New Roman" w:hAnsi="Times New Roman" w:cs="Times New Roman"/>
                <w:lang w:val="is-IS"/>
              </w:rPr>
              <w:t>Vátryggingamiðlara</w:t>
            </w:r>
            <w:r w:rsidR="0028679E">
              <w:rPr>
                <w:rFonts w:ascii="Times New Roman" w:hAnsi="Times New Roman" w:cs="Times New Roman"/>
                <w:lang w:val="is-IS"/>
              </w:rPr>
              <w:t>r</w:t>
            </w:r>
            <w:proofErr w:type="spellEnd"/>
            <w:r w:rsidR="00CA0EF8">
              <w:rPr>
                <w:rFonts w:ascii="Times New Roman" w:hAnsi="Times New Roman" w:cs="Times New Roman"/>
                <w:lang w:val="is-IS"/>
              </w:rPr>
              <w:t xml:space="preserve"> munu einnig hafa tiltæk gögn. </w:t>
            </w:r>
          </w:p>
          <w:p w14:paraId="1619C983" w14:textId="5E3ADC6A" w:rsidR="00A437E4" w:rsidRPr="00E34B42" w:rsidRDefault="00B85183" w:rsidP="00F6327C">
            <w:pPr>
              <w:pStyle w:val="ListParagraph"/>
              <w:spacing w:before="60" w:after="60"/>
              <w:ind w:left="714"/>
              <w:contextualSpacing w:val="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193C47">
              <w:rPr>
                <w:rFonts w:ascii="Times New Roman" w:hAnsi="Times New Roman" w:cs="Times New Roman"/>
                <w:lang w:val="is-IS"/>
              </w:rPr>
              <w:t>Fjármálaeftirlitið mun hafa eftirlit með framkvæmd laganna. Ekki er ætlunin að leggja frekara mat á árangur laganna en felst í því eftirliti.</w:t>
            </w:r>
          </w:p>
        </w:tc>
      </w:tr>
      <w:tr w:rsidR="00A437E4" w:rsidRPr="00E34B42" w14:paraId="29DC3438" w14:textId="77777777" w:rsidTr="00A8350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C8EB5AB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tr w:rsidR="00A437E4" w:rsidRPr="00E34B42" w14:paraId="520F3BDD" w14:textId="77777777" w:rsidTr="00A83500">
        <w:trPr>
          <w:trHeight w:val="300"/>
        </w:trPr>
        <w:tc>
          <w:tcPr>
            <w:tcW w:w="9288" w:type="dxa"/>
          </w:tcPr>
          <w:p w14:paraId="7FCC0CAD" w14:textId="58DA7E96" w:rsidR="00A437E4" w:rsidRPr="00E34B42" w:rsidRDefault="005C1262" w:rsidP="00A83500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CA0EF8"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sdtContent>
            </w:sdt>
          </w:p>
        </w:tc>
      </w:tr>
      <w:tr w:rsidR="00A437E4" w:rsidRPr="00E34B42" w14:paraId="7E109431" w14:textId="77777777" w:rsidTr="00A8350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D78603B" w14:textId="77777777" w:rsidR="00A437E4" w:rsidRPr="00E34B42" w:rsidRDefault="00A437E4" w:rsidP="00A83500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A437E4" w:rsidRPr="00E34B42" w14:paraId="02D54C22" w14:textId="77777777" w:rsidTr="00A83500">
        <w:trPr>
          <w:trHeight w:val="300"/>
        </w:trPr>
        <w:tc>
          <w:tcPr>
            <w:tcW w:w="9288" w:type="dxa"/>
          </w:tcPr>
          <w:sdt>
            <w:sdtPr>
              <w:rPr>
                <w:lang w:val="is-IS"/>
              </w:rPr>
              <w:id w:val="1543943641"/>
            </w:sdtPr>
            <w:sdtEndPr/>
            <w:sdtContent>
              <w:p w14:paraId="4353D9BF" w14:textId="1EF2FDCE" w:rsidR="00A437E4" w:rsidRPr="002F5D3B" w:rsidRDefault="00A437E4" w:rsidP="002F5D3B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</w:sdtContent>
          </w:sdt>
        </w:tc>
      </w:tr>
    </w:tbl>
    <w:p w14:paraId="4BD65C5D" w14:textId="4EA90771" w:rsidR="00A437E4" w:rsidRPr="00E34B42" w:rsidRDefault="00A437E4" w:rsidP="00A437E4">
      <w:pPr>
        <w:rPr>
          <w:rFonts w:ascii="Times New Roman" w:hAnsi="Times New Roman" w:cs="Times New Roman"/>
          <w:lang w:val="is-IS"/>
        </w:rPr>
      </w:pPr>
    </w:p>
    <w:p w14:paraId="79A23579" w14:textId="77777777" w:rsidR="00A437E4" w:rsidRDefault="00A437E4"/>
    <w:sectPr w:rsidR="00A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00A"/>
    <w:multiLevelType w:val="hybridMultilevel"/>
    <w:tmpl w:val="9830008C"/>
    <w:lvl w:ilvl="0" w:tplc="040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1F80D53"/>
    <w:multiLevelType w:val="hybridMultilevel"/>
    <w:tmpl w:val="95E27ECA"/>
    <w:lvl w:ilvl="0" w:tplc="0310E718">
      <w:start w:val="1"/>
      <w:numFmt w:val="lowerLetter"/>
      <w:lvlText w:val="%1."/>
      <w:lvlJc w:val="left"/>
      <w:pPr>
        <w:ind w:left="245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174" w:hanging="360"/>
      </w:pPr>
    </w:lvl>
    <w:lvl w:ilvl="2" w:tplc="1000001B" w:tentative="1">
      <w:start w:val="1"/>
      <w:numFmt w:val="lowerRoman"/>
      <w:lvlText w:val="%3."/>
      <w:lvlJc w:val="right"/>
      <w:pPr>
        <w:ind w:left="3894" w:hanging="180"/>
      </w:pPr>
    </w:lvl>
    <w:lvl w:ilvl="3" w:tplc="1000000F" w:tentative="1">
      <w:start w:val="1"/>
      <w:numFmt w:val="decimal"/>
      <w:lvlText w:val="%4."/>
      <w:lvlJc w:val="left"/>
      <w:pPr>
        <w:ind w:left="4614" w:hanging="360"/>
      </w:pPr>
    </w:lvl>
    <w:lvl w:ilvl="4" w:tplc="10000019" w:tentative="1">
      <w:start w:val="1"/>
      <w:numFmt w:val="lowerLetter"/>
      <w:lvlText w:val="%5."/>
      <w:lvlJc w:val="left"/>
      <w:pPr>
        <w:ind w:left="5334" w:hanging="360"/>
      </w:pPr>
    </w:lvl>
    <w:lvl w:ilvl="5" w:tplc="1000001B" w:tentative="1">
      <w:start w:val="1"/>
      <w:numFmt w:val="lowerRoman"/>
      <w:lvlText w:val="%6."/>
      <w:lvlJc w:val="right"/>
      <w:pPr>
        <w:ind w:left="6054" w:hanging="180"/>
      </w:pPr>
    </w:lvl>
    <w:lvl w:ilvl="6" w:tplc="1000000F" w:tentative="1">
      <w:start w:val="1"/>
      <w:numFmt w:val="decimal"/>
      <w:lvlText w:val="%7."/>
      <w:lvlJc w:val="left"/>
      <w:pPr>
        <w:ind w:left="6774" w:hanging="360"/>
      </w:pPr>
    </w:lvl>
    <w:lvl w:ilvl="7" w:tplc="10000019" w:tentative="1">
      <w:start w:val="1"/>
      <w:numFmt w:val="lowerLetter"/>
      <w:lvlText w:val="%8."/>
      <w:lvlJc w:val="left"/>
      <w:pPr>
        <w:ind w:left="7494" w:hanging="360"/>
      </w:pPr>
    </w:lvl>
    <w:lvl w:ilvl="8" w:tplc="1000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3" w15:restartNumberingAfterBreak="0">
    <w:nsid w:val="14D72031"/>
    <w:multiLevelType w:val="hybridMultilevel"/>
    <w:tmpl w:val="B4407136"/>
    <w:lvl w:ilvl="0" w:tplc="040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E6A7E42"/>
    <w:multiLevelType w:val="hybridMultilevel"/>
    <w:tmpl w:val="E56E39B2"/>
    <w:lvl w:ilvl="0" w:tplc="040F000F">
      <w:start w:val="1"/>
      <w:numFmt w:val="decimal"/>
      <w:lvlText w:val="%1."/>
      <w:lvlJc w:val="left"/>
      <w:pPr>
        <w:ind w:left="1930" w:hanging="360"/>
      </w:pPr>
    </w:lvl>
    <w:lvl w:ilvl="1" w:tplc="10000019" w:tentative="1">
      <w:start w:val="1"/>
      <w:numFmt w:val="lowerLetter"/>
      <w:lvlText w:val="%2."/>
      <w:lvlJc w:val="left"/>
      <w:pPr>
        <w:ind w:left="2650" w:hanging="360"/>
      </w:pPr>
    </w:lvl>
    <w:lvl w:ilvl="2" w:tplc="1000001B" w:tentative="1">
      <w:start w:val="1"/>
      <w:numFmt w:val="lowerRoman"/>
      <w:lvlText w:val="%3."/>
      <w:lvlJc w:val="right"/>
      <w:pPr>
        <w:ind w:left="3370" w:hanging="180"/>
      </w:pPr>
    </w:lvl>
    <w:lvl w:ilvl="3" w:tplc="1000000F" w:tentative="1">
      <w:start w:val="1"/>
      <w:numFmt w:val="decimal"/>
      <w:lvlText w:val="%4."/>
      <w:lvlJc w:val="left"/>
      <w:pPr>
        <w:ind w:left="4090" w:hanging="360"/>
      </w:pPr>
    </w:lvl>
    <w:lvl w:ilvl="4" w:tplc="10000019" w:tentative="1">
      <w:start w:val="1"/>
      <w:numFmt w:val="lowerLetter"/>
      <w:lvlText w:val="%5."/>
      <w:lvlJc w:val="left"/>
      <w:pPr>
        <w:ind w:left="4810" w:hanging="360"/>
      </w:pPr>
    </w:lvl>
    <w:lvl w:ilvl="5" w:tplc="1000001B" w:tentative="1">
      <w:start w:val="1"/>
      <w:numFmt w:val="lowerRoman"/>
      <w:lvlText w:val="%6."/>
      <w:lvlJc w:val="right"/>
      <w:pPr>
        <w:ind w:left="5530" w:hanging="180"/>
      </w:pPr>
    </w:lvl>
    <w:lvl w:ilvl="6" w:tplc="1000000F" w:tentative="1">
      <w:start w:val="1"/>
      <w:numFmt w:val="decimal"/>
      <w:lvlText w:val="%7."/>
      <w:lvlJc w:val="left"/>
      <w:pPr>
        <w:ind w:left="6250" w:hanging="360"/>
      </w:pPr>
    </w:lvl>
    <w:lvl w:ilvl="7" w:tplc="10000019" w:tentative="1">
      <w:start w:val="1"/>
      <w:numFmt w:val="lowerLetter"/>
      <w:lvlText w:val="%8."/>
      <w:lvlJc w:val="left"/>
      <w:pPr>
        <w:ind w:left="6970" w:hanging="360"/>
      </w:pPr>
    </w:lvl>
    <w:lvl w:ilvl="8" w:tplc="100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5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59B2"/>
    <w:multiLevelType w:val="hybridMultilevel"/>
    <w:tmpl w:val="49FA4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0171"/>
    <w:multiLevelType w:val="hybridMultilevel"/>
    <w:tmpl w:val="F4A045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1AC0"/>
    <w:multiLevelType w:val="hybridMultilevel"/>
    <w:tmpl w:val="12685FCC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AEB1E2">
      <w:start w:val="1"/>
      <w:numFmt w:val="decimal"/>
      <w:lvlText w:val="%2."/>
      <w:lvlJc w:val="left"/>
      <w:pPr>
        <w:ind w:left="1728" w:hanging="648"/>
      </w:pPr>
      <w:rPr>
        <w:rFonts w:hint="default"/>
      </w:rPr>
    </w:lvl>
    <w:lvl w:ilvl="2" w:tplc="0310E71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A0B76"/>
    <w:multiLevelType w:val="hybridMultilevel"/>
    <w:tmpl w:val="AD9E3C1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61D5B"/>
    <w:multiLevelType w:val="hybridMultilevel"/>
    <w:tmpl w:val="36968E24"/>
    <w:lvl w:ilvl="0" w:tplc="0310E718">
      <w:start w:val="1"/>
      <w:numFmt w:val="lowerLetter"/>
      <w:lvlText w:val="%1."/>
      <w:lvlJc w:val="left"/>
      <w:pPr>
        <w:ind w:left="245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174" w:hanging="360"/>
      </w:pPr>
    </w:lvl>
    <w:lvl w:ilvl="2" w:tplc="1000001B" w:tentative="1">
      <w:start w:val="1"/>
      <w:numFmt w:val="lowerRoman"/>
      <w:lvlText w:val="%3."/>
      <w:lvlJc w:val="right"/>
      <w:pPr>
        <w:ind w:left="3894" w:hanging="180"/>
      </w:pPr>
    </w:lvl>
    <w:lvl w:ilvl="3" w:tplc="1000000F" w:tentative="1">
      <w:start w:val="1"/>
      <w:numFmt w:val="decimal"/>
      <w:lvlText w:val="%4."/>
      <w:lvlJc w:val="left"/>
      <w:pPr>
        <w:ind w:left="4614" w:hanging="360"/>
      </w:pPr>
    </w:lvl>
    <w:lvl w:ilvl="4" w:tplc="10000019" w:tentative="1">
      <w:start w:val="1"/>
      <w:numFmt w:val="lowerLetter"/>
      <w:lvlText w:val="%5."/>
      <w:lvlJc w:val="left"/>
      <w:pPr>
        <w:ind w:left="5334" w:hanging="360"/>
      </w:pPr>
    </w:lvl>
    <w:lvl w:ilvl="5" w:tplc="1000001B" w:tentative="1">
      <w:start w:val="1"/>
      <w:numFmt w:val="lowerRoman"/>
      <w:lvlText w:val="%6."/>
      <w:lvlJc w:val="right"/>
      <w:pPr>
        <w:ind w:left="6054" w:hanging="180"/>
      </w:pPr>
    </w:lvl>
    <w:lvl w:ilvl="6" w:tplc="1000000F" w:tentative="1">
      <w:start w:val="1"/>
      <w:numFmt w:val="decimal"/>
      <w:lvlText w:val="%7."/>
      <w:lvlJc w:val="left"/>
      <w:pPr>
        <w:ind w:left="6774" w:hanging="360"/>
      </w:pPr>
    </w:lvl>
    <w:lvl w:ilvl="7" w:tplc="10000019" w:tentative="1">
      <w:start w:val="1"/>
      <w:numFmt w:val="lowerLetter"/>
      <w:lvlText w:val="%8."/>
      <w:lvlJc w:val="left"/>
      <w:pPr>
        <w:ind w:left="7494" w:hanging="360"/>
      </w:pPr>
    </w:lvl>
    <w:lvl w:ilvl="8" w:tplc="1000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17" w15:restartNumberingAfterBreak="0">
    <w:nsid w:val="74746800"/>
    <w:multiLevelType w:val="hybridMultilevel"/>
    <w:tmpl w:val="07186F9A"/>
    <w:lvl w:ilvl="0" w:tplc="040F000F">
      <w:start w:val="1"/>
      <w:numFmt w:val="decimal"/>
      <w:lvlText w:val="%1."/>
      <w:lvlJc w:val="left"/>
      <w:pPr>
        <w:ind w:left="1434" w:hanging="360"/>
      </w:pPr>
    </w:lvl>
    <w:lvl w:ilvl="1" w:tplc="10000019">
      <w:start w:val="1"/>
      <w:numFmt w:val="lowerLetter"/>
      <w:lvlText w:val="%2."/>
      <w:lvlJc w:val="left"/>
      <w:pPr>
        <w:ind w:left="2154" w:hanging="360"/>
      </w:pPr>
    </w:lvl>
    <w:lvl w:ilvl="2" w:tplc="1000001B" w:tentative="1">
      <w:start w:val="1"/>
      <w:numFmt w:val="lowerRoman"/>
      <w:lvlText w:val="%3."/>
      <w:lvlJc w:val="right"/>
      <w:pPr>
        <w:ind w:left="2874" w:hanging="180"/>
      </w:pPr>
    </w:lvl>
    <w:lvl w:ilvl="3" w:tplc="1000000F" w:tentative="1">
      <w:start w:val="1"/>
      <w:numFmt w:val="decimal"/>
      <w:lvlText w:val="%4."/>
      <w:lvlJc w:val="left"/>
      <w:pPr>
        <w:ind w:left="3594" w:hanging="360"/>
      </w:pPr>
    </w:lvl>
    <w:lvl w:ilvl="4" w:tplc="10000019" w:tentative="1">
      <w:start w:val="1"/>
      <w:numFmt w:val="lowerLetter"/>
      <w:lvlText w:val="%5."/>
      <w:lvlJc w:val="left"/>
      <w:pPr>
        <w:ind w:left="4314" w:hanging="360"/>
      </w:pPr>
    </w:lvl>
    <w:lvl w:ilvl="5" w:tplc="1000001B" w:tentative="1">
      <w:start w:val="1"/>
      <w:numFmt w:val="lowerRoman"/>
      <w:lvlText w:val="%6."/>
      <w:lvlJc w:val="right"/>
      <w:pPr>
        <w:ind w:left="5034" w:hanging="180"/>
      </w:pPr>
    </w:lvl>
    <w:lvl w:ilvl="6" w:tplc="1000000F" w:tentative="1">
      <w:start w:val="1"/>
      <w:numFmt w:val="decimal"/>
      <w:lvlText w:val="%7."/>
      <w:lvlJc w:val="left"/>
      <w:pPr>
        <w:ind w:left="5754" w:hanging="360"/>
      </w:pPr>
    </w:lvl>
    <w:lvl w:ilvl="7" w:tplc="10000019" w:tentative="1">
      <w:start w:val="1"/>
      <w:numFmt w:val="lowerLetter"/>
      <w:lvlText w:val="%8."/>
      <w:lvlJc w:val="left"/>
      <w:pPr>
        <w:ind w:left="6474" w:hanging="360"/>
      </w:pPr>
    </w:lvl>
    <w:lvl w:ilvl="8" w:tplc="100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7CA4D9E"/>
    <w:multiLevelType w:val="hybridMultilevel"/>
    <w:tmpl w:val="36968E24"/>
    <w:lvl w:ilvl="0" w:tplc="0310E718">
      <w:start w:val="1"/>
      <w:numFmt w:val="lowerLetter"/>
      <w:lvlText w:val="%1."/>
      <w:lvlJc w:val="left"/>
      <w:pPr>
        <w:ind w:left="245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174" w:hanging="360"/>
      </w:pPr>
    </w:lvl>
    <w:lvl w:ilvl="2" w:tplc="1000001B" w:tentative="1">
      <w:start w:val="1"/>
      <w:numFmt w:val="lowerRoman"/>
      <w:lvlText w:val="%3."/>
      <w:lvlJc w:val="right"/>
      <w:pPr>
        <w:ind w:left="3894" w:hanging="180"/>
      </w:pPr>
    </w:lvl>
    <w:lvl w:ilvl="3" w:tplc="1000000F" w:tentative="1">
      <w:start w:val="1"/>
      <w:numFmt w:val="decimal"/>
      <w:lvlText w:val="%4."/>
      <w:lvlJc w:val="left"/>
      <w:pPr>
        <w:ind w:left="4614" w:hanging="360"/>
      </w:pPr>
    </w:lvl>
    <w:lvl w:ilvl="4" w:tplc="10000019" w:tentative="1">
      <w:start w:val="1"/>
      <w:numFmt w:val="lowerLetter"/>
      <w:lvlText w:val="%5."/>
      <w:lvlJc w:val="left"/>
      <w:pPr>
        <w:ind w:left="5334" w:hanging="360"/>
      </w:pPr>
    </w:lvl>
    <w:lvl w:ilvl="5" w:tplc="1000001B" w:tentative="1">
      <w:start w:val="1"/>
      <w:numFmt w:val="lowerRoman"/>
      <w:lvlText w:val="%6."/>
      <w:lvlJc w:val="right"/>
      <w:pPr>
        <w:ind w:left="6054" w:hanging="180"/>
      </w:pPr>
    </w:lvl>
    <w:lvl w:ilvl="6" w:tplc="1000000F" w:tentative="1">
      <w:start w:val="1"/>
      <w:numFmt w:val="decimal"/>
      <w:lvlText w:val="%7."/>
      <w:lvlJc w:val="left"/>
      <w:pPr>
        <w:ind w:left="6774" w:hanging="360"/>
      </w:pPr>
    </w:lvl>
    <w:lvl w:ilvl="7" w:tplc="10000019" w:tentative="1">
      <w:start w:val="1"/>
      <w:numFmt w:val="lowerLetter"/>
      <w:lvlText w:val="%8."/>
      <w:lvlJc w:val="left"/>
      <w:pPr>
        <w:ind w:left="7494" w:hanging="360"/>
      </w:pPr>
    </w:lvl>
    <w:lvl w:ilvl="8" w:tplc="1000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19" w15:restartNumberingAfterBreak="0">
    <w:nsid w:val="786B6393"/>
    <w:multiLevelType w:val="hybridMultilevel"/>
    <w:tmpl w:val="709458B4"/>
    <w:lvl w:ilvl="0" w:tplc="040F000F">
      <w:start w:val="1"/>
      <w:numFmt w:val="decimal"/>
      <w:lvlText w:val="%1."/>
      <w:lvlJc w:val="left"/>
      <w:pPr>
        <w:ind w:left="1434" w:hanging="360"/>
      </w:pPr>
    </w:lvl>
    <w:lvl w:ilvl="1" w:tplc="040F000F">
      <w:start w:val="1"/>
      <w:numFmt w:val="decimal"/>
      <w:lvlText w:val="%2."/>
      <w:lvlJc w:val="left"/>
      <w:pPr>
        <w:ind w:left="2154" w:hanging="360"/>
      </w:pPr>
    </w:lvl>
    <w:lvl w:ilvl="2" w:tplc="1000001B" w:tentative="1">
      <w:start w:val="1"/>
      <w:numFmt w:val="lowerRoman"/>
      <w:lvlText w:val="%3."/>
      <w:lvlJc w:val="right"/>
      <w:pPr>
        <w:ind w:left="2874" w:hanging="180"/>
      </w:pPr>
    </w:lvl>
    <w:lvl w:ilvl="3" w:tplc="1000000F" w:tentative="1">
      <w:start w:val="1"/>
      <w:numFmt w:val="decimal"/>
      <w:lvlText w:val="%4."/>
      <w:lvlJc w:val="left"/>
      <w:pPr>
        <w:ind w:left="3594" w:hanging="360"/>
      </w:pPr>
    </w:lvl>
    <w:lvl w:ilvl="4" w:tplc="10000019" w:tentative="1">
      <w:start w:val="1"/>
      <w:numFmt w:val="lowerLetter"/>
      <w:lvlText w:val="%5."/>
      <w:lvlJc w:val="left"/>
      <w:pPr>
        <w:ind w:left="4314" w:hanging="360"/>
      </w:pPr>
    </w:lvl>
    <w:lvl w:ilvl="5" w:tplc="1000001B" w:tentative="1">
      <w:start w:val="1"/>
      <w:numFmt w:val="lowerRoman"/>
      <w:lvlText w:val="%6."/>
      <w:lvlJc w:val="right"/>
      <w:pPr>
        <w:ind w:left="5034" w:hanging="180"/>
      </w:pPr>
    </w:lvl>
    <w:lvl w:ilvl="6" w:tplc="1000000F" w:tentative="1">
      <w:start w:val="1"/>
      <w:numFmt w:val="decimal"/>
      <w:lvlText w:val="%7."/>
      <w:lvlJc w:val="left"/>
      <w:pPr>
        <w:ind w:left="5754" w:hanging="360"/>
      </w:pPr>
    </w:lvl>
    <w:lvl w:ilvl="7" w:tplc="10000019" w:tentative="1">
      <w:start w:val="1"/>
      <w:numFmt w:val="lowerLetter"/>
      <w:lvlText w:val="%8."/>
      <w:lvlJc w:val="left"/>
      <w:pPr>
        <w:ind w:left="6474" w:hanging="360"/>
      </w:pPr>
    </w:lvl>
    <w:lvl w:ilvl="8" w:tplc="100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20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7"/>
  </w:num>
  <w:num w:numId="14">
    <w:abstractNumId w:val="19"/>
  </w:num>
  <w:num w:numId="15">
    <w:abstractNumId w:val="9"/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E4"/>
    <w:rsid w:val="00021AFC"/>
    <w:rsid w:val="000243BB"/>
    <w:rsid w:val="000307D5"/>
    <w:rsid w:val="00032CE5"/>
    <w:rsid w:val="00033020"/>
    <w:rsid w:val="00033243"/>
    <w:rsid w:val="000407D0"/>
    <w:rsid w:val="00041616"/>
    <w:rsid w:val="00045D78"/>
    <w:rsid w:val="000466B1"/>
    <w:rsid w:val="00053608"/>
    <w:rsid w:val="00057F07"/>
    <w:rsid w:val="00063101"/>
    <w:rsid w:val="000674D2"/>
    <w:rsid w:val="000763B2"/>
    <w:rsid w:val="00076DA6"/>
    <w:rsid w:val="00081929"/>
    <w:rsid w:val="000A0DB1"/>
    <w:rsid w:val="000A26C0"/>
    <w:rsid w:val="000A5B07"/>
    <w:rsid w:val="000A73AD"/>
    <w:rsid w:val="000B21DC"/>
    <w:rsid w:val="000C7544"/>
    <w:rsid w:val="000E525D"/>
    <w:rsid w:val="000F32E3"/>
    <w:rsid w:val="000F480A"/>
    <w:rsid w:val="000F78CB"/>
    <w:rsid w:val="00104AF6"/>
    <w:rsid w:val="00111BA2"/>
    <w:rsid w:val="001136D8"/>
    <w:rsid w:val="001233D5"/>
    <w:rsid w:val="001257FA"/>
    <w:rsid w:val="00127899"/>
    <w:rsid w:val="00140E94"/>
    <w:rsid w:val="001459D0"/>
    <w:rsid w:val="00151A87"/>
    <w:rsid w:val="00160A55"/>
    <w:rsid w:val="001842EC"/>
    <w:rsid w:val="001857C0"/>
    <w:rsid w:val="0019190C"/>
    <w:rsid w:val="00191ACD"/>
    <w:rsid w:val="00193C47"/>
    <w:rsid w:val="001B0F4C"/>
    <w:rsid w:val="001C0944"/>
    <w:rsid w:val="001D1574"/>
    <w:rsid w:val="001F2932"/>
    <w:rsid w:val="001F3082"/>
    <w:rsid w:val="00201B72"/>
    <w:rsid w:val="00203C1E"/>
    <w:rsid w:val="0020659A"/>
    <w:rsid w:val="00213A66"/>
    <w:rsid w:val="00222691"/>
    <w:rsid w:val="002317A1"/>
    <w:rsid w:val="00234F37"/>
    <w:rsid w:val="002611F5"/>
    <w:rsid w:val="002620D7"/>
    <w:rsid w:val="0027222F"/>
    <w:rsid w:val="002740F9"/>
    <w:rsid w:val="0028679E"/>
    <w:rsid w:val="0028744B"/>
    <w:rsid w:val="002A3786"/>
    <w:rsid w:val="002A42E9"/>
    <w:rsid w:val="002B4760"/>
    <w:rsid w:val="002B5251"/>
    <w:rsid w:val="002E33EC"/>
    <w:rsid w:val="002E69FA"/>
    <w:rsid w:val="002E77CA"/>
    <w:rsid w:val="002F5D3B"/>
    <w:rsid w:val="003257A6"/>
    <w:rsid w:val="003472DE"/>
    <w:rsid w:val="00347FAE"/>
    <w:rsid w:val="00364514"/>
    <w:rsid w:val="00373A4C"/>
    <w:rsid w:val="00376B0B"/>
    <w:rsid w:val="00381025"/>
    <w:rsid w:val="00384C8B"/>
    <w:rsid w:val="00384D73"/>
    <w:rsid w:val="003A2F99"/>
    <w:rsid w:val="003A54D0"/>
    <w:rsid w:val="003A57B3"/>
    <w:rsid w:val="003B0A3D"/>
    <w:rsid w:val="003B1949"/>
    <w:rsid w:val="003B4056"/>
    <w:rsid w:val="003B49F3"/>
    <w:rsid w:val="003C0E65"/>
    <w:rsid w:val="003C1D37"/>
    <w:rsid w:val="003C313A"/>
    <w:rsid w:val="003C42E6"/>
    <w:rsid w:val="003E5A99"/>
    <w:rsid w:val="003F6A02"/>
    <w:rsid w:val="0040080B"/>
    <w:rsid w:val="00404536"/>
    <w:rsid w:val="00406240"/>
    <w:rsid w:val="004071D5"/>
    <w:rsid w:val="00407DA3"/>
    <w:rsid w:val="00421672"/>
    <w:rsid w:val="0045707D"/>
    <w:rsid w:val="00461A7F"/>
    <w:rsid w:val="004654C6"/>
    <w:rsid w:val="00466680"/>
    <w:rsid w:val="00474886"/>
    <w:rsid w:val="00476B2D"/>
    <w:rsid w:val="00482CA0"/>
    <w:rsid w:val="00491F76"/>
    <w:rsid w:val="004A1822"/>
    <w:rsid w:val="004A718E"/>
    <w:rsid w:val="004C0324"/>
    <w:rsid w:val="004C4FC1"/>
    <w:rsid w:val="004D1C22"/>
    <w:rsid w:val="004D31B3"/>
    <w:rsid w:val="004E4228"/>
    <w:rsid w:val="004E63E3"/>
    <w:rsid w:val="004E6B71"/>
    <w:rsid w:val="004E73FE"/>
    <w:rsid w:val="004E7BDD"/>
    <w:rsid w:val="005042E6"/>
    <w:rsid w:val="00512B4C"/>
    <w:rsid w:val="00521615"/>
    <w:rsid w:val="005226C3"/>
    <w:rsid w:val="005307E4"/>
    <w:rsid w:val="00550526"/>
    <w:rsid w:val="00560C8A"/>
    <w:rsid w:val="00570C11"/>
    <w:rsid w:val="00576F6A"/>
    <w:rsid w:val="00581133"/>
    <w:rsid w:val="00585CE8"/>
    <w:rsid w:val="00595DB7"/>
    <w:rsid w:val="005B27E8"/>
    <w:rsid w:val="005C1262"/>
    <w:rsid w:val="005E630C"/>
    <w:rsid w:val="005E6AA9"/>
    <w:rsid w:val="005F2BC9"/>
    <w:rsid w:val="005F492B"/>
    <w:rsid w:val="00600697"/>
    <w:rsid w:val="00605975"/>
    <w:rsid w:val="00611219"/>
    <w:rsid w:val="006201E4"/>
    <w:rsid w:val="00621295"/>
    <w:rsid w:val="00626AB0"/>
    <w:rsid w:val="00630698"/>
    <w:rsid w:val="006327B8"/>
    <w:rsid w:val="00651DC0"/>
    <w:rsid w:val="00654F67"/>
    <w:rsid w:val="006604B2"/>
    <w:rsid w:val="006610E9"/>
    <w:rsid w:val="006646A4"/>
    <w:rsid w:val="006650DC"/>
    <w:rsid w:val="00665DCB"/>
    <w:rsid w:val="00673BAD"/>
    <w:rsid w:val="00675BAC"/>
    <w:rsid w:val="00676599"/>
    <w:rsid w:val="0069063D"/>
    <w:rsid w:val="00690BFE"/>
    <w:rsid w:val="0069127C"/>
    <w:rsid w:val="00692737"/>
    <w:rsid w:val="006B386A"/>
    <w:rsid w:val="006B5E2F"/>
    <w:rsid w:val="006C19F8"/>
    <w:rsid w:val="006C7423"/>
    <w:rsid w:val="006D6023"/>
    <w:rsid w:val="006E64A0"/>
    <w:rsid w:val="006F337E"/>
    <w:rsid w:val="006F7DE4"/>
    <w:rsid w:val="006F7F05"/>
    <w:rsid w:val="00704D9A"/>
    <w:rsid w:val="0071083E"/>
    <w:rsid w:val="007252E2"/>
    <w:rsid w:val="00737F27"/>
    <w:rsid w:val="00740341"/>
    <w:rsid w:val="00741653"/>
    <w:rsid w:val="00750EB1"/>
    <w:rsid w:val="007657D2"/>
    <w:rsid w:val="00773A48"/>
    <w:rsid w:val="007746C4"/>
    <w:rsid w:val="00785D12"/>
    <w:rsid w:val="007965DC"/>
    <w:rsid w:val="00796871"/>
    <w:rsid w:val="007A3592"/>
    <w:rsid w:val="007B3594"/>
    <w:rsid w:val="007B65C9"/>
    <w:rsid w:val="007B699B"/>
    <w:rsid w:val="007C094C"/>
    <w:rsid w:val="007C3FEE"/>
    <w:rsid w:val="007C446F"/>
    <w:rsid w:val="007D6C95"/>
    <w:rsid w:val="007F191A"/>
    <w:rsid w:val="007F4D61"/>
    <w:rsid w:val="007F6BE5"/>
    <w:rsid w:val="00820737"/>
    <w:rsid w:val="00826DE2"/>
    <w:rsid w:val="008304F5"/>
    <w:rsid w:val="0085183E"/>
    <w:rsid w:val="008523F6"/>
    <w:rsid w:val="00860326"/>
    <w:rsid w:val="0086253F"/>
    <w:rsid w:val="00862CDE"/>
    <w:rsid w:val="00882D9F"/>
    <w:rsid w:val="008C1A82"/>
    <w:rsid w:val="008C6F2A"/>
    <w:rsid w:val="008C7824"/>
    <w:rsid w:val="008E3591"/>
    <w:rsid w:val="008E40C4"/>
    <w:rsid w:val="008E59C0"/>
    <w:rsid w:val="008E6855"/>
    <w:rsid w:val="008F61FF"/>
    <w:rsid w:val="008F79A6"/>
    <w:rsid w:val="00900D88"/>
    <w:rsid w:val="0090130F"/>
    <w:rsid w:val="0090793B"/>
    <w:rsid w:val="00916B41"/>
    <w:rsid w:val="00917EBE"/>
    <w:rsid w:val="00931B64"/>
    <w:rsid w:val="00937526"/>
    <w:rsid w:val="00951BEF"/>
    <w:rsid w:val="00985118"/>
    <w:rsid w:val="009923D8"/>
    <w:rsid w:val="009A73A4"/>
    <w:rsid w:val="009C5877"/>
    <w:rsid w:val="009E4504"/>
    <w:rsid w:val="009E4584"/>
    <w:rsid w:val="009E5B56"/>
    <w:rsid w:val="009F1E0A"/>
    <w:rsid w:val="00A17FA6"/>
    <w:rsid w:val="00A21ACA"/>
    <w:rsid w:val="00A251C6"/>
    <w:rsid w:val="00A278CD"/>
    <w:rsid w:val="00A27EC2"/>
    <w:rsid w:val="00A32614"/>
    <w:rsid w:val="00A32CBC"/>
    <w:rsid w:val="00A3401C"/>
    <w:rsid w:val="00A40056"/>
    <w:rsid w:val="00A40B22"/>
    <w:rsid w:val="00A437E4"/>
    <w:rsid w:val="00A469EF"/>
    <w:rsid w:val="00A46C01"/>
    <w:rsid w:val="00A543F0"/>
    <w:rsid w:val="00A5448C"/>
    <w:rsid w:val="00A61493"/>
    <w:rsid w:val="00A74890"/>
    <w:rsid w:val="00A92298"/>
    <w:rsid w:val="00AA3BF3"/>
    <w:rsid w:val="00AE010F"/>
    <w:rsid w:val="00AF3C5C"/>
    <w:rsid w:val="00AF6F49"/>
    <w:rsid w:val="00B07729"/>
    <w:rsid w:val="00B4155C"/>
    <w:rsid w:val="00B46C7A"/>
    <w:rsid w:val="00B85183"/>
    <w:rsid w:val="00B915C1"/>
    <w:rsid w:val="00BB0BBD"/>
    <w:rsid w:val="00BF6A62"/>
    <w:rsid w:val="00C041B6"/>
    <w:rsid w:val="00C326F9"/>
    <w:rsid w:val="00C35461"/>
    <w:rsid w:val="00C36EF7"/>
    <w:rsid w:val="00C42796"/>
    <w:rsid w:val="00C807BA"/>
    <w:rsid w:val="00C84CF4"/>
    <w:rsid w:val="00C91B64"/>
    <w:rsid w:val="00C95BE2"/>
    <w:rsid w:val="00C96A85"/>
    <w:rsid w:val="00C97C62"/>
    <w:rsid w:val="00CA0EF8"/>
    <w:rsid w:val="00CA7474"/>
    <w:rsid w:val="00CB32B3"/>
    <w:rsid w:val="00CD2D31"/>
    <w:rsid w:val="00CF5C52"/>
    <w:rsid w:val="00CF632C"/>
    <w:rsid w:val="00D03EC6"/>
    <w:rsid w:val="00D140AF"/>
    <w:rsid w:val="00D22B28"/>
    <w:rsid w:val="00D25AA3"/>
    <w:rsid w:val="00D40CFF"/>
    <w:rsid w:val="00D41EF4"/>
    <w:rsid w:val="00D70DBC"/>
    <w:rsid w:val="00D818EF"/>
    <w:rsid w:val="00D86367"/>
    <w:rsid w:val="00D873FF"/>
    <w:rsid w:val="00D95E2C"/>
    <w:rsid w:val="00DB1552"/>
    <w:rsid w:val="00DB59B3"/>
    <w:rsid w:val="00DF1A89"/>
    <w:rsid w:val="00DF6863"/>
    <w:rsid w:val="00E170FA"/>
    <w:rsid w:val="00E25D36"/>
    <w:rsid w:val="00E32BE1"/>
    <w:rsid w:val="00E376D8"/>
    <w:rsid w:val="00E40DEE"/>
    <w:rsid w:val="00E46666"/>
    <w:rsid w:val="00E61505"/>
    <w:rsid w:val="00E65C91"/>
    <w:rsid w:val="00E66AA8"/>
    <w:rsid w:val="00E73C8F"/>
    <w:rsid w:val="00E82DD9"/>
    <w:rsid w:val="00E9113B"/>
    <w:rsid w:val="00E91D53"/>
    <w:rsid w:val="00E96B05"/>
    <w:rsid w:val="00EA1CE1"/>
    <w:rsid w:val="00EA1E10"/>
    <w:rsid w:val="00EB03CE"/>
    <w:rsid w:val="00EB5841"/>
    <w:rsid w:val="00EC7318"/>
    <w:rsid w:val="00ED2BD5"/>
    <w:rsid w:val="00ED789A"/>
    <w:rsid w:val="00EE0694"/>
    <w:rsid w:val="00EE1918"/>
    <w:rsid w:val="00EE319F"/>
    <w:rsid w:val="00EE4DFB"/>
    <w:rsid w:val="00EE6941"/>
    <w:rsid w:val="00EF0B74"/>
    <w:rsid w:val="00EF59B1"/>
    <w:rsid w:val="00EF6831"/>
    <w:rsid w:val="00F00B77"/>
    <w:rsid w:val="00F13D0C"/>
    <w:rsid w:val="00F1564C"/>
    <w:rsid w:val="00F206A2"/>
    <w:rsid w:val="00F2783E"/>
    <w:rsid w:val="00F33A0B"/>
    <w:rsid w:val="00F420EE"/>
    <w:rsid w:val="00F46DD1"/>
    <w:rsid w:val="00F47EE0"/>
    <w:rsid w:val="00F6327C"/>
    <w:rsid w:val="00F63F8C"/>
    <w:rsid w:val="00F83221"/>
    <w:rsid w:val="00F96947"/>
    <w:rsid w:val="00FA1304"/>
    <w:rsid w:val="00FA40D4"/>
    <w:rsid w:val="00FC76D6"/>
    <w:rsid w:val="00FD207E"/>
    <w:rsid w:val="00FD4B0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3E5"/>
  <w15:docId w15:val="{F8C67A3C-366D-4F9F-A24D-41006C9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7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A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A32E8841241DD944D9AF47E30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EDBC-CFB6-4AD9-9C22-D7DB13867B81}"/>
      </w:docPartPr>
      <w:docPartBody>
        <w:p w:rsidR="00040DCA" w:rsidRDefault="000F0461" w:rsidP="000F0461">
          <w:pPr>
            <w:pStyle w:val="4BAA32E8841241DD944D9AF47E30EADB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6C08A7672E5149768638A84C9AFF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9528-1C3C-4A25-ADD2-97CB04DC9E71}"/>
      </w:docPartPr>
      <w:docPartBody>
        <w:p w:rsidR="00040DCA" w:rsidRDefault="000F0461" w:rsidP="000F0461">
          <w:pPr>
            <w:pStyle w:val="6C08A7672E5149768638A84C9AFFC3AE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461"/>
    <w:rsid w:val="00040DCA"/>
    <w:rsid w:val="000F0461"/>
    <w:rsid w:val="00233B23"/>
    <w:rsid w:val="003453C1"/>
    <w:rsid w:val="003C0145"/>
    <w:rsid w:val="00C32C83"/>
    <w:rsid w:val="00D97F5E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AA32E8841241DD944D9AF47E30EADB">
    <w:name w:val="4BAA32E8841241DD944D9AF47E30EADB"/>
    <w:rsid w:val="000F0461"/>
  </w:style>
  <w:style w:type="paragraph" w:customStyle="1" w:styleId="6C08A7672E5149768638A84C9AFFC3AE">
    <w:name w:val="6C08A7672E5149768638A84C9AFFC3AE"/>
    <w:rsid w:val="000F0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F886FF52904BB16E88A148B6A313" ma:contentTypeVersion="6" ma:contentTypeDescription="Create a new document." ma:contentTypeScope="" ma:versionID="f2f6e889bb8328d9b910e5d666a48f33">
  <xsd:schema xmlns:xsd="http://www.w3.org/2001/XMLSchema" xmlns:xs="http://www.w3.org/2001/XMLSchema" xmlns:p="http://schemas.microsoft.com/office/2006/metadata/properties" xmlns:ns2="522b89af-22ed-487b-952c-50e061635064" targetNamespace="http://schemas.microsoft.com/office/2006/metadata/properties" ma:root="true" ma:fieldsID="3af7c3a7dc1f7549224af2137871a0f1" ns2:_="">
    <xsd:import namespace="522b89af-22ed-487b-952c-50e06163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89af-22ed-487b-952c-50e061635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CCE5-C5B8-4158-9AEF-5968DD34D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66F32-B1FE-4FDD-BE9B-7457563C8FC8}">
  <ds:schemaRefs>
    <ds:schemaRef ds:uri="522b89af-22ed-487b-952c-50e061635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59F90-C58E-417C-9B8C-1D1A9A0F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89af-22ed-487b-952c-50e06163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ECDED-6C25-4270-B547-EA1B600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Þorleifsdóttir</dc:creator>
  <cp:lastModifiedBy>Sóley Ragnarsdóttir</cp:lastModifiedBy>
  <cp:revision>3</cp:revision>
  <cp:lastPrinted>2018-03-19T15:50:00Z</cp:lastPrinted>
  <dcterms:created xsi:type="dcterms:W3CDTF">2019-01-03T13:22:00Z</dcterms:created>
  <dcterms:modified xsi:type="dcterms:W3CDTF">2019-01-03T13:36:00Z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0x0101001519F886FF52904BB16E88A148B6A313</vt:lpwstr>
  </property>
</Properties>
</file>