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2A148C" w:rsidRPr="00F62C2F" w14:paraId="5E2364EA"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2406203C" w14:textId="77777777" w:rsidR="002A148C" w:rsidRPr="00F62C2F" w:rsidRDefault="002A148C" w:rsidP="00DA27FF">
            <w:pPr>
              <w:spacing w:before="120" w:after="120"/>
              <w:jc w:val="center"/>
              <w:rPr>
                <w:rFonts w:ascii="Times New Roman" w:hAnsi="Times New Roman"/>
                <w:b/>
                <w:sz w:val="32"/>
                <w:szCs w:val="32"/>
                <w:lang w:val="is-IS"/>
              </w:rPr>
            </w:pPr>
            <w:bookmarkStart w:id="0" w:name="_Hlk9845409"/>
            <w:bookmarkStart w:id="1" w:name="_GoBack"/>
            <w:bookmarkEnd w:id="1"/>
            <w:r w:rsidRPr="00F62C2F">
              <w:rPr>
                <w:rFonts w:ascii="Times New Roman" w:hAnsi="Times New Roman"/>
                <w:i/>
                <w:noProof/>
              </w:rPr>
              <w:drawing>
                <wp:inline distT="0" distB="0" distL="0" distR="0" wp14:anchorId="0D9015B0" wp14:editId="6B9CB2EA">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A0F75D7" w14:textId="77777777" w:rsidR="002A148C" w:rsidRPr="00F62C2F" w:rsidRDefault="002A148C" w:rsidP="0012646E">
            <w:pPr>
              <w:spacing w:before="400" w:after="120"/>
              <w:rPr>
                <w:rFonts w:ascii="Times New Roman" w:hAnsi="Times New Roman"/>
                <w:b/>
                <w:sz w:val="32"/>
                <w:szCs w:val="32"/>
                <w:lang w:val="is-IS"/>
              </w:rPr>
            </w:pPr>
            <w:r w:rsidRPr="00F62C2F">
              <w:rPr>
                <w:rFonts w:ascii="Times New Roman" w:hAnsi="Times New Roman"/>
                <w:b/>
                <w:sz w:val="32"/>
                <w:szCs w:val="32"/>
                <w:lang w:val="is-IS"/>
              </w:rPr>
              <w:t xml:space="preserve">      MAT Á ÁHRIFUM LAGASETNINGAR*</w:t>
            </w:r>
          </w:p>
          <w:p w14:paraId="5E287CFD" w14:textId="77777777" w:rsidR="002A148C" w:rsidRPr="00F62C2F" w:rsidRDefault="002A148C" w:rsidP="00F33A33">
            <w:pPr>
              <w:spacing w:before="120" w:after="60"/>
              <w:rPr>
                <w:rFonts w:ascii="Times New Roman" w:hAnsi="Times New Roman"/>
                <w:i/>
                <w:lang w:val="is-IS"/>
              </w:rPr>
            </w:pPr>
            <w:r w:rsidRPr="00F62C2F">
              <w:rPr>
                <w:rFonts w:ascii="Times New Roman" w:hAnsi="Times New Roman"/>
                <w:i/>
                <w:lang w:val="is-IS"/>
              </w:rPr>
              <w:t xml:space="preserve">                   – sbr. samþykkt ríkisstjórnar frá 10. mars 2017</w:t>
            </w:r>
          </w:p>
          <w:p w14:paraId="524FE57A" w14:textId="77777777" w:rsidR="002A148C" w:rsidRPr="00F62C2F" w:rsidRDefault="002A148C" w:rsidP="00F33A33">
            <w:pPr>
              <w:spacing w:before="60" w:after="60"/>
              <w:rPr>
                <w:rFonts w:ascii="Times New Roman" w:hAnsi="Times New Roman"/>
                <w:i/>
                <w:lang w:val="is-IS"/>
              </w:rPr>
            </w:pPr>
            <w:r w:rsidRPr="00F62C2F">
              <w:rPr>
                <w:rFonts w:ascii="Times New Roman" w:hAnsi="Times New Roman"/>
                <w:b/>
                <w:sz w:val="32"/>
                <w:szCs w:val="32"/>
                <w:lang w:val="is-IS"/>
              </w:rPr>
              <w:t>*</w:t>
            </w:r>
            <w:r w:rsidRPr="00F62C2F">
              <w:rPr>
                <w:rFonts w:ascii="Times New Roman" w:hAnsi="Times New Roman"/>
                <w:sz w:val="20"/>
                <w:szCs w:val="20"/>
                <w:lang w:val="is-IS"/>
              </w:rPr>
              <w:t>umfjöllun um einstök efnisatriði misjafnlega ítarleg, eftir umfangi máls og eðli</w:t>
            </w:r>
          </w:p>
        </w:tc>
      </w:tr>
      <w:tr w:rsidR="002D6F91" w:rsidRPr="00F62C2F" w14:paraId="4A472375"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0EE35EEB" w14:textId="77777777" w:rsidR="002D6F91" w:rsidRPr="00F62C2F" w:rsidRDefault="002D6F91" w:rsidP="005C52DD">
            <w:pPr>
              <w:spacing w:before="60" w:after="60"/>
              <w:jc w:val="both"/>
              <w:rPr>
                <w:rFonts w:ascii="Times New Roman" w:hAnsi="Times New Roman"/>
                <w:b/>
                <w:lang w:val="is-IS"/>
              </w:rPr>
            </w:pPr>
            <w:r w:rsidRPr="00F62C2F">
              <w:rPr>
                <w:rFonts w:ascii="Times New Roman" w:hAnsi="Times New Roman"/>
                <w:b/>
                <w:lang w:val="is-IS"/>
              </w:rPr>
              <w:t>Málsheiti og nr.</w:t>
            </w:r>
          </w:p>
        </w:tc>
        <w:sdt>
          <w:sdtPr>
            <w:rPr>
              <w:rFonts w:ascii="Times New Roman" w:hAnsi="Times New Roman"/>
            </w:rPr>
            <w:id w:val="764192880"/>
            <w:placeholder>
              <w:docPart w:val="8E493276E69F42C0A30B74FEF0F33FE3"/>
            </w:placeholder>
          </w:sdtPr>
          <w:sdtEndPr/>
          <w:sdtContent>
            <w:tc>
              <w:tcPr>
                <w:tcW w:w="7479" w:type="dxa"/>
                <w:tcBorders>
                  <w:top w:val="single" w:sz="4" w:space="0" w:color="auto"/>
                  <w:bottom w:val="single" w:sz="4" w:space="0" w:color="auto"/>
                </w:tcBorders>
              </w:tcPr>
              <w:p w14:paraId="43BD2527" w14:textId="4CC34742" w:rsidR="002D6F91" w:rsidRPr="00F62C2F" w:rsidRDefault="002D6F91" w:rsidP="005C52DD">
                <w:pPr>
                  <w:spacing w:before="60"/>
                  <w:jc w:val="both"/>
                  <w:rPr>
                    <w:rFonts w:ascii="Times New Roman" w:hAnsi="Times New Roman"/>
                    <w:lang w:val="is-IS"/>
                  </w:rPr>
                </w:pPr>
                <w:r w:rsidRPr="00F62C2F">
                  <w:rPr>
                    <w:rFonts w:ascii="Times New Roman" w:hAnsi="Times New Roman"/>
                    <w:lang w:val="is-IS"/>
                  </w:rPr>
                  <w:t xml:space="preserve">Frumvarp til laga um </w:t>
                </w:r>
                <w:r w:rsidR="001C0A3D" w:rsidRPr="00F62C2F">
                  <w:rPr>
                    <w:rFonts w:ascii="Times New Roman" w:hAnsi="Times New Roman"/>
                    <w:lang w:val="is-IS"/>
                  </w:rPr>
                  <w:t>fjárhagslegar viðmiðanir</w:t>
                </w:r>
                <w:r w:rsidRPr="00F62C2F">
                  <w:rPr>
                    <w:rFonts w:ascii="Times New Roman" w:hAnsi="Times New Roman"/>
                    <w:lang w:val="is-IS"/>
                  </w:rPr>
                  <w:t xml:space="preserve"> / FJR19040078</w:t>
                </w:r>
              </w:p>
            </w:tc>
          </w:sdtContent>
        </w:sdt>
      </w:tr>
      <w:tr w:rsidR="002D6F91" w:rsidRPr="00F62C2F" w14:paraId="635A5BD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62814A0" w14:textId="77777777" w:rsidR="002D6F91" w:rsidRPr="00F62C2F" w:rsidRDefault="002D6F91" w:rsidP="005C52DD">
            <w:pPr>
              <w:spacing w:before="60" w:after="60"/>
              <w:jc w:val="both"/>
              <w:rPr>
                <w:rFonts w:ascii="Times New Roman" w:hAnsi="Times New Roman"/>
                <w:b/>
                <w:lang w:val="is-IS"/>
              </w:rPr>
            </w:pPr>
            <w:r w:rsidRPr="00F62C2F">
              <w:rPr>
                <w:rFonts w:ascii="Times New Roman" w:hAnsi="Times New Roman"/>
                <w:b/>
                <w:lang w:val="is-IS"/>
              </w:rPr>
              <w:t xml:space="preserve">Ráðuneyti </w:t>
            </w:r>
          </w:p>
        </w:tc>
        <w:sdt>
          <w:sdtPr>
            <w:rPr>
              <w:rFonts w:ascii="Times New Roman" w:hAnsi="Times New Roman"/>
            </w:rPr>
            <w:id w:val="1126588465"/>
            <w:placeholder>
              <w:docPart w:val="3428B75E9CEB45B2A6CCFCF515956FDC"/>
            </w:placeholder>
          </w:sdtPr>
          <w:sdtEndPr/>
          <w:sdtContent>
            <w:tc>
              <w:tcPr>
                <w:tcW w:w="7479" w:type="dxa"/>
                <w:tcBorders>
                  <w:bottom w:val="nil"/>
                </w:tcBorders>
              </w:tcPr>
              <w:p w14:paraId="6AABFEC9" w14:textId="7A9187EA" w:rsidR="002D6F91" w:rsidRPr="00F62C2F" w:rsidRDefault="002D6F91" w:rsidP="005C52DD">
                <w:pPr>
                  <w:spacing w:before="60"/>
                  <w:jc w:val="both"/>
                  <w:rPr>
                    <w:rFonts w:ascii="Times New Roman" w:hAnsi="Times New Roman"/>
                    <w:lang w:val="is-IS"/>
                  </w:rPr>
                </w:pPr>
                <w:r w:rsidRPr="00F62C2F">
                  <w:rPr>
                    <w:rFonts w:ascii="Times New Roman" w:hAnsi="Times New Roman"/>
                    <w:lang w:val="is-IS"/>
                  </w:rPr>
                  <w:t>Fjármála- og efnahagsráðuneyti</w:t>
                </w:r>
              </w:p>
            </w:tc>
          </w:sdtContent>
        </w:sdt>
      </w:tr>
      <w:tr w:rsidR="002D6F91" w:rsidRPr="00F62C2F" w14:paraId="7AF1B81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C82BD8C" w14:textId="77777777" w:rsidR="002D6F91" w:rsidRPr="00F62C2F" w:rsidRDefault="002D6F91" w:rsidP="005C52DD">
            <w:pPr>
              <w:spacing w:before="60" w:after="60"/>
              <w:jc w:val="both"/>
              <w:rPr>
                <w:rFonts w:ascii="Times New Roman" w:hAnsi="Times New Roman"/>
                <w:b/>
                <w:lang w:val="is-IS"/>
              </w:rPr>
            </w:pPr>
            <w:r w:rsidRPr="00F62C2F">
              <w:rPr>
                <w:rFonts w:ascii="Times New Roman" w:hAnsi="Times New Roman"/>
                <w:b/>
                <w:lang w:val="is-IS"/>
              </w:rPr>
              <w:t>Stig mats</w:t>
            </w:r>
          </w:p>
        </w:tc>
        <w:tc>
          <w:tcPr>
            <w:tcW w:w="7479" w:type="dxa"/>
            <w:tcBorders>
              <w:bottom w:val="nil"/>
            </w:tcBorders>
          </w:tcPr>
          <w:p w14:paraId="5EAE674B" w14:textId="77777777" w:rsidR="002D6F91" w:rsidRPr="00F62C2F" w:rsidRDefault="008F098B" w:rsidP="005C52DD">
            <w:pPr>
              <w:spacing w:before="60"/>
              <w:jc w:val="both"/>
              <w:rPr>
                <w:rFonts w:ascii="Times New Roman" w:hAnsi="Times New Roman"/>
                <w:lang w:val="is-IS"/>
              </w:rPr>
            </w:pPr>
            <w:sdt>
              <w:sdtPr>
                <w:rPr>
                  <w:rFonts w:ascii="Times New Roman" w:hAnsi="Times New Roman"/>
                </w:rPr>
                <w:id w:val="-2079593582"/>
                <w14:checkbox>
                  <w14:checked w14:val="1"/>
                  <w14:checkedState w14:val="2612" w14:font="MS Gothic"/>
                  <w14:uncheckedState w14:val="2610" w14:font="MS Gothic"/>
                </w14:checkbox>
              </w:sdtPr>
              <w:sdtEndPr/>
              <w:sdtContent>
                <w:r w:rsidR="002D6F91" w:rsidRPr="00F62C2F">
                  <w:rPr>
                    <w:rFonts w:ascii="MS Gothic" w:eastAsia="MS Gothic" w:hAnsi="MS Gothic" w:hint="eastAsia"/>
                  </w:rPr>
                  <w:t>☒</w:t>
                </w:r>
              </w:sdtContent>
            </w:sdt>
            <w:r w:rsidR="002D6F91" w:rsidRPr="00F62C2F">
              <w:rPr>
                <w:rFonts w:ascii="Times New Roman" w:hAnsi="Times New Roman"/>
                <w:lang w:val="is-IS"/>
              </w:rPr>
              <w:t xml:space="preserve"> Frummat, sbr. 1. gr.</w:t>
            </w:r>
          </w:p>
          <w:p w14:paraId="63BD945E" w14:textId="77777777" w:rsidR="002D6F91" w:rsidRPr="00F62C2F" w:rsidRDefault="008F098B" w:rsidP="005C52DD">
            <w:pPr>
              <w:spacing w:before="60"/>
              <w:jc w:val="both"/>
              <w:rPr>
                <w:rFonts w:ascii="Times New Roman" w:hAnsi="Times New Roman"/>
                <w:lang w:val="is-IS"/>
              </w:rPr>
            </w:pPr>
            <w:sdt>
              <w:sdtPr>
                <w:rPr>
                  <w:rFonts w:ascii="Times New Roman" w:hAnsi="Times New Roman"/>
                </w:rPr>
                <w:id w:val="466950021"/>
                <w14:checkbox>
                  <w14:checked w14:val="0"/>
                  <w14:checkedState w14:val="2612" w14:font="MS Gothic"/>
                  <w14:uncheckedState w14:val="2610" w14:font="MS Gothic"/>
                </w14:checkbox>
              </w:sdtPr>
              <w:sdtEndPr/>
              <w:sdtContent>
                <w:r w:rsidR="002D6F91" w:rsidRPr="00F62C2F">
                  <w:rPr>
                    <w:rFonts w:ascii="MS Gothic" w:eastAsia="MS Gothic" w:hAnsi="MS Gothic" w:hint="eastAsia"/>
                    <w:lang w:val="is-IS"/>
                  </w:rPr>
                  <w:t>☐</w:t>
                </w:r>
              </w:sdtContent>
            </w:sdt>
            <w:r w:rsidR="002D6F91" w:rsidRPr="00F62C2F">
              <w:rPr>
                <w:rFonts w:ascii="Times New Roman" w:hAnsi="Times New Roman"/>
                <w:lang w:val="is-IS"/>
              </w:rPr>
              <w:t xml:space="preserve"> Endanlegt mat, sbr. 10. gr. </w:t>
            </w:r>
          </w:p>
        </w:tc>
      </w:tr>
      <w:tr w:rsidR="002D6F91" w:rsidRPr="00F62C2F" w14:paraId="7C728290"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630DB79" w14:textId="77777777" w:rsidR="002D6F91" w:rsidRPr="00F62C2F" w:rsidRDefault="002D6F91" w:rsidP="005C52DD">
            <w:pPr>
              <w:spacing w:before="60" w:after="60"/>
              <w:jc w:val="both"/>
              <w:rPr>
                <w:rFonts w:ascii="Times New Roman" w:hAnsi="Times New Roman"/>
                <w:b/>
                <w:lang w:val="is-IS"/>
              </w:rPr>
            </w:pPr>
            <w:r w:rsidRPr="00F62C2F">
              <w:rPr>
                <w:rFonts w:ascii="Times New Roman" w:hAnsi="Times New Roman"/>
                <w:b/>
                <w:lang w:val="is-IS"/>
              </w:rPr>
              <w:t>Dags.</w:t>
            </w:r>
          </w:p>
        </w:tc>
        <w:sdt>
          <w:sdtPr>
            <w:rPr>
              <w:rFonts w:ascii="Times New Roman" w:hAnsi="Times New Roman"/>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3B606795" w14:textId="5446C05A" w:rsidR="002D6F91" w:rsidRPr="00F62C2F" w:rsidRDefault="00F83545" w:rsidP="005C52DD">
                <w:pPr>
                  <w:spacing w:before="60"/>
                  <w:jc w:val="both"/>
                  <w:rPr>
                    <w:rFonts w:ascii="Times New Roman" w:hAnsi="Times New Roman"/>
                    <w:lang w:val="is-IS"/>
                  </w:rPr>
                </w:pPr>
                <w:r>
                  <w:rPr>
                    <w:rFonts w:ascii="Times New Roman" w:hAnsi="Times New Roman"/>
                    <w:lang w:val="is-IS"/>
                  </w:rPr>
                  <w:t>5</w:t>
                </w:r>
                <w:r w:rsidR="00964983">
                  <w:rPr>
                    <w:rFonts w:ascii="Times New Roman" w:hAnsi="Times New Roman"/>
                    <w:lang w:val="is-IS"/>
                  </w:rPr>
                  <w:t>. júlí</w:t>
                </w:r>
                <w:r w:rsidR="002D6F91" w:rsidRPr="00F62C2F">
                  <w:rPr>
                    <w:rFonts w:ascii="Times New Roman" w:hAnsi="Times New Roman"/>
                    <w:lang w:val="is-IS"/>
                  </w:rPr>
                  <w:t xml:space="preserve"> 2019</w:t>
                </w:r>
              </w:p>
            </w:tc>
          </w:sdtContent>
        </w:sdt>
      </w:tr>
    </w:tbl>
    <w:p w14:paraId="5007BA6F" w14:textId="77777777" w:rsidR="002A148C" w:rsidRPr="00F62C2F" w:rsidRDefault="002A148C" w:rsidP="005C52DD">
      <w:pPr>
        <w:spacing w:after="0" w:line="240" w:lineRule="auto"/>
        <w:jc w:val="both"/>
        <w:rPr>
          <w:sz w:val="20"/>
          <w:szCs w:val="20"/>
        </w:rPr>
      </w:pPr>
    </w:p>
    <w:tbl>
      <w:tblPr>
        <w:tblStyle w:val="TableGrid"/>
        <w:tblW w:w="9288" w:type="dxa"/>
        <w:tblLayout w:type="fixed"/>
        <w:tblLook w:val="04A0" w:firstRow="1" w:lastRow="0" w:firstColumn="1" w:lastColumn="0" w:noHBand="0" w:noVBand="1"/>
      </w:tblPr>
      <w:tblGrid>
        <w:gridCol w:w="9288"/>
      </w:tblGrid>
      <w:tr w:rsidR="002A148C" w:rsidRPr="00F62C2F" w14:paraId="26352BB0" w14:textId="77777777" w:rsidTr="007414CB">
        <w:tc>
          <w:tcPr>
            <w:tcW w:w="9288" w:type="dxa"/>
            <w:shd w:val="clear" w:color="auto" w:fill="9CC2E5" w:themeFill="accent5" w:themeFillTint="99"/>
          </w:tcPr>
          <w:p w14:paraId="5388125C"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t>Greining og mat á fjárhagslegum áhrifaþáttum fyrir ríkið</w:t>
            </w:r>
          </w:p>
        </w:tc>
      </w:tr>
      <w:tr w:rsidR="002A148C" w:rsidRPr="00F62C2F" w14:paraId="12A80A88"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 w14:paraId="60D9D7BA" w14:textId="77777777" w:rsidR="002A148C" w:rsidRPr="00F62C2F" w:rsidRDefault="002A148C" w:rsidP="005C52DD">
                <w:pPr>
                  <w:pStyle w:val="ListParagraph"/>
                  <w:numPr>
                    <w:ilvl w:val="0"/>
                    <w:numId w:val="3"/>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Áætluð fjárhagsáhrif fyrir ríkið vegna helstu breytinga og ráðstafana sem felast í fyrirhugaðri lagasetningu, þar sem tilgreindir eru sérstaklega áhrifaþættir á fjárhag ríkissjóðs</w:t>
                </w:r>
              </w:p>
              <w:p w14:paraId="2035DDC7" w14:textId="77777777" w:rsidR="002A148C" w:rsidRPr="00F62C2F" w:rsidRDefault="002A148C" w:rsidP="005C52DD">
                <w:pPr>
                  <w:pStyle w:val="ListParagraph"/>
                  <w:numPr>
                    <w:ilvl w:val="0"/>
                    <w:numId w:val="7"/>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Hvaða fjárhagsgreining, rekstraráætlanir, reiknilíkön eða önnur áætlanagerð hefur farið fram við undirbúning fjárhagsmatsins?</w:t>
                </w:r>
              </w:p>
              <w:p w14:paraId="71E30C94" w14:textId="536FBF94" w:rsidR="000B1A97" w:rsidRDefault="00C53C29" w:rsidP="000B1A97">
                <w:pPr>
                  <w:spacing w:before="60" w:after="60"/>
                  <w:ind w:left="720"/>
                  <w:jc w:val="both"/>
                  <w:rPr>
                    <w:rFonts w:ascii="Times New Roman" w:hAnsi="Times New Roman" w:cs="Times New Roman"/>
                    <w:lang w:val="is-IS"/>
                  </w:rPr>
                </w:pPr>
                <w:r w:rsidRPr="00C53C29">
                  <w:rPr>
                    <w:rFonts w:ascii="Times New Roman" w:hAnsi="Times New Roman" w:cs="Times New Roman"/>
                    <w:lang w:val="is-IS"/>
                  </w:rPr>
                  <w:t xml:space="preserve">Óskað var eftir mati Fjármálaeftirlitsins á áhrifum á starfsemi stofnunarinnar, þar á meðal hvort fyrirséð væri að fjölga þyrfti starfsfólki eða að annar viðvarandi eða einskiptiskostnaður félli til. </w:t>
                </w:r>
              </w:p>
              <w:p w14:paraId="1FFA9300" w14:textId="5EE4366D" w:rsidR="002A148C" w:rsidRPr="00F62C2F" w:rsidRDefault="002A148C" w:rsidP="005C52DD">
                <w:pPr>
                  <w:pStyle w:val="ListParagraph"/>
                  <w:numPr>
                    <w:ilvl w:val="0"/>
                    <w:numId w:val="7"/>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Helstu forsendur sem áætlanir byggja</w:t>
                </w:r>
                <w:r w:rsidR="004D7195" w:rsidRPr="00F62C2F">
                  <w:rPr>
                    <w:rFonts w:ascii="Times New Roman" w:hAnsi="Times New Roman" w:cs="Times New Roman"/>
                    <w:i/>
                    <w:lang w:val="is-IS"/>
                  </w:rPr>
                  <w:t>st</w:t>
                </w:r>
                <w:r w:rsidRPr="00F62C2F">
                  <w:rPr>
                    <w:rFonts w:ascii="Times New Roman" w:hAnsi="Times New Roman" w:cs="Times New Roman"/>
                    <w:i/>
                    <w:lang w:val="is-IS"/>
                  </w:rPr>
                  <w:t xml:space="preserve"> á og næmni niðurstaðna fyrir frávikum</w:t>
                </w:r>
              </w:p>
              <w:p w14:paraId="5BF4EC64" w14:textId="27C35CBE" w:rsidR="00C53C29" w:rsidRPr="00C53C29" w:rsidRDefault="00C53C29" w:rsidP="00C53C29">
                <w:pPr>
                  <w:spacing w:before="60" w:after="60"/>
                  <w:ind w:left="720"/>
                  <w:jc w:val="both"/>
                  <w:rPr>
                    <w:rFonts w:ascii="Times New Roman" w:hAnsi="Times New Roman" w:cs="Times New Roman"/>
                    <w:lang w:val="is-IS"/>
                  </w:rPr>
                </w:pPr>
                <w:r w:rsidRPr="00C53C29">
                  <w:rPr>
                    <w:rFonts w:ascii="Times New Roman" w:hAnsi="Times New Roman" w:cs="Times New Roman"/>
                    <w:lang w:val="is-IS"/>
                  </w:rPr>
                  <w:t xml:space="preserve">Mat Fjármálaeftirlitsins byggist á áætlun um þau verkefni sem fylgi lögfestingu </w:t>
                </w:r>
                <w:r w:rsidR="000B1A97">
                  <w:rPr>
                    <w:rFonts w:ascii="Times New Roman" w:hAnsi="Times New Roman" w:cs="Times New Roman"/>
                    <w:lang w:val="is-IS"/>
                  </w:rPr>
                  <w:t>viðmiðanareglugerðarinnar</w:t>
                </w:r>
                <w:r w:rsidRPr="00C53C29">
                  <w:rPr>
                    <w:rFonts w:ascii="Times New Roman" w:hAnsi="Times New Roman" w:cs="Times New Roman"/>
                    <w:lang w:val="is-IS"/>
                  </w:rPr>
                  <w:t>. Ekki er talin ástæða til að vænta verulegra frávika frá því mati.</w:t>
                </w:r>
              </w:p>
              <w:p w14:paraId="2D58E9E2" w14:textId="77777777" w:rsidR="002A148C" w:rsidRPr="00F62C2F" w:rsidRDefault="002A148C" w:rsidP="005C52DD">
                <w:pPr>
                  <w:pStyle w:val="ListParagraph"/>
                  <w:numPr>
                    <w:ilvl w:val="0"/>
                    <w:numId w:val="7"/>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Eru fjárhagsáhrif tímabundin eða varanleg?</w:t>
                </w:r>
              </w:p>
              <w:p w14:paraId="47115047" w14:textId="7A891C84" w:rsidR="00FB1C0B" w:rsidRPr="00F62C2F" w:rsidRDefault="008962AA" w:rsidP="005C52DD">
                <w:pPr>
                  <w:spacing w:before="60" w:after="60"/>
                  <w:ind w:left="720"/>
                  <w:jc w:val="both"/>
                  <w:rPr>
                    <w:rFonts w:ascii="Times New Roman" w:hAnsi="Times New Roman" w:cs="Times New Roman"/>
                    <w:lang w:val="is-IS"/>
                  </w:rPr>
                </w:pPr>
                <w:r>
                  <w:rPr>
                    <w:rFonts w:ascii="Times New Roman" w:hAnsi="Times New Roman" w:cs="Times New Roman"/>
                    <w:lang w:val="is-IS"/>
                  </w:rPr>
                  <w:t>Varanleg</w:t>
                </w:r>
                <w:r w:rsidR="00C53C29">
                  <w:rPr>
                    <w:rFonts w:ascii="Times New Roman" w:hAnsi="Times New Roman" w:cs="Times New Roman"/>
                    <w:lang w:val="is-IS"/>
                  </w:rPr>
                  <w:t>.</w:t>
                </w:r>
              </w:p>
              <w:p w14:paraId="7E419113" w14:textId="77777777" w:rsidR="002A148C" w:rsidRPr="00F62C2F" w:rsidRDefault="002A148C" w:rsidP="005C52DD">
                <w:pPr>
                  <w:pStyle w:val="ListParagraph"/>
                  <w:numPr>
                    <w:ilvl w:val="0"/>
                    <w:numId w:val="7"/>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Skorður sem eru settar fyrir útgjöldum og hvatar sem geta haft áhrif á útgjaldaþróun</w:t>
                </w:r>
              </w:p>
              <w:p w14:paraId="313FE079" w14:textId="77777777" w:rsidR="00C53C29" w:rsidRPr="003226E3" w:rsidRDefault="00C53C29" w:rsidP="00C53C29">
                <w:pPr>
                  <w:shd w:val="clear" w:color="auto" w:fill="FFFFFF"/>
                  <w:spacing w:before="60" w:after="60"/>
                  <w:ind w:left="720"/>
                  <w:jc w:val="both"/>
                  <w:rPr>
                    <w:rFonts w:ascii="Times New Roman" w:hAnsi="Times New Roman" w:cs="Times New Roman"/>
                    <w:lang w:val="is-IS"/>
                  </w:rPr>
                </w:pPr>
                <w:r w:rsidRPr="002D2A70">
                  <w:rPr>
                    <w:rFonts w:ascii="Times New Roman" w:eastAsia="Times New Roman" w:hAnsi="Times New Roman" w:cs="Times New Roman"/>
                    <w:color w:val="242424"/>
                    <w:lang w:val="is-IS" w:eastAsia="is-IS"/>
                  </w:rPr>
                  <w:t xml:space="preserve">Um </w:t>
                </w:r>
                <w:r>
                  <w:rPr>
                    <w:rFonts w:ascii="Times New Roman" w:eastAsia="Times New Roman" w:hAnsi="Times New Roman" w:cs="Times New Roman"/>
                    <w:color w:val="242424"/>
                    <w:lang w:val="is-IS" w:eastAsia="is-IS"/>
                  </w:rPr>
                  <w:t>kostnað við rekstur</w:t>
                </w:r>
                <w:r w:rsidRPr="002D2A70">
                  <w:rPr>
                    <w:rFonts w:ascii="Times New Roman" w:eastAsia="Times New Roman" w:hAnsi="Times New Roman" w:cs="Times New Roman"/>
                    <w:color w:val="242424"/>
                    <w:lang w:val="is-IS" w:eastAsia="is-IS"/>
                  </w:rPr>
                  <w:t xml:space="preserve"> Fjármálaeftirlitsins fer samkvæmt </w:t>
                </w:r>
                <w:hyperlink r:id="rId9" w:history="1">
                  <w:r w:rsidRPr="009A5FCF">
                    <w:rPr>
                      <w:rStyle w:val="Hyperlink"/>
                      <w:rFonts w:ascii="Times New Roman" w:eastAsia="Times New Roman" w:hAnsi="Times New Roman" w:cs="Times New Roman"/>
                      <w:lang w:val="is-IS" w:eastAsia="is-IS"/>
                    </w:rPr>
                    <w:t>lögum um greiðslu kostnaðar við opinbert eftirlit með fjármálastarfsemi, nr. 99/1999</w:t>
                  </w:r>
                </w:hyperlink>
                <w:r w:rsidRPr="002D2A70">
                  <w:rPr>
                    <w:rFonts w:ascii="Times New Roman" w:eastAsia="Times New Roman" w:hAnsi="Times New Roman" w:cs="Times New Roman"/>
                    <w:color w:val="242424"/>
                    <w:lang w:val="is-IS" w:eastAsia="is-IS"/>
                  </w:rPr>
                  <w:t>.</w:t>
                </w:r>
                <w:r w:rsidRPr="002D2A70" w:rsidDel="00B43FF0">
                  <w:rPr>
                    <w:rFonts w:ascii="Times New Roman" w:hAnsi="Times New Roman" w:cs="Times New Roman"/>
                    <w:lang w:val="is-IS"/>
                  </w:rPr>
                  <w:t xml:space="preserve"> </w:t>
                </w:r>
              </w:p>
              <w:p w14:paraId="0362620B" w14:textId="77777777" w:rsidR="002A148C" w:rsidRPr="00F62C2F" w:rsidRDefault="002A148C" w:rsidP="005C52DD">
                <w:pPr>
                  <w:pStyle w:val="ListParagraph"/>
                  <w:numPr>
                    <w:ilvl w:val="0"/>
                    <w:numId w:val="7"/>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Aðskilin umfjöllun um brúttóáhrif á tekjuhlið og gjaldahlið en einnig tilgreind nettóáhrif á afkomu</w:t>
                </w:r>
              </w:p>
              <w:p w14:paraId="00523D78" w14:textId="179698F0" w:rsidR="00DF4FE2" w:rsidRDefault="00C53C29" w:rsidP="005C52DD">
                <w:pPr>
                  <w:spacing w:before="60" w:after="60"/>
                  <w:ind w:left="720"/>
                  <w:jc w:val="both"/>
                  <w:rPr>
                    <w:rFonts w:ascii="Times New Roman" w:hAnsi="Times New Roman" w:cs="Times New Roman"/>
                    <w:lang w:val="is-IS"/>
                  </w:rPr>
                </w:pPr>
                <w:r w:rsidRPr="00C53C29">
                  <w:rPr>
                    <w:rFonts w:ascii="Times New Roman" w:hAnsi="Times New Roman" w:cs="Times New Roman"/>
                    <w:lang w:val="is-IS"/>
                  </w:rPr>
                  <w:t xml:space="preserve">Sjá umfjöllun um brúttóáhrif í A.2 og A.3. </w:t>
                </w:r>
              </w:p>
              <w:p w14:paraId="040788BA" w14:textId="43FDB332" w:rsidR="00550FFC" w:rsidRDefault="00550FFC" w:rsidP="005C52DD">
                <w:pPr>
                  <w:spacing w:before="60" w:after="60"/>
                  <w:ind w:left="720"/>
                  <w:jc w:val="both"/>
                  <w:rPr>
                    <w:rFonts w:ascii="Times New Roman" w:hAnsi="Times New Roman" w:cs="Times New Roman"/>
                    <w:lang w:val="is-IS"/>
                  </w:rPr>
                </w:pPr>
                <w:r w:rsidRPr="00F62C2F">
                  <w:rPr>
                    <w:rFonts w:ascii="Times New Roman" w:hAnsi="Times New Roman" w:cs="Times New Roman"/>
                    <w:lang w:val="is-IS"/>
                  </w:rPr>
                  <w:t xml:space="preserve">Eftirlitsgjald samkvæmt </w:t>
                </w:r>
                <w:r w:rsidRPr="00297E7D">
                  <w:rPr>
                    <w:rFonts w:ascii="Times New Roman" w:eastAsia="Times New Roman" w:hAnsi="Times New Roman" w:cs="Times New Roman"/>
                    <w:color w:val="000000" w:themeColor="text1"/>
                    <w:lang w:val="is-IS" w:eastAsia="is-IS"/>
                  </w:rPr>
                  <w:t xml:space="preserve">lögum um greiðslu kostnaðar við opinbert eftirlit með fjármálastarfsemi </w:t>
                </w:r>
                <w:r w:rsidRPr="00F62C2F">
                  <w:rPr>
                    <w:rFonts w:ascii="Times New Roman" w:eastAsia="Times New Roman" w:hAnsi="Times New Roman" w:cs="Times New Roman"/>
                    <w:color w:val="242424"/>
                    <w:lang w:val="is-IS" w:eastAsia="is-IS"/>
                  </w:rPr>
                  <w:t>á að standa undir kostnaði Fjármálaeftirlitsins við opinbert eftirlit með fjármálastarfsemi.</w:t>
                </w:r>
                <w:r>
                  <w:rPr>
                    <w:rFonts w:ascii="Times New Roman" w:eastAsia="Times New Roman" w:hAnsi="Times New Roman" w:cs="Times New Roman"/>
                    <w:color w:val="242424"/>
                    <w:lang w:val="is-IS" w:eastAsia="is-IS"/>
                  </w:rPr>
                  <w:t xml:space="preserve"> Ekki er því gert ráð fyrir neinum nettóáhrifum á</w:t>
                </w:r>
                <w:r w:rsidR="00FA25DD">
                  <w:rPr>
                    <w:rFonts w:ascii="Times New Roman" w:eastAsia="Times New Roman" w:hAnsi="Times New Roman" w:cs="Times New Roman"/>
                    <w:color w:val="242424"/>
                    <w:lang w:val="is-IS" w:eastAsia="is-IS"/>
                  </w:rPr>
                  <w:t xml:space="preserve"> afkomu</w:t>
                </w:r>
                <w:r>
                  <w:rPr>
                    <w:rFonts w:ascii="Times New Roman" w:eastAsia="Times New Roman" w:hAnsi="Times New Roman" w:cs="Times New Roman"/>
                    <w:color w:val="242424"/>
                    <w:lang w:val="is-IS" w:eastAsia="is-IS"/>
                  </w:rPr>
                  <w:t xml:space="preserve"> ríkissjóð</w:t>
                </w:r>
                <w:r w:rsidR="00FA25DD">
                  <w:rPr>
                    <w:rFonts w:ascii="Times New Roman" w:eastAsia="Times New Roman" w:hAnsi="Times New Roman" w:cs="Times New Roman"/>
                    <w:color w:val="242424"/>
                    <w:lang w:val="is-IS" w:eastAsia="is-IS"/>
                  </w:rPr>
                  <w:t>s</w:t>
                </w:r>
                <w:r>
                  <w:rPr>
                    <w:rFonts w:ascii="Times New Roman" w:eastAsia="Times New Roman" w:hAnsi="Times New Roman" w:cs="Times New Roman"/>
                    <w:color w:val="242424"/>
                    <w:lang w:val="is-IS" w:eastAsia="is-IS"/>
                  </w:rPr>
                  <w:t>.</w:t>
                </w:r>
              </w:p>
              <w:p w14:paraId="79FBD0ED" w14:textId="77777777" w:rsidR="002A148C" w:rsidRPr="00F62C2F" w:rsidRDefault="002A148C" w:rsidP="005C52DD">
                <w:pPr>
                  <w:pStyle w:val="ListParagraph"/>
                  <w:numPr>
                    <w:ilvl w:val="0"/>
                    <w:numId w:val="3"/>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Tekjubreytingar</w:t>
                </w:r>
              </w:p>
              <w:p w14:paraId="2904D5E5" w14:textId="059DF397" w:rsidR="00550FFC" w:rsidRDefault="00550FFC" w:rsidP="006A2D08">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 xml:space="preserve">Eftirlitsgjald </w:t>
                </w:r>
                <w:r w:rsidRPr="00281FE6">
                  <w:rPr>
                    <w:rFonts w:ascii="Times New Roman" w:hAnsi="Times New Roman" w:cs="Times New Roman"/>
                    <w:color w:val="000000" w:themeColor="text1"/>
                    <w:lang w:val="is-IS"/>
                  </w:rPr>
                  <w:t xml:space="preserve">samkvæmt </w:t>
                </w:r>
                <w:r w:rsidRPr="00281FE6">
                  <w:rPr>
                    <w:rFonts w:ascii="Times New Roman" w:eastAsia="Times New Roman" w:hAnsi="Times New Roman" w:cs="Times New Roman"/>
                    <w:color w:val="000000" w:themeColor="text1"/>
                    <w:lang w:val="is-IS" w:eastAsia="is-IS"/>
                  </w:rPr>
                  <w:t>lögum um greiðslu kostnaðar við opinbert eftirlit með fjármálastarfsemi á</w:t>
                </w:r>
                <w:r w:rsidRPr="00F62C2F">
                  <w:rPr>
                    <w:rFonts w:ascii="Times New Roman" w:eastAsia="Times New Roman" w:hAnsi="Times New Roman" w:cs="Times New Roman"/>
                    <w:color w:val="242424"/>
                    <w:lang w:val="is-IS" w:eastAsia="is-IS"/>
                  </w:rPr>
                  <w:t xml:space="preserve"> að standa undir kostnaði Fjármálaeftirlitsins við opinbert eftirlit með fjármálastarfsemi</w:t>
                </w:r>
                <w:r w:rsidR="00281FE6">
                  <w:rPr>
                    <w:rFonts w:ascii="Times New Roman" w:eastAsia="Times New Roman" w:hAnsi="Times New Roman" w:cs="Times New Roman"/>
                    <w:color w:val="242424"/>
                    <w:lang w:val="is-IS" w:eastAsia="is-IS"/>
                  </w:rPr>
                  <w:t xml:space="preserve"> sem fyrr segir</w:t>
                </w:r>
                <w:r w:rsidRPr="00F62C2F">
                  <w:rPr>
                    <w:rFonts w:ascii="Times New Roman" w:eastAsia="Times New Roman" w:hAnsi="Times New Roman" w:cs="Times New Roman"/>
                    <w:color w:val="242424"/>
                    <w:lang w:val="is-IS" w:eastAsia="is-IS"/>
                  </w:rPr>
                  <w:t>.</w:t>
                </w:r>
                <w:r>
                  <w:rPr>
                    <w:rFonts w:ascii="Times New Roman" w:eastAsia="Times New Roman" w:hAnsi="Times New Roman" w:cs="Times New Roman"/>
                    <w:color w:val="242424"/>
                    <w:lang w:val="is-IS" w:eastAsia="is-IS"/>
                  </w:rPr>
                  <w:t xml:space="preserve"> </w:t>
                </w:r>
                <w:r w:rsidR="006A2D08">
                  <w:rPr>
                    <w:rFonts w:ascii="Times New Roman" w:eastAsia="Times New Roman" w:hAnsi="Times New Roman" w:cs="Times New Roman"/>
                    <w:color w:val="242424"/>
                    <w:lang w:val="is-IS" w:eastAsia="is-IS"/>
                  </w:rPr>
                  <w:t>T</w:t>
                </w:r>
                <w:r w:rsidR="00415D6E">
                  <w:rPr>
                    <w:rFonts w:ascii="Times New Roman" w:eastAsia="Times New Roman" w:hAnsi="Times New Roman" w:cs="Times New Roman"/>
                    <w:color w:val="242424"/>
                    <w:lang w:val="is-IS" w:eastAsia="is-IS"/>
                  </w:rPr>
                  <w:t>ekjur ríkissjóðs</w:t>
                </w:r>
                <w:r w:rsidR="006A2D08">
                  <w:rPr>
                    <w:rFonts w:ascii="Times New Roman" w:eastAsia="Times New Roman" w:hAnsi="Times New Roman" w:cs="Times New Roman"/>
                    <w:color w:val="242424"/>
                    <w:lang w:val="is-IS" w:eastAsia="is-IS"/>
                  </w:rPr>
                  <w:t xml:space="preserve"> ættu</w:t>
                </w:r>
                <w:r w:rsidR="00415D6E">
                  <w:rPr>
                    <w:rFonts w:ascii="Times New Roman" w:eastAsia="Times New Roman" w:hAnsi="Times New Roman" w:cs="Times New Roman"/>
                    <w:color w:val="242424"/>
                    <w:lang w:val="is-IS" w:eastAsia="is-IS"/>
                  </w:rPr>
                  <w:t xml:space="preserve"> því</w:t>
                </w:r>
                <w:r>
                  <w:rPr>
                    <w:rFonts w:ascii="Times New Roman" w:eastAsia="Times New Roman" w:hAnsi="Times New Roman" w:cs="Times New Roman"/>
                    <w:color w:val="242424"/>
                    <w:lang w:val="is-IS" w:eastAsia="is-IS"/>
                  </w:rPr>
                  <w:t xml:space="preserve"> </w:t>
                </w:r>
                <w:r w:rsidR="0035578D">
                  <w:rPr>
                    <w:rFonts w:ascii="Times New Roman" w:eastAsia="Times New Roman" w:hAnsi="Times New Roman" w:cs="Times New Roman"/>
                    <w:color w:val="242424"/>
                    <w:lang w:val="is-IS" w:eastAsia="is-IS"/>
                  </w:rPr>
                  <w:t xml:space="preserve">að aukast </w:t>
                </w:r>
                <w:r>
                  <w:rPr>
                    <w:rFonts w:ascii="Times New Roman" w:eastAsia="Times New Roman" w:hAnsi="Times New Roman" w:cs="Times New Roman"/>
                    <w:color w:val="242424"/>
                    <w:lang w:val="is-IS" w:eastAsia="is-IS"/>
                  </w:rPr>
                  <w:t>um</w:t>
                </w:r>
                <w:r w:rsidR="0042146D">
                  <w:rPr>
                    <w:rFonts w:ascii="Times New Roman" w:eastAsia="Times New Roman" w:hAnsi="Times New Roman" w:cs="Times New Roman"/>
                    <w:color w:val="242424"/>
                    <w:lang w:val="is-IS" w:eastAsia="is-IS"/>
                  </w:rPr>
                  <w:t xml:space="preserve"> sem nemur kostnaði Fjármálaeftirlitsins</w:t>
                </w:r>
                <w:r w:rsidR="00E12B4F">
                  <w:rPr>
                    <w:rFonts w:ascii="Times New Roman" w:eastAsia="Times New Roman" w:hAnsi="Times New Roman" w:cs="Times New Roman"/>
                    <w:color w:val="242424"/>
                    <w:lang w:val="is-IS" w:eastAsia="is-IS"/>
                  </w:rPr>
                  <w:t xml:space="preserve"> sem ekki verður mætt með hagræðingu</w:t>
                </w:r>
                <w:r w:rsidR="00BC7231">
                  <w:rPr>
                    <w:rFonts w:ascii="Times New Roman" w:eastAsia="Times New Roman" w:hAnsi="Times New Roman" w:cs="Times New Roman"/>
                    <w:color w:val="242424"/>
                    <w:lang w:val="is-IS" w:eastAsia="is-IS"/>
                  </w:rPr>
                  <w:t>,</w:t>
                </w:r>
                <w:r w:rsidR="00B913AE">
                  <w:rPr>
                    <w:rFonts w:ascii="Times New Roman" w:eastAsia="Times New Roman" w:hAnsi="Times New Roman" w:cs="Times New Roman"/>
                    <w:color w:val="242424"/>
                    <w:lang w:val="is-IS" w:eastAsia="is-IS"/>
                  </w:rPr>
                  <w:t xml:space="preserve"> eða</w:t>
                </w:r>
                <w:r w:rsidR="00BC7231">
                  <w:rPr>
                    <w:rFonts w:ascii="Times New Roman" w:eastAsia="Times New Roman" w:hAnsi="Times New Roman" w:cs="Times New Roman"/>
                    <w:color w:val="242424"/>
                    <w:lang w:val="is-IS" w:eastAsia="is-IS"/>
                  </w:rPr>
                  <w:t xml:space="preserve"> um</w:t>
                </w:r>
                <w:r w:rsidR="00B913AE">
                  <w:rPr>
                    <w:rFonts w:ascii="Times New Roman" w:eastAsia="Times New Roman" w:hAnsi="Times New Roman" w:cs="Times New Roman"/>
                    <w:color w:val="242424"/>
                    <w:lang w:val="is-IS" w:eastAsia="is-IS"/>
                  </w:rPr>
                  <w:t xml:space="preserve"> allt að </w:t>
                </w:r>
                <w:r w:rsidR="00B913AE">
                  <w:rPr>
                    <w:rFonts w:ascii="Times New Roman" w:hAnsi="Times New Roman" w:cs="Times New Roman"/>
                    <w:lang w:val="is-IS"/>
                  </w:rPr>
                  <w:t>þrjár til átta milljónir króna á ári</w:t>
                </w:r>
                <w:r w:rsidR="0042146D">
                  <w:rPr>
                    <w:rFonts w:ascii="Times New Roman" w:eastAsia="Times New Roman" w:hAnsi="Times New Roman" w:cs="Times New Roman"/>
                    <w:color w:val="242424"/>
                    <w:lang w:val="is-IS" w:eastAsia="is-IS"/>
                  </w:rPr>
                  <w:t xml:space="preserve">, </w:t>
                </w:r>
                <w:r>
                  <w:rPr>
                    <w:rFonts w:ascii="Times New Roman" w:eastAsia="Times New Roman" w:hAnsi="Times New Roman" w:cs="Times New Roman"/>
                    <w:color w:val="242424"/>
                    <w:lang w:val="is-IS" w:eastAsia="is-IS"/>
                  </w:rPr>
                  <w:t>sbr. A</w:t>
                </w:r>
                <w:r w:rsidR="001200E5">
                  <w:rPr>
                    <w:rFonts w:ascii="Times New Roman" w:eastAsia="Times New Roman" w:hAnsi="Times New Roman" w:cs="Times New Roman"/>
                    <w:color w:val="242424"/>
                    <w:lang w:val="is-IS" w:eastAsia="is-IS"/>
                  </w:rPr>
                  <w:t>.</w:t>
                </w:r>
                <w:r>
                  <w:rPr>
                    <w:rFonts w:ascii="Times New Roman" w:eastAsia="Times New Roman" w:hAnsi="Times New Roman" w:cs="Times New Roman"/>
                    <w:color w:val="242424"/>
                    <w:lang w:val="is-IS" w:eastAsia="is-IS"/>
                  </w:rPr>
                  <w:t>3.</w:t>
                </w:r>
              </w:p>
              <w:p w14:paraId="0E34E41F" w14:textId="77777777" w:rsidR="002A148C" w:rsidRPr="00F62C2F" w:rsidRDefault="002A148C" w:rsidP="005C52DD">
                <w:pPr>
                  <w:pStyle w:val="ListParagraph"/>
                  <w:numPr>
                    <w:ilvl w:val="0"/>
                    <w:numId w:val="3"/>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Útgjaldabreytingar </w:t>
                </w:r>
              </w:p>
              <w:p w14:paraId="0244BF91" w14:textId="6846CD2F" w:rsidR="00550FFC" w:rsidRPr="00550FFC" w:rsidRDefault="00550FFC" w:rsidP="00550FFC">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 xml:space="preserve">Fjármálaeftirlitið áætlar að lagasetningin krefjist 20-50% stöðugildis sem kosti um þrjár til átta milljónir króna á ári að teknu tilliti til launa, aðstöðu og annarra kostnaðarliða. </w:t>
                </w:r>
                <w:r w:rsidR="008537D9">
                  <w:rPr>
                    <w:rFonts w:ascii="Times New Roman" w:hAnsi="Times New Roman" w:cs="Times New Roman"/>
                    <w:lang w:val="is-IS"/>
                  </w:rPr>
                  <w:t>Því</w:t>
                </w:r>
                <w:r>
                  <w:rPr>
                    <w:rFonts w:ascii="Times New Roman" w:hAnsi="Times New Roman" w:cs="Times New Roman"/>
                    <w:lang w:val="is-IS"/>
                  </w:rPr>
                  <w:t xml:space="preserve"> verði mætt með hagræðingu eða hækkun eftirlitsgjalds. </w:t>
                </w:r>
              </w:p>
              <w:p w14:paraId="525B8C1A" w14:textId="77777777" w:rsidR="002A148C" w:rsidRPr="00F62C2F" w:rsidRDefault="002A148C" w:rsidP="005C52DD">
                <w:pPr>
                  <w:pStyle w:val="ListParagraph"/>
                  <w:numPr>
                    <w:ilvl w:val="0"/>
                    <w:numId w:val="3"/>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Eignabreytingar</w:t>
                </w:r>
              </w:p>
              <w:p w14:paraId="1D1A9238" w14:textId="1123F5CB" w:rsidR="002A148C" w:rsidRPr="00F62C2F" w:rsidRDefault="00703E43" w:rsidP="005C52DD">
                <w:pPr>
                  <w:pStyle w:val="ListParagraph"/>
                  <w:spacing w:before="60" w:after="60"/>
                  <w:contextualSpacing w:val="0"/>
                  <w:jc w:val="both"/>
                  <w:rPr>
                    <w:rFonts w:ascii="Times New Roman" w:hAnsi="Times New Roman" w:cs="Times New Roman"/>
                    <w:lang w:val="is-IS"/>
                  </w:rPr>
                </w:pPr>
                <w:r w:rsidRPr="00F62C2F">
                  <w:rPr>
                    <w:rFonts w:ascii="Times New Roman" w:hAnsi="Times New Roman" w:cs="Times New Roman"/>
                    <w:lang w:val="is-IS"/>
                  </w:rPr>
                  <w:t xml:space="preserve">Ekki er gert ráð fyrir </w:t>
                </w:r>
                <w:r w:rsidR="008C573A" w:rsidRPr="00F62C2F">
                  <w:rPr>
                    <w:rFonts w:ascii="Times New Roman" w:hAnsi="Times New Roman" w:cs="Times New Roman"/>
                    <w:lang w:val="is-IS"/>
                  </w:rPr>
                  <w:t>áhrifum</w:t>
                </w:r>
                <w:r w:rsidRPr="00F62C2F">
                  <w:rPr>
                    <w:rFonts w:ascii="Times New Roman" w:hAnsi="Times New Roman" w:cs="Times New Roman"/>
                    <w:lang w:val="is-IS"/>
                  </w:rPr>
                  <w:t xml:space="preserve"> á eign</w:t>
                </w:r>
                <w:r w:rsidR="00035D03" w:rsidRPr="00F62C2F">
                  <w:rPr>
                    <w:rFonts w:ascii="Times New Roman" w:hAnsi="Times New Roman" w:cs="Times New Roman"/>
                    <w:lang w:val="is-IS"/>
                  </w:rPr>
                  <w:t>ir</w:t>
                </w:r>
                <w:r w:rsidRPr="00F62C2F">
                  <w:rPr>
                    <w:rFonts w:ascii="Times New Roman" w:hAnsi="Times New Roman" w:cs="Times New Roman"/>
                    <w:lang w:val="is-IS"/>
                  </w:rPr>
                  <w:t xml:space="preserve"> ríkisins.</w:t>
                </w:r>
              </w:p>
              <w:p w14:paraId="1F6840D8" w14:textId="1EA15BA4" w:rsidR="002A148C" w:rsidRPr="00F62C2F" w:rsidRDefault="002A148C" w:rsidP="005C52DD">
                <w:pPr>
                  <w:pStyle w:val="ListParagraph"/>
                  <w:numPr>
                    <w:ilvl w:val="0"/>
                    <w:numId w:val="3"/>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lastRenderedPageBreak/>
                  <w:t>Aðrir áhrifaþættir varðandi ríkisfjármál</w:t>
                </w:r>
              </w:p>
              <w:p w14:paraId="7D8C516B" w14:textId="1BAE4448" w:rsidR="002A148C"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Samræmi við viðmið og sjónarmið um fyrirkomulag á útgjaldastýringu og umbúnað í fjárlögum</w:t>
                </w:r>
              </w:p>
              <w:p w14:paraId="077E4019" w14:textId="18BFEFD6" w:rsidR="00C44B47" w:rsidRPr="00F62C2F" w:rsidRDefault="004B091D" w:rsidP="005C52DD">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Gjaldskyldir aðilar samkvæmt lögum um greiðslu kostnaðar við opinbert eftirlit með fjármálastarfsemi greiða eftirlitsgjald til að standa straum af kostnaði við opinbert eftirlit með fjármálastarfsemi</w:t>
                </w:r>
                <w:r w:rsidR="00DD6952">
                  <w:rPr>
                    <w:rFonts w:ascii="Times New Roman" w:hAnsi="Times New Roman" w:cs="Times New Roman"/>
                    <w:lang w:val="is-IS"/>
                  </w:rPr>
                  <w:t xml:space="preserve">. Eftirlitsgjaldið rennur </w:t>
                </w:r>
                <w:r>
                  <w:rPr>
                    <w:rFonts w:ascii="Times New Roman" w:hAnsi="Times New Roman" w:cs="Times New Roman"/>
                    <w:lang w:val="is-IS"/>
                  </w:rPr>
                  <w:t>í ríkissjóð</w:t>
                </w:r>
                <w:r w:rsidR="00DD6952">
                  <w:rPr>
                    <w:rFonts w:ascii="Times New Roman" w:hAnsi="Times New Roman" w:cs="Times New Roman"/>
                    <w:lang w:val="is-IS"/>
                  </w:rPr>
                  <w:t xml:space="preserve"> en</w:t>
                </w:r>
                <w:r>
                  <w:rPr>
                    <w:rFonts w:ascii="Times New Roman" w:hAnsi="Times New Roman" w:cs="Times New Roman"/>
                    <w:lang w:val="is-IS"/>
                  </w:rPr>
                  <w:t xml:space="preserve"> </w:t>
                </w:r>
                <w:r w:rsidR="00DD6952">
                  <w:rPr>
                    <w:rFonts w:ascii="Times New Roman" w:hAnsi="Times New Roman" w:cs="Times New Roman"/>
                    <w:lang w:val="is-IS"/>
                  </w:rPr>
                  <w:t>r</w:t>
                </w:r>
                <w:r w:rsidRPr="004B091D">
                  <w:rPr>
                    <w:rFonts w:ascii="Times New Roman" w:hAnsi="Times New Roman" w:cs="Times New Roman"/>
                    <w:lang w:val="is-IS"/>
                  </w:rPr>
                  <w:t>áðherra skal á grundvelli fjárheimildar í fjárlögum ákvarða fjárveitingu til reksturs Fjármálaeftirlitsins sem nemur að lágmarki áætlun fjárlaga um tekjur af eftirlitsgjaldi</w:t>
                </w:r>
                <w:r>
                  <w:rPr>
                    <w:rFonts w:ascii="Times New Roman" w:hAnsi="Times New Roman" w:cs="Times New Roman"/>
                    <w:lang w:val="is-IS"/>
                  </w:rPr>
                  <w:t xml:space="preserve">nu. </w:t>
                </w:r>
              </w:p>
              <w:p w14:paraId="0B1C637F" w14:textId="28DC2FA9" w:rsidR="002A148C"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Samræmi við viðmið um framsetningu fjárlaga og reikningshaldslegan grundvöll samkvæmt lögum um opinber fjármál</w:t>
                </w:r>
              </w:p>
              <w:p w14:paraId="5245485F" w14:textId="0775E1B1" w:rsidR="005B6941" w:rsidRPr="00F62C2F" w:rsidRDefault="005E023C" w:rsidP="005C52DD">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 xml:space="preserve">Sjá </w:t>
                </w:r>
                <w:r w:rsidR="001200E5">
                  <w:rPr>
                    <w:rFonts w:ascii="Times New Roman" w:hAnsi="Times New Roman" w:cs="Times New Roman"/>
                    <w:lang w:val="is-IS"/>
                  </w:rPr>
                  <w:t>A.</w:t>
                </w:r>
                <w:r>
                  <w:rPr>
                    <w:rFonts w:ascii="Times New Roman" w:hAnsi="Times New Roman" w:cs="Times New Roman"/>
                    <w:lang w:val="is-IS"/>
                  </w:rPr>
                  <w:t>5.a.</w:t>
                </w:r>
              </w:p>
              <w:p w14:paraId="5B21A8B8" w14:textId="77777777" w:rsidR="002A148C"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Uppbygging skattkerfis og tekjuöflunar ríkissjóðs</w:t>
                </w:r>
              </w:p>
              <w:p w14:paraId="355293C7" w14:textId="5060071C" w:rsidR="003F1605" w:rsidRPr="00F62C2F" w:rsidRDefault="00541726" w:rsidP="005C52DD">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Sjá A.5.a.</w:t>
                </w:r>
              </w:p>
              <w:p w14:paraId="3BFC1994" w14:textId="77777777" w:rsidR="002A148C"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Forsendur og umbúnaður þjónustugjalda – lagakröfur</w:t>
                </w:r>
              </w:p>
              <w:p w14:paraId="516E05E7" w14:textId="77777777" w:rsidR="001877BA" w:rsidRPr="00F62C2F" w:rsidRDefault="001877BA" w:rsidP="005C52DD">
                <w:pPr>
                  <w:pStyle w:val="ListParagraph"/>
                  <w:spacing w:before="60" w:after="60" w:line="240" w:lineRule="auto"/>
                  <w:ind w:left="1080"/>
                  <w:contextualSpacing w:val="0"/>
                  <w:jc w:val="both"/>
                  <w:rPr>
                    <w:rFonts w:ascii="Times New Roman" w:hAnsi="Times New Roman" w:cs="Times New Roman"/>
                    <w:lang w:val="is-IS"/>
                  </w:rPr>
                </w:pPr>
                <w:r w:rsidRPr="00F62C2F">
                  <w:rPr>
                    <w:rFonts w:ascii="Times New Roman" w:hAnsi="Times New Roman" w:cs="Times New Roman"/>
                    <w:lang w:val="is-IS"/>
                  </w:rPr>
                  <w:t>Á ekki við.</w:t>
                </w:r>
              </w:p>
              <w:p w14:paraId="04E53F2C" w14:textId="77777777" w:rsidR="002A148C"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Rekstrarform ríkisstarfsemi</w:t>
                </w:r>
              </w:p>
              <w:p w14:paraId="69B51CB3" w14:textId="77777777" w:rsidR="001877BA" w:rsidRPr="00F62C2F" w:rsidRDefault="001877BA" w:rsidP="005C52DD">
                <w:pPr>
                  <w:pStyle w:val="ListParagraph"/>
                  <w:spacing w:before="60" w:after="60" w:line="240" w:lineRule="auto"/>
                  <w:ind w:left="1080"/>
                  <w:contextualSpacing w:val="0"/>
                  <w:jc w:val="both"/>
                  <w:rPr>
                    <w:rFonts w:ascii="Times New Roman" w:hAnsi="Times New Roman" w:cs="Times New Roman"/>
                    <w:i/>
                    <w:lang w:val="is-IS"/>
                  </w:rPr>
                </w:pPr>
                <w:r w:rsidRPr="00F62C2F">
                  <w:rPr>
                    <w:rFonts w:ascii="Times New Roman" w:hAnsi="Times New Roman" w:cs="Times New Roman"/>
                    <w:lang w:val="is-IS"/>
                  </w:rPr>
                  <w:t>Á ekki við.</w:t>
                </w:r>
              </w:p>
              <w:p w14:paraId="641AF530" w14:textId="77777777" w:rsidR="002A148C"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Opinber innkaup og útboð</w:t>
                </w:r>
              </w:p>
              <w:p w14:paraId="793D1D6F" w14:textId="77777777" w:rsidR="001877BA" w:rsidRPr="00F62C2F" w:rsidRDefault="001877BA" w:rsidP="005C52DD">
                <w:pPr>
                  <w:pStyle w:val="ListParagraph"/>
                  <w:spacing w:before="60" w:after="60" w:line="240" w:lineRule="auto"/>
                  <w:ind w:left="1080"/>
                  <w:contextualSpacing w:val="0"/>
                  <w:jc w:val="both"/>
                  <w:rPr>
                    <w:rFonts w:ascii="Times New Roman" w:hAnsi="Times New Roman" w:cs="Times New Roman"/>
                    <w:i/>
                    <w:lang w:val="is-IS"/>
                  </w:rPr>
                </w:pPr>
                <w:r w:rsidRPr="00F62C2F">
                  <w:rPr>
                    <w:rFonts w:ascii="Times New Roman" w:hAnsi="Times New Roman" w:cs="Times New Roman"/>
                    <w:lang w:val="is-IS"/>
                  </w:rPr>
                  <w:t>Á ekki við.</w:t>
                </w:r>
              </w:p>
              <w:p w14:paraId="389F13DA" w14:textId="77777777" w:rsidR="002A148C"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Eignaumsýsla ríkisins</w:t>
                </w:r>
              </w:p>
              <w:p w14:paraId="49C954A8" w14:textId="77777777" w:rsidR="001877BA" w:rsidRPr="00F62C2F" w:rsidRDefault="001877BA" w:rsidP="005C52DD">
                <w:pPr>
                  <w:pStyle w:val="ListParagraph"/>
                  <w:spacing w:before="60" w:after="60" w:line="240" w:lineRule="auto"/>
                  <w:ind w:left="1080"/>
                  <w:contextualSpacing w:val="0"/>
                  <w:jc w:val="both"/>
                  <w:rPr>
                    <w:rFonts w:ascii="Times New Roman" w:hAnsi="Times New Roman" w:cs="Times New Roman"/>
                    <w:i/>
                    <w:lang w:val="is-IS"/>
                  </w:rPr>
                </w:pPr>
                <w:r w:rsidRPr="00F62C2F">
                  <w:rPr>
                    <w:rFonts w:ascii="Times New Roman" w:hAnsi="Times New Roman" w:cs="Times New Roman"/>
                    <w:lang w:val="is-IS"/>
                  </w:rPr>
                  <w:t>Á ekki við.</w:t>
                </w:r>
              </w:p>
              <w:p w14:paraId="4BC18F4A" w14:textId="77777777" w:rsidR="002A148C"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Réttindi og skyldur ríkisstarfsmanna</w:t>
                </w:r>
              </w:p>
              <w:p w14:paraId="5BA2F70D" w14:textId="77777777" w:rsidR="001877BA" w:rsidRPr="00F62C2F" w:rsidRDefault="001877BA" w:rsidP="005C52DD">
                <w:pPr>
                  <w:pStyle w:val="ListParagraph"/>
                  <w:spacing w:before="60" w:after="60" w:line="240" w:lineRule="auto"/>
                  <w:ind w:left="1080"/>
                  <w:contextualSpacing w:val="0"/>
                  <w:jc w:val="both"/>
                  <w:rPr>
                    <w:rFonts w:ascii="Times New Roman" w:hAnsi="Times New Roman" w:cs="Times New Roman"/>
                    <w:i/>
                    <w:lang w:val="is-IS"/>
                  </w:rPr>
                </w:pPr>
                <w:r w:rsidRPr="00F62C2F">
                  <w:rPr>
                    <w:rFonts w:ascii="Times New Roman" w:hAnsi="Times New Roman" w:cs="Times New Roman"/>
                    <w:lang w:val="is-IS"/>
                  </w:rPr>
                  <w:t>Á ekki við.</w:t>
                </w:r>
              </w:p>
              <w:p w14:paraId="15ECA084" w14:textId="77777777" w:rsidR="001877BA" w:rsidRPr="00F62C2F" w:rsidRDefault="002A148C" w:rsidP="005C52DD">
                <w:pPr>
                  <w:pStyle w:val="ListParagraph"/>
                  <w:numPr>
                    <w:ilvl w:val="0"/>
                    <w:numId w:val="8"/>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i/>
                    <w:lang w:val="is-IS"/>
                  </w:rPr>
                  <w:t>Ríkisstyrkir og ívilnanir, þ.m.t. samræmi við reglur ESA, sbr. 61. gr. EES-samningsins. Ath. tilkynningarskyldu með tveggja mánaða fyrirvara.</w:t>
                </w:r>
              </w:p>
              <w:p w14:paraId="31D6A5EC" w14:textId="77777777" w:rsidR="002A148C" w:rsidRPr="00F62C2F" w:rsidRDefault="001877BA" w:rsidP="005C52DD">
                <w:pPr>
                  <w:pStyle w:val="ListParagraph"/>
                  <w:spacing w:before="60" w:after="60" w:line="240" w:lineRule="auto"/>
                  <w:ind w:left="1080"/>
                  <w:contextualSpacing w:val="0"/>
                  <w:jc w:val="both"/>
                  <w:rPr>
                    <w:rFonts w:ascii="Times New Roman" w:hAnsi="Times New Roman" w:cs="Times New Roman"/>
                    <w:i/>
                    <w:lang w:val="is-IS"/>
                  </w:rPr>
                </w:pPr>
                <w:r w:rsidRPr="00F62C2F">
                  <w:rPr>
                    <w:rFonts w:ascii="Times New Roman" w:hAnsi="Times New Roman" w:cs="Times New Roman"/>
                    <w:lang w:val="is-IS"/>
                  </w:rPr>
                  <w:t>Á ekki við.</w:t>
                </w:r>
              </w:p>
            </w:sdtContent>
          </w:sdt>
        </w:tc>
      </w:tr>
      <w:tr w:rsidR="002A148C" w:rsidRPr="00F62C2F" w14:paraId="0A321124" w14:textId="77777777" w:rsidTr="007414CB">
        <w:tc>
          <w:tcPr>
            <w:tcW w:w="9288" w:type="dxa"/>
            <w:shd w:val="clear" w:color="auto" w:fill="9CC2E5" w:themeFill="accent5" w:themeFillTint="99"/>
          </w:tcPr>
          <w:p w14:paraId="53A8B4EF"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lastRenderedPageBreak/>
              <w:t xml:space="preserve">Samræmi við útgjaldaramma og fimm ára fjármálaætlun – fjármögnun </w:t>
            </w:r>
          </w:p>
        </w:tc>
      </w:tr>
      <w:tr w:rsidR="002A148C" w:rsidRPr="00F62C2F" w14:paraId="7B67C95E" w14:textId="77777777" w:rsidTr="00FD2097">
        <w:trPr>
          <w:trHeight w:val="826"/>
        </w:trPr>
        <w:tc>
          <w:tcPr>
            <w:tcW w:w="9288" w:type="dxa"/>
          </w:tcPr>
          <w:sdt>
            <w:sdtPr>
              <w:rPr>
                <w:rFonts w:ascii="Times New Roman" w:hAnsi="Times New Roman" w:cs="Times New Roman"/>
                <w:b/>
                <w:lang w:val="is-IS"/>
              </w:rPr>
              <w:id w:val="-197159978"/>
            </w:sdtPr>
            <w:sdtEndPr/>
            <w:sdtContent>
              <w:p w14:paraId="3DC83D2A" w14:textId="77777777" w:rsidR="002A148C" w:rsidRPr="00F62C2F" w:rsidRDefault="002A148C" w:rsidP="005C52DD">
                <w:pPr>
                  <w:pStyle w:val="ListParagraph"/>
                  <w:numPr>
                    <w:ilvl w:val="0"/>
                    <w:numId w:val="4"/>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Hefur verið gert ráð fyrir þeim fjárhagsáhrifum á málaflokk sem leiða kunna af samþykkt frumvarpsins:</w:t>
                </w:r>
              </w:p>
              <w:p w14:paraId="45DF38BE" w14:textId="527E2A0D" w:rsidR="002A148C" w:rsidRPr="00F62C2F" w:rsidRDefault="002A148C" w:rsidP="005C52DD">
                <w:pPr>
                  <w:pStyle w:val="ListParagraph"/>
                  <w:numPr>
                    <w:ilvl w:val="0"/>
                    <w:numId w:val="9"/>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í gildandi fjárlögum</w:t>
                </w:r>
              </w:p>
              <w:p w14:paraId="4D202351" w14:textId="6AB9FCE7" w:rsidR="005B6941" w:rsidRPr="00F62C2F" w:rsidRDefault="000A3495" w:rsidP="005C52DD">
                <w:pPr>
                  <w:pStyle w:val="ListParagraph"/>
                  <w:spacing w:before="60" w:after="60" w:line="240" w:lineRule="auto"/>
                  <w:ind w:left="1080"/>
                  <w:contextualSpacing w:val="0"/>
                  <w:jc w:val="both"/>
                  <w:rPr>
                    <w:rFonts w:ascii="Times New Roman" w:hAnsi="Times New Roman" w:cs="Times New Roman"/>
                    <w:i/>
                    <w:lang w:val="is-IS"/>
                  </w:rPr>
                </w:pPr>
                <w:r>
                  <w:rPr>
                    <w:rFonts w:ascii="Times New Roman" w:hAnsi="Times New Roman" w:cs="Times New Roman"/>
                    <w:lang w:val="is-IS"/>
                  </w:rPr>
                  <w:t>Ekki sérstaklega</w:t>
                </w:r>
                <w:r w:rsidR="00203910">
                  <w:rPr>
                    <w:rFonts w:ascii="Times New Roman" w:hAnsi="Times New Roman" w:cs="Times New Roman"/>
                    <w:lang w:val="is-IS"/>
                  </w:rPr>
                  <w:t>, en þ</w:t>
                </w:r>
                <w:r w:rsidR="002D4A5B">
                  <w:rPr>
                    <w:rFonts w:ascii="Times New Roman" w:hAnsi="Times New Roman" w:cs="Times New Roman"/>
                    <w:lang w:val="is-IS"/>
                  </w:rPr>
                  <w:t xml:space="preserve">ar sem um óverulegan kostnað er að ræða ætti hann að rúmast innan </w:t>
                </w:r>
                <w:r w:rsidR="00F92FF7">
                  <w:rPr>
                    <w:rFonts w:ascii="Times New Roman" w:hAnsi="Times New Roman" w:cs="Times New Roman"/>
                    <w:lang w:val="is-IS"/>
                  </w:rPr>
                  <w:t>fjárheimilda í gildandi fjárlögum.</w:t>
                </w:r>
              </w:p>
              <w:p w14:paraId="1F90AB9D" w14:textId="0E60DFA7" w:rsidR="002A148C" w:rsidRPr="00F62C2F" w:rsidRDefault="002A148C" w:rsidP="005C52DD">
                <w:pPr>
                  <w:pStyle w:val="ListParagraph"/>
                  <w:numPr>
                    <w:ilvl w:val="0"/>
                    <w:numId w:val="9"/>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í fjárlagafrumvarpi komandi árs</w:t>
                </w:r>
              </w:p>
              <w:p w14:paraId="3570CC94" w14:textId="5751CB50" w:rsidR="005B6941" w:rsidRPr="00F62C2F" w:rsidRDefault="008574DD" w:rsidP="005C52DD">
                <w:pPr>
                  <w:pStyle w:val="ListParagraph"/>
                  <w:spacing w:before="60" w:after="60" w:line="240" w:lineRule="auto"/>
                  <w:ind w:left="1080"/>
                  <w:contextualSpacing w:val="0"/>
                  <w:jc w:val="both"/>
                  <w:rPr>
                    <w:rFonts w:ascii="Times New Roman" w:hAnsi="Times New Roman" w:cs="Times New Roman"/>
                    <w:i/>
                    <w:lang w:val="is-IS"/>
                  </w:rPr>
                </w:pPr>
                <w:r>
                  <w:rPr>
                    <w:rFonts w:ascii="Times New Roman" w:hAnsi="Times New Roman" w:cs="Times New Roman"/>
                    <w:lang w:val="is-IS"/>
                  </w:rPr>
                  <w:t>Fjárlög fyrir árið 2019 hafa þegar verið samþykkt.</w:t>
                </w:r>
              </w:p>
              <w:p w14:paraId="0C1470AB" w14:textId="1B419567" w:rsidR="002A148C" w:rsidRPr="00F62C2F" w:rsidRDefault="002A148C" w:rsidP="005C52DD">
                <w:pPr>
                  <w:pStyle w:val="ListParagraph"/>
                  <w:numPr>
                    <w:ilvl w:val="0"/>
                    <w:numId w:val="9"/>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í fimm ára fjármálaáætlun ríkisstjórnarinnar</w:t>
                </w:r>
              </w:p>
              <w:p w14:paraId="4E3E0469" w14:textId="6A16FD5A" w:rsidR="007E1E28" w:rsidRDefault="000A3495" w:rsidP="005C52DD">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Ekki sérstaklega</w:t>
                </w:r>
                <w:r w:rsidR="008574DD">
                  <w:rPr>
                    <w:rFonts w:ascii="Times New Roman" w:hAnsi="Times New Roman" w:cs="Times New Roman"/>
                    <w:lang w:val="is-IS"/>
                  </w:rPr>
                  <w:t xml:space="preserve">, en </w:t>
                </w:r>
                <w:r w:rsidR="007E1E28">
                  <w:rPr>
                    <w:rFonts w:ascii="Times New Roman" w:hAnsi="Times New Roman" w:cs="Times New Roman"/>
                    <w:lang w:val="is-IS"/>
                  </w:rPr>
                  <w:t>þar sem um óverulegan kostnað er að ræða ætti hann að rúmast innan gildandi fjármálaáætlunar.</w:t>
                </w:r>
              </w:p>
              <w:p w14:paraId="0733004E" w14:textId="77777777" w:rsidR="00143632" w:rsidRPr="00F62C2F" w:rsidRDefault="002A148C" w:rsidP="005C52DD">
                <w:pPr>
                  <w:pStyle w:val="ListParagraph"/>
                  <w:numPr>
                    <w:ilvl w:val="0"/>
                    <w:numId w:val="4"/>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143632" w:rsidRPr="00F62C2F">
                  <w:rPr>
                    <w:rFonts w:ascii="Times New Roman" w:hAnsi="Times New Roman" w:cs="Times New Roman"/>
                    <w:b/>
                    <w:lang w:val="is-IS"/>
                  </w:rPr>
                  <w:t>?</w:t>
                </w:r>
              </w:p>
              <w:p w14:paraId="4A9F5BF2" w14:textId="0EFDA5C6" w:rsidR="00143632" w:rsidRPr="00F62C2F" w:rsidRDefault="006F0DDC" w:rsidP="005C52DD">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Sjá A.3</w:t>
                </w:r>
                <w:r w:rsidR="007E1E28">
                  <w:rPr>
                    <w:rFonts w:ascii="Times New Roman" w:hAnsi="Times New Roman" w:cs="Times New Roman"/>
                    <w:lang w:val="is-IS"/>
                  </w:rPr>
                  <w:t>,</w:t>
                </w:r>
                <w:r w:rsidR="00D6371E">
                  <w:rPr>
                    <w:rFonts w:ascii="Times New Roman" w:hAnsi="Times New Roman" w:cs="Times New Roman"/>
                    <w:lang w:val="is-IS"/>
                  </w:rPr>
                  <w:t xml:space="preserve"> A.5.a</w:t>
                </w:r>
                <w:r w:rsidR="007E1E28">
                  <w:rPr>
                    <w:rFonts w:ascii="Times New Roman" w:hAnsi="Times New Roman" w:cs="Times New Roman"/>
                    <w:lang w:val="is-IS"/>
                  </w:rPr>
                  <w:t xml:space="preserve"> og B.1.a</w:t>
                </w:r>
                <w:r w:rsidR="00D6371E">
                  <w:rPr>
                    <w:rFonts w:ascii="Times New Roman" w:hAnsi="Times New Roman" w:cs="Times New Roman"/>
                    <w:lang w:val="is-IS"/>
                  </w:rPr>
                  <w:t>.</w:t>
                </w:r>
              </w:p>
              <w:p w14:paraId="5E9721D0" w14:textId="77777777" w:rsidR="00143632" w:rsidRPr="00F62C2F" w:rsidRDefault="002A148C" w:rsidP="005C52DD">
                <w:pPr>
                  <w:pStyle w:val="ListParagraph"/>
                  <w:numPr>
                    <w:ilvl w:val="0"/>
                    <w:numId w:val="4"/>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Tengist einhver ný eða aukin tekjuöflun verkefninu?</w:t>
                </w:r>
              </w:p>
              <w:p w14:paraId="66F90CAA" w14:textId="33CD6649" w:rsidR="002A148C" w:rsidRPr="00F62C2F" w:rsidRDefault="001200E5" w:rsidP="005C52DD">
                <w:pPr>
                  <w:pStyle w:val="ListParagraph"/>
                  <w:spacing w:before="60" w:after="60" w:line="240" w:lineRule="auto"/>
                  <w:contextualSpacing w:val="0"/>
                  <w:jc w:val="both"/>
                  <w:rPr>
                    <w:rFonts w:ascii="Times New Roman" w:hAnsi="Times New Roman" w:cs="Times New Roman"/>
                    <w:b/>
                    <w:lang w:val="is-IS"/>
                  </w:rPr>
                </w:pPr>
                <w:r>
                  <w:rPr>
                    <w:rFonts w:ascii="Times New Roman" w:hAnsi="Times New Roman" w:cs="Times New Roman"/>
                    <w:lang w:val="is-IS"/>
                  </w:rPr>
                  <w:t>Já, sjá A.2</w:t>
                </w:r>
                <w:r w:rsidR="00143632" w:rsidRPr="00F62C2F">
                  <w:rPr>
                    <w:rFonts w:ascii="Times New Roman" w:hAnsi="Times New Roman" w:cs="Times New Roman"/>
                    <w:lang w:val="is-IS"/>
                  </w:rPr>
                  <w:t>.</w:t>
                </w:r>
              </w:p>
            </w:sdtContent>
          </w:sdt>
        </w:tc>
      </w:tr>
      <w:tr w:rsidR="002A148C" w:rsidRPr="00F62C2F" w14:paraId="75A6AB8A" w14:textId="77777777" w:rsidTr="007414CB">
        <w:tc>
          <w:tcPr>
            <w:tcW w:w="9288" w:type="dxa"/>
            <w:shd w:val="clear" w:color="auto" w:fill="9CC2E5" w:themeFill="accent5" w:themeFillTint="99"/>
          </w:tcPr>
          <w:p w14:paraId="57A525C4"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t>Efnahagsáhrif – áhrif á atvinnulíf, vinnumarkað og samkeppni</w:t>
            </w:r>
          </w:p>
        </w:tc>
      </w:tr>
      <w:tr w:rsidR="002A148C" w:rsidRPr="00F62C2F" w14:paraId="6917691D" w14:textId="77777777" w:rsidTr="00FD2097">
        <w:trPr>
          <w:trHeight w:val="826"/>
        </w:trPr>
        <w:tc>
          <w:tcPr>
            <w:tcW w:w="9288" w:type="dxa"/>
          </w:tcPr>
          <w:sdt>
            <w:sdtPr>
              <w:rPr>
                <w:rFonts w:ascii="Times New Roman" w:hAnsi="Times New Roman" w:cs="Times New Roman"/>
                <w:b/>
                <w:lang w:val="is-IS"/>
              </w:rPr>
              <w:id w:val="-355357149"/>
            </w:sdtPr>
            <w:sdtEndPr>
              <w:rPr>
                <w:rFonts w:asciiTheme="minorHAnsi" w:hAnsiTheme="minorHAnsi" w:cstheme="minorBidi"/>
                <w:b w:val="0"/>
              </w:rPr>
            </w:sdtEndPr>
            <w:sdtContent>
              <w:p w14:paraId="160FB716" w14:textId="60E6030A" w:rsidR="002A148C" w:rsidRPr="00F62C2F" w:rsidRDefault="002A148C" w:rsidP="005C52DD">
                <w:pPr>
                  <w:pStyle w:val="ListParagraph"/>
                  <w:numPr>
                    <w:ilvl w:val="0"/>
                    <w:numId w:val="2"/>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Hagræn áhrif á heildareftirspurn og einstaka markaði – hagstjórnarsjónarmið </w:t>
                </w:r>
              </w:p>
              <w:p w14:paraId="730F7AE2" w14:textId="50EB106D" w:rsidR="00C720D9" w:rsidRPr="00F62C2F" w:rsidRDefault="0017576D" w:rsidP="005C52DD">
                <w:pPr>
                  <w:pStyle w:val="ListParagraph"/>
                  <w:spacing w:before="60" w:after="60" w:line="240" w:lineRule="auto"/>
                  <w:contextualSpacing w:val="0"/>
                  <w:jc w:val="both"/>
                  <w:rPr>
                    <w:rFonts w:ascii="Times New Roman" w:hAnsi="Times New Roman" w:cs="Times New Roman"/>
                    <w:lang w:val="is-IS"/>
                  </w:rPr>
                </w:pPr>
                <w:r w:rsidRPr="0017576D">
                  <w:rPr>
                    <w:rFonts w:ascii="Times New Roman" w:hAnsi="Times New Roman" w:cs="Times New Roman"/>
                    <w:lang w:val="is-IS"/>
                  </w:rPr>
                  <w:t xml:space="preserve">Misnotkun aðstöðu til að hafa óeðlileg áhrif á </w:t>
                </w:r>
                <w:r w:rsidR="002E37C1" w:rsidRPr="002E37C1">
                  <w:rPr>
                    <w:rFonts w:ascii="Times New Roman" w:hAnsi="Times New Roman" w:cs="Times New Roman"/>
                    <w:lang w:val="is-IS"/>
                  </w:rPr>
                  <w:t>fjárhagsleg</w:t>
                </w:r>
                <w:r>
                  <w:rPr>
                    <w:rFonts w:ascii="Times New Roman" w:hAnsi="Times New Roman" w:cs="Times New Roman"/>
                    <w:lang w:val="is-IS"/>
                  </w:rPr>
                  <w:t>ar</w:t>
                </w:r>
                <w:r w:rsidR="002E37C1" w:rsidRPr="002E37C1">
                  <w:rPr>
                    <w:rFonts w:ascii="Times New Roman" w:hAnsi="Times New Roman" w:cs="Times New Roman"/>
                    <w:lang w:val="is-IS"/>
                  </w:rPr>
                  <w:t xml:space="preserve"> viðmiðan</w:t>
                </w:r>
                <w:r>
                  <w:rPr>
                    <w:rFonts w:ascii="Times New Roman" w:hAnsi="Times New Roman" w:cs="Times New Roman"/>
                    <w:lang w:val="is-IS"/>
                  </w:rPr>
                  <w:t>ir</w:t>
                </w:r>
                <w:r w:rsidR="002E37C1" w:rsidRPr="002E37C1">
                  <w:rPr>
                    <w:rFonts w:ascii="Times New Roman" w:hAnsi="Times New Roman" w:cs="Times New Roman"/>
                    <w:lang w:val="is-IS"/>
                  </w:rPr>
                  <w:t xml:space="preserve"> grefur undan trausti á fjármálamörkuðum og skilvirkni þeirra og getur skaðað neytendur og fjárfesta. Almennt má ætla að traust fyrirkomulag um gerð þeirra auki skilvirkni fjármálamarkaða og bæti stöðu neytenda og fjárfesta. Að því leyti má ætla að lögfesting viðmiðanareglugerðarinnar hafi jákvæð áhrif. Á móti vegur að hún leggur nokkrar byrðar á umsjónaraðila viðmiðana og aðila undir eftirliti sem leggja til ílagsgögn.</w:t>
                </w:r>
              </w:p>
              <w:p w14:paraId="4454299D" w14:textId="77777777" w:rsidR="002A148C" w:rsidRPr="00F62C2F" w:rsidRDefault="002A148C" w:rsidP="005C52DD">
                <w:pPr>
                  <w:pStyle w:val="ListParagraph"/>
                  <w:numPr>
                    <w:ilvl w:val="0"/>
                    <w:numId w:val="2"/>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Áhrif á fyrirtækjaeftirlit og reglubyrði, hversu mörg fyrirtæki verða fyrir áhrifum og hvers konar fyrirtæki? Einföldun laga eða stjórnsýslu? Leitað umsagnar ráðgjafarnefndar um opinberar eftirlitsreglur? Sbr. lög nr. 27/1999. </w:t>
                </w:r>
              </w:p>
              <w:p w14:paraId="76F4D4AD" w14:textId="2F819AB9" w:rsidR="00CD6CA4" w:rsidRPr="00F62C2F" w:rsidRDefault="00CD6CA4" w:rsidP="005C52DD">
                <w:pPr>
                  <w:pStyle w:val="ListParagraph"/>
                  <w:numPr>
                    <w:ilvl w:val="1"/>
                    <w:numId w:val="13"/>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Umsjónaraðilar</w:t>
                </w:r>
              </w:p>
              <w:p w14:paraId="7CF5CB74" w14:textId="5766BF11" w:rsidR="00497287" w:rsidRPr="00F62C2F" w:rsidRDefault="00497287"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Kröfur viðmiðanareglugerðarinnar beinast öðrum fremur að umsjónaraðilum viðmiðana.</w:t>
                </w:r>
              </w:p>
              <w:p w14:paraId="1D1ED22F" w14:textId="0E23580E" w:rsidR="00C01675" w:rsidRPr="00F62C2F" w:rsidRDefault="00C01675"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Hagstofa Íslands og Seðlabanki Íslands taka saman ýmsar vísitölur sem notaðar eru sem fjárhagslegar viðmiðanir, þar á meðal vísitölu neysluverðs, vísitölu byggingarkostnaðar, Reibor- og Reibid-vexti, sem eiga að mæla vexti á millibankamarkaði með lán í íslenskum krónum, og gengisvísitölu. Viðmiðanareglugerðin gildir ekki um opinber yfirvöld sem taka saman viðmiðanir vegna opinberrar stefnu eða seðlabanka. Innleiðing hennar ætti því ekki að hafa bein áhrif á vísitöluskráningar Hagstofunnar eða Seðlabankans.</w:t>
                </w:r>
              </w:p>
              <w:p w14:paraId="13D2BE20" w14:textId="142032CD" w:rsidR="00D76F02" w:rsidRPr="00D76F02" w:rsidRDefault="00C01675" w:rsidP="00190E8A">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 xml:space="preserve">Kauphöll Íslands hf. </w:t>
                </w:r>
                <w:r w:rsidR="009B1FE3">
                  <w:rPr>
                    <w:rFonts w:ascii="Times New Roman" w:hAnsi="Times New Roman" w:cs="Times New Roman"/>
                    <w:lang w:val="is-IS"/>
                  </w:rPr>
                  <w:t xml:space="preserve">tekur saman </w:t>
                </w:r>
                <w:r w:rsidR="00EE4744" w:rsidRPr="00F62C2F">
                  <w:rPr>
                    <w:rFonts w:ascii="Times New Roman" w:hAnsi="Times New Roman" w:cs="Times New Roman"/>
                    <w:lang w:val="is-IS"/>
                  </w:rPr>
                  <w:t xml:space="preserve">ýmsar vísitölur sem eiga að endurspegla virði verðbréfa sem átt er viðskipti með </w:t>
                </w:r>
                <w:r w:rsidR="00EE4744">
                  <w:rPr>
                    <w:rFonts w:ascii="Times New Roman" w:hAnsi="Times New Roman" w:cs="Times New Roman"/>
                    <w:lang w:val="is-IS"/>
                  </w:rPr>
                  <w:t>á</w:t>
                </w:r>
                <w:r w:rsidR="00EE4744" w:rsidRPr="00F62C2F">
                  <w:rPr>
                    <w:rFonts w:ascii="Times New Roman" w:hAnsi="Times New Roman" w:cs="Times New Roman"/>
                    <w:lang w:val="is-IS"/>
                  </w:rPr>
                  <w:t xml:space="preserve"> Aðalmarkaði Kauphallarinnar eða First North-markaðinum. Sem dæmi má nefna Úrvalsvísitölu Kauphallarinnar (OMXI8), sem á að mæla virði hluta í þeim átta félögum sem mest viðskipti eru með </w:t>
                </w:r>
                <w:r w:rsidR="00EE4744">
                  <w:rPr>
                    <w:rFonts w:ascii="Times New Roman" w:hAnsi="Times New Roman" w:cs="Times New Roman"/>
                    <w:lang w:val="is-IS"/>
                  </w:rPr>
                  <w:t>á</w:t>
                </w:r>
                <w:r w:rsidR="00EE4744" w:rsidRPr="00F62C2F">
                  <w:rPr>
                    <w:rFonts w:ascii="Times New Roman" w:hAnsi="Times New Roman" w:cs="Times New Roman"/>
                    <w:lang w:val="is-IS"/>
                  </w:rPr>
                  <w:t xml:space="preserve"> Aðalmarkað</w:t>
                </w:r>
                <w:r w:rsidR="00EE4744">
                  <w:rPr>
                    <w:rFonts w:ascii="Times New Roman" w:hAnsi="Times New Roman" w:cs="Times New Roman"/>
                    <w:lang w:val="is-IS"/>
                  </w:rPr>
                  <w:t>i</w:t>
                </w:r>
                <w:r w:rsidR="00EE4744" w:rsidRPr="00F62C2F">
                  <w:rPr>
                    <w:rFonts w:ascii="Times New Roman" w:hAnsi="Times New Roman" w:cs="Times New Roman"/>
                    <w:lang w:val="is-IS"/>
                  </w:rPr>
                  <w:t>num,</w:t>
                </w:r>
                <w:r w:rsidR="00EE4744">
                  <w:rPr>
                    <w:rFonts w:ascii="Times New Roman" w:hAnsi="Times New Roman" w:cs="Times New Roman"/>
                    <w:lang w:val="is-IS"/>
                  </w:rPr>
                  <w:t xml:space="preserve"> og</w:t>
                </w:r>
                <w:r w:rsidR="00EE4744" w:rsidRPr="00F62C2F">
                  <w:rPr>
                    <w:rFonts w:ascii="Times New Roman" w:hAnsi="Times New Roman" w:cs="Times New Roman"/>
                    <w:lang w:val="is-IS"/>
                  </w:rPr>
                  <w:t xml:space="preserve"> aðalvísitölu skuldabréfa Kauphallarinnar (NOMXIBB), sem á að mæla virði ríkis</w:t>
                </w:r>
                <w:r w:rsidR="00E70492">
                  <w:rPr>
                    <w:rFonts w:ascii="Times New Roman" w:hAnsi="Times New Roman" w:cs="Times New Roman"/>
                    <w:lang w:val="is-IS"/>
                  </w:rPr>
                  <w:t xml:space="preserve">tryggðra </w:t>
                </w:r>
                <w:r w:rsidR="00EE4744" w:rsidRPr="00F62C2F">
                  <w:rPr>
                    <w:rFonts w:ascii="Times New Roman" w:hAnsi="Times New Roman" w:cs="Times New Roman"/>
                    <w:lang w:val="is-IS"/>
                  </w:rPr>
                  <w:t>skuldabréfa sem átt er viðskipti með á markaði</w:t>
                </w:r>
                <w:r w:rsidR="00EE4744">
                  <w:rPr>
                    <w:rFonts w:ascii="Times New Roman" w:hAnsi="Times New Roman" w:cs="Times New Roman"/>
                    <w:lang w:val="is-IS"/>
                  </w:rPr>
                  <w:t>.</w:t>
                </w:r>
                <w:r w:rsidR="00B0778B">
                  <w:rPr>
                    <w:rFonts w:ascii="Times New Roman" w:hAnsi="Times New Roman" w:cs="Times New Roman"/>
                    <w:lang w:val="is-IS"/>
                  </w:rPr>
                  <w:t xml:space="preserve"> </w:t>
                </w:r>
                <w:r w:rsidR="00190E8A">
                  <w:rPr>
                    <w:rFonts w:ascii="Times New Roman" w:hAnsi="Times New Roman" w:cs="Times New Roman"/>
                    <w:lang w:val="is-IS"/>
                  </w:rPr>
                  <w:t xml:space="preserve">Fáein </w:t>
                </w:r>
                <w:r w:rsidR="000A1039">
                  <w:rPr>
                    <w:rFonts w:ascii="Times New Roman" w:hAnsi="Times New Roman" w:cs="Times New Roman"/>
                    <w:lang w:val="is-IS"/>
                  </w:rPr>
                  <w:t xml:space="preserve">rekstrarfélög verðbréfasjóða og </w:t>
                </w:r>
                <w:r w:rsidR="002F184E">
                  <w:rPr>
                    <w:rFonts w:ascii="Times New Roman" w:hAnsi="Times New Roman" w:cs="Times New Roman"/>
                    <w:lang w:val="is-IS"/>
                  </w:rPr>
                  <w:t>verðbréfafyrirtæki tak</w:t>
                </w:r>
                <w:r w:rsidR="00190E8A">
                  <w:rPr>
                    <w:rFonts w:ascii="Times New Roman" w:hAnsi="Times New Roman" w:cs="Times New Roman"/>
                    <w:lang w:val="is-IS"/>
                  </w:rPr>
                  <w:t>a einnig</w:t>
                </w:r>
                <w:r w:rsidR="002F184E">
                  <w:rPr>
                    <w:rFonts w:ascii="Times New Roman" w:hAnsi="Times New Roman" w:cs="Times New Roman"/>
                    <w:lang w:val="is-IS"/>
                  </w:rPr>
                  <w:t xml:space="preserve"> saman slíkar vísitölur</w:t>
                </w:r>
                <w:r w:rsidR="00190E8A">
                  <w:rPr>
                    <w:rFonts w:ascii="Times New Roman" w:hAnsi="Times New Roman" w:cs="Times New Roman"/>
                    <w:lang w:val="is-IS"/>
                  </w:rPr>
                  <w:t>, svo sem</w:t>
                </w:r>
                <w:r w:rsidR="002F184E">
                  <w:rPr>
                    <w:rFonts w:ascii="Times New Roman" w:hAnsi="Times New Roman" w:cs="Times New Roman"/>
                    <w:lang w:val="is-IS"/>
                  </w:rPr>
                  <w:t xml:space="preserve"> </w:t>
                </w:r>
                <w:r w:rsidR="000D5919" w:rsidRPr="00F62C2F">
                  <w:rPr>
                    <w:rFonts w:ascii="Times New Roman" w:hAnsi="Times New Roman" w:cs="Times New Roman"/>
                    <w:lang w:val="is-IS"/>
                  </w:rPr>
                  <w:t>GAMMA Capital Management hf.</w:t>
                </w:r>
                <w:r w:rsidR="00190E8A">
                  <w:rPr>
                    <w:rFonts w:ascii="Times New Roman" w:hAnsi="Times New Roman" w:cs="Times New Roman"/>
                    <w:lang w:val="is-IS"/>
                  </w:rPr>
                  <w:t>, sem tekur meðal annars</w:t>
                </w:r>
                <w:r w:rsidR="000D5919">
                  <w:rPr>
                    <w:rFonts w:ascii="Times New Roman" w:hAnsi="Times New Roman" w:cs="Times New Roman"/>
                    <w:lang w:val="is-IS"/>
                  </w:rPr>
                  <w:t xml:space="preserve"> saman </w:t>
                </w:r>
                <w:r w:rsidR="000D5919" w:rsidRPr="00F62C2F">
                  <w:rPr>
                    <w:rFonts w:ascii="Times New Roman" w:hAnsi="Times New Roman" w:cs="Times New Roman"/>
                    <w:lang w:val="is-IS"/>
                  </w:rPr>
                  <w:t>markaðsvísitölu sem á að sýna heildarávöxtun allra helstu eigna á íslenskum verðbréfamarkaði</w:t>
                </w:r>
                <w:r w:rsidR="00190E8A">
                  <w:rPr>
                    <w:rFonts w:ascii="Times New Roman" w:hAnsi="Times New Roman" w:cs="Times New Roman"/>
                    <w:lang w:val="is-IS"/>
                  </w:rPr>
                  <w:t>, og</w:t>
                </w:r>
                <w:r w:rsidR="000D5919">
                  <w:rPr>
                    <w:rFonts w:ascii="Times New Roman" w:hAnsi="Times New Roman" w:cs="Times New Roman"/>
                    <w:lang w:val="is-IS"/>
                  </w:rPr>
                  <w:t xml:space="preserve"> </w:t>
                </w:r>
                <w:r w:rsidR="00B0778B">
                  <w:rPr>
                    <w:rFonts w:ascii="Times New Roman" w:hAnsi="Times New Roman" w:cs="Times New Roman"/>
                    <w:lang w:val="is-IS"/>
                  </w:rPr>
                  <w:t>Íslensk verðbréf hf.</w:t>
                </w:r>
                <w:r w:rsidR="00190E8A">
                  <w:rPr>
                    <w:rFonts w:ascii="Times New Roman" w:hAnsi="Times New Roman" w:cs="Times New Roman"/>
                    <w:lang w:val="is-IS"/>
                  </w:rPr>
                  <w:t>, sem</w:t>
                </w:r>
                <w:r w:rsidR="00B0778B">
                  <w:rPr>
                    <w:rFonts w:ascii="Times New Roman" w:hAnsi="Times New Roman" w:cs="Times New Roman"/>
                    <w:lang w:val="is-IS"/>
                  </w:rPr>
                  <w:t xml:space="preserve"> tekur meðal annars saman hlutabréfavísitölu sem á að mæla </w:t>
                </w:r>
                <w:r w:rsidR="005A44F1" w:rsidRPr="00B0778B">
                  <w:rPr>
                    <w:rFonts w:ascii="Times New Roman" w:hAnsi="Times New Roman" w:cs="Times New Roman"/>
                    <w:lang w:val="is-IS"/>
                  </w:rPr>
                  <w:t xml:space="preserve">seljanleika </w:t>
                </w:r>
                <w:r w:rsidR="00B0778B" w:rsidRPr="00B0778B">
                  <w:rPr>
                    <w:rFonts w:ascii="Times New Roman" w:hAnsi="Times New Roman" w:cs="Times New Roman"/>
                    <w:lang w:val="is-IS"/>
                  </w:rPr>
                  <w:t>hlutabréfa félaga á</w:t>
                </w:r>
                <w:r w:rsidR="00B0778B">
                  <w:rPr>
                    <w:rFonts w:ascii="Times New Roman" w:hAnsi="Times New Roman" w:cs="Times New Roman"/>
                    <w:lang w:val="is-IS"/>
                  </w:rPr>
                  <w:t xml:space="preserve"> </w:t>
                </w:r>
                <w:r w:rsidR="00B0778B" w:rsidRPr="00B0778B">
                  <w:rPr>
                    <w:rFonts w:ascii="Times New Roman" w:hAnsi="Times New Roman" w:cs="Times New Roman"/>
                    <w:lang w:val="is-IS"/>
                  </w:rPr>
                  <w:t xml:space="preserve">Aðalmarkaði </w:t>
                </w:r>
                <w:r w:rsidR="00B0778B" w:rsidRPr="00F62C2F">
                  <w:rPr>
                    <w:rFonts w:ascii="Times New Roman" w:hAnsi="Times New Roman" w:cs="Times New Roman"/>
                    <w:lang w:val="is-IS"/>
                  </w:rPr>
                  <w:t>Kauphallarinnar</w:t>
                </w:r>
                <w:r w:rsidR="000D5919">
                  <w:rPr>
                    <w:rFonts w:ascii="Times New Roman" w:hAnsi="Times New Roman" w:cs="Times New Roman"/>
                    <w:lang w:val="is-IS"/>
                  </w:rPr>
                  <w:t>.</w:t>
                </w:r>
                <w:r w:rsidR="00B87C92" w:rsidRPr="00F62C2F">
                  <w:rPr>
                    <w:rFonts w:ascii="Times New Roman" w:hAnsi="Times New Roman" w:cs="Times New Roman"/>
                    <w:lang w:val="is-IS"/>
                  </w:rPr>
                  <w:t xml:space="preserve"> Viðmiðanareglugerðin gildir um kauphallir</w:t>
                </w:r>
                <w:r w:rsidR="00B87C92">
                  <w:rPr>
                    <w:rFonts w:ascii="Times New Roman" w:hAnsi="Times New Roman" w:cs="Times New Roman"/>
                    <w:lang w:val="is-IS"/>
                  </w:rPr>
                  <w:t>,</w:t>
                </w:r>
                <w:r w:rsidR="00B87C92" w:rsidRPr="00F62C2F">
                  <w:rPr>
                    <w:rFonts w:ascii="Times New Roman" w:hAnsi="Times New Roman" w:cs="Times New Roman"/>
                    <w:lang w:val="is-IS"/>
                  </w:rPr>
                  <w:t xml:space="preserve"> rekstrarfélög verðbréfasjóða </w:t>
                </w:r>
                <w:r w:rsidR="00B87C92">
                  <w:rPr>
                    <w:rFonts w:ascii="Times New Roman" w:hAnsi="Times New Roman" w:cs="Times New Roman"/>
                    <w:lang w:val="is-IS"/>
                  </w:rPr>
                  <w:t xml:space="preserve">og verðbréfafyrirtæki </w:t>
                </w:r>
                <w:r w:rsidR="00B87C92" w:rsidRPr="00F62C2F">
                  <w:rPr>
                    <w:rFonts w:ascii="Times New Roman" w:hAnsi="Times New Roman" w:cs="Times New Roman"/>
                    <w:lang w:val="is-IS"/>
                  </w:rPr>
                  <w:t xml:space="preserve">og </w:t>
                </w:r>
                <w:r w:rsidR="00B87C92">
                  <w:rPr>
                    <w:rFonts w:ascii="Times New Roman" w:hAnsi="Times New Roman" w:cs="Times New Roman"/>
                    <w:lang w:val="is-IS"/>
                  </w:rPr>
                  <w:t xml:space="preserve">viðkomandi </w:t>
                </w:r>
                <w:r w:rsidR="006F18A4">
                  <w:rPr>
                    <w:rFonts w:ascii="Times New Roman" w:hAnsi="Times New Roman" w:cs="Times New Roman"/>
                    <w:lang w:val="is-IS"/>
                  </w:rPr>
                  <w:t>félög</w:t>
                </w:r>
                <w:r w:rsidR="00B87C92" w:rsidRPr="00F62C2F">
                  <w:rPr>
                    <w:rFonts w:ascii="Times New Roman" w:hAnsi="Times New Roman" w:cs="Times New Roman"/>
                    <w:lang w:val="is-IS"/>
                  </w:rPr>
                  <w:t xml:space="preserve"> munu því þurfa að fara að ákvæðum hennar vegna viðmiðana sem </w:t>
                </w:r>
                <w:r w:rsidR="006F18A4">
                  <w:rPr>
                    <w:rFonts w:ascii="Times New Roman" w:hAnsi="Times New Roman" w:cs="Times New Roman"/>
                    <w:lang w:val="is-IS"/>
                  </w:rPr>
                  <w:t>þau</w:t>
                </w:r>
                <w:r w:rsidR="00B87C92" w:rsidRPr="00F62C2F">
                  <w:rPr>
                    <w:rFonts w:ascii="Times New Roman" w:hAnsi="Times New Roman" w:cs="Times New Roman"/>
                    <w:lang w:val="is-IS"/>
                  </w:rPr>
                  <w:t xml:space="preserve"> taka saman.</w:t>
                </w:r>
              </w:p>
              <w:p w14:paraId="2B9D1059" w14:textId="52E4B052" w:rsidR="004051CA" w:rsidRPr="00D76F02" w:rsidRDefault="004051CA" w:rsidP="00D76F02">
                <w:pPr>
                  <w:pStyle w:val="ListParagraph"/>
                  <w:spacing w:before="60" w:after="60" w:line="240" w:lineRule="auto"/>
                  <w:contextualSpacing w:val="0"/>
                  <w:jc w:val="both"/>
                  <w:rPr>
                    <w:rFonts w:ascii="Times New Roman" w:hAnsi="Times New Roman" w:cs="Times New Roman"/>
                    <w:lang w:val="is-IS"/>
                  </w:rPr>
                </w:pPr>
                <w:r w:rsidRPr="00D76F02">
                  <w:rPr>
                    <w:rFonts w:ascii="Times New Roman" w:hAnsi="Times New Roman" w:cs="Times New Roman"/>
                    <w:lang w:val="is-IS"/>
                  </w:rPr>
                  <w:t xml:space="preserve">Við undirbúning viðmiðanareglugerðarinnar áætlaði </w:t>
                </w:r>
                <w:r w:rsidR="00F66ED4" w:rsidRPr="00D76F02">
                  <w:rPr>
                    <w:rFonts w:ascii="Times New Roman" w:hAnsi="Times New Roman" w:cs="Times New Roman"/>
                    <w:lang w:val="is-IS"/>
                  </w:rPr>
                  <w:t>f</w:t>
                </w:r>
                <w:r w:rsidRPr="00D76F02">
                  <w:rPr>
                    <w:rFonts w:ascii="Times New Roman" w:hAnsi="Times New Roman" w:cs="Times New Roman"/>
                    <w:lang w:val="is-IS"/>
                  </w:rPr>
                  <w:t>ramkvæmdastjórn Evrópusambandsins að meðalstofnkostnaður fyrir hvern umsjónaraðila væri 20.000 evrur og meðal árlegur kostnaður 4.000 evrur.</w:t>
                </w:r>
                <w:r w:rsidRPr="00F62C2F">
                  <w:rPr>
                    <w:rStyle w:val="FootnoteReference"/>
                    <w:rFonts w:ascii="Times New Roman" w:hAnsi="Times New Roman" w:cs="Times New Roman"/>
                    <w:lang w:val="is-IS"/>
                  </w:rPr>
                  <w:footnoteReference w:id="1"/>
                </w:r>
                <w:r w:rsidRPr="00D76F02">
                  <w:rPr>
                    <w:rFonts w:ascii="Times New Roman" w:hAnsi="Times New Roman" w:cs="Times New Roman"/>
                    <w:lang w:val="is-IS"/>
                  </w:rPr>
                  <w:t xml:space="preserve"> Þar eru þó taldir með umsjónaraðilar viðmiðana sem eru taldar mikilvægar og mjög mikilvægar og þurfa því að hlíta ítarlegum kröfum. Líklega verður kostnaður </w:t>
                </w:r>
                <w:r w:rsidR="005A7630">
                  <w:rPr>
                    <w:rFonts w:ascii="Times New Roman" w:hAnsi="Times New Roman" w:cs="Times New Roman"/>
                    <w:lang w:val="is-IS"/>
                  </w:rPr>
                  <w:t>umsjónaraðila á Íslandi</w:t>
                </w:r>
                <w:r w:rsidRPr="00D76F02">
                  <w:rPr>
                    <w:rFonts w:ascii="Times New Roman" w:hAnsi="Times New Roman" w:cs="Times New Roman"/>
                    <w:lang w:val="is-IS"/>
                  </w:rPr>
                  <w:t xml:space="preserve"> því minni</w:t>
                </w:r>
                <w:r w:rsidR="009B4BD8" w:rsidRPr="00D76F02">
                  <w:rPr>
                    <w:rFonts w:ascii="Times New Roman" w:hAnsi="Times New Roman" w:cs="Times New Roman"/>
                    <w:lang w:val="is-IS"/>
                  </w:rPr>
                  <w:t xml:space="preserve">. Kauphöllin reiknar með því að </w:t>
                </w:r>
                <w:r w:rsidR="00736979" w:rsidRPr="00D76F02">
                  <w:rPr>
                    <w:rFonts w:ascii="Times New Roman" w:hAnsi="Times New Roman" w:cs="Times New Roman"/>
                    <w:lang w:val="is-IS"/>
                  </w:rPr>
                  <w:t>færa utanumhald viðmiðana til miðlægs umsjónaraðila innan samstæðu Nasdaq að því marki sem unnt er til að draga úr kostnaði.</w:t>
                </w:r>
              </w:p>
              <w:p w14:paraId="324B7CC3" w14:textId="1DA468E7" w:rsidR="00CD6CA4" w:rsidRPr="00F62C2F" w:rsidRDefault="00CD6CA4" w:rsidP="005C52DD">
                <w:pPr>
                  <w:pStyle w:val="ListParagraph"/>
                  <w:numPr>
                    <w:ilvl w:val="1"/>
                    <w:numId w:val="13"/>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Aðilar sem leggja til ílagsgögn</w:t>
                </w:r>
              </w:p>
              <w:p w14:paraId="2A35AE8B" w14:textId="77777777" w:rsidR="00F236B4" w:rsidRPr="00F62C2F" w:rsidRDefault="004051C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Lánastofnanir, rekstrarfélög verðbréfasjóða og aðrir aðilar undir eftirliti samkvæmt viðmiðanareglugerðinni munu þurfa að gæta að ákvæðum hennar þegar þeir leggja til ílagsgögn fyrir viðmiðanir</w:t>
                </w:r>
                <w:r w:rsidR="00C720D9" w:rsidRPr="00F62C2F">
                  <w:rPr>
                    <w:rFonts w:ascii="Times New Roman" w:hAnsi="Times New Roman" w:cs="Times New Roman"/>
                    <w:lang w:val="is-IS"/>
                  </w:rPr>
                  <w:t xml:space="preserve"> sem falla undir reglugerðina</w:t>
                </w:r>
                <w:r w:rsidRPr="00F62C2F">
                  <w:rPr>
                    <w:rFonts w:ascii="Times New Roman" w:hAnsi="Times New Roman" w:cs="Times New Roman"/>
                    <w:lang w:val="is-IS"/>
                  </w:rPr>
                  <w:t xml:space="preserve">. </w:t>
                </w:r>
              </w:p>
              <w:p w14:paraId="1F56EC6A" w14:textId="2F325FE8" w:rsidR="004051CA" w:rsidRPr="00F62C2F" w:rsidRDefault="004051C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 xml:space="preserve">Við undirbúning viðmiðanareglugerðarinnar áætlaði </w:t>
                </w:r>
                <w:r w:rsidR="00F66ED4">
                  <w:rPr>
                    <w:rFonts w:ascii="Times New Roman" w:hAnsi="Times New Roman" w:cs="Times New Roman"/>
                    <w:lang w:val="is-IS"/>
                  </w:rPr>
                  <w:t>f</w:t>
                </w:r>
                <w:r w:rsidRPr="00F62C2F">
                  <w:rPr>
                    <w:rFonts w:ascii="Times New Roman" w:hAnsi="Times New Roman" w:cs="Times New Roman"/>
                    <w:lang w:val="is-IS"/>
                  </w:rPr>
                  <w:t>ramkvæmdastjórn Evrópusambandsins að meðalstofnkostnaður fyrir hvern aðila undir eftirliti sem legði til ílagsgögn væri 2.000 evrur og meðal árlegur kostnaður 1.000 evrur.</w:t>
                </w:r>
                <w:r w:rsidRPr="00F62C2F">
                  <w:rPr>
                    <w:rStyle w:val="FootnoteReference"/>
                    <w:rFonts w:ascii="Times New Roman" w:hAnsi="Times New Roman" w:cs="Times New Roman"/>
                    <w:lang w:val="is-IS"/>
                  </w:rPr>
                  <w:footnoteReference w:id="2"/>
                </w:r>
                <w:r w:rsidRPr="00F62C2F">
                  <w:rPr>
                    <w:rFonts w:ascii="Times New Roman" w:hAnsi="Times New Roman" w:cs="Times New Roman"/>
                    <w:lang w:val="is-IS"/>
                  </w:rPr>
                  <w:t xml:space="preserve"> Þar eru þó taldir með aðilar sem leggja til gögn fyrir viðmiðanir sem eru taldar mikilvægar og mjög mikilvægar og þurfa því að hlíta ítarlegum kröfum. Líklega verður kostnaður aðila undir eftirliti sem leggja til gögn fyrir viðmiðanir á Íslandi því minni.</w:t>
                </w:r>
              </w:p>
              <w:p w14:paraId="6A1AA960" w14:textId="5E6BBFD9" w:rsidR="00CD6CA4" w:rsidRPr="00F62C2F" w:rsidRDefault="00CD6CA4" w:rsidP="005C52DD">
                <w:pPr>
                  <w:pStyle w:val="ListParagraph"/>
                  <w:numPr>
                    <w:ilvl w:val="1"/>
                    <w:numId w:val="13"/>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Notendur</w:t>
                </w:r>
              </w:p>
              <w:p w14:paraId="089B4468" w14:textId="45C28D9F" w:rsidR="00F236B4" w:rsidRPr="00F62C2F" w:rsidRDefault="000B203C"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lastRenderedPageBreak/>
                  <w:t>Vísitölur sem Hagstofa</w:t>
                </w:r>
                <w:r w:rsidR="00350890">
                  <w:rPr>
                    <w:rFonts w:ascii="Times New Roman" w:hAnsi="Times New Roman" w:cs="Times New Roman"/>
                    <w:lang w:val="is-IS"/>
                  </w:rPr>
                  <w:t xml:space="preserve"> Íslands</w:t>
                </w:r>
                <w:r w:rsidRPr="00F62C2F">
                  <w:rPr>
                    <w:rFonts w:ascii="Times New Roman" w:hAnsi="Times New Roman" w:cs="Times New Roman"/>
                    <w:lang w:val="is-IS"/>
                  </w:rPr>
                  <w:t xml:space="preserve"> og Seðlabank</w:t>
                </w:r>
                <w:r w:rsidR="00350890">
                  <w:rPr>
                    <w:rFonts w:ascii="Times New Roman" w:hAnsi="Times New Roman" w:cs="Times New Roman"/>
                    <w:lang w:val="is-IS"/>
                  </w:rPr>
                  <w:t>i Íslands</w:t>
                </w:r>
                <w:r w:rsidRPr="00F62C2F">
                  <w:rPr>
                    <w:rFonts w:ascii="Times New Roman" w:hAnsi="Times New Roman" w:cs="Times New Roman"/>
                    <w:lang w:val="is-IS"/>
                  </w:rPr>
                  <w:t xml:space="preserve"> taka saman eru mikið nýttar sem fjárhagslegar viðmiðanir. Til dæmis er stór hluti lána á Íslandi verðtryggður með vísitölu neysluverðs og fyrirtæki hafa gefið út skuldabréf sem miðast við Reibor-vexti.</w:t>
                </w:r>
                <w:r w:rsidR="002A695F" w:rsidRPr="00F62C2F">
                  <w:rPr>
                    <w:rFonts w:ascii="Times New Roman" w:hAnsi="Times New Roman" w:cs="Times New Roman"/>
                    <w:lang w:val="is-IS"/>
                  </w:rPr>
                  <w:t xml:space="preserve"> Viðmiðanareglugerðin gildir sem fyrr segir ekki um opinber yfirvöld sem taka saman viðmiðanir vegna opinberrar stefnu eða seðlabanka og því verður áfram unnt að notast við viðmiðanir frá Hagstofunni </w:t>
                </w:r>
                <w:r w:rsidR="00484305">
                  <w:rPr>
                    <w:rFonts w:ascii="Times New Roman" w:hAnsi="Times New Roman" w:cs="Times New Roman"/>
                    <w:lang w:val="is-IS"/>
                  </w:rPr>
                  <w:t>og</w:t>
                </w:r>
                <w:r w:rsidR="002A695F" w:rsidRPr="00F62C2F">
                  <w:rPr>
                    <w:rFonts w:ascii="Times New Roman" w:hAnsi="Times New Roman" w:cs="Times New Roman"/>
                    <w:lang w:val="is-IS"/>
                  </w:rPr>
                  <w:t xml:space="preserve"> Seðlabankanum.</w:t>
                </w:r>
              </w:p>
              <w:p w14:paraId="5D737C82" w14:textId="60BCABFD" w:rsidR="00D4434C" w:rsidRDefault="002A695F"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 xml:space="preserve">Hérlendis er einnig notast við viðmiðanir sem falla ekki undir undanþágur reglugerðarinnar. Íslensk fyrirtæki hafa til dæmis gefið út skuldabréf og unnt hefur verið að fá lán og gera afleiðusamninga sem miðast við Euribor- og Libor-vexti og nokkuð er um að þóknanir eða fjárfestingarstefna sjóða um sameiginlega fjárfestingu og lífeyrissjóða miðist við innlendar eða erlendar vísitölur sem eiga að endurspegla virði verðbréfasafna. </w:t>
                </w:r>
                <w:r w:rsidR="00EB547D">
                  <w:rPr>
                    <w:rFonts w:ascii="Times New Roman" w:hAnsi="Times New Roman" w:cs="Times New Roman"/>
                    <w:lang w:val="is-IS"/>
                  </w:rPr>
                  <w:t>A</w:t>
                </w:r>
                <w:r w:rsidRPr="00F62C2F">
                  <w:rPr>
                    <w:rFonts w:ascii="Times New Roman" w:hAnsi="Times New Roman" w:cs="Times New Roman"/>
                    <w:lang w:val="is-IS"/>
                  </w:rPr>
                  <w:t xml:space="preserve">ðilar undir eftirliti samkvæmt reglugerðinni munu þurfa að gæta þess eftir lögfestingu viðmiðanareglugerðarinnar að notast aðeins við </w:t>
                </w:r>
                <w:r w:rsidR="0054274D">
                  <w:rPr>
                    <w:rFonts w:ascii="Times New Roman" w:hAnsi="Times New Roman" w:cs="Times New Roman"/>
                    <w:lang w:val="is-IS"/>
                  </w:rPr>
                  <w:t>viðmiðanir</w:t>
                </w:r>
                <w:r w:rsidRPr="00F62C2F">
                  <w:rPr>
                    <w:rFonts w:ascii="Times New Roman" w:hAnsi="Times New Roman" w:cs="Times New Roman"/>
                    <w:lang w:val="is-IS"/>
                  </w:rPr>
                  <w:t xml:space="preserve"> á skrá Evrópsku verðbréfamarkaðseftirlitsstofnunarinnar. </w:t>
                </w:r>
                <w:r w:rsidR="004B7D5B" w:rsidRPr="00F62C2F">
                  <w:rPr>
                    <w:rFonts w:ascii="Times New Roman" w:hAnsi="Times New Roman" w:cs="Times New Roman"/>
                    <w:lang w:val="is-IS"/>
                  </w:rPr>
                  <w:t>Áfram verður þó unnt að nota</w:t>
                </w:r>
                <w:r w:rsidR="008E4ACE">
                  <w:rPr>
                    <w:rFonts w:ascii="Times New Roman" w:hAnsi="Times New Roman" w:cs="Times New Roman"/>
                    <w:lang w:val="is-IS"/>
                  </w:rPr>
                  <w:t xml:space="preserve"> aðrar</w:t>
                </w:r>
                <w:r w:rsidR="004B7D5B" w:rsidRPr="00F62C2F">
                  <w:rPr>
                    <w:rFonts w:ascii="Times New Roman" w:hAnsi="Times New Roman" w:cs="Times New Roman"/>
                    <w:lang w:val="is-IS"/>
                  </w:rPr>
                  <w:t xml:space="preserve"> viðmiðanir sem byrjað var að nota fyrir 1. janúar 2020 og er því ekki gert ráð fyrir verulegri röskun vegna þessa.</w:t>
                </w:r>
              </w:p>
              <w:p w14:paraId="0C0B9121" w14:textId="606CF4B3" w:rsidR="00897A4E" w:rsidRPr="00F62C2F" w:rsidRDefault="00897A4E"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Ekki var leitað umsagnar ráðgjafarnefndar um opinberar eftirlitsreglur.</w:t>
                </w:r>
              </w:p>
              <w:p w14:paraId="3A9D0F77" w14:textId="77777777" w:rsidR="002A148C" w:rsidRPr="00F62C2F" w:rsidRDefault="002A148C" w:rsidP="005C52DD">
                <w:pPr>
                  <w:pStyle w:val="ListParagraph"/>
                  <w:numPr>
                    <w:ilvl w:val="0"/>
                    <w:numId w:val="2"/>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Samkeppnisskilyrði</w:t>
                </w:r>
              </w:p>
              <w:p w14:paraId="36671914" w14:textId="4BA65E9E" w:rsidR="002A148C" w:rsidRPr="00F62C2F" w:rsidRDefault="002A148C" w:rsidP="005C52DD">
                <w:pPr>
                  <w:pStyle w:val="ListParagraph"/>
                  <w:numPr>
                    <w:ilvl w:val="0"/>
                    <w:numId w:val="10"/>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Líkur á því að fjöldi fyrirtækja á markaði takmarkist með beinum hætti vegna reglusetningar (líklegt ef aðgerðin felur í sér einhvers konar einkarétt, leyfiskerfi eða kvóta)</w:t>
                </w:r>
              </w:p>
              <w:p w14:paraId="38ED131D" w14:textId="14F4EA0C" w:rsidR="008612CC" w:rsidRDefault="008612CC" w:rsidP="005C52DD">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Ekki er talið að lögfesting viðmiðanareglugerðarinnar takmarki með beinum hætti fjölda umsjónaraðila viðmiðan</w:t>
                </w:r>
                <w:r w:rsidR="009064BE">
                  <w:rPr>
                    <w:rFonts w:ascii="Times New Roman" w:hAnsi="Times New Roman" w:cs="Times New Roman"/>
                    <w:lang w:val="is-IS"/>
                  </w:rPr>
                  <w:t>a eða aðila sem leggja til ílagsgögn</w:t>
                </w:r>
                <w:r>
                  <w:rPr>
                    <w:rFonts w:ascii="Times New Roman" w:hAnsi="Times New Roman" w:cs="Times New Roman"/>
                    <w:lang w:val="is-IS"/>
                  </w:rPr>
                  <w:t xml:space="preserve">. Hún </w:t>
                </w:r>
                <w:r w:rsidR="00526370">
                  <w:rPr>
                    <w:rFonts w:ascii="Times New Roman" w:hAnsi="Times New Roman" w:cs="Times New Roman"/>
                    <w:lang w:val="is-IS"/>
                  </w:rPr>
                  <w:t>takmarkar</w:t>
                </w:r>
                <w:r>
                  <w:rPr>
                    <w:rFonts w:ascii="Times New Roman" w:hAnsi="Times New Roman" w:cs="Times New Roman"/>
                    <w:lang w:val="is-IS"/>
                  </w:rPr>
                  <w:t xml:space="preserve"> </w:t>
                </w:r>
                <w:r w:rsidR="0083426B">
                  <w:rPr>
                    <w:rFonts w:ascii="Times New Roman" w:hAnsi="Times New Roman" w:cs="Times New Roman"/>
                    <w:lang w:val="is-IS"/>
                  </w:rPr>
                  <w:t>aftur á móti</w:t>
                </w:r>
                <w:r>
                  <w:rPr>
                    <w:rFonts w:ascii="Times New Roman" w:hAnsi="Times New Roman" w:cs="Times New Roman"/>
                    <w:lang w:val="is-IS"/>
                  </w:rPr>
                  <w:t xml:space="preserve"> not </w:t>
                </w:r>
                <w:r w:rsidR="00526370">
                  <w:rPr>
                    <w:rFonts w:ascii="Times New Roman" w:hAnsi="Times New Roman" w:cs="Times New Roman"/>
                    <w:lang w:val="is-IS"/>
                  </w:rPr>
                  <w:t xml:space="preserve">aðila undir eftirliti </w:t>
                </w:r>
                <w:r>
                  <w:rPr>
                    <w:rFonts w:ascii="Times New Roman" w:hAnsi="Times New Roman" w:cs="Times New Roman"/>
                    <w:lang w:val="is-IS"/>
                  </w:rPr>
                  <w:t>á viðmiðunum</w:t>
                </w:r>
                <w:r w:rsidRPr="00F62C2F">
                  <w:rPr>
                    <w:rFonts w:ascii="Times New Roman" w:hAnsi="Times New Roman" w:cs="Times New Roman"/>
                    <w:lang w:val="is-IS"/>
                  </w:rPr>
                  <w:t>.</w:t>
                </w:r>
              </w:p>
              <w:p w14:paraId="2C39EDBB" w14:textId="29657E8C" w:rsidR="002A148C" w:rsidRPr="00F62C2F" w:rsidRDefault="002A148C" w:rsidP="005C52DD">
                <w:pPr>
                  <w:pStyle w:val="ListParagraph"/>
                  <w:numPr>
                    <w:ilvl w:val="0"/>
                    <w:numId w:val="10"/>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Líkur á því að fyrirtækjum á markaði fækki með óbeinum hætti vegna reglusetningar (líklegt ef aðgerðin felur í sér aukinn kostnað við inngöngu á markað eða tekur aðeins til hluta starfandi fyrirtækja)</w:t>
                </w:r>
              </w:p>
              <w:p w14:paraId="5516E98F" w14:textId="69D9D1B0" w:rsidR="008612CC" w:rsidRPr="00F62C2F" w:rsidRDefault="008612CC" w:rsidP="005C52DD">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 xml:space="preserve">Viðmiðanareglugerðin </w:t>
                </w:r>
                <w:r w:rsidRPr="002E37C1">
                  <w:rPr>
                    <w:rFonts w:ascii="Times New Roman" w:hAnsi="Times New Roman" w:cs="Times New Roman"/>
                    <w:lang w:val="is-IS"/>
                  </w:rPr>
                  <w:t>leggur nokkrar byrðar á umsjónaraðila viðmiðana og aðila undir eftirliti sem leggja til ílagsgögn</w:t>
                </w:r>
                <w:r>
                  <w:rPr>
                    <w:rFonts w:ascii="Times New Roman" w:hAnsi="Times New Roman" w:cs="Times New Roman"/>
                    <w:lang w:val="is-IS"/>
                  </w:rPr>
                  <w:t xml:space="preserve">, sbr. C.2.1.1 og C.2.1.2. Hún gæti því óbeint </w:t>
                </w:r>
                <w:r w:rsidR="00F22D0D">
                  <w:rPr>
                    <w:rFonts w:ascii="Times New Roman" w:hAnsi="Times New Roman" w:cs="Times New Roman"/>
                    <w:lang w:val="is-IS"/>
                  </w:rPr>
                  <w:t>takmarkað</w:t>
                </w:r>
                <w:r>
                  <w:rPr>
                    <w:rFonts w:ascii="Times New Roman" w:hAnsi="Times New Roman" w:cs="Times New Roman"/>
                    <w:lang w:val="is-IS"/>
                  </w:rPr>
                  <w:t xml:space="preserve"> fjölda fyrirtækja á markaði, einkum smærri fyrirtækja.</w:t>
                </w:r>
              </w:p>
              <w:p w14:paraId="4561F421" w14:textId="25A66AFB" w:rsidR="002A148C" w:rsidRPr="00F62C2F" w:rsidRDefault="002A148C" w:rsidP="005C52DD">
                <w:pPr>
                  <w:pStyle w:val="ListParagraph"/>
                  <w:numPr>
                    <w:ilvl w:val="0"/>
                    <w:numId w:val="10"/>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Takmarkanir á möguleikum fyrirtækja til þess að mæta samkeppni vegna reglusetningar (líklegt ef aðgerðin hefur áhrif á verð fyrirtækja eða eðli vörunnar t.d. staðlar eða ef aðgerðin takmarkar sölusvæði, svigrúm til að auglýsa eða til að ákveða hvernig vara er framleidd</w:t>
                </w:r>
              </w:p>
              <w:p w14:paraId="7C62F559" w14:textId="3525267B" w:rsidR="003D57E8" w:rsidRPr="00F62C2F" w:rsidRDefault="00C03B98" w:rsidP="00C03B98">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Ekki er talið að lögfesting viðmiðanareglugerðarinnar takmarki möguleika fyrirtækja til að mæta samkeppni.</w:t>
                </w:r>
              </w:p>
              <w:p w14:paraId="112F782B" w14:textId="77777777" w:rsidR="00F05EE3" w:rsidRPr="00F62C2F" w:rsidRDefault="002A148C" w:rsidP="005C52DD">
                <w:pPr>
                  <w:pStyle w:val="ListParagraph"/>
                  <w:numPr>
                    <w:ilvl w:val="0"/>
                    <w:numId w:val="10"/>
                  </w:numPr>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i/>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59DF5D9E" w14:textId="72AC5962" w:rsidR="002A148C" w:rsidRPr="00F62C2F" w:rsidRDefault="00F05EE3" w:rsidP="005C52DD">
                <w:pPr>
                  <w:pStyle w:val="ListParagraph"/>
                  <w:spacing w:before="60" w:after="60" w:line="240" w:lineRule="auto"/>
                  <w:ind w:left="1080"/>
                  <w:contextualSpacing w:val="0"/>
                  <w:jc w:val="both"/>
                  <w:rPr>
                    <w:rFonts w:ascii="Times New Roman" w:hAnsi="Times New Roman" w:cs="Times New Roman"/>
                    <w:lang w:val="is-IS"/>
                  </w:rPr>
                </w:pPr>
                <w:r w:rsidRPr="00F62C2F">
                  <w:rPr>
                    <w:rFonts w:ascii="Times New Roman" w:hAnsi="Times New Roman" w:cs="Times New Roman"/>
                    <w:lang w:val="is-IS"/>
                  </w:rPr>
                  <w:t>Viðmiðanareglugerðin er ekki talin hefta samkeppni</w:t>
                </w:r>
                <w:r w:rsidR="007154E8" w:rsidRPr="00F62C2F">
                  <w:rPr>
                    <w:rFonts w:ascii="Times New Roman" w:hAnsi="Times New Roman" w:cs="Times New Roman"/>
                    <w:lang w:val="is-IS"/>
                  </w:rPr>
                  <w:t xml:space="preserve"> utan þess sem fyrr greinir</w:t>
                </w:r>
                <w:r w:rsidRPr="00F62C2F">
                  <w:rPr>
                    <w:rFonts w:ascii="Times New Roman" w:hAnsi="Times New Roman" w:cs="Times New Roman"/>
                    <w:lang w:val="is-IS"/>
                  </w:rPr>
                  <w:t>.</w:t>
                </w:r>
              </w:p>
            </w:sdtContent>
          </w:sdt>
        </w:tc>
      </w:tr>
      <w:tr w:rsidR="002A148C" w:rsidRPr="00F62C2F" w14:paraId="2133E979" w14:textId="77777777" w:rsidTr="007414CB">
        <w:tc>
          <w:tcPr>
            <w:tcW w:w="9288" w:type="dxa"/>
            <w:shd w:val="clear" w:color="auto" w:fill="9CC2E5" w:themeFill="accent5" w:themeFillTint="99"/>
          </w:tcPr>
          <w:p w14:paraId="42285AE5"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lastRenderedPageBreak/>
              <w:t>Önnur áhrif</w:t>
            </w:r>
          </w:p>
        </w:tc>
      </w:tr>
      <w:tr w:rsidR="002A148C" w:rsidRPr="00F62C2F" w14:paraId="1020D277"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 w14:paraId="5F90781C" w14:textId="77777777"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b/>
                    <w:lang w:val="is-IS"/>
                  </w:rPr>
                  <w:t>Áhrif á fjárhag sveitarfélaga, sbr. 129. gr. sveitarstjórnarlaga, nr. 138/2011</w:t>
                </w:r>
              </w:p>
              <w:p w14:paraId="445CAA01" w14:textId="3ABD116D" w:rsidR="002A148C" w:rsidRPr="00F62C2F" w:rsidRDefault="00D6313C" w:rsidP="005C52DD">
                <w:pPr>
                  <w:pStyle w:val="ListParagraph"/>
                  <w:spacing w:before="60" w:after="60"/>
                  <w:contextualSpacing w:val="0"/>
                  <w:jc w:val="both"/>
                  <w:rPr>
                    <w:rFonts w:ascii="Times New Roman" w:hAnsi="Times New Roman" w:cs="Times New Roman"/>
                    <w:lang w:val="is-IS"/>
                  </w:rPr>
                </w:pPr>
                <w:r w:rsidRPr="00F62C2F">
                  <w:rPr>
                    <w:rFonts w:ascii="Times New Roman" w:hAnsi="Times New Roman" w:cs="Times New Roman"/>
                    <w:lang w:val="is-IS"/>
                  </w:rPr>
                  <w:t>Ekki er gert ráð fyrir áhrifum á fjárhag sveitarfélaga.</w:t>
                </w:r>
              </w:p>
              <w:p w14:paraId="31F2CE6B" w14:textId="77777777"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b/>
                    <w:lang w:val="is-IS"/>
                  </w:rPr>
                  <w:t>Áhrif á frelsi til að veita þjónustu (með eða án staðfestu á Íslandi)</w:t>
                </w:r>
              </w:p>
              <w:p w14:paraId="4AE5A17B" w14:textId="0A6C4EF6" w:rsidR="002A148C" w:rsidRPr="00F62C2F" w:rsidRDefault="00687DCA" w:rsidP="005C52DD">
                <w:pPr>
                  <w:pStyle w:val="ListParagraph"/>
                  <w:spacing w:before="60" w:after="60" w:line="240" w:lineRule="auto"/>
                  <w:contextualSpacing w:val="0"/>
                  <w:jc w:val="both"/>
                  <w:rPr>
                    <w:rFonts w:ascii="Times New Roman" w:hAnsi="Times New Roman" w:cs="Times New Roman"/>
                    <w:b/>
                    <w:lang w:val="is-IS"/>
                  </w:rPr>
                </w:pPr>
                <w:r w:rsidRPr="00687DCA">
                  <w:rPr>
                    <w:rFonts w:ascii="Times New Roman" w:hAnsi="Times New Roman" w:cs="Times New Roman"/>
                    <w:lang w:val="is-IS"/>
                  </w:rPr>
                  <w:t xml:space="preserve">Aðilum sem hyggjast hafa umsjón með viðmiðunum </w:t>
                </w:r>
                <w:r>
                  <w:rPr>
                    <w:rFonts w:ascii="Times New Roman" w:hAnsi="Times New Roman" w:cs="Times New Roman"/>
                    <w:lang w:val="is-IS"/>
                  </w:rPr>
                  <w:t>verður</w:t>
                </w:r>
                <w:r w:rsidRPr="00687DCA">
                  <w:rPr>
                    <w:rFonts w:ascii="Times New Roman" w:hAnsi="Times New Roman" w:cs="Times New Roman"/>
                    <w:lang w:val="is-IS"/>
                  </w:rPr>
                  <w:t xml:space="preserve"> skylt að fá starfsleyfi eða skrá sig hjá lögbæru yfirvaldi. </w:t>
                </w:r>
                <w:r w:rsidR="007D792F" w:rsidRPr="00F62C2F">
                  <w:rPr>
                    <w:rFonts w:ascii="Times New Roman" w:hAnsi="Times New Roman" w:cs="Times New Roman"/>
                    <w:lang w:val="is-IS"/>
                  </w:rPr>
                  <w:t>A</w:t>
                </w:r>
                <w:r w:rsidR="007041E4" w:rsidRPr="00F62C2F">
                  <w:rPr>
                    <w:rFonts w:ascii="Times New Roman" w:hAnsi="Times New Roman" w:cs="Times New Roman"/>
                    <w:lang w:val="is-IS"/>
                  </w:rPr>
                  <w:t xml:space="preserve">ðilar </w:t>
                </w:r>
                <w:r w:rsidR="00F21B9A" w:rsidRPr="00F62C2F">
                  <w:rPr>
                    <w:rFonts w:ascii="Times New Roman" w:hAnsi="Times New Roman" w:cs="Times New Roman"/>
                    <w:lang w:val="is-IS"/>
                  </w:rPr>
                  <w:t>undir</w:t>
                </w:r>
                <w:r w:rsidR="007D792F" w:rsidRPr="00F62C2F">
                  <w:rPr>
                    <w:rFonts w:ascii="Times New Roman" w:hAnsi="Times New Roman" w:cs="Times New Roman"/>
                    <w:lang w:val="is-IS"/>
                  </w:rPr>
                  <w:t xml:space="preserve"> eftirliti </w:t>
                </w:r>
                <w:r w:rsidR="009041AA" w:rsidRPr="00F62C2F">
                  <w:rPr>
                    <w:rFonts w:ascii="Times New Roman" w:hAnsi="Times New Roman" w:cs="Times New Roman"/>
                    <w:lang w:val="is-IS"/>
                  </w:rPr>
                  <w:t>munu þurfa</w:t>
                </w:r>
                <w:r w:rsidR="007041E4" w:rsidRPr="00F62C2F">
                  <w:rPr>
                    <w:rFonts w:ascii="Times New Roman" w:hAnsi="Times New Roman" w:cs="Times New Roman"/>
                    <w:lang w:val="is-IS"/>
                  </w:rPr>
                  <w:t xml:space="preserve"> að gæta þess að nota aðeins viðmiðanir </w:t>
                </w:r>
                <w:r w:rsidR="009117E7" w:rsidRPr="00F62C2F">
                  <w:rPr>
                    <w:rFonts w:ascii="Times New Roman" w:hAnsi="Times New Roman" w:cs="Times New Roman"/>
                    <w:lang w:val="is-IS"/>
                  </w:rPr>
                  <w:t>á skrá Evrópsku verðbréfamarkaðseftirlitsstofnunarinnar</w:t>
                </w:r>
                <w:r w:rsidR="007041E4" w:rsidRPr="00F62C2F">
                  <w:rPr>
                    <w:rFonts w:ascii="Times New Roman" w:hAnsi="Times New Roman" w:cs="Times New Roman"/>
                    <w:lang w:val="is-IS"/>
                  </w:rPr>
                  <w:t>.</w:t>
                </w:r>
              </w:p>
              <w:p w14:paraId="6670D7E1" w14:textId="77777777"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b/>
                    <w:lang w:val="is-IS"/>
                  </w:rPr>
                  <w:t xml:space="preserve">Áhrif á tæknilegar reglur um vöru og fjarþjónustu, sbr. lög nr. 57/2000  </w:t>
                </w:r>
              </w:p>
              <w:p w14:paraId="1216B7AB" w14:textId="7233D0E5" w:rsidR="002A148C" w:rsidRPr="00F62C2F" w:rsidRDefault="00D6313C" w:rsidP="005C52DD">
                <w:pPr>
                  <w:pStyle w:val="ListParagraph"/>
                  <w:spacing w:before="60" w:after="60"/>
                  <w:contextualSpacing w:val="0"/>
                  <w:jc w:val="both"/>
                  <w:rPr>
                    <w:rFonts w:ascii="Times New Roman" w:hAnsi="Times New Roman" w:cs="Times New Roman"/>
                    <w:lang w:val="is-IS"/>
                  </w:rPr>
                </w:pPr>
                <w:r w:rsidRPr="00F62C2F">
                  <w:rPr>
                    <w:rFonts w:ascii="Times New Roman" w:hAnsi="Times New Roman" w:cs="Times New Roman"/>
                    <w:lang w:val="is-IS"/>
                  </w:rPr>
                  <w:t>Á ekki við.</w:t>
                </w:r>
              </w:p>
              <w:p w14:paraId="0C90E84D" w14:textId="48E1E6F0"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byggðalög</w:t>
                </w:r>
              </w:p>
              <w:p w14:paraId="1D6567DF" w14:textId="05240D00" w:rsidR="00D6313C"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lastRenderedPageBreak/>
                  <w:t>Ekki er gert ráð fyrir áhrifum</w:t>
                </w:r>
                <w:r w:rsidR="00D6313C" w:rsidRPr="00F62C2F">
                  <w:rPr>
                    <w:rFonts w:ascii="Times New Roman" w:hAnsi="Times New Roman" w:cs="Times New Roman"/>
                    <w:lang w:val="is-IS"/>
                  </w:rPr>
                  <w:t xml:space="preserve"> á byggðalög.</w:t>
                </w:r>
              </w:p>
              <w:p w14:paraId="2E2C88E6" w14:textId="656426F5"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frjáls félagasamtök</w:t>
                </w:r>
              </w:p>
              <w:p w14:paraId="4E376177" w14:textId="22A98184" w:rsidR="00D6313C"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 xml:space="preserve">Ekki er gert ráð fyrir áhrifum á </w:t>
                </w:r>
                <w:r w:rsidR="00D6313C" w:rsidRPr="00F62C2F">
                  <w:rPr>
                    <w:rFonts w:ascii="Times New Roman" w:hAnsi="Times New Roman" w:cs="Times New Roman"/>
                    <w:lang w:val="is-IS"/>
                  </w:rPr>
                  <w:t>frjáls félagasamtök.</w:t>
                </w:r>
              </w:p>
              <w:p w14:paraId="7D8C987F" w14:textId="77777777"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jafnrétti kynjanna</w:t>
                </w:r>
              </w:p>
              <w:p w14:paraId="15C34224" w14:textId="56F56EDC" w:rsidR="002A148C" w:rsidRPr="00F62C2F" w:rsidRDefault="003A507A" w:rsidP="005C52DD">
                <w:pPr>
                  <w:pStyle w:val="ListParagraph"/>
                  <w:spacing w:before="60" w:after="60"/>
                  <w:contextualSpacing w:val="0"/>
                  <w:jc w:val="both"/>
                  <w:rPr>
                    <w:rFonts w:ascii="Times New Roman" w:hAnsi="Times New Roman" w:cs="Times New Roman"/>
                    <w:lang w:val="is-IS"/>
                  </w:rPr>
                </w:pPr>
                <w:r w:rsidRPr="00F62C2F">
                  <w:rPr>
                    <w:rFonts w:ascii="Times New Roman" w:hAnsi="Times New Roman" w:cs="Times New Roman"/>
                    <w:lang w:val="is-IS"/>
                  </w:rPr>
                  <w:t xml:space="preserve">Ekki er gert ráð fyrir áhrifum á </w:t>
                </w:r>
                <w:r w:rsidR="00D6313C" w:rsidRPr="00F62C2F">
                  <w:rPr>
                    <w:rFonts w:ascii="Times New Roman" w:hAnsi="Times New Roman" w:cs="Times New Roman"/>
                    <w:lang w:val="is-IS"/>
                  </w:rPr>
                  <w:t>jafnrétti kynjanna.</w:t>
                </w:r>
              </w:p>
              <w:p w14:paraId="7ECD183F" w14:textId="54FF285D"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a lýðheilsu</w:t>
                </w:r>
              </w:p>
              <w:p w14:paraId="5BBC5D16" w14:textId="52065DCA" w:rsidR="00D6313C"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Ekki er gert ráð fyrir áhrifum á</w:t>
                </w:r>
                <w:r w:rsidR="00D6313C" w:rsidRPr="00F62C2F">
                  <w:rPr>
                    <w:rFonts w:ascii="Times New Roman" w:hAnsi="Times New Roman" w:cs="Times New Roman"/>
                    <w:lang w:val="is-IS"/>
                  </w:rPr>
                  <w:t xml:space="preserve"> lýðheilsu.</w:t>
                </w:r>
              </w:p>
              <w:p w14:paraId="1D28196E" w14:textId="7EEED601"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menntun, nýsköpun og rannsóknir</w:t>
                </w:r>
              </w:p>
              <w:p w14:paraId="2B94DAD4" w14:textId="7BCB0247" w:rsidR="00D6313C"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 xml:space="preserve">Ekki er gert ráð fyrir áhrifum á </w:t>
                </w:r>
                <w:r w:rsidR="00D6313C" w:rsidRPr="00F62C2F">
                  <w:rPr>
                    <w:rFonts w:ascii="Times New Roman" w:hAnsi="Times New Roman" w:cs="Times New Roman"/>
                    <w:lang w:val="is-IS"/>
                  </w:rPr>
                  <w:t>menntun, nýsköpun og rannsóknir.</w:t>
                </w:r>
              </w:p>
              <w:p w14:paraId="26646435" w14:textId="172A330E"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möguleika einstaklinga og fyrirtækja til að eiga samskipti þvert á norræn landamæri</w:t>
                </w:r>
              </w:p>
              <w:p w14:paraId="48F55596" w14:textId="63B6863D" w:rsidR="00D6313C" w:rsidRPr="00F62C2F" w:rsidRDefault="00D6313C"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 xml:space="preserve">Innleiðing </w:t>
                </w:r>
                <w:r w:rsidR="00897978" w:rsidRPr="00F62C2F">
                  <w:rPr>
                    <w:rFonts w:ascii="Times New Roman" w:hAnsi="Times New Roman" w:cs="Times New Roman"/>
                    <w:lang w:val="is-IS"/>
                  </w:rPr>
                  <w:t xml:space="preserve">viðmiðanareglugerðarinnar </w:t>
                </w:r>
                <w:r w:rsidRPr="00F62C2F">
                  <w:rPr>
                    <w:rFonts w:ascii="Times New Roman" w:hAnsi="Times New Roman" w:cs="Times New Roman"/>
                    <w:lang w:val="is-IS"/>
                  </w:rPr>
                  <w:t>kann að greiða fyrir viðskiptum sem byggjast á fjárhagslegum viðmiðunum þvert á norræn landamæri.</w:t>
                </w:r>
              </w:p>
              <w:p w14:paraId="74651786" w14:textId="403DC1FB"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stjórnsýslu, s.s. hvort ráðuneyti og stofnanir eru í stakk búin til að taka við verkefni</w:t>
                </w:r>
              </w:p>
              <w:p w14:paraId="50C2904F" w14:textId="180C29F2" w:rsidR="00AD617D" w:rsidRPr="00A60944" w:rsidRDefault="00E21BDA" w:rsidP="00A60944">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 xml:space="preserve">Fjármálaeftirlitið áætlar að lögfesting viðmiðanareglugerðarinnar krefjist </w:t>
                </w:r>
                <w:r w:rsidR="00A60944">
                  <w:rPr>
                    <w:rFonts w:ascii="Times New Roman" w:hAnsi="Times New Roman" w:cs="Times New Roman"/>
                    <w:lang w:val="is-IS"/>
                  </w:rPr>
                  <w:t>20-50% stöðugildis</w:t>
                </w:r>
                <w:r w:rsidR="00386B49">
                  <w:rPr>
                    <w:rFonts w:ascii="Times New Roman" w:hAnsi="Times New Roman" w:cs="Times New Roman"/>
                    <w:lang w:val="is-IS"/>
                  </w:rPr>
                  <w:t>.</w:t>
                </w:r>
                <w:r>
                  <w:rPr>
                    <w:rFonts w:ascii="Times New Roman" w:hAnsi="Times New Roman" w:cs="Times New Roman"/>
                    <w:lang w:val="is-IS"/>
                  </w:rPr>
                  <w:t xml:space="preserve"> </w:t>
                </w:r>
                <w:r w:rsidR="00944234">
                  <w:rPr>
                    <w:rFonts w:ascii="Times New Roman" w:hAnsi="Times New Roman" w:cs="Times New Roman"/>
                    <w:lang w:val="is-IS"/>
                  </w:rPr>
                  <w:t>Stofnunin</w:t>
                </w:r>
                <w:r>
                  <w:rPr>
                    <w:rFonts w:ascii="Times New Roman" w:hAnsi="Times New Roman" w:cs="Times New Roman"/>
                    <w:lang w:val="is-IS"/>
                  </w:rPr>
                  <w:t xml:space="preserve"> telur að </w:t>
                </w:r>
                <w:r w:rsidR="00944234">
                  <w:rPr>
                    <w:rFonts w:ascii="Times New Roman" w:hAnsi="Times New Roman" w:cs="Times New Roman"/>
                    <w:lang w:val="is-IS"/>
                  </w:rPr>
                  <w:t>hún</w:t>
                </w:r>
                <w:r>
                  <w:rPr>
                    <w:rFonts w:ascii="Times New Roman" w:hAnsi="Times New Roman" w:cs="Times New Roman"/>
                    <w:lang w:val="is-IS"/>
                  </w:rPr>
                  <w:t xml:space="preserve"> verði í stakk búi</w:t>
                </w:r>
                <w:r w:rsidR="007620F5">
                  <w:rPr>
                    <w:rFonts w:ascii="Times New Roman" w:hAnsi="Times New Roman" w:cs="Times New Roman"/>
                    <w:lang w:val="is-IS"/>
                  </w:rPr>
                  <w:t>n</w:t>
                </w:r>
                <w:r>
                  <w:rPr>
                    <w:rFonts w:ascii="Times New Roman" w:hAnsi="Times New Roman" w:cs="Times New Roman"/>
                    <w:lang w:val="is-IS"/>
                  </w:rPr>
                  <w:t xml:space="preserve"> til að takast á við verkefni samkvæmt reglugerðinni.</w:t>
                </w:r>
              </w:p>
              <w:p w14:paraId="65445A73" w14:textId="0CAF9F6D"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stöðu tiltekinna þjóðfélagshópa, s.s. aldurshópa, tekjuhópa, mismunandi fjölskyldugerðir, launþega</w:t>
                </w:r>
                <w:r w:rsidRPr="00F62C2F">
                  <w:rPr>
                    <w:rFonts w:ascii="Times New Roman" w:hAnsi="Times New Roman" w:cs="Times New Roman"/>
                    <w:b/>
                    <w:color w:val="FF0000"/>
                    <w:lang w:val="is-IS"/>
                  </w:rPr>
                  <w:t>/</w:t>
                </w:r>
                <w:r w:rsidRPr="00F62C2F">
                  <w:rPr>
                    <w:rFonts w:ascii="Times New Roman" w:hAnsi="Times New Roman" w:cs="Times New Roman"/>
                    <w:b/>
                    <w:lang w:val="is-IS"/>
                  </w:rPr>
                  <w:t>sjálfstætt starfandi</w:t>
                </w:r>
                <w:r w:rsidRPr="00F62C2F">
                  <w:rPr>
                    <w:rFonts w:ascii="Times New Roman" w:hAnsi="Times New Roman" w:cs="Times New Roman"/>
                    <w:b/>
                    <w:color w:val="FF0000"/>
                    <w:lang w:val="is-IS"/>
                  </w:rPr>
                  <w:t>/</w:t>
                </w:r>
                <w:r w:rsidRPr="00F62C2F">
                  <w:rPr>
                    <w:rFonts w:ascii="Times New Roman" w:hAnsi="Times New Roman" w:cs="Times New Roman"/>
                    <w:b/>
                    <w:lang w:val="is-IS"/>
                  </w:rPr>
                  <w:t>utan vinnumarkaðar</w:t>
                </w:r>
              </w:p>
              <w:p w14:paraId="4883CD92" w14:textId="47585DAB" w:rsidR="00897978"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Ekki er gert ráð fyrir áhrifum á</w:t>
                </w:r>
                <w:r w:rsidR="00897978" w:rsidRPr="00F62C2F">
                  <w:rPr>
                    <w:rFonts w:ascii="Times New Roman" w:hAnsi="Times New Roman" w:cs="Times New Roman"/>
                    <w:lang w:val="is-IS"/>
                  </w:rPr>
                  <w:t xml:space="preserve"> stöðu tiltekinna þjóðfélagshópa.</w:t>
                </w:r>
              </w:p>
              <w:p w14:paraId="74006984" w14:textId="77777777" w:rsidR="00897978"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Áhrif á umhverfi og sjálfbæra þróun </w:t>
                </w:r>
              </w:p>
              <w:p w14:paraId="0A4EE7D7" w14:textId="61D165F1" w:rsidR="002A148C" w:rsidRPr="00F62C2F" w:rsidRDefault="003A507A" w:rsidP="005C52DD">
                <w:pPr>
                  <w:pStyle w:val="ListParagraph"/>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lang w:val="is-IS"/>
                  </w:rPr>
                  <w:t xml:space="preserve">Ekki er gert ráð fyrir áhrifum á </w:t>
                </w:r>
                <w:r w:rsidR="00897978" w:rsidRPr="00F62C2F">
                  <w:rPr>
                    <w:rFonts w:ascii="Times New Roman" w:hAnsi="Times New Roman" w:cs="Times New Roman"/>
                    <w:lang w:val="is-IS"/>
                  </w:rPr>
                  <w:t>umhverfi og sjálfbæra þróun.</w:t>
                </w:r>
              </w:p>
            </w:sdtContent>
          </w:sdt>
        </w:tc>
      </w:tr>
      <w:tr w:rsidR="002A148C" w:rsidRPr="00F62C2F" w14:paraId="0F1348E1" w14:textId="77777777" w:rsidTr="007414CB">
        <w:tc>
          <w:tcPr>
            <w:tcW w:w="9288" w:type="dxa"/>
            <w:shd w:val="clear" w:color="auto" w:fill="9CC2E5" w:themeFill="accent5" w:themeFillTint="99"/>
          </w:tcPr>
          <w:p w14:paraId="5636CAEA" w14:textId="62A4206C"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lastRenderedPageBreak/>
              <w:t>Niðurstaða mats – með vísun í fylgiskjöl ef við á</w:t>
            </w:r>
          </w:p>
        </w:tc>
      </w:tr>
      <w:tr w:rsidR="002A148C" w:rsidRPr="00F62C2F" w14:paraId="3354C44D"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 w14:paraId="71DF995B" w14:textId="40371DF4" w:rsidR="002A148C" w:rsidRPr="00F62C2F" w:rsidRDefault="002A148C" w:rsidP="005C52DD">
                <w:pPr>
                  <w:pStyle w:val="ListParagraph"/>
                  <w:numPr>
                    <w:ilvl w:val="0"/>
                    <w:numId w:val="5"/>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Samandregin niðurstaða fjárhagsáhrifa fyrir ríkissjóð – heildarútkoma varðandi tekjur, gjöld, afkomu og efnahag  </w:t>
                </w:r>
              </w:p>
              <w:p w14:paraId="400A81D9" w14:textId="4ADE335E" w:rsidR="00232F44" w:rsidRDefault="00232F44" w:rsidP="005C52DD">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 xml:space="preserve">Líklegt er að tekjur og gjöld ríkissjóðs aukist um að allt að þrjár til átta milljónir króna á ári. </w:t>
                </w:r>
                <w:r>
                  <w:rPr>
                    <w:rFonts w:ascii="Times New Roman" w:eastAsia="Times New Roman" w:hAnsi="Times New Roman" w:cs="Times New Roman"/>
                    <w:color w:val="242424"/>
                    <w:lang w:val="is-IS" w:eastAsia="is-IS"/>
                  </w:rPr>
                  <w:t>Ekki er gert ráð fyrir nettóáhrifum á afkomu eða efnahag ríkissjóðs.</w:t>
                </w:r>
              </w:p>
              <w:p w14:paraId="2A0B2C0D" w14:textId="17A408D6" w:rsidR="002A148C" w:rsidRPr="00F62C2F" w:rsidRDefault="002A148C" w:rsidP="005C52DD">
                <w:pPr>
                  <w:pStyle w:val="ListParagraph"/>
                  <w:numPr>
                    <w:ilvl w:val="0"/>
                    <w:numId w:val="5"/>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Önnur áhrif en bein fjárhagsáhrif, álitamál eða fyrirvarar sem ástæða þykir til að vekja athygli á </w:t>
                </w:r>
              </w:p>
              <w:p w14:paraId="0AF3BB15" w14:textId="6931E4AE" w:rsidR="007049A9" w:rsidRPr="00F62C2F" w:rsidRDefault="007049A9"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Nei.</w:t>
                </w:r>
              </w:p>
              <w:p w14:paraId="4A734F4A" w14:textId="77777777" w:rsidR="007049A9" w:rsidRPr="00F62C2F" w:rsidRDefault="002A148C" w:rsidP="005C52DD">
                <w:pPr>
                  <w:pStyle w:val="ListParagraph"/>
                  <w:numPr>
                    <w:ilvl w:val="0"/>
                    <w:numId w:val="5"/>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Samfélagslegur ávinningur veginn á móti kostnaði og fyrirhöfn (ekki gerð krafa um tölulegt mat)</w:t>
                </w:r>
              </w:p>
              <w:p w14:paraId="09A5A918" w14:textId="564D680F" w:rsidR="002A148C" w:rsidRPr="00F62C2F" w:rsidRDefault="00C81C03" w:rsidP="005C52DD">
                <w:pPr>
                  <w:pStyle w:val="ListParagraph"/>
                  <w:spacing w:before="60" w:after="60" w:line="240" w:lineRule="auto"/>
                  <w:contextualSpacing w:val="0"/>
                  <w:jc w:val="both"/>
                </w:pPr>
                <w:r>
                  <w:rPr>
                    <w:rFonts w:ascii="Times New Roman" w:hAnsi="Times New Roman" w:cs="Times New Roman"/>
                    <w:lang w:val="is-IS"/>
                  </w:rPr>
                  <w:t>M</w:t>
                </w:r>
                <w:r w:rsidR="00333E56" w:rsidRPr="00333E56">
                  <w:rPr>
                    <w:rFonts w:ascii="Times New Roman" w:hAnsi="Times New Roman" w:cs="Times New Roman"/>
                    <w:lang w:val="is-IS"/>
                  </w:rPr>
                  <w:t>isnotkun aðstöðu til að hafa óeðlileg áhrif á fjárhagslegar viðmiðanir</w:t>
                </w:r>
                <w:r w:rsidR="007718B6" w:rsidRPr="00F62C2F">
                  <w:rPr>
                    <w:rFonts w:ascii="Times New Roman" w:hAnsi="Times New Roman" w:cs="Times New Roman"/>
                    <w:lang w:val="is-IS"/>
                  </w:rPr>
                  <w:t xml:space="preserve"> grefur undan trausti á fjármálamörkuðum og skilvirkni þeirra og getur skaðað neytendur og fjárfesta. Almennt má ætla að traust fyrirkomulag um gerð þeirra auki skilvirkni fjármálamarkaða og bæti stöðu neytenda og fjárfesta. Að því leyti má ætla að lögfesting viðmiðanareglugerðarinnar hafi jákvæð áhrif, auk þess sem hún er nauðsynleg til að tryggja samræmi við reglur í öðrum ríkjum á Evrópska efnahagssvæðinu. Á móti vegur að hún leggur nokkrar byrðar á umsjónaraðila viðmiðana og aðila undir eftirliti sem leggja til ílagsgögn. Á heildina litið er ávinningurinn af lögfestingu </w:t>
                </w:r>
                <w:r w:rsidR="00D50E9A" w:rsidRPr="00F62C2F">
                  <w:rPr>
                    <w:rFonts w:ascii="Times New Roman" w:hAnsi="Times New Roman" w:cs="Times New Roman"/>
                    <w:lang w:val="is-IS"/>
                  </w:rPr>
                  <w:t xml:space="preserve">reglugerðarinnar </w:t>
                </w:r>
                <w:r w:rsidR="007718B6" w:rsidRPr="00F62C2F">
                  <w:rPr>
                    <w:rFonts w:ascii="Times New Roman" w:hAnsi="Times New Roman" w:cs="Times New Roman"/>
                    <w:lang w:val="is-IS"/>
                  </w:rPr>
                  <w:t>þó líklega meiri en kostnaðurinn.</w:t>
                </w:r>
              </w:p>
            </w:sdtContent>
          </w:sdt>
        </w:tc>
      </w:tr>
      <w:tr w:rsidR="002A148C" w:rsidRPr="00F62C2F" w14:paraId="30971141" w14:textId="77777777" w:rsidTr="00EB6651">
        <w:tc>
          <w:tcPr>
            <w:tcW w:w="9288" w:type="dxa"/>
            <w:shd w:val="clear" w:color="auto" w:fill="9CC2E5" w:themeFill="accent5" w:themeFillTint="99"/>
          </w:tcPr>
          <w:p w14:paraId="55FB9BDB"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lang w:val="is-IS"/>
              </w:rPr>
            </w:pPr>
            <w:r w:rsidRPr="00F62C2F">
              <w:rPr>
                <w:rFonts w:ascii="Times New Roman" w:hAnsi="Times New Roman" w:cs="Times New Roman"/>
                <w:b/>
                <w:lang w:val="is-IS"/>
              </w:rPr>
              <w:t>Til útfyllingar vegna endanlegs mats – breytingar frá frummati</w:t>
            </w:r>
          </w:p>
        </w:tc>
      </w:tr>
      <w:tr w:rsidR="002A148C" w:rsidRPr="00F62C2F" w14:paraId="7FB65D83" w14:textId="77777777" w:rsidTr="00EB6651">
        <w:tc>
          <w:tcPr>
            <w:tcW w:w="9288" w:type="dxa"/>
          </w:tcPr>
          <w:sdt>
            <w:sdtPr>
              <w:rPr>
                <w:rFonts w:ascii="Times New Roman" w:hAnsi="Times New Roman" w:cs="Times New Roman"/>
                <w:b/>
                <w:lang w:val="is-IS"/>
              </w:rPr>
              <w:id w:val="-1269299813"/>
            </w:sdtPr>
            <w:sdtEndPr/>
            <w:sdtContent>
              <w:p w14:paraId="2E7DA549" w14:textId="77777777" w:rsidR="002A148C" w:rsidRPr="00F62C2F" w:rsidRDefault="002A148C" w:rsidP="005C52DD">
                <w:pPr>
                  <w:pStyle w:val="ListParagraph"/>
                  <w:numPr>
                    <w:ilvl w:val="0"/>
                    <w:numId w:val="11"/>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Voru áform um lagasetninguna ásamt frummati á áhrifum kynnt fyrir FJR? </w:t>
                </w:r>
              </w:p>
              <w:p w14:paraId="253A9D9D" w14:textId="57F78AC5" w:rsidR="002A148C" w:rsidRPr="00F62C2F" w:rsidRDefault="002A148C" w:rsidP="005C52DD">
                <w:pPr>
                  <w:pStyle w:val="ListParagraph"/>
                  <w:numPr>
                    <w:ilvl w:val="0"/>
                    <w:numId w:val="11"/>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Eru helstu efnisatriði frumvarpsins óbreytt/lítið breytt frá þeim tíma? </w:t>
                </w:r>
              </w:p>
              <w:p w14:paraId="54BD5D6F" w14:textId="77777777" w:rsidR="002A148C" w:rsidRPr="00F62C2F" w:rsidRDefault="002A148C" w:rsidP="005C52DD">
                <w:pPr>
                  <w:pStyle w:val="ListParagraph"/>
                  <w:numPr>
                    <w:ilvl w:val="0"/>
                    <w:numId w:val="11"/>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Ef gerðar hafa verið breytingar umfram það, sbr. það frummat á áhrifum frumvarpsins sem áður var kynnt, hverjar eru þær og hver eru fjárhagsáhrifin? </w:t>
                </w:r>
              </w:p>
            </w:sdtContent>
          </w:sdt>
        </w:tc>
      </w:tr>
      <w:bookmarkEnd w:id="0"/>
    </w:tbl>
    <w:p w14:paraId="105D4BE2" w14:textId="6634E8ED" w:rsidR="00C67F4F" w:rsidRPr="00F62C2F" w:rsidRDefault="00C67F4F" w:rsidP="005C52DD">
      <w:pPr>
        <w:jc w:val="both"/>
        <w:rPr>
          <w:b/>
          <w:i/>
          <w:u w:val="single"/>
        </w:rPr>
      </w:pPr>
    </w:p>
    <w:sectPr w:rsidR="00C67F4F" w:rsidRPr="00F62C2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F77CE" w14:textId="77777777" w:rsidR="009D725D" w:rsidRDefault="009D725D" w:rsidP="009D725D">
      <w:pPr>
        <w:spacing w:after="0" w:line="240" w:lineRule="auto"/>
      </w:pPr>
      <w:r>
        <w:separator/>
      </w:r>
    </w:p>
  </w:endnote>
  <w:endnote w:type="continuationSeparator" w:id="0">
    <w:p w14:paraId="7859E381" w14:textId="77777777" w:rsidR="009D725D" w:rsidRDefault="009D725D" w:rsidP="009D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7670348"/>
      <w:docPartObj>
        <w:docPartGallery w:val="Page Numbers (Bottom of Page)"/>
        <w:docPartUnique/>
      </w:docPartObj>
    </w:sdtPr>
    <w:sdtEndPr/>
    <w:sdtContent>
      <w:p w14:paraId="51D09F18" w14:textId="43E9E41D" w:rsidR="00DD4DF2" w:rsidRPr="00DD4DF2" w:rsidRDefault="00DD4DF2">
        <w:pPr>
          <w:pStyle w:val="Footer"/>
          <w:jc w:val="center"/>
          <w:rPr>
            <w:rFonts w:ascii="Times New Roman" w:hAnsi="Times New Roman" w:cs="Times New Roman"/>
          </w:rPr>
        </w:pPr>
        <w:r w:rsidRPr="00DD4DF2">
          <w:rPr>
            <w:rFonts w:ascii="Times New Roman" w:hAnsi="Times New Roman" w:cs="Times New Roman"/>
          </w:rPr>
          <w:fldChar w:fldCharType="begin"/>
        </w:r>
        <w:r w:rsidRPr="00DD4DF2">
          <w:rPr>
            <w:rFonts w:ascii="Times New Roman" w:hAnsi="Times New Roman" w:cs="Times New Roman"/>
          </w:rPr>
          <w:instrText>PAGE   \* MERGEFORMAT</w:instrText>
        </w:r>
        <w:r w:rsidRPr="00DD4DF2">
          <w:rPr>
            <w:rFonts w:ascii="Times New Roman" w:hAnsi="Times New Roman" w:cs="Times New Roman"/>
          </w:rPr>
          <w:fldChar w:fldCharType="separate"/>
        </w:r>
        <w:r w:rsidRPr="00DD4DF2">
          <w:rPr>
            <w:rFonts w:ascii="Times New Roman" w:hAnsi="Times New Roman" w:cs="Times New Roman"/>
          </w:rPr>
          <w:t>2</w:t>
        </w:r>
        <w:r w:rsidRPr="00DD4DF2">
          <w:rPr>
            <w:rFonts w:ascii="Times New Roman" w:hAnsi="Times New Roman" w:cs="Times New Roman"/>
          </w:rPr>
          <w:fldChar w:fldCharType="end"/>
        </w:r>
      </w:p>
    </w:sdtContent>
  </w:sdt>
  <w:p w14:paraId="57C3D248" w14:textId="77777777" w:rsidR="00DD4DF2" w:rsidRPr="00DD4DF2" w:rsidRDefault="00DD4DF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ADFCF" w14:textId="77777777" w:rsidR="009D725D" w:rsidRDefault="009D725D" w:rsidP="009D725D">
      <w:pPr>
        <w:spacing w:after="0" w:line="240" w:lineRule="auto"/>
      </w:pPr>
      <w:r>
        <w:separator/>
      </w:r>
    </w:p>
  </w:footnote>
  <w:footnote w:type="continuationSeparator" w:id="0">
    <w:p w14:paraId="5285E71F" w14:textId="77777777" w:rsidR="009D725D" w:rsidRDefault="009D725D" w:rsidP="009D725D">
      <w:pPr>
        <w:spacing w:after="0" w:line="240" w:lineRule="auto"/>
      </w:pPr>
      <w:r>
        <w:continuationSeparator/>
      </w:r>
    </w:p>
  </w:footnote>
  <w:footnote w:id="1">
    <w:p w14:paraId="4388E80B" w14:textId="77777777" w:rsidR="004051CA" w:rsidRPr="00155EC3" w:rsidRDefault="004051CA" w:rsidP="004051CA">
      <w:pPr>
        <w:pStyle w:val="FootnoteText"/>
        <w:rPr>
          <w:rFonts w:ascii="Times New Roman" w:hAnsi="Times New Roman" w:cs="Times New Roman"/>
        </w:rPr>
      </w:pPr>
      <w:r w:rsidRPr="00155EC3">
        <w:rPr>
          <w:rStyle w:val="FootnoteReference"/>
          <w:rFonts w:ascii="Times New Roman" w:hAnsi="Times New Roman" w:cs="Times New Roman"/>
        </w:rPr>
        <w:footnoteRef/>
      </w:r>
      <w:r w:rsidRPr="00155EC3">
        <w:rPr>
          <w:rFonts w:ascii="Times New Roman" w:hAnsi="Times New Roman" w:cs="Times New Roman"/>
        </w:rPr>
        <w:t xml:space="preserve"> Sbr. </w:t>
      </w:r>
      <w:hyperlink r:id="rId1" w:history="1">
        <w:r w:rsidRPr="00155EC3">
          <w:rPr>
            <w:rStyle w:val="Hyperlink"/>
            <w:rFonts w:ascii="Times New Roman" w:hAnsi="Times New Roman" w:cs="Times New Roman"/>
          </w:rPr>
          <w:t>áhrifamat framkvæmdastjórnarinnar</w:t>
        </w:r>
      </w:hyperlink>
      <w:r w:rsidRPr="00155EC3">
        <w:rPr>
          <w:rFonts w:ascii="Times New Roman" w:hAnsi="Times New Roman" w:cs="Times New Roman"/>
        </w:rPr>
        <w:t>, bls. 50.</w:t>
      </w:r>
    </w:p>
  </w:footnote>
  <w:footnote w:id="2">
    <w:p w14:paraId="64B86FF4" w14:textId="77777777" w:rsidR="004051CA" w:rsidRPr="00155EC3" w:rsidRDefault="004051CA" w:rsidP="004051CA">
      <w:pPr>
        <w:pStyle w:val="FootnoteText"/>
        <w:rPr>
          <w:rFonts w:ascii="Times New Roman" w:hAnsi="Times New Roman" w:cs="Times New Roman"/>
        </w:rPr>
      </w:pPr>
      <w:r w:rsidRPr="00155EC3">
        <w:rPr>
          <w:rStyle w:val="FootnoteReference"/>
          <w:rFonts w:ascii="Times New Roman" w:hAnsi="Times New Roman" w:cs="Times New Roman"/>
        </w:rPr>
        <w:footnoteRef/>
      </w:r>
      <w:r w:rsidRPr="00155EC3">
        <w:rPr>
          <w:rFonts w:ascii="Times New Roman" w:hAnsi="Times New Roman" w:cs="Times New Roman"/>
        </w:rPr>
        <w:t xml:space="preserve"> Sbr. áhrifamat framkvæmdastjórnarinnar, bls. 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E92DC3"/>
    <w:multiLevelType w:val="hybridMultilevel"/>
    <w:tmpl w:val="9A9E410C"/>
    <w:lvl w:ilvl="0" w:tplc="040F0001">
      <w:start w:val="1"/>
      <w:numFmt w:val="bullet"/>
      <w:lvlText w:val=""/>
      <w:lvlJc w:val="left"/>
      <w:pPr>
        <w:ind w:left="1440" w:hanging="360"/>
      </w:pPr>
      <w:rPr>
        <w:rFonts w:ascii="Symbol" w:hAnsi="Symbol" w:hint="default"/>
      </w:rPr>
    </w:lvl>
    <w:lvl w:ilvl="1" w:tplc="040F0003">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6"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C0447A"/>
    <w:multiLevelType w:val="multilevel"/>
    <w:tmpl w:val="419EB094"/>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3CE5886"/>
    <w:multiLevelType w:val="hybridMultilevel"/>
    <w:tmpl w:val="3E720C6E"/>
    <w:lvl w:ilvl="0" w:tplc="1A324B6A">
      <w:start w:val="1"/>
      <w:numFmt w:val="lowerLetter"/>
      <w:lvlText w:val="%1)"/>
      <w:lvlJc w:val="left"/>
      <w:pPr>
        <w:ind w:left="1080" w:hanging="360"/>
      </w:pPr>
      <w:rPr>
        <w:rFonts w:hint="default"/>
        <w:b w:val="0"/>
        <w:i/>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70DD0D02"/>
    <w:multiLevelType w:val="multilevel"/>
    <w:tmpl w:val="6EE0E80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2"/>
  </w:num>
  <w:num w:numId="5">
    <w:abstractNumId w:val="12"/>
  </w:num>
  <w:num w:numId="6">
    <w:abstractNumId w:val="0"/>
  </w:num>
  <w:num w:numId="7">
    <w:abstractNumId w:val="6"/>
  </w:num>
  <w:num w:numId="8">
    <w:abstractNumId w:val="10"/>
  </w:num>
  <w:num w:numId="9">
    <w:abstractNumId w:val="3"/>
  </w:num>
  <w:num w:numId="10">
    <w:abstractNumId w:val="7"/>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8C"/>
    <w:rsid w:val="000019D5"/>
    <w:rsid w:val="0001347A"/>
    <w:rsid w:val="00021E64"/>
    <w:rsid w:val="00026CA0"/>
    <w:rsid w:val="00026EB8"/>
    <w:rsid w:val="00026F45"/>
    <w:rsid w:val="00035D03"/>
    <w:rsid w:val="00036159"/>
    <w:rsid w:val="000367F0"/>
    <w:rsid w:val="00040A92"/>
    <w:rsid w:val="00046773"/>
    <w:rsid w:val="00050DD9"/>
    <w:rsid w:val="00051646"/>
    <w:rsid w:val="00060B14"/>
    <w:rsid w:val="00060FF1"/>
    <w:rsid w:val="00062AAE"/>
    <w:rsid w:val="00062BB5"/>
    <w:rsid w:val="000828A6"/>
    <w:rsid w:val="00083E27"/>
    <w:rsid w:val="00091FFE"/>
    <w:rsid w:val="000926E1"/>
    <w:rsid w:val="0009271B"/>
    <w:rsid w:val="00095A5A"/>
    <w:rsid w:val="000A1039"/>
    <w:rsid w:val="000A3495"/>
    <w:rsid w:val="000A64BF"/>
    <w:rsid w:val="000A79D4"/>
    <w:rsid w:val="000B1A97"/>
    <w:rsid w:val="000B1FD0"/>
    <w:rsid w:val="000B203C"/>
    <w:rsid w:val="000B4351"/>
    <w:rsid w:val="000B6380"/>
    <w:rsid w:val="000C04D3"/>
    <w:rsid w:val="000C2795"/>
    <w:rsid w:val="000C6F75"/>
    <w:rsid w:val="000D0E21"/>
    <w:rsid w:val="000D27AC"/>
    <w:rsid w:val="000D5919"/>
    <w:rsid w:val="000D6326"/>
    <w:rsid w:val="000F0568"/>
    <w:rsid w:val="000F71DF"/>
    <w:rsid w:val="00104BC0"/>
    <w:rsid w:val="00106155"/>
    <w:rsid w:val="00106EE4"/>
    <w:rsid w:val="00110B75"/>
    <w:rsid w:val="001132CC"/>
    <w:rsid w:val="00113AE0"/>
    <w:rsid w:val="0011571D"/>
    <w:rsid w:val="001167F6"/>
    <w:rsid w:val="00117C73"/>
    <w:rsid w:val="001200E5"/>
    <w:rsid w:val="00121A98"/>
    <w:rsid w:val="00127BBF"/>
    <w:rsid w:val="0013426C"/>
    <w:rsid w:val="00134DF4"/>
    <w:rsid w:val="001427A3"/>
    <w:rsid w:val="00142A05"/>
    <w:rsid w:val="00143632"/>
    <w:rsid w:val="00144081"/>
    <w:rsid w:val="0014430A"/>
    <w:rsid w:val="00145191"/>
    <w:rsid w:val="001453C8"/>
    <w:rsid w:val="001520F8"/>
    <w:rsid w:val="00155EC3"/>
    <w:rsid w:val="00160D59"/>
    <w:rsid w:val="00171154"/>
    <w:rsid w:val="00173059"/>
    <w:rsid w:val="001730D4"/>
    <w:rsid w:val="00173FDA"/>
    <w:rsid w:val="0017576D"/>
    <w:rsid w:val="00176921"/>
    <w:rsid w:val="001877BA"/>
    <w:rsid w:val="00190E8A"/>
    <w:rsid w:val="00193897"/>
    <w:rsid w:val="001938E7"/>
    <w:rsid w:val="00193F44"/>
    <w:rsid w:val="0019542E"/>
    <w:rsid w:val="00196083"/>
    <w:rsid w:val="001A456A"/>
    <w:rsid w:val="001A6106"/>
    <w:rsid w:val="001A6604"/>
    <w:rsid w:val="001B6EC0"/>
    <w:rsid w:val="001C03B0"/>
    <w:rsid w:val="001C0A3D"/>
    <w:rsid w:val="001C7E8A"/>
    <w:rsid w:val="001D40BC"/>
    <w:rsid w:val="001E0946"/>
    <w:rsid w:val="001E0C20"/>
    <w:rsid w:val="001E3482"/>
    <w:rsid w:val="001E358C"/>
    <w:rsid w:val="001F1F7D"/>
    <w:rsid w:val="00202368"/>
    <w:rsid w:val="00203910"/>
    <w:rsid w:val="00204CA9"/>
    <w:rsid w:val="00206491"/>
    <w:rsid w:val="002147CE"/>
    <w:rsid w:val="002157FA"/>
    <w:rsid w:val="0021676E"/>
    <w:rsid w:val="00217D06"/>
    <w:rsid w:val="002216AC"/>
    <w:rsid w:val="0022295B"/>
    <w:rsid w:val="002238EC"/>
    <w:rsid w:val="00232A80"/>
    <w:rsid w:val="00232F44"/>
    <w:rsid w:val="00234F47"/>
    <w:rsid w:val="002353AB"/>
    <w:rsid w:val="002362A5"/>
    <w:rsid w:val="00236908"/>
    <w:rsid w:val="00244370"/>
    <w:rsid w:val="0024751E"/>
    <w:rsid w:val="0025392B"/>
    <w:rsid w:val="002543D3"/>
    <w:rsid w:val="00254D15"/>
    <w:rsid w:val="00256262"/>
    <w:rsid w:val="00262E5A"/>
    <w:rsid w:val="002640B1"/>
    <w:rsid w:val="002657E5"/>
    <w:rsid w:val="0026669A"/>
    <w:rsid w:val="00272B57"/>
    <w:rsid w:val="00276DED"/>
    <w:rsid w:val="00281FE6"/>
    <w:rsid w:val="00285991"/>
    <w:rsid w:val="00285EE4"/>
    <w:rsid w:val="002932F1"/>
    <w:rsid w:val="0029699C"/>
    <w:rsid w:val="00297E7D"/>
    <w:rsid w:val="002A148C"/>
    <w:rsid w:val="002A21B6"/>
    <w:rsid w:val="002A24BE"/>
    <w:rsid w:val="002A37CD"/>
    <w:rsid w:val="002A695F"/>
    <w:rsid w:val="002B3093"/>
    <w:rsid w:val="002B312C"/>
    <w:rsid w:val="002B4E48"/>
    <w:rsid w:val="002C22ED"/>
    <w:rsid w:val="002C2BF9"/>
    <w:rsid w:val="002C4622"/>
    <w:rsid w:val="002C497C"/>
    <w:rsid w:val="002C7B47"/>
    <w:rsid w:val="002D20FE"/>
    <w:rsid w:val="002D3434"/>
    <w:rsid w:val="002D4A5B"/>
    <w:rsid w:val="002D6F91"/>
    <w:rsid w:val="002E0C5D"/>
    <w:rsid w:val="002E27A6"/>
    <w:rsid w:val="002E34B6"/>
    <w:rsid w:val="002E37C1"/>
    <w:rsid w:val="002E4121"/>
    <w:rsid w:val="002E6EF3"/>
    <w:rsid w:val="002F0D5C"/>
    <w:rsid w:val="002F12BB"/>
    <w:rsid w:val="002F184E"/>
    <w:rsid w:val="002F37BC"/>
    <w:rsid w:val="002F4684"/>
    <w:rsid w:val="00304306"/>
    <w:rsid w:val="00312431"/>
    <w:rsid w:val="00313F18"/>
    <w:rsid w:val="003205CB"/>
    <w:rsid w:val="00320677"/>
    <w:rsid w:val="003214F8"/>
    <w:rsid w:val="00322261"/>
    <w:rsid w:val="00325EEA"/>
    <w:rsid w:val="003315CA"/>
    <w:rsid w:val="00333E56"/>
    <w:rsid w:val="003367D3"/>
    <w:rsid w:val="003404BE"/>
    <w:rsid w:val="00341C96"/>
    <w:rsid w:val="00343244"/>
    <w:rsid w:val="00347A5B"/>
    <w:rsid w:val="00350127"/>
    <w:rsid w:val="00350890"/>
    <w:rsid w:val="00353365"/>
    <w:rsid w:val="0035578D"/>
    <w:rsid w:val="00355A39"/>
    <w:rsid w:val="00355BC9"/>
    <w:rsid w:val="00357491"/>
    <w:rsid w:val="00362EEC"/>
    <w:rsid w:val="00365F98"/>
    <w:rsid w:val="00370BA7"/>
    <w:rsid w:val="00370EE9"/>
    <w:rsid w:val="00371044"/>
    <w:rsid w:val="003841EA"/>
    <w:rsid w:val="0038599A"/>
    <w:rsid w:val="00386B49"/>
    <w:rsid w:val="00387AF4"/>
    <w:rsid w:val="00395B20"/>
    <w:rsid w:val="00396281"/>
    <w:rsid w:val="003A507A"/>
    <w:rsid w:val="003A6030"/>
    <w:rsid w:val="003B13E7"/>
    <w:rsid w:val="003B2F1E"/>
    <w:rsid w:val="003B3620"/>
    <w:rsid w:val="003C0950"/>
    <w:rsid w:val="003C097C"/>
    <w:rsid w:val="003C59CD"/>
    <w:rsid w:val="003C66E5"/>
    <w:rsid w:val="003C70CD"/>
    <w:rsid w:val="003D083A"/>
    <w:rsid w:val="003D57E8"/>
    <w:rsid w:val="003E7E63"/>
    <w:rsid w:val="003F10AD"/>
    <w:rsid w:val="003F1605"/>
    <w:rsid w:val="003F2A9F"/>
    <w:rsid w:val="003F39A7"/>
    <w:rsid w:val="004051CA"/>
    <w:rsid w:val="00410003"/>
    <w:rsid w:val="00410D44"/>
    <w:rsid w:val="004121A2"/>
    <w:rsid w:val="004130ED"/>
    <w:rsid w:val="004138E1"/>
    <w:rsid w:val="00415D6E"/>
    <w:rsid w:val="0041733C"/>
    <w:rsid w:val="00417A6F"/>
    <w:rsid w:val="0042146D"/>
    <w:rsid w:val="004226F6"/>
    <w:rsid w:val="00422E64"/>
    <w:rsid w:val="00426CA3"/>
    <w:rsid w:val="00435E94"/>
    <w:rsid w:val="00436A1A"/>
    <w:rsid w:val="00436C10"/>
    <w:rsid w:val="004379A0"/>
    <w:rsid w:val="004438D0"/>
    <w:rsid w:val="004443D6"/>
    <w:rsid w:val="00447A54"/>
    <w:rsid w:val="004533A6"/>
    <w:rsid w:val="00456A71"/>
    <w:rsid w:val="00457179"/>
    <w:rsid w:val="00457942"/>
    <w:rsid w:val="00457D88"/>
    <w:rsid w:val="00464C77"/>
    <w:rsid w:val="00467D4F"/>
    <w:rsid w:val="00470C56"/>
    <w:rsid w:val="004816AE"/>
    <w:rsid w:val="00484305"/>
    <w:rsid w:val="00484F56"/>
    <w:rsid w:val="00497287"/>
    <w:rsid w:val="004A1AFA"/>
    <w:rsid w:val="004A522C"/>
    <w:rsid w:val="004B091D"/>
    <w:rsid w:val="004B0CEA"/>
    <w:rsid w:val="004B35F4"/>
    <w:rsid w:val="004B3EBE"/>
    <w:rsid w:val="004B7D5B"/>
    <w:rsid w:val="004C3E25"/>
    <w:rsid w:val="004C6175"/>
    <w:rsid w:val="004D5EDC"/>
    <w:rsid w:val="004D7195"/>
    <w:rsid w:val="004F0D1B"/>
    <w:rsid w:val="004F3675"/>
    <w:rsid w:val="005007E1"/>
    <w:rsid w:val="005025B5"/>
    <w:rsid w:val="00503F03"/>
    <w:rsid w:val="00511CBE"/>
    <w:rsid w:val="00513E8C"/>
    <w:rsid w:val="00520F72"/>
    <w:rsid w:val="00525249"/>
    <w:rsid w:val="00526370"/>
    <w:rsid w:val="00526D4D"/>
    <w:rsid w:val="00541726"/>
    <w:rsid w:val="0054274D"/>
    <w:rsid w:val="00542A18"/>
    <w:rsid w:val="00543709"/>
    <w:rsid w:val="005445FC"/>
    <w:rsid w:val="0054633B"/>
    <w:rsid w:val="00550FFC"/>
    <w:rsid w:val="005514D4"/>
    <w:rsid w:val="0055709E"/>
    <w:rsid w:val="00560F5C"/>
    <w:rsid w:val="005611EC"/>
    <w:rsid w:val="00562CC9"/>
    <w:rsid w:val="00572F6C"/>
    <w:rsid w:val="0057613C"/>
    <w:rsid w:val="00582679"/>
    <w:rsid w:val="00590559"/>
    <w:rsid w:val="00590E74"/>
    <w:rsid w:val="00594AC3"/>
    <w:rsid w:val="00595F60"/>
    <w:rsid w:val="005A126C"/>
    <w:rsid w:val="005A41C3"/>
    <w:rsid w:val="005A44F1"/>
    <w:rsid w:val="005A7630"/>
    <w:rsid w:val="005A7CFE"/>
    <w:rsid w:val="005B33BD"/>
    <w:rsid w:val="005B6941"/>
    <w:rsid w:val="005C0CD8"/>
    <w:rsid w:val="005C299F"/>
    <w:rsid w:val="005C52DD"/>
    <w:rsid w:val="005D0741"/>
    <w:rsid w:val="005D14C3"/>
    <w:rsid w:val="005D1BDC"/>
    <w:rsid w:val="005D5EDC"/>
    <w:rsid w:val="005D6F44"/>
    <w:rsid w:val="005D7BB0"/>
    <w:rsid w:val="005E023C"/>
    <w:rsid w:val="005E2162"/>
    <w:rsid w:val="005E6FAC"/>
    <w:rsid w:val="005E7A3F"/>
    <w:rsid w:val="005F062C"/>
    <w:rsid w:val="005F09FA"/>
    <w:rsid w:val="005F2E26"/>
    <w:rsid w:val="005F59E5"/>
    <w:rsid w:val="006017C8"/>
    <w:rsid w:val="00603D0A"/>
    <w:rsid w:val="00607CEA"/>
    <w:rsid w:val="006141E8"/>
    <w:rsid w:val="00617360"/>
    <w:rsid w:val="006248E2"/>
    <w:rsid w:val="00627561"/>
    <w:rsid w:val="00635687"/>
    <w:rsid w:val="006362C2"/>
    <w:rsid w:val="00653B36"/>
    <w:rsid w:val="00664B32"/>
    <w:rsid w:val="00670919"/>
    <w:rsid w:val="00670CEE"/>
    <w:rsid w:val="00674AC7"/>
    <w:rsid w:val="00686078"/>
    <w:rsid w:val="00687DCA"/>
    <w:rsid w:val="0069093C"/>
    <w:rsid w:val="006912B7"/>
    <w:rsid w:val="00692122"/>
    <w:rsid w:val="0069461B"/>
    <w:rsid w:val="006958C5"/>
    <w:rsid w:val="006A2D08"/>
    <w:rsid w:val="006A5468"/>
    <w:rsid w:val="006A5943"/>
    <w:rsid w:val="006A5BED"/>
    <w:rsid w:val="006B1ECE"/>
    <w:rsid w:val="006B2725"/>
    <w:rsid w:val="006B2E63"/>
    <w:rsid w:val="006B4F82"/>
    <w:rsid w:val="006D08F0"/>
    <w:rsid w:val="006D173A"/>
    <w:rsid w:val="006E07D5"/>
    <w:rsid w:val="006E0A7D"/>
    <w:rsid w:val="006E0C70"/>
    <w:rsid w:val="006E63A7"/>
    <w:rsid w:val="006F0DDC"/>
    <w:rsid w:val="006F18A4"/>
    <w:rsid w:val="007022D8"/>
    <w:rsid w:val="00703E43"/>
    <w:rsid w:val="007041E4"/>
    <w:rsid w:val="007049A9"/>
    <w:rsid w:val="007059B1"/>
    <w:rsid w:val="0071146C"/>
    <w:rsid w:val="00714EC6"/>
    <w:rsid w:val="007154E8"/>
    <w:rsid w:val="007155C0"/>
    <w:rsid w:val="00715E96"/>
    <w:rsid w:val="0072460D"/>
    <w:rsid w:val="0072523B"/>
    <w:rsid w:val="00727E08"/>
    <w:rsid w:val="00730608"/>
    <w:rsid w:val="00734146"/>
    <w:rsid w:val="0073657E"/>
    <w:rsid w:val="00736979"/>
    <w:rsid w:val="00747551"/>
    <w:rsid w:val="007532E6"/>
    <w:rsid w:val="00753F5B"/>
    <w:rsid w:val="007555D2"/>
    <w:rsid w:val="00756A7F"/>
    <w:rsid w:val="0076066A"/>
    <w:rsid w:val="007620F5"/>
    <w:rsid w:val="00762B6F"/>
    <w:rsid w:val="007710E6"/>
    <w:rsid w:val="007718B6"/>
    <w:rsid w:val="00775CF5"/>
    <w:rsid w:val="00780893"/>
    <w:rsid w:val="00781424"/>
    <w:rsid w:val="0079085A"/>
    <w:rsid w:val="007938E9"/>
    <w:rsid w:val="007A1EF5"/>
    <w:rsid w:val="007A2571"/>
    <w:rsid w:val="007A2685"/>
    <w:rsid w:val="007A5DA2"/>
    <w:rsid w:val="007A6488"/>
    <w:rsid w:val="007C0A08"/>
    <w:rsid w:val="007C25CE"/>
    <w:rsid w:val="007C25D4"/>
    <w:rsid w:val="007D3233"/>
    <w:rsid w:val="007D792F"/>
    <w:rsid w:val="007E15AC"/>
    <w:rsid w:val="007E1E28"/>
    <w:rsid w:val="007E23EA"/>
    <w:rsid w:val="007E4D01"/>
    <w:rsid w:val="007F0686"/>
    <w:rsid w:val="007F1509"/>
    <w:rsid w:val="007F1B75"/>
    <w:rsid w:val="00802CDF"/>
    <w:rsid w:val="00816A76"/>
    <w:rsid w:val="008205FE"/>
    <w:rsid w:val="00820913"/>
    <w:rsid w:val="00823B06"/>
    <w:rsid w:val="0083426B"/>
    <w:rsid w:val="00841423"/>
    <w:rsid w:val="00850B6C"/>
    <w:rsid w:val="008537D9"/>
    <w:rsid w:val="008565A0"/>
    <w:rsid w:val="008574DD"/>
    <w:rsid w:val="00857C2E"/>
    <w:rsid w:val="008612CC"/>
    <w:rsid w:val="00863006"/>
    <w:rsid w:val="0086420F"/>
    <w:rsid w:val="0086677C"/>
    <w:rsid w:val="00871488"/>
    <w:rsid w:val="008722E5"/>
    <w:rsid w:val="008923EB"/>
    <w:rsid w:val="008962AA"/>
    <w:rsid w:val="00896986"/>
    <w:rsid w:val="00897978"/>
    <w:rsid w:val="00897A4E"/>
    <w:rsid w:val="008A5A45"/>
    <w:rsid w:val="008A6091"/>
    <w:rsid w:val="008A683B"/>
    <w:rsid w:val="008B6021"/>
    <w:rsid w:val="008C00CC"/>
    <w:rsid w:val="008C573A"/>
    <w:rsid w:val="008D00F4"/>
    <w:rsid w:val="008D0C7E"/>
    <w:rsid w:val="008D29F7"/>
    <w:rsid w:val="008D63A4"/>
    <w:rsid w:val="008D676C"/>
    <w:rsid w:val="008E4ACE"/>
    <w:rsid w:val="008E5542"/>
    <w:rsid w:val="008F098B"/>
    <w:rsid w:val="0090049E"/>
    <w:rsid w:val="00902B8D"/>
    <w:rsid w:val="009041AA"/>
    <w:rsid w:val="009064BE"/>
    <w:rsid w:val="00907CFD"/>
    <w:rsid w:val="009105EB"/>
    <w:rsid w:val="009117E7"/>
    <w:rsid w:val="009125BC"/>
    <w:rsid w:val="00913E2F"/>
    <w:rsid w:val="00915BDF"/>
    <w:rsid w:val="0092729A"/>
    <w:rsid w:val="009300B6"/>
    <w:rsid w:val="00933F45"/>
    <w:rsid w:val="009363A0"/>
    <w:rsid w:val="00937D36"/>
    <w:rsid w:val="00942103"/>
    <w:rsid w:val="00944234"/>
    <w:rsid w:val="00954E5A"/>
    <w:rsid w:val="00956C2A"/>
    <w:rsid w:val="00956CD4"/>
    <w:rsid w:val="00964983"/>
    <w:rsid w:val="0097101A"/>
    <w:rsid w:val="00971480"/>
    <w:rsid w:val="009751CF"/>
    <w:rsid w:val="00977527"/>
    <w:rsid w:val="0098232A"/>
    <w:rsid w:val="009827E4"/>
    <w:rsid w:val="00993DF8"/>
    <w:rsid w:val="009A5197"/>
    <w:rsid w:val="009A561D"/>
    <w:rsid w:val="009A5CD8"/>
    <w:rsid w:val="009A774B"/>
    <w:rsid w:val="009B0A6B"/>
    <w:rsid w:val="009B1FE3"/>
    <w:rsid w:val="009B4BD8"/>
    <w:rsid w:val="009C0979"/>
    <w:rsid w:val="009C150D"/>
    <w:rsid w:val="009C4225"/>
    <w:rsid w:val="009C5BCD"/>
    <w:rsid w:val="009D11E9"/>
    <w:rsid w:val="009D725D"/>
    <w:rsid w:val="009D7D5B"/>
    <w:rsid w:val="009E3206"/>
    <w:rsid w:val="009E384A"/>
    <w:rsid w:val="009E5373"/>
    <w:rsid w:val="00A00F2D"/>
    <w:rsid w:val="00A06DEB"/>
    <w:rsid w:val="00A13662"/>
    <w:rsid w:val="00A16F2C"/>
    <w:rsid w:val="00A1773C"/>
    <w:rsid w:val="00A21F11"/>
    <w:rsid w:val="00A34CEA"/>
    <w:rsid w:val="00A35777"/>
    <w:rsid w:val="00A35DCE"/>
    <w:rsid w:val="00A410A5"/>
    <w:rsid w:val="00A42AC2"/>
    <w:rsid w:val="00A4368B"/>
    <w:rsid w:val="00A43BBC"/>
    <w:rsid w:val="00A60944"/>
    <w:rsid w:val="00A609BC"/>
    <w:rsid w:val="00A61B32"/>
    <w:rsid w:val="00A75E89"/>
    <w:rsid w:val="00A80B35"/>
    <w:rsid w:val="00A9227F"/>
    <w:rsid w:val="00A923A1"/>
    <w:rsid w:val="00A92AEB"/>
    <w:rsid w:val="00A9515B"/>
    <w:rsid w:val="00A95344"/>
    <w:rsid w:val="00A971C4"/>
    <w:rsid w:val="00AA3503"/>
    <w:rsid w:val="00AA6C21"/>
    <w:rsid w:val="00AB18E1"/>
    <w:rsid w:val="00AB2C28"/>
    <w:rsid w:val="00AB2F02"/>
    <w:rsid w:val="00AC2DC7"/>
    <w:rsid w:val="00AC4709"/>
    <w:rsid w:val="00AD17B7"/>
    <w:rsid w:val="00AD54B2"/>
    <w:rsid w:val="00AD617D"/>
    <w:rsid w:val="00AE17C8"/>
    <w:rsid w:val="00AE3C7F"/>
    <w:rsid w:val="00AE420D"/>
    <w:rsid w:val="00AF2AA9"/>
    <w:rsid w:val="00AF739E"/>
    <w:rsid w:val="00B013F6"/>
    <w:rsid w:val="00B052BD"/>
    <w:rsid w:val="00B0778B"/>
    <w:rsid w:val="00B20F62"/>
    <w:rsid w:val="00B2196B"/>
    <w:rsid w:val="00B33DCB"/>
    <w:rsid w:val="00B517E6"/>
    <w:rsid w:val="00B55B8B"/>
    <w:rsid w:val="00B605BC"/>
    <w:rsid w:val="00B70CA2"/>
    <w:rsid w:val="00B7238A"/>
    <w:rsid w:val="00B7330A"/>
    <w:rsid w:val="00B7632D"/>
    <w:rsid w:val="00B82D6E"/>
    <w:rsid w:val="00B84198"/>
    <w:rsid w:val="00B8762F"/>
    <w:rsid w:val="00B87C92"/>
    <w:rsid w:val="00B87D46"/>
    <w:rsid w:val="00B913AE"/>
    <w:rsid w:val="00B91753"/>
    <w:rsid w:val="00BA1D6E"/>
    <w:rsid w:val="00BA2DB9"/>
    <w:rsid w:val="00BA4E37"/>
    <w:rsid w:val="00BA6F26"/>
    <w:rsid w:val="00BB1676"/>
    <w:rsid w:val="00BB4A73"/>
    <w:rsid w:val="00BC7231"/>
    <w:rsid w:val="00BC7EDC"/>
    <w:rsid w:val="00BD034F"/>
    <w:rsid w:val="00BD275E"/>
    <w:rsid w:val="00BD4946"/>
    <w:rsid w:val="00BD6B85"/>
    <w:rsid w:val="00BF2A71"/>
    <w:rsid w:val="00BF3E24"/>
    <w:rsid w:val="00BF3F61"/>
    <w:rsid w:val="00BF4185"/>
    <w:rsid w:val="00BF485E"/>
    <w:rsid w:val="00BF544D"/>
    <w:rsid w:val="00BF6DCE"/>
    <w:rsid w:val="00C01675"/>
    <w:rsid w:val="00C01DB1"/>
    <w:rsid w:val="00C01F1A"/>
    <w:rsid w:val="00C03B98"/>
    <w:rsid w:val="00C04D2C"/>
    <w:rsid w:val="00C06D11"/>
    <w:rsid w:val="00C11DFD"/>
    <w:rsid w:val="00C1528C"/>
    <w:rsid w:val="00C17E1E"/>
    <w:rsid w:val="00C21EFE"/>
    <w:rsid w:val="00C24BA2"/>
    <w:rsid w:val="00C36F12"/>
    <w:rsid w:val="00C411CA"/>
    <w:rsid w:val="00C41E4D"/>
    <w:rsid w:val="00C44B47"/>
    <w:rsid w:val="00C458BC"/>
    <w:rsid w:val="00C462BC"/>
    <w:rsid w:val="00C53C29"/>
    <w:rsid w:val="00C6209A"/>
    <w:rsid w:val="00C65003"/>
    <w:rsid w:val="00C668E5"/>
    <w:rsid w:val="00C67F4F"/>
    <w:rsid w:val="00C720D9"/>
    <w:rsid w:val="00C72434"/>
    <w:rsid w:val="00C74850"/>
    <w:rsid w:val="00C751A2"/>
    <w:rsid w:val="00C76DA9"/>
    <w:rsid w:val="00C81C03"/>
    <w:rsid w:val="00C84E42"/>
    <w:rsid w:val="00C86EE7"/>
    <w:rsid w:val="00C90116"/>
    <w:rsid w:val="00C97D92"/>
    <w:rsid w:val="00CA2C17"/>
    <w:rsid w:val="00CA6EEF"/>
    <w:rsid w:val="00CA7E1B"/>
    <w:rsid w:val="00CB0480"/>
    <w:rsid w:val="00CB335D"/>
    <w:rsid w:val="00CB5231"/>
    <w:rsid w:val="00CC3AAC"/>
    <w:rsid w:val="00CC4FF4"/>
    <w:rsid w:val="00CD0D61"/>
    <w:rsid w:val="00CD32E4"/>
    <w:rsid w:val="00CD335C"/>
    <w:rsid w:val="00CD3E1C"/>
    <w:rsid w:val="00CD6CA4"/>
    <w:rsid w:val="00CD7BB5"/>
    <w:rsid w:val="00CF04C1"/>
    <w:rsid w:val="00CF39DF"/>
    <w:rsid w:val="00CF507C"/>
    <w:rsid w:val="00CF5101"/>
    <w:rsid w:val="00CF6E8F"/>
    <w:rsid w:val="00D0386F"/>
    <w:rsid w:val="00D03C24"/>
    <w:rsid w:val="00D06A16"/>
    <w:rsid w:val="00D06F48"/>
    <w:rsid w:val="00D07D1A"/>
    <w:rsid w:val="00D10D66"/>
    <w:rsid w:val="00D1592C"/>
    <w:rsid w:val="00D17326"/>
    <w:rsid w:val="00D21E28"/>
    <w:rsid w:val="00D2256D"/>
    <w:rsid w:val="00D22F9B"/>
    <w:rsid w:val="00D231B4"/>
    <w:rsid w:val="00D23558"/>
    <w:rsid w:val="00D27F99"/>
    <w:rsid w:val="00D33DF6"/>
    <w:rsid w:val="00D36A0C"/>
    <w:rsid w:val="00D4434C"/>
    <w:rsid w:val="00D444B6"/>
    <w:rsid w:val="00D446F6"/>
    <w:rsid w:val="00D45549"/>
    <w:rsid w:val="00D45E46"/>
    <w:rsid w:val="00D50E9A"/>
    <w:rsid w:val="00D5331A"/>
    <w:rsid w:val="00D61FA5"/>
    <w:rsid w:val="00D6313C"/>
    <w:rsid w:val="00D6371E"/>
    <w:rsid w:val="00D66D33"/>
    <w:rsid w:val="00D66EB6"/>
    <w:rsid w:val="00D73B8D"/>
    <w:rsid w:val="00D76380"/>
    <w:rsid w:val="00D76F02"/>
    <w:rsid w:val="00D7785A"/>
    <w:rsid w:val="00D80619"/>
    <w:rsid w:val="00D847C9"/>
    <w:rsid w:val="00D84B45"/>
    <w:rsid w:val="00D865ED"/>
    <w:rsid w:val="00D91A0E"/>
    <w:rsid w:val="00DA0D7E"/>
    <w:rsid w:val="00DA1EC6"/>
    <w:rsid w:val="00DA6628"/>
    <w:rsid w:val="00DA7DDB"/>
    <w:rsid w:val="00DB2325"/>
    <w:rsid w:val="00DB7FD6"/>
    <w:rsid w:val="00DC1CEB"/>
    <w:rsid w:val="00DC5545"/>
    <w:rsid w:val="00DC563A"/>
    <w:rsid w:val="00DC6531"/>
    <w:rsid w:val="00DC708A"/>
    <w:rsid w:val="00DD206F"/>
    <w:rsid w:val="00DD2347"/>
    <w:rsid w:val="00DD4D62"/>
    <w:rsid w:val="00DD4DF2"/>
    <w:rsid w:val="00DD5B3B"/>
    <w:rsid w:val="00DD689B"/>
    <w:rsid w:val="00DD6952"/>
    <w:rsid w:val="00DE24C1"/>
    <w:rsid w:val="00DE6323"/>
    <w:rsid w:val="00DF3648"/>
    <w:rsid w:val="00DF4FE2"/>
    <w:rsid w:val="00DF7316"/>
    <w:rsid w:val="00E0031D"/>
    <w:rsid w:val="00E036B4"/>
    <w:rsid w:val="00E03993"/>
    <w:rsid w:val="00E06F93"/>
    <w:rsid w:val="00E07A10"/>
    <w:rsid w:val="00E12B4F"/>
    <w:rsid w:val="00E21BDA"/>
    <w:rsid w:val="00E2658E"/>
    <w:rsid w:val="00E32C84"/>
    <w:rsid w:val="00E33B25"/>
    <w:rsid w:val="00E34126"/>
    <w:rsid w:val="00E37782"/>
    <w:rsid w:val="00E40D2D"/>
    <w:rsid w:val="00E43A8C"/>
    <w:rsid w:val="00E46B09"/>
    <w:rsid w:val="00E50401"/>
    <w:rsid w:val="00E51002"/>
    <w:rsid w:val="00E51959"/>
    <w:rsid w:val="00E5360D"/>
    <w:rsid w:val="00E60E5C"/>
    <w:rsid w:val="00E63DAB"/>
    <w:rsid w:val="00E643BF"/>
    <w:rsid w:val="00E70492"/>
    <w:rsid w:val="00E76F78"/>
    <w:rsid w:val="00E8768E"/>
    <w:rsid w:val="00E8783C"/>
    <w:rsid w:val="00E87DD8"/>
    <w:rsid w:val="00E90924"/>
    <w:rsid w:val="00E915FD"/>
    <w:rsid w:val="00E94D61"/>
    <w:rsid w:val="00E973AC"/>
    <w:rsid w:val="00EA119D"/>
    <w:rsid w:val="00EA191D"/>
    <w:rsid w:val="00EB18DD"/>
    <w:rsid w:val="00EB356F"/>
    <w:rsid w:val="00EB547D"/>
    <w:rsid w:val="00EC014C"/>
    <w:rsid w:val="00EC391A"/>
    <w:rsid w:val="00EC4148"/>
    <w:rsid w:val="00EC70FC"/>
    <w:rsid w:val="00ED3FDD"/>
    <w:rsid w:val="00ED75FE"/>
    <w:rsid w:val="00EE1B63"/>
    <w:rsid w:val="00EE3B91"/>
    <w:rsid w:val="00EE4744"/>
    <w:rsid w:val="00EE52CC"/>
    <w:rsid w:val="00EF288C"/>
    <w:rsid w:val="00EF2E64"/>
    <w:rsid w:val="00EF687D"/>
    <w:rsid w:val="00EF72A6"/>
    <w:rsid w:val="00EF7B53"/>
    <w:rsid w:val="00F05EE3"/>
    <w:rsid w:val="00F06640"/>
    <w:rsid w:val="00F137B9"/>
    <w:rsid w:val="00F144AF"/>
    <w:rsid w:val="00F165C3"/>
    <w:rsid w:val="00F21836"/>
    <w:rsid w:val="00F21B9A"/>
    <w:rsid w:val="00F22D0D"/>
    <w:rsid w:val="00F236B4"/>
    <w:rsid w:val="00F24489"/>
    <w:rsid w:val="00F3001D"/>
    <w:rsid w:val="00F308F9"/>
    <w:rsid w:val="00F31B1F"/>
    <w:rsid w:val="00F334C0"/>
    <w:rsid w:val="00F37552"/>
    <w:rsid w:val="00F37C1B"/>
    <w:rsid w:val="00F404D2"/>
    <w:rsid w:val="00F40939"/>
    <w:rsid w:val="00F413FD"/>
    <w:rsid w:val="00F47886"/>
    <w:rsid w:val="00F607A2"/>
    <w:rsid w:val="00F615D7"/>
    <w:rsid w:val="00F62C2F"/>
    <w:rsid w:val="00F62E21"/>
    <w:rsid w:val="00F66ED4"/>
    <w:rsid w:val="00F70807"/>
    <w:rsid w:val="00F71F72"/>
    <w:rsid w:val="00F766CE"/>
    <w:rsid w:val="00F81CC1"/>
    <w:rsid w:val="00F83545"/>
    <w:rsid w:val="00F85775"/>
    <w:rsid w:val="00F909CB"/>
    <w:rsid w:val="00F92FF7"/>
    <w:rsid w:val="00F9452E"/>
    <w:rsid w:val="00F96C24"/>
    <w:rsid w:val="00FA14FD"/>
    <w:rsid w:val="00FA1FDC"/>
    <w:rsid w:val="00FA25DD"/>
    <w:rsid w:val="00FA307E"/>
    <w:rsid w:val="00FA68A4"/>
    <w:rsid w:val="00FB1C0B"/>
    <w:rsid w:val="00FB4374"/>
    <w:rsid w:val="00FC4CBC"/>
    <w:rsid w:val="00FC6029"/>
    <w:rsid w:val="00FC6124"/>
    <w:rsid w:val="00FC7841"/>
    <w:rsid w:val="00FD7720"/>
    <w:rsid w:val="00FD79EB"/>
    <w:rsid w:val="00FE2DAF"/>
    <w:rsid w:val="00FE4A75"/>
    <w:rsid w:val="00FE694E"/>
    <w:rsid w:val="00FF3EC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A630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4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48C"/>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FC6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124"/>
    <w:rPr>
      <w:rFonts w:ascii="Segoe UI" w:hAnsi="Segoe UI" w:cs="Segoe UI"/>
      <w:sz w:val="18"/>
      <w:szCs w:val="18"/>
    </w:rPr>
  </w:style>
  <w:style w:type="paragraph" w:styleId="FootnoteText">
    <w:name w:val="footnote text"/>
    <w:basedOn w:val="Normal"/>
    <w:link w:val="FootnoteTextChar"/>
    <w:uiPriority w:val="99"/>
    <w:semiHidden/>
    <w:unhideWhenUsed/>
    <w:rsid w:val="009D7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25D"/>
    <w:rPr>
      <w:sz w:val="20"/>
      <w:szCs w:val="20"/>
    </w:rPr>
  </w:style>
  <w:style w:type="character" w:styleId="FootnoteReference">
    <w:name w:val="footnote reference"/>
    <w:basedOn w:val="DefaultParagraphFont"/>
    <w:uiPriority w:val="99"/>
    <w:semiHidden/>
    <w:unhideWhenUsed/>
    <w:rsid w:val="009D725D"/>
    <w:rPr>
      <w:vertAlign w:val="superscript"/>
    </w:rPr>
  </w:style>
  <w:style w:type="character" w:styleId="Hyperlink">
    <w:name w:val="Hyperlink"/>
    <w:basedOn w:val="DefaultParagraphFont"/>
    <w:uiPriority w:val="99"/>
    <w:unhideWhenUsed/>
    <w:rsid w:val="009D725D"/>
    <w:rPr>
      <w:color w:val="0563C1" w:themeColor="hyperlink"/>
      <w:u w:val="single"/>
    </w:rPr>
  </w:style>
  <w:style w:type="character" w:styleId="UnresolvedMention">
    <w:name w:val="Unresolved Mention"/>
    <w:basedOn w:val="DefaultParagraphFont"/>
    <w:uiPriority w:val="99"/>
    <w:semiHidden/>
    <w:unhideWhenUsed/>
    <w:rsid w:val="009D725D"/>
    <w:rPr>
      <w:color w:val="605E5C"/>
      <w:shd w:val="clear" w:color="auto" w:fill="E1DFDD"/>
    </w:rPr>
  </w:style>
  <w:style w:type="character" w:styleId="FollowedHyperlink">
    <w:name w:val="FollowedHyperlink"/>
    <w:basedOn w:val="DefaultParagraphFont"/>
    <w:uiPriority w:val="99"/>
    <w:semiHidden/>
    <w:unhideWhenUsed/>
    <w:rsid w:val="00D7785A"/>
    <w:rPr>
      <w:color w:val="954F72" w:themeColor="followedHyperlink"/>
      <w:u w:val="single"/>
    </w:rPr>
  </w:style>
  <w:style w:type="paragraph" w:styleId="Header">
    <w:name w:val="header"/>
    <w:basedOn w:val="Normal"/>
    <w:link w:val="HeaderChar"/>
    <w:uiPriority w:val="99"/>
    <w:unhideWhenUsed/>
    <w:rsid w:val="00AA6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C21"/>
  </w:style>
  <w:style w:type="paragraph" w:styleId="Footer">
    <w:name w:val="footer"/>
    <w:basedOn w:val="Normal"/>
    <w:link w:val="FooterChar"/>
    <w:uiPriority w:val="99"/>
    <w:unhideWhenUsed/>
    <w:rsid w:val="00AA6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C21"/>
  </w:style>
  <w:style w:type="character" w:styleId="Strong">
    <w:name w:val="Strong"/>
    <w:basedOn w:val="DefaultParagraphFont"/>
    <w:uiPriority w:val="22"/>
    <w:qFormat/>
    <w:rsid w:val="00D44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4751">
      <w:bodyDiv w:val="1"/>
      <w:marLeft w:val="0"/>
      <w:marRight w:val="0"/>
      <w:marTop w:val="0"/>
      <w:marBottom w:val="0"/>
      <w:divBdr>
        <w:top w:val="none" w:sz="0" w:space="0" w:color="auto"/>
        <w:left w:val="none" w:sz="0" w:space="0" w:color="auto"/>
        <w:bottom w:val="none" w:sz="0" w:space="0" w:color="auto"/>
        <w:right w:val="none" w:sz="0" w:space="0" w:color="auto"/>
      </w:divBdr>
    </w:div>
    <w:div w:id="249389949">
      <w:bodyDiv w:val="1"/>
      <w:marLeft w:val="0"/>
      <w:marRight w:val="0"/>
      <w:marTop w:val="0"/>
      <w:marBottom w:val="0"/>
      <w:divBdr>
        <w:top w:val="none" w:sz="0" w:space="0" w:color="auto"/>
        <w:left w:val="none" w:sz="0" w:space="0" w:color="auto"/>
        <w:bottom w:val="none" w:sz="0" w:space="0" w:color="auto"/>
        <w:right w:val="none" w:sz="0" w:space="0" w:color="auto"/>
      </w:divBdr>
    </w:div>
    <w:div w:id="258030671">
      <w:bodyDiv w:val="1"/>
      <w:marLeft w:val="0"/>
      <w:marRight w:val="0"/>
      <w:marTop w:val="0"/>
      <w:marBottom w:val="0"/>
      <w:divBdr>
        <w:top w:val="none" w:sz="0" w:space="0" w:color="auto"/>
        <w:left w:val="none" w:sz="0" w:space="0" w:color="auto"/>
        <w:bottom w:val="none" w:sz="0" w:space="0" w:color="auto"/>
        <w:right w:val="none" w:sz="0" w:space="0" w:color="auto"/>
      </w:divBdr>
    </w:div>
    <w:div w:id="418138945">
      <w:bodyDiv w:val="1"/>
      <w:marLeft w:val="0"/>
      <w:marRight w:val="0"/>
      <w:marTop w:val="0"/>
      <w:marBottom w:val="0"/>
      <w:divBdr>
        <w:top w:val="none" w:sz="0" w:space="0" w:color="auto"/>
        <w:left w:val="none" w:sz="0" w:space="0" w:color="auto"/>
        <w:bottom w:val="none" w:sz="0" w:space="0" w:color="auto"/>
        <w:right w:val="none" w:sz="0" w:space="0" w:color="auto"/>
      </w:divBdr>
    </w:div>
    <w:div w:id="681586527">
      <w:bodyDiv w:val="1"/>
      <w:marLeft w:val="0"/>
      <w:marRight w:val="0"/>
      <w:marTop w:val="0"/>
      <w:marBottom w:val="0"/>
      <w:divBdr>
        <w:top w:val="none" w:sz="0" w:space="0" w:color="auto"/>
        <w:left w:val="none" w:sz="0" w:space="0" w:color="auto"/>
        <w:bottom w:val="none" w:sz="0" w:space="0" w:color="auto"/>
        <w:right w:val="none" w:sz="0" w:space="0" w:color="auto"/>
      </w:divBdr>
    </w:div>
    <w:div w:id="1122309838">
      <w:bodyDiv w:val="1"/>
      <w:marLeft w:val="0"/>
      <w:marRight w:val="0"/>
      <w:marTop w:val="0"/>
      <w:marBottom w:val="0"/>
      <w:divBdr>
        <w:top w:val="none" w:sz="0" w:space="0" w:color="auto"/>
        <w:left w:val="none" w:sz="0" w:space="0" w:color="auto"/>
        <w:bottom w:val="none" w:sz="0" w:space="0" w:color="auto"/>
        <w:right w:val="none" w:sz="0" w:space="0" w:color="auto"/>
      </w:divBdr>
      <w:divsChild>
        <w:div w:id="1063332160">
          <w:marLeft w:val="0"/>
          <w:marRight w:val="0"/>
          <w:marTop w:val="0"/>
          <w:marBottom w:val="0"/>
          <w:divBdr>
            <w:top w:val="none" w:sz="0" w:space="0" w:color="auto"/>
            <w:left w:val="none" w:sz="0" w:space="0" w:color="auto"/>
            <w:bottom w:val="none" w:sz="0" w:space="0" w:color="auto"/>
            <w:right w:val="none" w:sz="0" w:space="0" w:color="auto"/>
          </w:divBdr>
          <w:divsChild>
            <w:div w:id="4769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761">
      <w:bodyDiv w:val="1"/>
      <w:marLeft w:val="0"/>
      <w:marRight w:val="0"/>
      <w:marTop w:val="0"/>
      <w:marBottom w:val="0"/>
      <w:divBdr>
        <w:top w:val="none" w:sz="0" w:space="0" w:color="auto"/>
        <w:left w:val="none" w:sz="0" w:space="0" w:color="auto"/>
        <w:bottom w:val="none" w:sz="0" w:space="0" w:color="auto"/>
        <w:right w:val="none" w:sz="0" w:space="0" w:color="auto"/>
      </w:divBdr>
    </w:div>
    <w:div w:id="1471438562">
      <w:bodyDiv w:val="1"/>
      <w:marLeft w:val="0"/>
      <w:marRight w:val="0"/>
      <w:marTop w:val="0"/>
      <w:marBottom w:val="0"/>
      <w:divBdr>
        <w:top w:val="none" w:sz="0" w:space="0" w:color="auto"/>
        <w:left w:val="none" w:sz="0" w:space="0" w:color="auto"/>
        <w:bottom w:val="none" w:sz="0" w:space="0" w:color="auto"/>
        <w:right w:val="none" w:sz="0" w:space="0" w:color="auto"/>
      </w:divBdr>
    </w:div>
    <w:div w:id="1791899715">
      <w:bodyDiv w:val="1"/>
      <w:marLeft w:val="0"/>
      <w:marRight w:val="0"/>
      <w:marTop w:val="0"/>
      <w:marBottom w:val="0"/>
      <w:divBdr>
        <w:top w:val="none" w:sz="0" w:space="0" w:color="auto"/>
        <w:left w:val="none" w:sz="0" w:space="0" w:color="auto"/>
        <w:bottom w:val="none" w:sz="0" w:space="0" w:color="auto"/>
        <w:right w:val="none" w:sz="0" w:space="0" w:color="auto"/>
      </w:divBdr>
    </w:div>
    <w:div w:id="1875343706">
      <w:bodyDiv w:val="1"/>
      <w:marLeft w:val="0"/>
      <w:marRight w:val="0"/>
      <w:marTop w:val="0"/>
      <w:marBottom w:val="0"/>
      <w:divBdr>
        <w:top w:val="none" w:sz="0" w:space="0" w:color="auto"/>
        <w:left w:val="none" w:sz="0" w:space="0" w:color="auto"/>
        <w:bottom w:val="none" w:sz="0" w:space="0" w:color="auto"/>
        <w:right w:val="none" w:sz="0" w:space="0" w:color="auto"/>
      </w:divBdr>
    </w:div>
    <w:div w:id="2001735466">
      <w:bodyDiv w:val="1"/>
      <w:marLeft w:val="0"/>
      <w:marRight w:val="0"/>
      <w:marTop w:val="0"/>
      <w:marBottom w:val="0"/>
      <w:divBdr>
        <w:top w:val="none" w:sz="0" w:space="0" w:color="auto"/>
        <w:left w:val="none" w:sz="0" w:space="0" w:color="auto"/>
        <w:bottom w:val="none" w:sz="0" w:space="0" w:color="auto"/>
        <w:right w:val="none" w:sz="0" w:space="0" w:color="auto"/>
      </w:divBdr>
    </w:div>
    <w:div w:id="2076967761">
      <w:bodyDiv w:val="1"/>
      <w:marLeft w:val="0"/>
      <w:marRight w:val="0"/>
      <w:marTop w:val="0"/>
      <w:marBottom w:val="0"/>
      <w:divBdr>
        <w:top w:val="none" w:sz="0" w:space="0" w:color="auto"/>
        <w:left w:val="none" w:sz="0" w:space="0" w:color="auto"/>
        <w:bottom w:val="none" w:sz="0" w:space="0" w:color="auto"/>
        <w:right w:val="none" w:sz="0" w:space="0" w:color="auto"/>
      </w:divBdr>
      <w:divsChild>
        <w:div w:id="135989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thingi.is/lagas/nuna/1999099.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52013SC0336&amp;from=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493276E69F42C0A30B74FEF0F33FE3"/>
        <w:category>
          <w:name w:val="General"/>
          <w:gallery w:val="placeholder"/>
        </w:category>
        <w:types>
          <w:type w:val="bbPlcHdr"/>
        </w:types>
        <w:behaviors>
          <w:behavior w:val="content"/>
        </w:behaviors>
        <w:guid w:val="{7748C24E-068B-4D13-B3DE-447CCB385C6B}"/>
      </w:docPartPr>
      <w:docPartBody>
        <w:p w:rsidR="003F2F1F" w:rsidRDefault="00E67608" w:rsidP="00E67608">
          <w:pPr>
            <w:pStyle w:val="8E493276E69F42C0A30B74FEF0F33FE3"/>
          </w:pPr>
          <w:r>
            <w:rPr>
              <w:rFonts w:ascii="Times New Roman" w:hAnsi="Times New Roman" w:cs="Times New Roman"/>
            </w:rPr>
            <w:t>Textasvæði</w:t>
          </w:r>
        </w:p>
      </w:docPartBody>
    </w:docPart>
    <w:docPart>
      <w:docPartPr>
        <w:name w:val="3428B75E9CEB45B2A6CCFCF515956FDC"/>
        <w:category>
          <w:name w:val="General"/>
          <w:gallery w:val="placeholder"/>
        </w:category>
        <w:types>
          <w:type w:val="bbPlcHdr"/>
        </w:types>
        <w:behaviors>
          <w:behavior w:val="content"/>
        </w:behaviors>
        <w:guid w:val="{9717247B-A3F6-4E1E-AE14-03B60C462EB9}"/>
      </w:docPartPr>
      <w:docPartBody>
        <w:p w:rsidR="003F2F1F" w:rsidRDefault="00E67608" w:rsidP="00E67608">
          <w:pPr>
            <w:pStyle w:val="3428B75E9CEB45B2A6CCFCF515956FDC"/>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08"/>
    <w:rsid w:val="000C3E94"/>
    <w:rsid w:val="003F2F1F"/>
    <w:rsid w:val="00E6760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C6B2860AF24E1A8A21E5DBE78DF537">
    <w:name w:val="18C6B2860AF24E1A8A21E5DBE78DF537"/>
    <w:rsid w:val="00E67608"/>
  </w:style>
  <w:style w:type="paragraph" w:customStyle="1" w:styleId="41FFF8954EA54DF69CF1EA890DFF0719">
    <w:name w:val="41FFF8954EA54DF69CF1EA890DFF0719"/>
    <w:rsid w:val="00E67608"/>
  </w:style>
  <w:style w:type="paragraph" w:customStyle="1" w:styleId="8E493276E69F42C0A30B74FEF0F33FE3">
    <w:name w:val="8E493276E69F42C0A30B74FEF0F33FE3"/>
    <w:rsid w:val="00E67608"/>
  </w:style>
  <w:style w:type="paragraph" w:customStyle="1" w:styleId="9969C5B380F4409C8AF278D2CC9B400A">
    <w:name w:val="9969C5B380F4409C8AF278D2CC9B400A"/>
    <w:rsid w:val="00E67608"/>
  </w:style>
  <w:style w:type="paragraph" w:customStyle="1" w:styleId="3428B75E9CEB45B2A6CCFCF515956FDC">
    <w:name w:val="3428B75E9CEB45B2A6CCFCF515956FDC"/>
    <w:rsid w:val="00E67608"/>
  </w:style>
  <w:style w:type="paragraph" w:customStyle="1" w:styleId="114542E042E6435EB413A66A01992D0D">
    <w:name w:val="114542E042E6435EB413A66A01992D0D"/>
    <w:rsid w:val="000C3E94"/>
  </w:style>
  <w:style w:type="paragraph" w:customStyle="1" w:styleId="30F6AF9C602D40FE8924AD1AB5898C75">
    <w:name w:val="30F6AF9C602D40FE8924AD1AB5898C75"/>
    <w:rsid w:val="000C3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DC71-5131-42A4-A956-ABBBC21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2201</Words>
  <Characters>12546</Characters>
  <Application>Microsoft Office Word</Application>
  <DocSecurity>0</DocSecurity>
  <Lines>104</Lines>
  <Paragraphs>29</Paragraphs>
  <ScaleCrop>false</ScaleCrop>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2019-07-05T08:54:00Z</dcterms:created>
  <dcterms:modified xsi:type="dcterms:W3CDTF">2019-07-05T08:54:00Z</dcterms:modified>
</cp:coreProperties>
</file>