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2B" w:rsidRDefault="008C052B" w:rsidP="008C052B">
      <w:pPr>
        <w:pStyle w:val="Brdtekst"/>
        <w:jc w:val="center"/>
        <w:rPr>
          <w:b/>
        </w:rPr>
      </w:pPr>
      <w:r>
        <w:rPr>
          <w:b/>
        </w:rPr>
        <w:t>Efnisútdráttur vegna reglugerðar ráðsins (ESB) nr. 734/2013</w:t>
      </w:r>
      <w:r w:rsidRPr="008C052B">
        <w:t xml:space="preserve"> </w:t>
      </w:r>
      <w:r w:rsidRPr="008C052B">
        <w:rPr>
          <w:b/>
        </w:rPr>
        <w:t xml:space="preserve">frá 22. júlí 2013, um breytingu á reglugerð ráðsins (EB) nr. 659/1999  um ítarlegar reglur um beitingu 93. gr. </w:t>
      </w:r>
      <w:proofErr w:type="spellStart"/>
      <w:r w:rsidRPr="008C052B">
        <w:rPr>
          <w:b/>
        </w:rPr>
        <w:t>EB-sáttmálans</w:t>
      </w:r>
      <w:proofErr w:type="spellEnd"/>
      <w:r>
        <w:rPr>
          <w:rStyle w:val="Fodnotehenvisning"/>
          <w:b/>
        </w:rPr>
        <w:footnoteReference w:id="1"/>
      </w:r>
    </w:p>
    <w:p w:rsidR="008C052B" w:rsidRDefault="008C052B" w:rsidP="008C052B">
      <w:pPr>
        <w:jc w:val="both"/>
      </w:pPr>
    </w:p>
    <w:p w:rsidR="008C052B" w:rsidRPr="00EF631C" w:rsidRDefault="008C052B" w:rsidP="008C052B">
      <w:pPr>
        <w:spacing w:after="120"/>
        <w:jc w:val="both"/>
        <w:rPr>
          <w:rFonts w:ascii="Times New Roman" w:hAnsi="Times New Roman"/>
        </w:rPr>
      </w:pPr>
      <w:r w:rsidRPr="00EF631C">
        <w:rPr>
          <w:rFonts w:ascii="Times New Roman" w:hAnsi="Times New Roman"/>
        </w:rPr>
        <w:t xml:space="preserve">Með reglugerð ráðsins (ESB) nr. 734/2013 um breytingu á reglugerð ráðsins (EB) nr. 659/1999 er að því stefnt að nútímavæða og auka skilvirkni eftirlits með ríkisaðstoð. </w:t>
      </w:r>
      <w:r>
        <w:rPr>
          <w:rFonts w:ascii="Times New Roman" w:hAnsi="Times New Roman"/>
        </w:rPr>
        <w:t>Í henni</w:t>
      </w:r>
      <w:r w:rsidRPr="00EF631C">
        <w:rPr>
          <w:rFonts w:ascii="Times New Roman" w:hAnsi="Times New Roman"/>
        </w:rPr>
        <w:t xml:space="preserve"> eru lagðar til breytingar á valdheimildum framkvæmdastjórnarinnar. Evrópusambandið hefur einkavaldheimildir (e. </w:t>
      </w:r>
      <w:proofErr w:type="spellStart"/>
      <w:r w:rsidRPr="00EF631C">
        <w:rPr>
          <w:rFonts w:ascii="Times New Roman" w:hAnsi="Times New Roman"/>
        </w:rPr>
        <w:t>exclusive</w:t>
      </w:r>
      <w:proofErr w:type="spellEnd"/>
      <w:r w:rsidRPr="00EF631C">
        <w:rPr>
          <w:rFonts w:ascii="Times New Roman" w:hAnsi="Times New Roman"/>
        </w:rPr>
        <w:t xml:space="preserve"> </w:t>
      </w:r>
      <w:proofErr w:type="spellStart"/>
      <w:r w:rsidRPr="00EF631C">
        <w:rPr>
          <w:rFonts w:ascii="Times New Roman" w:hAnsi="Times New Roman"/>
        </w:rPr>
        <w:t>competence</w:t>
      </w:r>
      <w:proofErr w:type="spellEnd"/>
      <w:r w:rsidRPr="00EF631C">
        <w:rPr>
          <w:rFonts w:ascii="Times New Roman" w:hAnsi="Times New Roman"/>
        </w:rPr>
        <w:t xml:space="preserve">) þegar kemur að eftirliti með ríkisaðstoð í skilningi 107. gr. SUSE, sbr. </w:t>
      </w:r>
      <w:proofErr w:type="spellStart"/>
      <w:r w:rsidRPr="00EF631C">
        <w:rPr>
          <w:rFonts w:ascii="Times New Roman" w:hAnsi="Times New Roman"/>
        </w:rPr>
        <w:t>b-lið</w:t>
      </w:r>
      <w:proofErr w:type="spellEnd"/>
      <w:r w:rsidRPr="00EF631C">
        <w:rPr>
          <w:rFonts w:ascii="Times New Roman" w:hAnsi="Times New Roman"/>
        </w:rPr>
        <w:t xml:space="preserve"> 1. </w:t>
      </w:r>
      <w:proofErr w:type="spellStart"/>
      <w:r w:rsidRPr="00EF631C">
        <w:rPr>
          <w:rFonts w:ascii="Times New Roman" w:hAnsi="Times New Roman"/>
        </w:rPr>
        <w:t>mgr</w:t>
      </w:r>
      <w:proofErr w:type="spellEnd"/>
      <w:r w:rsidRPr="00EF631C">
        <w:rPr>
          <w:rFonts w:ascii="Times New Roman" w:hAnsi="Times New Roman"/>
        </w:rPr>
        <w:t xml:space="preserve"> 3. gr. SUSE.</w:t>
      </w:r>
      <w:r>
        <w:rPr>
          <w:rFonts w:ascii="Times New Roman" w:hAnsi="Times New Roman"/>
        </w:rPr>
        <w:t xml:space="preserve"> Í því felst að ESB er einu heimilt að setja lög og samþykkja lagalega bindandi gerðir en aðildarríkjunum því aðeins heimilt að gera slíkt að ESB veiti þeim umboð til þess eða í því skyni að koma gerðum ESB til framkvæmda, sbr. nánar 1. mgr. 2. gr. SUSE.</w:t>
      </w:r>
      <w:r w:rsidRPr="00EF631C">
        <w:rPr>
          <w:rFonts w:ascii="Times New Roman" w:hAnsi="Times New Roman"/>
        </w:rPr>
        <w:t xml:space="preserve"> Innan EFTA-stoðarinnar hefur Eftirlitsstofnun </w:t>
      </w:r>
      <w:r w:rsidRPr="006C774C">
        <w:rPr>
          <w:rFonts w:ascii="Times New Roman" w:hAnsi="Times New Roman"/>
        </w:rPr>
        <w:t xml:space="preserve">EFTA, ESA valdheimildir á þessu sviði í gegnum </w:t>
      </w:r>
      <w:r>
        <w:rPr>
          <w:rFonts w:ascii="Times New Roman" w:hAnsi="Times New Roman"/>
        </w:rPr>
        <w:t>SED</w:t>
      </w:r>
      <w:r w:rsidRPr="006C774C">
        <w:rPr>
          <w:rFonts w:ascii="Times New Roman" w:hAnsi="Times New Roman"/>
        </w:rPr>
        <w:t xml:space="preserve"> og bókun 3 með honum.</w:t>
      </w:r>
      <w:r w:rsidRPr="006C774C">
        <w:rPr>
          <w:rStyle w:val="Fodnotehenvisning"/>
          <w:rFonts w:ascii="Times New Roman" w:hAnsi="Times New Roman"/>
        </w:rPr>
        <w:footnoteReference w:id="2"/>
      </w:r>
      <w:r w:rsidRPr="006C774C">
        <w:rPr>
          <w:rFonts w:ascii="Times New Roman" w:hAnsi="Times New Roman"/>
        </w:rPr>
        <w:t xml:space="preserve"> Hlutverk ESA er þannig hliðstætt hlutverki framkvæmdastjórnarinnar að því er varðar stjórnsýslulegt eftirlit með framkvæmd EES-samningsins. Ákvæði 61. gr. EES-samningsins er hliðstætt ákvæði 107. gr. SUSE.</w:t>
      </w:r>
    </w:p>
    <w:p w:rsidR="008C052B" w:rsidRDefault="008C052B" w:rsidP="008C052B">
      <w:pPr>
        <w:spacing w:after="120"/>
        <w:jc w:val="both"/>
        <w:rPr>
          <w:rFonts w:ascii="Times New Roman" w:hAnsi="Times New Roman"/>
        </w:rPr>
      </w:pPr>
      <w:r w:rsidRPr="00EF631C">
        <w:rPr>
          <w:rFonts w:ascii="Times New Roman" w:hAnsi="Times New Roman"/>
        </w:rPr>
        <w:t xml:space="preserve">Meginbreytingin sem reglugerðin hefur í för með sér felst í ákvæðum um að eftirlitsaðilum sé unnt að krefjast svokallaðra </w:t>
      </w:r>
      <w:r w:rsidRPr="00EF631C">
        <w:rPr>
          <w:rFonts w:ascii="Times New Roman" w:hAnsi="Times New Roman"/>
          <w:u w:val="single"/>
        </w:rPr>
        <w:t>markaðsupplýsinga frá fyrirtækjum og samtökum fyrirtækja</w:t>
      </w:r>
      <w:r w:rsidRPr="00EF631C">
        <w:rPr>
          <w:rFonts w:ascii="Times New Roman" w:hAnsi="Times New Roman"/>
        </w:rPr>
        <w:t xml:space="preserve">, við ítarlega  (formlega) rannsókn á umfangsmiklum málum, </w:t>
      </w:r>
      <w:r>
        <w:rPr>
          <w:rFonts w:ascii="Times New Roman" w:hAnsi="Times New Roman"/>
        </w:rPr>
        <w:t xml:space="preserve">í þeim tilvikum </w:t>
      </w:r>
      <w:r w:rsidRPr="00EF631C">
        <w:rPr>
          <w:rFonts w:ascii="Times New Roman" w:hAnsi="Times New Roman"/>
        </w:rPr>
        <w:t>þegar áður fengnar upplýsingar eru ekki fullnægjandi.</w:t>
      </w:r>
      <w:r w:rsidRPr="00EF631C">
        <w:rPr>
          <w:rStyle w:val="Fodnotehenvisning"/>
          <w:rFonts w:ascii="Times New Roman" w:hAnsi="Times New Roman"/>
        </w:rPr>
        <w:footnoteReference w:id="3"/>
      </w:r>
      <w:r w:rsidRPr="00EF631C">
        <w:rPr>
          <w:rFonts w:ascii="Times New Roman" w:hAnsi="Times New Roman"/>
        </w:rPr>
        <w:t xml:space="preserve"> </w:t>
      </w:r>
      <w:r w:rsidRPr="00EF631C">
        <w:rPr>
          <w:rFonts w:ascii="Times New Roman" w:hAnsi="Times New Roman"/>
          <w:u w:val="single"/>
        </w:rPr>
        <w:t>Í því sambandi er eftirlitsaðilunum heimilað að beita sektum eða févítum (dagsektum) til að tryggja að orðið sé við beiðnum um upplýsingar.</w:t>
      </w:r>
      <w:r w:rsidRPr="00EF631C">
        <w:rPr>
          <w:rStyle w:val="Fodnotehenvisning"/>
          <w:rFonts w:ascii="Times New Roman" w:hAnsi="Times New Roman"/>
          <w:u w:val="single"/>
        </w:rPr>
        <w:footnoteReference w:id="4"/>
      </w:r>
      <w:r w:rsidRPr="00EF631C">
        <w:rPr>
          <w:rFonts w:ascii="Times New Roman" w:hAnsi="Times New Roman"/>
        </w:rPr>
        <w:t xml:space="preserve"> </w:t>
      </w:r>
    </w:p>
    <w:p w:rsidR="008C052B" w:rsidRPr="00EF631C" w:rsidRDefault="008C052B" w:rsidP="008C052B">
      <w:pPr>
        <w:spacing w:after="120"/>
        <w:jc w:val="both"/>
        <w:rPr>
          <w:rFonts w:ascii="Times New Roman" w:hAnsi="Times New Roman"/>
        </w:rPr>
      </w:pPr>
      <w:r>
        <w:rPr>
          <w:rFonts w:ascii="Times New Roman" w:hAnsi="Times New Roman"/>
        </w:rPr>
        <w:t>Upphaflega stóð til að taka reglugerðina</w:t>
      </w:r>
      <w:r w:rsidR="005D69C0">
        <w:rPr>
          <w:rFonts w:ascii="Times New Roman" w:hAnsi="Times New Roman"/>
        </w:rPr>
        <w:t xml:space="preserve">, sem gengur undir nafninu </w:t>
      </w:r>
      <w:r w:rsidR="005D69C0">
        <w:rPr>
          <w:rFonts w:ascii="Times New Roman" w:hAnsi="Times New Roman"/>
          <w:i/>
        </w:rPr>
        <w:t>málsmeðferðarreglugerðin,</w:t>
      </w:r>
      <w:r>
        <w:rPr>
          <w:rFonts w:ascii="Times New Roman" w:hAnsi="Times New Roman"/>
        </w:rPr>
        <w:t xml:space="preserve"> upp í EES-samninginn með hefðbundinni aðlögun og fela ESA þannig hinar nýju sektarheimildir. Vegna stjórnskipulegra álitamála sem komu upp í meðferð gerðarinnar fyrir löggjafarþingum Íslands og Noregs var ákveðið að leggja þess í stað til að sektarheimildirnar yrðu formlega hjá innlendum stofnunum sem myndu beita heimildunum að frumkvæði ESA. </w:t>
      </w:r>
    </w:p>
    <w:p w:rsidR="008C052B" w:rsidRPr="00EF631C" w:rsidRDefault="008C052B" w:rsidP="008C052B">
      <w:pPr>
        <w:spacing w:after="120"/>
        <w:jc w:val="both"/>
        <w:rPr>
          <w:rFonts w:ascii="Times New Roman" w:hAnsi="Times New Roman"/>
        </w:rPr>
      </w:pPr>
      <w:r>
        <w:rPr>
          <w:rFonts w:ascii="Times New Roman" w:hAnsi="Times New Roman"/>
        </w:rPr>
        <w:t>Með upptöku reglugerðarinnar í EES-samninginn er einnig gert ráð fyrir að</w:t>
      </w:r>
      <w:r w:rsidRPr="00EF631C">
        <w:rPr>
          <w:rFonts w:ascii="Times New Roman" w:hAnsi="Times New Roman"/>
        </w:rPr>
        <w:t xml:space="preserve"> ESA geti, án þess að opna formlega rannsókn en þegar réttmætur grunur leikur á um að ríkisaðstoð í tilteknum atvinnugreinum kunni að hamla eða raska samkeppni á innri markaðnum, framkvæmt </w:t>
      </w:r>
      <w:r w:rsidRPr="00EF631C">
        <w:rPr>
          <w:rFonts w:ascii="Times New Roman" w:hAnsi="Times New Roman"/>
          <w:u w:val="single"/>
        </w:rPr>
        <w:t>athuganir innan tiltekinnar atvinnugreinar</w:t>
      </w:r>
      <w:r w:rsidRPr="00EF631C">
        <w:rPr>
          <w:rFonts w:ascii="Times New Roman" w:hAnsi="Times New Roman"/>
        </w:rPr>
        <w:t xml:space="preserve"> (e. </w:t>
      </w:r>
      <w:proofErr w:type="spellStart"/>
      <w:r w:rsidRPr="00EF631C">
        <w:rPr>
          <w:rFonts w:ascii="Times New Roman" w:hAnsi="Times New Roman"/>
        </w:rPr>
        <w:t>sector</w:t>
      </w:r>
      <w:proofErr w:type="spellEnd"/>
      <w:r w:rsidRPr="00EF631C">
        <w:rPr>
          <w:rFonts w:ascii="Times New Roman" w:hAnsi="Times New Roman"/>
        </w:rPr>
        <w:t xml:space="preserve"> </w:t>
      </w:r>
      <w:proofErr w:type="spellStart"/>
      <w:r w:rsidRPr="00EF631C">
        <w:rPr>
          <w:rFonts w:ascii="Times New Roman" w:hAnsi="Times New Roman"/>
        </w:rPr>
        <w:t>inquiries</w:t>
      </w:r>
      <w:proofErr w:type="spellEnd"/>
      <w:r w:rsidRPr="00EF631C">
        <w:rPr>
          <w:rFonts w:ascii="Times New Roman" w:hAnsi="Times New Roman"/>
        </w:rPr>
        <w:t xml:space="preserve">) í fleiri en einu EFTA-ríki. Í því skyni er stofnuninni heimilt að kalla eftir </w:t>
      </w:r>
      <w:r w:rsidRPr="00EF631C">
        <w:rPr>
          <w:rFonts w:ascii="Times New Roman" w:hAnsi="Times New Roman"/>
          <w:u w:val="single"/>
        </w:rPr>
        <w:t>upplýsingum frá fyrirtækjum eða samtökum fyrirtækja</w:t>
      </w:r>
      <w:r w:rsidRPr="00EF631C">
        <w:rPr>
          <w:rFonts w:ascii="Times New Roman" w:hAnsi="Times New Roman"/>
        </w:rPr>
        <w:t xml:space="preserve"> í EFTA-ríkjunum. Markmið þessara heimilda er að aðilar sem hafa með höndum eftirlit með ríkisaðstoð (ESA og framkvæmdastjórn ESB) geti nálgast upplýsingar af tvennu tagi. Annars vegar það sem nefndar eru „þverlægar upplýsingar“ (e. </w:t>
      </w:r>
      <w:proofErr w:type="spellStart"/>
      <w:r w:rsidRPr="00EF631C">
        <w:rPr>
          <w:rFonts w:ascii="Times New Roman" w:hAnsi="Times New Roman"/>
        </w:rPr>
        <w:t>horizontal</w:t>
      </w:r>
      <w:proofErr w:type="spellEnd"/>
      <w:r w:rsidRPr="00EF631C">
        <w:rPr>
          <w:rFonts w:ascii="Times New Roman" w:hAnsi="Times New Roman"/>
        </w:rPr>
        <w:t xml:space="preserve"> </w:t>
      </w:r>
      <w:proofErr w:type="spellStart"/>
      <w:r w:rsidRPr="00EF631C">
        <w:rPr>
          <w:rFonts w:ascii="Times New Roman" w:hAnsi="Times New Roman"/>
        </w:rPr>
        <w:t>information</w:t>
      </w:r>
      <w:proofErr w:type="spellEnd"/>
      <w:r w:rsidRPr="00EF631C">
        <w:rPr>
          <w:rFonts w:ascii="Times New Roman" w:hAnsi="Times New Roman"/>
        </w:rPr>
        <w:t xml:space="preserve">) til að meta hvort gögn sem aflað hefur verið veki upp álitamál í tilteknum geirum eða í tengslum við tilteknar tegundir ríkisaðstoðar (form aðstoðar, e. </w:t>
      </w:r>
      <w:proofErr w:type="spellStart"/>
      <w:r w:rsidRPr="00EF631C">
        <w:rPr>
          <w:rFonts w:ascii="Times New Roman" w:hAnsi="Times New Roman"/>
        </w:rPr>
        <w:t>aid</w:t>
      </w:r>
      <w:proofErr w:type="spellEnd"/>
      <w:r w:rsidRPr="00EF631C">
        <w:rPr>
          <w:rFonts w:ascii="Times New Roman" w:hAnsi="Times New Roman"/>
        </w:rPr>
        <w:t xml:space="preserve"> </w:t>
      </w:r>
      <w:proofErr w:type="spellStart"/>
      <w:r w:rsidRPr="00EF631C">
        <w:rPr>
          <w:rFonts w:ascii="Times New Roman" w:hAnsi="Times New Roman"/>
        </w:rPr>
        <w:t>instrument</w:t>
      </w:r>
      <w:proofErr w:type="spellEnd"/>
      <w:r w:rsidRPr="00EF631C">
        <w:rPr>
          <w:rFonts w:ascii="Times New Roman" w:hAnsi="Times New Roman"/>
        </w:rPr>
        <w:t xml:space="preserve">) í fleiri en </w:t>
      </w:r>
      <w:r w:rsidRPr="00EF631C">
        <w:rPr>
          <w:rFonts w:ascii="Times New Roman" w:hAnsi="Times New Roman"/>
        </w:rPr>
        <w:lastRenderedPageBreak/>
        <w:t>einu ríki. Hins vegar upplýsingar sem varpað geta ljósi á framkvæmd og venjur í viðskiptum í tilteknum geirum, til þess að unnt sé að útbúa leiðbeinandi reglur</w:t>
      </w:r>
      <w:r w:rsidRPr="00EF631C">
        <w:rPr>
          <w:rStyle w:val="Fodnotehenvisning"/>
          <w:rFonts w:ascii="Times New Roman" w:hAnsi="Times New Roman"/>
        </w:rPr>
        <w:footnoteReference w:id="5"/>
      </w:r>
      <w:r w:rsidRPr="00EF631C">
        <w:rPr>
          <w:rFonts w:ascii="Times New Roman" w:hAnsi="Times New Roman"/>
        </w:rPr>
        <w:t xml:space="preserve"> sem endurspegla raunverulegar markaðsaðstæður. Þessum heimildum verður þó einungis beitt þegar ljóst er að viðaminni ráðstafanir á borð við sérfræðiúttektir muni ekki ná sama marki.</w:t>
      </w:r>
    </w:p>
    <w:p w:rsidR="008C052B" w:rsidRPr="00EF631C" w:rsidRDefault="008C052B" w:rsidP="008C052B">
      <w:pPr>
        <w:spacing w:after="120"/>
        <w:jc w:val="both"/>
        <w:rPr>
          <w:rFonts w:ascii="Times New Roman" w:hAnsi="Times New Roman"/>
        </w:rPr>
      </w:pPr>
      <w:r w:rsidRPr="00EF631C">
        <w:rPr>
          <w:rFonts w:ascii="Times New Roman" w:hAnsi="Times New Roman"/>
        </w:rPr>
        <w:t xml:space="preserve">Að því er varðar samstarf við dómstóla gerir gerðin ráð fyrir því að </w:t>
      </w:r>
      <w:r w:rsidRPr="00EF631C">
        <w:rPr>
          <w:rFonts w:ascii="Times New Roman" w:hAnsi="Times New Roman"/>
          <w:u w:val="single"/>
        </w:rPr>
        <w:t>ESA geti komið að skriflegum athugasemdum í dómsmáli</w:t>
      </w:r>
      <w:r w:rsidRPr="00EF631C">
        <w:rPr>
          <w:rFonts w:ascii="Times New Roman" w:hAnsi="Times New Roman"/>
        </w:rPr>
        <w:t xml:space="preserve"> sem rekið er fyrir dómstólum og varðar hugsanlega ríkisaðstoð. Gerðin kveður á um að slíku áliti skuli komið á framfæri í samræmi við réttarfarsreglur og framkvæmd viðkomandi ríkis og tekið skuli tillit til réttinda málsaðila og sjálfstæðis dómstóla. Jafnframt geti </w:t>
      </w:r>
      <w:r w:rsidRPr="00EF631C">
        <w:rPr>
          <w:rFonts w:ascii="Times New Roman" w:hAnsi="Times New Roman"/>
          <w:u w:val="single"/>
        </w:rPr>
        <w:t>ESA,</w:t>
      </w:r>
      <w:r w:rsidRPr="00EF631C">
        <w:rPr>
          <w:rFonts w:ascii="Times New Roman" w:hAnsi="Times New Roman"/>
        </w:rPr>
        <w:t xml:space="preserve"> </w:t>
      </w:r>
      <w:r w:rsidRPr="00EF631C">
        <w:rPr>
          <w:rFonts w:ascii="Times New Roman" w:hAnsi="Times New Roman"/>
          <w:u w:val="single"/>
        </w:rPr>
        <w:t>með leyfi dómara, komið að athugasemdum munnlega</w:t>
      </w:r>
      <w:r w:rsidRPr="00EF631C">
        <w:rPr>
          <w:rFonts w:ascii="Times New Roman" w:hAnsi="Times New Roman"/>
        </w:rPr>
        <w:t xml:space="preserve">. Jafnframt </w:t>
      </w:r>
      <w:r w:rsidRPr="00EF631C">
        <w:rPr>
          <w:rFonts w:ascii="Times New Roman" w:hAnsi="Times New Roman"/>
          <w:u w:val="single"/>
        </w:rPr>
        <w:t>geti dómari óskað eftir upplýsingum og svörum við spurningum frá ESA</w:t>
      </w:r>
      <w:r w:rsidRPr="00EF631C">
        <w:rPr>
          <w:rFonts w:ascii="Times New Roman" w:hAnsi="Times New Roman"/>
        </w:rPr>
        <w:t xml:space="preserve"> vegna máls sem rekið er fyrir dómstólum og kemur sú heimild til viðbótar við heimildir til að óska eftir áliti EFTA-dómstólsins.</w:t>
      </w:r>
      <w:r w:rsidRPr="00EF631C">
        <w:rPr>
          <w:rStyle w:val="Fodnotehenvisning"/>
          <w:rFonts w:ascii="Times New Roman" w:hAnsi="Times New Roman"/>
        </w:rPr>
        <w:footnoteReference w:id="6"/>
      </w:r>
      <w:r w:rsidRPr="00EF631C">
        <w:rPr>
          <w:rFonts w:ascii="Times New Roman" w:hAnsi="Times New Roman"/>
        </w:rPr>
        <w:t xml:space="preserve"> Í þessu sambandi skal nefnt að það hefur verið talið leiða af meginreglu EES-réttar um samstarf af heilindum, sbr. 3. gr. EES-samningsins, að innlendum dómstólum get</w:t>
      </w:r>
      <w:r>
        <w:rPr>
          <w:rFonts w:ascii="Times New Roman" w:hAnsi="Times New Roman"/>
        </w:rPr>
        <w:t>i</w:t>
      </w:r>
      <w:r w:rsidRPr="00EF631C">
        <w:rPr>
          <w:rFonts w:ascii="Times New Roman" w:hAnsi="Times New Roman"/>
        </w:rPr>
        <w:t xml:space="preserve"> borið skylda til að stöðva tímabundið veitingu aðstoðar við tilteknar aðstæður, séu líkur til þess að hún sé ólögmæt, þ.e. andstæð ákvæðum og framkvæmd EES-samningsins. </w:t>
      </w:r>
    </w:p>
    <w:p w:rsidR="008C052B" w:rsidRPr="00EF631C" w:rsidRDefault="008C052B" w:rsidP="008C052B">
      <w:pPr>
        <w:spacing w:after="120"/>
        <w:jc w:val="both"/>
        <w:rPr>
          <w:rFonts w:ascii="Times New Roman" w:hAnsi="Times New Roman"/>
        </w:rPr>
      </w:pPr>
      <w:r w:rsidRPr="00EF631C">
        <w:rPr>
          <w:rFonts w:ascii="Times New Roman" w:hAnsi="Times New Roman"/>
        </w:rPr>
        <w:t>Reglugerð</w:t>
      </w:r>
      <w:bookmarkStart w:id="0" w:name="_GoBack"/>
      <w:bookmarkEnd w:id="0"/>
      <w:r w:rsidRPr="00EF631C">
        <w:rPr>
          <w:rFonts w:ascii="Times New Roman" w:hAnsi="Times New Roman"/>
        </w:rPr>
        <w:t xml:space="preserve"> (EB) nr. 1/2003, sem mælir fyrir um framkvæmd samkeppnisreglna, kveður á um sambærilegar heimildir til samstarfs dómstóla og</w:t>
      </w:r>
      <w:r>
        <w:rPr>
          <w:rFonts w:ascii="Times New Roman" w:hAnsi="Times New Roman"/>
        </w:rPr>
        <w:t xml:space="preserve"> ESA á sviði samkeppnisréttar. </w:t>
      </w:r>
      <w:r w:rsidRPr="00EF631C">
        <w:rPr>
          <w:rFonts w:ascii="Times New Roman" w:hAnsi="Times New Roman"/>
        </w:rPr>
        <w:t xml:space="preserve">Gerðin var tekin upp í bókun 21 við EES-samninginn og hliðstæður texti tekinn upp í bókun 4 við </w:t>
      </w:r>
      <w:r>
        <w:rPr>
          <w:rFonts w:ascii="Times New Roman" w:hAnsi="Times New Roman"/>
        </w:rPr>
        <w:t>SED</w:t>
      </w:r>
      <w:r w:rsidRPr="00EF631C">
        <w:rPr>
          <w:rFonts w:ascii="Times New Roman" w:hAnsi="Times New Roman"/>
        </w:rPr>
        <w:t>, sem báðar fjalla um störf og valdsvið ESA á sviði samkeppni.</w:t>
      </w:r>
      <w:r w:rsidRPr="00EF631C">
        <w:rPr>
          <w:rStyle w:val="Fodnotehenvisning"/>
          <w:rFonts w:ascii="Times New Roman" w:hAnsi="Times New Roman"/>
        </w:rPr>
        <w:footnoteReference w:id="7"/>
      </w:r>
    </w:p>
    <w:p w:rsidR="00BC146D" w:rsidRDefault="00BC146D"/>
    <w:sectPr w:rsidR="00BC1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6B" w:rsidRDefault="00E0556B" w:rsidP="008C052B">
      <w:pPr>
        <w:spacing w:after="0" w:line="240" w:lineRule="auto"/>
      </w:pPr>
      <w:r>
        <w:separator/>
      </w:r>
    </w:p>
  </w:endnote>
  <w:endnote w:type="continuationSeparator" w:id="0">
    <w:p w:rsidR="00E0556B" w:rsidRDefault="00E0556B" w:rsidP="008C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6B" w:rsidRDefault="00E0556B" w:rsidP="008C052B">
      <w:pPr>
        <w:spacing w:after="0" w:line="240" w:lineRule="auto"/>
      </w:pPr>
      <w:r>
        <w:separator/>
      </w:r>
    </w:p>
  </w:footnote>
  <w:footnote w:type="continuationSeparator" w:id="0">
    <w:p w:rsidR="00E0556B" w:rsidRDefault="00E0556B" w:rsidP="008C052B">
      <w:pPr>
        <w:spacing w:after="0" w:line="240" w:lineRule="auto"/>
      </w:pPr>
      <w:r>
        <w:continuationSeparator/>
      </w:r>
    </w:p>
  </w:footnote>
  <w:footnote w:id="1">
    <w:p w:rsidR="008C052B" w:rsidRPr="008C052B" w:rsidRDefault="008C052B">
      <w:pPr>
        <w:pStyle w:val="Fodnotetekst"/>
        <w:rPr>
          <w:rFonts w:ascii="Times" w:hAnsi="Times"/>
        </w:rPr>
      </w:pPr>
      <w:r w:rsidRPr="008C052B">
        <w:rPr>
          <w:rStyle w:val="Fodnotehenvisning"/>
          <w:rFonts w:ascii="Times" w:hAnsi="Times"/>
        </w:rPr>
        <w:footnoteRef/>
      </w:r>
      <w:r w:rsidRPr="008C052B">
        <w:rPr>
          <w:rFonts w:ascii="Times" w:hAnsi="Times"/>
        </w:rPr>
        <w:t xml:space="preserve"> Efnisútdrátturinn byggir á texta álitsgerðar sem </w:t>
      </w:r>
      <w:r>
        <w:rPr>
          <w:rFonts w:ascii="Times" w:hAnsi="Times"/>
        </w:rPr>
        <w:t xml:space="preserve">send var </w:t>
      </w:r>
      <w:r w:rsidRPr="008C052B">
        <w:rPr>
          <w:rFonts w:ascii="Times" w:hAnsi="Times"/>
        </w:rPr>
        <w:t>utanríkismálanefnd Alþingis</w:t>
      </w:r>
      <w:r>
        <w:rPr>
          <w:rFonts w:ascii="Times" w:hAnsi="Times"/>
        </w:rPr>
        <w:t xml:space="preserve"> </w:t>
      </w:r>
      <w:r w:rsidRPr="008C052B">
        <w:rPr>
          <w:rFonts w:ascii="Times" w:hAnsi="Times"/>
        </w:rPr>
        <w:t>í maí 2015.</w:t>
      </w:r>
    </w:p>
  </w:footnote>
  <w:footnote w:id="2">
    <w:p w:rsidR="008C052B" w:rsidRPr="0036270B" w:rsidRDefault="008C052B" w:rsidP="008C052B">
      <w:pPr>
        <w:pStyle w:val="Fodnotetekst"/>
        <w:jc w:val="both"/>
        <w:rPr>
          <w:rFonts w:ascii="Times New Roman" w:hAnsi="Times New Roman"/>
        </w:rPr>
      </w:pPr>
      <w:r w:rsidRPr="0036270B">
        <w:rPr>
          <w:rStyle w:val="Fodnotehenvisning"/>
          <w:rFonts w:ascii="Times New Roman" w:hAnsi="Times New Roman"/>
        </w:rPr>
        <w:footnoteRef/>
      </w:r>
      <w:r w:rsidRPr="0036270B">
        <w:rPr>
          <w:rFonts w:ascii="Times New Roman" w:hAnsi="Times New Roman"/>
        </w:rPr>
        <w:t xml:space="preserve"> Árið 2002 voru samþykkt á Alþingi lög nr. 54/2002 um breyting á samkeppnislögum, nr. 8/1993, til að aðlaga samkeppnislög að reglugerð ráðsins (EB) nr. 659/1999. </w:t>
      </w:r>
    </w:p>
  </w:footnote>
  <w:footnote w:id="3">
    <w:p w:rsidR="008C052B" w:rsidRPr="0036270B" w:rsidRDefault="008C052B" w:rsidP="008C052B">
      <w:pPr>
        <w:pStyle w:val="Fodnotetekst"/>
        <w:jc w:val="both"/>
        <w:rPr>
          <w:rFonts w:ascii="Times New Roman" w:hAnsi="Times New Roman"/>
        </w:rPr>
      </w:pPr>
      <w:r w:rsidRPr="0036270B">
        <w:rPr>
          <w:rStyle w:val="Fodnotehenvisning"/>
          <w:rFonts w:ascii="Times New Roman" w:hAnsi="Times New Roman"/>
        </w:rPr>
        <w:footnoteRef/>
      </w:r>
      <w:r w:rsidRPr="0036270B">
        <w:rPr>
          <w:rFonts w:ascii="Times New Roman" w:hAnsi="Times New Roman"/>
        </w:rPr>
        <w:t xml:space="preserve"> Ákvörðun um </w:t>
      </w:r>
      <w:r w:rsidRPr="0036270B">
        <w:rPr>
          <w:rFonts w:ascii="Times New Roman" w:hAnsi="Times New Roman"/>
          <w:i/>
        </w:rPr>
        <w:t>formlega rannsókn</w:t>
      </w:r>
      <w:r w:rsidRPr="0036270B">
        <w:rPr>
          <w:rFonts w:ascii="Times New Roman" w:hAnsi="Times New Roman"/>
        </w:rPr>
        <w:t>, sem birt er í EES-</w:t>
      </w:r>
      <w:proofErr w:type="spellStart"/>
      <w:r w:rsidRPr="0036270B">
        <w:rPr>
          <w:rFonts w:ascii="Times New Roman" w:hAnsi="Times New Roman"/>
        </w:rPr>
        <w:t>viðbætinum</w:t>
      </w:r>
      <w:proofErr w:type="spellEnd"/>
      <w:r w:rsidRPr="0036270B">
        <w:rPr>
          <w:rFonts w:ascii="Times New Roman" w:hAnsi="Times New Roman"/>
        </w:rPr>
        <w:t xml:space="preserve">, hefur að geyma ítarlegar upplýsingar um ráðstafanirnar sem teknar eru til rannsóknar. Undanfari slíkrar rannsóknar er </w:t>
      </w:r>
      <w:r w:rsidRPr="0036270B">
        <w:rPr>
          <w:rFonts w:ascii="Times New Roman" w:hAnsi="Times New Roman"/>
          <w:i/>
        </w:rPr>
        <w:t>forathugun</w:t>
      </w:r>
      <w:r w:rsidRPr="0036270B">
        <w:rPr>
          <w:rFonts w:ascii="Times New Roman" w:hAnsi="Times New Roman"/>
        </w:rPr>
        <w:t xml:space="preserve"> af hálfu ESA, á ráðstöfunum stjórnvalda eða fyrirhugðum ráðstöfunum. Forathugun getur hafist að frumkvæði stofnunarinnar, vegna kvörtunar eða í kjölfar tilkynningar stjórnvalda. Í forathugun er kallað eftir upplýsingum og rökstuðningi stjórnvalda (og þannig óbeint frá mögulegum aðstoðarþegum). Telji stofnunin hugsanlegt, að lokinni þeirri málsmeðferð, að ráðstafanirnar feli í sér ósamrýmanlega ríkisaðstoð ber henni að opna formlega rannsókn.</w:t>
      </w:r>
    </w:p>
  </w:footnote>
  <w:footnote w:id="4">
    <w:p w:rsidR="008C052B" w:rsidRPr="0036270B" w:rsidRDefault="008C052B" w:rsidP="008C052B">
      <w:pPr>
        <w:pStyle w:val="Fodnotetekst"/>
        <w:jc w:val="both"/>
        <w:rPr>
          <w:rFonts w:ascii="Times New Roman" w:hAnsi="Times New Roman"/>
        </w:rPr>
      </w:pPr>
      <w:r w:rsidRPr="0036270B">
        <w:rPr>
          <w:rStyle w:val="Fodnotehenvisning"/>
          <w:rFonts w:ascii="Times New Roman" w:hAnsi="Times New Roman"/>
        </w:rPr>
        <w:footnoteRef/>
      </w:r>
      <w:r w:rsidRPr="0036270B">
        <w:rPr>
          <w:rFonts w:ascii="Times New Roman" w:hAnsi="Times New Roman"/>
        </w:rPr>
        <w:t xml:space="preserve"> Í núgildandi 6. gr. </w:t>
      </w:r>
      <w:r>
        <w:rPr>
          <w:rFonts w:ascii="Times New Roman" w:hAnsi="Times New Roman"/>
        </w:rPr>
        <w:t>SED</w:t>
      </w:r>
      <w:r w:rsidRPr="0036270B">
        <w:rPr>
          <w:rFonts w:ascii="Times New Roman" w:hAnsi="Times New Roman"/>
        </w:rPr>
        <w:t xml:space="preserve"> er stofnuninni heimilað að fara fram á að fá allar nauðsynlegar upplýsingar frá þar til bærum yfirvöldum EFTA-ríkjanna og frá fyrirtækjum og samtökum fyrirtækja. Með upptöku reglugerðar (ESB) nr. 734/2013 og hliðstæðum breytingum á bókun 3 með </w:t>
      </w:r>
      <w:r>
        <w:rPr>
          <w:rFonts w:ascii="Times New Roman" w:hAnsi="Times New Roman"/>
        </w:rPr>
        <w:t>SED</w:t>
      </w:r>
      <w:r w:rsidRPr="0036270B">
        <w:rPr>
          <w:rFonts w:ascii="Times New Roman" w:hAnsi="Times New Roman"/>
        </w:rPr>
        <w:t xml:space="preserve"> má segja að skilyrði fyrir beitingu slíkra heimilda séu nánar útfærð og kveðið á um þvingunarúrræði vegna þeirra.</w:t>
      </w:r>
    </w:p>
  </w:footnote>
  <w:footnote w:id="5">
    <w:p w:rsidR="008C052B" w:rsidRPr="0036270B" w:rsidRDefault="008C052B" w:rsidP="008C052B">
      <w:pPr>
        <w:pStyle w:val="Fodnotetekst"/>
        <w:jc w:val="both"/>
        <w:rPr>
          <w:rFonts w:ascii="Times New Roman" w:hAnsi="Times New Roman"/>
        </w:rPr>
      </w:pPr>
      <w:r w:rsidRPr="0036270B">
        <w:rPr>
          <w:rStyle w:val="Fodnotehenvisning"/>
          <w:rFonts w:ascii="Times New Roman" w:hAnsi="Times New Roman"/>
        </w:rPr>
        <w:footnoteRef/>
      </w:r>
      <w:r w:rsidRPr="0036270B">
        <w:rPr>
          <w:rFonts w:ascii="Times New Roman" w:hAnsi="Times New Roman"/>
        </w:rPr>
        <w:t xml:space="preserve"> Í leiðbeinandi reglum um ríkisaðstoð eru einkum sett fram viðmið sem byggja á stjórnsýsluframkvæmd ESA og framkvæmdastjórnar ESB og er reglunum ætlað að taka til algengustu tegunda ríkisaðstoðar, m.t.t. þess markaðsbrests og þeirra markmiða sem geta átt við hverju sinni. Þær auðvelda þannig skilvirka beitingu ríkisaðstoðar og leiðbeina um hvernig má forðast að ráðstafanir stjórnvalda sem hafa áhrif á samkeppnismarkaði feli í sér ríkisaðstoð. Dæmi um þau svið sem leiðbeinandi reglur taka til eru ríkisábyrgðir, björgun illa staddra fyrirtækja, áhættufjárfestingar, byggðaaðstoð, útbreiðsla breiðbandskerfa og sala á lóðum og húseignum.</w:t>
      </w:r>
    </w:p>
  </w:footnote>
  <w:footnote w:id="6">
    <w:p w:rsidR="008C052B" w:rsidRPr="0036270B" w:rsidRDefault="008C052B" w:rsidP="008C052B">
      <w:pPr>
        <w:pStyle w:val="Fodnotetekst"/>
        <w:jc w:val="both"/>
        <w:rPr>
          <w:rFonts w:ascii="Times New Roman" w:hAnsi="Times New Roman"/>
        </w:rPr>
      </w:pPr>
      <w:r w:rsidRPr="0036270B">
        <w:rPr>
          <w:rStyle w:val="Fodnotehenvisning"/>
          <w:rFonts w:ascii="Times New Roman" w:hAnsi="Times New Roman"/>
        </w:rPr>
        <w:footnoteRef/>
      </w:r>
      <w:r w:rsidRPr="0036270B">
        <w:rPr>
          <w:rFonts w:ascii="Times New Roman" w:hAnsi="Times New Roman"/>
        </w:rPr>
        <w:t xml:space="preserve"> Heimildir fyrir dómstóla til að óska eftir áliti ESA í ríkisaðstoðarmálum hafa hingað til verið að finna í óbindandi leiðbeinandi reglum ESA </w:t>
      </w:r>
      <w:r w:rsidRPr="0036270B">
        <w:rPr>
          <w:rFonts w:ascii="Times New Roman" w:hAnsi="Times New Roman"/>
          <w:i/>
        </w:rPr>
        <w:t>um hlutverk landsdómstóla í tengslum við framfylgd löggjafar um ríkisaðstoð, sem birtar eru í EES-viðbæti við Stjórnartíðindi Evrópusambandsins nr. 25, 5. maí 2011</w:t>
      </w:r>
      <w:r w:rsidRPr="0036270B">
        <w:rPr>
          <w:rFonts w:ascii="Times New Roman" w:hAnsi="Times New Roman"/>
        </w:rPr>
        <w:t>. Með reglugerð (ESB) nr. 734/2013 eru þessar heimildir formgerðar.</w:t>
      </w:r>
    </w:p>
  </w:footnote>
  <w:footnote w:id="7">
    <w:p w:rsidR="008C052B" w:rsidRPr="0036270B" w:rsidRDefault="008C052B" w:rsidP="008C052B">
      <w:pPr>
        <w:pStyle w:val="Fodnotetekst"/>
        <w:jc w:val="both"/>
        <w:rPr>
          <w:rFonts w:ascii="Times New Roman" w:hAnsi="Times New Roman"/>
        </w:rPr>
      </w:pPr>
      <w:r w:rsidRPr="006C774C">
        <w:rPr>
          <w:rStyle w:val="Fodnotehenvisning"/>
          <w:rFonts w:ascii="Times New Roman" w:hAnsi="Times New Roman"/>
        </w:rPr>
        <w:footnoteRef/>
      </w:r>
      <w:r w:rsidRPr="006C774C">
        <w:rPr>
          <w:rFonts w:ascii="Times New Roman" w:hAnsi="Times New Roman"/>
        </w:rPr>
        <w:t xml:space="preserve"> Samanber ákvörðun sameiginlegu EES-nefndarinnar nr. 130/2004 frá 24. september 2004. Sjá 15. gr. bókunar 4 með </w:t>
      </w:r>
      <w:r>
        <w:rPr>
          <w:rFonts w:ascii="Times New Roman" w:hAnsi="Times New Roman"/>
        </w:rPr>
        <w:t>SED og 15. gr. reglugerðar (E</w:t>
      </w:r>
      <w:r w:rsidRPr="006C774C">
        <w:rPr>
          <w:rFonts w:ascii="Times New Roman" w:hAnsi="Times New Roman"/>
        </w:rPr>
        <w:t xml:space="preserve">B) nr. 1/2003 (sem bókun 24 með EES-samningnum vísar til). Báðar bókanirnar og reglugerð ESB </w:t>
      </w:r>
      <w:r>
        <w:rPr>
          <w:rFonts w:ascii="Times New Roman" w:hAnsi="Times New Roman"/>
        </w:rPr>
        <w:t xml:space="preserve">(EB) </w:t>
      </w:r>
      <w:r w:rsidRPr="006C774C">
        <w:rPr>
          <w:rFonts w:ascii="Times New Roman" w:hAnsi="Times New Roman"/>
        </w:rPr>
        <w:t xml:space="preserve">nr. 1/2003 fylgja þingsályktun um staðfestingu ákvarðana sameiginlegu EES-nefndarinnar og samninga EFTA-ríkjanna um framkvæmd samkeppnisreglna EES-samningsins, á þskj. 921 - 617. mál á 131. löggjafarþing 2004–2005. Vefslóð: </w:t>
      </w:r>
      <w:hyperlink r:id="rId1" w:history="1">
        <w:r w:rsidRPr="006C774C">
          <w:rPr>
            <w:rStyle w:val="Hyperlink"/>
            <w:rFonts w:ascii="Times New Roman" w:hAnsi="Times New Roman"/>
          </w:rPr>
          <w:t>http://www.althingi.is/dba-bin/ferill.pl?ltg=131&amp;mnr=617</w:t>
        </w:r>
      </w:hyperlink>
      <w:r w:rsidRPr="006C774C">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2B"/>
    <w:rsid w:val="00352F35"/>
    <w:rsid w:val="005D69C0"/>
    <w:rsid w:val="008A4D0E"/>
    <w:rsid w:val="008C052B"/>
    <w:rsid w:val="00BC146D"/>
    <w:rsid w:val="00E055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F4187-7929-4D0B-A260-93242313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52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rsid w:val="008C052B"/>
    <w:pPr>
      <w:spacing w:after="0" w:line="240" w:lineRule="auto"/>
    </w:pPr>
    <w:rPr>
      <w:sz w:val="20"/>
      <w:szCs w:val="20"/>
    </w:rPr>
  </w:style>
  <w:style w:type="character" w:customStyle="1" w:styleId="FodnotetekstTegn">
    <w:name w:val="Fodnotetekst Tegn"/>
    <w:basedOn w:val="Standardskrifttypeiafsnit"/>
    <w:link w:val="Fodnotetekst"/>
    <w:uiPriority w:val="99"/>
    <w:rsid w:val="008C052B"/>
    <w:rPr>
      <w:rFonts w:ascii="Calibri" w:eastAsia="Calibri" w:hAnsi="Calibri" w:cs="Times New Roman"/>
      <w:sz w:val="20"/>
      <w:szCs w:val="20"/>
    </w:rPr>
  </w:style>
  <w:style w:type="character" w:styleId="Fodnotehenvisning">
    <w:name w:val="footnote reference"/>
    <w:basedOn w:val="Standardskrifttypeiafsnit"/>
    <w:uiPriority w:val="99"/>
    <w:rsid w:val="008C052B"/>
    <w:rPr>
      <w:rFonts w:cs="Times New Roman"/>
      <w:vertAlign w:val="superscript"/>
    </w:rPr>
  </w:style>
  <w:style w:type="character" w:styleId="Hyperlink">
    <w:name w:val="Hyperlink"/>
    <w:basedOn w:val="Standardskrifttypeiafsnit"/>
    <w:uiPriority w:val="99"/>
    <w:rsid w:val="008C052B"/>
    <w:rPr>
      <w:rFonts w:cs="Times New Roman"/>
      <w:color w:val="0000FF"/>
      <w:u w:val="single"/>
    </w:rPr>
  </w:style>
  <w:style w:type="paragraph" w:styleId="Brdtekst">
    <w:name w:val="Body Text"/>
    <w:basedOn w:val="Normal"/>
    <w:link w:val="BrdtekstTegn"/>
    <w:rsid w:val="008C052B"/>
    <w:pPr>
      <w:spacing w:after="0" w:line="240" w:lineRule="auto"/>
      <w:jc w:val="both"/>
    </w:pPr>
    <w:rPr>
      <w:rFonts w:ascii="Times New Roman" w:eastAsia="Times New Roman" w:hAnsi="Times New Roman"/>
      <w:sz w:val="28"/>
      <w:szCs w:val="20"/>
    </w:rPr>
  </w:style>
  <w:style w:type="character" w:customStyle="1" w:styleId="BrdtekstTegn">
    <w:name w:val="Brødtekst Tegn"/>
    <w:basedOn w:val="Standardskrifttypeiafsnit"/>
    <w:link w:val="Brdtekst"/>
    <w:rsid w:val="008C052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lthingi.is/dba-bin/ferill.pl?ltg=131&amp;mnr=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728C-2217-4362-B9E1-BBB19284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 Steinþórsson</dc:creator>
  <cp:lastModifiedBy>Haraldur Steinþórsson</cp:lastModifiedBy>
  <cp:revision>2</cp:revision>
  <dcterms:created xsi:type="dcterms:W3CDTF">2018-12-04T13:24:00Z</dcterms:created>
  <dcterms:modified xsi:type="dcterms:W3CDTF">2018-12-04T13:24:00Z</dcterms:modified>
</cp:coreProperties>
</file>