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608B" w14:textId="02655405" w:rsidR="00EC744C" w:rsidRPr="00BC39F5" w:rsidRDefault="00EC744C" w:rsidP="00EC744C">
      <w:pPr>
        <w:pBdr>
          <w:bottom w:val="single" w:sz="8" w:space="1" w:color="auto"/>
        </w:pBdr>
        <w:spacing w:after="0" w:line="240" w:lineRule="auto"/>
        <w:jc w:val="center"/>
        <w:rPr>
          <w:rFonts w:ascii="Times New Roman" w:hAnsi="Times New Roman" w:cs="Times New Roman"/>
          <w:b/>
          <w:i/>
          <w:sz w:val="12"/>
          <w:szCs w:val="12"/>
        </w:rPr>
      </w:pPr>
      <w:r w:rsidRPr="00BC39F5">
        <w:rPr>
          <w:rFonts w:ascii="Times New Roman" w:hAnsi="Times New Roman" w:cs="Times New Roman"/>
          <w:b/>
          <w:i/>
          <w:sz w:val="28"/>
          <w:szCs w:val="28"/>
        </w:rPr>
        <w:t xml:space="preserve">Fjármála- og </w:t>
      </w:r>
      <w:r w:rsidRPr="00BC39F5">
        <w:rPr>
          <w:rFonts w:ascii="Times New Roman" w:hAnsi="Times New Roman" w:cs="Times New Roman"/>
          <w:b/>
          <w:i/>
          <w:sz w:val="28"/>
          <w:szCs w:val="28"/>
        </w:rPr>
        <w:br/>
        <w:t>efnahagsráðuneytið</w:t>
      </w:r>
      <w:r w:rsidRPr="00BC39F5">
        <w:rPr>
          <w:rFonts w:ascii="Times New Roman" w:hAnsi="Times New Roman" w:cs="Times New Roman"/>
          <w:b/>
          <w:i/>
          <w:sz w:val="28"/>
          <w:szCs w:val="28"/>
        </w:rPr>
        <w:br/>
      </w:r>
    </w:p>
    <w:p w14:paraId="67827EBF" w14:textId="77777777" w:rsidR="00EC744C" w:rsidRPr="00BC39F5" w:rsidRDefault="00EC744C" w:rsidP="00EC744C">
      <w:pPr>
        <w:spacing w:before="240" w:after="240" w:line="240" w:lineRule="auto"/>
        <w:jc w:val="center"/>
        <w:rPr>
          <w:rFonts w:ascii="Times New Roman" w:hAnsi="Times New Roman" w:cs="Times New Roman"/>
          <w:b/>
          <w:i/>
          <w:sz w:val="28"/>
          <w:szCs w:val="28"/>
        </w:rPr>
      </w:pPr>
      <w:r w:rsidRPr="00BC39F5">
        <w:rPr>
          <w:rFonts w:ascii="Times New Roman" w:hAnsi="Times New Roman" w:cs="Times New Roman"/>
          <w:b/>
          <w:i/>
          <w:sz w:val="28"/>
          <w:szCs w:val="28"/>
        </w:rPr>
        <w:t>S a m r á ð s s k j a 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084"/>
      </w:tblGrid>
      <w:tr w:rsidR="00EC744C" w:rsidRPr="00BC39F5" w14:paraId="1EFCC1C9" w14:textId="77777777" w:rsidTr="002B34AE">
        <w:tc>
          <w:tcPr>
            <w:tcW w:w="1942" w:type="dxa"/>
          </w:tcPr>
          <w:p w14:paraId="15D5E475" w14:textId="77777777" w:rsidR="00EC744C" w:rsidRPr="00BC39F5" w:rsidRDefault="00EC744C" w:rsidP="00DC520A">
            <w:pPr>
              <w:ind w:left="-113"/>
              <w:rPr>
                <w:rFonts w:ascii="Times New Roman" w:hAnsi="Times New Roman" w:cs="Times New Roman"/>
                <w:color w:val="7F7F7F" w:themeColor="text1" w:themeTint="80"/>
                <w:lang w:val="is-IS"/>
              </w:rPr>
            </w:pPr>
            <w:r w:rsidRPr="00BC39F5">
              <w:rPr>
                <w:rFonts w:ascii="Times New Roman" w:hAnsi="Times New Roman" w:cs="Times New Roman"/>
                <w:color w:val="7F7F7F" w:themeColor="text1" w:themeTint="80"/>
                <w:lang w:val="is-IS"/>
              </w:rPr>
              <w:t>Dagsetning:</w:t>
            </w:r>
          </w:p>
        </w:tc>
        <w:tc>
          <w:tcPr>
            <w:tcW w:w="7084" w:type="dxa"/>
          </w:tcPr>
          <w:p w14:paraId="49AA2290" w14:textId="57298A16" w:rsidR="00EC744C" w:rsidRPr="00BC39F5" w:rsidRDefault="00612DDB" w:rsidP="00DC520A">
            <w:pPr>
              <w:ind w:left="-113"/>
              <w:rPr>
                <w:rFonts w:ascii="Times New Roman" w:hAnsi="Times New Roman" w:cs="Times New Roman"/>
                <w:b/>
                <w:lang w:val="is-IS"/>
              </w:rPr>
            </w:pPr>
            <w:r>
              <w:rPr>
                <w:rFonts w:ascii="Times New Roman" w:hAnsi="Times New Roman" w:cs="Times New Roman"/>
                <w:b/>
                <w:lang w:val="is-IS"/>
              </w:rPr>
              <w:t>23.</w:t>
            </w:r>
            <w:r w:rsidR="00EC744C" w:rsidRPr="00BC39F5">
              <w:rPr>
                <w:rFonts w:ascii="Times New Roman" w:hAnsi="Times New Roman" w:cs="Times New Roman"/>
                <w:b/>
                <w:lang w:val="is-IS"/>
              </w:rPr>
              <w:t xml:space="preserve"> apríl 2021</w:t>
            </w:r>
          </w:p>
        </w:tc>
      </w:tr>
      <w:tr w:rsidR="00EC744C" w:rsidRPr="00BC39F5" w14:paraId="2149FB21" w14:textId="77777777" w:rsidTr="002B34AE">
        <w:tc>
          <w:tcPr>
            <w:tcW w:w="1942" w:type="dxa"/>
          </w:tcPr>
          <w:p w14:paraId="61A2FCD5" w14:textId="77777777" w:rsidR="00EC744C" w:rsidRPr="00BC39F5" w:rsidRDefault="00EC744C" w:rsidP="00DC520A">
            <w:pPr>
              <w:ind w:left="-113"/>
              <w:rPr>
                <w:rFonts w:ascii="Times New Roman" w:hAnsi="Times New Roman" w:cs="Times New Roman"/>
                <w:color w:val="7F7F7F" w:themeColor="text1" w:themeTint="80"/>
                <w:lang w:val="is-IS"/>
              </w:rPr>
            </w:pPr>
            <w:r w:rsidRPr="00BC39F5">
              <w:rPr>
                <w:rFonts w:ascii="Times New Roman" w:hAnsi="Times New Roman" w:cs="Times New Roman"/>
                <w:color w:val="7F7F7F" w:themeColor="text1" w:themeTint="80"/>
                <w:lang w:val="is-IS"/>
              </w:rPr>
              <w:t>Málsnúmer:</w:t>
            </w:r>
          </w:p>
        </w:tc>
        <w:tc>
          <w:tcPr>
            <w:tcW w:w="7084" w:type="dxa"/>
          </w:tcPr>
          <w:p w14:paraId="44CA55CA" w14:textId="77777777" w:rsidR="00EC744C" w:rsidRPr="00BC39F5" w:rsidRDefault="00EC744C" w:rsidP="00DC520A">
            <w:pPr>
              <w:ind w:left="-113"/>
              <w:rPr>
                <w:rFonts w:ascii="Times New Roman" w:hAnsi="Times New Roman" w:cs="Times New Roman"/>
                <w:b/>
                <w:bCs/>
                <w:color w:val="7F7F7F" w:themeColor="text1" w:themeTint="80"/>
                <w:lang w:val="is-IS"/>
              </w:rPr>
            </w:pPr>
            <w:r w:rsidRPr="00BC39F5">
              <w:rPr>
                <w:rFonts w:ascii="Times New Roman" w:hAnsi="Times New Roman" w:cs="Times New Roman"/>
                <w:b/>
                <w:bCs/>
                <w:color w:val="000000" w:themeColor="text1"/>
                <w:lang w:val="is-IS"/>
              </w:rPr>
              <w:t>FJR19011104</w:t>
            </w:r>
          </w:p>
        </w:tc>
      </w:tr>
      <w:tr w:rsidR="00EC744C" w:rsidRPr="00BC39F5" w14:paraId="478176ED" w14:textId="77777777" w:rsidTr="002B34AE">
        <w:tc>
          <w:tcPr>
            <w:tcW w:w="1942" w:type="dxa"/>
          </w:tcPr>
          <w:p w14:paraId="2E33E52D" w14:textId="77777777" w:rsidR="00EC744C" w:rsidRPr="00BC39F5" w:rsidRDefault="00EC744C" w:rsidP="00DC520A">
            <w:pPr>
              <w:ind w:left="-113"/>
              <w:rPr>
                <w:rFonts w:ascii="Times New Roman" w:hAnsi="Times New Roman" w:cs="Times New Roman"/>
                <w:color w:val="7F7F7F" w:themeColor="text1" w:themeTint="80"/>
                <w:lang w:val="is-IS"/>
              </w:rPr>
            </w:pPr>
            <w:r w:rsidRPr="00BC39F5">
              <w:rPr>
                <w:rFonts w:ascii="Times New Roman" w:hAnsi="Times New Roman" w:cs="Times New Roman"/>
                <w:color w:val="7F7F7F" w:themeColor="text1" w:themeTint="80"/>
                <w:lang w:val="is-IS"/>
              </w:rPr>
              <w:t>Bréfalykill:</w:t>
            </w:r>
          </w:p>
        </w:tc>
        <w:tc>
          <w:tcPr>
            <w:tcW w:w="7084" w:type="dxa"/>
          </w:tcPr>
          <w:p w14:paraId="17EBAE11" w14:textId="77777777" w:rsidR="00EC744C" w:rsidRPr="00BC39F5" w:rsidRDefault="00EC744C" w:rsidP="00DC520A">
            <w:pPr>
              <w:ind w:left="-113"/>
              <w:rPr>
                <w:rFonts w:ascii="Times New Roman" w:hAnsi="Times New Roman" w:cs="Times New Roman"/>
                <w:b/>
                <w:bCs/>
                <w:color w:val="7F7F7F" w:themeColor="text1" w:themeTint="80"/>
                <w:lang w:val="is-IS"/>
              </w:rPr>
            </w:pPr>
            <w:r w:rsidRPr="00BC39F5">
              <w:rPr>
                <w:rFonts w:ascii="Times New Roman" w:hAnsi="Times New Roman" w:cs="Times New Roman"/>
                <w:b/>
                <w:bCs/>
                <w:color w:val="000000" w:themeColor="text1"/>
                <w:lang w:val="is-IS"/>
              </w:rPr>
              <w:t>3.6</w:t>
            </w:r>
          </w:p>
        </w:tc>
      </w:tr>
      <w:tr w:rsidR="00EC744C" w:rsidRPr="00BC39F5" w14:paraId="6455534F" w14:textId="77777777" w:rsidTr="002B34AE">
        <w:tc>
          <w:tcPr>
            <w:tcW w:w="1942" w:type="dxa"/>
          </w:tcPr>
          <w:p w14:paraId="4CBC3724" w14:textId="77777777" w:rsidR="00EC744C" w:rsidRPr="00BC39F5" w:rsidRDefault="00EC744C" w:rsidP="00DC520A">
            <w:pPr>
              <w:ind w:left="-113"/>
              <w:rPr>
                <w:rFonts w:ascii="Times New Roman" w:hAnsi="Times New Roman" w:cs="Times New Roman"/>
                <w:color w:val="7F7F7F" w:themeColor="text1" w:themeTint="80"/>
                <w:lang w:val="is-IS"/>
              </w:rPr>
            </w:pPr>
          </w:p>
        </w:tc>
        <w:tc>
          <w:tcPr>
            <w:tcW w:w="7084" w:type="dxa"/>
          </w:tcPr>
          <w:p w14:paraId="6B9C4022" w14:textId="77777777" w:rsidR="00EC744C" w:rsidRPr="00BC39F5" w:rsidRDefault="00EC744C" w:rsidP="00DC520A">
            <w:pPr>
              <w:ind w:left="-113"/>
              <w:rPr>
                <w:rFonts w:ascii="Times New Roman" w:hAnsi="Times New Roman" w:cs="Times New Roman"/>
                <w:color w:val="7F7F7F" w:themeColor="text1" w:themeTint="80"/>
                <w:lang w:val="is-IS"/>
              </w:rPr>
            </w:pPr>
          </w:p>
        </w:tc>
      </w:tr>
      <w:tr w:rsidR="00EC744C" w:rsidRPr="00BC39F5" w14:paraId="25796213" w14:textId="77777777" w:rsidTr="002B34AE">
        <w:tc>
          <w:tcPr>
            <w:tcW w:w="1942" w:type="dxa"/>
          </w:tcPr>
          <w:p w14:paraId="3869DA63" w14:textId="77777777" w:rsidR="00EC744C" w:rsidRPr="00BC39F5" w:rsidRDefault="00EC744C" w:rsidP="00DC520A">
            <w:pPr>
              <w:spacing w:after="360"/>
              <w:ind w:left="-113"/>
              <w:rPr>
                <w:rFonts w:ascii="Times New Roman" w:hAnsi="Times New Roman" w:cs="Times New Roman"/>
                <w:color w:val="7F7F7F" w:themeColor="text1" w:themeTint="80"/>
                <w:lang w:val="is-IS"/>
              </w:rPr>
            </w:pPr>
            <w:r w:rsidRPr="00BC39F5">
              <w:rPr>
                <w:rFonts w:ascii="Times New Roman" w:hAnsi="Times New Roman" w:cs="Times New Roman"/>
                <w:color w:val="7F7F7F" w:themeColor="text1" w:themeTint="80"/>
                <w:lang w:val="is-IS"/>
              </w:rPr>
              <w:t>Efni:</w:t>
            </w:r>
          </w:p>
        </w:tc>
        <w:tc>
          <w:tcPr>
            <w:tcW w:w="7084" w:type="dxa"/>
          </w:tcPr>
          <w:p w14:paraId="4FEBD5E4" w14:textId="77777777" w:rsidR="00EC744C" w:rsidRPr="00BC39F5" w:rsidRDefault="00EC744C" w:rsidP="00DC520A">
            <w:pPr>
              <w:spacing w:after="360"/>
              <w:ind w:left="-113"/>
              <w:rPr>
                <w:rFonts w:ascii="Times New Roman" w:hAnsi="Times New Roman" w:cs="Times New Roman"/>
                <w:lang w:val="is-IS"/>
              </w:rPr>
            </w:pPr>
            <w:r w:rsidRPr="00BC39F5">
              <w:rPr>
                <w:rFonts w:ascii="Times New Roman" w:hAnsi="Times New Roman" w:cs="Times New Roman"/>
                <w:lang w:val="is-IS"/>
              </w:rPr>
              <w:t>Samráð um hámark á milligjöld vegna innlendra debetkortafærslna</w:t>
            </w:r>
          </w:p>
        </w:tc>
      </w:tr>
    </w:tbl>
    <w:p w14:paraId="6695C462" w14:textId="77777777" w:rsidR="00EC744C" w:rsidRPr="00BC39F5" w:rsidRDefault="00EC744C" w:rsidP="00EC744C">
      <w:pPr>
        <w:jc w:val="both"/>
        <w:rPr>
          <w:rFonts w:ascii="Times New Roman" w:hAnsi="Times New Roman" w:cs="Times New Roman"/>
        </w:rPr>
      </w:pPr>
      <w:r w:rsidRPr="00BC39F5">
        <w:rPr>
          <w:rFonts w:ascii="Times New Roman" w:hAnsi="Times New Roman" w:cs="Times New Roman"/>
        </w:rPr>
        <w:t xml:space="preserve">Með </w:t>
      </w:r>
      <w:hyperlink r:id="rId6" w:history="1">
        <w:r w:rsidRPr="00BC39F5">
          <w:rPr>
            <w:rStyle w:val="Hyperlink"/>
            <w:rFonts w:ascii="Times New Roman" w:hAnsi="Times New Roman" w:cs="Times New Roman"/>
          </w:rPr>
          <w:t>lögum um milligjöld fyrir kortatengdar greiðslur, nr. 31/2019</w:t>
        </w:r>
      </w:hyperlink>
      <w:r w:rsidRPr="00BC39F5">
        <w:rPr>
          <w:rFonts w:ascii="Times New Roman" w:hAnsi="Times New Roman" w:cs="Times New Roman"/>
        </w:rPr>
        <w:t xml:space="preserve">, var </w:t>
      </w:r>
      <w:hyperlink r:id="rId7" w:history="1">
        <w:r w:rsidRPr="00BC39F5">
          <w:rPr>
            <w:rStyle w:val="Hyperlink"/>
            <w:rFonts w:ascii="Times New Roman" w:hAnsi="Times New Roman" w:cs="Times New Roman"/>
          </w:rPr>
          <w:t>reglugerð Evrópuþingsins og ráðsins (ESB) 2015/751 frá 29. apríl 2015 um milligjöld fyrir kortatengdar greiðslur</w:t>
        </w:r>
      </w:hyperlink>
      <w:r w:rsidRPr="00BC39F5">
        <w:rPr>
          <w:rFonts w:ascii="Times New Roman" w:hAnsi="Times New Roman" w:cs="Times New Roman"/>
        </w:rPr>
        <w:t xml:space="preserve">, eins og hún var </w:t>
      </w:r>
      <w:hyperlink r:id="rId8" w:history="1">
        <w:r w:rsidRPr="00BC39F5">
          <w:rPr>
            <w:rStyle w:val="Hyperlink"/>
            <w:rFonts w:ascii="Times New Roman" w:hAnsi="Times New Roman" w:cs="Times New Roman"/>
          </w:rPr>
          <w:t>aðlöguð við upptöku í EES-samninginn</w:t>
        </w:r>
      </w:hyperlink>
      <w:r w:rsidRPr="00BC39F5">
        <w:rPr>
          <w:rFonts w:ascii="Times New Roman" w:hAnsi="Times New Roman" w:cs="Times New Roman"/>
        </w:rPr>
        <w:t xml:space="preserve">, veitt lagagildi hér á landi. Í 3. gr. reglugerðarinnar er ákvæði um milligjöld fyrir debetkortafærslur neytenda. Skv. 1. mgr. greinarinnar skulu greiðsluþjónustuveitendur hvorki bjóða né krefjast </w:t>
      </w:r>
      <w:proofErr w:type="spellStart"/>
      <w:r w:rsidRPr="00BC39F5">
        <w:rPr>
          <w:rFonts w:ascii="Times New Roman" w:hAnsi="Times New Roman" w:cs="Times New Roman"/>
        </w:rPr>
        <w:t>milligjalds</w:t>
      </w:r>
      <w:proofErr w:type="spellEnd"/>
      <w:r w:rsidRPr="00BC39F5">
        <w:rPr>
          <w:rFonts w:ascii="Times New Roman" w:hAnsi="Times New Roman" w:cs="Times New Roman"/>
        </w:rPr>
        <w:t xml:space="preserve"> á hverja færslu sem er hærra en 0,2% af virði færslunnar fyrir neina debetkortafærslu. Skv. 2. mgr. mega aðildarríki þó ákveða lægra hámark fyrir milligjöld vegna innlendra greiðslukortafærslna, bæði með því að setja lægra hámarkshlutfall gjalds og með því að setja hámarksfjárhæð gjalds vegna hverrar færslu. Heimildin er útfærð nánar í tveimur stafliðum í málsgreininni.</w:t>
      </w:r>
    </w:p>
    <w:p w14:paraId="1A9BC636" w14:textId="7719FAB0" w:rsidR="00EC744C" w:rsidRPr="00BC39F5" w:rsidRDefault="00EC744C" w:rsidP="00EC744C">
      <w:pPr>
        <w:jc w:val="both"/>
        <w:rPr>
          <w:rFonts w:ascii="Times New Roman" w:hAnsi="Times New Roman" w:cs="Times New Roman"/>
        </w:rPr>
      </w:pPr>
      <w:r w:rsidRPr="00BC39F5">
        <w:rPr>
          <w:rFonts w:ascii="Times New Roman" w:hAnsi="Times New Roman" w:cs="Times New Roman"/>
        </w:rPr>
        <w:t xml:space="preserve">Heimild 2. mgr. 3. gr. reglugerðarinnar hefur ekki verið nýtt hér á landi. Í ákvæði til bráðabirgða í lögum um milligjöld fyrir kortatengdar greiðslur kemur fram að ráðherra skuli fyrir 1. september 2021 meta í samráði við Fjármálaeftirlitið, Neytendastofu, Samkeppniseftirlitið og Seðlabanka Íslands hvort tilefni sé til að leggja til lægra hámark á milligjöld vegna innlendra debetkortafærslna en 0,2%. Í almennum athugasemdum í </w:t>
      </w:r>
      <w:hyperlink r:id="rId9" w:history="1">
        <w:r w:rsidRPr="00BC39F5">
          <w:rPr>
            <w:rStyle w:val="Hyperlink"/>
            <w:rFonts w:ascii="Times New Roman" w:hAnsi="Times New Roman" w:cs="Times New Roman"/>
          </w:rPr>
          <w:t>greinargerð með frumvarpi til laganna</w:t>
        </w:r>
      </w:hyperlink>
      <w:r w:rsidRPr="00BC39F5">
        <w:rPr>
          <w:rFonts w:ascii="Times New Roman" w:hAnsi="Times New Roman" w:cs="Times New Roman"/>
        </w:rPr>
        <w:t xml:space="preserve"> kemur fram að ákvæðið hafi verið lagt til í ljósi örrar þróunar smágreiðslumiðlunar, m.a. vegna breytinga á tækni og regluverki, sem gæti í framtíðinni skapað forsendur til að nýta heimildina. Innlendum og erlendum smáforritum (öppum) sem nota mætti til miðlunar greiðslna í rauntíma færi ört fjölgandi. Hér á landi </w:t>
      </w:r>
      <w:r w:rsidR="003B1E91">
        <w:rPr>
          <w:rFonts w:ascii="Times New Roman" w:hAnsi="Times New Roman" w:cs="Times New Roman"/>
        </w:rPr>
        <w:t>hefðu</w:t>
      </w:r>
      <w:r w:rsidRPr="00BC39F5">
        <w:rPr>
          <w:rFonts w:ascii="Times New Roman" w:hAnsi="Times New Roman" w:cs="Times New Roman"/>
        </w:rPr>
        <w:t xml:space="preserve"> debetkort verið talin meðal mikilvægustu greiðslumiðla í viðskiptum og litið á greiðslur með þeim sem ígildi staðgreiðslu. Í athugasemdum við bráðabirgðaákvæðið í greinargerðinni segir að við matið verði meðal annars litið til skýrslu framkvæmdastjórnar Evrópusambandsins um beitingu </w:t>
      </w:r>
      <w:proofErr w:type="spellStart"/>
      <w:r w:rsidRPr="00BC39F5">
        <w:rPr>
          <w:rFonts w:ascii="Times New Roman" w:hAnsi="Times New Roman" w:cs="Times New Roman"/>
        </w:rPr>
        <w:t>milligjaldareglugerðarinnar</w:t>
      </w:r>
      <w:proofErr w:type="spellEnd"/>
      <w:r w:rsidRPr="00BC39F5">
        <w:rPr>
          <w:rFonts w:ascii="Times New Roman" w:hAnsi="Times New Roman" w:cs="Times New Roman"/>
        </w:rPr>
        <w:t xml:space="preserve">, þar á meðal um áhrif sérákvæða um milligjöld fyrir innlendar debetkortafærslur. Jafnframt verði horft til nágrannaríkjanna en Danir hafi veitt ráðherra heimild til að setja reglur um það </w:t>
      </w:r>
      <w:proofErr w:type="spellStart"/>
      <w:r w:rsidRPr="00BC39F5">
        <w:rPr>
          <w:rFonts w:ascii="Times New Roman" w:hAnsi="Times New Roman" w:cs="Times New Roman"/>
        </w:rPr>
        <w:t>milligjald</w:t>
      </w:r>
      <w:proofErr w:type="spellEnd"/>
      <w:r w:rsidRPr="00BC39F5">
        <w:rPr>
          <w:rFonts w:ascii="Times New Roman" w:hAnsi="Times New Roman" w:cs="Times New Roman"/>
        </w:rPr>
        <w:t xml:space="preserve"> sem greiðsluþjónustuveitendur megi bjóða eða krefjast vegna innlendra debetkortafærslna. Gert sé ráð fyrir að leitað verði sjónarmiða fyrirtækja á greiðslukortamarkaði og neytenda um mögulegar hugmyndir um breytingar í samráðsferli í samráðsgátt stjórnvalda. Komist ráðherra að þeirri niðurstöðu að æskilegt sé að mæla fyrir um lægra hámark sé gert ráð fyrir að hann leggi frumvarp þess efnis fyrir Alþingi.</w:t>
      </w:r>
    </w:p>
    <w:p w14:paraId="650FBA97" w14:textId="02E8291F" w:rsidR="00EC744C" w:rsidRPr="00BC39F5" w:rsidRDefault="00EC744C" w:rsidP="00EC744C">
      <w:pPr>
        <w:jc w:val="both"/>
        <w:rPr>
          <w:rFonts w:ascii="Times New Roman" w:hAnsi="Times New Roman" w:cs="Times New Roman"/>
        </w:rPr>
      </w:pPr>
      <w:r w:rsidRPr="00BC39F5">
        <w:rPr>
          <w:rFonts w:ascii="Times New Roman" w:hAnsi="Times New Roman" w:cs="Times New Roman"/>
        </w:rPr>
        <w:t xml:space="preserve">Framkvæmdastjórn Evrópusambandsins skilaði </w:t>
      </w:r>
      <w:hyperlink r:id="rId10" w:history="1">
        <w:r w:rsidRPr="00BC39F5">
          <w:rPr>
            <w:rStyle w:val="Hyperlink"/>
            <w:rFonts w:ascii="Times New Roman" w:hAnsi="Times New Roman" w:cs="Times New Roman"/>
          </w:rPr>
          <w:t xml:space="preserve">skýrslu um beitingu </w:t>
        </w:r>
        <w:proofErr w:type="spellStart"/>
        <w:r w:rsidRPr="00BC39F5">
          <w:rPr>
            <w:rStyle w:val="Hyperlink"/>
            <w:rFonts w:ascii="Times New Roman" w:hAnsi="Times New Roman" w:cs="Times New Roman"/>
          </w:rPr>
          <w:t>milligjaldareglugerðarinnar</w:t>
        </w:r>
        <w:proofErr w:type="spellEnd"/>
      </w:hyperlink>
      <w:r w:rsidRPr="00BC39F5">
        <w:rPr>
          <w:rFonts w:ascii="Times New Roman" w:hAnsi="Times New Roman" w:cs="Times New Roman"/>
        </w:rPr>
        <w:t xml:space="preserve"> 29. júní 2020. </w:t>
      </w:r>
      <w:r w:rsidR="00AB2E57">
        <w:rPr>
          <w:rFonts w:ascii="Times New Roman" w:hAnsi="Times New Roman" w:cs="Times New Roman"/>
        </w:rPr>
        <w:t xml:space="preserve">Á </w:t>
      </w:r>
      <w:r w:rsidRPr="00BC39F5">
        <w:rPr>
          <w:rFonts w:ascii="Times New Roman" w:hAnsi="Times New Roman" w:cs="Times New Roman"/>
        </w:rPr>
        <w:t>blaðsíðu 19</w:t>
      </w:r>
      <w:r w:rsidR="00AB2E57">
        <w:rPr>
          <w:rFonts w:ascii="Times New Roman" w:hAnsi="Times New Roman" w:cs="Times New Roman"/>
        </w:rPr>
        <w:t xml:space="preserve"> í skýrslunni kemur fram</w:t>
      </w:r>
      <w:r w:rsidRPr="00BC39F5">
        <w:rPr>
          <w:rFonts w:ascii="Times New Roman" w:hAnsi="Times New Roman" w:cs="Times New Roman"/>
        </w:rPr>
        <w:t xml:space="preserve"> að átta aðildarríki Evrópusambandsins</w:t>
      </w:r>
      <w:r w:rsidR="009C3186">
        <w:rPr>
          <w:rFonts w:ascii="Times New Roman" w:hAnsi="Times New Roman" w:cs="Times New Roman"/>
        </w:rPr>
        <w:t xml:space="preserve"> hafi</w:t>
      </w:r>
      <w:r w:rsidRPr="00BC39F5">
        <w:rPr>
          <w:rFonts w:ascii="Times New Roman" w:hAnsi="Times New Roman" w:cs="Times New Roman"/>
        </w:rPr>
        <w:t xml:space="preserve"> nýtt heimildir </w:t>
      </w:r>
      <w:proofErr w:type="spellStart"/>
      <w:r w:rsidRPr="00BC39F5">
        <w:rPr>
          <w:rFonts w:ascii="Times New Roman" w:hAnsi="Times New Roman" w:cs="Times New Roman"/>
        </w:rPr>
        <w:t>milligjaldareglugerðarinnar</w:t>
      </w:r>
      <w:proofErr w:type="spellEnd"/>
      <w:r w:rsidRPr="00BC39F5">
        <w:rPr>
          <w:rFonts w:ascii="Times New Roman" w:hAnsi="Times New Roman" w:cs="Times New Roman"/>
        </w:rPr>
        <w:t xml:space="preserve"> til að mæla fyrir um lægra hámark</w:t>
      </w:r>
      <w:r w:rsidR="00A863FA">
        <w:rPr>
          <w:rFonts w:ascii="Times New Roman" w:hAnsi="Times New Roman" w:cs="Times New Roman"/>
        </w:rPr>
        <w:t xml:space="preserve">shlutfall eða -fjárhæð </w:t>
      </w:r>
      <w:proofErr w:type="spellStart"/>
      <w:r w:rsidR="00A863FA">
        <w:rPr>
          <w:rFonts w:ascii="Times New Roman" w:hAnsi="Times New Roman" w:cs="Times New Roman"/>
        </w:rPr>
        <w:t>milligjalda</w:t>
      </w:r>
      <w:proofErr w:type="spellEnd"/>
      <w:r w:rsidRPr="00BC39F5">
        <w:rPr>
          <w:rFonts w:ascii="Times New Roman" w:hAnsi="Times New Roman" w:cs="Times New Roman"/>
        </w:rPr>
        <w:t xml:space="preserve">. Slíkar takmarkanir </w:t>
      </w:r>
      <w:r w:rsidR="00A863FA">
        <w:rPr>
          <w:rFonts w:ascii="Times New Roman" w:hAnsi="Times New Roman" w:cs="Times New Roman"/>
        </w:rPr>
        <w:t>minnki tekjur</w:t>
      </w:r>
      <w:r w:rsidRPr="00BC39F5">
        <w:rPr>
          <w:rFonts w:ascii="Times New Roman" w:hAnsi="Times New Roman" w:cs="Times New Roman"/>
        </w:rPr>
        <w:t xml:space="preserve"> kortaútgefenda </w:t>
      </w:r>
      <w:r w:rsidR="00A863FA">
        <w:rPr>
          <w:rFonts w:ascii="Times New Roman" w:hAnsi="Times New Roman" w:cs="Times New Roman"/>
        </w:rPr>
        <w:t xml:space="preserve">af </w:t>
      </w:r>
      <w:proofErr w:type="spellStart"/>
      <w:r w:rsidR="00A863FA">
        <w:rPr>
          <w:rFonts w:ascii="Times New Roman" w:hAnsi="Times New Roman" w:cs="Times New Roman"/>
        </w:rPr>
        <w:t>milligjöldum</w:t>
      </w:r>
      <w:proofErr w:type="spellEnd"/>
      <w:r w:rsidR="00A863FA">
        <w:rPr>
          <w:rFonts w:ascii="Times New Roman" w:hAnsi="Times New Roman" w:cs="Times New Roman"/>
        </w:rPr>
        <w:t xml:space="preserve"> </w:t>
      </w:r>
      <w:r w:rsidRPr="00BC39F5">
        <w:rPr>
          <w:rFonts w:ascii="Times New Roman" w:hAnsi="Times New Roman" w:cs="Times New Roman"/>
        </w:rPr>
        <w:t>og þar með hvata þeirra til útgáfu korta nema aukin notkun korta vegi á móti lækkun gjaldanna. Gögn bentu þó ekki til þess að takmarkanirnar hafi dregið úr útgáfu korta í viðkomandi ríkjum. Nánari umfjöllun um áhrif takmarkananna í aðildarríkjunum má finna á bl</w:t>
      </w:r>
      <w:r w:rsidR="006F5CF3">
        <w:rPr>
          <w:rFonts w:ascii="Times New Roman" w:hAnsi="Times New Roman" w:cs="Times New Roman"/>
        </w:rPr>
        <w:t>aðsíðum</w:t>
      </w:r>
      <w:r w:rsidRPr="00BC39F5">
        <w:rPr>
          <w:rFonts w:ascii="Times New Roman" w:hAnsi="Times New Roman" w:cs="Times New Roman"/>
        </w:rPr>
        <w:t xml:space="preserve"> 20</w:t>
      </w:r>
      <w:r w:rsidR="006F5CF3">
        <w:rPr>
          <w:rFonts w:ascii="Times New Roman" w:hAnsi="Times New Roman" w:cs="Times New Roman"/>
        </w:rPr>
        <w:t xml:space="preserve">5 til </w:t>
      </w:r>
      <w:r w:rsidRPr="00BC39F5">
        <w:rPr>
          <w:rFonts w:ascii="Times New Roman" w:hAnsi="Times New Roman" w:cs="Times New Roman"/>
        </w:rPr>
        <w:t xml:space="preserve">219 í </w:t>
      </w:r>
      <w:hyperlink r:id="rId11" w:history="1">
        <w:r w:rsidRPr="00BC39F5">
          <w:rPr>
            <w:rStyle w:val="Hyperlink"/>
            <w:rFonts w:ascii="Times New Roman" w:hAnsi="Times New Roman" w:cs="Times New Roman"/>
          </w:rPr>
          <w:t xml:space="preserve">skýrslu um rannsókn á beitingu </w:t>
        </w:r>
        <w:proofErr w:type="spellStart"/>
        <w:r w:rsidRPr="00BC39F5">
          <w:rPr>
            <w:rStyle w:val="Hyperlink"/>
            <w:rFonts w:ascii="Times New Roman" w:hAnsi="Times New Roman" w:cs="Times New Roman"/>
          </w:rPr>
          <w:t>milligjaldareglugerðarinnar</w:t>
        </w:r>
        <w:proofErr w:type="spellEnd"/>
      </w:hyperlink>
      <w:r w:rsidRPr="00BC39F5">
        <w:rPr>
          <w:rFonts w:ascii="Times New Roman" w:hAnsi="Times New Roman" w:cs="Times New Roman"/>
        </w:rPr>
        <w:t xml:space="preserve"> frá 2020, sem skýrsla framkvæmdastjórnarinnar studdist við.</w:t>
      </w:r>
    </w:p>
    <w:p w14:paraId="27761CCE" w14:textId="77777777" w:rsidR="00EC744C" w:rsidRPr="00BC39F5" w:rsidRDefault="00EC744C" w:rsidP="00EC744C">
      <w:pPr>
        <w:jc w:val="both"/>
        <w:rPr>
          <w:rFonts w:ascii="Times New Roman" w:hAnsi="Times New Roman" w:cs="Times New Roman"/>
        </w:rPr>
      </w:pPr>
      <w:r w:rsidRPr="00BC39F5">
        <w:rPr>
          <w:rFonts w:ascii="Times New Roman" w:hAnsi="Times New Roman" w:cs="Times New Roman"/>
        </w:rPr>
        <w:t xml:space="preserve">Danir nýttu ekki fyrrgreinda heimild ráðherra til að mæla fyrir um lægra hámark á milligjöld vegna innlendra debetkortafærslna en 0,2% eða hámarksfjárhæð </w:t>
      </w:r>
      <w:proofErr w:type="spellStart"/>
      <w:r w:rsidRPr="00BC39F5">
        <w:rPr>
          <w:rFonts w:ascii="Times New Roman" w:hAnsi="Times New Roman" w:cs="Times New Roman"/>
        </w:rPr>
        <w:t>milligjalds</w:t>
      </w:r>
      <w:proofErr w:type="spellEnd"/>
      <w:r w:rsidRPr="00BC39F5">
        <w:rPr>
          <w:rFonts w:ascii="Times New Roman" w:hAnsi="Times New Roman" w:cs="Times New Roman"/>
        </w:rPr>
        <w:t xml:space="preserve"> vegna hverrar færslu, heldur nýttu aðeins heimild í 3. mgr. 3. gr. </w:t>
      </w:r>
      <w:proofErr w:type="spellStart"/>
      <w:r w:rsidRPr="00BC39F5">
        <w:rPr>
          <w:rFonts w:ascii="Times New Roman" w:hAnsi="Times New Roman" w:cs="Times New Roman"/>
        </w:rPr>
        <w:t>milligjaldareglugerðarinnar</w:t>
      </w:r>
      <w:proofErr w:type="spellEnd"/>
      <w:r w:rsidRPr="00BC39F5">
        <w:rPr>
          <w:rFonts w:ascii="Times New Roman" w:hAnsi="Times New Roman" w:cs="Times New Roman"/>
        </w:rPr>
        <w:t xml:space="preserve">, sem gilti til 9. desember 2020, til að heimila </w:t>
      </w:r>
      <w:r w:rsidRPr="00BC39F5">
        <w:rPr>
          <w:rFonts w:ascii="Times New Roman" w:hAnsi="Times New Roman" w:cs="Times New Roman"/>
        </w:rPr>
        <w:lastRenderedPageBreak/>
        <w:t xml:space="preserve">greiðsluþjónustuþjónustuveitendum að beita vegnu meðaltali </w:t>
      </w:r>
      <w:proofErr w:type="spellStart"/>
      <w:r w:rsidRPr="00BC39F5">
        <w:rPr>
          <w:rFonts w:ascii="Times New Roman" w:hAnsi="Times New Roman" w:cs="Times New Roman"/>
        </w:rPr>
        <w:t>milligjalds</w:t>
      </w:r>
      <w:proofErr w:type="spellEnd"/>
      <w:r w:rsidRPr="00BC39F5">
        <w:rPr>
          <w:rFonts w:ascii="Times New Roman" w:hAnsi="Times New Roman" w:cs="Times New Roman"/>
        </w:rPr>
        <w:t>.</w:t>
      </w:r>
      <w:r w:rsidRPr="00BC39F5">
        <w:rPr>
          <w:rStyle w:val="FootnoteReference"/>
          <w:rFonts w:ascii="Times New Roman" w:hAnsi="Times New Roman" w:cs="Times New Roman"/>
        </w:rPr>
        <w:footnoteReference w:id="1"/>
      </w:r>
      <w:r w:rsidRPr="00BC39F5">
        <w:rPr>
          <w:rFonts w:ascii="Times New Roman" w:hAnsi="Times New Roman" w:cs="Times New Roman"/>
        </w:rPr>
        <w:t xml:space="preserve"> Ekkert annað Norðurland nýtti heimildir reglugerðarinnar til að mæla fyrir um lægra hámark á milligjöld eða hámarksfjárhæð </w:t>
      </w:r>
      <w:proofErr w:type="spellStart"/>
      <w:r w:rsidRPr="00BC39F5">
        <w:rPr>
          <w:rFonts w:ascii="Times New Roman" w:hAnsi="Times New Roman" w:cs="Times New Roman"/>
        </w:rPr>
        <w:t>milligjalds</w:t>
      </w:r>
      <w:proofErr w:type="spellEnd"/>
      <w:r w:rsidRPr="00BC39F5">
        <w:rPr>
          <w:rFonts w:ascii="Times New Roman" w:hAnsi="Times New Roman" w:cs="Times New Roman"/>
        </w:rPr>
        <w:t xml:space="preserve"> fyrir debetkortafærslur samkvæmt fyrrgreindri skýrslu um rannsókn á beitingu </w:t>
      </w:r>
      <w:proofErr w:type="spellStart"/>
      <w:r w:rsidRPr="00BC39F5">
        <w:rPr>
          <w:rFonts w:ascii="Times New Roman" w:hAnsi="Times New Roman" w:cs="Times New Roman"/>
        </w:rPr>
        <w:t>milligjaldareglugerðarinnar</w:t>
      </w:r>
      <w:proofErr w:type="spellEnd"/>
      <w:r w:rsidRPr="00BC39F5">
        <w:rPr>
          <w:rFonts w:ascii="Times New Roman" w:hAnsi="Times New Roman" w:cs="Times New Roman"/>
        </w:rPr>
        <w:t>.</w:t>
      </w:r>
      <w:r w:rsidRPr="00BC39F5">
        <w:rPr>
          <w:rStyle w:val="FootnoteReference"/>
          <w:rFonts w:ascii="Times New Roman" w:hAnsi="Times New Roman" w:cs="Times New Roman"/>
        </w:rPr>
        <w:footnoteReference w:id="2"/>
      </w:r>
    </w:p>
    <w:p w14:paraId="793BDE87" w14:textId="57873A6A" w:rsidR="00EC744C" w:rsidRPr="00BC39F5" w:rsidRDefault="00EC744C" w:rsidP="00EC744C">
      <w:pPr>
        <w:jc w:val="both"/>
        <w:rPr>
          <w:rFonts w:ascii="Times New Roman" w:hAnsi="Times New Roman" w:cs="Times New Roman"/>
        </w:rPr>
      </w:pPr>
      <w:r w:rsidRPr="00BC39F5">
        <w:rPr>
          <w:rFonts w:ascii="Times New Roman" w:hAnsi="Times New Roman" w:cs="Times New Roman"/>
        </w:rPr>
        <w:t>Með bréfum, dags. 12. mars 2021, óskaði fjármála- og efnahagsráðuneytið eftir afstöðu Neytendastofu, Samkeppniseftirlitsins og Seðlabanka Íslands</w:t>
      </w:r>
      <w:r w:rsidR="0048337B">
        <w:rPr>
          <w:rFonts w:ascii="Times New Roman" w:hAnsi="Times New Roman" w:cs="Times New Roman"/>
        </w:rPr>
        <w:t>, sem sameinaðist Fjármálaeftirlitinu í upphafi 2020,</w:t>
      </w:r>
      <w:r w:rsidRPr="00BC39F5">
        <w:rPr>
          <w:rFonts w:ascii="Times New Roman" w:hAnsi="Times New Roman" w:cs="Times New Roman"/>
        </w:rPr>
        <w:t xml:space="preserve"> til þess hvort tilefni væri til að leggja til lægra hámark á milligjöld vegna innlendra debetkortafærslna en 0,2%, og þá hvert hámarkið ætti að vera, og rökstuðningi fyrir þeirri afstöðu. Svarbréf stofnananna eru birt </w:t>
      </w:r>
      <w:r w:rsidR="008513EA">
        <w:rPr>
          <w:rFonts w:ascii="Times New Roman" w:hAnsi="Times New Roman" w:cs="Times New Roman"/>
        </w:rPr>
        <w:t>með</w:t>
      </w:r>
      <w:r w:rsidRPr="00BC39F5">
        <w:rPr>
          <w:rFonts w:ascii="Times New Roman" w:hAnsi="Times New Roman" w:cs="Times New Roman"/>
        </w:rPr>
        <w:t xml:space="preserve"> </w:t>
      </w:r>
      <w:r w:rsidR="008513EA">
        <w:rPr>
          <w:rFonts w:ascii="Times New Roman" w:hAnsi="Times New Roman" w:cs="Times New Roman"/>
        </w:rPr>
        <w:t>skjali þessu í samráðsgátt stjórnvalda</w:t>
      </w:r>
      <w:r w:rsidRPr="00BC39F5">
        <w:rPr>
          <w:rFonts w:ascii="Times New Roman" w:hAnsi="Times New Roman" w:cs="Times New Roman"/>
        </w:rPr>
        <w:t>.</w:t>
      </w:r>
    </w:p>
    <w:p w14:paraId="08D4DD21" w14:textId="1E8C6C06" w:rsidR="00EC744C" w:rsidRPr="00BC39F5" w:rsidRDefault="00EC744C" w:rsidP="00EC744C">
      <w:pPr>
        <w:jc w:val="both"/>
        <w:rPr>
          <w:rFonts w:ascii="Times New Roman" w:hAnsi="Times New Roman" w:cs="Times New Roman"/>
        </w:rPr>
      </w:pPr>
      <w:r w:rsidRPr="00BC39F5">
        <w:rPr>
          <w:rFonts w:ascii="Times New Roman" w:hAnsi="Times New Roman" w:cs="Times New Roman"/>
        </w:rPr>
        <w:t xml:space="preserve">Í svarbréfi Neytendastofu, dags. 12. apríl 2021, kemur fram að stofnunin telji sig ekki hafa forsendur til að leggja mat á það hvort lækka eigi hámark á milligjöld eða hvort setja eigi hámark á gjaldið sem </w:t>
      </w:r>
      <w:proofErr w:type="spellStart"/>
      <w:r w:rsidRPr="00BC39F5">
        <w:rPr>
          <w:rFonts w:ascii="Times New Roman" w:hAnsi="Times New Roman" w:cs="Times New Roman"/>
        </w:rPr>
        <w:t>fastagjald</w:t>
      </w:r>
      <w:proofErr w:type="spellEnd"/>
      <w:r w:rsidRPr="00BC39F5">
        <w:rPr>
          <w:rFonts w:ascii="Times New Roman" w:hAnsi="Times New Roman" w:cs="Times New Roman"/>
        </w:rPr>
        <w:t xml:space="preserve">. </w:t>
      </w:r>
      <w:r w:rsidR="00681791">
        <w:rPr>
          <w:rFonts w:ascii="Times New Roman" w:hAnsi="Times New Roman" w:cs="Times New Roman"/>
        </w:rPr>
        <w:t>Stofnunin</w:t>
      </w:r>
      <w:r w:rsidRPr="00BC39F5">
        <w:rPr>
          <w:rFonts w:ascii="Times New Roman" w:hAnsi="Times New Roman" w:cs="Times New Roman"/>
        </w:rPr>
        <w:t xml:space="preserve"> tel</w:t>
      </w:r>
      <w:r w:rsidR="00310EC9">
        <w:rPr>
          <w:rFonts w:ascii="Times New Roman" w:hAnsi="Times New Roman" w:cs="Times New Roman"/>
        </w:rPr>
        <w:t>j</w:t>
      </w:r>
      <w:r w:rsidRPr="00BC39F5">
        <w:rPr>
          <w:rFonts w:ascii="Times New Roman" w:hAnsi="Times New Roman" w:cs="Times New Roman"/>
        </w:rPr>
        <w:t xml:space="preserve">i mikilvægt að þess sé gætt, verði ákveðið að lækka hámark </w:t>
      </w:r>
      <w:proofErr w:type="spellStart"/>
      <w:r w:rsidRPr="00BC39F5">
        <w:rPr>
          <w:rFonts w:ascii="Times New Roman" w:hAnsi="Times New Roman" w:cs="Times New Roman"/>
        </w:rPr>
        <w:t>milligjalda</w:t>
      </w:r>
      <w:proofErr w:type="spellEnd"/>
      <w:r w:rsidRPr="00BC39F5">
        <w:rPr>
          <w:rFonts w:ascii="Times New Roman" w:hAnsi="Times New Roman" w:cs="Times New Roman"/>
        </w:rPr>
        <w:t xml:space="preserve"> eða kveða á um hámark </w:t>
      </w:r>
      <w:proofErr w:type="spellStart"/>
      <w:r w:rsidRPr="00BC39F5">
        <w:rPr>
          <w:rFonts w:ascii="Times New Roman" w:hAnsi="Times New Roman" w:cs="Times New Roman"/>
        </w:rPr>
        <w:t>milligjalda</w:t>
      </w:r>
      <w:proofErr w:type="spellEnd"/>
      <w:r w:rsidRPr="00BC39F5">
        <w:rPr>
          <w:rFonts w:ascii="Times New Roman" w:hAnsi="Times New Roman" w:cs="Times New Roman"/>
        </w:rPr>
        <w:t xml:space="preserve"> sem </w:t>
      </w:r>
      <w:proofErr w:type="spellStart"/>
      <w:r w:rsidRPr="00BC39F5">
        <w:rPr>
          <w:rFonts w:ascii="Times New Roman" w:hAnsi="Times New Roman" w:cs="Times New Roman"/>
        </w:rPr>
        <w:t>fastagjald</w:t>
      </w:r>
      <w:proofErr w:type="spellEnd"/>
      <w:r w:rsidRPr="00BC39F5">
        <w:rPr>
          <w:rFonts w:ascii="Times New Roman" w:hAnsi="Times New Roman" w:cs="Times New Roman"/>
        </w:rPr>
        <w:t>, að lækkunin leiði til raunverulegrar verðlækkunar fyrir neytendur.</w:t>
      </w:r>
    </w:p>
    <w:p w14:paraId="6933E6AB" w14:textId="68BFC0E8" w:rsidR="00EC744C" w:rsidRPr="00BC39F5" w:rsidRDefault="00EC744C" w:rsidP="00EC744C">
      <w:pPr>
        <w:jc w:val="both"/>
        <w:rPr>
          <w:rFonts w:ascii="Times New Roman" w:hAnsi="Times New Roman" w:cs="Times New Roman"/>
        </w:rPr>
      </w:pPr>
      <w:r w:rsidRPr="00BC39F5">
        <w:rPr>
          <w:rFonts w:ascii="Times New Roman" w:hAnsi="Times New Roman" w:cs="Times New Roman"/>
        </w:rPr>
        <w:t xml:space="preserve">Í svarbréfi Seðlabanka Íslands, dags. 12. apríl 2021, segir að í greinargerð með frumvarpi til laga um milligjöld fyrir kortatengdar greiðslur komi fram að við undirbúning lagasetningarinnar hafi ekki verið talin ástæða til að nýta heimild </w:t>
      </w:r>
      <w:proofErr w:type="spellStart"/>
      <w:r w:rsidRPr="00BC39F5">
        <w:rPr>
          <w:rFonts w:ascii="Times New Roman" w:hAnsi="Times New Roman" w:cs="Times New Roman"/>
        </w:rPr>
        <w:t>milligjaldareglugerðarinnar</w:t>
      </w:r>
      <w:proofErr w:type="spellEnd"/>
      <w:r w:rsidRPr="00BC39F5">
        <w:rPr>
          <w:rFonts w:ascii="Times New Roman" w:hAnsi="Times New Roman" w:cs="Times New Roman"/>
        </w:rPr>
        <w:t xml:space="preserve"> á þann veg að ákveða lægra hámark á milligjöld vegna innlendra debetkortafærslna en 0,2%. Tekið sé fram að forsendur geti hins vegar skapast til þess síðar. Seðlabankinn fái ekki séð að á því tímabili sem um ræðir hafi slíkar forsendur skapast.</w:t>
      </w:r>
    </w:p>
    <w:p w14:paraId="07252A5B" w14:textId="68FC85C7" w:rsidR="00EC744C" w:rsidRPr="00BC39F5" w:rsidRDefault="00EC744C" w:rsidP="00EC744C">
      <w:pPr>
        <w:jc w:val="both"/>
        <w:rPr>
          <w:rFonts w:ascii="Times New Roman" w:hAnsi="Times New Roman" w:cs="Times New Roman"/>
        </w:rPr>
      </w:pPr>
      <w:r w:rsidRPr="00BC39F5">
        <w:rPr>
          <w:rFonts w:ascii="Times New Roman" w:hAnsi="Times New Roman" w:cs="Times New Roman"/>
          <w:noProof/>
        </w:rPr>
        <w:t>Í svarbréfi Samkeppniseftirlitsins, dags. 16. apríl 2021, er fjallað um íhlutun Samkeppniseftirlitsins á fyrri tíð vegna milligjalda, rökin fyrir hámarki milligjalda og grundvöll núgildandi hámarka og</w:t>
      </w:r>
      <w:r w:rsidRPr="00BC39F5">
        <w:rPr>
          <w:rFonts w:ascii="Times New Roman" w:hAnsi="Times New Roman" w:cs="Times New Roman"/>
        </w:rPr>
        <w:t xml:space="preserve"> </w:t>
      </w:r>
      <w:r w:rsidRPr="00BC39F5">
        <w:rPr>
          <w:rFonts w:ascii="Times New Roman" w:hAnsi="Times New Roman" w:cs="Times New Roman"/>
          <w:noProof/>
        </w:rPr>
        <w:t>mögulegt lægra hámark á milligjöld en 0,2% vegna innlendra debetkortafærslna.</w:t>
      </w:r>
      <w:r w:rsidR="000466AD">
        <w:rPr>
          <w:rFonts w:ascii="Times New Roman" w:hAnsi="Times New Roman" w:cs="Times New Roman"/>
          <w:noProof/>
        </w:rPr>
        <w:t xml:space="preserve"> Meðal annars kemur fram</w:t>
      </w:r>
      <w:r w:rsidRPr="00BC39F5">
        <w:rPr>
          <w:rFonts w:ascii="Times New Roman" w:hAnsi="Times New Roman" w:cs="Times New Roman"/>
          <w:noProof/>
        </w:rPr>
        <w:t xml:space="preserve"> að þar sem útbreiðsla kortaviðtöku og kortanotkun almennings sé afar mikil hérlendis megi ætla að lækkun hámarks milligjalda á debetkortagreiðslum myndi leiða til samdráttar milligjaldatekna hjá bönkum. Við mikla </w:t>
      </w:r>
      <w:r w:rsidR="00082298">
        <w:rPr>
          <w:rFonts w:ascii="Times New Roman" w:hAnsi="Times New Roman" w:cs="Times New Roman"/>
          <w:noProof/>
        </w:rPr>
        <w:t xml:space="preserve">lækkun </w:t>
      </w:r>
      <w:r w:rsidRPr="00EC744C">
        <w:rPr>
          <w:rFonts w:ascii="Times New Roman" w:hAnsi="Times New Roman" w:cs="Times New Roman"/>
          <w:noProof/>
        </w:rPr>
        <w:t xml:space="preserve">milligjaldahámarksins </w:t>
      </w:r>
      <w:r w:rsidRPr="00BC39F5">
        <w:rPr>
          <w:rFonts w:ascii="Times New Roman" w:hAnsi="Times New Roman" w:cs="Times New Roman"/>
          <w:noProof/>
        </w:rPr>
        <w:t>þurfi</w:t>
      </w:r>
      <w:r w:rsidRPr="00EC744C">
        <w:rPr>
          <w:rFonts w:ascii="Times New Roman" w:hAnsi="Times New Roman" w:cs="Times New Roman"/>
          <w:noProof/>
        </w:rPr>
        <w:t xml:space="preserve"> því að huga að því hvort milligjaldatekjusamdráttur hjá bönkunum </w:t>
      </w:r>
      <w:r w:rsidRPr="00BC39F5">
        <w:rPr>
          <w:rFonts w:ascii="Times New Roman" w:hAnsi="Times New Roman" w:cs="Times New Roman"/>
          <w:noProof/>
        </w:rPr>
        <w:t>sé</w:t>
      </w:r>
      <w:r w:rsidRPr="00EC744C">
        <w:rPr>
          <w:rFonts w:ascii="Times New Roman" w:hAnsi="Times New Roman" w:cs="Times New Roman"/>
          <w:noProof/>
        </w:rPr>
        <w:t xml:space="preserve"> líklegur til að leiða til aukinnar gjaldtöku þeirra beint af korthöfum, s</w:t>
      </w:r>
      <w:r w:rsidRPr="00BC39F5">
        <w:rPr>
          <w:rFonts w:ascii="Times New Roman" w:hAnsi="Times New Roman" w:cs="Times New Roman"/>
          <w:noProof/>
        </w:rPr>
        <w:t>vo sem</w:t>
      </w:r>
      <w:r w:rsidRPr="00EC744C">
        <w:rPr>
          <w:rFonts w:ascii="Times New Roman" w:hAnsi="Times New Roman" w:cs="Times New Roman"/>
          <w:noProof/>
        </w:rPr>
        <w:t xml:space="preserve"> í formi hærri árgjalda debetkorta.</w:t>
      </w:r>
      <w:r w:rsidRPr="00BC39F5">
        <w:rPr>
          <w:rFonts w:ascii="Times New Roman" w:hAnsi="Times New Roman" w:cs="Times New Roman"/>
          <w:noProof/>
        </w:rPr>
        <w:t xml:space="preserve"> Á hinn bóginn sé hugsanlegt að lækkun hámarksins geti orðið til þess að hraða þróun eða innleiðingu kortalausrar greiðslulausnar sem mögulega hafi minni samfélagslegan kostnað í för með sér í smágreiðslumiðlun hérlendis. Í niðurlagi bréfsins kemur fram að eftirlitið hafi ekki forsendur til að leggja fram rökstutt mat á því hvort lækka beri hámark milligjalda debetkorta eða halda þeim óbreyttum, en mikilvægt sé að leita nánari upplýsinga og sjónarmiða Seðlabankans, viðskiptabankanna og annarra hagsmunaaðila.</w:t>
      </w:r>
    </w:p>
    <w:p w14:paraId="6A7FC4A2" w14:textId="7188F467" w:rsidR="00EF130C" w:rsidRPr="00223FFC" w:rsidRDefault="00EC744C" w:rsidP="00223FFC">
      <w:pPr>
        <w:jc w:val="both"/>
        <w:rPr>
          <w:rFonts w:ascii="Times New Roman" w:hAnsi="Times New Roman" w:cs="Times New Roman"/>
          <w:b/>
          <w:bCs/>
        </w:rPr>
      </w:pPr>
      <w:r>
        <w:rPr>
          <w:rFonts w:ascii="Times New Roman" w:hAnsi="Times New Roman" w:cs="Times New Roman"/>
          <w:b/>
          <w:bCs/>
        </w:rPr>
        <w:t xml:space="preserve">Fjármála- og efnahagsráðuneytið óskar eftir sjónarmiðum um </w:t>
      </w:r>
      <w:r w:rsidRPr="00BC39F5">
        <w:rPr>
          <w:rFonts w:ascii="Times New Roman" w:hAnsi="Times New Roman" w:cs="Times New Roman"/>
          <w:b/>
          <w:bCs/>
        </w:rPr>
        <w:t>hvort tilefni sé til að leggja til lægra hámark á milligjöld vegna innlendra debetkortafærslna en 0,2% og þá hver</w:t>
      </w:r>
      <w:r>
        <w:rPr>
          <w:rFonts w:ascii="Times New Roman" w:hAnsi="Times New Roman" w:cs="Times New Roman"/>
          <w:b/>
          <w:bCs/>
        </w:rPr>
        <w:t>nig</w:t>
      </w:r>
      <w:r w:rsidRPr="00BC39F5">
        <w:rPr>
          <w:rFonts w:ascii="Times New Roman" w:hAnsi="Times New Roman" w:cs="Times New Roman"/>
          <w:b/>
          <w:bCs/>
        </w:rPr>
        <w:t xml:space="preserve"> hámarkið</w:t>
      </w:r>
      <w:r>
        <w:rPr>
          <w:rFonts w:ascii="Times New Roman" w:hAnsi="Times New Roman" w:cs="Times New Roman"/>
          <w:b/>
          <w:bCs/>
        </w:rPr>
        <w:t xml:space="preserve"> eigi að vera, þar á meðal eftir atvikum hvort mæla eigi fyrir um hámarksfjárhæð gjalds vegna hverrar færslu.</w:t>
      </w:r>
    </w:p>
    <w:sectPr w:rsidR="00EF130C" w:rsidRPr="00223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49B4" w14:textId="77777777" w:rsidR="003D6309" w:rsidRDefault="003D6309" w:rsidP="003D6309">
      <w:pPr>
        <w:spacing w:after="0" w:line="240" w:lineRule="auto"/>
      </w:pPr>
      <w:r>
        <w:separator/>
      </w:r>
    </w:p>
  </w:endnote>
  <w:endnote w:type="continuationSeparator" w:id="0">
    <w:p w14:paraId="1EF68F35" w14:textId="77777777" w:rsidR="003D6309" w:rsidRDefault="003D6309" w:rsidP="003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F34E" w14:textId="77777777" w:rsidR="003D6309" w:rsidRDefault="003D6309" w:rsidP="003D6309">
      <w:pPr>
        <w:spacing w:after="0" w:line="240" w:lineRule="auto"/>
      </w:pPr>
      <w:r>
        <w:separator/>
      </w:r>
    </w:p>
  </w:footnote>
  <w:footnote w:type="continuationSeparator" w:id="0">
    <w:p w14:paraId="1F8525F6" w14:textId="77777777" w:rsidR="003D6309" w:rsidRDefault="003D6309" w:rsidP="003D6309">
      <w:pPr>
        <w:spacing w:after="0" w:line="240" w:lineRule="auto"/>
      </w:pPr>
      <w:r>
        <w:continuationSeparator/>
      </w:r>
    </w:p>
  </w:footnote>
  <w:footnote w:id="1">
    <w:p w14:paraId="3F9246D6" w14:textId="77777777" w:rsidR="00EC744C" w:rsidRPr="006665F5" w:rsidRDefault="00EC744C" w:rsidP="006665F5">
      <w:pPr>
        <w:pStyle w:val="FootnoteText"/>
        <w:jc w:val="both"/>
        <w:rPr>
          <w:rFonts w:ascii="Times New Roman" w:hAnsi="Times New Roman" w:cs="Times New Roman"/>
        </w:rPr>
      </w:pPr>
      <w:r w:rsidRPr="006665F5">
        <w:rPr>
          <w:rStyle w:val="FootnoteReference"/>
          <w:rFonts w:ascii="Times New Roman" w:hAnsi="Times New Roman" w:cs="Times New Roman"/>
        </w:rPr>
        <w:footnoteRef/>
      </w:r>
      <w:r w:rsidRPr="006665F5">
        <w:rPr>
          <w:rFonts w:ascii="Times New Roman" w:hAnsi="Times New Roman" w:cs="Times New Roman"/>
        </w:rPr>
        <w:t xml:space="preserve"> Sjá </w:t>
      </w:r>
      <w:hyperlink r:id="rId1" w:history="1">
        <w:proofErr w:type="spellStart"/>
        <w:r w:rsidRPr="006665F5">
          <w:rPr>
            <w:rStyle w:val="Hyperlink"/>
            <w:rFonts w:ascii="Times New Roman" w:hAnsi="Times New Roman" w:cs="Times New Roman"/>
          </w:rPr>
          <w:t>lov</w:t>
        </w:r>
        <w:proofErr w:type="spellEnd"/>
        <w:r w:rsidRPr="006665F5">
          <w:rPr>
            <w:rStyle w:val="Hyperlink"/>
            <w:rFonts w:ascii="Times New Roman" w:hAnsi="Times New Roman" w:cs="Times New Roman"/>
          </w:rPr>
          <w:t xml:space="preserve"> </w:t>
        </w:r>
        <w:proofErr w:type="spellStart"/>
        <w:r w:rsidRPr="006665F5">
          <w:rPr>
            <w:rStyle w:val="Hyperlink"/>
            <w:rFonts w:ascii="Times New Roman" w:hAnsi="Times New Roman" w:cs="Times New Roman"/>
          </w:rPr>
          <w:t>om</w:t>
        </w:r>
        <w:proofErr w:type="spellEnd"/>
        <w:r w:rsidRPr="006665F5">
          <w:rPr>
            <w:rStyle w:val="Hyperlink"/>
            <w:rFonts w:ascii="Times New Roman" w:hAnsi="Times New Roman" w:cs="Times New Roman"/>
          </w:rPr>
          <w:t xml:space="preserve"> betalinger, nr. 652/2017</w:t>
        </w:r>
      </w:hyperlink>
      <w:r w:rsidRPr="006665F5">
        <w:rPr>
          <w:rFonts w:ascii="Times New Roman" w:hAnsi="Times New Roman" w:cs="Times New Roman"/>
        </w:rPr>
        <w:t xml:space="preserve">, einkum 2. mgr. 122. gr., og </w:t>
      </w:r>
      <w:hyperlink r:id="rId2" w:history="1">
        <w:proofErr w:type="spellStart"/>
        <w:r w:rsidRPr="006665F5">
          <w:rPr>
            <w:rStyle w:val="Hyperlink"/>
            <w:rFonts w:ascii="Times New Roman" w:hAnsi="Times New Roman" w:cs="Times New Roman"/>
          </w:rPr>
          <w:t>bekendtgørelse</w:t>
        </w:r>
        <w:proofErr w:type="spellEnd"/>
        <w:r w:rsidRPr="006665F5">
          <w:rPr>
            <w:rStyle w:val="Hyperlink"/>
            <w:rFonts w:ascii="Times New Roman" w:hAnsi="Times New Roman" w:cs="Times New Roman"/>
          </w:rPr>
          <w:t xml:space="preserve"> nr. 1365/2017, </w:t>
        </w:r>
        <w:proofErr w:type="spellStart"/>
        <w:r w:rsidRPr="006665F5">
          <w:rPr>
            <w:rStyle w:val="Hyperlink"/>
            <w:rFonts w:ascii="Times New Roman" w:hAnsi="Times New Roman" w:cs="Times New Roman"/>
          </w:rPr>
          <w:t>om</w:t>
        </w:r>
        <w:proofErr w:type="spellEnd"/>
        <w:r w:rsidRPr="006665F5">
          <w:rPr>
            <w:rStyle w:val="Hyperlink"/>
            <w:rFonts w:ascii="Times New Roman" w:hAnsi="Times New Roman" w:cs="Times New Roman"/>
          </w:rPr>
          <w:t xml:space="preserve"> </w:t>
        </w:r>
        <w:proofErr w:type="spellStart"/>
        <w:r w:rsidRPr="006665F5">
          <w:rPr>
            <w:rStyle w:val="Hyperlink"/>
            <w:rFonts w:ascii="Times New Roman" w:hAnsi="Times New Roman" w:cs="Times New Roman"/>
          </w:rPr>
          <w:t>interbankgebyrer</w:t>
        </w:r>
        <w:proofErr w:type="spellEnd"/>
        <w:r w:rsidRPr="006665F5">
          <w:rPr>
            <w:rStyle w:val="Hyperlink"/>
            <w:rFonts w:ascii="Times New Roman" w:hAnsi="Times New Roman" w:cs="Times New Roman"/>
          </w:rPr>
          <w:t xml:space="preserve"> for </w:t>
        </w:r>
        <w:proofErr w:type="spellStart"/>
        <w:r w:rsidRPr="006665F5">
          <w:rPr>
            <w:rStyle w:val="Hyperlink"/>
            <w:rFonts w:ascii="Times New Roman" w:hAnsi="Times New Roman" w:cs="Times New Roman"/>
          </w:rPr>
          <w:t>indenlandske</w:t>
        </w:r>
        <w:proofErr w:type="spellEnd"/>
        <w:r w:rsidRPr="006665F5">
          <w:rPr>
            <w:rStyle w:val="Hyperlink"/>
            <w:rFonts w:ascii="Times New Roman" w:hAnsi="Times New Roman" w:cs="Times New Roman"/>
          </w:rPr>
          <w:t xml:space="preserve"> </w:t>
        </w:r>
        <w:proofErr w:type="spellStart"/>
        <w:r w:rsidRPr="006665F5">
          <w:rPr>
            <w:rStyle w:val="Hyperlink"/>
            <w:rFonts w:ascii="Times New Roman" w:hAnsi="Times New Roman" w:cs="Times New Roman"/>
          </w:rPr>
          <w:t>forbrugerrelaterede</w:t>
        </w:r>
        <w:proofErr w:type="spellEnd"/>
        <w:r w:rsidRPr="006665F5">
          <w:rPr>
            <w:rStyle w:val="Hyperlink"/>
            <w:rFonts w:ascii="Times New Roman" w:hAnsi="Times New Roman" w:cs="Times New Roman"/>
          </w:rPr>
          <w:t xml:space="preserve"> </w:t>
        </w:r>
        <w:proofErr w:type="spellStart"/>
        <w:r w:rsidRPr="006665F5">
          <w:rPr>
            <w:rStyle w:val="Hyperlink"/>
            <w:rFonts w:ascii="Times New Roman" w:hAnsi="Times New Roman" w:cs="Times New Roman"/>
          </w:rPr>
          <w:t>debetkorttransaktioner</w:t>
        </w:r>
        <w:proofErr w:type="spellEnd"/>
      </w:hyperlink>
      <w:r w:rsidRPr="006665F5">
        <w:rPr>
          <w:rFonts w:ascii="Times New Roman" w:hAnsi="Times New Roman" w:cs="Times New Roman"/>
        </w:rPr>
        <w:t>, einkum 2. mgr. 3. gr.</w:t>
      </w:r>
    </w:p>
  </w:footnote>
  <w:footnote w:id="2">
    <w:p w14:paraId="69B46079" w14:textId="77777777" w:rsidR="00EC744C" w:rsidRPr="006665F5" w:rsidRDefault="00EC744C" w:rsidP="006665F5">
      <w:pPr>
        <w:pStyle w:val="FootnoteText"/>
        <w:jc w:val="both"/>
        <w:rPr>
          <w:rFonts w:ascii="Times New Roman" w:hAnsi="Times New Roman" w:cs="Times New Roman"/>
        </w:rPr>
      </w:pPr>
      <w:r w:rsidRPr="006665F5">
        <w:rPr>
          <w:rStyle w:val="FootnoteReference"/>
          <w:rFonts w:ascii="Times New Roman" w:hAnsi="Times New Roman" w:cs="Times New Roman"/>
        </w:rPr>
        <w:footnoteRef/>
      </w:r>
      <w:r w:rsidRPr="006665F5">
        <w:rPr>
          <w:rFonts w:ascii="Times New Roman" w:hAnsi="Times New Roman" w:cs="Times New Roman"/>
        </w:rPr>
        <w:t xml:space="preserve"> Sjá töflu á bls. 210 í skýrslunni.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18"/>
    <w:rsid w:val="0003169A"/>
    <w:rsid w:val="000466AD"/>
    <w:rsid w:val="00053090"/>
    <w:rsid w:val="00082298"/>
    <w:rsid w:val="000E272E"/>
    <w:rsid w:val="001D4031"/>
    <w:rsid w:val="002051BB"/>
    <w:rsid w:val="00223FFC"/>
    <w:rsid w:val="002A2A53"/>
    <w:rsid w:val="002B21E9"/>
    <w:rsid w:val="002B34AE"/>
    <w:rsid w:val="00310EC9"/>
    <w:rsid w:val="0035398A"/>
    <w:rsid w:val="003A21A1"/>
    <w:rsid w:val="003B1E91"/>
    <w:rsid w:val="003D6309"/>
    <w:rsid w:val="00463C32"/>
    <w:rsid w:val="0048062A"/>
    <w:rsid w:val="0048337B"/>
    <w:rsid w:val="004A44D6"/>
    <w:rsid w:val="00536377"/>
    <w:rsid w:val="005626CE"/>
    <w:rsid w:val="00584455"/>
    <w:rsid w:val="00586ADC"/>
    <w:rsid w:val="005F5EC4"/>
    <w:rsid w:val="00612DDB"/>
    <w:rsid w:val="006315DE"/>
    <w:rsid w:val="00632CED"/>
    <w:rsid w:val="006665F5"/>
    <w:rsid w:val="00681791"/>
    <w:rsid w:val="006F161D"/>
    <w:rsid w:val="006F5CF3"/>
    <w:rsid w:val="00752E5A"/>
    <w:rsid w:val="007C2BC1"/>
    <w:rsid w:val="007C3E0C"/>
    <w:rsid w:val="008513EA"/>
    <w:rsid w:val="00975778"/>
    <w:rsid w:val="009C3186"/>
    <w:rsid w:val="009F1B2E"/>
    <w:rsid w:val="009F57E0"/>
    <w:rsid w:val="00A863FA"/>
    <w:rsid w:val="00AB2E57"/>
    <w:rsid w:val="00AD3F42"/>
    <w:rsid w:val="00AE742C"/>
    <w:rsid w:val="00B93700"/>
    <w:rsid w:val="00BA77E5"/>
    <w:rsid w:val="00BE4D47"/>
    <w:rsid w:val="00C9661F"/>
    <w:rsid w:val="00D34BC0"/>
    <w:rsid w:val="00DE65EE"/>
    <w:rsid w:val="00E51390"/>
    <w:rsid w:val="00EC0CCB"/>
    <w:rsid w:val="00EC744C"/>
    <w:rsid w:val="00EF130C"/>
    <w:rsid w:val="00F273C4"/>
    <w:rsid w:val="00F3348B"/>
    <w:rsid w:val="00F65407"/>
    <w:rsid w:val="00F9431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2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318"/>
    <w:rPr>
      <w:color w:val="0563C1" w:themeColor="hyperlink"/>
      <w:u w:val="single"/>
    </w:rPr>
  </w:style>
  <w:style w:type="character" w:styleId="UnresolvedMention">
    <w:name w:val="Unresolved Mention"/>
    <w:basedOn w:val="DefaultParagraphFont"/>
    <w:uiPriority w:val="99"/>
    <w:semiHidden/>
    <w:unhideWhenUsed/>
    <w:rsid w:val="00F94318"/>
    <w:rPr>
      <w:color w:val="605E5C"/>
      <w:shd w:val="clear" w:color="auto" w:fill="E1DFDD"/>
    </w:rPr>
  </w:style>
  <w:style w:type="character" w:customStyle="1" w:styleId="Heading1Char">
    <w:name w:val="Heading 1 Char"/>
    <w:basedOn w:val="DefaultParagraphFont"/>
    <w:link w:val="Heading1"/>
    <w:uiPriority w:val="9"/>
    <w:rsid w:val="00E5139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3169A"/>
    <w:rPr>
      <w:color w:val="954F72" w:themeColor="followedHyperlink"/>
      <w:u w:val="single"/>
    </w:rPr>
  </w:style>
  <w:style w:type="paragraph" w:styleId="FootnoteText">
    <w:name w:val="footnote text"/>
    <w:basedOn w:val="Normal"/>
    <w:link w:val="FootnoteTextChar"/>
    <w:uiPriority w:val="99"/>
    <w:semiHidden/>
    <w:unhideWhenUsed/>
    <w:rsid w:val="003D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309"/>
    <w:rPr>
      <w:sz w:val="20"/>
      <w:szCs w:val="20"/>
    </w:rPr>
  </w:style>
  <w:style w:type="character" w:styleId="FootnoteReference">
    <w:name w:val="footnote reference"/>
    <w:basedOn w:val="DefaultParagraphFont"/>
    <w:uiPriority w:val="99"/>
    <w:semiHidden/>
    <w:unhideWhenUsed/>
    <w:rsid w:val="003D6309"/>
    <w:rPr>
      <w:vertAlign w:val="superscript"/>
    </w:rPr>
  </w:style>
  <w:style w:type="table" w:styleId="TableGrid">
    <w:name w:val="Table Grid"/>
    <w:basedOn w:val="TableNormal"/>
    <w:uiPriority w:val="39"/>
    <w:rsid w:val="00EC74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7E0"/>
  </w:style>
  <w:style w:type="paragraph" w:styleId="Footer">
    <w:name w:val="footer"/>
    <w:basedOn w:val="Normal"/>
    <w:link w:val="FooterChar"/>
    <w:uiPriority w:val="99"/>
    <w:unhideWhenUsed/>
    <w:rsid w:val="009F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afn/pdf/151b/i021-201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thingi.is/lagasafn/pdf/151b/i32015R075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lagas/151b/2019031.html" TargetMode="External"/><Relationship Id="rId11" Type="http://schemas.openxmlformats.org/officeDocument/2006/relationships/hyperlink" Target="https://ec.europa.eu/competition/publications/reports/kd0120161enn.pdf" TargetMode="External"/><Relationship Id="rId5" Type="http://schemas.openxmlformats.org/officeDocument/2006/relationships/endnotes" Target="endnotes.xml"/><Relationship Id="rId10" Type="http://schemas.openxmlformats.org/officeDocument/2006/relationships/hyperlink" Target="https://ec.europa.eu/competition/sectors/financial_services/IFR_report_card_payment.pdf" TargetMode="External"/><Relationship Id="rId4" Type="http://schemas.openxmlformats.org/officeDocument/2006/relationships/footnotes" Target="footnotes.xml"/><Relationship Id="rId9" Type="http://schemas.openxmlformats.org/officeDocument/2006/relationships/hyperlink" Target="https://www.althingi.is/altext/149/s/104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eli/lta/2017/1365" TargetMode="External"/><Relationship Id="rId1" Type="http://schemas.openxmlformats.org/officeDocument/2006/relationships/hyperlink" Target="https://www.retsinformation.dk/eli/lta/2017/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2021-04-23T15:27:00Z</dcterms:created>
  <dcterms:modified xsi:type="dcterms:W3CDTF">2021-04-23T15:27:00Z</dcterms:modified>
</cp:coreProperties>
</file>