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2473" w14:textId="0D4F3686" w:rsidR="00E060B4" w:rsidRPr="009143B4" w:rsidRDefault="00E060B4" w:rsidP="009143B4">
      <w:pPr>
        <w:spacing w:after="120" w:line="240" w:lineRule="auto"/>
        <w:jc w:val="center"/>
        <w:rPr>
          <w:b/>
          <w:sz w:val="32"/>
        </w:rPr>
      </w:pPr>
      <w:r w:rsidRPr="009143B4">
        <w:rPr>
          <w:b/>
          <w:sz w:val="32"/>
        </w:rPr>
        <w:t xml:space="preserve">GREINARGERÐ </w:t>
      </w:r>
    </w:p>
    <w:p w14:paraId="1FDF799C" w14:textId="7695D867" w:rsidR="00E060B4" w:rsidRPr="009143B4" w:rsidRDefault="00E060B4" w:rsidP="00E060B4">
      <w:pPr>
        <w:spacing w:line="240" w:lineRule="auto"/>
        <w:jc w:val="center"/>
        <w:rPr>
          <w:b/>
          <w:sz w:val="22"/>
          <w:szCs w:val="21"/>
        </w:rPr>
      </w:pPr>
      <w:r w:rsidRPr="009143B4">
        <w:rPr>
          <w:b/>
          <w:sz w:val="22"/>
          <w:szCs w:val="21"/>
        </w:rPr>
        <w:t>með drögum að nýrri reglugerð um almenn verðbréfaréttindi og fjárfestingarráðgjafaréttindi.</w:t>
      </w:r>
    </w:p>
    <w:p w14:paraId="09A22C69" w14:textId="1F14BDD2" w:rsidR="00CF6CA1" w:rsidRDefault="00CF6CA1" w:rsidP="00CF73DC">
      <w:pPr>
        <w:spacing w:line="240" w:lineRule="auto"/>
        <w:jc w:val="both"/>
        <w:rPr>
          <w:sz w:val="21"/>
          <w:szCs w:val="21"/>
        </w:rPr>
      </w:pPr>
    </w:p>
    <w:p w14:paraId="79C2E95E" w14:textId="77777777" w:rsidR="009143B4" w:rsidRDefault="009143B4" w:rsidP="00CF73DC">
      <w:pPr>
        <w:spacing w:line="240" w:lineRule="auto"/>
        <w:jc w:val="both"/>
        <w:rPr>
          <w:sz w:val="21"/>
          <w:szCs w:val="21"/>
        </w:rPr>
      </w:pPr>
    </w:p>
    <w:p w14:paraId="49E05AE4" w14:textId="4489F5DF" w:rsidR="008F48AD" w:rsidRPr="009143B4" w:rsidRDefault="008F48AD" w:rsidP="008F48AD">
      <w:pPr>
        <w:pStyle w:val="Fyrirsgn1"/>
        <w:rPr>
          <w:sz w:val="21"/>
          <w:szCs w:val="21"/>
        </w:rPr>
      </w:pPr>
      <w:r w:rsidRPr="009143B4">
        <w:rPr>
          <w:sz w:val="21"/>
          <w:szCs w:val="21"/>
        </w:rPr>
        <w:t>Almennar athugasemdir</w:t>
      </w:r>
      <w:r w:rsidR="00E060B4" w:rsidRPr="009143B4">
        <w:rPr>
          <w:sz w:val="21"/>
          <w:szCs w:val="21"/>
        </w:rPr>
        <w:t>.</w:t>
      </w:r>
    </w:p>
    <w:p w14:paraId="014B53A2" w14:textId="53957579" w:rsidR="00C3332E" w:rsidRPr="009143B4" w:rsidRDefault="008F48AD" w:rsidP="000241DA">
      <w:pPr>
        <w:jc w:val="both"/>
        <w:rPr>
          <w:sz w:val="21"/>
          <w:szCs w:val="21"/>
        </w:rPr>
      </w:pPr>
      <w:r w:rsidRPr="009143B4">
        <w:rPr>
          <w:sz w:val="21"/>
          <w:szCs w:val="21"/>
        </w:rPr>
        <w:t xml:space="preserve">Reglugerðardrögin byggja á grunni eldri reglugerðar </w:t>
      </w:r>
      <w:r w:rsidR="000241DA" w:rsidRPr="009143B4">
        <w:rPr>
          <w:sz w:val="21"/>
          <w:szCs w:val="21"/>
        </w:rPr>
        <w:t>nr. 633/200</w:t>
      </w:r>
      <w:r w:rsidR="00B91F2C" w:rsidRPr="009143B4">
        <w:rPr>
          <w:sz w:val="21"/>
          <w:szCs w:val="21"/>
        </w:rPr>
        <w:t>3</w:t>
      </w:r>
      <w:r w:rsidR="000241DA" w:rsidRPr="009143B4">
        <w:rPr>
          <w:sz w:val="21"/>
          <w:szCs w:val="21"/>
        </w:rPr>
        <w:t xml:space="preserve"> um próf í verðbréfaviðskiptum </w:t>
      </w:r>
      <w:r w:rsidR="004D490C" w:rsidRPr="009143B4">
        <w:rPr>
          <w:sz w:val="21"/>
          <w:szCs w:val="21"/>
        </w:rPr>
        <w:t xml:space="preserve">með </w:t>
      </w:r>
      <w:r w:rsidR="000241DA" w:rsidRPr="009143B4">
        <w:rPr>
          <w:sz w:val="21"/>
          <w:szCs w:val="21"/>
        </w:rPr>
        <w:t>síðari breytingum.</w:t>
      </w:r>
      <w:r w:rsidR="00C3332E" w:rsidRPr="009143B4">
        <w:rPr>
          <w:sz w:val="21"/>
          <w:szCs w:val="21"/>
        </w:rPr>
        <w:t xml:space="preserve"> Helstu breytingarnar og/eða nýmælin sem felast í drögunum eru eftirfarandi:</w:t>
      </w:r>
    </w:p>
    <w:p w14:paraId="7D978507" w14:textId="77777777" w:rsidR="00364617" w:rsidRPr="009143B4" w:rsidRDefault="00364617" w:rsidP="000241DA">
      <w:pPr>
        <w:jc w:val="both"/>
        <w:rPr>
          <w:sz w:val="21"/>
          <w:szCs w:val="21"/>
        </w:rPr>
      </w:pPr>
    </w:p>
    <w:p w14:paraId="0D2FF77E" w14:textId="63B01255" w:rsidR="00103918" w:rsidRPr="009143B4" w:rsidRDefault="0009063C" w:rsidP="00103918">
      <w:pPr>
        <w:pStyle w:val="Mlsgreinlista"/>
        <w:numPr>
          <w:ilvl w:val="0"/>
          <w:numId w:val="26"/>
        </w:numPr>
        <w:jc w:val="both"/>
        <w:rPr>
          <w:sz w:val="21"/>
          <w:szCs w:val="21"/>
        </w:rPr>
      </w:pPr>
      <w:r w:rsidRPr="009143B4">
        <w:rPr>
          <w:sz w:val="21"/>
          <w:szCs w:val="21"/>
        </w:rPr>
        <w:t>Minnka u</w:t>
      </w:r>
      <w:r w:rsidR="00391A89" w:rsidRPr="009143B4">
        <w:rPr>
          <w:sz w:val="21"/>
          <w:szCs w:val="21"/>
        </w:rPr>
        <w:t>mfang og efnistök pr</w:t>
      </w:r>
      <w:r w:rsidR="0011755F" w:rsidRPr="009143B4">
        <w:rPr>
          <w:sz w:val="21"/>
          <w:szCs w:val="21"/>
        </w:rPr>
        <w:t>ófa</w:t>
      </w:r>
      <w:r w:rsidR="00391A89" w:rsidRPr="009143B4">
        <w:rPr>
          <w:sz w:val="21"/>
          <w:szCs w:val="21"/>
        </w:rPr>
        <w:t xml:space="preserve"> til öflunar almennra verðbréfar</w:t>
      </w:r>
      <w:r w:rsidR="0011755F" w:rsidRPr="009143B4">
        <w:rPr>
          <w:sz w:val="21"/>
          <w:szCs w:val="21"/>
        </w:rPr>
        <w:t>éttinda</w:t>
      </w:r>
      <w:r w:rsidR="00E060B4" w:rsidRPr="009143B4">
        <w:rPr>
          <w:sz w:val="21"/>
          <w:szCs w:val="21"/>
        </w:rPr>
        <w:t>.</w:t>
      </w:r>
    </w:p>
    <w:p w14:paraId="228C90E0" w14:textId="6A05AAE0" w:rsidR="0011755F" w:rsidRPr="009143B4" w:rsidRDefault="0011755F" w:rsidP="00103918">
      <w:pPr>
        <w:pStyle w:val="Mlsgreinlista"/>
        <w:numPr>
          <w:ilvl w:val="0"/>
          <w:numId w:val="26"/>
        </w:numPr>
        <w:jc w:val="both"/>
        <w:rPr>
          <w:sz w:val="21"/>
          <w:szCs w:val="21"/>
        </w:rPr>
      </w:pPr>
      <w:r w:rsidRPr="009143B4">
        <w:rPr>
          <w:sz w:val="21"/>
          <w:szCs w:val="21"/>
        </w:rPr>
        <w:t xml:space="preserve">Kveðið </w:t>
      </w:r>
      <w:r w:rsidR="00026B52" w:rsidRPr="009143B4">
        <w:rPr>
          <w:sz w:val="21"/>
          <w:szCs w:val="21"/>
        </w:rPr>
        <w:t xml:space="preserve">er </w:t>
      </w:r>
      <w:r w:rsidRPr="009143B4">
        <w:rPr>
          <w:sz w:val="21"/>
          <w:szCs w:val="21"/>
        </w:rPr>
        <w:t>á um efnistök prófa til öflunar fjárfestingarráðgjafaréttinda</w:t>
      </w:r>
      <w:r w:rsidR="00E060B4" w:rsidRPr="009143B4">
        <w:rPr>
          <w:sz w:val="21"/>
          <w:szCs w:val="21"/>
        </w:rPr>
        <w:t>.</w:t>
      </w:r>
    </w:p>
    <w:p w14:paraId="2F0D89E6" w14:textId="12D4092F" w:rsidR="0011755F" w:rsidRPr="009143B4" w:rsidRDefault="00E13D58" w:rsidP="00103918">
      <w:pPr>
        <w:pStyle w:val="Mlsgreinlista"/>
        <w:numPr>
          <w:ilvl w:val="0"/>
          <w:numId w:val="26"/>
        </w:numPr>
        <w:jc w:val="both"/>
        <w:rPr>
          <w:sz w:val="21"/>
          <w:szCs w:val="21"/>
        </w:rPr>
      </w:pPr>
      <w:bookmarkStart w:id="0" w:name="_GoBack"/>
      <w:r w:rsidRPr="009143B4">
        <w:rPr>
          <w:sz w:val="21"/>
          <w:szCs w:val="21"/>
        </w:rPr>
        <w:t xml:space="preserve">Tekið </w:t>
      </w:r>
      <w:r w:rsidR="00026B52" w:rsidRPr="009143B4">
        <w:rPr>
          <w:sz w:val="21"/>
          <w:szCs w:val="21"/>
        </w:rPr>
        <w:t xml:space="preserve">er </w:t>
      </w:r>
      <w:r w:rsidRPr="009143B4">
        <w:rPr>
          <w:sz w:val="21"/>
          <w:szCs w:val="21"/>
        </w:rPr>
        <w:t>fyrir undanþágur frá einstökum hlutum prófanna</w:t>
      </w:r>
      <w:r w:rsidR="00E060B4" w:rsidRPr="009143B4">
        <w:rPr>
          <w:sz w:val="21"/>
          <w:szCs w:val="21"/>
        </w:rPr>
        <w:t>.</w:t>
      </w:r>
      <w:r w:rsidRPr="009143B4">
        <w:rPr>
          <w:sz w:val="21"/>
          <w:szCs w:val="21"/>
        </w:rPr>
        <w:t xml:space="preserve"> </w:t>
      </w:r>
    </w:p>
    <w:p w14:paraId="2CE9E111" w14:textId="0029C388" w:rsidR="00E13D58" w:rsidRPr="009143B4" w:rsidRDefault="00C54CF7" w:rsidP="00103918">
      <w:pPr>
        <w:pStyle w:val="Mlsgreinlista"/>
        <w:numPr>
          <w:ilvl w:val="0"/>
          <w:numId w:val="26"/>
        </w:numPr>
        <w:jc w:val="both"/>
        <w:rPr>
          <w:sz w:val="21"/>
          <w:szCs w:val="21"/>
        </w:rPr>
      </w:pPr>
      <w:r w:rsidRPr="009143B4">
        <w:rPr>
          <w:sz w:val="21"/>
          <w:szCs w:val="21"/>
        </w:rPr>
        <w:t>Rétt</w:t>
      </w:r>
      <w:r w:rsidR="00026B52" w:rsidRPr="009143B4">
        <w:rPr>
          <w:sz w:val="21"/>
          <w:szCs w:val="21"/>
        </w:rPr>
        <w:t>ur</w:t>
      </w:r>
      <w:r w:rsidRPr="009143B4">
        <w:rPr>
          <w:sz w:val="21"/>
          <w:szCs w:val="21"/>
        </w:rPr>
        <w:t xml:space="preserve"> erlendra aðila innan EES að öðlast réttindi á Íslandi</w:t>
      </w:r>
      <w:r w:rsidR="00E060B4" w:rsidRPr="009143B4">
        <w:rPr>
          <w:sz w:val="21"/>
          <w:szCs w:val="21"/>
        </w:rPr>
        <w:t>.</w:t>
      </w:r>
    </w:p>
    <w:bookmarkEnd w:id="0"/>
    <w:p w14:paraId="16883BC6" w14:textId="446E51CF" w:rsidR="00C54CF7" w:rsidRPr="009143B4" w:rsidRDefault="0049452F" w:rsidP="00103918">
      <w:pPr>
        <w:pStyle w:val="Mlsgreinlista"/>
        <w:numPr>
          <w:ilvl w:val="0"/>
          <w:numId w:val="26"/>
        </w:numPr>
        <w:jc w:val="both"/>
        <w:rPr>
          <w:sz w:val="21"/>
          <w:szCs w:val="21"/>
        </w:rPr>
      </w:pPr>
      <w:r w:rsidRPr="009143B4">
        <w:rPr>
          <w:sz w:val="21"/>
          <w:szCs w:val="21"/>
        </w:rPr>
        <w:t>Kröfur um endurmenntun</w:t>
      </w:r>
      <w:r w:rsidR="00E060B4" w:rsidRPr="009143B4">
        <w:rPr>
          <w:sz w:val="21"/>
          <w:szCs w:val="21"/>
        </w:rPr>
        <w:t>.</w:t>
      </w:r>
    </w:p>
    <w:p w14:paraId="25147237" w14:textId="7E552B5A" w:rsidR="0049452F" w:rsidRPr="009143B4" w:rsidRDefault="0049452F" w:rsidP="0049452F">
      <w:pPr>
        <w:jc w:val="both"/>
        <w:rPr>
          <w:sz w:val="21"/>
          <w:szCs w:val="21"/>
        </w:rPr>
      </w:pPr>
    </w:p>
    <w:p w14:paraId="382B4F1D" w14:textId="7B539CF8" w:rsidR="00910156" w:rsidRPr="009143B4" w:rsidRDefault="0049452F" w:rsidP="0049452F">
      <w:pPr>
        <w:jc w:val="both"/>
        <w:rPr>
          <w:sz w:val="21"/>
          <w:szCs w:val="21"/>
        </w:rPr>
      </w:pPr>
      <w:r w:rsidRPr="009143B4">
        <w:rPr>
          <w:sz w:val="21"/>
          <w:szCs w:val="21"/>
        </w:rPr>
        <w:t>Í stað þess að fara yfir einstök ákvæði reglugerðadraganna er farin</w:t>
      </w:r>
      <w:r w:rsidR="00026B52" w:rsidRPr="009143B4">
        <w:rPr>
          <w:sz w:val="21"/>
          <w:szCs w:val="21"/>
        </w:rPr>
        <w:t xml:space="preserve"> sú leið</w:t>
      </w:r>
      <w:r w:rsidRPr="009143B4">
        <w:rPr>
          <w:sz w:val="21"/>
          <w:szCs w:val="21"/>
        </w:rPr>
        <w:t xml:space="preserve"> að útskýra aðeins þau nýmæli og breytingar sem felast í drögunum.</w:t>
      </w:r>
    </w:p>
    <w:p w14:paraId="51F89CFE" w14:textId="5C6F842F" w:rsidR="004D490C" w:rsidRDefault="004D490C" w:rsidP="0049452F">
      <w:pPr>
        <w:jc w:val="both"/>
      </w:pPr>
    </w:p>
    <w:p w14:paraId="45C7ED1F" w14:textId="100C9894" w:rsidR="001F0171" w:rsidRPr="009143B4" w:rsidRDefault="007C3995" w:rsidP="001F0171">
      <w:pPr>
        <w:pStyle w:val="Fyrirsgn1"/>
        <w:rPr>
          <w:sz w:val="21"/>
          <w:szCs w:val="21"/>
        </w:rPr>
      </w:pPr>
      <w:r w:rsidRPr="009143B4">
        <w:rPr>
          <w:sz w:val="21"/>
          <w:szCs w:val="21"/>
        </w:rPr>
        <w:t>Minnka u</w:t>
      </w:r>
      <w:r w:rsidR="001F0171" w:rsidRPr="009143B4">
        <w:rPr>
          <w:sz w:val="21"/>
          <w:szCs w:val="21"/>
        </w:rPr>
        <w:t xml:space="preserve">mfang og efnistök prófa til öflunar almennra verðbréfaréttinda </w:t>
      </w:r>
      <w:r w:rsidR="00422AC7" w:rsidRPr="009143B4">
        <w:rPr>
          <w:sz w:val="21"/>
          <w:szCs w:val="21"/>
        </w:rPr>
        <w:t xml:space="preserve">– 4. gr. </w:t>
      </w:r>
    </w:p>
    <w:p w14:paraId="49545F6A" w14:textId="1F068415" w:rsidR="004679F8" w:rsidRPr="009143B4" w:rsidRDefault="004679F8" w:rsidP="004679F8">
      <w:pPr>
        <w:jc w:val="both"/>
        <w:rPr>
          <w:sz w:val="21"/>
          <w:szCs w:val="21"/>
        </w:rPr>
      </w:pPr>
      <w:r w:rsidRPr="009143B4">
        <w:rPr>
          <w:sz w:val="21"/>
          <w:szCs w:val="21"/>
        </w:rPr>
        <w:t>Gerð er sú tillaga að minnka</w:t>
      </w:r>
      <w:r w:rsidR="00DF0A78" w:rsidRPr="009143B4">
        <w:rPr>
          <w:sz w:val="21"/>
          <w:szCs w:val="21"/>
        </w:rPr>
        <w:t xml:space="preserve"> töluvert umfangið og efnistök</w:t>
      </w:r>
      <w:r w:rsidRPr="009143B4">
        <w:rPr>
          <w:sz w:val="21"/>
          <w:szCs w:val="21"/>
        </w:rPr>
        <w:t xml:space="preserve"> </w:t>
      </w:r>
      <w:r w:rsidR="00DF0A78" w:rsidRPr="009143B4">
        <w:rPr>
          <w:sz w:val="21"/>
          <w:szCs w:val="21"/>
        </w:rPr>
        <w:t>prófa</w:t>
      </w:r>
      <w:r w:rsidR="0005175D" w:rsidRPr="009143B4">
        <w:rPr>
          <w:sz w:val="21"/>
          <w:szCs w:val="21"/>
        </w:rPr>
        <w:t xml:space="preserve"> til öflunar almennra verðbréfaréttinda (áður verðbréfaviðskiptapróf)</w:t>
      </w:r>
      <w:r w:rsidRPr="009143B4">
        <w:rPr>
          <w:sz w:val="21"/>
          <w:szCs w:val="21"/>
        </w:rPr>
        <w:t xml:space="preserve">. </w:t>
      </w:r>
      <w:r w:rsidR="0005175D" w:rsidRPr="009143B4">
        <w:rPr>
          <w:sz w:val="21"/>
          <w:szCs w:val="21"/>
        </w:rPr>
        <w:t xml:space="preserve">Fyrirkomulagið </w:t>
      </w:r>
      <w:r w:rsidRPr="009143B4">
        <w:rPr>
          <w:sz w:val="21"/>
          <w:szCs w:val="21"/>
        </w:rPr>
        <w:t>samkvæmt núgildandi reglugerð nr. 633/2003 er með þeim hætti að prófið skiptist í þrjá hluta: 1) Almenna lögfræði, 2) almenna viðskip</w:t>
      </w:r>
      <w:r w:rsidR="005505E6" w:rsidRPr="009143B4">
        <w:rPr>
          <w:sz w:val="21"/>
          <w:szCs w:val="21"/>
        </w:rPr>
        <w:t>tafræði og 3) fjármálamarkaðinn</w:t>
      </w:r>
      <w:r w:rsidRPr="009143B4">
        <w:rPr>
          <w:sz w:val="21"/>
          <w:szCs w:val="21"/>
        </w:rPr>
        <w:t xml:space="preserve">. Nýjasta prófefnalýsing er samtals 73 blaðsíður. Prófefnalýsingin tilgreinir með tiltölulega ítarlegum hætti allt það lesefni sem tilheyrir hverjum hluta og hvaða atriði geti verið prófað úr – eins konar beinagrind. Samanlagt er um að ræða </w:t>
      </w:r>
      <w:r w:rsidR="00E060B4" w:rsidRPr="009143B4">
        <w:rPr>
          <w:sz w:val="21"/>
          <w:szCs w:val="21"/>
        </w:rPr>
        <w:t>tíu</w:t>
      </w:r>
      <w:r w:rsidRPr="009143B4">
        <w:rPr>
          <w:sz w:val="21"/>
          <w:szCs w:val="21"/>
        </w:rPr>
        <w:t xml:space="preserve"> próf úr öllum þremur hlutunum og próftími í hverju prófi er síðan fjórar klukkustundir. Þar af leiðandi er heildarpróftími vegna allra þriggja hluta 40 klukkustundir.</w:t>
      </w:r>
    </w:p>
    <w:p w14:paraId="7F310D95" w14:textId="77777777" w:rsidR="009143B4" w:rsidRDefault="004D490C" w:rsidP="009143B4">
      <w:pPr>
        <w:jc w:val="both"/>
        <w:rPr>
          <w:sz w:val="21"/>
          <w:szCs w:val="21"/>
        </w:rPr>
      </w:pPr>
      <w:r w:rsidRPr="009143B4">
        <w:rPr>
          <w:noProof/>
          <w:sz w:val="21"/>
          <w:szCs w:val="21"/>
          <w:lang w:eastAsia="is-IS"/>
        </w:rPr>
        <w:drawing>
          <wp:anchor distT="0" distB="0" distL="114300" distR="114300" simplePos="0" relativeHeight="251658240" behindDoc="0" locked="0" layoutInCell="1" allowOverlap="1" wp14:anchorId="01983ADC" wp14:editId="73A7CE8D">
            <wp:simplePos x="0" y="0"/>
            <wp:positionH relativeFrom="margin">
              <wp:posOffset>1662430</wp:posOffset>
            </wp:positionH>
            <wp:positionV relativeFrom="paragraph">
              <wp:posOffset>784225</wp:posOffset>
            </wp:positionV>
            <wp:extent cx="2544445" cy="2052955"/>
            <wp:effectExtent l="0" t="0" r="8255" b="4445"/>
            <wp:wrapTopAndBottom/>
            <wp:docPr id="3" name="Picture 3" descr="C:\Users\andrib\Downloads\Verdbrefavidskiptaprof_efn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ib\Downloads\Verdbrefavidskiptaprof_efni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4445" cy="205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88A4D" w14:textId="27DDB337" w:rsidR="00910156" w:rsidRPr="009143B4" w:rsidRDefault="004679F8" w:rsidP="009143B4">
      <w:pPr>
        <w:jc w:val="both"/>
        <w:rPr>
          <w:sz w:val="21"/>
          <w:szCs w:val="21"/>
        </w:rPr>
      </w:pPr>
      <w:r w:rsidRPr="009143B4">
        <w:rPr>
          <w:sz w:val="21"/>
          <w:szCs w:val="21"/>
        </w:rPr>
        <w:t>Í einföldu máli er lagt til a</w:t>
      </w:r>
      <w:r w:rsidR="0005175D" w:rsidRPr="009143B4">
        <w:rPr>
          <w:sz w:val="21"/>
          <w:szCs w:val="21"/>
        </w:rPr>
        <w:t xml:space="preserve">ð </w:t>
      </w:r>
      <w:r w:rsidR="00A95F8F" w:rsidRPr="009143B4">
        <w:rPr>
          <w:sz w:val="21"/>
          <w:szCs w:val="21"/>
        </w:rPr>
        <w:t xml:space="preserve">fyrstu tveir hlutarnir, sem fjalla um almenna lögfræði og viðskiptafræði, falli að mestu leyti niður: </w:t>
      </w:r>
    </w:p>
    <w:p w14:paraId="0CCE7BC0" w14:textId="77777777" w:rsidR="00A95F8F" w:rsidRPr="00A95F8F" w:rsidRDefault="00A95F8F" w:rsidP="00A95F8F">
      <w:pPr>
        <w:ind w:firstLine="357"/>
        <w:jc w:val="both"/>
      </w:pPr>
    </w:p>
    <w:p w14:paraId="7ED1A907" w14:textId="7B8527DB" w:rsidR="00910156" w:rsidRPr="009143B4" w:rsidRDefault="00910156" w:rsidP="00910156">
      <w:pPr>
        <w:tabs>
          <w:tab w:val="left" w:pos="3919"/>
        </w:tabs>
        <w:jc w:val="center"/>
        <w:rPr>
          <w:sz w:val="20"/>
        </w:rPr>
      </w:pPr>
      <w:r w:rsidRPr="009143B4">
        <w:rPr>
          <w:sz w:val="18"/>
        </w:rPr>
        <w:t xml:space="preserve">Mynd 1: Tillaga um </w:t>
      </w:r>
      <w:r w:rsidR="00495FC4" w:rsidRPr="009143B4">
        <w:rPr>
          <w:sz w:val="18"/>
        </w:rPr>
        <w:t>fækkun efnisþátta sem á getur reynt í prófinu</w:t>
      </w:r>
      <w:r w:rsidR="009143B4">
        <w:rPr>
          <w:sz w:val="18"/>
        </w:rPr>
        <w:t>.</w:t>
      </w:r>
    </w:p>
    <w:p w14:paraId="514642CB" w14:textId="180BA62E" w:rsidR="00EC7333" w:rsidRPr="009143B4" w:rsidRDefault="009E20B3" w:rsidP="009143B4">
      <w:pPr>
        <w:jc w:val="both"/>
        <w:rPr>
          <w:sz w:val="21"/>
          <w:szCs w:val="21"/>
        </w:rPr>
      </w:pPr>
      <w:r w:rsidRPr="009143B4">
        <w:rPr>
          <w:noProof/>
          <w:sz w:val="21"/>
          <w:szCs w:val="21"/>
          <w:lang w:eastAsia="is-IS"/>
        </w:rPr>
        <w:lastRenderedPageBreak/>
        <w:drawing>
          <wp:anchor distT="0" distB="0" distL="114300" distR="114300" simplePos="0" relativeHeight="251659264" behindDoc="0" locked="0" layoutInCell="1" allowOverlap="1" wp14:anchorId="79D4F863" wp14:editId="78867E13">
            <wp:simplePos x="0" y="0"/>
            <wp:positionH relativeFrom="margin">
              <wp:align>center</wp:align>
            </wp:positionH>
            <wp:positionV relativeFrom="paragraph">
              <wp:posOffset>792624</wp:posOffset>
            </wp:positionV>
            <wp:extent cx="3620135" cy="2425065"/>
            <wp:effectExtent l="0" t="0" r="0" b="0"/>
            <wp:wrapTopAndBottom/>
            <wp:docPr id="6" name="Picture 6" descr="C:\Users\andrib\Downloads\III. hluti vvpró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drib\Downloads\III. hluti vvpróf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0135" cy="242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436" w:rsidRPr="009143B4">
        <w:rPr>
          <w:sz w:val="21"/>
          <w:szCs w:val="21"/>
        </w:rPr>
        <w:t>Tillagan snýr ekki einungis að því að fella niður fyrstu tvo hlutana</w:t>
      </w:r>
      <w:r w:rsidR="00B65BF4" w:rsidRPr="009143B4">
        <w:rPr>
          <w:sz w:val="21"/>
          <w:szCs w:val="21"/>
        </w:rPr>
        <w:t xml:space="preserve"> heldur einnig að endurskoða það efni sem fellur undir III. hluta og fjallar um fjármálamarkaðinn. </w:t>
      </w:r>
      <w:r w:rsidR="00EC7333" w:rsidRPr="009143B4">
        <w:rPr>
          <w:sz w:val="21"/>
          <w:szCs w:val="21"/>
        </w:rPr>
        <w:t>Í prófefnalýsingunni eru efnistök III. hluta með eftirfarandi hætti:</w:t>
      </w:r>
    </w:p>
    <w:p w14:paraId="40993D7D" w14:textId="67A7A807" w:rsidR="00112A1E" w:rsidRPr="009143B4" w:rsidRDefault="00112A1E" w:rsidP="00112A1E">
      <w:pPr>
        <w:tabs>
          <w:tab w:val="left" w:pos="3919"/>
        </w:tabs>
        <w:jc w:val="center"/>
        <w:rPr>
          <w:sz w:val="20"/>
        </w:rPr>
      </w:pPr>
      <w:r w:rsidRPr="009143B4">
        <w:rPr>
          <w:sz w:val="18"/>
        </w:rPr>
        <w:t>Mynd 2: Efnistök III. hluta verðbréfaviðskiptaprófsins samkvæmt prófefnalýsingu</w:t>
      </w:r>
      <w:r w:rsidR="009143B4">
        <w:rPr>
          <w:sz w:val="18"/>
        </w:rPr>
        <w:t>.</w:t>
      </w:r>
    </w:p>
    <w:p w14:paraId="209D7917" w14:textId="77777777" w:rsidR="009143B4" w:rsidRDefault="009143B4" w:rsidP="00AD2816">
      <w:pPr>
        <w:ind w:firstLine="357"/>
        <w:jc w:val="both"/>
      </w:pPr>
    </w:p>
    <w:p w14:paraId="6AD23C27" w14:textId="111174A5" w:rsidR="00C92436" w:rsidRPr="009143B4" w:rsidRDefault="00B3379C" w:rsidP="009143B4">
      <w:pPr>
        <w:jc w:val="both"/>
        <w:rPr>
          <w:sz w:val="21"/>
          <w:szCs w:val="21"/>
        </w:rPr>
      </w:pPr>
      <w:r w:rsidRPr="009143B4">
        <w:rPr>
          <w:noProof/>
          <w:sz w:val="21"/>
          <w:szCs w:val="21"/>
          <w:lang w:eastAsia="is-IS"/>
        </w:rPr>
        <w:drawing>
          <wp:anchor distT="0" distB="0" distL="114300" distR="114300" simplePos="0" relativeHeight="251660288" behindDoc="0" locked="0" layoutInCell="1" allowOverlap="1" wp14:anchorId="4BC7E6CD" wp14:editId="7F3AEFFE">
            <wp:simplePos x="0" y="0"/>
            <wp:positionH relativeFrom="margin">
              <wp:posOffset>977265</wp:posOffset>
            </wp:positionH>
            <wp:positionV relativeFrom="paragraph">
              <wp:posOffset>1759401</wp:posOffset>
            </wp:positionV>
            <wp:extent cx="3957320" cy="3122295"/>
            <wp:effectExtent l="0" t="0" r="5080" b="1905"/>
            <wp:wrapTopAndBottom/>
            <wp:docPr id="7" name="Picture 7" descr="C:\Users\andrib\Downloads\Efinstök sænska sérfræðingaprófs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drib\Downloads\Efinstök sænska sérfræðingaprófsi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7320" cy="312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816" w:rsidRPr="009143B4">
        <w:rPr>
          <w:sz w:val="21"/>
          <w:szCs w:val="21"/>
        </w:rPr>
        <w:t xml:space="preserve">Við endurskoðun á efnistökum III. hluta prófsins var haft til hliðsjónar sænska sérfræðingaprófið, </w:t>
      </w:r>
      <w:r w:rsidR="00F21818" w:rsidRPr="009143B4">
        <w:rPr>
          <w:sz w:val="21"/>
          <w:szCs w:val="21"/>
        </w:rPr>
        <w:t>sem er ætlað þeim aðilum sem sinna sérhæfðum störfum á verðbréfamarkaði, t.d. sjóðsstjórar, fjármálagreinendur og verðbréfamiðlarar.</w:t>
      </w:r>
      <w:r w:rsidR="00AD2816" w:rsidRPr="009143B4">
        <w:rPr>
          <w:sz w:val="21"/>
          <w:szCs w:val="21"/>
        </w:rPr>
        <w:t xml:space="preserve"> </w:t>
      </w:r>
      <w:r w:rsidR="00C92436" w:rsidRPr="009143B4">
        <w:rPr>
          <w:sz w:val="21"/>
          <w:szCs w:val="21"/>
        </w:rPr>
        <w:t xml:space="preserve">Sænska sérfræðingaprófið skiptist í þrjá hluta – fyrstu tveir hlutarnir eru að mestu leyti viðskiptatengdir en sá þriðji fjallar um lögfræði. Fyrsti hluti prófsins snýr að fjármálagerningum, viðskiptavettvöngum og verðbréfaviðskiptum, annar hlutinn að efnahagslegum greiningum og sá þriðji að lögfræði og siðfræði. Í prófinu reynir að mestu leyti á atriði úr viðskiptafræði og lögfræði sem tengjast beint verðbréfamarkaðinum og sérhæfðum störfum á þessum markaði. </w:t>
      </w:r>
      <w:r w:rsidR="00A60FB9" w:rsidRPr="009143B4">
        <w:rPr>
          <w:sz w:val="21"/>
          <w:szCs w:val="21"/>
        </w:rPr>
        <w:t>Efnistök sérfræðingaprófsins eru</w:t>
      </w:r>
      <w:r w:rsidR="00DA02BD" w:rsidRPr="009143B4">
        <w:rPr>
          <w:sz w:val="21"/>
          <w:szCs w:val="21"/>
        </w:rPr>
        <w:t xml:space="preserve"> eftirfarandi:</w:t>
      </w:r>
    </w:p>
    <w:p w14:paraId="3E5ACD64" w14:textId="68D01062" w:rsidR="009143B4" w:rsidRPr="009143B4" w:rsidRDefault="00D6778A" w:rsidP="00D6778A">
      <w:pPr>
        <w:tabs>
          <w:tab w:val="left" w:pos="3919"/>
        </w:tabs>
        <w:jc w:val="center"/>
        <w:rPr>
          <w:sz w:val="18"/>
        </w:rPr>
      </w:pPr>
      <w:r w:rsidRPr="009143B4">
        <w:rPr>
          <w:sz w:val="18"/>
        </w:rPr>
        <w:t>Mynd 3: Efnistök sænska sérfræðingaprófsins</w:t>
      </w:r>
      <w:r w:rsidR="009143B4" w:rsidRPr="009143B4">
        <w:rPr>
          <w:sz w:val="18"/>
        </w:rPr>
        <w:t>.</w:t>
      </w:r>
    </w:p>
    <w:p w14:paraId="04A9073D" w14:textId="065128E9" w:rsidR="002C6C67" w:rsidRPr="009143B4" w:rsidRDefault="007D1158" w:rsidP="009143B4">
      <w:pPr>
        <w:jc w:val="both"/>
        <w:rPr>
          <w:sz w:val="21"/>
          <w:szCs w:val="21"/>
        </w:rPr>
      </w:pPr>
      <w:r w:rsidRPr="009143B4">
        <w:rPr>
          <w:sz w:val="21"/>
          <w:szCs w:val="21"/>
        </w:rPr>
        <w:lastRenderedPageBreak/>
        <w:t xml:space="preserve">Tillaga að efnistökum </w:t>
      </w:r>
      <w:r w:rsidR="009E20B3" w:rsidRPr="009143B4">
        <w:rPr>
          <w:sz w:val="21"/>
          <w:szCs w:val="21"/>
        </w:rPr>
        <w:t>prófa</w:t>
      </w:r>
      <w:r w:rsidR="00FE15AC" w:rsidRPr="009143B4">
        <w:rPr>
          <w:sz w:val="21"/>
          <w:szCs w:val="21"/>
        </w:rPr>
        <w:t xml:space="preserve"> til öflunar almennra verðbréfaréttinda, sem er að finna í 3. og 4. </w:t>
      </w:r>
      <w:r w:rsidR="00D11CF8" w:rsidRPr="009143B4">
        <w:rPr>
          <w:sz w:val="21"/>
          <w:szCs w:val="21"/>
        </w:rPr>
        <w:t xml:space="preserve">mgr. 4. </w:t>
      </w:r>
      <w:r w:rsidR="00FE15AC" w:rsidRPr="009143B4">
        <w:rPr>
          <w:sz w:val="21"/>
          <w:szCs w:val="21"/>
        </w:rPr>
        <w:t>gr. r</w:t>
      </w:r>
      <w:r w:rsidR="00B26899" w:rsidRPr="009143B4">
        <w:rPr>
          <w:sz w:val="21"/>
          <w:szCs w:val="21"/>
        </w:rPr>
        <w:t xml:space="preserve">eglugerðardraganna, byggist </w:t>
      </w:r>
      <w:r w:rsidR="00FE15AC" w:rsidRPr="009143B4">
        <w:rPr>
          <w:sz w:val="21"/>
          <w:szCs w:val="21"/>
        </w:rPr>
        <w:t>á efnistökunum í III. hluta verðbréfaviðskiptaprófsins og sænska sérfræðingaprófinu</w:t>
      </w:r>
      <w:r w:rsidR="004F2643" w:rsidRPr="009143B4">
        <w:rPr>
          <w:sz w:val="21"/>
          <w:szCs w:val="21"/>
        </w:rPr>
        <w:t xml:space="preserve">. </w:t>
      </w:r>
      <w:r w:rsidR="00B3379C" w:rsidRPr="009143B4">
        <w:rPr>
          <w:sz w:val="21"/>
          <w:szCs w:val="21"/>
        </w:rPr>
        <w:t>Málsgreinar</w:t>
      </w:r>
      <w:r w:rsidR="00B3379C">
        <w:rPr>
          <w:sz w:val="21"/>
          <w:szCs w:val="21"/>
        </w:rPr>
        <w:t>n</w:t>
      </w:r>
      <w:r w:rsidR="00B3379C" w:rsidRPr="009143B4">
        <w:rPr>
          <w:sz w:val="21"/>
          <w:szCs w:val="21"/>
        </w:rPr>
        <w:t>ar</w:t>
      </w:r>
      <w:r w:rsidR="00D11CF8" w:rsidRPr="009143B4">
        <w:rPr>
          <w:sz w:val="21"/>
          <w:szCs w:val="21"/>
        </w:rPr>
        <w:t xml:space="preserve"> skipta ekki efnisþáttunum í hluta, líkt og er gert í núgil</w:t>
      </w:r>
      <w:r w:rsidR="00B26899" w:rsidRPr="009143B4">
        <w:rPr>
          <w:sz w:val="21"/>
          <w:szCs w:val="21"/>
        </w:rPr>
        <w:t>d</w:t>
      </w:r>
      <w:r w:rsidR="00D11CF8" w:rsidRPr="009143B4">
        <w:rPr>
          <w:sz w:val="21"/>
          <w:szCs w:val="21"/>
        </w:rPr>
        <w:t xml:space="preserve">andi reglugerð um verðbréfaviðskiptaprófið, heldur </w:t>
      </w:r>
      <w:r w:rsidR="00D842CC" w:rsidRPr="009143B4">
        <w:rPr>
          <w:sz w:val="21"/>
          <w:szCs w:val="21"/>
        </w:rPr>
        <w:t xml:space="preserve">eru efnisþættirnir taldir upp í </w:t>
      </w:r>
      <w:r w:rsidR="00A10F6B" w:rsidRPr="009143B4">
        <w:rPr>
          <w:sz w:val="21"/>
          <w:szCs w:val="21"/>
        </w:rPr>
        <w:t xml:space="preserve">tveimur málsgreinum. Sambærilega nálgun er að finna í reglugerð nr. 589/2009 um próf til löggildingar endurskoðunarstarfa. </w:t>
      </w:r>
    </w:p>
    <w:p w14:paraId="4FBEFA82" w14:textId="77777777" w:rsidR="009143B4" w:rsidRDefault="009143B4" w:rsidP="009143B4">
      <w:pPr>
        <w:jc w:val="both"/>
        <w:rPr>
          <w:sz w:val="21"/>
          <w:szCs w:val="21"/>
        </w:rPr>
      </w:pPr>
    </w:p>
    <w:p w14:paraId="27010998" w14:textId="3B6C95E3" w:rsidR="00E16A1D" w:rsidRPr="009143B4" w:rsidRDefault="00A10F6B" w:rsidP="009143B4">
      <w:pPr>
        <w:jc w:val="both"/>
        <w:rPr>
          <w:sz w:val="21"/>
          <w:szCs w:val="21"/>
        </w:rPr>
      </w:pPr>
      <w:r w:rsidRPr="009143B4">
        <w:rPr>
          <w:sz w:val="21"/>
          <w:szCs w:val="21"/>
        </w:rPr>
        <w:t xml:space="preserve">Í </w:t>
      </w:r>
      <w:r w:rsidR="00D05398" w:rsidRPr="009143B4">
        <w:rPr>
          <w:sz w:val="21"/>
          <w:szCs w:val="21"/>
        </w:rPr>
        <w:t xml:space="preserve">3. mgr. eru taldir þeir efnisþættir </w:t>
      </w:r>
      <w:r w:rsidR="00432DDB" w:rsidRPr="009143B4">
        <w:rPr>
          <w:sz w:val="21"/>
          <w:szCs w:val="21"/>
        </w:rPr>
        <w:t>sem varða umsjón með daglegri starfsemi í tengslum við viðskipti og þjónustu með fjármálagerninga</w:t>
      </w:r>
      <w:r w:rsidR="00D05398" w:rsidRPr="009143B4">
        <w:rPr>
          <w:sz w:val="21"/>
          <w:szCs w:val="21"/>
        </w:rPr>
        <w:t xml:space="preserve"> </w:t>
      </w:r>
      <w:r w:rsidR="00432DDB" w:rsidRPr="009143B4">
        <w:rPr>
          <w:sz w:val="21"/>
          <w:szCs w:val="21"/>
        </w:rPr>
        <w:t xml:space="preserve">og reynt getur á í prófinu. Segja má að allir </w:t>
      </w:r>
      <w:r w:rsidR="000A6FE6" w:rsidRPr="009143B4">
        <w:rPr>
          <w:sz w:val="21"/>
          <w:szCs w:val="21"/>
        </w:rPr>
        <w:t xml:space="preserve">efnisþættir í III. verðbréfaviðskiptaprófsins falla þarna undir, eins og þeir eru skilgreindir í nýjustu prófefnalýsingunni. Auk þess </w:t>
      </w:r>
      <w:r w:rsidR="00BC12B9" w:rsidRPr="009143B4">
        <w:rPr>
          <w:sz w:val="21"/>
          <w:szCs w:val="21"/>
        </w:rPr>
        <w:t xml:space="preserve">hafa bæst við „mat á fjárfestingum“, sem er að finna í </w:t>
      </w:r>
      <w:r w:rsidR="0025756F" w:rsidRPr="009143B4">
        <w:rPr>
          <w:sz w:val="21"/>
          <w:szCs w:val="21"/>
        </w:rPr>
        <w:t xml:space="preserve">II. hluta prófefnalýsingarinnar og </w:t>
      </w:r>
      <w:r w:rsidR="00A45088" w:rsidRPr="009143B4">
        <w:rPr>
          <w:sz w:val="21"/>
          <w:szCs w:val="21"/>
        </w:rPr>
        <w:t>„</w:t>
      </w:r>
      <w:r w:rsidR="0025756F" w:rsidRPr="009143B4">
        <w:rPr>
          <w:sz w:val="21"/>
          <w:szCs w:val="21"/>
        </w:rPr>
        <w:t>siðfræði á fjármálamarkaði</w:t>
      </w:r>
      <w:r w:rsidR="00A45088" w:rsidRPr="009143B4">
        <w:rPr>
          <w:sz w:val="21"/>
          <w:szCs w:val="21"/>
        </w:rPr>
        <w:t xml:space="preserve">“ til samræmis við efnistökin í sænska sérfræðingaprófinu. Siðfræði á fjármálamarkaði fjallar t.d. um </w:t>
      </w:r>
      <w:r w:rsidR="002C6C67" w:rsidRPr="009143B4">
        <w:rPr>
          <w:sz w:val="21"/>
          <w:szCs w:val="21"/>
        </w:rPr>
        <w:t xml:space="preserve">almenn siðferðisleg gildi og tilkynningar um brot á fjármálamarkaði, eftirlit og uppljóstrun. </w:t>
      </w:r>
      <w:r w:rsidR="0025756F" w:rsidRPr="009143B4">
        <w:rPr>
          <w:sz w:val="21"/>
          <w:szCs w:val="21"/>
        </w:rPr>
        <w:t xml:space="preserve"> </w:t>
      </w:r>
      <w:r w:rsidR="002C6C67" w:rsidRPr="009143B4">
        <w:rPr>
          <w:sz w:val="21"/>
          <w:szCs w:val="21"/>
        </w:rPr>
        <w:t xml:space="preserve">Í 4. mgr. eru taldir upp þeir efnisþættir sem á getur reynt í prófinu en þá aðeins </w:t>
      </w:r>
      <w:r w:rsidR="00E16A1D" w:rsidRPr="009143B4">
        <w:rPr>
          <w:sz w:val="21"/>
          <w:szCs w:val="21"/>
        </w:rPr>
        <w:t xml:space="preserve">sem skipta máli við umsjón með daglegri starfsemi í tengslum við viðskipti og þjónustu með fjármálagerninga. Það getur því ekki reynt á allt tengt </w:t>
      </w:r>
      <w:r w:rsidR="00B26899" w:rsidRPr="009143B4">
        <w:rPr>
          <w:sz w:val="21"/>
          <w:szCs w:val="21"/>
        </w:rPr>
        <w:t xml:space="preserve">t.d. </w:t>
      </w:r>
      <w:r w:rsidR="009D01EF" w:rsidRPr="009143B4">
        <w:rPr>
          <w:sz w:val="21"/>
          <w:szCs w:val="21"/>
        </w:rPr>
        <w:t>skattarétti heldur aðeins sem varða skattlagningu í tengslum við viðskipti með fjármálagerninga.</w:t>
      </w:r>
      <w:r w:rsidR="00E16A1D" w:rsidRPr="009143B4">
        <w:rPr>
          <w:sz w:val="21"/>
          <w:szCs w:val="21"/>
        </w:rPr>
        <w:t xml:space="preserve"> </w:t>
      </w:r>
    </w:p>
    <w:p w14:paraId="1390BE8C" w14:textId="77777777" w:rsidR="009143B4" w:rsidRDefault="009143B4" w:rsidP="009143B4">
      <w:pPr>
        <w:jc w:val="both"/>
        <w:rPr>
          <w:sz w:val="21"/>
          <w:szCs w:val="21"/>
        </w:rPr>
      </w:pPr>
    </w:p>
    <w:p w14:paraId="262A4FA3" w14:textId="4BE46202" w:rsidR="00364617" w:rsidRPr="009143B4" w:rsidRDefault="00364617" w:rsidP="009143B4">
      <w:pPr>
        <w:jc w:val="both"/>
        <w:rPr>
          <w:sz w:val="21"/>
          <w:szCs w:val="21"/>
        </w:rPr>
      </w:pPr>
      <w:r w:rsidRPr="009143B4">
        <w:rPr>
          <w:sz w:val="21"/>
          <w:szCs w:val="21"/>
        </w:rPr>
        <w:t xml:space="preserve">Ekki er tekin afstaða til þess hvort að um sé að ræða eitt eða fleiri próf sem þarf að standast til að öðlast almenn verðbréfaréttindi. Gert er ráð fyrir að það </w:t>
      </w:r>
      <w:r w:rsidR="0084268C" w:rsidRPr="009143B4">
        <w:rPr>
          <w:sz w:val="21"/>
          <w:szCs w:val="21"/>
        </w:rPr>
        <w:t>sé útfært í prófefnalýsingunni. Hugsanlega getur verið einfaldast að hafa tvö próf – eitt fyrir lögfræðihlutann og hinn fyrir viðskiptafræðihlutann</w:t>
      </w:r>
      <w:r w:rsidR="00A71CED" w:rsidRPr="009143B4">
        <w:rPr>
          <w:sz w:val="21"/>
          <w:szCs w:val="21"/>
        </w:rPr>
        <w:t>.</w:t>
      </w:r>
    </w:p>
    <w:p w14:paraId="13537580" w14:textId="186970CF" w:rsidR="00A10F6B" w:rsidRDefault="00A10F6B" w:rsidP="00BD7DF3">
      <w:pPr>
        <w:ind w:firstLine="357"/>
        <w:jc w:val="both"/>
      </w:pPr>
    </w:p>
    <w:p w14:paraId="20197EC8" w14:textId="23562363" w:rsidR="00A10F6B" w:rsidRPr="009143B4" w:rsidRDefault="00DB71BD" w:rsidP="00DB71BD">
      <w:pPr>
        <w:pStyle w:val="Fyrirsgn1"/>
        <w:rPr>
          <w:sz w:val="21"/>
          <w:szCs w:val="21"/>
        </w:rPr>
      </w:pPr>
      <w:r w:rsidRPr="009143B4">
        <w:rPr>
          <w:sz w:val="21"/>
          <w:szCs w:val="21"/>
        </w:rPr>
        <w:t>Efnistök prófa til öflunar fjárfestingarráðgjafaréttinda</w:t>
      </w:r>
      <w:r w:rsidR="00E060B4" w:rsidRPr="009143B4">
        <w:rPr>
          <w:sz w:val="21"/>
          <w:szCs w:val="21"/>
        </w:rPr>
        <w:t>.</w:t>
      </w:r>
    </w:p>
    <w:p w14:paraId="48348A0D" w14:textId="032378E3" w:rsidR="00FE15AC" w:rsidRPr="009143B4" w:rsidRDefault="00487A96" w:rsidP="00D87126">
      <w:pPr>
        <w:jc w:val="both"/>
        <w:rPr>
          <w:sz w:val="21"/>
          <w:szCs w:val="21"/>
        </w:rPr>
      </w:pPr>
      <w:r w:rsidRPr="009143B4">
        <w:rPr>
          <w:noProof/>
          <w:sz w:val="21"/>
          <w:szCs w:val="21"/>
          <w:lang w:eastAsia="is-IS"/>
        </w:rPr>
        <w:drawing>
          <wp:anchor distT="0" distB="0" distL="114300" distR="114300" simplePos="0" relativeHeight="251661312" behindDoc="0" locked="0" layoutInCell="1" allowOverlap="1" wp14:anchorId="4A8F01DE" wp14:editId="54BE226B">
            <wp:simplePos x="0" y="0"/>
            <wp:positionH relativeFrom="margin">
              <wp:align>center</wp:align>
            </wp:positionH>
            <wp:positionV relativeFrom="paragraph">
              <wp:posOffset>1485672</wp:posOffset>
            </wp:positionV>
            <wp:extent cx="3416935" cy="2207895"/>
            <wp:effectExtent l="0" t="0" r="0" b="1905"/>
            <wp:wrapTopAndBottom/>
            <wp:docPr id="9" name="Picture 9" descr="C:\Users\andrib\Downloads\sænska prófi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ib\Downloads\sænska prófi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935" cy="220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A95" w:rsidRPr="009143B4">
        <w:rPr>
          <w:sz w:val="21"/>
          <w:szCs w:val="21"/>
        </w:rPr>
        <w:t xml:space="preserve">Í 3. og 4. mgr. 5. gr. reglugerðardraganna er að finna tillögu að efnistökum prófa til öflunar fjárfestingarráðgjafaréttinda. Líkt og með almennu verðbréfaréttindin er horft til efnistakanna í sænska ráðgjafaprófinu. </w:t>
      </w:r>
      <w:r w:rsidR="00D87126" w:rsidRPr="009143B4">
        <w:rPr>
          <w:sz w:val="21"/>
          <w:szCs w:val="21"/>
        </w:rPr>
        <w:t>Ráðgjafaprófið skiptist í fjóra hluta. Fjórði og síðasti hlutinn snýr að lífeyrismálum og tryggingum  sem varðar einungis störf vátryggingamiðlari. Þar af leiðandi eru aðeins fyrstu þrír hlutarnir skoðaðir, en uppbygging þeirra er svipuð og í sérfræðingaprófinu – fyrstu tveir hlutarnir eru að mestu leyti viðskiptatengdir en sá þriðji fjallar um lögfræði.</w:t>
      </w:r>
      <w:r w:rsidR="00C675FC" w:rsidRPr="009143B4">
        <w:rPr>
          <w:sz w:val="21"/>
          <w:szCs w:val="21"/>
        </w:rPr>
        <w:t xml:space="preserve"> Efnistökin í ráðgjafaprófinu er varða fjárfestingarráðgjöf eru eftirfarandi:</w:t>
      </w:r>
    </w:p>
    <w:p w14:paraId="1AF58355" w14:textId="77777777" w:rsidR="009143B4" w:rsidRPr="009143B4" w:rsidRDefault="0077386A" w:rsidP="0077386A">
      <w:pPr>
        <w:tabs>
          <w:tab w:val="left" w:pos="3919"/>
        </w:tabs>
        <w:jc w:val="center"/>
        <w:rPr>
          <w:sz w:val="18"/>
        </w:rPr>
      </w:pPr>
      <w:r w:rsidRPr="009143B4">
        <w:rPr>
          <w:sz w:val="18"/>
        </w:rPr>
        <w:t>Mynd 4: Efnistök sænska ráðgjafaprófsins</w:t>
      </w:r>
      <w:r w:rsidR="009143B4" w:rsidRPr="009143B4">
        <w:rPr>
          <w:sz w:val="18"/>
        </w:rPr>
        <w:t>.</w:t>
      </w:r>
    </w:p>
    <w:p w14:paraId="221863C2" w14:textId="5D4DDC70" w:rsidR="00BA481B" w:rsidRPr="009143B4" w:rsidRDefault="0077386A" w:rsidP="009143B4">
      <w:pPr>
        <w:jc w:val="both"/>
        <w:rPr>
          <w:sz w:val="21"/>
          <w:szCs w:val="21"/>
        </w:rPr>
      </w:pPr>
      <w:r w:rsidRPr="009143B4">
        <w:rPr>
          <w:sz w:val="21"/>
          <w:szCs w:val="21"/>
        </w:rPr>
        <w:lastRenderedPageBreak/>
        <w:t xml:space="preserve">Á myndinni er þeir efnisþættir sem eru einnig að finna í sérfræðingaprófinu </w:t>
      </w:r>
      <w:r w:rsidR="00793D60" w:rsidRPr="009143B4">
        <w:rPr>
          <w:sz w:val="21"/>
          <w:szCs w:val="21"/>
        </w:rPr>
        <w:t xml:space="preserve">feitletraðir og undirstrikaðir. </w:t>
      </w:r>
      <w:r w:rsidR="00BA481B" w:rsidRPr="009143B4">
        <w:rPr>
          <w:sz w:val="21"/>
          <w:szCs w:val="21"/>
        </w:rPr>
        <w:t>Fyrsti hluti prófsins fjallar um afurðir og að sinna viðskiptum fyrir hönd viðskiptavina.</w:t>
      </w:r>
      <w:r w:rsidR="00BA481B" w:rsidRPr="009143B4">
        <w:rPr>
          <w:rStyle w:val="Tilvsunneanmlsgrein"/>
          <w:sz w:val="21"/>
          <w:szCs w:val="21"/>
        </w:rPr>
        <w:footnoteReference w:id="2"/>
      </w:r>
      <w:r w:rsidR="00BA481B" w:rsidRPr="009143B4">
        <w:rPr>
          <w:sz w:val="21"/>
          <w:szCs w:val="21"/>
        </w:rPr>
        <w:t xml:space="preserve"> Í þessum hluta er ætlast til þess að próftaki hafi haldgóða þekkingu á flestum tegundum fjármálagerninga. Ætlast er einnig til þess að próftaki hafi þekkingu á viðskiptum með fjármálagerninga fyrir hönd viðskiptavina og allri umsýslu fjármálagerninga fyrir viðskiptavini.</w:t>
      </w:r>
      <w:r w:rsidR="00BA481B" w:rsidRPr="009143B4">
        <w:rPr>
          <w:rStyle w:val="Tilvsunneanmlsgrein"/>
          <w:sz w:val="21"/>
          <w:szCs w:val="21"/>
        </w:rPr>
        <w:footnoteReference w:id="3"/>
      </w:r>
    </w:p>
    <w:p w14:paraId="3F0EEEB7" w14:textId="77777777" w:rsidR="009143B4" w:rsidRDefault="009143B4" w:rsidP="009143B4">
      <w:pPr>
        <w:jc w:val="both"/>
        <w:rPr>
          <w:sz w:val="21"/>
          <w:szCs w:val="21"/>
        </w:rPr>
      </w:pPr>
    </w:p>
    <w:p w14:paraId="4F1CE29C" w14:textId="2E243B97" w:rsidR="00BA481B" w:rsidRPr="009143B4" w:rsidRDefault="00BA481B" w:rsidP="009143B4">
      <w:pPr>
        <w:jc w:val="both"/>
        <w:rPr>
          <w:sz w:val="21"/>
          <w:szCs w:val="21"/>
        </w:rPr>
      </w:pPr>
      <w:r w:rsidRPr="009143B4">
        <w:rPr>
          <w:sz w:val="21"/>
          <w:szCs w:val="21"/>
        </w:rPr>
        <w:t>Annar hluti prófsins snýr að hagfræði og fjármálum.</w:t>
      </w:r>
      <w:r w:rsidRPr="009143B4">
        <w:rPr>
          <w:rStyle w:val="Tilvsunneanmlsgrein"/>
          <w:sz w:val="21"/>
          <w:szCs w:val="21"/>
        </w:rPr>
        <w:footnoteReference w:id="4"/>
      </w:r>
      <w:r w:rsidRPr="009143B4">
        <w:rPr>
          <w:sz w:val="21"/>
          <w:szCs w:val="21"/>
        </w:rPr>
        <w:t xml:space="preserve"> Í þessum hluta er lögð áhersla á hvernig sé best að velja verðbréfasafn sem er sniðið að aðstæðum og þörfum hvers viðskiptavinar. Það felur í sér að próftaki þurfi að hafa haldgóða þekkingu á hugtökum eins og væntanlegri ávöxtun, áhættu og áhættuvilja</w:t>
      </w:r>
      <w:r w:rsidRPr="009143B4">
        <w:rPr>
          <w:rStyle w:val="Tilvsunneanmlsgrein"/>
          <w:sz w:val="21"/>
          <w:szCs w:val="21"/>
        </w:rPr>
        <w:footnoteReference w:id="5"/>
      </w:r>
      <w:r w:rsidRPr="009143B4">
        <w:rPr>
          <w:sz w:val="21"/>
          <w:szCs w:val="21"/>
        </w:rPr>
        <w:t xml:space="preserve"> og skilja áhættueinkenni</w:t>
      </w:r>
      <w:r w:rsidRPr="009143B4">
        <w:rPr>
          <w:rStyle w:val="Tilvsunneanmlsgrein"/>
          <w:sz w:val="21"/>
          <w:szCs w:val="21"/>
        </w:rPr>
        <w:footnoteReference w:id="6"/>
      </w:r>
      <w:r w:rsidRPr="009143B4">
        <w:rPr>
          <w:sz w:val="21"/>
          <w:szCs w:val="21"/>
        </w:rPr>
        <w:t xml:space="preserve"> verðbréfasafna og annarra eignasafna. Próftaki þarf einnig að hafa haldgóða þekkingu á hvernig eigi að verðmeta fjármálagerninga, skilja tækifærin og takmarkanir við áhættudreifingu og geta greint fjárhagsstöðu viðkomandi viðskiptavinar og áhættuvilja hans. Að lokum er nauðsynlegt að próftaki búi yfir ákveðinni þekkingu á þjóðhagslegri greiningu til að hafa dýpri skilning á ávöxtun og áhættu vegna mismunandi tegunda fjárfestinga.</w:t>
      </w:r>
      <w:r w:rsidRPr="009143B4">
        <w:rPr>
          <w:rStyle w:val="Tilvsunneanmlsgrein"/>
          <w:sz w:val="21"/>
          <w:szCs w:val="21"/>
        </w:rPr>
        <w:footnoteReference w:id="7"/>
      </w:r>
    </w:p>
    <w:p w14:paraId="79BD0FCC" w14:textId="77777777" w:rsidR="009143B4" w:rsidRDefault="009143B4" w:rsidP="009143B4">
      <w:pPr>
        <w:jc w:val="both"/>
        <w:rPr>
          <w:sz w:val="21"/>
          <w:szCs w:val="21"/>
        </w:rPr>
      </w:pPr>
    </w:p>
    <w:p w14:paraId="4075063E" w14:textId="0E2698B5" w:rsidR="00BA481B" w:rsidRPr="009143B4" w:rsidRDefault="00BA481B" w:rsidP="009143B4">
      <w:pPr>
        <w:jc w:val="both"/>
        <w:rPr>
          <w:sz w:val="21"/>
          <w:szCs w:val="21"/>
        </w:rPr>
      </w:pPr>
      <w:r w:rsidRPr="009143B4">
        <w:rPr>
          <w:sz w:val="21"/>
          <w:szCs w:val="21"/>
        </w:rPr>
        <w:t>Þriðji hluti prófsins fjallar um lögfræði og siðfræði. Í þessum hluta er ætlast til þess að próftaki hafi haldgóða og breiða þekkingu á viðfangsefninu þannig að hann geti nýtt þá þekkingu í vinnu sinni. Í framkvæmd felur sú krafa í sér m.a. að próftaki þekki hugtök og skilgreiningar og hafi skilning á grunnatriðum verðbréfamarkaðsréttar og einstökum þáttum á sviði einkaréttar sem snerta beint verðbréfamarkaðinn. Hver þáttur í þessum hluta er tiltölulega sjálfstæður en það má segja að meginþemað í þessum hluta er að stuðla að heilbrigðum verðbréfamarkaði og traust almennings á markaðinum.</w:t>
      </w:r>
      <w:r w:rsidRPr="009143B4">
        <w:rPr>
          <w:rStyle w:val="Tilvsunneanmlsgrein"/>
          <w:sz w:val="21"/>
          <w:szCs w:val="21"/>
        </w:rPr>
        <w:footnoteReference w:id="8"/>
      </w:r>
    </w:p>
    <w:p w14:paraId="56CA2488" w14:textId="77777777" w:rsidR="009143B4" w:rsidRDefault="009143B4" w:rsidP="009143B4">
      <w:pPr>
        <w:jc w:val="both"/>
        <w:rPr>
          <w:sz w:val="21"/>
          <w:szCs w:val="21"/>
        </w:rPr>
      </w:pPr>
    </w:p>
    <w:p w14:paraId="158CD2EE" w14:textId="0BC31A07" w:rsidR="009F5F19" w:rsidRPr="009143B4" w:rsidRDefault="00C81622" w:rsidP="009143B4">
      <w:pPr>
        <w:jc w:val="both"/>
        <w:rPr>
          <w:sz w:val="21"/>
          <w:szCs w:val="21"/>
        </w:rPr>
      </w:pPr>
      <w:r w:rsidRPr="009143B4">
        <w:rPr>
          <w:sz w:val="21"/>
          <w:szCs w:val="21"/>
        </w:rPr>
        <w:t xml:space="preserve">Auk sænska ráðgjafaprófsins var einnig horft til þeirra </w:t>
      </w:r>
      <w:r w:rsidR="00D42AA9" w:rsidRPr="009143B4">
        <w:rPr>
          <w:sz w:val="21"/>
          <w:szCs w:val="21"/>
        </w:rPr>
        <w:t>viðmiða</w:t>
      </w:r>
      <w:r w:rsidRPr="009143B4">
        <w:rPr>
          <w:sz w:val="21"/>
          <w:szCs w:val="21"/>
        </w:rPr>
        <w:t xml:space="preserve"> sem </w:t>
      </w:r>
      <w:r w:rsidR="009F5F19" w:rsidRPr="009143B4">
        <w:rPr>
          <w:sz w:val="21"/>
          <w:szCs w:val="21"/>
        </w:rPr>
        <w:t>Evrópska verðbréfamarkaðseftirlitsstofnunin (ESMA)</w:t>
      </w:r>
      <w:r w:rsidR="009F5F19" w:rsidRPr="009143B4">
        <w:rPr>
          <w:rStyle w:val="Tilvsunneanmlsgrein"/>
          <w:sz w:val="21"/>
          <w:szCs w:val="21"/>
        </w:rPr>
        <w:footnoteReference w:id="9"/>
      </w:r>
      <w:r w:rsidR="009F5F19" w:rsidRPr="009143B4">
        <w:rPr>
          <w:sz w:val="21"/>
          <w:szCs w:val="21"/>
        </w:rPr>
        <w:t xml:space="preserve"> hefur tiltekið í leiðbeinandi tilmælum sínum til að meta nauðsynlega þekkingu og hæfni þeirra aðila sem veita fjármálaráðgjöf og tengdar upplýsingar.</w:t>
      </w:r>
      <w:r w:rsidR="009F5F19" w:rsidRPr="009143B4">
        <w:rPr>
          <w:rStyle w:val="Tilvsunneanmlsgrein"/>
          <w:sz w:val="21"/>
          <w:szCs w:val="21"/>
        </w:rPr>
        <w:footnoteReference w:id="10"/>
      </w:r>
    </w:p>
    <w:p w14:paraId="65095AD2" w14:textId="77777777" w:rsidR="009143B4" w:rsidRDefault="009143B4" w:rsidP="009143B4">
      <w:pPr>
        <w:jc w:val="both"/>
        <w:rPr>
          <w:sz w:val="21"/>
          <w:szCs w:val="21"/>
        </w:rPr>
      </w:pPr>
    </w:p>
    <w:p w14:paraId="2875B591" w14:textId="4F03EF8A" w:rsidR="009F5F19" w:rsidRPr="009143B4" w:rsidRDefault="009F5F19" w:rsidP="009143B4">
      <w:pPr>
        <w:jc w:val="both"/>
        <w:rPr>
          <w:sz w:val="21"/>
          <w:szCs w:val="21"/>
        </w:rPr>
      </w:pPr>
      <w:r w:rsidRPr="009143B4">
        <w:rPr>
          <w:sz w:val="21"/>
          <w:szCs w:val="21"/>
        </w:rPr>
        <w:t>Samkvæmt leiðbeiningunum þurfa fjármálafyrirtæki að tryggja að þeir starfsmenn sem veita fjárfestingarráðgjöf hafi nauðsynlega þekkingu og hæfni til að:</w:t>
      </w:r>
    </w:p>
    <w:p w14:paraId="46C35298" w14:textId="77777777" w:rsidR="009F5F19" w:rsidRPr="009143B4" w:rsidRDefault="009F5F19" w:rsidP="009F5F19">
      <w:pPr>
        <w:rPr>
          <w:sz w:val="21"/>
          <w:szCs w:val="21"/>
        </w:rPr>
      </w:pPr>
    </w:p>
    <w:p w14:paraId="4E445FAB"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Skilja grundvallaratriði, áhættu og einkenni fjármálagerninga</w:t>
      </w:r>
      <w:r w:rsidRPr="009143B4">
        <w:rPr>
          <w:rStyle w:val="Tilvsunneanmlsgrein"/>
          <w:sz w:val="21"/>
          <w:szCs w:val="21"/>
        </w:rPr>
        <w:footnoteReference w:id="11"/>
      </w:r>
      <w:r w:rsidRPr="009143B4">
        <w:rPr>
          <w:sz w:val="21"/>
          <w:szCs w:val="21"/>
        </w:rPr>
        <w:t xml:space="preserve"> sem eru boðnir eða mælt er með (a-liður);</w:t>
      </w:r>
    </w:p>
    <w:p w14:paraId="301703C8"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lastRenderedPageBreak/>
        <w:t xml:space="preserve">Skilja hver sé heildarkostnaður og gjöld sem eru lögð á viðskiptavin í tengslum við tiltekinn fjárfestingarkost sem er boðinn til viðskiptavina eða mælt er með og kostnaðurinn við viðkomandi fjárfestingarráðgjöf (b-liður); </w:t>
      </w:r>
    </w:p>
    <w:p w14:paraId="7DF8CF44"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Uppfylla þau skilyrði sem fjármálafyrirtæki setur í tengslum við mat á hæfi (c-liður);</w:t>
      </w:r>
    </w:p>
    <w:p w14:paraId="4D346C12"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Skilja að sumar tegundir fjármálagerninga sem eru í boði hjá fjármálafyrirtæki hæfi ekki viðkomandi viðskiptavini (d-liður);</w:t>
      </w:r>
    </w:p>
    <w:p w14:paraId="6F22DEDB"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Skilja hvernig fjármálamarkaðir virka og hvernig þeir geta haft áhrif á virði og verðlagningu á fjármálagerningi sem er boðinn til viðskiptavina eða mælt er með (e-liður);</w:t>
      </w:r>
    </w:p>
    <w:p w14:paraId="27CC5C1D"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 xml:space="preserve">Skilja áhrif hagfræðilegra stærða og viðburða (alþjóðlegra eða innan viðkomandi ríkis) á markaði og virði fjármálagerninga sem er boðinn til viðskiptavina eða mælt er með (f-liður); </w:t>
      </w:r>
    </w:p>
    <w:p w14:paraId="65F69561"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 xml:space="preserve">Skilja muninn á afkomu í fortíðinni og afkomuhorfur í framtíðinni og takmörkin á slíkum afkomuspám (g-liður); </w:t>
      </w:r>
    </w:p>
    <w:p w14:paraId="3FCDAA11"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 xml:space="preserve">Skilja álitaefni tengd markaðssvikum, sem er samheiti yfir markaðsmisnotkun, innherjasvik og ólögmætri miðlun innherjaupplýsinga, og aðgerðum gegn peningaþvætti (h-liður); </w:t>
      </w:r>
    </w:p>
    <w:p w14:paraId="5002235E"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Meta upplýsingar og gögn tengd fjármálagerningi sem er boðinn viðskiptavinum eða mælt er með við viðskiptavini, t.d. lýsingar, fjárhagsuppgjör o.fl. (i-liður);</w:t>
      </w:r>
    </w:p>
    <w:p w14:paraId="7D13BB24"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 xml:space="preserve">Skilja samsetningu á mörkuðum fyrir tiltekna tegund fjármálagernings sem er boðinn viðskiptavinum eða mælt er með við viðskiptavini og þá viðskiptavettvanga (ef það á við) þar sem átt er viðskipti með viðkomandi fjármálagerning og hvort átt sé viðskipti með fjármálagerninginn á eftirmarkaði (j-liður); </w:t>
      </w:r>
    </w:p>
    <w:p w14:paraId="78FF46CA" w14:textId="77777777" w:rsidR="009F5F19" w:rsidRPr="009143B4" w:rsidRDefault="009F5F19" w:rsidP="009F5F19">
      <w:pPr>
        <w:pStyle w:val="Mlsgreinlista"/>
        <w:numPr>
          <w:ilvl w:val="0"/>
          <w:numId w:val="28"/>
        </w:numPr>
        <w:spacing w:after="120"/>
        <w:ind w:left="714" w:hanging="357"/>
        <w:contextualSpacing w:val="0"/>
        <w:jc w:val="both"/>
        <w:rPr>
          <w:sz w:val="21"/>
          <w:szCs w:val="21"/>
        </w:rPr>
      </w:pPr>
      <w:r w:rsidRPr="009143B4">
        <w:rPr>
          <w:sz w:val="21"/>
          <w:szCs w:val="21"/>
        </w:rPr>
        <w:t>Hafa grunnþekkingu á meginreglum við verðmat á þeim fjármálagerningum sem eru í boði eða mælt er með við viðskiptavini (k-liður);</w:t>
      </w:r>
    </w:p>
    <w:p w14:paraId="744BB72E" w14:textId="77777777" w:rsidR="009F5F19" w:rsidRPr="009143B4" w:rsidRDefault="009F5F19" w:rsidP="009F5F19">
      <w:pPr>
        <w:pStyle w:val="Mlsgreinlista"/>
        <w:numPr>
          <w:ilvl w:val="0"/>
          <w:numId w:val="28"/>
        </w:numPr>
        <w:ind w:left="714" w:hanging="357"/>
        <w:contextualSpacing w:val="0"/>
        <w:jc w:val="both"/>
        <w:rPr>
          <w:sz w:val="21"/>
          <w:szCs w:val="21"/>
        </w:rPr>
      </w:pPr>
      <w:r w:rsidRPr="009143B4">
        <w:rPr>
          <w:sz w:val="21"/>
          <w:szCs w:val="21"/>
        </w:rPr>
        <w:t>Skilja undirstöðuatriðin við að stýra eignasafni (l-liður).</w:t>
      </w:r>
    </w:p>
    <w:p w14:paraId="787C243B" w14:textId="77777777" w:rsidR="009143B4" w:rsidRDefault="009143B4" w:rsidP="009143B4">
      <w:pPr>
        <w:jc w:val="both"/>
        <w:rPr>
          <w:sz w:val="21"/>
          <w:szCs w:val="21"/>
        </w:rPr>
      </w:pPr>
    </w:p>
    <w:p w14:paraId="726945B1" w14:textId="547A7234" w:rsidR="00910156" w:rsidRPr="009143B4" w:rsidRDefault="00712A3E" w:rsidP="009143B4">
      <w:pPr>
        <w:jc w:val="both"/>
        <w:rPr>
          <w:sz w:val="21"/>
          <w:szCs w:val="21"/>
        </w:rPr>
      </w:pPr>
      <w:r w:rsidRPr="009143B4">
        <w:rPr>
          <w:sz w:val="21"/>
          <w:szCs w:val="21"/>
        </w:rPr>
        <w:t>U</w:t>
      </w:r>
      <w:r w:rsidR="00A00530" w:rsidRPr="009143B4">
        <w:rPr>
          <w:sz w:val="21"/>
          <w:szCs w:val="21"/>
        </w:rPr>
        <w:t xml:space="preserve">pptalningin á þeim efnisþáttum sem heyra undir próf til öflunar fjárfestingarréttinda í 3. og 4. mgr. 5. gr. reglugerðardraganna er byggð upp með sambærilegum hætti og vegna almennra verðbréfaréttinda. </w:t>
      </w:r>
      <w:r w:rsidR="000A0392" w:rsidRPr="009143B4">
        <w:rPr>
          <w:sz w:val="21"/>
          <w:szCs w:val="21"/>
        </w:rPr>
        <w:t xml:space="preserve">Leitast var við að hafa efnistökin til samræmis við sænska ráðgjafaprófið og </w:t>
      </w:r>
      <w:r w:rsidR="009441F8" w:rsidRPr="009143B4">
        <w:rPr>
          <w:sz w:val="21"/>
          <w:szCs w:val="21"/>
        </w:rPr>
        <w:t>þau atriði sem talin eru upp í leiðbeinandi tilmælum ESM</w:t>
      </w:r>
      <w:r w:rsidR="004164A6" w:rsidRPr="009143B4">
        <w:rPr>
          <w:sz w:val="21"/>
          <w:szCs w:val="21"/>
        </w:rPr>
        <w:t xml:space="preserve">A. Óhjákvæmilega eru </w:t>
      </w:r>
      <w:r w:rsidR="00A22F63" w:rsidRPr="009143B4">
        <w:rPr>
          <w:sz w:val="21"/>
          <w:szCs w:val="21"/>
        </w:rPr>
        <w:t xml:space="preserve">í sumum tilvikum sömu efnisþættir í prófum til öflunar almennra verðbréfaréttinda og fjárfestingarráðgjafarréttinda. Slíkt er í samræmi við nálgunina í Svíþjóð og hinum Norðurlöndunum. </w:t>
      </w:r>
    </w:p>
    <w:p w14:paraId="4BBF18D7" w14:textId="77777777" w:rsidR="009143B4" w:rsidRDefault="009143B4" w:rsidP="009143B4">
      <w:pPr>
        <w:jc w:val="both"/>
        <w:rPr>
          <w:sz w:val="21"/>
          <w:szCs w:val="21"/>
        </w:rPr>
      </w:pPr>
    </w:p>
    <w:p w14:paraId="417593E8" w14:textId="399CB456" w:rsidR="00596E2A" w:rsidRPr="009143B4" w:rsidRDefault="00596E2A" w:rsidP="009143B4">
      <w:pPr>
        <w:jc w:val="both"/>
        <w:rPr>
          <w:sz w:val="21"/>
          <w:szCs w:val="21"/>
        </w:rPr>
      </w:pPr>
      <w:r w:rsidRPr="009143B4">
        <w:rPr>
          <w:sz w:val="21"/>
          <w:szCs w:val="21"/>
        </w:rPr>
        <w:t>Ekki er tekin afstaða til þess hvort að um sé að ræða eitt eða fleiri próf sem þarf að standast til að öðlast fjárfestingarráðgjafaréttindi. Gert er ráð fyrir að það sé útfært í prófefnalýsingunni. Hugsanlega getur verið einfaldast að hafa tvö próf – eitt fyrir lögfræðihlutann og hinn fyrir viðskiptafræðihlutann, líkt og með almennu verðbréfaréttindin.</w:t>
      </w:r>
    </w:p>
    <w:p w14:paraId="4A29002C" w14:textId="0845AF76" w:rsidR="00910156" w:rsidRPr="009143B4" w:rsidRDefault="00910156" w:rsidP="00910156">
      <w:pPr>
        <w:rPr>
          <w:sz w:val="21"/>
          <w:szCs w:val="21"/>
        </w:rPr>
      </w:pPr>
    </w:p>
    <w:p w14:paraId="6A723D35" w14:textId="27C4549A" w:rsidR="0026561B" w:rsidRPr="009143B4" w:rsidRDefault="0026561B" w:rsidP="0026561B">
      <w:pPr>
        <w:pStyle w:val="Fyrirsgn1"/>
        <w:rPr>
          <w:sz w:val="21"/>
          <w:szCs w:val="21"/>
        </w:rPr>
      </w:pPr>
      <w:r w:rsidRPr="009143B4">
        <w:rPr>
          <w:sz w:val="21"/>
          <w:szCs w:val="21"/>
        </w:rPr>
        <w:t>Tekið fyrir undanþágur frá einstökum hlutum prófanna</w:t>
      </w:r>
      <w:r w:rsidR="00E060B4" w:rsidRPr="009143B4">
        <w:rPr>
          <w:sz w:val="21"/>
          <w:szCs w:val="21"/>
        </w:rPr>
        <w:t>.</w:t>
      </w:r>
      <w:r w:rsidRPr="009143B4">
        <w:rPr>
          <w:sz w:val="21"/>
          <w:szCs w:val="21"/>
        </w:rPr>
        <w:t xml:space="preserve"> </w:t>
      </w:r>
    </w:p>
    <w:p w14:paraId="7D40B1DD" w14:textId="7F1E1C87" w:rsidR="0026561B" w:rsidRPr="009143B4" w:rsidRDefault="00596E2A" w:rsidP="006D209A">
      <w:pPr>
        <w:jc w:val="both"/>
        <w:rPr>
          <w:sz w:val="21"/>
          <w:szCs w:val="21"/>
        </w:rPr>
      </w:pPr>
      <w:r w:rsidRPr="009143B4">
        <w:rPr>
          <w:sz w:val="21"/>
          <w:szCs w:val="21"/>
        </w:rPr>
        <w:t xml:space="preserve">Eitt af markmiðunum með endurskoðun á verðbréfaviðskiptaprófinu var að </w:t>
      </w:r>
      <w:r w:rsidR="00E060B4" w:rsidRPr="009143B4">
        <w:rPr>
          <w:sz w:val="21"/>
          <w:szCs w:val="21"/>
        </w:rPr>
        <w:t xml:space="preserve">gera prófið hnitmiðaðra og færa það nær því fyrirkomulagi sem þekkist á hinum Norðurlöndunum. </w:t>
      </w:r>
      <w:r w:rsidR="006D209A" w:rsidRPr="009143B4">
        <w:rPr>
          <w:sz w:val="21"/>
          <w:szCs w:val="21"/>
        </w:rPr>
        <w:t xml:space="preserve">Í ljósi þess að prófið hefur hingað til tekið </w:t>
      </w:r>
      <w:r w:rsidR="006D209A" w:rsidRPr="009143B4">
        <w:rPr>
          <w:sz w:val="21"/>
          <w:szCs w:val="21"/>
        </w:rPr>
        <w:lastRenderedPageBreak/>
        <w:t xml:space="preserve">til almennrar lögfræði og viðskiptafræði, sem er kennd í háskólum landsins, </w:t>
      </w:r>
      <w:r w:rsidR="00232630" w:rsidRPr="009143B4">
        <w:rPr>
          <w:sz w:val="21"/>
          <w:szCs w:val="21"/>
        </w:rPr>
        <w:t xml:space="preserve">hefur verið nauðsynlegt að veita lögfræðingum undanþágu frá I. hluta og viðskiptafræðingum (og þeim með sambærilega menntun) undanþágu frá II. hluta prófsins. </w:t>
      </w:r>
      <w:r w:rsidR="008616C6" w:rsidRPr="009143B4">
        <w:rPr>
          <w:sz w:val="21"/>
          <w:szCs w:val="21"/>
        </w:rPr>
        <w:t xml:space="preserve">Með því að taka í rauninni út þessa almennu hluta til samræmis við fyrirkomulagið á hinum Norðurlöndunum </w:t>
      </w:r>
      <w:r w:rsidR="00B15E3C" w:rsidRPr="009143B4">
        <w:rPr>
          <w:sz w:val="21"/>
          <w:szCs w:val="21"/>
        </w:rPr>
        <w:t xml:space="preserve">er verið að minnka þörfina á að veita aðilum undanþágur frá einstökum hlutum prófanna. </w:t>
      </w:r>
    </w:p>
    <w:p w14:paraId="53E7C295" w14:textId="77777777" w:rsidR="009143B4" w:rsidRDefault="009143B4" w:rsidP="009143B4">
      <w:pPr>
        <w:jc w:val="both"/>
        <w:rPr>
          <w:sz w:val="21"/>
          <w:szCs w:val="21"/>
        </w:rPr>
      </w:pPr>
    </w:p>
    <w:p w14:paraId="76EDC50F" w14:textId="35533367" w:rsidR="009441F8" w:rsidRPr="009143B4" w:rsidRDefault="001E0799" w:rsidP="009143B4">
      <w:pPr>
        <w:jc w:val="both"/>
        <w:rPr>
          <w:sz w:val="21"/>
          <w:szCs w:val="21"/>
        </w:rPr>
      </w:pPr>
      <w:r w:rsidRPr="009143B4">
        <w:rPr>
          <w:sz w:val="21"/>
          <w:szCs w:val="21"/>
        </w:rPr>
        <w:t xml:space="preserve">Þar af leiðandi er lagt til í reglugerðardrögunum að tekin sé út heimildin til að veita sambærilega undanþágu og er að finna í núgildandi reglugerð nr. </w:t>
      </w:r>
      <w:r w:rsidR="00E54311" w:rsidRPr="009143B4">
        <w:rPr>
          <w:sz w:val="21"/>
          <w:szCs w:val="21"/>
        </w:rPr>
        <w:t xml:space="preserve">633/2003, nánar tiltekið í 3. mgr. 4. gr. </w:t>
      </w:r>
      <w:r w:rsidR="00BD695E" w:rsidRPr="009143B4">
        <w:rPr>
          <w:sz w:val="21"/>
          <w:szCs w:val="21"/>
        </w:rPr>
        <w:t>Slíkt er í samræmi við fyrirkomulagið í Svíþjóð og Danmörku, þar sem engar undanþágur eru veittar.</w:t>
      </w:r>
      <w:r w:rsidR="00BD695E" w:rsidRPr="009143B4">
        <w:rPr>
          <w:rStyle w:val="Tilvsunneanmlsgrein"/>
          <w:sz w:val="21"/>
          <w:szCs w:val="21"/>
        </w:rPr>
        <w:footnoteReference w:id="12"/>
      </w:r>
      <w:r w:rsidR="00B91598" w:rsidRPr="009143B4">
        <w:rPr>
          <w:sz w:val="21"/>
          <w:szCs w:val="21"/>
        </w:rPr>
        <w:t xml:space="preserve"> Undanþáguheimildin í 6. gr. reglugerðardraganna varðar einungis þá aðila á Evrópska efnahagssvæðinu sem hafa lokið sambærilegum prófum og/eða öðlast sambærileg réttindi og óska eftir því að öðlast réttindin á Íslandi. Fjallað er um það í næsta kafla.</w:t>
      </w:r>
    </w:p>
    <w:p w14:paraId="0170261D" w14:textId="77777777" w:rsidR="009441F8" w:rsidRPr="009143B4" w:rsidRDefault="009441F8" w:rsidP="0026561B">
      <w:pPr>
        <w:rPr>
          <w:sz w:val="21"/>
          <w:szCs w:val="21"/>
        </w:rPr>
      </w:pPr>
    </w:p>
    <w:p w14:paraId="3BA312AA" w14:textId="76389AAE" w:rsidR="0026561B" w:rsidRPr="009143B4" w:rsidRDefault="0026561B" w:rsidP="0026561B">
      <w:pPr>
        <w:pStyle w:val="Fyrirsgn1"/>
        <w:rPr>
          <w:sz w:val="21"/>
          <w:szCs w:val="21"/>
        </w:rPr>
      </w:pPr>
      <w:r w:rsidRPr="009143B4">
        <w:rPr>
          <w:sz w:val="21"/>
          <w:szCs w:val="21"/>
        </w:rPr>
        <w:t>Réttur erlendra aðila innan EES að öðlast réttindi á Íslandi</w:t>
      </w:r>
      <w:r w:rsidR="00E060B4" w:rsidRPr="009143B4">
        <w:rPr>
          <w:sz w:val="21"/>
          <w:szCs w:val="21"/>
        </w:rPr>
        <w:t>.</w:t>
      </w:r>
    </w:p>
    <w:p w14:paraId="314DF398" w14:textId="1A4F050A" w:rsidR="00F4558C" w:rsidRPr="009143B4" w:rsidRDefault="00F4558C" w:rsidP="00273D7D">
      <w:pPr>
        <w:jc w:val="both"/>
        <w:rPr>
          <w:sz w:val="21"/>
          <w:szCs w:val="21"/>
        </w:rPr>
      </w:pPr>
      <w:r w:rsidRPr="009143B4">
        <w:rPr>
          <w:sz w:val="21"/>
          <w:szCs w:val="21"/>
        </w:rPr>
        <w:t>Í 4. mgr. 4. gr. reglugerðar nr. 633/2003 er kveðið á um að þeir sem hafa lokið prófi á Evrópska efnahags</w:t>
      </w:r>
      <w:r w:rsidR="00B35698" w:rsidRPr="009143B4">
        <w:rPr>
          <w:sz w:val="21"/>
          <w:szCs w:val="21"/>
        </w:rPr>
        <w:t xml:space="preserve">svæðinu </w:t>
      </w:r>
      <w:r w:rsidR="00273D7D" w:rsidRPr="009143B4">
        <w:rPr>
          <w:sz w:val="21"/>
          <w:szCs w:val="21"/>
        </w:rPr>
        <w:t xml:space="preserve">sem krafist er í viðkomandi ríki til að vera heimilt að hafa umsjón með daglegri starfsemi í tengslum við viðskipti með fjármálagerninga, þurfi einungis að taka próf í lögum og reglum á fjármálamarkaði á III. hluta prófs í verðbréfaviðskiptum til þess að fá útgefið skírteini um próf í verðbréfaviðskiptum. </w:t>
      </w:r>
    </w:p>
    <w:p w14:paraId="5D9CEBB1" w14:textId="77777777" w:rsidR="009143B4" w:rsidRDefault="009143B4" w:rsidP="009143B4">
      <w:pPr>
        <w:jc w:val="both"/>
        <w:rPr>
          <w:sz w:val="21"/>
          <w:szCs w:val="21"/>
        </w:rPr>
      </w:pPr>
    </w:p>
    <w:p w14:paraId="64811CE8" w14:textId="2B4A549E" w:rsidR="00273D7D" w:rsidRPr="009143B4" w:rsidRDefault="00273D7D" w:rsidP="009143B4">
      <w:pPr>
        <w:jc w:val="both"/>
        <w:rPr>
          <w:sz w:val="21"/>
          <w:szCs w:val="21"/>
        </w:rPr>
      </w:pPr>
      <w:r w:rsidRPr="009143B4">
        <w:rPr>
          <w:sz w:val="21"/>
          <w:szCs w:val="21"/>
        </w:rPr>
        <w:t>Í reglugerðardrögunum (</w:t>
      </w:r>
      <w:r w:rsidR="00E34E2D" w:rsidRPr="009143B4">
        <w:rPr>
          <w:sz w:val="21"/>
          <w:szCs w:val="21"/>
        </w:rPr>
        <w:t xml:space="preserve">2. og 3. mgr. 6. gr.) er lagt til að þeir sem hafa lokið prófi eða réttindi á Evrópska efnahagssvæðinu sem krafist er í viðkomandi ríki til að vera </w:t>
      </w:r>
      <w:r w:rsidR="009C08DB" w:rsidRPr="009143B4">
        <w:rPr>
          <w:sz w:val="21"/>
          <w:szCs w:val="21"/>
        </w:rPr>
        <w:t>heimilt að hafa umsjón með daglegri starfsemi í tengslum við viðskipti og þjónustu með fjármálagerninga</w:t>
      </w:r>
      <w:r w:rsidR="00580FF7" w:rsidRPr="009143B4">
        <w:rPr>
          <w:sz w:val="21"/>
          <w:szCs w:val="21"/>
        </w:rPr>
        <w:t xml:space="preserve"> (2. mgr.)</w:t>
      </w:r>
      <w:r w:rsidR="009C08DB" w:rsidRPr="009143B4">
        <w:rPr>
          <w:sz w:val="21"/>
          <w:szCs w:val="21"/>
        </w:rPr>
        <w:t xml:space="preserve"> eða </w:t>
      </w:r>
      <w:r w:rsidR="00580FF7" w:rsidRPr="009143B4">
        <w:rPr>
          <w:sz w:val="21"/>
          <w:szCs w:val="21"/>
        </w:rPr>
        <w:t>veita fjárfestingarráðgjöf (3. mgr.) eigi rétt á að ráðherra veiti þeim almenn verðbréfaréttindi eða fjárfestingarráðgjafar</w:t>
      </w:r>
      <w:r w:rsidR="00F92989" w:rsidRPr="009143B4">
        <w:rPr>
          <w:sz w:val="21"/>
          <w:szCs w:val="21"/>
        </w:rPr>
        <w:t xml:space="preserve">éttindi ef þeir óska eftir því. Ekki var talið nauðsynlegt að gera kröfu um að þessir aðilar taki próf í lög og reglum á fjármálamarkaði, líkt og núgildandi reglugerð gerir, </w:t>
      </w:r>
      <w:r w:rsidR="000020BA" w:rsidRPr="009143B4">
        <w:rPr>
          <w:sz w:val="21"/>
          <w:szCs w:val="21"/>
        </w:rPr>
        <w:t>í ljósi þess að nánast allt regluverkið byggir á Evrópulöggjöf sem gildir í öllum ríkjum innan Evrópska efnahagssvæðisins.</w:t>
      </w:r>
    </w:p>
    <w:p w14:paraId="5B42C345" w14:textId="15AD4BF4" w:rsidR="0026561B" w:rsidRPr="009143B4" w:rsidRDefault="0026561B" w:rsidP="0026561B">
      <w:pPr>
        <w:rPr>
          <w:sz w:val="21"/>
          <w:szCs w:val="21"/>
        </w:rPr>
      </w:pPr>
    </w:p>
    <w:p w14:paraId="52C9221C" w14:textId="4498CCFB" w:rsidR="00910156" w:rsidRPr="009143B4" w:rsidRDefault="0026561B" w:rsidP="0026561B">
      <w:pPr>
        <w:pStyle w:val="Fyrirsgn1"/>
        <w:rPr>
          <w:sz w:val="21"/>
          <w:szCs w:val="21"/>
        </w:rPr>
      </w:pPr>
      <w:r w:rsidRPr="009143B4">
        <w:rPr>
          <w:sz w:val="21"/>
          <w:szCs w:val="21"/>
        </w:rPr>
        <w:t>Kröfur um endurmenntun</w:t>
      </w:r>
      <w:r w:rsidR="002B26A1" w:rsidRPr="009143B4">
        <w:rPr>
          <w:sz w:val="21"/>
          <w:szCs w:val="21"/>
        </w:rPr>
        <w:t>.</w:t>
      </w:r>
    </w:p>
    <w:p w14:paraId="53D5B538" w14:textId="2670432E" w:rsidR="00910156" w:rsidRPr="009143B4" w:rsidRDefault="00EB3C88" w:rsidP="0062771D">
      <w:pPr>
        <w:jc w:val="both"/>
        <w:rPr>
          <w:sz w:val="21"/>
          <w:szCs w:val="21"/>
        </w:rPr>
      </w:pPr>
      <w:r w:rsidRPr="009143B4">
        <w:rPr>
          <w:sz w:val="21"/>
          <w:szCs w:val="21"/>
        </w:rPr>
        <w:t>Í</w:t>
      </w:r>
      <w:r w:rsidR="00FF172C" w:rsidRPr="009143B4">
        <w:rPr>
          <w:sz w:val="21"/>
          <w:szCs w:val="21"/>
        </w:rPr>
        <w:t xml:space="preserve"> </w:t>
      </w:r>
      <w:r w:rsidRPr="009143B4">
        <w:rPr>
          <w:sz w:val="21"/>
          <w:szCs w:val="21"/>
        </w:rPr>
        <w:t xml:space="preserve">5. mgr. 40. gr. frumvarps til laga um markaði fyrir fjármálagerninga er kveðið á um að þeim sem hafa öðlast annað hvort almenn verðbréfaréttindi eða fjárfestingaráðgjafaréttindi sé skylt að sækja reglulega endurmenntun sem tryggir að þeir viðhaldi fræðilegri þekkingu, faglegri hæfni og gildum. </w:t>
      </w:r>
      <w:r w:rsidR="0062771D" w:rsidRPr="009143B4">
        <w:rPr>
          <w:sz w:val="21"/>
          <w:szCs w:val="21"/>
        </w:rPr>
        <w:t>Samkvæmt sömu málsgrein er ákveðið í reglugerð þann fjölda klukkustunda sem verja þarf í endurmenntun á hverju þriggja ára tímabili til að viðhalda réttindunum</w:t>
      </w:r>
      <w:r w:rsidR="00E25BD0" w:rsidRPr="009143B4">
        <w:rPr>
          <w:sz w:val="21"/>
          <w:szCs w:val="21"/>
        </w:rPr>
        <w:t xml:space="preserve">, sem skulu að hámarki vera </w:t>
      </w:r>
      <w:r w:rsidR="00363322" w:rsidRPr="009143B4">
        <w:rPr>
          <w:sz w:val="21"/>
          <w:szCs w:val="21"/>
        </w:rPr>
        <w:t>níu</w:t>
      </w:r>
      <w:r w:rsidR="00E25BD0" w:rsidRPr="009143B4">
        <w:rPr>
          <w:sz w:val="21"/>
          <w:szCs w:val="21"/>
        </w:rPr>
        <w:t xml:space="preserve"> klukkustundir vegna almennra verðbréfaréttinda og 12 klukkustundir vegna fjárfestingarráðgjafaréttinda.</w:t>
      </w:r>
    </w:p>
    <w:p w14:paraId="7E55407F" w14:textId="77777777" w:rsidR="009143B4" w:rsidRDefault="009143B4" w:rsidP="009143B4">
      <w:pPr>
        <w:jc w:val="both"/>
        <w:rPr>
          <w:sz w:val="21"/>
          <w:szCs w:val="21"/>
        </w:rPr>
      </w:pPr>
    </w:p>
    <w:p w14:paraId="141AEEDD" w14:textId="0EB2D9AB" w:rsidR="002A7817" w:rsidRPr="009143B4" w:rsidRDefault="00E25BD0" w:rsidP="009143B4">
      <w:pPr>
        <w:jc w:val="both"/>
        <w:rPr>
          <w:sz w:val="21"/>
          <w:szCs w:val="21"/>
        </w:rPr>
      </w:pPr>
      <w:r w:rsidRPr="009143B4">
        <w:rPr>
          <w:sz w:val="21"/>
          <w:szCs w:val="21"/>
        </w:rPr>
        <w:t xml:space="preserve">Með hliðsjón af því er lagt til í </w:t>
      </w:r>
      <w:r w:rsidR="00F02B14" w:rsidRPr="009143B4">
        <w:rPr>
          <w:sz w:val="21"/>
          <w:szCs w:val="21"/>
        </w:rPr>
        <w:t xml:space="preserve">9. gr. reglugerðardraganna að endurmenntun vegna almennra verðbréfaréttinda skuli að lágmarki svara til </w:t>
      </w:r>
      <w:r w:rsidR="002B26A1" w:rsidRPr="009143B4">
        <w:rPr>
          <w:sz w:val="21"/>
          <w:szCs w:val="21"/>
        </w:rPr>
        <w:t>tveggja</w:t>
      </w:r>
      <w:r w:rsidR="00F02B14" w:rsidRPr="009143B4">
        <w:rPr>
          <w:sz w:val="21"/>
          <w:szCs w:val="21"/>
        </w:rPr>
        <w:t xml:space="preserve"> klukkustunda á ári og samtals </w:t>
      </w:r>
      <w:r w:rsidR="002B26A1" w:rsidRPr="009143B4">
        <w:rPr>
          <w:sz w:val="21"/>
          <w:szCs w:val="21"/>
        </w:rPr>
        <w:t>sex</w:t>
      </w:r>
      <w:r w:rsidR="00F02B14" w:rsidRPr="009143B4">
        <w:rPr>
          <w:sz w:val="21"/>
          <w:szCs w:val="21"/>
        </w:rPr>
        <w:t xml:space="preserve"> klukkustunda á hverju þriggja ára tímabil og skulu að lágmarki </w:t>
      </w:r>
      <w:r w:rsidR="002B26A1" w:rsidRPr="009143B4">
        <w:rPr>
          <w:sz w:val="21"/>
          <w:szCs w:val="21"/>
        </w:rPr>
        <w:t>fjórar</w:t>
      </w:r>
      <w:r w:rsidR="00F02B14" w:rsidRPr="009143B4">
        <w:rPr>
          <w:sz w:val="21"/>
          <w:szCs w:val="21"/>
        </w:rPr>
        <w:t xml:space="preserve"> klu</w:t>
      </w:r>
      <w:r w:rsidR="002A7817" w:rsidRPr="009143B4">
        <w:rPr>
          <w:sz w:val="21"/>
          <w:szCs w:val="21"/>
        </w:rPr>
        <w:t xml:space="preserve">kkustundir vera staðfestanlegar (2. mgr.) Endurmenntun vegna  </w:t>
      </w:r>
      <w:r w:rsidR="002A7817" w:rsidRPr="009143B4">
        <w:rPr>
          <w:sz w:val="21"/>
          <w:szCs w:val="21"/>
        </w:rPr>
        <w:lastRenderedPageBreak/>
        <w:t xml:space="preserve">fjárfestingarráðgjafaréttinda skal að lágmarki svara til </w:t>
      </w:r>
      <w:r w:rsidR="002B26A1" w:rsidRPr="009143B4">
        <w:rPr>
          <w:sz w:val="21"/>
          <w:szCs w:val="21"/>
        </w:rPr>
        <w:t>þriggja</w:t>
      </w:r>
      <w:r w:rsidR="002A7817" w:rsidRPr="009143B4">
        <w:rPr>
          <w:sz w:val="21"/>
          <w:szCs w:val="21"/>
        </w:rPr>
        <w:t xml:space="preserve"> klukkustunda á ári og samtals </w:t>
      </w:r>
      <w:r w:rsidR="002B26A1" w:rsidRPr="009143B4">
        <w:rPr>
          <w:sz w:val="21"/>
          <w:szCs w:val="21"/>
        </w:rPr>
        <w:t>níu</w:t>
      </w:r>
      <w:r w:rsidR="002A7817" w:rsidRPr="009143B4">
        <w:rPr>
          <w:sz w:val="21"/>
          <w:szCs w:val="21"/>
        </w:rPr>
        <w:t xml:space="preserve"> klukkustunda á hverju þriggja ára tímabili og skulu að lágmarki </w:t>
      </w:r>
      <w:r w:rsidR="002B26A1" w:rsidRPr="009143B4">
        <w:rPr>
          <w:sz w:val="21"/>
          <w:szCs w:val="21"/>
        </w:rPr>
        <w:t>sex</w:t>
      </w:r>
      <w:r w:rsidR="002A7817" w:rsidRPr="009143B4">
        <w:rPr>
          <w:sz w:val="21"/>
          <w:szCs w:val="21"/>
        </w:rPr>
        <w:t xml:space="preserve"> klukkustundir vera staðfestanlegar (3. mgr.).</w:t>
      </w:r>
      <w:r w:rsidR="005808DB" w:rsidRPr="009143B4">
        <w:rPr>
          <w:sz w:val="21"/>
          <w:szCs w:val="21"/>
        </w:rPr>
        <w:t xml:space="preserve"> Með þessu er ekki verið að nýta allt svigrúm sem veitt er í reglugerðarheimild</w:t>
      </w:r>
      <w:r w:rsidR="002B26A1" w:rsidRPr="009143B4">
        <w:rPr>
          <w:sz w:val="21"/>
          <w:szCs w:val="21"/>
        </w:rPr>
        <w:t xml:space="preserve"> frumvarpsdraganna</w:t>
      </w:r>
      <w:r w:rsidR="005808DB" w:rsidRPr="009143B4">
        <w:rPr>
          <w:sz w:val="21"/>
          <w:szCs w:val="21"/>
        </w:rPr>
        <w:t xml:space="preserve"> og því hægt að auka kröfurnar um fjölda klukkustunda upp að hámarkinu </w:t>
      </w:r>
      <w:r w:rsidR="00E8444A" w:rsidRPr="009143B4">
        <w:rPr>
          <w:sz w:val="21"/>
          <w:szCs w:val="21"/>
        </w:rPr>
        <w:t xml:space="preserve">með reglugerðarbreytingu ef þess er talin þörf seinna meir. </w:t>
      </w:r>
    </w:p>
    <w:p w14:paraId="40A963EA" w14:textId="77777777" w:rsidR="009143B4" w:rsidRDefault="009143B4" w:rsidP="009143B4">
      <w:pPr>
        <w:jc w:val="both"/>
        <w:rPr>
          <w:sz w:val="21"/>
          <w:szCs w:val="21"/>
        </w:rPr>
      </w:pPr>
    </w:p>
    <w:p w14:paraId="0FBBBDE4" w14:textId="7F8F89E0" w:rsidR="00E8444A" w:rsidRPr="009143B4" w:rsidRDefault="00E8444A" w:rsidP="009143B4">
      <w:pPr>
        <w:jc w:val="both"/>
        <w:rPr>
          <w:sz w:val="21"/>
          <w:szCs w:val="21"/>
        </w:rPr>
      </w:pPr>
      <w:r w:rsidRPr="009143B4">
        <w:rPr>
          <w:sz w:val="21"/>
          <w:szCs w:val="21"/>
        </w:rPr>
        <w:t xml:space="preserve">Í 10. gr. reglugerðardraganna er </w:t>
      </w:r>
      <w:r w:rsidR="00392CE9" w:rsidRPr="009143B4">
        <w:rPr>
          <w:sz w:val="21"/>
          <w:szCs w:val="21"/>
        </w:rPr>
        <w:t xml:space="preserve">fjallað um það hvað telst til endurmenntunar. Ákvæðið byggir á 6. gr. reglugerðar nr. 30/2011 um endurmenntun endurskoðenda. Í þeirri reglugerð </w:t>
      </w:r>
      <w:r w:rsidR="00715D8F" w:rsidRPr="009143B4">
        <w:rPr>
          <w:sz w:val="21"/>
          <w:szCs w:val="21"/>
        </w:rPr>
        <w:t xml:space="preserve">fellur fleira undir endurmenntun en lagt er til </w:t>
      </w:r>
      <w:r w:rsidR="00A57E1F" w:rsidRPr="009143B4">
        <w:rPr>
          <w:sz w:val="21"/>
          <w:szCs w:val="21"/>
        </w:rPr>
        <w:t xml:space="preserve">í þessum reglugerðardrögum, þar sem </w:t>
      </w:r>
      <w:r w:rsidR="00715D8F" w:rsidRPr="009143B4">
        <w:rPr>
          <w:sz w:val="21"/>
          <w:szCs w:val="21"/>
        </w:rPr>
        <w:t xml:space="preserve">endurmenntun endurskoðenda er töluvert umfangsmeiri og því meiri þörf á fleiri kostum </w:t>
      </w:r>
      <w:r w:rsidR="00F63E75" w:rsidRPr="009143B4">
        <w:rPr>
          <w:sz w:val="21"/>
          <w:szCs w:val="21"/>
        </w:rPr>
        <w:t xml:space="preserve">vegna endurmenntunar. Krafan vegna almennra verðbréfaréttinda og fjárfestingarráðgjafaréttinda tekur aðeins til nokkurra klukkustunda og því ætti að vera nóg að </w:t>
      </w:r>
      <w:r w:rsidR="00EE69EE" w:rsidRPr="009143B4">
        <w:rPr>
          <w:sz w:val="21"/>
          <w:szCs w:val="21"/>
        </w:rPr>
        <w:t>endurmenntunin nái aðeins til þátttöku í faglegum námskeiðum og ráðstefnum</w:t>
      </w:r>
      <w:r w:rsidR="002B26A1" w:rsidRPr="009143B4">
        <w:rPr>
          <w:sz w:val="21"/>
          <w:szCs w:val="21"/>
        </w:rPr>
        <w:t xml:space="preserve"> og kennslustarfa</w:t>
      </w:r>
      <w:r w:rsidR="00EE69EE" w:rsidRPr="009143B4">
        <w:rPr>
          <w:sz w:val="21"/>
          <w:szCs w:val="21"/>
        </w:rPr>
        <w:t xml:space="preserve">, en ekki </w:t>
      </w:r>
      <w:r w:rsidR="00A57E1F" w:rsidRPr="009143B4">
        <w:rPr>
          <w:sz w:val="21"/>
          <w:szCs w:val="21"/>
        </w:rPr>
        <w:t>til faglegra</w:t>
      </w:r>
      <w:r w:rsidR="00EE69EE" w:rsidRPr="009143B4">
        <w:rPr>
          <w:sz w:val="21"/>
          <w:szCs w:val="21"/>
        </w:rPr>
        <w:t xml:space="preserve"> nefndarstarf</w:t>
      </w:r>
      <w:r w:rsidR="00A57E1F" w:rsidRPr="009143B4">
        <w:rPr>
          <w:sz w:val="21"/>
          <w:szCs w:val="21"/>
        </w:rPr>
        <w:t>a</w:t>
      </w:r>
      <w:r w:rsidR="00EE69EE" w:rsidRPr="009143B4">
        <w:rPr>
          <w:sz w:val="21"/>
          <w:szCs w:val="21"/>
        </w:rPr>
        <w:t xml:space="preserve">  og greinarskrif</w:t>
      </w:r>
      <w:r w:rsidR="00A57E1F" w:rsidRPr="009143B4">
        <w:rPr>
          <w:sz w:val="21"/>
          <w:szCs w:val="21"/>
        </w:rPr>
        <w:t>a,</w:t>
      </w:r>
      <w:r w:rsidR="00EE69EE" w:rsidRPr="009143B4">
        <w:rPr>
          <w:sz w:val="21"/>
          <w:szCs w:val="21"/>
        </w:rPr>
        <w:t xml:space="preserve"> líkt og á við um endurmenntun endurskoðenda.</w:t>
      </w:r>
    </w:p>
    <w:p w14:paraId="256924C0" w14:textId="1C6B04C7" w:rsidR="00EE69EE" w:rsidRDefault="00EE69EE" w:rsidP="002A7817">
      <w:pPr>
        <w:ind w:firstLine="357"/>
        <w:jc w:val="both"/>
      </w:pPr>
    </w:p>
    <w:p w14:paraId="50A3120B" w14:textId="77777777" w:rsidR="00EE69EE" w:rsidRDefault="00EE69EE" w:rsidP="002A7817">
      <w:pPr>
        <w:ind w:firstLine="357"/>
        <w:jc w:val="both"/>
      </w:pPr>
    </w:p>
    <w:p w14:paraId="5F47810A" w14:textId="76372011" w:rsidR="00103918" w:rsidRPr="00910156" w:rsidRDefault="00103918" w:rsidP="00910156"/>
    <w:sectPr w:rsidR="00103918" w:rsidRPr="0091015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9B5D" w14:textId="77777777" w:rsidR="0053434C" w:rsidRDefault="0053434C" w:rsidP="00C176BB">
      <w:pPr>
        <w:spacing w:line="240" w:lineRule="auto"/>
      </w:pPr>
      <w:r>
        <w:separator/>
      </w:r>
    </w:p>
  </w:endnote>
  <w:endnote w:type="continuationSeparator" w:id="0">
    <w:p w14:paraId="10D12EBC" w14:textId="77777777" w:rsidR="0053434C" w:rsidRDefault="0053434C" w:rsidP="00C176BB">
      <w:pPr>
        <w:spacing w:line="240" w:lineRule="auto"/>
      </w:pPr>
      <w:r>
        <w:continuationSeparator/>
      </w:r>
    </w:p>
  </w:endnote>
  <w:endnote w:type="continuationNotice" w:id="1">
    <w:p w14:paraId="0310B369" w14:textId="77777777" w:rsidR="0053434C" w:rsidRDefault="005343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355583"/>
      <w:docPartObj>
        <w:docPartGallery w:val="Page Numbers (Bottom of Page)"/>
        <w:docPartUnique/>
      </w:docPartObj>
    </w:sdtPr>
    <w:sdtEndPr>
      <w:rPr>
        <w:noProof/>
        <w:sz w:val="21"/>
        <w:szCs w:val="21"/>
      </w:rPr>
    </w:sdtEndPr>
    <w:sdtContent>
      <w:p w14:paraId="0E057007" w14:textId="67B7A08F" w:rsidR="006D209A" w:rsidRPr="009143B4" w:rsidRDefault="006D209A">
        <w:pPr>
          <w:pStyle w:val="Suftur"/>
          <w:jc w:val="center"/>
          <w:rPr>
            <w:sz w:val="21"/>
            <w:szCs w:val="21"/>
          </w:rPr>
        </w:pPr>
        <w:r w:rsidRPr="009143B4">
          <w:rPr>
            <w:sz w:val="21"/>
            <w:szCs w:val="21"/>
          </w:rPr>
          <w:fldChar w:fldCharType="begin"/>
        </w:r>
        <w:r w:rsidRPr="009143B4">
          <w:rPr>
            <w:sz w:val="21"/>
            <w:szCs w:val="21"/>
          </w:rPr>
          <w:instrText xml:space="preserve"> PAGE   \* MERGEFORMAT </w:instrText>
        </w:r>
        <w:r w:rsidRPr="009143B4">
          <w:rPr>
            <w:sz w:val="21"/>
            <w:szCs w:val="21"/>
          </w:rPr>
          <w:fldChar w:fldCharType="separate"/>
        </w:r>
        <w:r w:rsidR="0039676B">
          <w:rPr>
            <w:noProof/>
            <w:sz w:val="21"/>
            <w:szCs w:val="21"/>
          </w:rPr>
          <w:t>1</w:t>
        </w:r>
        <w:r w:rsidRPr="009143B4">
          <w:rPr>
            <w:noProof/>
            <w:sz w:val="21"/>
            <w:szCs w:val="21"/>
          </w:rPr>
          <w:fldChar w:fldCharType="end"/>
        </w:r>
      </w:p>
    </w:sdtContent>
  </w:sdt>
  <w:p w14:paraId="01A77917" w14:textId="77777777" w:rsidR="006D209A" w:rsidRDefault="006D209A">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365C" w14:textId="77777777" w:rsidR="0053434C" w:rsidRDefault="0053434C" w:rsidP="00C176BB">
      <w:pPr>
        <w:spacing w:line="240" w:lineRule="auto"/>
      </w:pPr>
      <w:r>
        <w:separator/>
      </w:r>
    </w:p>
  </w:footnote>
  <w:footnote w:type="continuationSeparator" w:id="0">
    <w:p w14:paraId="166502BB" w14:textId="77777777" w:rsidR="0053434C" w:rsidRDefault="0053434C" w:rsidP="00C176BB">
      <w:pPr>
        <w:spacing w:line="240" w:lineRule="auto"/>
      </w:pPr>
      <w:r>
        <w:continuationSeparator/>
      </w:r>
    </w:p>
  </w:footnote>
  <w:footnote w:type="continuationNotice" w:id="1">
    <w:p w14:paraId="2B684655" w14:textId="77777777" w:rsidR="0053434C" w:rsidRDefault="0053434C">
      <w:pPr>
        <w:spacing w:line="240" w:lineRule="auto"/>
      </w:pPr>
    </w:p>
  </w:footnote>
  <w:footnote w:id="2">
    <w:p w14:paraId="121DD7A9" w14:textId="77777777" w:rsidR="006D209A" w:rsidRDefault="006D209A" w:rsidP="00BA481B">
      <w:pPr>
        <w:pStyle w:val="Textineanmlsgreinar"/>
      </w:pPr>
      <w:r>
        <w:rPr>
          <w:rStyle w:val="Tilvsunneanmlsgrein"/>
        </w:rPr>
        <w:footnoteRef/>
      </w:r>
      <w:r>
        <w:t xml:space="preserve"> Á ensku: „</w:t>
      </w:r>
      <w:r w:rsidRPr="00D2467E">
        <w:t>Products and handling of client transactions</w:t>
      </w:r>
      <w:r>
        <w:t>“.</w:t>
      </w:r>
    </w:p>
  </w:footnote>
  <w:footnote w:id="3">
    <w:p w14:paraId="1DE7319C" w14:textId="77777777" w:rsidR="006D209A" w:rsidRDefault="006D209A" w:rsidP="00BA481B">
      <w:pPr>
        <w:pStyle w:val="Textineanmlsgreinar"/>
      </w:pPr>
      <w:r>
        <w:rPr>
          <w:rStyle w:val="Tilvsunneanmlsgrein"/>
        </w:rPr>
        <w:footnoteRef/>
      </w:r>
      <w:r>
        <w:t xml:space="preserve"> Sjá </w:t>
      </w:r>
      <w:r w:rsidRPr="00FD35CC">
        <w:rPr>
          <w:i/>
        </w:rPr>
        <w:t xml:space="preserve">Proficiency requirements for SwedSec’s licensing exam for </w:t>
      </w:r>
      <w:r>
        <w:rPr>
          <w:i/>
        </w:rPr>
        <w:t>advisers</w:t>
      </w:r>
      <w:r>
        <w:t>, bls. 6.</w:t>
      </w:r>
    </w:p>
  </w:footnote>
  <w:footnote w:id="4">
    <w:p w14:paraId="55805D75" w14:textId="77777777" w:rsidR="006D209A" w:rsidRDefault="006D209A" w:rsidP="00BA481B">
      <w:pPr>
        <w:pStyle w:val="Textineanmlsgreinar"/>
      </w:pPr>
      <w:r>
        <w:rPr>
          <w:rStyle w:val="Tilvsunneanmlsgrein"/>
        </w:rPr>
        <w:footnoteRef/>
      </w:r>
      <w:r>
        <w:t xml:space="preserve"> Á ensku: „Economics and finances“.</w:t>
      </w:r>
    </w:p>
  </w:footnote>
  <w:footnote w:id="5">
    <w:p w14:paraId="388E2C05" w14:textId="77777777" w:rsidR="006D209A" w:rsidRDefault="006D209A" w:rsidP="00BA481B">
      <w:pPr>
        <w:pStyle w:val="Textineanmlsgreinar"/>
      </w:pPr>
      <w:r>
        <w:rPr>
          <w:rStyle w:val="Tilvsunneanmlsgrein"/>
        </w:rPr>
        <w:footnoteRef/>
      </w:r>
      <w:r>
        <w:t xml:space="preserve"> Á ensku: „Anticipated return, risk and risk appetite“.</w:t>
      </w:r>
    </w:p>
  </w:footnote>
  <w:footnote w:id="6">
    <w:p w14:paraId="413B7F7A" w14:textId="77777777" w:rsidR="006D209A" w:rsidRDefault="006D209A" w:rsidP="00BA481B">
      <w:pPr>
        <w:pStyle w:val="Textineanmlsgreinar"/>
      </w:pPr>
      <w:r>
        <w:rPr>
          <w:rStyle w:val="Tilvsunneanmlsgrein"/>
        </w:rPr>
        <w:footnoteRef/>
      </w:r>
      <w:r>
        <w:t xml:space="preserve"> Á ensku: „Risk characteristics“.</w:t>
      </w:r>
    </w:p>
  </w:footnote>
  <w:footnote w:id="7">
    <w:p w14:paraId="229645FC" w14:textId="77777777" w:rsidR="006D209A" w:rsidRDefault="006D209A" w:rsidP="00BA481B">
      <w:pPr>
        <w:pStyle w:val="Textineanmlsgreinar"/>
      </w:pPr>
      <w:r>
        <w:rPr>
          <w:rStyle w:val="Tilvsunneanmlsgrein"/>
        </w:rPr>
        <w:footnoteRef/>
      </w:r>
      <w:r>
        <w:t xml:space="preserve"> Sjá </w:t>
      </w:r>
      <w:r w:rsidRPr="00FD35CC">
        <w:rPr>
          <w:i/>
        </w:rPr>
        <w:t xml:space="preserve">Proficiency requirements for SwedSec’s licensing exam for </w:t>
      </w:r>
      <w:r>
        <w:rPr>
          <w:i/>
        </w:rPr>
        <w:t>advisers</w:t>
      </w:r>
      <w:r>
        <w:t>, bls. 14.</w:t>
      </w:r>
    </w:p>
  </w:footnote>
  <w:footnote w:id="8">
    <w:p w14:paraId="72E98480" w14:textId="77777777" w:rsidR="006D209A" w:rsidRDefault="006D209A" w:rsidP="00BA481B">
      <w:pPr>
        <w:pStyle w:val="Textineanmlsgreinar"/>
      </w:pPr>
      <w:r>
        <w:rPr>
          <w:rStyle w:val="Tilvsunneanmlsgrein"/>
        </w:rPr>
        <w:footnoteRef/>
      </w:r>
      <w:r>
        <w:t xml:space="preserve"> Sjá </w:t>
      </w:r>
      <w:r w:rsidRPr="00FD35CC">
        <w:rPr>
          <w:i/>
        </w:rPr>
        <w:t xml:space="preserve">Proficiency requirements for SwedSec’s licensing exam for </w:t>
      </w:r>
      <w:r>
        <w:rPr>
          <w:i/>
        </w:rPr>
        <w:t>advisers</w:t>
      </w:r>
      <w:r>
        <w:t>, bls. 20.</w:t>
      </w:r>
    </w:p>
  </w:footnote>
  <w:footnote w:id="9">
    <w:p w14:paraId="1A73ABF8" w14:textId="77777777" w:rsidR="006D209A" w:rsidRDefault="006D209A" w:rsidP="009F5F19">
      <w:pPr>
        <w:pStyle w:val="Textineanmlsgreinar"/>
      </w:pPr>
      <w:r>
        <w:rPr>
          <w:rStyle w:val="Tilvsunneanmlsgrein"/>
        </w:rPr>
        <w:footnoteRef/>
      </w:r>
      <w:r>
        <w:t xml:space="preserve"> </w:t>
      </w:r>
      <w:r w:rsidRPr="00C166A1">
        <w:t>Á ensku: „European Securities and Markets Authority“.</w:t>
      </w:r>
    </w:p>
  </w:footnote>
  <w:footnote w:id="10">
    <w:p w14:paraId="6298F79F" w14:textId="77777777" w:rsidR="006D209A" w:rsidRPr="001F2B0C" w:rsidRDefault="006D209A" w:rsidP="009F5F19">
      <w:pPr>
        <w:pStyle w:val="Textineanmlsgreinar"/>
        <w:rPr>
          <w:i/>
        </w:rPr>
      </w:pPr>
      <w:r>
        <w:rPr>
          <w:rStyle w:val="Tilvsunneanmlsgrein"/>
        </w:rPr>
        <w:footnoteRef/>
      </w:r>
      <w:r>
        <w:t xml:space="preserve"> </w:t>
      </w:r>
      <w:r w:rsidRPr="000B025A">
        <w:rPr>
          <w:i/>
        </w:rPr>
        <w:t>Guidelines for the assessment of knowledge and competence ESMA71-1154262120-153</w:t>
      </w:r>
      <w:r>
        <w:t>. ESMA 3. janúar 2017 (</w:t>
      </w:r>
      <w:r w:rsidRPr="000879C6">
        <w:rPr>
          <w:rStyle w:val="Tengill"/>
        </w:rPr>
        <w:t>https://www.esma.europa.eu/sites/default/files/library/esma71-1154262120-153_guidelines_for_the_assessment_of_knowledge_and_competence_corrigendum.pdf</w:t>
      </w:r>
      <w:r>
        <w:t>).</w:t>
      </w:r>
    </w:p>
  </w:footnote>
  <w:footnote w:id="11">
    <w:p w14:paraId="17BF4D09" w14:textId="77777777" w:rsidR="006D209A" w:rsidRDefault="006D209A" w:rsidP="009F5F19">
      <w:pPr>
        <w:pStyle w:val="Textineanmlsgreinar"/>
      </w:pPr>
      <w:r>
        <w:rPr>
          <w:rStyle w:val="Tilvsunneanmlsgrein"/>
        </w:rPr>
        <w:footnoteRef/>
      </w:r>
      <w:r>
        <w:t xml:space="preserve"> Talað um „investment product“ í leiðbeiningunum.</w:t>
      </w:r>
    </w:p>
  </w:footnote>
  <w:footnote w:id="12">
    <w:p w14:paraId="1EAFC003" w14:textId="77BA746B" w:rsidR="00BD695E" w:rsidRDefault="00BD695E">
      <w:pPr>
        <w:pStyle w:val="Textineanmlsgreinar"/>
      </w:pPr>
      <w:r>
        <w:rPr>
          <w:rStyle w:val="Tilvsunneanmlsgrein"/>
        </w:rPr>
        <w:footnoteRef/>
      </w:r>
      <w:r>
        <w:t xml:space="preserve"> Sjá </w:t>
      </w:r>
      <w:r w:rsidR="00B91598" w:rsidRPr="00B91598">
        <w:t>úttekt Guðjóns Rúnarssonar á fyrirkomulagi verðbréfaviðskiptaprófs á Norðurlöndunum, dags. október 2017</w:t>
      </w:r>
      <w:r w:rsidR="00B91598">
        <w:t>, bls.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C27C" w14:textId="1EED5436" w:rsidR="006D209A" w:rsidRPr="00FF74A9" w:rsidRDefault="00FF74A9">
    <w:pPr>
      <w:pStyle w:val="Suhaus"/>
      <w:rPr>
        <w:b/>
        <w:color w:val="FF0000"/>
      </w:rPr>
    </w:pPr>
    <w:r w:rsidRPr="00FF74A9">
      <w:rPr>
        <w:b/>
        <w:color w:val="FF0000"/>
      </w:rPr>
      <w:t>20</w:t>
    </w:r>
    <w:r w:rsidR="009143B4" w:rsidRPr="00FF74A9">
      <w:rPr>
        <w:b/>
        <w:color w:val="FF0000"/>
      </w:rPr>
      <w:t>.12.2019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althingi.is/lagas/sk.jpg" style="width:40.4pt;height:41.7pt;visibility:visible" o:bullet="t">
        <v:imagedata r:id="rId1" o:title="sk"/>
      </v:shape>
    </w:pict>
  </w:numPicBullet>
  <w:numPicBullet w:numPicBulletId="1">
    <w:pict>
      <v:shape id="_x0000_i1027" type="#_x0000_t75" alt="https://www.althingi.is/lagas/hk.jpg" style="width:11pt;height:11pt;visibility:visible" o:bullet="t">
        <v:imagedata r:id="rId2" o:title="hk"/>
      </v:shape>
    </w:pict>
  </w:numPicBullet>
  <w:abstractNum w:abstractNumId="0" w15:restartNumberingAfterBreak="0">
    <w:nsid w:val="0399322C"/>
    <w:multiLevelType w:val="hybridMultilevel"/>
    <w:tmpl w:val="9DD694F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CCF0962"/>
    <w:multiLevelType w:val="hybridMultilevel"/>
    <w:tmpl w:val="412C95A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2D073A"/>
    <w:multiLevelType w:val="hybridMultilevel"/>
    <w:tmpl w:val="DD72193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315363A"/>
    <w:multiLevelType w:val="hybridMultilevel"/>
    <w:tmpl w:val="FCFE25F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FDC7F20"/>
    <w:multiLevelType w:val="hybridMultilevel"/>
    <w:tmpl w:val="D08E55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1E042F7"/>
    <w:multiLevelType w:val="hybridMultilevel"/>
    <w:tmpl w:val="374824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22817C0"/>
    <w:multiLevelType w:val="hybridMultilevel"/>
    <w:tmpl w:val="9EEA15A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56A047F"/>
    <w:multiLevelType w:val="hybridMultilevel"/>
    <w:tmpl w:val="3162DBD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12A57BB"/>
    <w:multiLevelType w:val="hybridMultilevel"/>
    <w:tmpl w:val="D08E55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8125139"/>
    <w:multiLevelType w:val="multilevel"/>
    <w:tmpl w:val="FCF864E4"/>
    <w:lvl w:ilvl="0">
      <w:start w:val="1"/>
      <w:numFmt w:val="decimal"/>
      <w:pStyle w:val="Fyrirsgn1"/>
      <w:lvlText w:val="%1."/>
      <w:lvlJc w:val="left"/>
      <w:pPr>
        <w:ind w:left="360" w:hanging="360"/>
      </w:pPr>
    </w:lvl>
    <w:lvl w:ilvl="1">
      <w:start w:val="1"/>
      <w:numFmt w:val="decimal"/>
      <w:pStyle w:val="Fyrirsgn2"/>
      <w:lvlText w:val="%1.%2."/>
      <w:lvlJc w:val="left"/>
      <w:pPr>
        <w:ind w:left="792" w:hanging="432"/>
      </w:pPr>
    </w:lvl>
    <w:lvl w:ilvl="2">
      <w:start w:val="1"/>
      <w:numFmt w:val="decimal"/>
      <w:pStyle w:val="Fyrirsg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2850B5"/>
    <w:multiLevelType w:val="hybridMultilevel"/>
    <w:tmpl w:val="E1D68E0C"/>
    <w:lvl w:ilvl="0" w:tplc="35FEA528">
      <w:start w:val="1"/>
      <w:numFmt w:val="decimal"/>
      <w:lvlText w:val="%1."/>
      <w:lvlJc w:val="left"/>
      <w:pPr>
        <w:ind w:left="720" w:hanging="360"/>
      </w:pPr>
      <w:rPr>
        <w:b w:val="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02473C3"/>
    <w:multiLevelType w:val="hybridMultilevel"/>
    <w:tmpl w:val="AF12C2D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0BB154A"/>
    <w:multiLevelType w:val="hybridMultilevel"/>
    <w:tmpl w:val="C804CF3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1C73DDE"/>
    <w:multiLevelType w:val="hybridMultilevel"/>
    <w:tmpl w:val="D08E55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540726C"/>
    <w:multiLevelType w:val="hybridMultilevel"/>
    <w:tmpl w:val="E5801B8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99F2C82"/>
    <w:multiLevelType w:val="hybridMultilevel"/>
    <w:tmpl w:val="4676A99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4B681B81"/>
    <w:multiLevelType w:val="hybridMultilevel"/>
    <w:tmpl w:val="D8F81FE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4D4F1FC3"/>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9B2DF6"/>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C7C64"/>
    <w:multiLevelType w:val="hybridMultilevel"/>
    <w:tmpl w:val="C006611C"/>
    <w:lvl w:ilvl="0" w:tplc="F7286E06">
      <w:start w:val="1"/>
      <w:numFmt w:val="decimal"/>
      <w:lvlText w:val="%1."/>
      <w:lvlJc w:val="left"/>
      <w:pPr>
        <w:ind w:left="360" w:hanging="360"/>
      </w:pPr>
    </w:lvl>
    <w:lvl w:ilvl="1" w:tplc="DAF22B36">
      <w:start w:val="1"/>
      <w:numFmt w:val="lowerLetter"/>
      <w:lvlText w:val="%2."/>
      <w:lvlJc w:val="left"/>
      <w:pPr>
        <w:ind w:left="36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15:restartNumberingAfterBreak="0">
    <w:nsid w:val="5BBF6578"/>
    <w:multiLevelType w:val="hybridMultilevel"/>
    <w:tmpl w:val="13921C6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3231244"/>
    <w:multiLevelType w:val="hybridMultilevel"/>
    <w:tmpl w:val="D08E55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6756797"/>
    <w:multiLevelType w:val="hybridMultilevel"/>
    <w:tmpl w:val="915601D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6F7B0F18"/>
    <w:multiLevelType w:val="hybridMultilevel"/>
    <w:tmpl w:val="9F40EFBA"/>
    <w:lvl w:ilvl="0" w:tplc="DC7C3CBC">
      <w:start w:val="101"/>
      <w:numFmt w:val="bullet"/>
      <w:lvlText w:val="-"/>
      <w:lvlJc w:val="left"/>
      <w:pPr>
        <w:ind w:left="720" w:hanging="360"/>
      </w:pPr>
      <w:rPr>
        <w:rFonts w:ascii="Palatino Linotype" w:eastAsia="Calibri" w:hAnsi="Palatino Linotype"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707637BD"/>
    <w:multiLevelType w:val="hybridMultilevel"/>
    <w:tmpl w:val="F4B444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72171D73"/>
    <w:multiLevelType w:val="hybridMultilevel"/>
    <w:tmpl w:val="D03655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7ADC0B10"/>
    <w:multiLevelType w:val="hybridMultilevel"/>
    <w:tmpl w:val="374824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5"/>
  </w:num>
  <w:num w:numId="2">
    <w:abstractNumId w:val="6"/>
  </w:num>
  <w:num w:numId="3">
    <w:abstractNumId w:val="11"/>
  </w:num>
  <w:num w:numId="4">
    <w:abstractNumId w:val="19"/>
  </w:num>
  <w:num w:numId="5">
    <w:abstractNumId w:val="16"/>
  </w:num>
  <w:num w:numId="6">
    <w:abstractNumId w:val="2"/>
  </w:num>
  <w:num w:numId="7">
    <w:abstractNumId w:val="24"/>
  </w:num>
  <w:num w:numId="8">
    <w:abstractNumId w:val="18"/>
  </w:num>
  <w:num w:numId="9">
    <w:abstractNumId w:val="7"/>
  </w:num>
  <w:num w:numId="10">
    <w:abstractNumId w:val="3"/>
  </w:num>
  <w:num w:numId="11">
    <w:abstractNumId w:val="22"/>
  </w:num>
  <w:num w:numId="12">
    <w:abstractNumId w:val="15"/>
  </w:num>
  <w:num w:numId="13">
    <w:abstractNumId w:val="17"/>
  </w:num>
  <w:num w:numId="14">
    <w:abstractNumId w:val="9"/>
  </w:num>
  <w:num w:numId="15">
    <w:abstractNumId w:val="0"/>
  </w:num>
  <w:num w:numId="16">
    <w:abstractNumId w:val="12"/>
  </w:num>
  <w:num w:numId="17">
    <w:abstractNumId w:val="10"/>
  </w:num>
  <w:num w:numId="18">
    <w:abstractNumId w:val="9"/>
    <w:lvlOverride w:ilvl="0">
      <w:lvl w:ilvl="0">
        <w:start w:val="1"/>
        <w:numFmt w:val="decimal"/>
        <w:pStyle w:val="Fyrirsgn1"/>
        <w:lvlText w:val="%1."/>
        <w:lvlJc w:val="left"/>
        <w:pPr>
          <w:ind w:left="360" w:hanging="360"/>
        </w:pPr>
        <w:rPr>
          <w:rFonts w:hint="default"/>
        </w:rPr>
      </w:lvl>
    </w:lvlOverride>
    <w:lvlOverride w:ilvl="1">
      <w:lvl w:ilvl="1">
        <w:start w:val="1"/>
        <w:numFmt w:val="decimal"/>
        <w:pStyle w:val="Fyrirsgn2"/>
        <w:lvlText w:val="%1.%2."/>
        <w:lvlJc w:val="left"/>
        <w:pPr>
          <w:ind w:left="792" w:hanging="432"/>
        </w:pPr>
        <w:rPr>
          <w:rFonts w:hint="default"/>
        </w:rPr>
      </w:lvl>
    </w:lvlOverride>
    <w:lvlOverride w:ilvl="2">
      <w:lvl w:ilvl="2">
        <w:start w:val="1"/>
        <w:numFmt w:val="decimal"/>
        <w:pStyle w:val="Fyrirsgn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
  </w:num>
  <w:num w:numId="20">
    <w:abstractNumId w:val="20"/>
  </w:num>
  <w:num w:numId="21">
    <w:abstractNumId w:val="14"/>
  </w:num>
  <w:num w:numId="22">
    <w:abstractNumId w:val="8"/>
  </w:num>
  <w:num w:numId="23">
    <w:abstractNumId w:val="13"/>
  </w:num>
  <w:num w:numId="24">
    <w:abstractNumId w:val="4"/>
  </w:num>
  <w:num w:numId="25">
    <w:abstractNumId w:val="21"/>
  </w:num>
  <w:num w:numId="26">
    <w:abstractNumId w:val="26"/>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F8"/>
    <w:rsid w:val="000020BA"/>
    <w:rsid w:val="00002A9B"/>
    <w:rsid w:val="000047DB"/>
    <w:rsid w:val="000057F0"/>
    <w:rsid w:val="00007372"/>
    <w:rsid w:val="0001026C"/>
    <w:rsid w:val="000105F8"/>
    <w:rsid w:val="00010AFF"/>
    <w:rsid w:val="00011272"/>
    <w:rsid w:val="00011977"/>
    <w:rsid w:val="0001354C"/>
    <w:rsid w:val="000225D7"/>
    <w:rsid w:val="00023721"/>
    <w:rsid w:val="000241DA"/>
    <w:rsid w:val="00026477"/>
    <w:rsid w:val="00026B52"/>
    <w:rsid w:val="00031796"/>
    <w:rsid w:val="00031C2E"/>
    <w:rsid w:val="00040E75"/>
    <w:rsid w:val="000424E3"/>
    <w:rsid w:val="00045FDC"/>
    <w:rsid w:val="0005175D"/>
    <w:rsid w:val="000560E0"/>
    <w:rsid w:val="000606AE"/>
    <w:rsid w:val="00064965"/>
    <w:rsid w:val="0006661B"/>
    <w:rsid w:val="000708D0"/>
    <w:rsid w:val="00071BA5"/>
    <w:rsid w:val="0007539A"/>
    <w:rsid w:val="000807BD"/>
    <w:rsid w:val="0008562B"/>
    <w:rsid w:val="0009063C"/>
    <w:rsid w:val="000909C3"/>
    <w:rsid w:val="000966B1"/>
    <w:rsid w:val="000A0392"/>
    <w:rsid w:val="000A2994"/>
    <w:rsid w:val="000A5BA3"/>
    <w:rsid w:val="000A6FE6"/>
    <w:rsid w:val="000C1DF7"/>
    <w:rsid w:val="000C1E85"/>
    <w:rsid w:val="000C657A"/>
    <w:rsid w:val="000C76C5"/>
    <w:rsid w:val="000D072D"/>
    <w:rsid w:val="000D2A62"/>
    <w:rsid w:val="000D2D09"/>
    <w:rsid w:val="000D31B7"/>
    <w:rsid w:val="000D4A30"/>
    <w:rsid w:val="000E3458"/>
    <w:rsid w:val="000E36EC"/>
    <w:rsid w:val="000E3702"/>
    <w:rsid w:val="000E3B52"/>
    <w:rsid w:val="000E6562"/>
    <w:rsid w:val="000E6569"/>
    <w:rsid w:val="000F2119"/>
    <w:rsid w:val="000F4A7F"/>
    <w:rsid w:val="000F5E6E"/>
    <w:rsid w:val="001024DB"/>
    <w:rsid w:val="00102601"/>
    <w:rsid w:val="001035FF"/>
    <w:rsid w:val="00103918"/>
    <w:rsid w:val="00105F57"/>
    <w:rsid w:val="0011083E"/>
    <w:rsid w:val="001109B6"/>
    <w:rsid w:val="00112A1E"/>
    <w:rsid w:val="0011384E"/>
    <w:rsid w:val="00115ECD"/>
    <w:rsid w:val="001165BE"/>
    <w:rsid w:val="0011755F"/>
    <w:rsid w:val="001215E0"/>
    <w:rsid w:val="00131781"/>
    <w:rsid w:val="00132461"/>
    <w:rsid w:val="00132838"/>
    <w:rsid w:val="00133BD8"/>
    <w:rsid w:val="00137047"/>
    <w:rsid w:val="001401F7"/>
    <w:rsid w:val="00140946"/>
    <w:rsid w:val="001412F5"/>
    <w:rsid w:val="0014601A"/>
    <w:rsid w:val="00152516"/>
    <w:rsid w:val="001534B2"/>
    <w:rsid w:val="00154289"/>
    <w:rsid w:val="001556A8"/>
    <w:rsid w:val="00156B00"/>
    <w:rsid w:val="00160E53"/>
    <w:rsid w:val="0016116B"/>
    <w:rsid w:val="00163D1F"/>
    <w:rsid w:val="00165725"/>
    <w:rsid w:val="00165DAF"/>
    <w:rsid w:val="00171D37"/>
    <w:rsid w:val="0017266E"/>
    <w:rsid w:val="00173FE5"/>
    <w:rsid w:val="00180D57"/>
    <w:rsid w:val="00181EEE"/>
    <w:rsid w:val="00183A6A"/>
    <w:rsid w:val="00185B98"/>
    <w:rsid w:val="00186515"/>
    <w:rsid w:val="00187293"/>
    <w:rsid w:val="001920B2"/>
    <w:rsid w:val="001A16CD"/>
    <w:rsid w:val="001A1D6C"/>
    <w:rsid w:val="001A2562"/>
    <w:rsid w:val="001A3210"/>
    <w:rsid w:val="001A6D72"/>
    <w:rsid w:val="001A74ED"/>
    <w:rsid w:val="001B214E"/>
    <w:rsid w:val="001B5989"/>
    <w:rsid w:val="001B73D7"/>
    <w:rsid w:val="001C0C95"/>
    <w:rsid w:val="001C0DBD"/>
    <w:rsid w:val="001C1594"/>
    <w:rsid w:val="001C2DF0"/>
    <w:rsid w:val="001C3B28"/>
    <w:rsid w:val="001D0864"/>
    <w:rsid w:val="001D5213"/>
    <w:rsid w:val="001D5A1A"/>
    <w:rsid w:val="001D62E1"/>
    <w:rsid w:val="001E0799"/>
    <w:rsid w:val="001E3E25"/>
    <w:rsid w:val="001E4FAB"/>
    <w:rsid w:val="001F0171"/>
    <w:rsid w:val="001F21FC"/>
    <w:rsid w:val="001F6863"/>
    <w:rsid w:val="00203386"/>
    <w:rsid w:val="00204761"/>
    <w:rsid w:val="00206718"/>
    <w:rsid w:val="0020799E"/>
    <w:rsid w:val="00210FA5"/>
    <w:rsid w:val="00212BE2"/>
    <w:rsid w:val="002131EF"/>
    <w:rsid w:val="002232FD"/>
    <w:rsid w:val="00224C30"/>
    <w:rsid w:val="00225093"/>
    <w:rsid w:val="00226299"/>
    <w:rsid w:val="00227F1F"/>
    <w:rsid w:val="00227FBE"/>
    <w:rsid w:val="00230CF6"/>
    <w:rsid w:val="00232630"/>
    <w:rsid w:val="0023355C"/>
    <w:rsid w:val="00241C16"/>
    <w:rsid w:val="002470AB"/>
    <w:rsid w:val="00250643"/>
    <w:rsid w:val="0025073D"/>
    <w:rsid w:val="00253041"/>
    <w:rsid w:val="00253B77"/>
    <w:rsid w:val="00253DC2"/>
    <w:rsid w:val="00254C5A"/>
    <w:rsid w:val="002553BD"/>
    <w:rsid w:val="00255723"/>
    <w:rsid w:val="00255C09"/>
    <w:rsid w:val="0025756F"/>
    <w:rsid w:val="00257978"/>
    <w:rsid w:val="00257C8A"/>
    <w:rsid w:val="00261237"/>
    <w:rsid w:val="00263160"/>
    <w:rsid w:val="00263FFE"/>
    <w:rsid w:val="00264A22"/>
    <w:rsid w:val="0026561B"/>
    <w:rsid w:val="002704E9"/>
    <w:rsid w:val="00272410"/>
    <w:rsid w:val="00273D7D"/>
    <w:rsid w:val="00275976"/>
    <w:rsid w:val="00275FD2"/>
    <w:rsid w:val="002812F9"/>
    <w:rsid w:val="00281A0F"/>
    <w:rsid w:val="00284862"/>
    <w:rsid w:val="0029020D"/>
    <w:rsid w:val="002926E7"/>
    <w:rsid w:val="00292806"/>
    <w:rsid w:val="002945BF"/>
    <w:rsid w:val="00296ED6"/>
    <w:rsid w:val="002A43A3"/>
    <w:rsid w:val="002A497B"/>
    <w:rsid w:val="002A5B13"/>
    <w:rsid w:val="002A7213"/>
    <w:rsid w:val="002A7817"/>
    <w:rsid w:val="002B26A1"/>
    <w:rsid w:val="002B5040"/>
    <w:rsid w:val="002C6386"/>
    <w:rsid w:val="002C6C67"/>
    <w:rsid w:val="002D093D"/>
    <w:rsid w:val="002D10EF"/>
    <w:rsid w:val="002D1C94"/>
    <w:rsid w:val="002D35B5"/>
    <w:rsid w:val="002E0085"/>
    <w:rsid w:val="002E2BDC"/>
    <w:rsid w:val="002E57C6"/>
    <w:rsid w:val="002F0911"/>
    <w:rsid w:val="002F3920"/>
    <w:rsid w:val="00302414"/>
    <w:rsid w:val="00303EBC"/>
    <w:rsid w:val="003069DA"/>
    <w:rsid w:val="00311DC6"/>
    <w:rsid w:val="00311F72"/>
    <w:rsid w:val="00312129"/>
    <w:rsid w:val="00315B17"/>
    <w:rsid w:val="00316DB5"/>
    <w:rsid w:val="00322843"/>
    <w:rsid w:val="003254A5"/>
    <w:rsid w:val="0032740A"/>
    <w:rsid w:val="0034208F"/>
    <w:rsid w:val="003431D8"/>
    <w:rsid w:val="0034570A"/>
    <w:rsid w:val="00350CD1"/>
    <w:rsid w:val="00352901"/>
    <w:rsid w:val="00355E9B"/>
    <w:rsid w:val="00360E75"/>
    <w:rsid w:val="00361B3D"/>
    <w:rsid w:val="00363322"/>
    <w:rsid w:val="00364617"/>
    <w:rsid w:val="0037288E"/>
    <w:rsid w:val="00374778"/>
    <w:rsid w:val="003751E7"/>
    <w:rsid w:val="00383011"/>
    <w:rsid w:val="003918CD"/>
    <w:rsid w:val="00391A89"/>
    <w:rsid w:val="00392CE9"/>
    <w:rsid w:val="0039430D"/>
    <w:rsid w:val="0039676B"/>
    <w:rsid w:val="00396D48"/>
    <w:rsid w:val="003A0668"/>
    <w:rsid w:val="003A15FD"/>
    <w:rsid w:val="003A5203"/>
    <w:rsid w:val="003A5855"/>
    <w:rsid w:val="003B3477"/>
    <w:rsid w:val="003C17B1"/>
    <w:rsid w:val="003C4C9A"/>
    <w:rsid w:val="003C52B0"/>
    <w:rsid w:val="003C7B84"/>
    <w:rsid w:val="003D039E"/>
    <w:rsid w:val="003D36B4"/>
    <w:rsid w:val="003D3B0C"/>
    <w:rsid w:val="003D7995"/>
    <w:rsid w:val="003E24C0"/>
    <w:rsid w:val="003E5A51"/>
    <w:rsid w:val="003E79C9"/>
    <w:rsid w:val="003F0280"/>
    <w:rsid w:val="003F0A4C"/>
    <w:rsid w:val="003F13E4"/>
    <w:rsid w:val="003F218A"/>
    <w:rsid w:val="003F7054"/>
    <w:rsid w:val="003F772B"/>
    <w:rsid w:val="003F795B"/>
    <w:rsid w:val="00401502"/>
    <w:rsid w:val="00402B64"/>
    <w:rsid w:val="00410973"/>
    <w:rsid w:val="004111B4"/>
    <w:rsid w:val="004164A6"/>
    <w:rsid w:val="00422AC7"/>
    <w:rsid w:val="004242C3"/>
    <w:rsid w:val="00426586"/>
    <w:rsid w:val="00427C74"/>
    <w:rsid w:val="00431467"/>
    <w:rsid w:val="00432DDB"/>
    <w:rsid w:val="00436D08"/>
    <w:rsid w:val="004373B2"/>
    <w:rsid w:val="0044199D"/>
    <w:rsid w:val="00441A65"/>
    <w:rsid w:val="00442E5A"/>
    <w:rsid w:val="00443CEE"/>
    <w:rsid w:val="004455C3"/>
    <w:rsid w:val="0045179E"/>
    <w:rsid w:val="00454864"/>
    <w:rsid w:val="00455EAC"/>
    <w:rsid w:val="004577D3"/>
    <w:rsid w:val="00462B72"/>
    <w:rsid w:val="004657CA"/>
    <w:rsid w:val="004667D7"/>
    <w:rsid w:val="004672D4"/>
    <w:rsid w:val="004675A6"/>
    <w:rsid w:val="004679F8"/>
    <w:rsid w:val="00467D6B"/>
    <w:rsid w:val="00467DF3"/>
    <w:rsid w:val="0047516A"/>
    <w:rsid w:val="0047592D"/>
    <w:rsid w:val="004762D4"/>
    <w:rsid w:val="004767C9"/>
    <w:rsid w:val="00476DED"/>
    <w:rsid w:val="00480055"/>
    <w:rsid w:val="0048180B"/>
    <w:rsid w:val="004832CD"/>
    <w:rsid w:val="00484456"/>
    <w:rsid w:val="004852A5"/>
    <w:rsid w:val="004859E3"/>
    <w:rsid w:val="00485C94"/>
    <w:rsid w:val="0048644C"/>
    <w:rsid w:val="00487A96"/>
    <w:rsid w:val="0049018E"/>
    <w:rsid w:val="00493321"/>
    <w:rsid w:val="0049452F"/>
    <w:rsid w:val="00495051"/>
    <w:rsid w:val="00495FC4"/>
    <w:rsid w:val="00497D6A"/>
    <w:rsid w:val="004A01BB"/>
    <w:rsid w:val="004A045E"/>
    <w:rsid w:val="004A0DF4"/>
    <w:rsid w:val="004A2128"/>
    <w:rsid w:val="004B179D"/>
    <w:rsid w:val="004C27E7"/>
    <w:rsid w:val="004C3129"/>
    <w:rsid w:val="004C330E"/>
    <w:rsid w:val="004C4622"/>
    <w:rsid w:val="004D2942"/>
    <w:rsid w:val="004D490C"/>
    <w:rsid w:val="004D5433"/>
    <w:rsid w:val="004E2014"/>
    <w:rsid w:val="004E3F35"/>
    <w:rsid w:val="004E55D9"/>
    <w:rsid w:val="004E6401"/>
    <w:rsid w:val="004E7C28"/>
    <w:rsid w:val="004F1032"/>
    <w:rsid w:val="004F2643"/>
    <w:rsid w:val="004F311A"/>
    <w:rsid w:val="004F4BDD"/>
    <w:rsid w:val="004F621E"/>
    <w:rsid w:val="004F7D81"/>
    <w:rsid w:val="005006C4"/>
    <w:rsid w:val="00501D29"/>
    <w:rsid w:val="00501FCB"/>
    <w:rsid w:val="00504265"/>
    <w:rsid w:val="00514820"/>
    <w:rsid w:val="00523A25"/>
    <w:rsid w:val="00533F77"/>
    <w:rsid w:val="0053434C"/>
    <w:rsid w:val="00541C13"/>
    <w:rsid w:val="00544F07"/>
    <w:rsid w:val="005453BD"/>
    <w:rsid w:val="0054624D"/>
    <w:rsid w:val="005505E6"/>
    <w:rsid w:val="00564731"/>
    <w:rsid w:val="0056737D"/>
    <w:rsid w:val="00567D19"/>
    <w:rsid w:val="0057183F"/>
    <w:rsid w:val="00574170"/>
    <w:rsid w:val="005746F3"/>
    <w:rsid w:val="005770DF"/>
    <w:rsid w:val="005808DB"/>
    <w:rsid w:val="00580FF7"/>
    <w:rsid w:val="00582EB9"/>
    <w:rsid w:val="00586917"/>
    <w:rsid w:val="00586AD3"/>
    <w:rsid w:val="00587C58"/>
    <w:rsid w:val="00592E06"/>
    <w:rsid w:val="00596E2A"/>
    <w:rsid w:val="005A1715"/>
    <w:rsid w:val="005A2B3E"/>
    <w:rsid w:val="005A316F"/>
    <w:rsid w:val="005A7FC6"/>
    <w:rsid w:val="005B3A13"/>
    <w:rsid w:val="005C16EE"/>
    <w:rsid w:val="005C4429"/>
    <w:rsid w:val="005C444F"/>
    <w:rsid w:val="005C5762"/>
    <w:rsid w:val="005C68FF"/>
    <w:rsid w:val="005D22A6"/>
    <w:rsid w:val="005D511D"/>
    <w:rsid w:val="005D6DF0"/>
    <w:rsid w:val="005D78D2"/>
    <w:rsid w:val="005E0AD5"/>
    <w:rsid w:val="005E102C"/>
    <w:rsid w:val="005E1E3C"/>
    <w:rsid w:val="005E2DBB"/>
    <w:rsid w:val="005F0A3F"/>
    <w:rsid w:val="005F0C27"/>
    <w:rsid w:val="005F0FB3"/>
    <w:rsid w:val="005F1784"/>
    <w:rsid w:val="005F364E"/>
    <w:rsid w:val="005F49AD"/>
    <w:rsid w:val="005F6560"/>
    <w:rsid w:val="005F7A26"/>
    <w:rsid w:val="006026A6"/>
    <w:rsid w:val="006052A0"/>
    <w:rsid w:val="00605476"/>
    <w:rsid w:val="00611F13"/>
    <w:rsid w:val="00614651"/>
    <w:rsid w:val="00614F53"/>
    <w:rsid w:val="00620901"/>
    <w:rsid w:val="0062091A"/>
    <w:rsid w:val="00625A5A"/>
    <w:rsid w:val="006268E7"/>
    <w:rsid w:val="0062771D"/>
    <w:rsid w:val="00627D99"/>
    <w:rsid w:val="00631A35"/>
    <w:rsid w:val="0063375A"/>
    <w:rsid w:val="006418B5"/>
    <w:rsid w:val="006428BA"/>
    <w:rsid w:val="00643823"/>
    <w:rsid w:val="00650563"/>
    <w:rsid w:val="00650807"/>
    <w:rsid w:val="006533E2"/>
    <w:rsid w:val="006536A9"/>
    <w:rsid w:val="006601D8"/>
    <w:rsid w:val="006621D9"/>
    <w:rsid w:val="00663621"/>
    <w:rsid w:val="0066431F"/>
    <w:rsid w:val="006671D0"/>
    <w:rsid w:val="00667B36"/>
    <w:rsid w:val="006709D5"/>
    <w:rsid w:val="00673EA2"/>
    <w:rsid w:val="00681CD6"/>
    <w:rsid w:val="0068316A"/>
    <w:rsid w:val="006866D1"/>
    <w:rsid w:val="0068684C"/>
    <w:rsid w:val="00686B7A"/>
    <w:rsid w:val="006879C1"/>
    <w:rsid w:val="006913FF"/>
    <w:rsid w:val="00691B9F"/>
    <w:rsid w:val="00691FCF"/>
    <w:rsid w:val="00692A06"/>
    <w:rsid w:val="00694423"/>
    <w:rsid w:val="00694DD0"/>
    <w:rsid w:val="00696BC6"/>
    <w:rsid w:val="00697F4B"/>
    <w:rsid w:val="006A1FF6"/>
    <w:rsid w:val="006A335B"/>
    <w:rsid w:val="006A49DD"/>
    <w:rsid w:val="006B6703"/>
    <w:rsid w:val="006B6FBE"/>
    <w:rsid w:val="006B7914"/>
    <w:rsid w:val="006C6DD3"/>
    <w:rsid w:val="006D0541"/>
    <w:rsid w:val="006D069F"/>
    <w:rsid w:val="006D0972"/>
    <w:rsid w:val="006D11A5"/>
    <w:rsid w:val="006D209A"/>
    <w:rsid w:val="006D2D8F"/>
    <w:rsid w:val="006D4A7D"/>
    <w:rsid w:val="006E778E"/>
    <w:rsid w:val="006E7D0D"/>
    <w:rsid w:val="006F05D5"/>
    <w:rsid w:val="006F25EA"/>
    <w:rsid w:val="006F37B4"/>
    <w:rsid w:val="006F6C6F"/>
    <w:rsid w:val="006F75C8"/>
    <w:rsid w:val="00705F87"/>
    <w:rsid w:val="00710AD1"/>
    <w:rsid w:val="007120F1"/>
    <w:rsid w:val="00712A3E"/>
    <w:rsid w:val="00712E6C"/>
    <w:rsid w:val="00713BA1"/>
    <w:rsid w:val="00715D8F"/>
    <w:rsid w:val="00721076"/>
    <w:rsid w:val="007210F4"/>
    <w:rsid w:val="007254C3"/>
    <w:rsid w:val="007263A0"/>
    <w:rsid w:val="00727F24"/>
    <w:rsid w:val="00731499"/>
    <w:rsid w:val="00735219"/>
    <w:rsid w:val="00737EB6"/>
    <w:rsid w:val="0075015A"/>
    <w:rsid w:val="0075055B"/>
    <w:rsid w:val="00752D4A"/>
    <w:rsid w:val="00761049"/>
    <w:rsid w:val="00762FA2"/>
    <w:rsid w:val="00763062"/>
    <w:rsid w:val="00763C3F"/>
    <w:rsid w:val="0076694B"/>
    <w:rsid w:val="00766CB9"/>
    <w:rsid w:val="0077386A"/>
    <w:rsid w:val="007739B9"/>
    <w:rsid w:val="00776B70"/>
    <w:rsid w:val="00776E69"/>
    <w:rsid w:val="00780320"/>
    <w:rsid w:val="00780924"/>
    <w:rsid w:val="007848D7"/>
    <w:rsid w:val="0078520A"/>
    <w:rsid w:val="007869E3"/>
    <w:rsid w:val="00786EF5"/>
    <w:rsid w:val="00791031"/>
    <w:rsid w:val="00792BB9"/>
    <w:rsid w:val="00793D60"/>
    <w:rsid w:val="007A1D85"/>
    <w:rsid w:val="007A3521"/>
    <w:rsid w:val="007A3714"/>
    <w:rsid w:val="007A5316"/>
    <w:rsid w:val="007B16FB"/>
    <w:rsid w:val="007B1746"/>
    <w:rsid w:val="007B7D9E"/>
    <w:rsid w:val="007C2447"/>
    <w:rsid w:val="007C3995"/>
    <w:rsid w:val="007C6D52"/>
    <w:rsid w:val="007D1158"/>
    <w:rsid w:val="007D3C68"/>
    <w:rsid w:val="007D4A73"/>
    <w:rsid w:val="007E3F3E"/>
    <w:rsid w:val="007E6D26"/>
    <w:rsid w:val="007F095B"/>
    <w:rsid w:val="007F0F3C"/>
    <w:rsid w:val="007F4264"/>
    <w:rsid w:val="007F64F2"/>
    <w:rsid w:val="007F68BF"/>
    <w:rsid w:val="007F6AA7"/>
    <w:rsid w:val="0080292A"/>
    <w:rsid w:val="00802A85"/>
    <w:rsid w:val="00802EA9"/>
    <w:rsid w:val="00807C5B"/>
    <w:rsid w:val="00814F8D"/>
    <w:rsid w:val="0081511A"/>
    <w:rsid w:val="00822EFF"/>
    <w:rsid w:val="008247A2"/>
    <w:rsid w:val="008263D3"/>
    <w:rsid w:val="00826FBF"/>
    <w:rsid w:val="0083031A"/>
    <w:rsid w:val="0084268C"/>
    <w:rsid w:val="0084494D"/>
    <w:rsid w:val="00844D9D"/>
    <w:rsid w:val="00847E82"/>
    <w:rsid w:val="0085060A"/>
    <w:rsid w:val="00850885"/>
    <w:rsid w:val="0085236E"/>
    <w:rsid w:val="00855702"/>
    <w:rsid w:val="00856CD7"/>
    <w:rsid w:val="008616C6"/>
    <w:rsid w:val="0086278D"/>
    <w:rsid w:val="00864D0B"/>
    <w:rsid w:val="00866C5A"/>
    <w:rsid w:val="00866F5C"/>
    <w:rsid w:val="00867587"/>
    <w:rsid w:val="00867F3D"/>
    <w:rsid w:val="008724FD"/>
    <w:rsid w:val="00872A8D"/>
    <w:rsid w:val="00873E8D"/>
    <w:rsid w:val="00873EF2"/>
    <w:rsid w:val="0088144E"/>
    <w:rsid w:val="00884A6F"/>
    <w:rsid w:val="00885CE7"/>
    <w:rsid w:val="00887BF4"/>
    <w:rsid w:val="008951AF"/>
    <w:rsid w:val="008B0A95"/>
    <w:rsid w:val="008B0CEC"/>
    <w:rsid w:val="008B1155"/>
    <w:rsid w:val="008B2B92"/>
    <w:rsid w:val="008B2BC1"/>
    <w:rsid w:val="008B548B"/>
    <w:rsid w:val="008B56C4"/>
    <w:rsid w:val="008C604D"/>
    <w:rsid w:val="008C64BB"/>
    <w:rsid w:val="008C6556"/>
    <w:rsid w:val="008D0CF9"/>
    <w:rsid w:val="008D42B6"/>
    <w:rsid w:val="008E6B74"/>
    <w:rsid w:val="008F0D1E"/>
    <w:rsid w:val="008F48AD"/>
    <w:rsid w:val="008F4CF4"/>
    <w:rsid w:val="008F55BC"/>
    <w:rsid w:val="00902FA1"/>
    <w:rsid w:val="009044CB"/>
    <w:rsid w:val="009047D0"/>
    <w:rsid w:val="00904A92"/>
    <w:rsid w:val="00907A4A"/>
    <w:rsid w:val="00910156"/>
    <w:rsid w:val="009143B4"/>
    <w:rsid w:val="00916615"/>
    <w:rsid w:val="009176AA"/>
    <w:rsid w:val="00920B39"/>
    <w:rsid w:val="00925348"/>
    <w:rsid w:val="00926328"/>
    <w:rsid w:val="00930B7F"/>
    <w:rsid w:val="00931B58"/>
    <w:rsid w:val="00932296"/>
    <w:rsid w:val="00932652"/>
    <w:rsid w:val="0093344B"/>
    <w:rsid w:val="009342BA"/>
    <w:rsid w:val="00934BDA"/>
    <w:rsid w:val="009425FF"/>
    <w:rsid w:val="00943633"/>
    <w:rsid w:val="009441F8"/>
    <w:rsid w:val="00945CEB"/>
    <w:rsid w:val="00952418"/>
    <w:rsid w:val="009527D2"/>
    <w:rsid w:val="00953566"/>
    <w:rsid w:val="009611AE"/>
    <w:rsid w:val="0096252D"/>
    <w:rsid w:val="0096286A"/>
    <w:rsid w:val="0096514D"/>
    <w:rsid w:val="0096632E"/>
    <w:rsid w:val="00971A96"/>
    <w:rsid w:val="00975065"/>
    <w:rsid w:val="009762C8"/>
    <w:rsid w:val="00980146"/>
    <w:rsid w:val="009841F4"/>
    <w:rsid w:val="00986A88"/>
    <w:rsid w:val="00987727"/>
    <w:rsid w:val="00991935"/>
    <w:rsid w:val="009A185D"/>
    <w:rsid w:val="009A5511"/>
    <w:rsid w:val="009B269F"/>
    <w:rsid w:val="009B58DD"/>
    <w:rsid w:val="009B6CF0"/>
    <w:rsid w:val="009B7C02"/>
    <w:rsid w:val="009C08DB"/>
    <w:rsid w:val="009C7EED"/>
    <w:rsid w:val="009D01EF"/>
    <w:rsid w:val="009D3463"/>
    <w:rsid w:val="009D4E4D"/>
    <w:rsid w:val="009E20B3"/>
    <w:rsid w:val="009E488F"/>
    <w:rsid w:val="009E4AAE"/>
    <w:rsid w:val="009E73FE"/>
    <w:rsid w:val="009E79E8"/>
    <w:rsid w:val="009F4B79"/>
    <w:rsid w:val="009F5F19"/>
    <w:rsid w:val="009F69ED"/>
    <w:rsid w:val="00A00530"/>
    <w:rsid w:val="00A04C3D"/>
    <w:rsid w:val="00A10D15"/>
    <w:rsid w:val="00A10F6B"/>
    <w:rsid w:val="00A14C76"/>
    <w:rsid w:val="00A20675"/>
    <w:rsid w:val="00A2148A"/>
    <w:rsid w:val="00A22F63"/>
    <w:rsid w:val="00A23AA8"/>
    <w:rsid w:val="00A23B81"/>
    <w:rsid w:val="00A24360"/>
    <w:rsid w:val="00A24C0B"/>
    <w:rsid w:val="00A3200B"/>
    <w:rsid w:val="00A323B0"/>
    <w:rsid w:val="00A357C8"/>
    <w:rsid w:val="00A3690E"/>
    <w:rsid w:val="00A37170"/>
    <w:rsid w:val="00A379B9"/>
    <w:rsid w:val="00A43A91"/>
    <w:rsid w:val="00A44FF0"/>
    <w:rsid w:val="00A45088"/>
    <w:rsid w:val="00A452D3"/>
    <w:rsid w:val="00A4549F"/>
    <w:rsid w:val="00A4737A"/>
    <w:rsid w:val="00A51F09"/>
    <w:rsid w:val="00A54D6D"/>
    <w:rsid w:val="00A5564C"/>
    <w:rsid w:val="00A56CBC"/>
    <w:rsid w:val="00A56D12"/>
    <w:rsid w:val="00A57E1F"/>
    <w:rsid w:val="00A60FB9"/>
    <w:rsid w:val="00A6104A"/>
    <w:rsid w:val="00A6124F"/>
    <w:rsid w:val="00A62CE4"/>
    <w:rsid w:val="00A664FA"/>
    <w:rsid w:val="00A67F1D"/>
    <w:rsid w:val="00A70103"/>
    <w:rsid w:val="00A71CED"/>
    <w:rsid w:val="00A776CA"/>
    <w:rsid w:val="00A779EC"/>
    <w:rsid w:val="00A86498"/>
    <w:rsid w:val="00A8673E"/>
    <w:rsid w:val="00A90306"/>
    <w:rsid w:val="00A906EE"/>
    <w:rsid w:val="00A939DB"/>
    <w:rsid w:val="00A95F8F"/>
    <w:rsid w:val="00AA0DEB"/>
    <w:rsid w:val="00AA1B01"/>
    <w:rsid w:val="00AA1BCE"/>
    <w:rsid w:val="00AA4BBD"/>
    <w:rsid w:val="00AA527C"/>
    <w:rsid w:val="00AA6FBC"/>
    <w:rsid w:val="00AB23BE"/>
    <w:rsid w:val="00AB39C7"/>
    <w:rsid w:val="00AB4099"/>
    <w:rsid w:val="00AB53C9"/>
    <w:rsid w:val="00AB7F3F"/>
    <w:rsid w:val="00AC1635"/>
    <w:rsid w:val="00AC1C67"/>
    <w:rsid w:val="00AC48EB"/>
    <w:rsid w:val="00AC5B5C"/>
    <w:rsid w:val="00AD0D41"/>
    <w:rsid w:val="00AD2816"/>
    <w:rsid w:val="00AD4C86"/>
    <w:rsid w:val="00AD53BB"/>
    <w:rsid w:val="00AD5EED"/>
    <w:rsid w:val="00AE1850"/>
    <w:rsid w:val="00AE1FFB"/>
    <w:rsid w:val="00AE2021"/>
    <w:rsid w:val="00AE4D44"/>
    <w:rsid w:val="00AF6A7A"/>
    <w:rsid w:val="00AF78A8"/>
    <w:rsid w:val="00B00984"/>
    <w:rsid w:val="00B01EB2"/>
    <w:rsid w:val="00B028BB"/>
    <w:rsid w:val="00B04063"/>
    <w:rsid w:val="00B04755"/>
    <w:rsid w:val="00B04C47"/>
    <w:rsid w:val="00B07381"/>
    <w:rsid w:val="00B10FD0"/>
    <w:rsid w:val="00B11F47"/>
    <w:rsid w:val="00B1201B"/>
    <w:rsid w:val="00B15E3C"/>
    <w:rsid w:val="00B16D85"/>
    <w:rsid w:val="00B17A84"/>
    <w:rsid w:val="00B17C2A"/>
    <w:rsid w:val="00B17F56"/>
    <w:rsid w:val="00B26392"/>
    <w:rsid w:val="00B26899"/>
    <w:rsid w:val="00B27393"/>
    <w:rsid w:val="00B30DC8"/>
    <w:rsid w:val="00B3379C"/>
    <w:rsid w:val="00B3408F"/>
    <w:rsid w:val="00B34B05"/>
    <w:rsid w:val="00B35698"/>
    <w:rsid w:val="00B35743"/>
    <w:rsid w:val="00B36419"/>
    <w:rsid w:val="00B3766A"/>
    <w:rsid w:val="00B40059"/>
    <w:rsid w:val="00B40CDD"/>
    <w:rsid w:val="00B40EEB"/>
    <w:rsid w:val="00B40F4A"/>
    <w:rsid w:val="00B41E72"/>
    <w:rsid w:val="00B42AA6"/>
    <w:rsid w:val="00B42E6B"/>
    <w:rsid w:val="00B439B4"/>
    <w:rsid w:val="00B46BAE"/>
    <w:rsid w:val="00B57AAC"/>
    <w:rsid w:val="00B61795"/>
    <w:rsid w:val="00B65BF4"/>
    <w:rsid w:val="00B662B2"/>
    <w:rsid w:val="00B70501"/>
    <w:rsid w:val="00B71C6D"/>
    <w:rsid w:val="00B80722"/>
    <w:rsid w:val="00B80D4F"/>
    <w:rsid w:val="00B81FD3"/>
    <w:rsid w:val="00B87EBB"/>
    <w:rsid w:val="00B87F76"/>
    <w:rsid w:val="00B91598"/>
    <w:rsid w:val="00B91F2C"/>
    <w:rsid w:val="00B93215"/>
    <w:rsid w:val="00BA0793"/>
    <w:rsid w:val="00BA36DA"/>
    <w:rsid w:val="00BA481B"/>
    <w:rsid w:val="00BA58B7"/>
    <w:rsid w:val="00BA7467"/>
    <w:rsid w:val="00BB2DDE"/>
    <w:rsid w:val="00BB2EF2"/>
    <w:rsid w:val="00BB5BC0"/>
    <w:rsid w:val="00BB6C12"/>
    <w:rsid w:val="00BC12B9"/>
    <w:rsid w:val="00BC5679"/>
    <w:rsid w:val="00BC5AD5"/>
    <w:rsid w:val="00BC6FFE"/>
    <w:rsid w:val="00BD695E"/>
    <w:rsid w:val="00BD6ACC"/>
    <w:rsid w:val="00BD7DF3"/>
    <w:rsid w:val="00BE37C3"/>
    <w:rsid w:val="00BE63B3"/>
    <w:rsid w:val="00BE6474"/>
    <w:rsid w:val="00BF304C"/>
    <w:rsid w:val="00BF6517"/>
    <w:rsid w:val="00BF6860"/>
    <w:rsid w:val="00BF6B62"/>
    <w:rsid w:val="00BF73CB"/>
    <w:rsid w:val="00C0371D"/>
    <w:rsid w:val="00C12BC1"/>
    <w:rsid w:val="00C14320"/>
    <w:rsid w:val="00C14737"/>
    <w:rsid w:val="00C176BB"/>
    <w:rsid w:val="00C21B7A"/>
    <w:rsid w:val="00C22EC6"/>
    <w:rsid w:val="00C25ED3"/>
    <w:rsid w:val="00C276C3"/>
    <w:rsid w:val="00C3017E"/>
    <w:rsid w:val="00C3332E"/>
    <w:rsid w:val="00C36AB4"/>
    <w:rsid w:val="00C41171"/>
    <w:rsid w:val="00C4184F"/>
    <w:rsid w:val="00C41DD3"/>
    <w:rsid w:val="00C5095F"/>
    <w:rsid w:val="00C53603"/>
    <w:rsid w:val="00C54CF7"/>
    <w:rsid w:val="00C55680"/>
    <w:rsid w:val="00C56AE0"/>
    <w:rsid w:val="00C56E97"/>
    <w:rsid w:val="00C65901"/>
    <w:rsid w:val="00C675FC"/>
    <w:rsid w:val="00C70AC2"/>
    <w:rsid w:val="00C71C5E"/>
    <w:rsid w:val="00C73E2D"/>
    <w:rsid w:val="00C75601"/>
    <w:rsid w:val="00C80A0C"/>
    <w:rsid w:val="00C81622"/>
    <w:rsid w:val="00C8469B"/>
    <w:rsid w:val="00C86F28"/>
    <w:rsid w:val="00C921AD"/>
    <w:rsid w:val="00C92436"/>
    <w:rsid w:val="00C935C5"/>
    <w:rsid w:val="00C939C3"/>
    <w:rsid w:val="00C953B3"/>
    <w:rsid w:val="00C956EB"/>
    <w:rsid w:val="00C9652C"/>
    <w:rsid w:val="00CA0C7B"/>
    <w:rsid w:val="00CA1BB1"/>
    <w:rsid w:val="00CA1C8C"/>
    <w:rsid w:val="00CA3162"/>
    <w:rsid w:val="00CB7291"/>
    <w:rsid w:val="00CC1C7C"/>
    <w:rsid w:val="00CC1D30"/>
    <w:rsid w:val="00CC2BFF"/>
    <w:rsid w:val="00CD2F3E"/>
    <w:rsid w:val="00CD5FEA"/>
    <w:rsid w:val="00CD6E4E"/>
    <w:rsid w:val="00CD74D3"/>
    <w:rsid w:val="00CE33AB"/>
    <w:rsid w:val="00CF15D7"/>
    <w:rsid w:val="00CF45D2"/>
    <w:rsid w:val="00CF4ECB"/>
    <w:rsid w:val="00CF6CA1"/>
    <w:rsid w:val="00CF73DC"/>
    <w:rsid w:val="00D02465"/>
    <w:rsid w:val="00D02705"/>
    <w:rsid w:val="00D05398"/>
    <w:rsid w:val="00D10D24"/>
    <w:rsid w:val="00D11CF8"/>
    <w:rsid w:val="00D12DEE"/>
    <w:rsid w:val="00D2027F"/>
    <w:rsid w:val="00D23414"/>
    <w:rsid w:val="00D238AE"/>
    <w:rsid w:val="00D25C96"/>
    <w:rsid w:val="00D27406"/>
    <w:rsid w:val="00D3304B"/>
    <w:rsid w:val="00D33DB3"/>
    <w:rsid w:val="00D348C0"/>
    <w:rsid w:val="00D3721D"/>
    <w:rsid w:val="00D42AA9"/>
    <w:rsid w:val="00D43297"/>
    <w:rsid w:val="00D4456A"/>
    <w:rsid w:val="00D525A2"/>
    <w:rsid w:val="00D6187F"/>
    <w:rsid w:val="00D62535"/>
    <w:rsid w:val="00D62D5B"/>
    <w:rsid w:val="00D635F2"/>
    <w:rsid w:val="00D64564"/>
    <w:rsid w:val="00D659DE"/>
    <w:rsid w:val="00D6778A"/>
    <w:rsid w:val="00D67C12"/>
    <w:rsid w:val="00D73DA6"/>
    <w:rsid w:val="00D75846"/>
    <w:rsid w:val="00D7750B"/>
    <w:rsid w:val="00D802E9"/>
    <w:rsid w:val="00D81380"/>
    <w:rsid w:val="00D81E0C"/>
    <w:rsid w:val="00D83AE8"/>
    <w:rsid w:val="00D842CC"/>
    <w:rsid w:val="00D84A30"/>
    <w:rsid w:val="00D87126"/>
    <w:rsid w:val="00D8779E"/>
    <w:rsid w:val="00D87E43"/>
    <w:rsid w:val="00D9062E"/>
    <w:rsid w:val="00D91BE2"/>
    <w:rsid w:val="00D920A0"/>
    <w:rsid w:val="00D9486D"/>
    <w:rsid w:val="00D977ED"/>
    <w:rsid w:val="00D979FA"/>
    <w:rsid w:val="00DA02BD"/>
    <w:rsid w:val="00DA0621"/>
    <w:rsid w:val="00DA4E91"/>
    <w:rsid w:val="00DA79C9"/>
    <w:rsid w:val="00DB0E98"/>
    <w:rsid w:val="00DB0F25"/>
    <w:rsid w:val="00DB201B"/>
    <w:rsid w:val="00DB4183"/>
    <w:rsid w:val="00DB5294"/>
    <w:rsid w:val="00DB71BD"/>
    <w:rsid w:val="00DC2872"/>
    <w:rsid w:val="00DC6C3D"/>
    <w:rsid w:val="00DC72B9"/>
    <w:rsid w:val="00DC74C3"/>
    <w:rsid w:val="00DC7D6C"/>
    <w:rsid w:val="00DD1552"/>
    <w:rsid w:val="00DD27A7"/>
    <w:rsid w:val="00DD631A"/>
    <w:rsid w:val="00DE0247"/>
    <w:rsid w:val="00DE1519"/>
    <w:rsid w:val="00DE2539"/>
    <w:rsid w:val="00DE254F"/>
    <w:rsid w:val="00DF0A78"/>
    <w:rsid w:val="00DF3BC2"/>
    <w:rsid w:val="00DF4974"/>
    <w:rsid w:val="00DF611D"/>
    <w:rsid w:val="00DF6F94"/>
    <w:rsid w:val="00E0047B"/>
    <w:rsid w:val="00E060B4"/>
    <w:rsid w:val="00E06EB7"/>
    <w:rsid w:val="00E13D58"/>
    <w:rsid w:val="00E16A1D"/>
    <w:rsid w:val="00E16BEB"/>
    <w:rsid w:val="00E17D4E"/>
    <w:rsid w:val="00E256A7"/>
    <w:rsid w:val="00E25BD0"/>
    <w:rsid w:val="00E262BD"/>
    <w:rsid w:val="00E26A8E"/>
    <w:rsid w:val="00E326C2"/>
    <w:rsid w:val="00E34E2D"/>
    <w:rsid w:val="00E363BA"/>
    <w:rsid w:val="00E44DCA"/>
    <w:rsid w:val="00E47214"/>
    <w:rsid w:val="00E476CA"/>
    <w:rsid w:val="00E50BA3"/>
    <w:rsid w:val="00E54311"/>
    <w:rsid w:val="00E60659"/>
    <w:rsid w:val="00E61148"/>
    <w:rsid w:val="00E626AA"/>
    <w:rsid w:val="00E63564"/>
    <w:rsid w:val="00E635D5"/>
    <w:rsid w:val="00E65F7C"/>
    <w:rsid w:val="00E67AC5"/>
    <w:rsid w:val="00E72B57"/>
    <w:rsid w:val="00E803A3"/>
    <w:rsid w:val="00E8273E"/>
    <w:rsid w:val="00E82EF0"/>
    <w:rsid w:val="00E8416B"/>
    <w:rsid w:val="00E8444A"/>
    <w:rsid w:val="00E84A6F"/>
    <w:rsid w:val="00E864C7"/>
    <w:rsid w:val="00E912D1"/>
    <w:rsid w:val="00E971F4"/>
    <w:rsid w:val="00E97786"/>
    <w:rsid w:val="00E97C62"/>
    <w:rsid w:val="00EA5750"/>
    <w:rsid w:val="00EA5D82"/>
    <w:rsid w:val="00EB3C88"/>
    <w:rsid w:val="00EB4128"/>
    <w:rsid w:val="00EB4B50"/>
    <w:rsid w:val="00EC03A1"/>
    <w:rsid w:val="00EC1C38"/>
    <w:rsid w:val="00EC2497"/>
    <w:rsid w:val="00EC2D22"/>
    <w:rsid w:val="00EC7333"/>
    <w:rsid w:val="00ED6436"/>
    <w:rsid w:val="00ED70C7"/>
    <w:rsid w:val="00EE31C5"/>
    <w:rsid w:val="00EE69EE"/>
    <w:rsid w:val="00EF05AE"/>
    <w:rsid w:val="00EF0813"/>
    <w:rsid w:val="00EF20AD"/>
    <w:rsid w:val="00EF52E9"/>
    <w:rsid w:val="00EF7C44"/>
    <w:rsid w:val="00F01C70"/>
    <w:rsid w:val="00F02B14"/>
    <w:rsid w:val="00F0641E"/>
    <w:rsid w:val="00F07FF1"/>
    <w:rsid w:val="00F107D9"/>
    <w:rsid w:val="00F12AF7"/>
    <w:rsid w:val="00F12B8C"/>
    <w:rsid w:val="00F13AE7"/>
    <w:rsid w:val="00F14A63"/>
    <w:rsid w:val="00F14ED3"/>
    <w:rsid w:val="00F16062"/>
    <w:rsid w:val="00F21818"/>
    <w:rsid w:val="00F259EB"/>
    <w:rsid w:val="00F26104"/>
    <w:rsid w:val="00F31AE6"/>
    <w:rsid w:val="00F37163"/>
    <w:rsid w:val="00F40342"/>
    <w:rsid w:val="00F41D47"/>
    <w:rsid w:val="00F4558C"/>
    <w:rsid w:val="00F47B1E"/>
    <w:rsid w:val="00F515F1"/>
    <w:rsid w:val="00F52018"/>
    <w:rsid w:val="00F540E7"/>
    <w:rsid w:val="00F570FC"/>
    <w:rsid w:val="00F60301"/>
    <w:rsid w:val="00F61C17"/>
    <w:rsid w:val="00F63E75"/>
    <w:rsid w:val="00F64651"/>
    <w:rsid w:val="00F71007"/>
    <w:rsid w:val="00F71201"/>
    <w:rsid w:val="00F732C0"/>
    <w:rsid w:val="00F75BDC"/>
    <w:rsid w:val="00F92989"/>
    <w:rsid w:val="00F946D7"/>
    <w:rsid w:val="00F968E5"/>
    <w:rsid w:val="00FA4394"/>
    <w:rsid w:val="00FA479F"/>
    <w:rsid w:val="00FB1314"/>
    <w:rsid w:val="00FB1D05"/>
    <w:rsid w:val="00FB2719"/>
    <w:rsid w:val="00FB3E72"/>
    <w:rsid w:val="00FB752C"/>
    <w:rsid w:val="00FC326B"/>
    <w:rsid w:val="00FC35B0"/>
    <w:rsid w:val="00FC3DD3"/>
    <w:rsid w:val="00FC740D"/>
    <w:rsid w:val="00FD17ED"/>
    <w:rsid w:val="00FE15AC"/>
    <w:rsid w:val="00FE2A43"/>
    <w:rsid w:val="00FE7276"/>
    <w:rsid w:val="00FF0D12"/>
    <w:rsid w:val="00FF172C"/>
    <w:rsid w:val="00FF3D10"/>
    <w:rsid w:val="00FF53BA"/>
    <w:rsid w:val="00FF74A9"/>
    <w:rsid w:val="00FF7AB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829C"/>
  <w15:chartTrackingRefBased/>
  <w15:docId w15:val="{CB3E0C82-9917-417A-813C-D2350745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s-IS" w:eastAsia="en-US"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Mlsgreinlista"/>
    <w:next w:val="Venjulegur"/>
    <w:link w:val="Fyrirsgn1Staf"/>
    <w:uiPriority w:val="9"/>
    <w:qFormat/>
    <w:rsid w:val="00163D1F"/>
    <w:pPr>
      <w:numPr>
        <w:numId w:val="14"/>
      </w:numPr>
      <w:spacing w:before="120" w:after="120"/>
      <w:ind w:left="567" w:hanging="567"/>
      <w:contextualSpacing w:val="0"/>
      <w:outlineLvl w:val="0"/>
    </w:pPr>
    <w:rPr>
      <w:b/>
      <w:szCs w:val="28"/>
    </w:rPr>
  </w:style>
  <w:style w:type="paragraph" w:styleId="Fyrirsgn2">
    <w:name w:val="heading 2"/>
    <w:basedOn w:val="Fyrirsgn1"/>
    <w:next w:val="Venjulegur"/>
    <w:link w:val="Fyrirsgn2Staf"/>
    <w:uiPriority w:val="9"/>
    <w:unhideWhenUsed/>
    <w:qFormat/>
    <w:rsid w:val="001A2562"/>
    <w:pPr>
      <w:numPr>
        <w:ilvl w:val="1"/>
      </w:numPr>
      <w:ind w:left="567" w:hanging="567"/>
      <w:jc w:val="both"/>
      <w:outlineLvl w:val="1"/>
    </w:pPr>
    <w:rPr>
      <w:b w:val="0"/>
      <w:i/>
    </w:rPr>
  </w:style>
  <w:style w:type="paragraph" w:styleId="Fyrirsgn3">
    <w:name w:val="heading 3"/>
    <w:basedOn w:val="Fyrirsgn2"/>
    <w:next w:val="Venjulegur"/>
    <w:link w:val="Fyrirsgn3Staf"/>
    <w:uiPriority w:val="9"/>
    <w:unhideWhenUsed/>
    <w:qFormat/>
    <w:rsid w:val="009B269F"/>
    <w:pPr>
      <w:numPr>
        <w:ilvl w:val="2"/>
        <w:numId w:val="18"/>
      </w:numPr>
      <w:spacing w:before="60" w:after="60"/>
      <w:ind w:left="680" w:hanging="680"/>
      <w:outlineLvl w:val="2"/>
    </w:pPr>
    <w:rPr>
      <w:i w:val="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hersla">
    <w:name w:val="Emphasis"/>
    <w:basedOn w:val="Sjlfgefinleturgermlsgreinar"/>
    <w:uiPriority w:val="20"/>
    <w:qFormat/>
    <w:rsid w:val="000105F8"/>
    <w:rPr>
      <w:i/>
      <w:iCs/>
    </w:rPr>
  </w:style>
  <w:style w:type="paragraph" w:styleId="Mlsgreinlista">
    <w:name w:val="List Paragraph"/>
    <w:basedOn w:val="Venjulegur"/>
    <w:uiPriority w:val="34"/>
    <w:qFormat/>
    <w:rsid w:val="00480055"/>
    <w:pPr>
      <w:ind w:left="720"/>
      <w:contextualSpacing/>
    </w:pPr>
  </w:style>
  <w:style w:type="character" w:styleId="Tengill">
    <w:name w:val="Hyperlink"/>
    <w:basedOn w:val="Sjlfgefinleturgermlsgreinar"/>
    <w:uiPriority w:val="99"/>
    <w:unhideWhenUsed/>
    <w:rsid w:val="00A6104A"/>
    <w:rPr>
      <w:color w:val="0563C1" w:themeColor="hyperlink"/>
      <w:u w:val="single"/>
    </w:rPr>
  </w:style>
  <w:style w:type="character" w:customStyle="1" w:styleId="Fyrirsgn1Staf">
    <w:name w:val="Fyrirsögn 1 Staf"/>
    <w:basedOn w:val="Sjlfgefinleturgermlsgreinar"/>
    <w:link w:val="Fyrirsgn1"/>
    <w:uiPriority w:val="9"/>
    <w:rsid w:val="00163D1F"/>
    <w:rPr>
      <w:b/>
      <w:szCs w:val="28"/>
    </w:rPr>
  </w:style>
  <w:style w:type="character" w:styleId="NotaurTengill">
    <w:name w:val="FollowedHyperlink"/>
    <w:basedOn w:val="Sjlfgefinleturgermlsgreinar"/>
    <w:uiPriority w:val="99"/>
    <w:semiHidden/>
    <w:unhideWhenUsed/>
    <w:rsid w:val="00495051"/>
    <w:rPr>
      <w:color w:val="954F72" w:themeColor="followedHyperlink"/>
      <w:u w:val="single"/>
    </w:rPr>
  </w:style>
  <w:style w:type="character" w:customStyle="1" w:styleId="Fyrirsgn2Staf">
    <w:name w:val="Fyrirsögn 2 Staf"/>
    <w:basedOn w:val="Sjlfgefinleturgermlsgreinar"/>
    <w:link w:val="Fyrirsgn2"/>
    <w:uiPriority w:val="9"/>
    <w:rsid w:val="001A2562"/>
    <w:rPr>
      <w:i/>
      <w:szCs w:val="28"/>
    </w:rPr>
  </w:style>
  <w:style w:type="paragraph" w:customStyle="1" w:styleId="Greinarfyrirsgn">
    <w:name w:val="Greinarfyrirsögn"/>
    <w:basedOn w:val="Venjulegur"/>
    <w:next w:val="Venjulegur"/>
    <w:qFormat/>
    <w:rsid w:val="008B56C4"/>
    <w:pPr>
      <w:spacing w:line="240" w:lineRule="auto"/>
      <w:jc w:val="center"/>
    </w:pPr>
    <w:rPr>
      <w:rFonts w:eastAsia="Calibri"/>
      <w:i/>
      <w:sz w:val="21"/>
      <w:szCs w:val="22"/>
    </w:rPr>
  </w:style>
  <w:style w:type="paragraph" w:styleId="Enginbil">
    <w:name w:val="No Spacing"/>
    <w:uiPriority w:val="1"/>
    <w:qFormat/>
    <w:rsid w:val="007F4264"/>
    <w:pPr>
      <w:spacing w:line="240" w:lineRule="auto"/>
    </w:pPr>
  </w:style>
  <w:style w:type="character" w:customStyle="1" w:styleId="Fyrirsgn3Staf">
    <w:name w:val="Fyrirsögn 3 Staf"/>
    <w:basedOn w:val="Sjlfgefinleturgermlsgreinar"/>
    <w:link w:val="Fyrirsgn3"/>
    <w:uiPriority w:val="9"/>
    <w:rsid w:val="009B269F"/>
    <w:rPr>
      <w:szCs w:val="28"/>
    </w:rPr>
  </w:style>
  <w:style w:type="paragraph" w:styleId="Suhaus">
    <w:name w:val="header"/>
    <w:basedOn w:val="Venjulegur"/>
    <w:link w:val="SuhausStaf"/>
    <w:uiPriority w:val="99"/>
    <w:unhideWhenUsed/>
    <w:rsid w:val="00C176BB"/>
    <w:pPr>
      <w:tabs>
        <w:tab w:val="center" w:pos="4536"/>
        <w:tab w:val="right" w:pos="9072"/>
      </w:tabs>
      <w:spacing w:line="240" w:lineRule="auto"/>
    </w:pPr>
  </w:style>
  <w:style w:type="character" w:customStyle="1" w:styleId="SuhausStaf">
    <w:name w:val="Síðuhaus Staf"/>
    <w:basedOn w:val="Sjlfgefinleturgermlsgreinar"/>
    <w:link w:val="Suhaus"/>
    <w:uiPriority w:val="99"/>
    <w:rsid w:val="00C176BB"/>
  </w:style>
  <w:style w:type="paragraph" w:styleId="Suftur">
    <w:name w:val="footer"/>
    <w:basedOn w:val="Venjulegur"/>
    <w:link w:val="SufturStaf"/>
    <w:uiPriority w:val="99"/>
    <w:unhideWhenUsed/>
    <w:rsid w:val="00C176BB"/>
    <w:pPr>
      <w:tabs>
        <w:tab w:val="center" w:pos="4536"/>
        <w:tab w:val="right" w:pos="9072"/>
      </w:tabs>
      <w:spacing w:line="240" w:lineRule="auto"/>
    </w:pPr>
  </w:style>
  <w:style w:type="character" w:customStyle="1" w:styleId="SufturStaf">
    <w:name w:val="Síðufótur Staf"/>
    <w:basedOn w:val="Sjlfgefinleturgermlsgreinar"/>
    <w:link w:val="Suftur"/>
    <w:uiPriority w:val="99"/>
    <w:rsid w:val="00C176BB"/>
  </w:style>
  <w:style w:type="paragraph" w:customStyle="1" w:styleId="paragraf">
    <w:name w:val="paragraf"/>
    <w:basedOn w:val="Venjulegur"/>
    <w:rsid w:val="001A3210"/>
    <w:pPr>
      <w:spacing w:before="100" w:beforeAutospacing="1" w:after="100" w:afterAutospacing="1" w:line="240" w:lineRule="auto"/>
    </w:pPr>
    <w:rPr>
      <w:rFonts w:eastAsia="Times New Roman"/>
      <w:lang w:eastAsia="is-IS"/>
    </w:rPr>
  </w:style>
  <w:style w:type="character" w:customStyle="1" w:styleId="paragrafnr">
    <w:name w:val="paragrafnr"/>
    <w:basedOn w:val="Sjlfgefinleturgermlsgreinar"/>
    <w:rsid w:val="001A3210"/>
  </w:style>
  <w:style w:type="paragraph" w:customStyle="1" w:styleId="stk2">
    <w:name w:val="stk2"/>
    <w:basedOn w:val="Venjulegur"/>
    <w:rsid w:val="001A3210"/>
    <w:pPr>
      <w:spacing w:before="100" w:beforeAutospacing="1" w:after="100" w:afterAutospacing="1" w:line="240" w:lineRule="auto"/>
    </w:pPr>
    <w:rPr>
      <w:rFonts w:eastAsia="Times New Roman"/>
      <w:lang w:eastAsia="is-IS"/>
    </w:rPr>
  </w:style>
  <w:style w:type="character" w:customStyle="1" w:styleId="stknr">
    <w:name w:val="stknr"/>
    <w:basedOn w:val="Sjlfgefinleturgermlsgreinar"/>
    <w:rsid w:val="001A3210"/>
  </w:style>
  <w:style w:type="paragraph" w:styleId="Textineanmlsgreinar">
    <w:name w:val="footnote text"/>
    <w:basedOn w:val="Venjulegur"/>
    <w:link w:val="TextineanmlsgreinarStaf"/>
    <w:uiPriority w:val="99"/>
    <w:unhideWhenUsed/>
    <w:rsid w:val="00885CE7"/>
    <w:pPr>
      <w:spacing w:line="240" w:lineRule="auto"/>
    </w:pPr>
    <w:rPr>
      <w:sz w:val="20"/>
      <w:szCs w:val="20"/>
    </w:rPr>
  </w:style>
  <w:style w:type="character" w:customStyle="1" w:styleId="TextineanmlsgreinarStaf">
    <w:name w:val="Texti neðanmálsgreinar Staf"/>
    <w:basedOn w:val="Sjlfgefinleturgermlsgreinar"/>
    <w:link w:val="Textineanmlsgreinar"/>
    <w:uiPriority w:val="99"/>
    <w:rsid w:val="00885CE7"/>
    <w:rPr>
      <w:sz w:val="20"/>
      <w:szCs w:val="20"/>
    </w:rPr>
  </w:style>
  <w:style w:type="character" w:styleId="Tilvsunneanmlsgrein">
    <w:name w:val="footnote reference"/>
    <w:basedOn w:val="Sjlfgefinleturgermlsgreinar"/>
    <w:uiPriority w:val="99"/>
    <w:unhideWhenUsed/>
    <w:rsid w:val="00885CE7"/>
    <w:rPr>
      <w:vertAlign w:val="superscript"/>
    </w:rPr>
  </w:style>
  <w:style w:type="character" w:styleId="Tilvsunathugasemd">
    <w:name w:val="annotation reference"/>
    <w:basedOn w:val="Sjlfgefinleturgermlsgreinar"/>
    <w:uiPriority w:val="99"/>
    <w:semiHidden/>
    <w:unhideWhenUsed/>
    <w:rsid w:val="00EA5D82"/>
    <w:rPr>
      <w:sz w:val="16"/>
      <w:szCs w:val="16"/>
    </w:rPr>
  </w:style>
  <w:style w:type="paragraph" w:styleId="Textiathugasemdar">
    <w:name w:val="annotation text"/>
    <w:basedOn w:val="Venjulegur"/>
    <w:link w:val="TextiathugasemdarStaf"/>
    <w:uiPriority w:val="99"/>
    <w:semiHidden/>
    <w:unhideWhenUsed/>
    <w:rsid w:val="00EA5D82"/>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EA5D82"/>
    <w:rPr>
      <w:sz w:val="20"/>
      <w:szCs w:val="20"/>
    </w:rPr>
  </w:style>
  <w:style w:type="paragraph" w:styleId="Efniathugasemdar">
    <w:name w:val="annotation subject"/>
    <w:basedOn w:val="Textiathugasemdar"/>
    <w:next w:val="Textiathugasemdar"/>
    <w:link w:val="EfniathugasemdarStaf"/>
    <w:uiPriority w:val="99"/>
    <w:semiHidden/>
    <w:unhideWhenUsed/>
    <w:rsid w:val="00EA5D82"/>
    <w:rPr>
      <w:b/>
      <w:bCs/>
    </w:rPr>
  </w:style>
  <w:style w:type="character" w:customStyle="1" w:styleId="EfniathugasemdarStaf">
    <w:name w:val="Efni athugasemdar Staf"/>
    <w:basedOn w:val="TextiathugasemdarStaf"/>
    <w:link w:val="Efniathugasemdar"/>
    <w:uiPriority w:val="99"/>
    <w:semiHidden/>
    <w:rsid w:val="00EA5D82"/>
    <w:rPr>
      <w:b/>
      <w:bCs/>
      <w:sz w:val="20"/>
      <w:szCs w:val="20"/>
    </w:rPr>
  </w:style>
  <w:style w:type="paragraph" w:styleId="Blrutexti">
    <w:name w:val="Balloon Text"/>
    <w:basedOn w:val="Venjulegur"/>
    <w:link w:val="BlrutextiStaf"/>
    <w:uiPriority w:val="99"/>
    <w:semiHidden/>
    <w:unhideWhenUsed/>
    <w:rsid w:val="00EA5D82"/>
    <w:pPr>
      <w:spacing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A5D82"/>
    <w:rPr>
      <w:rFonts w:ascii="Segoe UI" w:hAnsi="Segoe UI" w:cs="Segoe UI"/>
      <w:sz w:val="18"/>
      <w:szCs w:val="18"/>
    </w:rPr>
  </w:style>
  <w:style w:type="paragraph" w:styleId="Endurskoun">
    <w:name w:val="Revision"/>
    <w:hidden/>
    <w:uiPriority w:val="99"/>
    <w:semiHidden/>
    <w:rsid w:val="00D02705"/>
    <w:pPr>
      <w:spacing w:line="240" w:lineRule="auto"/>
    </w:pPr>
  </w:style>
  <w:style w:type="paragraph" w:styleId="Efnisyfirlit1">
    <w:name w:val="toc 1"/>
    <w:basedOn w:val="Venjulegur"/>
    <w:next w:val="Venjulegur"/>
    <w:autoRedefine/>
    <w:uiPriority w:val="39"/>
    <w:unhideWhenUsed/>
    <w:rsid w:val="00E16BEB"/>
    <w:pPr>
      <w:spacing w:after="100"/>
    </w:pPr>
  </w:style>
  <w:style w:type="paragraph" w:styleId="Efnisyfirlit2">
    <w:name w:val="toc 2"/>
    <w:basedOn w:val="Venjulegur"/>
    <w:next w:val="Venjulegur"/>
    <w:autoRedefine/>
    <w:uiPriority w:val="39"/>
    <w:unhideWhenUsed/>
    <w:rsid w:val="00E16BEB"/>
    <w:pPr>
      <w:spacing w:after="100"/>
      <w:ind w:left="240"/>
    </w:pPr>
  </w:style>
  <w:style w:type="paragraph" w:customStyle="1" w:styleId="Default">
    <w:name w:val="Default"/>
    <w:rsid w:val="006D0972"/>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20936">
      <w:bodyDiv w:val="1"/>
      <w:marLeft w:val="0"/>
      <w:marRight w:val="0"/>
      <w:marTop w:val="0"/>
      <w:marBottom w:val="0"/>
      <w:divBdr>
        <w:top w:val="none" w:sz="0" w:space="0" w:color="auto"/>
        <w:left w:val="none" w:sz="0" w:space="0" w:color="auto"/>
        <w:bottom w:val="none" w:sz="0" w:space="0" w:color="auto"/>
        <w:right w:val="none" w:sz="0" w:space="0" w:color="auto"/>
      </w:divBdr>
    </w:div>
    <w:div w:id="646514325">
      <w:bodyDiv w:val="1"/>
      <w:marLeft w:val="0"/>
      <w:marRight w:val="0"/>
      <w:marTop w:val="0"/>
      <w:marBottom w:val="0"/>
      <w:divBdr>
        <w:top w:val="none" w:sz="0" w:space="0" w:color="auto"/>
        <w:left w:val="none" w:sz="0" w:space="0" w:color="auto"/>
        <w:bottom w:val="none" w:sz="0" w:space="0" w:color="auto"/>
        <w:right w:val="none" w:sz="0" w:space="0" w:color="auto"/>
      </w:divBdr>
    </w:div>
    <w:div w:id="786195038">
      <w:bodyDiv w:val="1"/>
      <w:marLeft w:val="0"/>
      <w:marRight w:val="0"/>
      <w:marTop w:val="0"/>
      <w:marBottom w:val="0"/>
      <w:divBdr>
        <w:top w:val="none" w:sz="0" w:space="0" w:color="auto"/>
        <w:left w:val="none" w:sz="0" w:space="0" w:color="auto"/>
        <w:bottom w:val="none" w:sz="0" w:space="0" w:color="auto"/>
        <w:right w:val="none" w:sz="0" w:space="0" w:color="auto"/>
      </w:divBdr>
    </w:div>
    <w:div w:id="831262896">
      <w:bodyDiv w:val="1"/>
      <w:marLeft w:val="0"/>
      <w:marRight w:val="0"/>
      <w:marTop w:val="0"/>
      <w:marBottom w:val="0"/>
      <w:divBdr>
        <w:top w:val="none" w:sz="0" w:space="0" w:color="auto"/>
        <w:left w:val="none" w:sz="0" w:space="0" w:color="auto"/>
        <w:bottom w:val="none" w:sz="0" w:space="0" w:color="auto"/>
        <w:right w:val="none" w:sz="0" w:space="0" w:color="auto"/>
      </w:divBdr>
    </w:div>
    <w:div w:id="1208373809">
      <w:bodyDiv w:val="1"/>
      <w:marLeft w:val="0"/>
      <w:marRight w:val="0"/>
      <w:marTop w:val="0"/>
      <w:marBottom w:val="0"/>
      <w:divBdr>
        <w:top w:val="none" w:sz="0" w:space="0" w:color="auto"/>
        <w:left w:val="none" w:sz="0" w:space="0" w:color="auto"/>
        <w:bottom w:val="none" w:sz="0" w:space="0" w:color="auto"/>
        <w:right w:val="none" w:sz="0" w:space="0" w:color="auto"/>
      </w:divBdr>
    </w:div>
    <w:div w:id="1425884683">
      <w:bodyDiv w:val="1"/>
      <w:marLeft w:val="0"/>
      <w:marRight w:val="0"/>
      <w:marTop w:val="0"/>
      <w:marBottom w:val="0"/>
      <w:divBdr>
        <w:top w:val="none" w:sz="0" w:space="0" w:color="auto"/>
        <w:left w:val="none" w:sz="0" w:space="0" w:color="auto"/>
        <w:bottom w:val="none" w:sz="0" w:space="0" w:color="auto"/>
        <w:right w:val="none" w:sz="0" w:space="0" w:color="auto"/>
      </w:divBdr>
    </w:div>
    <w:div w:id="1442991270">
      <w:bodyDiv w:val="1"/>
      <w:marLeft w:val="0"/>
      <w:marRight w:val="0"/>
      <w:marTop w:val="0"/>
      <w:marBottom w:val="0"/>
      <w:divBdr>
        <w:top w:val="none" w:sz="0" w:space="0" w:color="auto"/>
        <w:left w:val="none" w:sz="0" w:space="0" w:color="auto"/>
        <w:bottom w:val="none" w:sz="0" w:space="0" w:color="auto"/>
        <w:right w:val="none" w:sz="0" w:space="0" w:color="auto"/>
      </w:divBdr>
    </w:div>
    <w:div w:id="1519006755">
      <w:bodyDiv w:val="1"/>
      <w:marLeft w:val="0"/>
      <w:marRight w:val="0"/>
      <w:marTop w:val="0"/>
      <w:marBottom w:val="0"/>
      <w:divBdr>
        <w:top w:val="none" w:sz="0" w:space="0" w:color="auto"/>
        <w:left w:val="none" w:sz="0" w:space="0" w:color="auto"/>
        <w:bottom w:val="none" w:sz="0" w:space="0" w:color="auto"/>
        <w:right w:val="none" w:sz="0" w:space="0" w:color="auto"/>
      </w:divBdr>
    </w:div>
    <w:div w:id="1588271343">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435725E241C41BA0F5F21E3F829E5" ma:contentTypeVersion="2" ma:contentTypeDescription="Create a new document." ma:contentTypeScope="" ma:versionID="3a5c75348c14f27883ec507d5a8b87c9">
  <xsd:schema xmlns:xsd="http://www.w3.org/2001/XMLSchema" xmlns:xs="http://www.w3.org/2001/XMLSchema" xmlns:p="http://schemas.microsoft.com/office/2006/metadata/properties" xmlns:ns2="cc21b4e8-4b39-4cb2-8877-ce0a706b4b5e" targetNamespace="http://schemas.microsoft.com/office/2006/metadata/properties" ma:root="true" ma:fieldsID="5e896684f2e9a2fb226ae876ab2d0c57" ns2:_="">
    <xsd:import namespace="cc21b4e8-4b39-4cb2-8877-ce0a706b4b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1b4e8-4b39-4cb2-8877-ce0a706b4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9C34-3A7A-4518-A9AB-57E5610DB32D}">
  <ds:schemaRefs>
    <ds:schemaRef ds:uri="http://schemas.openxmlformats.org/package/2006/metadata/core-properties"/>
    <ds:schemaRef ds:uri="cc21b4e8-4b39-4cb2-8877-ce0a706b4b5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A8AE5C36-4950-4000-B135-6A4D752F2A13}">
  <ds:schemaRefs>
    <ds:schemaRef ds:uri="http://schemas.microsoft.com/sharepoint/v3/contenttype/forms"/>
  </ds:schemaRefs>
</ds:datastoreItem>
</file>

<file path=customXml/itemProps3.xml><?xml version="1.0" encoding="utf-8"?>
<ds:datastoreItem xmlns:ds="http://schemas.openxmlformats.org/officeDocument/2006/customXml" ds:itemID="{DC132F4D-3247-4E25-B1CF-FA4EEEAEC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1b4e8-4b39-4cb2-8877-ce0a706b4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4BA94-9740-4209-83E0-0C7E9BC5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2226</Words>
  <Characters>12691</Characters>
  <DocSecurity>0</DocSecurity>
  <Lines>105</Lines>
  <Paragraphs>29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2019-12-20T12:52:00Z</cp:lastPrinted>
  <dcterms:created xsi:type="dcterms:W3CDTF">2019-12-10T11:21:00Z</dcterms:created>
  <dcterms:modified xsi:type="dcterms:W3CDTF">2019-12-20T15:42:00Z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0x0101002D2435725E241C41BA0F5F21E3F829E5</vt:lpwstr>
  </property>
</Properties>
</file>